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Residential Tenancies Act 1987</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_Toc392492653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_Toc392492654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_Toc392492655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Position of Crown</w:t>
      </w:r>
      <w:r>
        <w:tab/>
      </w:r>
      <w:r>
        <w:fldChar w:fldCharType="begin"/>
      </w:r>
      <w:r>
        <w:instrText xml:space="preserve"> PAGEREF _Toc392492656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_Toc392492657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Modification of application of Act by regulation</w:t>
      </w:r>
      <w:r>
        <w:tab/>
      </w:r>
      <w:r>
        <w:fldChar w:fldCharType="begin"/>
      </w:r>
      <w:r>
        <w:instrText xml:space="preserve"> PAGEREF _Toc392492658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rPr>
          <w:bCs/>
        </w:rPr>
        <w:t>Transitional provisions relating to commencement of this Act</w:t>
      </w:r>
      <w:r>
        <w:tab/>
      </w:r>
      <w:r>
        <w:fldChar w:fldCharType="begin"/>
      </w:r>
      <w:r>
        <w:instrText xml:space="preserve"> PAGEREF _Toc392492659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7A.</w:t>
      </w:r>
      <w:r>
        <w:tab/>
        <w:t>Commissioner</w:t>
      </w:r>
      <w:r>
        <w:tab/>
      </w:r>
      <w:r>
        <w:fldChar w:fldCharType="begin"/>
      </w:r>
      <w:r>
        <w:instrText xml:space="preserve"> PAGEREF _Toc392492661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Commissioner</w:t>
      </w:r>
      <w:r>
        <w:tab/>
      </w:r>
      <w:r>
        <w:fldChar w:fldCharType="begin"/>
      </w:r>
      <w:r>
        <w:instrText xml:space="preserve"> PAGEREF _Toc392492662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may institute or defend proceedings for party</w:t>
      </w:r>
      <w:r>
        <w:tab/>
      </w:r>
      <w:r>
        <w:fldChar w:fldCharType="begin"/>
      </w:r>
      <w:r>
        <w:instrText xml:space="preserve"> PAGEREF _Toc392492663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by Commissioner</w:t>
      </w:r>
      <w:r>
        <w:tab/>
      </w:r>
      <w:r>
        <w:fldChar w:fldCharType="begin"/>
      </w:r>
      <w:r>
        <w:instrText xml:space="preserve"> PAGEREF _Toc392492664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officers</w:t>
      </w:r>
      <w:r>
        <w:tab/>
      </w:r>
      <w:r>
        <w:fldChar w:fldCharType="begin"/>
      </w:r>
      <w:r>
        <w:instrText xml:space="preserve"> PAGEREF _Toc392492665 \h </w:instrText>
      </w:r>
      <w:r>
        <w:fldChar w:fldCharType="separate"/>
      </w:r>
      <w:r>
        <w:t>13</w:t>
      </w:r>
      <w:r>
        <w:fldChar w:fldCharType="end"/>
      </w:r>
    </w:p>
    <w:p>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_Toc392492666 \h </w:instrText>
      </w:r>
      <w:r>
        <w:fldChar w:fldCharType="separate"/>
      </w:r>
      <w:r>
        <w:t>14</w:t>
      </w:r>
      <w:r>
        <w:fldChar w:fldCharType="end"/>
      </w:r>
    </w:p>
    <w:p>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_Toc392492667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III — Determination of disputes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_Toc392492669 \h </w:instrText>
      </w:r>
      <w:r>
        <w:fldChar w:fldCharType="separate"/>
      </w:r>
      <w:r>
        <w:t>15</w:t>
      </w:r>
      <w:r>
        <w:fldChar w:fldCharType="end"/>
      </w:r>
    </w:p>
    <w:p>
      <w:pPr>
        <w:pStyle w:val="TOC8"/>
        <w:rPr>
          <w:rFonts w:asciiTheme="minorHAnsi" w:eastAsiaTheme="minorEastAsia" w:hAnsiTheme="minorHAnsi" w:cstheme="minorBidi"/>
          <w:szCs w:val="22"/>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_Toc392492670 \h </w:instrText>
      </w:r>
      <w:r>
        <w:fldChar w:fldCharType="separate"/>
      </w:r>
      <w:r>
        <w:t>15</w:t>
      </w:r>
      <w:r>
        <w:fldChar w:fldCharType="end"/>
      </w:r>
    </w:p>
    <w:p>
      <w:pPr>
        <w:pStyle w:val="TOC8"/>
        <w:rPr>
          <w:rFonts w:asciiTheme="minorHAnsi" w:eastAsiaTheme="minorEastAsia" w:hAnsiTheme="minorHAnsi" w:cstheme="minorBidi"/>
          <w:szCs w:val="22"/>
        </w:rPr>
      </w:pPr>
      <w:r>
        <w:t>13.</w:t>
      </w:r>
      <w:r>
        <w:tab/>
        <w:t>Jurisdiction over other disputes</w:t>
      </w:r>
      <w:r>
        <w:tab/>
      </w:r>
      <w:r>
        <w:fldChar w:fldCharType="begin"/>
      </w:r>
      <w:r>
        <w:instrText xml:space="preserve"> PAGEREF _Toc392492671 \h </w:instrText>
      </w:r>
      <w:r>
        <w:fldChar w:fldCharType="separate"/>
      </w:r>
      <w:r>
        <w:t>15</w:t>
      </w:r>
      <w:r>
        <w:fldChar w:fldCharType="end"/>
      </w:r>
    </w:p>
    <w:p>
      <w:pPr>
        <w:pStyle w:val="TOC8"/>
        <w:rPr>
          <w:rFonts w:asciiTheme="minorHAnsi" w:eastAsiaTheme="minorEastAsia" w:hAnsiTheme="minorHAnsi" w:cstheme="minorBidi"/>
          <w:szCs w:val="22"/>
        </w:rPr>
      </w:pPr>
      <w:r>
        <w:t>13A.</w:t>
      </w:r>
      <w:r>
        <w:tab/>
      </w:r>
      <w:r>
        <w:rPr>
          <w:snapToGrid w:val="0"/>
        </w:rPr>
        <w:t>Magistrates</w:t>
      </w:r>
      <w:r>
        <w:t xml:space="preserve"> Court’s jurisdiction</w:t>
      </w:r>
      <w:r>
        <w:tab/>
      </w:r>
      <w:r>
        <w:fldChar w:fldCharType="begin"/>
      </w:r>
      <w:r>
        <w:instrText xml:space="preserve"> PAGEREF _Toc392492672 \h </w:instrText>
      </w:r>
      <w:r>
        <w:fldChar w:fldCharType="separate"/>
      </w:r>
      <w:r>
        <w:t>16</w:t>
      </w:r>
      <w:r>
        <w:fldChar w:fldCharType="end"/>
      </w:r>
    </w:p>
    <w:p>
      <w:pPr>
        <w:pStyle w:val="TOC8"/>
        <w:rPr>
          <w:rFonts w:asciiTheme="minorHAnsi" w:eastAsiaTheme="minorEastAsia" w:hAnsiTheme="minorHAnsi" w:cstheme="minorBidi"/>
          <w:szCs w:val="22"/>
        </w:rPr>
      </w:pPr>
      <w:r>
        <w:t>13B.</w:t>
      </w:r>
      <w:r>
        <w:tab/>
        <w:t>Appeals from decisions of a registrar</w:t>
      </w:r>
      <w:r>
        <w:tab/>
      </w:r>
      <w:r>
        <w:fldChar w:fldCharType="begin"/>
      </w:r>
      <w:r>
        <w:instrText xml:space="preserve"> PAGEREF _Toc392492673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Time for determination of proceedings</w:t>
      </w:r>
      <w:r>
        <w:tab/>
      </w:r>
      <w:r>
        <w:fldChar w:fldCharType="begin"/>
      </w:r>
      <w:r>
        <w:instrText xml:space="preserve"> PAGEREF _Toc392492674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Applications for relief and orders that may be made</w:t>
      </w:r>
      <w:r>
        <w:tab/>
      </w:r>
      <w:r>
        <w:fldChar w:fldCharType="begin"/>
      </w:r>
      <w:r>
        <w:instrText xml:space="preserve"> PAGEREF _Toc392492675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Enforcement</w:t>
      </w:r>
      <w:r>
        <w:tab/>
      </w:r>
      <w:r>
        <w:fldChar w:fldCharType="begin"/>
      </w:r>
      <w:r>
        <w:instrText xml:space="preserve"> PAGEREF _Toc392492676 \h </w:instrText>
      </w:r>
      <w:r>
        <w:fldChar w:fldCharType="separate"/>
      </w:r>
      <w:r>
        <w:t>19</w:t>
      </w:r>
      <w:r>
        <w:fldChar w:fldCharType="end"/>
      </w:r>
    </w:p>
    <w:p>
      <w:pPr>
        <w:pStyle w:val="TOC8"/>
        <w:rPr>
          <w:rFonts w:asciiTheme="minorHAnsi" w:eastAsiaTheme="minorEastAsia" w:hAnsiTheme="minorHAnsi" w:cstheme="minorBidi"/>
          <w:szCs w:val="22"/>
        </w:rPr>
      </w:pPr>
      <w:r>
        <w:t>17A.</w:t>
      </w:r>
      <w:r>
        <w:tab/>
        <w:t>Disputes between tenants</w:t>
      </w:r>
      <w:r>
        <w:tab/>
      </w:r>
      <w:r>
        <w:fldChar w:fldCharType="begin"/>
      </w:r>
      <w:r>
        <w:instrText xml:space="preserve"> PAGEREF _Toc392492677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to vary or set aside order</w:t>
      </w:r>
      <w:r>
        <w:tab/>
      </w:r>
      <w:r>
        <w:fldChar w:fldCharType="begin"/>
      </w:r>
      <w:r>
        <w:instrText xml:space="preserve"> PAGEREF _Toc392492678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applications and notice of hearing</w:t>
      </w:r>
      <w:r>
        <w:tab/>
      </w:r>
      <w:r>
        <w:fldChar w:fldCharType="begin"/>
      </w:r>
      <w:r>
        <w:instrText xml:space="preserve"> PAGEREF _Toc392492679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Witnesses and inspection of documents</w:t>
      </w:r>
      <w:r>
        <w:tab/>
      </w:r>
      <w:r>
        <w:fldChar w:fldCharType="begin"/>
      </w:r>
      <w:r>
        <w:instrText xml:space="preserve"> PAGEREF _Toc392492680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General powers in proceedings</w:t>
      </w:r>
      <w:r>
        <w:tab/>
      </w:r>
      <w:r>
        <w:fldChar w:fldCharType="begin"/>
      </w:r>
      <w:r>
        <w:instrText xml:space="preserve"> PAGEREF _Toc392492681 \h </w:instrText>
      </w:r>
      <w:r>
        <w:fldChar w:fldCharType="separate"/>
      </w:r>
      <w:r>
        <w:t>22</w:t>
      </w:r>
      <w:r>
        <w:fldChar w:fldCharType="end"/>
      </w:r>
    </w:p>
    <w:p>
      <w:pPr>
        <w:pStyle w:val="TOC8"/>
        <w:rPr>
          <w:rFonts w:asciiTheme="minorHAnsi" w:eastAsiaTheme="minorEastAsia" w:hAnsiTheme="minorHAnsi" w:cstheme="minorBidi"/>
          <w:szCs w:val="22"/>
        </w:rPr>
      </w:pPr>
      <w:r>
        <w:t>21.</w:t>
      </w:r>
      <w:r>
        <w:tab/>
        <w:t>Evidence</w:t>
      </w:r>
      <w:r>
        <w:tab/>
      </w:r>
      <w:r>
        <w:fldChar w:fldCharType="begin"/>
      </w:r>
      <w:r>
        <w:instrText xml:space="preserve"> PAGEREF _Toc392492682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Presentation of cases</w:t>
      </w:r>
      <w:r>
        <w:tab/>
      </w:r>
      <w:r>
        <w:fldChar w:fldCharType="begin"/>
      </w:r>
      <w:r>
        <w:instrText xml:space="preserve"> PAGEREF _Toc392492683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Settlement by conciliation</w:t>
      </w:r>
      <w:r>
        <w:tab/>
      </w:r>
      <w:r>
        <w:fldChar w:fldCharType="begin"/>
      </w:r>
      <w:r>
        <w:instrText xml:space="preserve"> PAGEREF _Toc392492684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_Toc392492685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Reservation of question of law</w:t>
      </w:r>
      <w:r>
        <w:tab/>
      </w:r>
      <w:r>
        <w:fldChar w:fldCharType="begin"/>
      </w:r>
      <w:r>
        <w:instrText xml:space="preserve"> PAGEREF _Toc392492686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Finality of proceedings</w:t>
      </w:r>
      <w:r>
        <w:tab/>
      </w:r>
      <w:r>
        <w:fldChar w:fldCharType="begin"/>
      </w:r>
      <w:r>
        <w:instrText xml:space="preserve"> PAGEREF _Toc392492687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IV — Residential tenancy agreements</w:t>
      </w:r>
    </w:p>
    <w:p>
      <w:pPr>
        <w:pStyle w:val="TOC4"/>
        <w:tabs>
          <w:tab w:val="right" w:leader="dot" w:pos="7086"/>
        </w:tabs>
        <w:rPr>
          <w:rFonts w:asciiTheme="minorHAnsi" w:eastAsiaTheme="minorEastAsia" w:hAnsiTheme="minorHAnsi" w:cstheme="minorBidi"/>
          <w:b w:val="0"/>
          <w:szCs w:val="22"/>
        </w:rPr>
      </w:pPr>
      <w:r>
        <w:t>Division 1A — Form of residential tenancy agreement and associated documents</w:t>
      </w:r>
    </w:p>
    <w:p>
      <w:pPr>
        <w:pStyle w:val="TOC8"/>
        <w:rPr>
          <w:rFonts w:asciiTheme="minorHAnsi" w:eastAsiaTheme="minorEastAsia" w:hAnsiTheme="minorHAnsi" w:cstheme="minorBidi"/>
          <w:szCs w:val="22"/>
        </w:rPr>
      </w:pPr>
      <w:r>
        <w:t>27A.</w:t>
      </w:r>
      <w:r>
        <w:tab/>
        <w:t>Written residential tenancy agreement to be in prescribed form</w:t>
      </w:r>
      <w:r>
        <w:tab/>
      </w:r>
      <w:r>
        <w:fldChar w:fldCharType="begin"/>
      </w:r>
      <w:r>
        <w:instrText xml:space="preserve"> PAGEREF _Toc392492690 \h </w:instrText>
      </w:r>
      <w:r>
        <w:fldChar w:fldCharType="separate"/>
      </w:r>
      <w:r>
        <w:t>28</w:t>
      </w:r>
      <w:r>
        <w:fldChar w:fldCharType="end"/>
      </w:r>
    </w:p>
    <w:p>
      <w:pPr>
        <w:pStyle w:val="TOC8"/>
        <w:rPr>
          <w:rFonts w:asciiTheme="minorHAnsi" w:eastAsiaTheme="minorEastAsia" w:hAnsiTheme="minorHAnsi" w:cstheme="minorBidi"/>
          <w:szCs w:val="22"/>
        </w:rPr>
      </w:pPr>
      <w:r>
        <w:t>27B.</w:t>
      </w:r>
      <w:r>
        <w:tab/>
        <w:t>Information to be given to tenant by lessor</w:t>
      </w:r>
      <w:r>
        <w:tab/>
      </w:r>
      <w:r>
        <w:fldChar w:fldCharType="begin"/>
      </w:r>
      <w:r>
        <w:instrText xml:space="preserve"> PAGEREF _Toc392492691 \h </w:instrText>
      </w:r>
      <w:r>
        <w:fldChar w:fldCharType="separate"/>
      </w:r>
      <w:r>
        <w:t>28</w:t>
      </w:r>
      <w:r>
        <w:fldChar w:fldCharType="end"/>
      </w:r>
    </w:p>
    <w:p>
      <w:pPr>
        <w:pStyle w:val="TOC8"/>
        <w:rPr>
          <w:rFonts w:asciiTheme="minorHAnsi" w:eastAsiaTheme="minorEastAsia" w:hAnsiTheme="minorHAnsi" w:cstheme="minorBidi"/>
          <w:szCs w:val="22"/>
        </w:rPr>
      </w:pPr>
      <w:r>
        <w:t>27C.</w:t>
      </w:r>
      <w:r>
        <w:tab/>
      </w:r>
      <w:r>
        <w:rPr>
          <w:snapToGrid w:val="0"/>
        </w:rPr>
        <w:t>Property condition report at start and end of tenancy</w:t>
      </w:r>
      <w:r>
        <w:tab/>
      </w:r>
      <w:r>
        <w:fldChar w:fldCharType="begin"/>
      </w:r>
      <w:r>
        <w:instrText xml:space="preserve"> PAGEREF _Toc392492692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Rent and security bonds</w:t>
      </w:r>
    </w:p>
    <w:p>
      <w:pPr>
        <w:pStyle w:val="TOC8"/>
        <w:rPr>
          <w:rFonts w:asciiTheme="minorHAnsi" w:eastAsiaTheme="minorEastAsia" w:hAnsiTheme="minorHAnsi" w:cstheme="minorBidi"/>
          <w:szCs w:val="22"/>
        </w:rPr>
      </w:pPr>
      <w:r>
        <w:t>27</w:t>
      </w:r>
      <w:r>
        <w:rPr>
          <w:snapToGrid w:val="0"/>
        </w:rPr>
        <w:t>.</w:t>
      </w:r>
      <w:r>
        <w:rPr>
          <w:snapToGrid w:val="0"/>
        </w:rPr>
        <w:tab/>
        <w:t>Restriction on consideration for tenancy agreement</w:t>
      </w:r>
      <w:r>
        <w:tab/>
      </w:r>
      <w:r>
        <w:fldChar w:fldCharType="begin"/>
      </w:r>
      <w:r>
        <w:instrText xml:space="preserve"> PAGEREF _Toc392492694 \h </w:instrText>
      </w:r>
      <w:r>
        <w:fldChar w:fldCharType="separate"/>
      </w:r>
      <w:r>
        <w:t>29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Rent in advance</w:t>
      </w:r>
      <w:r>
        <w:tab/>
      </w:r>
      <w:r>
        <w:fldChar w:fldCharType="begin"/>
      </w:r>
      <w:r>
        <w:instrText xml:space="preserve"> PAGEREF _Toc392492695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Security bonds</w:t>
      </w:r>
      <w:r>
        <w:tab/>
      </w:r>
      <w:r>
        <w:fldChar w:fldCharType="begin"/>
      </w:r>
      <w:r>
        <w:instrText xml:space="preserve"> PAGEREF _Toc392492696 \h </w:instrText>
      </w:r>
      <w:r>
        <w:fldChar w:fldCharType="separate"/>
      </w:r>
      <w:r>
        <w:t>31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Variation of rent (except where calculated by reference to tenant’s income)</w:t>
      </w:r>
      <w:r>
        <w:tab/>
      </w:r>
      <w:r>
        <w:fldChar w:fldCharType="begin"/>
      </w:r>
      <w:r>
        <w:instrText xml:space="preserve"> PAGEREF _Toc392492697 \h </w:instrText>
      </w:r>
      <w:r>
        <w:fldChar w:fldCharType="separate"/>
      </w:r>
      <w:r>
        <w:t>33</w:t>
      </w:r>
      <w:r>
        <w:fldChar w:fldCharType="end"/>
      </w:r>
    </w:p>
    <w:p>
      <w:pPr>
        <w:pStyle w:val="TOC8"/>
        <w:rPr>
          <w:rFonts w:asciiTheme="minorHAnsi" w:eastAsiaTheme="minorEastAsia" w:hAnsiTheme="minorHAnsi" w:cstheme="minorBidi"/>
          <w:szCs w:val="22"/>
        </w:rPr>
      </w:pPr>
      <w:r>
        <w:t>31A.</w:t>
      </w:r>
      <w:r>
        <w:tab/>
        <w:t>Variation of rent where calculated by reference to tenant’s income</w:t>
      </w:r>
      <w:r>
        <w:tab/>
      </w:r>
      <w:r>
        <w:fldChar w:fldCharType="begin"/>
      </w:r>
      <w:r>
        <w:instrText xml:space="preserve"> PAGEREF _Toc392492698 \h </w:instrText>
      </w:r>
      <w:r>
        <w:fldChar w:fldCharType="separate"/>
      </w:r>
      <w:r>
        <w:t>34</w:t>
      </w:r>
      <w:r>
        <w:fldChar w:fldCharType="end"/>
      </w:r>
    </w:p>
    <w:p>
      <w:pPr>
        <w:pStyle w:val="TOC8"/>
        <w:rPr>
          <w:rFonts w:asciiTheme="minorHAnsi" w:eastAsiaTheme="minorEastAsia" w:hAnsiTheme="minorHAnsi" w:cstheme="minorBidi"/>
          <w:szCs w:val="22"/>
        </w:rPr>
      </w:pPr>
      <w:r>
        <w:t>31B.</w:t>
      </w:r>
      <w:r>
        <w:tab/>
        <w:t>Increase in rent after renegotiating lease</w:t>
      </w:r>
      <w:r>
        <w:tab/>
      </w:r>
      <w:r>
        <w:fldChar w:fldCharType="begin"/>
      </w:r>
      <w:r>
        <w:instrText xml:space="preserve"> PAGEREF _Toc392492699 \h </w:instrText>
      </w:r>
      <w:r>
        <w:fldChar w:fldCharType="separate"/>
      </w:r>
      <w:r>
        <w:t>34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Increase in security bond</w:t>
      </w:r>
      <w:r>
        <w:tab/>
      </w:r>
      <w:r>
        <w:fldChar w:fldCharType="begin"/>
      </w:r>
      <w:r>
        <w:instrText xml:space="preserve"> PAGEREF _Toc392492700 \h </w:instrText>
      </w:r>
      <w:r>
        <w:fldChar w:fldCharType="separate"/>
      </w:r>
      <w:r>
        <w:t>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Limitation of excessive rents in certain circumstances</w:t>
      </w:r>
      <w:r>
        <w:tab/>
      </w:r>
      <w:r>
        <w:fldChar w:fldCharType="begin"/>
      </w:r>
      <w:r>
        <w:instrText xml:space="preserve"> PAGEREF _Toc392492701 \h </w:instrText>
      </w:r>
      <w:r>
        <w:fldChar w:fldCharType="separate"/>
      </w:r>
      <w:r>
        <w:t>36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to give receipt for rent</w:t>
      </w:r>
      <w:r>
        <w:tab/>
      </w:r>
      <w:r>
        <w:fldChar w:fldCharType="begin"/>
      </w:r>
      <w:r>
        <w:instrText xml:space="preserve"> PAGEREF _Toc392492702 \h </w:instrText>
      </w:r>
      <w:r>
        <w:fldChar w:fldCharType="separate"/>
      </w:r>
      <w:r>
        <w:t>37</w:t>
      </w:r>
      <w:r>
        <w:fldChar w:fldCharType="end"/>
      </w:r>
    </w:p>
    <w:p>
      <w:pPr>
        <w:pStyle w:val="TOC8"/>
        <w:rPr>
          <w:rFonts w:asciiTheme="minorHAnsi" w:eastAsiaTheme="minorEastAsia" w:hAnsiTheme="minorHAnsi" w:cstheme="minorBidi"/>
          <w:szCs w:val="22"/>
        </w:rPr>
      </w:pPr>
      <w:r>
        <w:t>34A.</w:t>
      </w:r>
      <w:r>
        <w:tab/>
        <w:t>Manner of payment of rent</w:t>
      </w:r>
      <w:r>
        <w:tab/>
      </w:r>
      <w:r>
        <w:fldChar w:fldCharType="begin"/>
      </w:r>
      <w:r>
        <w:instrText xml:space="preserve"> PAGEREF _Toc392492703 \h </w:instrText>
      </w:r>
      <w:r>
        <w:fldChar w:fldCharType="separate"/>
      </w:r>
      <w:r>
        <w:t>38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Proper records of rent to be kept</w:t>
      </w:r>
      <w:r>
        <w:tab/>
      </w:r>
      <w:r>
        <w:fldChar w:fldCharType="begin"/>
      </w:r>
      <w:r>
        <w:instrText xml:space="preserve"> PAGEREF _Toc392492704 \h </w:instrText>
      </w:r>
      <w:r>
        <w:fldChar w:fldCharType="separate"/>
      </w:r>
      <w:r>
        <w:t>38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_Toc392492705 \h </w:instrText>
      </w:r>
      <w:r>
        <w:fldChar w:fldCharType="separate"/>
      </w:r>
      <w:r>
        <w:t>39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Apportionment of rent</w:t>
      </w:r>
      <w:r>
        <w:tab/>
      </w:r>
      <w:r>
        <w:fldChar w:fldCharType="begin"/>
      </w:r>
      <w:r>
        <w:instrText xml:space="preserve"> PAGEREF _Toc392492706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Standard terms</w:t>
      </w:r>
    </w:p>
    <w:p>
      <w:pPr>
        <w:pStyle w:val="TOC8"/>
        <w:rPr>
          <w:rFonts w:asciiTheme="minorHAnsi" w:eastAsiaTheme="minorEastAsia" w:hAnsiTheme="minorHAnsi" w:cstheme="minorBidi"/>
          <w:szCs w:val="22"/>
        </w:rPr>
      </w:pPr>
      <w:r>
        <w:t>38</w:t>
      </w:r>
      <w:r>
        <w:rPr>
          <w:snapToGrid w:val="0"/>
        </w:rPr>
        <w:t>.</w:t>
      </w:r>
      <w:r>
        <w:rPr>
          <w:snapToGrid w:val="0"/>
        </w:rPr>
        <w:tab/>
        <w:t>Tenant’s responsibility for cleanliness and damage</w:t>
      </w:r>
      <w:r>
        <w:tab/>
      </w:r>
      <w:r>
        <w:fldChar w:fldCharType="begin"/>
      </w:r>
      <w:r>
        <w:instrText xml:space="preserve"> PAGEREF _Toc392492708 \h </w:instrText>
      </w:r>
      <w:r>
        <w:fldChar w:fldCharType="separate"/>
      </w:r>
      <w:r>
        <w:t>39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Tenant’s conduct on premises</w:t>
      </w:r>
      <w:r>
        <w:tab/>
      </w:r>
      <w:r>
        <w:fldChar w:fldCharType="begin"/>
      </w:r>
      <w:r>
        <w:instrText xml:space="preserve"> PAGEREF _Toc392492709 \h </w:instrText>
      </w:r>
      <w:r>
        <w:fldChar w:fldCharType="separate"/>
      </w:r>
      <w:r>
        <w:t>40</w:t>
      </w:r>
      <w:r>
        <w:fldChar w:fldCharType="end"/>
      </w:r>
    </w:p>
    <w:p>
      <w:pPr>
        <w:pStyle w:val="TOC8"/>
        <w:rPr>
          <w:rFonts w:asciiTheme="minorHAnsi" w:eastAsiaTheme="minorEastAsia" w:hAnsiTheme="minorHAnsi" w:cstheme="minorBidi"/>
          <w:szCs w:val="22"/>
        </w:rPr>
      </w:pPr>
      <w:r>
        <w:t>40.</w:t>
      </w:r>
      <w:r>
        <w:tab/>
        <w:t>Vacant possession</w:t>
      </w:r>
      <w:r>
        <w:tab/>
      </w:r>
      <w:r>
        <w:fldChar w:fldCharType="begin"/>
      </w:r>
      <w:r>
        <w:instrText xml:space="preserve"> PAGEREF _Toc392492710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Legal impediments to occupation as residence</w:t>
      </w:r>
      <w:r>
        <w:tab/>
      </w:r>
      <w:r>
        <w:fldChar w:fldCharType="begin"/>
      </w:r>
      <w:r>
        <w:instrText xml:space="preserve"> PAGEREF _Toc392492711 \h </w:instrText>
      </w:r>
      <w:r>
        <w:fldChar w:fldCharType="separate"/>
      </w:r>
      <w:r>
        <w:t>41</w:t>
      </w:r>
      <w:r>
        <w:fldChar w:fldCharType="end"/>
      </w:r>
    </w:p>
    <w:p>
      <w:pPr>
        <w:pStyle w:val="TOC8"/>
        <w:rPr>
          <w:rFonts w:asciiTheme="minorHAnsi" w:eastAsiaTheme="minorEastAsia" w:hAnsiTheme="minorHAnsi" w:cstheme="minorBidi"/>
          <w:szCs w:val="22"/>
        </w:rPr>
      </w:pPr>
      <w:r>
        <w:t>42.</w:t>
      </w:r>
      <w:r>
        <w:tab/>
        <w:t>Lessor’s responsibility for cleanliness and repairs</w:t>
      </w:r>
      <w:r>
        <w:tab/>
      </w:r>
      <w:r>
        <w:fldChar w:fldCharType="begin"/>
      </w:r>
      <w:r>
        <w:instrText xml:space="preserve"> PAGEREF _Toc392492712 \h </w:instrText>
      </w:r>
      <w:r>
        <w:fldChar w:fldCharType="separate"/>
      </w:r>
      <w:r>
        <w:t>41</w:t>
      </w:r>
      <w:r>
        <w:fldChar w:fldCharType="end"/>
      </w:r>
    </w:p>
    <w:p>
      <w:pPr>
        <w:pStyle w:val="TOC8"/>
        <w:rPr>
          <w:rFonts w:asciiTheme="minorHAnsi" w:eastAsiaTheme="minorEastAsia" w:hAnsiTheme="minorHAnsi" w:cstheme="minorBidi"/>
          <w:szCs w:val="22"/>
        </w:rPr>
      </w:pPr>
      <w:r>
        <w:t>43.</w:t>
      </w:r>
      <w:r>
        <w:tab/>
        <w:t>Urgent repairs</w:t>
      </w:r>
      <w:r>
        <w:tab/>
      </w:r>
      <w:r>
        <w:fldChar w:fldCharType="begin"/>
      </w:r>
      <w:r>
        <w:instrText xml:space="preserve"> PAGEREF _Toc392492713 \h </w:instrText>
      </w:r>
      <w:r>
        <w:fldChar w:fldCharType="separate"/>
      </w:r>
      <w:r>
        <w:t>42</w:t>
      </w:r>
      <w:r>
        <w:fldChar w:fldCharType="end"/>
      </w:r>
    </w:p>
    <w:p>
      <w:pPr>
        <w:pStyle w:val="TOC8"/>
        <w:rPr>
          <w:rFonts w:asciiTheme="minorHAnsi" w:eastAsiaTheme="minorEastAsia" w:hAnsiTheme="minorHAnsi" w:cstheme="minorBidi"/>
          <w:szCs w:val="22"/>
        </w:rPr>
      </w:pPr>
      <w:r>
        <w:t>44.</w:t>
      </w:r>
      <w:r>
        <w:tab/>
        <w:t>Quiet enjoyment</w:t>
      </w:r>
      <w:r>
        <w:tab/>
      </w:r>
      <w:r>
        <w:fldChar w:fldCharType="begin"/>
      </w:r>
      <w:r>
        <w:instrText xml:space="preserve"> PAGEREF _Toc392492714 \h </w:instrText>
      </w:r>
      <w:r>
        <w:fldChar w:fldCharType="separate"/>
      </w:r>
      <w:r>
        <w:t>43</w:t>
      </w:r>
      <w:r>
        <w:fldChar w:fldCharType="end"/>
      </w:r>
    </w:p>
    <w:p>
      <w:pPr>
        <w:pStyle w:val="TOC8"/>
        <w:rPr>
          <w:rFonts w:asciiTheme="minorHAnsi" w:eastAsiaTheme="minorEastAsia" w:hAnsiTheme="minorHAnsi" w:cstheme="minorBidi"/>
          <w:szCs w:val="22"/>
        </w:rPr>
      </w:pPr>
      <w:r>
        <w:t>45.</w:t>
      </w:r>
      <w:r>
        <w:tab/>
        <w:t>Securing premises</w:t>
      </w:r>
      <w:r>
        <w:tab/>
      </w:r>
      <w:r>
        <w:fldChar w:fldCharType="begin"/>
      </w:r>
      <w:r>
        <w:instrText xml:space="preserve"> PAGEREF _Toc392492715 \h </w:instrText>
      </w:r>
      <w:r>
        <w:fldChar w:fldCharType="separate"/>
      </w:r>
      <w:r>
        <w:t>44</w:t>
      </w:r>
      <w:r>
        <w:fldChar w:fldCharType="end"/>
      </w:r>
    </w:p>
    <w:p>
      <w:pPr>
        <w:pStyle w:val="TOC8"/>
        <w:rPr>
          <w:rFonts w:asciiTheme="minorHAnsi" w:eastAsiaTheme="minorEastAsia" w:hAnsiTheme="minorHAnsi" w:cstheme="minorBidi"/>
          <w:szCs w:val="22"/>
        </w:rPr>
      </w:pPr>
      <w:r>
        <w:t>46.</w:t>
      </w:r>
      <w:r>
        <w:tab/>
        <w:t>Lessor’s right of entry</w:t>
      </w:r>
      <w:r>
        <w:tab/>
      </w:r>
      <w:r>
        <w:fldChar w:fldCharType="begin"/>
      </w:r>
      <w:r>
        <w:instrText xml:space="preserve"> PAGEREF _Toc392492716 \h </w:instrText>
      </w:r>
      <w:r>
        <w:fldChar w:fldCharType="separate"/>
      </w:r>
      <w:r>
        <w:t>44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Right of tenant to affix and remove fixtures etc.</w:t>
      </w:r>
      <w:r>
        <w:tab/>
      </w:r>
      <w:r>
        <w:fldChar w:fldCharType="begin"/>
      </w:r>
      <w:r>
        <w:instrText xml:space="preserve"> PAGEREF _Toc392492717 \h </w:instrText>
      </w:r>
      <w:r>
        <w:fldChar w:fldCharType="separate"/>
      </w:r>
      <w:r>
        <w:t>46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Lessor to bear outgoings in respect of premises</w:t>
      </w:r>
      <w:r>
        <w:tab/>
      </w:r>
      <w:r>
        <w:fldChar w:fldCharType="begin"/>
      </w:r>
      <w:r>
        <w:instrText xml:space="preserve"> PAGEREF _Toc392492718 \h </w:instrText>
      </w:r>
      <w:r>
        <w:fldChar w:fldCharType="separate"/>
      </w:r>
      <w:r>
        <w:t>47</w:t>
      </w:r>
      <w:r>
        <w:fldChar w:fldCharType="end"/>
      </w:r>
    </w:p>
    <w:p>
      <w:pPr>
        <w:pStyle w:val="TOC8"/>
        <w:rPr>
          <w:rFonts w:asciiTheme="minorHAnsi" w:eastAsiaTheme="minorEastAsia" w:hAnsiTheme="minorHAnsi" w:cstheme="minorBidi"/>
          <w:szCs w:val="22"/>
        </w:rPr>
      </w:pPr>
      <w:r>
        <w:t>49A.</w:t>
      </w:r>
      <w:r>
        <w:tab/>
        <w:t>Lessor’s and tenant’s responsibilities in respect of public utility services</w:t>
      </w:r>
      <w:r>
        <w:tab/>
      </w:r>
      <w:r>
        <w:fldChar w:fldCharType="begin"/>
      </w:r>
      <w:r>
        <w:instrText xml:space="preserve"> PAGEREF _Toc392492719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_Toc392492720 \h </w:instrText>
      </w:r>
      <w:r>
        <w:fldChar w:fldCharType="separate"/>
      </w:r>
      <w:r>
        <w:t>49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Vicarious responsibility of tenant for breach by other person lawfully on premises</w:t>
      </w:r>
      <w:r>
        <w:tab/>
      </w:r>
      <w:r>
        <w:fldChar w:fldCharType="begin"/>
      </w:r>
      <w:r>
        <w:instrText xml:space="preserve"> PAGEREF _Toc392492721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51.</w:t>
      </w:r>
      <w:r>
        <w:tab/>
        <w:t>Tenant to be notified of lessor’s name and address</w:t>
      </w:r>
      <w:r>
        <w:tab/>
      </w:r>
      <w:r>
        <w:fldChar w:fldCharType="begin"/>
      </w:r>
      <w:r>
        <w:instrText xml:space="preserve"> PAGEREF _Toc392492723 \h </w:instrText>
      </w:r>
      <w:r>
        <w:fldChar w:fldCharType="separate"/>
      </w:r>
      <w:r>
        <w:t>50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Failure to pay rent with intention it be recovered from security bond</w:t>
      </w:r>
      <w:r>
        <w:tab/>
      </w:r>
      <w:r>
        <w:fldChar w:fldCharType="begin"/>
      </w:r>
      <w:r>
        <w:instrText xml:space="preserve"> PAGEREF _Toc392492724 \h </w:instrText>
      </w:r>
      <w:r>
        <w:fldChar w:fldCharType="separate"/>
      </w:r>
      <w:r>
        <w:t>51</w:t>
      </w:r>
      <w:r>
        <w:fldChar w:fldCharType="end"/>
      </w:r>
    </w:p>
    <w:p>
      <w:pPr>
        <w:pStyle w:val="TOC8"/>
        <w:rPr>
          <w:rFonts w:asciiTheme="minorHAnsi" w:eastAsiaTheme="minorEastAsia" w:hAnsiTheme="minorHAnsi" w:cstheme="minorBidi"/>
          <w:szCs w:val="22"/>
        </w:rPr>
      </w:pPr>
      <w:r>
        <w:t>53.</w:t>
      </w:r>
      <w:r>
        <w:tab/>
        <w:t>Tenant’s name, place of employment and forwarding address</w:t>
      </w:r>
      <w:r>
        <w:tab/>
      </w:r>
      <w:r>
        <w:fldChar w:fldCharType="begin"/>
      </w:r>
      <w:r>
        <w:instrText xml:space="preserve"> PAGEREF _Toc392492725 \h </w:instrText>
      </w:r>
      <w:r>
        <w:fldChar w:fldCharType="separate"/>
      </w:r>
      <w:r>
        <w:t>51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Lessor to deliver copy of agreement to tenant</w:t>
      </w:r>
      <w:r>
        <w:tab/>
      </w:r>
      <w:r>
        <w:fldChar w:fldCharType="begin"/>
      </w:r>
      <w:r>
        <w:instrText xml:space="preserve"> PAGEREF _Toc392492726 \h </w:instrText>
      </w:r>
      <w:r>
        <w:fldChar w:fldCharType="separate"/>
      </w:r>
      <w:r>
        <w:t>52</w:t>
      </w:r>
      <w:r>
        <w:fldChar w:fldCharType="end"/>
      </w:r>
    </w:p>
    <w:p>
      <w:pPr>
        <w:pStyle w:val="TOC8"/>
        <w:rPr>
          <w:rFonts w:asciiTheme="minorHAnsi" w:eastAsiaTheme="minorEastAsia" w:hAnsiTheme="minorHAnsi" w:cstheme="minorBidi"/>
          <w:szCs w:val="22"/>
        </w:rPr>
      </w:pPr>
      <w:r>
        <w:t>55.</w:t>
      </w:r>
      <w:r>
        <w:tab/>
        <w:t>Cost of written agreement to be borne by lessor</w:t>
      </w:r>
      <w:r>
        <w:tab/>
      </w:r>
      <w:r>
        <w:fldChar w:fldCharType="begin"/>
      </w:r>
      <w:r>
        <w:instrText xml:space="preserve"> PAGEREF _Toc392492727 \h </w:instrText>
      </w:r>
      <w:r>
        <w:fldChar w:fldCharType="separate"/>
      </w:r>
      <w:r>
        <w:t>53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Discrimination against tenants with children</w:t>
      </w:r>
      <w:r>
        <w:tab/>
      </w:r>
      <w:r>
        <w:fldChar w:fldCharType="begin"/>
      </w:r>
      <w:r>
        <w:instrText xml:space="preserve"> PAGEREF _Toc392492728 \h </w:instrText>
      </w:r>
      <w:r>
        <w:fldChar w:fldCharType="separate"/>
      </w:r>
      <w:r>
        <w:t>53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Accelerated rent and liquidated damages prohibited</w:t>
      </w:r>
      <w:r>
        <w:tab/>
      </w:r>
      <w:r>
        <w:fldChar w:fldCharType="begin"/>
      </w:r>
      <w:r>
        <w:instrText xml:space="preserve"> PAGEREF _Toc392492729 \h </w:instrText>
      </w:r>
      <w:r>
        <w:fldChar w:fldCharType="separate"/>
      </w:r>
      <w:r>
        <w:t>53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mitigation</w:t>
      </w:r>
      <w:r>
        <w:tab/>
      </w:r>
      <w:r>
        <w:fldChar w:fldCharType="begin"/>
      </w:r>
      <w:r>
        <w:instrText xml:space="preserve"> PAGEREF _Toc392492730 \h </w:instrText>
      </w:r>
      <w:r>
        <w:fldChar w:fldCharType="separate"/>
      </w:r>
      <w:r>
        <w:t>54</w:t>
      </w:r>
      <w:r>
        <w:fldChar w:fldCharType="end"/>
      </w:r>
    </w:p>
    <w:p>
      <w:pPr>
        <w:pStyle w:val="TOC8"/>
        <w:rPr>
          <w:rFonts w:asciiTheme="minorHAnsi" w:eastAsiaTheme="minorEastAsia" w:hAnsiTheme="minorHAnsi" w:cstheme="minorBidi"/>
          <w:szCs w:val="22"/>
        </w:rPr>
      </w:pPr>
      <w:r>
        <w:t>59A.</w:t>
      </w:r>
      <w:r>
        <w:tab/>
        <w:t>Minors</w:t>
      </w:r>
      <w:r>
        <w:tab/>
      </w:r>
      <w:r>
        <w:fldChar w:fldCharType="begin"/>
      </w:r>
      <w:r>
        <w:instrText xml:space="preserve"> PAGEREF _Toc392492731 \h </w:instrText>
      </w:r>
      <w:r>
        <w:fldChar w:fldCharType="separate"/>
      </w:r>
      <w:r>
        <w:t>54</w:t>
      </w:r>
      <w:r>
        <w:fldChar w:fldCharType="end"/>
      </w:r>
    </w:p>
    <w:p>
      <w:pPr>
        <w:pStyle w:val="TOC8"/>
        <w:rPr>
          <w:rFonts w:asciiTheme="minorHAnsi" w:eastAsiaTheme="minorEastAsia" w:hAnsiTheme="minorHAnsi" w:cstheme="minorBidi"/>
          <w:szCs w:val="22"/>
        </w:rPr>
      </w:pPr>
      <w:r>
        <w:t>59B.</w:t>
      </w:r>
      <w:r>
        <w:tab/>
        <w:t>Death of one of 2 or more tenants</w:t>
      </w:r>
      <w:r>
        <w:tab/>
      </w:r>
      <w:r>
        <w:fldChar w:fldCharType="begin"/>
      </w:r>
      <w:r>
        <w:instrText xml:space="preserve"> PAGEREF _Toc392492732 \h </w:instrText>
      </w:r>
      <w:r>
        <w:fldChar w:fldCharType="separate"/>
      </w:r>
      <w:r>
        <w:t>55</w:t>
      </w:r>
      <w:r>
        <w:fldChar w:fldCharType="end"/>
      </w:r>
    </w:p>
    <w:p>
      <w:pPr>
        <w:pStyle w:val="TOC8"/>
        <w:rPr>
          <w:rFonts w:asciiTheme="minorHAnsi" w:eastAsiaTheme="minorEastAsia" w:hAnsiTheme="minorHAnsi" w:cstheme="minorBidi"/>
          <w:szCs w:val="22"/>
        </w:rPr>
      </w:pPr>
      <w:r>
        <w:t>59C.</w:t>
      </w:r>
      <w:r>
        <w:tab/>
        <w:t>Recognition of certain persons as tenants</w:t>
      </w:r>
      <w:r>
        <w:tab/>
      </w:r>
      <w:r>
        <w:fldChar w:fldCharType="begin"/>
      </w:r>
      <w:r>
        <w:instrText xml:space="preserve"> PAGEREF _Toc392492733 \h </w:instrText>
      </w:r>
      <w:r>
        <w:fldChar w:fldCharType="separate"/>
      </w:r>
      <w:r>
        <w:t>55</w:t>
      </w:r>
      <w:r>
        <w:fldChar w:fldCharType="end"/>
      </w:r>
    </w:p>
    <w:p>
      <w:pPr>
        <w:pStyle w:val="TOC8"/>
        <w:rPr>
          <w:rFonts w:asciiTheme="minorHAnsi" w:eastAsiaTheme="minorEastAsia" w:hAnsiTheme="minorHAnsi" w:cstheme="minorBidi"/>
          <w:szCs w:val="22"/>
        </w:rPr>
      </w:pPr>
      <w:r>
        <w:t>59D.</w:t>
      </w:r>
      <w:r>
        <w:tab/>
        <w:t>Tenant compensation bonds</w:t>
      </w:r>
      <w:r>
        <w:tab/>
      </w:r>
      <w:r>
        <w:fldChar w:fldCharType="begin"/>
      </w:r>
      <w:r>
        <w:instrText xml:space="preserve"> PAGEREF _Toc392492734 \h </w:instrText>
      </w:r>
      <w:r>
        <w:fldChar w:fldCharType="separate"/>
      </w:r>
      <w:r>
        <w:t>56</w:t>
      </w:r>
      <w:r>
        <w:fldChar w:fldCharType="end"/>
      </w:r>
    </w:p>
    <w:p>
      <w:pPr>
        <w:pStyle w:val="TOC8"/>
        <w:rPr>
          <w:rFonts w:asciiTheme="minorHAnsi" w:eastAsiaTheme="minorEastAsia" w:hAnsiTheme="minorHAnsi" w:cstheme="minorBidi"/>
          <w:szCs w:val="22"/>
        </w:rPr>
      </w:pPr>
      <w:r>
        <w:t>59E.</w:t>
      </w:r>
      <w:r>
        <w:tab/>
      </w:r>
      <w:r>
        <w:rPr>
          <w:snapToGrid w:val="0"/>
        </w:rPr>
        <w:t>Interference with quiet enjoyment</w:t>
      </w:r>
      <w:r>
        <w:tab/>
      </w:r>
      <w:r>
        <w:fldChar w:fldCharType="begin"/>
      </w:r>
      <w:r>
        <w:instrText xml:space="preserve"> PAGEREF _Toc392492735 \h </w:instrText>
      </w:r>
      <w:r>
        <w:fldChar w:fldCharType="separate"/>
      </w:r>
      <w:r>
        <w:t>57</w:t>
      </w:r>
      <w:r>
        <w:fldChar w:fldCharType="end"/>
      </w:r>
    </w:p>
    <w:p>
      <w:pPr>
        <w:pStyle w:val="TOC8"/>
        <w:rPr>
          <w:rFonts w:asciiTheme="minorHAnsi" w:eastAsiaTheme="minorEastAsia" w:hAnsiTheme="minorHAnsi" w:cstheme="minorBidi"/>
          <w:szCs w:val="22"/>
        </w:rPr>
      </w:pPr>
      <w:r>
        <w:t>59F.</w:t>
      </w:r>
      <w:r>
        <w:tab/>
      </w:r>
      <w:r>
        <w:rPr>
          <w:snapToGrid w:val="0"/>
        </w:rPr>
        <w:t>Offences relating to security of residential premises</w:t>
      </w:r>
      <w:r>
        <w:tab/>
      </w:r>
      <w:r>
        <w:fldChar w:fldCharType="begin"/>
      </w:r>
      <w:r>
        <w:instrText xml:space="preserve"> PAGEREF _Toc392492736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V — Termination of residential tenancy agreements</w:t>
      </w:r>
    </w:p>
    <w:p>
      <w:pPr>
        <w:pStyle w:val="TOC4"/>
        <w:tabs>
          <w:tab w:val="right" w:leader="dot" w:pos="7086"/>
        </w:tabs>
        <w:rPr>
          <w:rFonts w:asciiTheme="minorHAnsi" w:eastAsiaTheme="minorEastAsia" w:hAnsiTheme="minorHAnsi" w:cstheme="minorBidi"/>
          <w:b w:val="0"/>
          <w:szCs w:val="22"/>
        </w:rPr>
      </w:pPr>
      <w:r>
        <w:t>Division 1 — How residential tenancy agreements are terminated</w:t>
      </w:r>
    </w:p>
    <w:p>
      <w:pPr>
        <w:pStyle w:val="TOC8"/>
        <w:rPr>
          <w:rFonts w:asciiTheme="minorHAnsi" w:eastAsiaTheme="minorEastAsia" w:hAnsiTheme="minorHAnsi" w:cstheme="minorBidi"/>
          <w:szCs w:val="22"/>
        </w:rPr>
      </w:pPr>
      <w:r>
        <w:t>60</w:t>
      </w:r>
      <w:r>
        <w:rPr>
          <w:snapToGrid w:val="0"/>
        </w:rPr>
        <w:t>.</w:t>
      </w:r>
      <w:r>
        <w:rPr>
          <w:snapToGrid w:val="0"/>
        </w:rPr>
        <w:tab/>
        <w:t>How residential tenancy agreements are terminated</w:t>
      </w:r>
      <w:r>
        <w:tab/>
      </w:r>
      <w:r>
        <w:fldChar w:fldCharType="begin"/>
      </w:r>
      <w:r>
        <w:instrText xml:space="preserve"> PAGEREF _Toc392492739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2 — Notices of termination</w:t>
      </w:r>
    </w:p>
    <w:p>
      <w:pPr>
        <w:pStyle w:val="TOC8"/>
        <w:rPr>
          <w:rFonts w:asciiTheme="minorHAnsi" w:eastAsiaTheme="minorEastAsia" w:hAnsiTheme="minorHAnsi" w:cstheme="minorBidi"/>
          <w:szCs w:val="22"/>
        </w:rPr>
      </w:pPr>
      <w:r>
        <w:t>61.</w:t>
      </w:r>
      <w:r>
        <w:tab/>
        <w:t>Form of notice of termination by lessor</w:t>
      </w:r>
      <w:r>
        <w:tab/>
      </w:r>
      <w:r>
        <w:fldChar w:fldCharType="begin"/>
      </w:r>
      <w:r>
        <w:instrText xml:space="preserve"> PAGEREF _Toc392492741 \h </w:instrText>
      </w:r>
      <w:r>
        <w:fldChar w:fldCharType="separate"/>
      </w:r>
      <w:r>
        <w:t>59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of termination by lessor upon ground of breach of term of agreement</w:t>
      </w:r>
      <w:r>
        <w:tab/>
      </w:r>
      <w:r>
        <w:fldChar w:fldCharType="begin"/>
      </w:r>
      <w:r>
        <w:instrText xml:space="preserve"> PAGEREF _Toc392492742 \h </w:instrText>
      </w:r>
      <w:r>
        <w:fldChar w:fldCharType="separate"/>
      </w:r>
      <w:r>
        <w:t>60</w:t>
      </w:r>
      <w:r>
        <w:fldChar w:fldCharType="end"/>
      </w:r>
    </w:p>
    <w:p>
      <w:pPr>
        <w:pStyle w:val="TOC8"/>
        <w:rPr>
          <w:rFonts w:asciiTheme="minorHAnsi" w:eastAsiaTheme="minorEastAsia" w:hAnsiTheme="minorHAnsi" w:cstheme="minorBidi"/>
          <w:szCs w:val="22"/>
        </w:rPr>
      </w:pPr>
      <w:r>
        <w:t>63.</w:t>
      </w:r>
      <w:r>
        <w:tab/>
        <w:t>Notice of termination by lessor who has entered into contract of sale</w:t>
      </w:r>
      <w:r>
        <w:tab/>
      </w:r>
      <w:r>
        <w:fldChar w:fldCharType="begin"/>
      </w:r>
      <w:r>
        <w:instrText xml:space="preserve"> PAGEREF _Toc392492743 \h </w:instrText>
      </w:r>
      <w:r>
        <w:fldChar w:fldCharType="separate"/>
      </w:r>
      <w:r>
        <w:t>61</w:t>
      </w:r>
      <w:r>
        <w:fldChar w:fldCharType="end"/>
      </w:r>
    </w:p>
    <w:p>
      <w:pPr>
        <w:pStyle w:val="TOC8"/>
        <w:rPr>
          <w:rFonts w:asciiTheme="minorHAnsi" w:eastAsiaTheme="minorEastAsia" w:hAnsiTheme="minorHAnsi" w:cstheme="minorBidi"/>
          <w:szCs w:val="22"/>
        </w:rPr>
      </w:pPr>
      <w:r>
        <w:t>64.</w:t>
      </w:r>
      <w:r>
        <w:tab/>
        <w:t>Notice of termination by lessor without any ground</w:t>
      </w:r>
      <w:r>
        <w:tab/>
      </w:r>
      <w:r>
        <w:fldChar w:fldCharType="begin"/>
      </w:r>
      <w:r>
        <w:instrText xml:space="preserve"> PAGEREF _Toc392492744 \h </w:instrText>
      </w:r>
      <w:r>
        <w:fldChar w:fldCharType="separate"/>
      </w:r>
      <w:r>
        <w:t>62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Termination by lessor where s. 32 invoked</w:t>
      </w:r>
      <w:r>
        <w:tab/>
      </w:r>
      <w:r>
        <w:fldChar w:fldCharType="begin"/>
      </w:r>
      <w:r>
        <w:instrText xml:space="preserve"> PAGEREF _Toc392492745 \h </w:instrText>
      </w:r>
      <w:r>
        <w:fldChar w:fldCharType="separate"/>
      </w:r>
      <w:r>
        <w:t>63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Notice by lessor not waived by acceptance of rent</w:t>
      </w:r>
      <w:r>
        <w:tab/>
      </w:r>
      <w:r>
        <w:fldChar w:fldCharType="begin"/>
      </w:r>
      <w:r>
        <w:instrText xml:space="preserve"> PAGEREF _Toc392492746 \h </w:instrText>
      </w:r>
      <w:r>
        <w:fldChar w:fldCharType="separate"/>
      </w:r>
      <w:r>
        <w:t>64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Form of notice of termination by tenant</w:t>
      </w:r>
      <w:r>
        <w:tab/>
      </w:r>
      <w:r>
        <w:fldChar w:fldCharType="begin"/>
      </w:r>
      <w:r>
        <w:instrText xml:space="preserve"> PAGEREF _Toc392492747 \h </w:instrText>
      </w:r>
      <w:r>
        <w:fldChar w:fldCharType="separate"/>
      </w:r>
      <w:r>
        <w:t>64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Notice of termination by tenant</w:t>
      </w:r>
      <w:r>
        <w:tab/>
      </w:r>
      <w:r>
        <w:fldChar w:fldCharType="begin"/>
      </w:r>
      <w:r>
        <w:instrText xml:space="preserve"> PAGEREF _Toc392492748 \h </w:instrText>
      </w:r>
      <w:r>
        <w:fldChar w:fldCharType="separate"/>
      </w:r>
      <w:r>
        <w:t>64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Notice of termination by lessor or tenant where agreement frustrated</w:t>
      </w:r>
      <w:r>
        <w:tab/>
      </w:r>
      <w:r>
        <w:fldChar w:fldCharType="begin"/>
      </w:r>
      <w:r>
        <w:instrText xml:space="preserve"> PAGEREF _Toc392492749 \h </w:instrText>
      </w:r>
      <w:r>
        <w:fldChar w:fldCharType="separate"/>
      </w:r>
      <w:r>
        <w:t>65</w:t>
      </w:r>
      <w:r>
        <w:fldChar w:fldCharType="end"/>
      </w:r>
    </w:p>
    <w:p>
      <w:pPr>
        <w:pStyle w:val="TOC8"/>
        <w:rPr>
          <w:rFonts w:asciiTheme="minorHAnsi" w:eastAsiaTheme="minorEastAsia" w:hAnsiTheme="minorHAnsi" w:cstheme="minorBidi"/>
          <w:szCs w:val="22"/>
        </w:rPr>
      </w:pPr>
      <w:r>
        <w:t>70A.</w:t>
      </w:r>
      <w:r>
        <w:tab/>
        <w:t>Notice of termination by lessor or tenant at end of fixed term tenancy</w:t>
      </w:r>
      <w:r>
        <w:tab/>
      </w:r>
      <w:r>
        <w:fldChar w:fldCharType="begin"/>
      </w:r>
      <w:r>
        <w:instrText xml:space="preserve"> PAGEREF _Toc392492750 \h </w:instrText>
      </w:r>
      <w:r>
        <w:fldChar w:fldCharType="separate"/>
      </w:r>
      <w:r>
        <w:t>65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Effect of notice of termination of periodic tenancy</w:t>
      </w:r>
      <w:r>
        <w:tab/>
      </w:r>
      <w:r>
        <w:fldChar w:fldCharType="begin"/>
      </w:r>
      <w:r>
        <w:instrText xml:space="preserve"> PAGEREF _Toc392492751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3 — Special provisions about terminating social housing tenancy agreements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71A.</w:t>
      </w:r>
      <w:r>
        <w:tab/>
        <w:t>Terms used</w:t>
      </w:r>
      <w:r>
        <w:tab/>
      </w:r>
      <w:r>
        <w:fldChar w:fldCharType="begin"/>
      </w:r>
      <w:r>
        <w:instrText xml:space="preserve"> PAGEREF _Toc392492754 \h </w:instrText>
      </w:r>
      <w:r>
        <w:fldChar w:fldCharType="separate"/>
      </w:r>
      <w:r>
        <w:t>67</w:t>
      </w:r>
      <w:r>
        <w:fldChar w:fldCharType="end"/>
      </w:r>
    </w:p>
    <w:p>
      <w:pPr>
        <w:pStyle w:val="TOC8"/>
        <w:rPr>
          <w:rFonts w:asciiTheme="minorHAnsi" w:eastAsiaTheme="minorEastAsia" w:hAnsiTheme="minorHAnsi" w:cstheme="minorBidi"/>
          <w:szCs w:val="22"/>
        </w:rPr>
      </w:pPr>
      <w:r>
        <w:t>71B.</w:t>
      </w:r>
      <w:r>
        <w:tab/>
        <w:t>Application of Division</w:t>
      </w:r>
      <w:r>
        <w:tab/>
      </w:r>
      <w:r>
        <w:fldChar w:fldCharType="begin"/>
      </w:r>
      <w:r>
        <w:instrText xml:space="preserve"> PAGEREF _Toc392492755 \h </w:instrText>
      </w:r>
      <w:r>
        <w:fldChar w:fldCharType="separate"/>
      </w:r>
      <w:r>
        <w:t>68</w:t>
      </w:r>
      <w:r>
        <w:fldChar w:fldCharType="end"/>
      </w:r>
    </w:p>
    <w:p>
      <w:pPr>
        <w:pStyle w:val="TOC6"/>
        <w:tabs>
          <w:tab w:val="right" w:leader="dot" w:pos="7086"/>
        </w:tabs>
        <w:rPr>
          <w:rFonts w:asciiTheme="minorHAnsi" w:eastAsiaTheme="minorEastAsia" w:hAnsiTheme="minorHAnsi" w:cstheme="minorBidi"/>
          <w:b w:val="0"/>
          <w:sz w:val="22"/>
          <w:szCs w:val="22"/>
        </w:rPr>
      </w:pPr>
      <w:r>
        <w:t>Subdivision 2 — Notice of termination where tenant not eligible for social housing premises</w:t>
      </w:r>
    </w:p>
    <w:p>
      <w:pPr>
        <w:pStyle w:val="TOC8"/>
        <w:rPr>
          <w:rFonts w:asciiTheme="minorHAnsi" w:eastAsiaTheme="minorEastAsia" w:hAnsiTheme="minorHAnsi" w:cstheme="minorBidi"/>
          <w:szCs w:val="22"/>
        </w:rPr>
      </w:pPr>
      <w:r>
        <w:t>71C.</w:t>
      </w:r>
      <w:r>
        <w:tab/>
      </w:r>
      <w:r>
        <w:rPr>
          <w:snapToGrid w:val="0"/>
        </w:rPr>
        <w:t xml:space="preserve">Notice of termination by lessor on ground that tenant not eligible for </w:t>
      </w:r>
      <w:r>
        <w:t>social</w:t>
      </w:r>
      <w:r>
        <w:rPr>
          <w:snapToGrid w:val="0"/>
        </w:rPr>
        <w:t xml:space="preserve"> housing premises</w:t>
      </w:r>
      <w:r>
        <w:tab/>
      </w:r>
      <w:r>
        <w:fldChar w:fldCharType="begin"/>
      </w:r>
      <w:r>
        <w:instrText xml:space="preserve"> PAGEREF _Toc392492757 \h </w:instrText>
      </w:r>
      <w:r>
        <w:fldChar w:fldCharType="separate"/>
      </w:r>
      <w:r>
        <w:t>68</w:t>
      </w:r>
      <w:r>
        <w:fldChar w:fldCharType="end"/>
      </w:r>
    </w:p>
    <w:p>
      <w:pPr>
        <w:pStyle w:val="TOC8"/>
        <w:rPr>
          <w:rFonts w:asciiTheme="minorHAnsi" w:eastAsiaTheme="minorEastAsia" w:hAnsiTheme="minorHAnsi" w:cstheme="minorBidi"/>
          <w:szCs w:val="22"/>
        </w:rPr>
      </w:pPr>
      <w:r>
        <w:t>71D.</w:t>
      </w:r>
      <w:r>
        <w:tab/>
        <w:t>Assessment of tenants eligibility for social housing premises</w:t>
      </w:r>
      <w:r>
        <w:tab/>
      </w:r>
      <w:r>
        <w:fldChar w:fldCharType="begin"/>
      </w:r>
      <w:r>
        <w:instrText xml:space="preserve"> PAGEREF _Toc392492758 \h </w:instrText>
      </w:r>
      <w:r>
        <w:fldChar w:fldCharType="separate"/>
      </w:r>
      <w:r>
        <w:t>68</w:t>
      </w:r>
      <w:r>
        <w:fldChar w:fldCharType="end"/>
      </w:r>
    </w:p>
    <w:p>
      <w:pPr>
        <w:pStyle w:val="TOC8"/>
        <w:rPr>
          <w:rFonts w:asciiTheme="minorHAnsi" w:eastAsiaTheme="minorEastAsia" w:hAnsiTheme="minorHAnsi" w:cstheme="minorBidi"/>
          <w:szCs w:val="22"/>
        </w:rPr>
      </w:pPr>
      <w:r>
        <w:t>71E.</w:t>
      </w:r>
      <w:r>
        <w:tab/>
        <w:t>Criteria for assessing eligibility of tenants for social housing premises under s. 71D</w:t>
      </w:r>
      <w:r>
        <w:tab/>
      </w:r>
      <w:r>
        <w:fldChar w:fldCharType="begin"/>
      </w:r>
      <w:r>
        <w:instrText xml:space="preserve"> PAGEREF _Toc392492759 \h </w:instrText>
      </w:r>
      <w:r>
        <w:fldChar w:fldCharType="separate"/>
      </w:r>
      <w:r>
        <w:t>69</w:t>
      </w:r>
      <w:r>
        <w:fldChar w:fldCharType="end"/>
      </w:r>
    </w:p>
    <w:p>
      <w:pPr>
        <w:pStyle w:val="TOC8"/>
        <w:rPr>
          <w:rFonts w:asciiTheme="minorHAnsi" w:eastAsiaTheme="minorEastAsia" w:hAnsiTheme="minorHAnsi" w:cstheme="minorBidi"/>
          <w:szCs w:val="22"/>
        </w:rPr>
      </w:pPr>
      <w:r>
        <w:t>71F.</w:t>
      </w:r>
      <w:r>
        <w:tab/>
        <w:t>Review of decision to give notice on ground that tenant not eligible for social housing premises</w:t>
      </w:r>
      <w:r>
        <w:tab/>
      </w:r>
      <w:r>
        <w:fldChar w:fldCharType="begin"/>
      </w:r>
      <w:r>
        <w:instrText xml:space="preserve"> PAGEREF _Toc392492760 \h </w:instrText>
      </w:r>
      <w:r>
        <w:fldChar w:fldCharType="separate"/>
      </w:r>
      <w:r>
        <w:t>70</w:t>
      </w:r>
      <w:r>
        <w:fldChar w:fldCharType="end"/>
      </w:r>
    </w:p>
    <w:p>
      <w:pPr>
        <w:pStyle w:val="TOC8"/>
        <w:rPr>
          <w:rFonts w:asciiTheme="minorHAnsi" w:eastAsiaTheme="minorEastAsia" w:hAnsiTheme="minorHAnsi" w:cstheme="minorBidi"/>
          <w:szCs w:val="22"/>
        </w:rPr>
      </w:pPr>
      <w:r>
        <w:t>71G.</w:t>
      </w:r>
      <w:r>
        <w:tab/>
        <w:t xml:space="preserve">Time </w:t>
      </w:r>
      <w:r>
        <w:rPr>
          <w:snapToGrid w:val="0"/>
        </w:rPr>
        <w:t>periods to be observed where notice of termination given under this Subdivision</w:t>
      </w:r>
      <w:r>
        <w:tab/>
      </w:r>
      <w:r>
        <w:fldChar w:fldCharType="begin"/>
      </w:r>
      <w:r>
        <w:instrText xml:space="preserve"> PAGEREF _Toc392492761 \h </w:instrText>
      </w:r>
      <w:r>
        <w:fldChar w:fldCharType="separate"/>
      </w:r>
      <w:r>
        <w:t>71</w:t>
      </w:r>
      <w:r>
        <w:fldChar w:fldCharType="end"/>
      </w:r>
    </w:p>
    <w:p>
      <w:pPr>
        <w:pStyle w:val="TOC6"/>
        <w:tabs>
          <w:tab w:val="right" w:leader="dot" w:pos="7086"/>
        </w:tabs>
        <w:rPr>
          <w:rFonts w:asciiTheme="minorHAnsi" w:eastAsiaTheme="minorEastAsia" w:hAnsiTheme="minorHAnsi" w:cstheme="minorBidi"/>
          <w:b w:val="0"/>
          <w:sz w:val="22"/>
          <w:szCs w:val="22"/>
        </w:rPr>
      </w:pPr>
      <w:r>
        <w:t>Subdivision 3 — Notice of termination where tenant offered alternative social housing premises</w:t>
      </w:r>
    </w:p>
    <w:p>
      <w:pPr>
        <w:pStyle w:val="TOC8"/>
        <w:rPr>
          <w:rFonts w:asciiTheme="minorHAnsi" w:eastAsiaTheme="minorEastAsia" w:hAnsiTheme="minorHAnsi" w:cstheme="minorBidi"/>
          <w:szCs w:val="22"/>
        </w:rPr>
      </w:pPr>
      <w:r>
        <w:t>71H.</w:t>
      </w:r>
      <w:r>
        <w:tab/>
        <w:t>Notice of termination by lessor where</w:t>
      </w:r>
      <w:r>
        <w:rPr>
          <w:snapToGrid w:val="0"/>
        </w:rPr>
        <w:t xml:space="preserve"> tenant offered alternative </w:t>
      </w:r>
      <w:r>
        <w:t>social</w:t>
      </w:r>
      <w:r>
        <w:rPr>
          <w:snapToGrid w:val="0"/>
        </w:rPr>
        <w:t xml:space="preserve"> housing premises</w:t>
      </w:r>
      <w:r>
        <w:tab/>
      </w:r>
      <w:r>
        <w:fldChar w:fldCharType="begin"/>
      </w:r>
      <w:r>
        <w:instrText xml:space="preserve"> PAGEREF _Toc392492763 \h </w:instrText>
      </w:r>
      <w:r>
        <w:fldChar w:fldCharType="separate"/>
      </w:r>
      <w:r>
        <w:t>71</w:t>
      </w:r>
      <w:r>
        <w:fldChar w:fldCharType="end"/>
      </w:r>
    </w:p>
    <w:p>
      <w:pPr>
        <w:pStyle w:val="TOC8"/>
        <w:rPr>
          <w:rFonts w:asciiTheme="minorHAnsi" w:eastAsiaTheme="minorEastAsia" w:hAnsiTheme="minorHAnsi" w:cstheme="minorBidi"/>
          <w:szCs w:val="22"/>
        </w:rPr>
      </w:pPr>
      <w:r>
        <w:t>71I.</w:t>
      </w:r>
      <w:r>
        <w:tab/>
        <w:t>Review of decision to give notice on ground that tenant offered alternative social housing premises</w:t>
      </w:r>
      <w:r>
        <w:tab/>
      </w:r>
      <w:r>
        <w:fldChar w:fldCharType="begin"/>
      </w:r>
      <w:r>
        <w:instrText xml:space="preserve"> PAGEREF _Toc392492764 \h </w:instrText>
      </w:r>
      <w:r>
        <w:fldChar w:fldCharType="separate"/>
      </w:r>
      <w:r>
        <w:t>72</w:t>
      </w:r>
      <w:r>
        <w:fldChar w:fldCharType="end"/>
      </w:r>
    </w:p>
    <w:p>
      <w:pPr>
        <w:pStyle w:val="TOC8"/>
        <w:rPr>
          <w:rFonts w:asciiTheme="minorHAnsi" w:eastAsiaTheme="minorEastAsia" w:hAnsiTheme="minorHAnsi" w:cstheme="minorBidi"/>
          <w:szCs w:val="22"/>
        </w:rPr>
      </w:pPr>
      <w:r>
        <w:t>71J.</w:t>
      </w:r>
      <w:r>
        <w:tab/>
        <w:t xml:space="preserve">Time periods to be observed </w:t>
      </w:r>
      <w:r>
        <w:rPr>
          <w:snapToGrid w:val="0"/>
        </w:rPr>
        <w:t xml:space="preserve">where notice of termination given </w:t>
      </w:r>
      <w:r>
        <w:t>under this Subdivision</w:t>
      </w:r>
      <w:r>
        <w:tab/>
      </w:r>
      <w:r>
        <w:fldChar w:fldCharType="begin"/>
      </w:r>
      <w:r>
        <w:instrText xml:space="preserve"> PAGEREF _Toc392492765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4 — Orders for termination of residential tenancy agreement</w:t>
      </w:r>
    </w:p>
    <w:p>
      <w:pPr>
        <w:pStyle w:val="TOC8"/>
        <w:rPr>
          <w:rFonts w:asciiTheme="minorHAnsi" w:eastAsiaTheme="minorEastAsia" w:hAnsiTheme="minorHAnsi" w:cstheme="minorBidi"/>
          <w:szCs w:val="22"/>
        </w:rPr>
      </w:pPr>
      <w:r>
        <w:t>71</w:t>
      </w:r>
      <w:r>
        <w:rPr>
          <w:snapToGrid w:val="0"/>
        </w:rPr>
        <w:t>.</w:t>
      </w:r>
      <w:r>
        <w:rPr>
          <w:snapToGrid w:val="0"/>
        </w:rPr>
        <w:tab/>
        <w:t>Application by lessor for termination and order for possession</w:t>
      </w:r>
      <w:r>
        <w:tab/>
      </w:r>
      <w:r>
        <w:fldChar w:fldCharType="begin"/>
      </w:r>
      <w:r>
        <w:instrText xml:space="preserve"> PAGEREF _Toc392492767 \h </w:instrText>
      </w:r>
      <w:r>
        <w:fldChar w:fldCharType="separate"/>
      </w:r>
      <w:r>
        <w:t>74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_Toc392492768 \h </w:instrText>
      </w:r>
      <w:r>
        <w:fldChar w:fldCharType="separate"/>
      </w:r>
      <w:r>
        <w:t>78</w:t>
      </w:r>
      <w:r>
        <w:fldChar w:fldCharType="end"/>
      </w:r>
    </w:p>
    <w:p>
      <w:pPr>
        <w:pStyle w:val="TOC8"/>
        <w:rPr>
          <w:rFonts w:asciiTheme="minorHAnsi" w:eastAsiaTheme="minorEastAsia" w:hAnsiTheme="minorHAnsi" w:cstheme="minorBidi"/>
          <w:szCs w:val="22"/>
        </w:rPr>
      </w:pPr>
      <w:r>
        <w:t>73A.</w:t>
      </w:r>
      <w:r>
        <w:tab/>
        <w:t>Notice of termination not required in certain cases</w:t>
      </w:r>
      <w:r>
        <w:tab/>
      </w:r>
      <w:r>
        <w:fldChar w:fldCharType="begin"/>
      </w:r>
      <w:r>
        <w:instrText xml:space="preserve"> PAGEREF _Toc392492769 \h </w:instrText>
      </w:r>
      <w:r>
        <w:fldChar w:fldCharType="separate"/>
      </w:r>
      <w:r>
        <w:t>79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Termination of agreement where tenant causing serious damage or injury</w:t>
      </w:r>
      <w:r>
        <w:tab/>
      </w:r>
      <w:r>
        <w:fldChar w:fldCharType="begin"/>
      </w:r>
      <w:r>
        <w:instrText xml:space="preserve"> PAGEREF _Toc392492770 \h </w:instrText>
      </w:r>
      <w:r>
        <w:fldChar w:fldCharType="separate"/>
      </w:r>
      <w:r>
        <w:t>79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Termination of agreement where lessor or tenant would otherwise suffer undue hardship</w:t>
      </w:r>
      <w:r>
        <w:tab/>
      </w:r>
      <w:r>
        <w:fldChar w:fldCharType="begin"/>
      </w:r>
      <w:r>
        <w:instrText xml:space="preserve"> PAGEREF _Toc392492771 \h </w:instrText>
      </w:r>
      <w:r>
        <w:fldChar w:fldCharType="separate"/>
      </w:r>
      <w:r>
        <w:t>80</w:t>
      </w:r>
      <w:r>
        <w:fldChar w:fldCharType="end"/>
      </w:r>
    </w:p>
    <w:p>
      <w:pPr>
        <w:pStyle w:val="TOC8"/>
        <w:rPr>
          <w:rFonts w:asciiTheme="minorHAnsi" w:eastAsiaTheme="minorEastAsia" w:hAnsiTheme="minorHAnsi" w:cstheme="minorBidi"/>
          <w:szCs w:val="22"/>
        </w:rPr>
      </w:pPr>
      <w:r>
        <w:t>75A.</w:t>
      </w:r>
      <w:r>
        <w:tab/>
        <w:t>Termination of social housing tenancy agreement due to objectionable behaviour</w:t>
      </w:r>
      <w:r>
        <w:tab/>
      </w:r>
      <w:r>
        <w:fldChar w:fldCharType="begin"/>
      </w:r>
      <w:r>
        <w:instrText xml:space="preserve"> PAGEREF _Toc392492772 \h </w:instrText>
      </w:r>
      <w:r>
        <w:fldChar w:fldCharType="separate"/>
      </w:r>
      <w:r>
        <w:t>80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Termination of agreement for breach by lessor</w:t>
      </w:r>
      <w:r>
        <w:tab/>
      </w:r>
      <w:r>
        <w:fldChar w:fldCharType="begin"/>
      </w:r>
      <w:r>
        <w:instrText xml:space="preserve"> PAGEREF _Toc392492773 \h </w:instrText>
      </w:r>
      <w:r>
        <w:fldChar w:fldCharType="separate"/>
      </w:r>
      <w:r>
        <w:t>81</w:t>
      </w:r>
      <w:r>
        <w:fldChar w:fldCharType="end"/>
      </w:r>
    </w:p>
    <w:p>
      <w:pPr>
        <w:pStyle w:val="TOC8"/>
        <w:rPr>
          <w:rFonts w:asciiTheme="minorHAnsi" w:eastAsiaTheme="minorEastAsia" w:hAnsiTheme="minorHAnsi" w:cstheme="minorBidi"/>
          <w:szCs w:val="22"/>
        </w:rPr>
      </w:pPr>
      <w:r>
        <w:t>76A.</w:t>
      </w:r>
      <w:r>
        <w:tab/>
        <w:t>Termination of agreement by lessor if premises abandoned</w:t>
      </w:r>
      <w:r>
        <w:tab/>
      </w:r>
      <w:r>
        <w:fldChar w:fldCharType="begin"/>
      </w:r>
      <w:r>
        <w:instrText xml:space="preserve"> PAGEREF _Toc392492774 \h </w:instrText>
      </w:r>
      <w:r>
        <w:fldChar w:fldCharType="separate"/>
      </w:r>
      <w:r>
        <w:t>82</w:t>
      </w:r>
      <w:r>
        <w:fldChar w:fldCharType="end"/>
      </w:r>
    </w:p>
    <w:p>
      <w:pPr>
        <w:pStyle w:val="TOC8"/>
        <w:rPr>
          <w:rFonts w:asciiTheme="minorHAnsi" w:eastAsiaTheme="minorEastAsia" w:hAnsiTheme="minorHAnsi" w:cstheme="minorBidi"/>
          <w:szCs w:val="22"/>
        </w:rPr>
      </w:pPr>
      <w:r>
        <w:t>76B.</w:t>
      </w:r>
      <w:r>
        <w:tab/>
        <w:t>Dispute about s. 76A notice</w:t>
      </w:r>
      <w:r>
        <w:tab/>
      </w:r>
      <w:r>
        <w:fldChar w:fldCharType="begin"/>
      </w:r>
      <w:r>
        <w:instrText xml:space="preserve"> PAGEREF _Toc392492775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76C.</w:t>
      </w:r>
      <w:r>
        <w:tab/>
        <w:t>Fixed term tenancies continued as periodic tenancies</w:t>
      </w:r>
      <w:r>
        <w:tab/>
      </w:r>
      <w:r>
        <w:fldChar w:fldCharType="begin"/>
      </w:r>
      <w:r>
        <w:instrText xml:space="preserve"> PAGEREF _Toc392492777 \h </w:instrText>
      </w:r>
      <w:r>
        <w:fldChar w:fldCharType="separate"/>
      </w:r>
      <w:r>
        <w:t>83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Compensation to lessor for holding over</w:t>
      </w:r>
      <w:r>
        <w:tab/>
      </w:r>
      <w:r>
        <w:fldChar w:fldCharType="begin"/>
      </w:r>
      <w:r>
        <w:instrText xml:space="preserve"> PAGEREF _Toc392492778 \h </w:instrText>
      </w:r>
      <w:r>
        <w:fldChar w:fldCharType="separate"/>
      </w:r>
      <w:r>
        <w:t>83</w:t>
      </w:r>
      <w:r>
        <w:fldChar w:fldCharType="end"/>
      </w:r>
    </w:p>
    <w:p>
      <w:pPr>
        <w:pStyle w:val="TOC8"/>
        <w:rPr>
          <w:rFonts w:asciiTheme="minorHAnsi" w:eastAsiaTheme="minorEastAsia" w:hAnsiTheme="minorHAnsi" w:cstheme="minorBidi"/>
          <w:szCs w:val="22"/>
        </w:rPr>
      </w:pPr>
      <w:r>
        <w:t>77.</w:t>
      </w:r>
      <w:r>
        <w:tab/>
        <w:t>Abandonment of premises</w:t>
      </w:r>
      <w:r>
        <w:tab/>
      </w:r>
      <w:r>
        <w:fldChar w:fldCharType="begin"/>
      </w:r>
      <w:r>
        <w:instrText xml:space="preserve"> PAGEREF _Toc392492779 \h </w:instrText>
      </w:r>
      <w:r>
        <w:fldChar w:fldCharType="separate"/>
      </w:r>
      <w:r>
        <w:t>84</w:t>
      </w:r>
      <w:r>
        <w:fldChar w:fldCharType="end"/>
      </w:r>
    </w:p>
    <w:p>
      <w:pPr>
        <w:pStyle w:val="TOC8"/>
        <w:rPr>
          <w:rFonts w:asciiTheme="minorHAnsi" w:eastAsiaTheme="minorEastAsia" w:hAnsiTheme="minorHAnsi" w:cstheme="minorBidi"/>
          <w:szCs w:val="22"/>
        </w:rPr>
      </w:pPr>
      <w:r>
        <w:t>78A.</w:t>
      </w:r>
      <w:r>
        <w:tab/>
        <w:t>Order about abandonment</w:t>
      </w:r>
      <w:r>
        <w:tab/>
      </w:r>
      <w:r>
        <w:fldChar w:fldCharType="begin"/>
      </w:r>
      <w:r>
        <w:instrText xml:space="preserve"> PAGEREF _Toc392492780 \h </w:instrText>
      </w:r>
      <w:r>
        <w:fldChar w:fldCharType="separate"/>
      </w:r>
      <w:r>
        <w:t>85</w:t>
      </w:r>
      <w:r>
        <w:fldChar w:fldCharType="end"/>
      </w:r>
    </w:p>
    <w:p>
      <w:pPr>
        <w:pStyle w:val="TOC8"/>
        <w:rPr>
          <w:rFonts w:asciiTheme="minorHAnsi" w:eastAsiaTheme="minorEastAsia" w:hAnsiTheme="minorHAnsi" w:cstheme="minorBidi"/>
          <w:szCs w:val="22"/>
        </w:rPr>
      </w:pPr>
      <w:r>
        <w:t>78B.</w:t>
      </w:r>
      <w:r>
        <w:tab/>
        <w:t>Review of abandonment order</w:t>
      </w:r>
      <w:r>
        <w:tab/>
      </w:r>
      <w:r>
        <w:fldChar w:fldCharType="begin"/>
      </w:r>
      <w:r>
        <w:instrText xml:space="preserve"> PAGEREF _Toc392492781 \h </w:instrText>
      </w:r>
      <w:r>
        <w:fldChar w:fldCharType="separate"/>
      </w:r>
      <w:r>
        <w:t>85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r>
      <w:r>
        <w:rPr>
          <w:bCs/>
        </w:rPr>
        <w:t>Right of lessor to compensation where tenant abandons premises</w:t>
      </w:r>
      <w:r>
        <w:tab/>
      </w:r>
      <w:r>
        <w:fldChar w:fldCharType="begin"/>
      </w:r>
      <w:r>
        <w:instrText xml:space="preserve"> PAGEREF _Toc392492782 \h </w:instrText>
      </w:r>
      <w:r>
        <w:fldChar w:fldCharType="separate"/>
      </w:r>
      <w:r>
        <w:t>86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Abandoned goods</w:t>
      </w:r>
      <w:r>
        <w:tab/>
      </w:r>
      <w:r>
        <w:fldChar w:fldCharType="begin"/>
      </w:r>
      <w:r>
        <w:instrText xml:space="preserve"> PAGEREF _Toc392492783 \h </w:instrText>
      </w:r>
      <w:r>
        <w:fldChar w:fldCharType="separate"/>
      </w:r>
      <w:r>
        <w:t>86</w:t>
      </w:r>
      <w:r>
        <w:fldChar w:fldCharType="end"/>
      </w:r>
    </w:p>
    <w:p>
      <w:pPr>
        <w:pStyle w:val="TOC8"/>
        <w:rPr>
          <w:rFonts w:asciiTheme="minorHAnsi" w:eastAsiaTheme="minorEastAsia" w:hAnsiTheme="minorHAnsi" w:cstheme="minorBidi"/>
          <w:szCs w:val="22"/>
        </w:rPr>
      </w:pPr>
      <w:r>
        <w:t>80A.</w:t>
      </w:r>
      <w:r>
        <w:tab/>
        <w:t>Abandoned documents</w:t>
      </w:r>
      <w:r>
        <w:tab/>
      </w:r>
      <w:r>
        <w:fldChar w:fldCharType="begin"/>
      </w:r>
      <w:r>
        <w:instrText xml:space="preserve"> PAGEREF _Toc392492784 \h </w:instrText>
      </w:r>
      <w:r>
        <w:fldChar w:fldCharType="separate"/>
      </w:r>
      <w:r>
        <w:t>89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Recovery of possession of premises prohibited except by court order</w:t>
      </w:r>
      <w:r>
        <w:tab/>
      </w:r>
      <w:r>
        <w:fldChar w:fldCharType="begin"/>
      </w:r>
      <w:r>
        <w:instrText xml:space="preserve"> PAGEREF _Toc392492785 \h </w:instrText>
      </w:r>
      <w:r>
        <w:fldChar w:fldCharType="separate"/>
      </w:r>
      <w:r>
        <w:t>91</w:t>
      </w:r>
      <w:r>
        <w:fldChar w:fldCharType="end"/>
      </w:r>
    </w:p>
    <w:p>
      <w:pPr>
        <w:pStyle w:val="TOC8"/>
        <w:rPr>
          <w:rFonts w:asciiTheme="minorHAnsi" w:eastAsiaTheme="minorEastAsia" w:hAnsiTheme="minorHAnsi" w:cstheme="minorBidi"/>
          <w:szCs w:val="22"/>
        </w:rPr>
      </w:pPr>
      <w:r>
        <w:t>81A.</w:t>
      </w:r>
      <w:r>
        <w:tab/>
        <w:t>Mortgagee repossessions of rented properties</w:t>
      </w:r>
      <w:r>
        <w:tab/>
      </w:r>
      <w:r>
        <w:fldChar w:fldCharType="begin"/>
      </w:r>
      <w:r>
        <w:instrText xml:space="preserve"> PAGEREF _Toc392492786 \h </w:instrText>
      </w:r>
      <w:r>
        <w:fldChar w:fldCharType="separate"/>
      </w:r>
      <w:r>
        <w:t>91</w:t>
      </w:r>
      <w:r>
        <w:fldChar w:fldCharType="end"/>
      </w:r>
    </w:p>
    <w:p>
      <w:pPr>
        <w:pStyle w:val="TOC8"/>
        <w:rPr>
          <w:rFonts w:asciiTheme="minorHAnsi" w:eastAsiaTheme="minorEastAsia" w:hAnsiTheme="minorHAnsi" w:cstheme="minorBidi"/>
          <w:szCs w:val="22"/>
        </w:rPr>
      </w:pPr>
      <w:r>
        <w:t>81B.</w:t>
      </w:r>
      <w:r>
        <w:tab/>
        <w:t>Notice of proposed recovery of premises by person with superior title</w:t>
      </w:r>
      <w:r>
        <w:tab/>
      </w:r>
      <w:r>
        <w:fldChar w:fldCharType="begin"/>
      </w:r>
      <w:r>
        <w:instrText xml:space="preserve"> PAGEREF _Toc392492787 \h </w:instrText>
      </w:r>
      <w:r>
        <w:fldChar w:fldCharType="separate"/>
      </w:r>
      <w:r>
        <w:t>93</w:t>
      </w:r>
      <w:r>
        <w:fldChar w:fldCharType="end"/>
      </w:r>
    </w:p>
    <w:p>
      <w:pPr>
        <w:pStyle w:val="TOC8"/>
        <w:rPr>
          <w:rFonts w:asciiTheme="minorHAnsi" w:eastAsiaTheme="minorEastAsia" w:hAnsiTheme="minorHAnsi" w:cstheme="minorBidi"/>
          <w:szCs w:val="22"/>
        </w:rPr>
      </w:pPr>
      <w:r>
        <w:t>81.</w:t>
      </w:r>
      <w:r>
        <w:tab/>
        <w:t>Order for tenancy against person with superior title</w:t>
      </w:r>
      <w:r>
        <w:tab/>
      </w:r>
      <w:r>
        <w:fldChar w:fldCharType="begin"/>
      </w:r>
      <w:r>
        <w:instrText xml:space="preserve"> PAGEREF _Toc392492788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rPr>
      </w:pPr>
      <w:r>
        <w:t>Part VIA — Residential tenancy databases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rPr>
          <w:spacing w:val="-6"/>
        </w:rPr>
        <w:t>82A</w:t>
      </w:r>
      <w:r>
        <w:t>.</w:t>
      </w:r>
      <w:r>
        <w:tab/>
        <w:t>Terms used</w:t>
      </w:r>
      <w:r>
        <w:tab/>
      </w:r>
      <w:r>
        <w:fldChar w:fldCharType="begin"/>
      </w:r>
      <w:r>
        <w:instrText xml:space="preserve"> PAGEREF _Toc392492791 \h </w:instrText>
      </w:r>
      <w:r>
        <w:fldChar w:fldCharType="separate"/>
      </w:r>
      <w:r>
        <w:t>96</w:t>
      </w:r>
      <w:r>
        <w:fldChar w:fldCharType="end"/>
      </w:r>
    </w:p>
    <w:p>
      <w:pPr>
        <w:pStyle w:val="TOC8"/>
        <w:rPr>
          <w:rFonts w:asciiTheme="minorHAnsi" w:eastAsiaTheme="minorEastAsia" w:hAnsiTheme="minorHAnsi" w:cstheme="minorBidi"/>
          <w:szCs w:val="22"/>
        </w:rPr>
      </w:pPr>
      <w:r>
        <w:rPr>
          <w:spacing w:val="-6"/>
        </w:rPr>
        <w:t>82B</w:t>
      </w:r>
      <w:r>
        <w:t>.</w:t>
      </w:r>
      <w:r>
        <w:tab/>
        <w:t>Application of Part</w:t>
      </w:r>
      <w:r>
        <w:tab/>
      </w:r>
      <w:r>
        <w:fldChar w:fldCharType="begin"/>
      </w:r>
      <w:r>
        <w:instrText xml:space="preserve"> PAGEREF _Toc392492792 \h </w:instrText>
      </w:r>
      <w:r>
        <w:fldChar w:fldCharType="separate"/>
      </w:r>
      <w:r>
        <w:t>98</w:t>
      </w:r>
      <w:r>
        <w:fldChar w:fldCharType="end"/>
      </w:r>
    </w:p>
    <w:p>
      <w:pPr>
        <w:pStyle w:val="TOC4"/>
        <w:tabs>
          <w:tab w:val="right" w:leader="dot" w:pos="7086"/>
        </w:tabs>
        <w:rPr>
          <w:rFonts w:asciiTheme="minorHAnsi" w:eastAsiaTheme="minorEastAsia" w:hAnsiTheme="minorHAnsi" w:cstheme="minorBidi"/>
          <w:b w:val="0"/>
          <w:szCs w:val="22"/>
        </w:rPr>
      </w:pPr>
      <w:r>
        <w:t>Division 2 — Tenancy database information</w:t>
      </w:r>
    </w:p>
    <w:p>
      <w:pPr>
        <w:pStyle w:val="TOC8"/>
        <w:rPr>
          <w:rFonts w:asciiTheme="minorHAnsi" w:eastAsiaTheme="minorEastAsia" w:hAnsiTheme="minorHAnsi" w:cstheme="minorBidi"/>
          <w:szCs w:val="22"/>
        </w:rPr>
      </w:pPr>
      <w:r>
        <w:rPr>
          <w:spacing w:val="-6"/>
        </w:rPr>
        <w:t>82C</w:t>
      </w:r>
      <w:r>
        <w:t>.</w:t>
      </w:r>
      <w:r>
        <w:tab/>
        <w:t>Notice of usual use of database</w:t>
      </w:r>
      <w:r>
        <w:tab/>
      </w:r>
      <w:r>
        <w:fldChar w:fldCharType="begin"/>
      </w:r>
      <w:r>
        <w:instrText xml:space="preserve"> PAGEREF _Toc392492794 \h </w:instrText>
      </w:r>
      <w:r>
        <w:fldChar w:fldCharType="separate"/>
      </w:r>
      <w:r>
        <w:t>98</w:t>
      </w:r>
      <w:r>
        <w:fldChar w:fldCharType="end"/>
      </w:r>
    </w:p>
    <w:p>
      <w:pPr>
        <w:pStyle w:val="TOC8"/>
        <w:rPr>
          <w:rFonts w:asciiTheme="minorHAnsi" w:eastAsiaTheme="minorEastAsia" w:hAnsiTheme="minorHAnsi" w:cstheme="minorBidi"/>
          <w:szCs w:val="22"/>
        </w:rPr>
      </w:pPr>
      <w:r>
        <w:rPr>
          <w:spacing w:val="-6"/>
        </w:rPr>
        <w:t>82D</w:t>
      </w:r>
      <w:r>
        <w:t>.</w:t>
      </w:r>
      <w:r>
        <w:tab/>
        <w:t>Notice of listing if database used</w:t>
      </w:r>
      <w:r>
        <w:tab/>
      </w:r>
      <w:r>
        <w:fldChar w:fldCharType="begin"/>
      </w:r>
      <w:r>
        <w:instrText xml:space="preserve"> PAGEREF _Toc392492795 \h </w:instrText>
      </w:r>
      <w:r>
        <w:fldChar w:fldCharType="separate"/>
      </w:r>
      <w:r>
        <w:t>99</w:t>
      </w:r>
      <w:r>
        <w:fldChar w:fldCharType="end"/>
      </w:r>
    </w:p>
    <w:p>
      <w:pPr>
        <w:pStyle w:val="TOC8"/>
        <w:rPr>
          <w:rFonts w:asciiTheme="minorHAnsi" w:eastAsiaTheme="minorEastAsia" w:hAnsiTheme="minorHAnsi" w:cstheme="minorBidi"/>
          <w:szCs w:val="22"/>
        </w:rPr>
      </w:pPr>
      <w:r>
        <w:rPr>
          <w:spacing w:val="-6"/>
        </w:rPr>
        <w:t>82E</w:t>
      </w:r>
      <w:r>
        <w:t>.</w:t>
      </w:r>
      <w:r>
        <w:tab/>
        <w:t>Listing can be made only for particular breaches by particular persons</w:t>
      </w:r>
      <w:r>
        <w:tab/>
      </w:r>
      <w:r>
        <w:fldChar w:fldCharType="begin"/>
      </w:r>
      <w:r>
        <w:instrText xml:space="preserve"> PAGEREF _Toc392492796 \h </w:instrText>
      </w:r>
      <w:r>
        <w:fldChar w:fldCharType="separate"/>
      </w:r>
      <w:r>
        <w:t>100</w:t>
      </w:r>
      <w:r>
        <w:fldChar w:fldCharType="end"/>
      </w:r>
    </w:p>
    <w:p>
      <w:pPr>
        <w:pStyle w:val="TOC8"/>
        <w:rPr>
          <w:rFonts w:asciiTheme="minorHAnsi" w:eastAsiaTheme="minorEastAsia" w:hAnsiTheme="minorHAnsi" w:cstheme="minorBidi"/>
          <w:szCs w:val="22"/>
        </w:rPr>
      </w:pPr>
      <w:r>
        <w:rPr>
          <w:spacing w:val="-6"/>
        </w:rPr>
        <w:t>82F</w:t>
      </w:r>
      <w:r>
        <w:t>.</w:t>
      </w:r>
      <w:r>
        <w:tab/>
        <w:t>Further restriction on listing</w:t>
      </w:r>
      <w:r>
        <w:tab/>
      </w:r>
      <w:r>
        <w:fldChar w:fldCharType="begin"/>
      </w:r>
      <w:r>
        <w:instrText xml:space="preserve"> PAGEREF _Toc392492797 \h </w:instrText>
      </w:r>
      <w:r>
        <w:fldChar w:fldCharType="separate"/>
      </w:r>
      <w:r>
        <w:t>101</w:t>
      </w:r>
      <w:r>
        <w:fldChar w:fldCharType="end"/>
      </w:r>
    </w:p>
    <w:p>
      <w:pPr>
        <w:pStyle w:val="TOC8"/>
        <w:rPr>
          <w:rFonts w:asciiTheme="minorHAnsi" w:eastAsiaTheme="minorEastAsia" w:hAnsiTheme="minorHAnsi" w:cstheme="minorBidi"/>
          <w:szCs w:val="22"/>
        </w:rPr>
      </w:pPr>
      <w:r>
        <w:rPr>
          <w:spacing w:val="-6"/>
        </w:rPr>
        <w:t>82G</w:t>
      </w:r>
      <w:r>
        <w:t>.</w:t>
      </w:r>
      <w:r>
        <w:tab/>
        <w:t>Ensuring quality of listing — lessor’s or agent’s obligation</w:t>
      </w:r>
      <w:r>
        <w:tab/>
      </w:r>
      <w:r>
        <w:fldChar w:fldCharType="begin"/>
      </w:r>
      <w:r>
        <w:instrText xml:space="preserve"> PAGEREF _Toc392492798 \h </w:instrText>
      </w:r>
      <w:r>
        <w:fldChar w:fldCharType="separate"/>
      </w:r>
      <w:r>
        <w:t>102</w:t>
      </w:r>
      <w:r>
        <w:fldChar w:fldCharType="end"/>
      </w:r>
    </w:p>
    <w:p>
      <w:pPr>
        <w:pStyle w:val="TOC8"/>
        <w:rPr>
          <w:rFonts w:asciiTheme="minorHAnsi" w:eastAsiaTheme="minorEastAsia" w:hAnsiTheme="minorHAnsi" w:cstheme="minorBidi"/>
          <w:szCs w:val="22"/>
        </w:rPr>
      </w:pPr>
      <w:r>
        <w:rPr>
          <w:spacing w:val="-6"/>
        </w:rPr>
        <w:t>82H</w:t>
      </w:r>
      <w:r>
        <w:t>.</w:t>
      </w:r>
      <w:r>
        <w:tab/>
        <w:t>Ensuring quality of listing — database operator’s obligation</w:t>
      </w:r>
      <w:r>
        <w:tab/>
      </w:r>
      <w:r>
        <w:fldChar w:fldCharType="begin"/>
      </w:r>
      <w:r>
        <w:instrText xml:space="preserve"> PAGEREF _Toc392492799 \h </w:instrText>
      </w:r>
      <w:r>
        <w:fldChar w:fldCharType="separate"/>
      </w:r>
      <w:r>
        <w:t>102</w:t>
      </w:r>
      <w:r>
        <w:fldChar w:fldCharType="end"/>
      </w:r>
    </w:p>
    <w:p>
      <w:pPr>
        <w:pStyle w:val="TOC8"/>
        <w:rPr>
          <w:rFonts w:asciiTheme="minorHAnsi" w:eastAsiaTheme="minorEastAsia" w:hAnsiTheme="minorHAnsi" w:cstheme="minorBidi"/>
          <w:szCs w:val="22"/>
        </w:rPr>
      </w:pPr>
      <w:r>
        <w:rPr>
          <w:spacing w:val="-6"/>
        </w:rPr>
        <w:t>82I</w:t>
      </w:r>
      <w:r>
        <w:t>.</w:t>
      </w:r>
      <w:r>
        <w:tab/>
        <w:t>Providing copy of personal information listed</w:t>
      </w:r>
      <w:r>
        <w:tab/>
      </w:r>
      <w:r>
        <w:fldChar w:fldCharType="begin"/>
      </w:r>
      <w:r>
        <w:instrText xml:space="preserve"> PAGEREF _Toc392492800 \h </w:instrText>
      </w:r>
      <w:r>
        <w:fldChar w:fldCharType="separate"/>
      </w:r>
      <w:r>
        <w:t>103</w:t>
      </w:r>
      <w:r>
        <w:fldChar w:fldCharType="end"/>
      </w:r>
    </w:p>
    <w:p>
      <w:pPr>
        <w:pStyle w:val="TOC8"/>
        <w:rPr>
          <w:rFonts w:asciiTheme="minorHAnsi" w:eastAsiaTheme="minorEastAsia" w:hAnsiTheme="minorHAnsi" w:cstheme="minorBidi"/>
          <w:szCs w:val="22"/>
        </w:rPr>
      </w:pPr>
      <w:r>
        <w:t>82J.</w:t>
      </w:r>
      <w:r>
        <w:tab/>
        <w:t>Disputes about listings</w:t>
      </w:r>
      <w:r>
        <w:tab/>
      </w:r>
      <w:r>
        <w:fldChar w:fldCharType="begin"/>
      </w:r>
      <w:r>
        <w:instrText xml:space="preserve"> PAGEREF _Toc392492801 \h </w:instrText>
      </w:r>
      <w:r>
        <w:fldChar w:fldCharType="separate"/>
      </w:r>
      <w:r>
        <w:t>103</w:t>
      </w:r>
      <w:r>
        <w:fldChar w:fldCharType="end"/>
      </w:r>
    </w:p>
    <w:p>
      <w:pPr>
        <w:pStyle w:val="TOC8"/>
        <w:rPr>
          <w:rFonts w:asciiTheme="minorHAnsi" w:eastAsiaTheme="minorEastAsia" w:hAnsiTheme="minorHAnsi" w:cstheme="minorBidi"/>
          <w:szCs w:val="22"/>
        </w:rPr>
      </w:pPr>
      <w:r>
        <w:rPr>
          <w:spacing w:val="-6"/>
        </w:rPr>
        <w:t>82K</w:t>
      </w:r>
      <w:r>
        <w:t>.</w:t>
      </w:r>
      <w:r>
        <w:tab/>
        <w:t>Keeping personal information listed</w:t>
      </w:r>
      <w:r>
        <w:tab/>
      </w:r>
      <w:r>
        <w:fldChar w:fldCharType="begin"/>
      </w:r>
      <w:r>
        <w:instrText xml:space="preserve"> PAGEREF _Toc392492802 \h </w:instrText>
      </w:r>
      <w:r>
        <w:fldChar w:fldCharType="separate"/>
      </w:r>
      <w:r>
        <w:t>104</w:t>
      </w:r>
      <w:r>
        <w:fldChar w:fldCharType="end"/>
      </w:r>
    </w:p>
    <w:p>
      <w:pPr>
        <w:pStyle w:val="TOC2"/>
        <w:tabs>
          <w:tab w:val="right" w:leader="dot" w:pos="7086"/>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82</w:t>
      </w:r>
      <w:r>
        <w:rPr>
          <w:snapToGrid w:val="0"/>
        </w:rPr>
        <w:t>.</w:t>
      </w:r>
      <w:r>
        <w:rPr>
          <w:snapToGrid w:val="0"/>
        </w:rPr>
        <w:tab/>
        <w:t>Contracting out</w:t>
      </w:r>
      <w:r>
        <w:tab/>
      </w:r>
      <w:r>
        <w:fldChar w:fldCharType="begin"/>
      </w:r>
      <w:r>
        <w:instrText xml:space="preserve"> PAGEREF _Toc392492804 \h </w:instrText>
      </w:r>
      <w:r>
        <w:fldChar w:fldCharType="separate"/>
      </w:r>
      <w:r>
        <w:t>106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Recovery of amounts paid under mistake of law or fact</w:t>
      </w:r>
      <w:r>
        <w:tab/>
      </w:r>
      <w:r>
        <w:fldChar w:fldCharType="begin"/>
      </w:r>
      <w:r>
        <w:instrText xml:space="preserve"> PAGEREF _Toc392492805 \h </w:instrText>
      </w:r>
      <w:r>
        <w:fldChar w:fldCharType="separate"/>
      </w:r>
      <w:r>
        <w:t>106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Exemption of tenancy agreement or premises from provision of Act</w:t>
      </w:r>
      <w:r>
        <w:tab/>
      </w:r>
      <w:r>
        <w:fldChar w:fldCharType="begin"/>
      </w:r>
      <w:r>
        <w:instrText xml:space="preserve"> PAGEREF _Toc392492806 \h </w:instrText>
      </w:r>
      <w:r>
        <w:fldChar w:fldCharType="separate"/>
      </w:r>
      <w:r>
        <w:t>106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Service</w:t>
      </w:r>
      <w:r>
        <w:tab/>
      </w:r>
      <w:r>
        <w:fldChar w:fldCharType="begin"/>
      </w:r>
      <w:r>
        <w:instrText xml:space="preserve"> PAGEREF _Toc392492807 \h </w:instrText>
      </w:r>
      <w:r>
        <w:fldChar w:fldCharType="separate"/>
      </w:r>
      <w:r>
        <w:t>107</w:t>
      </w:r>
      <w:r>
        <w:fldChar w:fldCharType="end"/>
      </w:r>
    </w:p>
    <w:p>
      <w:pPr>
        <w:pStyle w:val="TOC8"/>
        <w:rPr>
          <w:rFonts w:asciiTheme="minorHAnsi" w:eastAsiaTheme="minorEastAsia" w:hAnsiTheme="minorHAnsi" w:cstheme="minorBidi"/>
          <w:szCs w:val="22"/>
        </w:rPr>
      </w:pPr>
      <w:r>
        <w:t>86.</w:t>
      </w:r>
      <w:r>
        <w:tab/>
        <w:t>Court may refer matter to Commissioner for investigation</w:t>
      </w:r>
      <w:r>
        <w:tab/>
      </w:r>
      <w:r>
        <w:fldChar w:fldCharType="begin"/>
      </w:r>
      <w:r>
        <w:instrText xml:space="preserve"> PAGEREF _Toc392492808 \h </w:instrText>
      </w:r>
      <w:r>
        <w:fldChar w:fldCharType="separate"/>
      </w:r>
      <w:r>
        <w:t>108</w:t>
      </w:r>
      <w:r>
        <w:fldChar w:fldCharType="end"/>
      </w:r>
    </w:p>
    <w:p>
      <w:pPr>
        <w:pStyle w:val="TOC8"/>
        <w:rPr>
          <w:rFonts w:asciiTheme="minorHAnsi" w:eastAsiaTheme="minorEastAsia" w:hAnsiTheme="minorHAnsi" w:cstheme="minorBidi"/>
          <w:szCs w:val="22"/>
        </w:rPr>
      </w:pPr>
      <w:r>
        <w:t>87A.</w:t>
      </w:r>
      <w:r>
        <w:tab/>
        <w:t>Defence where lessor and property manager are both charged with the same offence</w:t>
      </w:r>
      <w:r>
        <w:tab/>
      </w:r>
      <w:r>
        <w:fldChar w:fldCharType="begin"/>
      </w:r>
      <w:r>
        <w:instrText xml:space="preserve"> PAGEREF _Toc392492809 \h </w:instrText>
      </w:r>
      <w:r>
        <w:fldChar w:fldCharType="separate"/>
      </w:r>
      <w:r>
        <w:t>108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for bringing proceedings</w:t>
      </w:r>
      <w:r>
        <w:tab/>
      </w:r>
      <w:r>
        <w:fldChar w:fldCharType="begin"/>
      </w:r>
      <w:r>
        <w:instrText xml:space="preserve"> PAGEREF _Toc392492810 \h </w:instrText>
      </w:r>
      <w:r>
        <w:fldChar w:fldCharType="separate"/>
      </w:r>
      <w:r>
        <w:t>109</w:t>
      </w:r>
      <w:r>
        <w:fldChar w:fldCharType="end"/>
      </w:r>
    </w:p>
    <w:p>
      <w:pPr>
        <w:pStyle w:val="TOC8"/>
        <w:rPr>
          <w:rFonts w:asciiTheme="minorHAnsi" w:eastAsiaTheme="minorEastAsia" w:hAnsiTheme="minorHAnsi" w:cstheme="minorBidi"/>
          <w:szCs w:val="22"/>
        </w:rPr>
      </w:pPr>
      <w:r>
        <w:t>88A.</w:t>
      </w:r>
      <w:r>
        <w:tab/>
        <w:t>Infringement notices</w:t>
      </w:r>
      <w:r>
        <w:tab/>
      </w:r>
      <w:r>
        <w:fldChar w:fldCharType="begin"/>
      </w:r>
      <w:r>
        <w:instrText xml:space="preserve"> PAGEREF _Toc392492811 \h </w:instrText>
      </w:r>
      <w:r>
        <w:fldChar w:fldCharType="separate"/>
      </w:r>
      <w:r>
        <w:t>109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Regulations</w:t>
      </w:r>
      <w:r>
        <w:tab/>
      </w:r>
      <w:r>
        <w:fldChar w:fldCharType="begin"/>
      </w:r>
      <w:r>
        <w:instrText xml:space="preserve"> PAGEREF _Toc392492812 \h </w:instrText>
      </w:r>
      <w:r>
        <w:fldChar w:fldCharType="separate"/>
      </w:r>
      <w:r>
        <w:t>111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Review of Act</w:t>
      </w:r>
      <w:r>
        <w:tab/>
      </w:r>
      <w:r>
        <w:fldChar w:fldCharType="begin"/>
      </w:r>
      <w:r>
        <w:instrText xml:space="preserve"> PAGEREF _Toc392492813 \h </w:instrText>
      </w:r>
      <w:r>
        <w:fldChar w:fldCharType="separate"/>
      </w:r>
      <w:r>
        <w:t>112</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Part VII — Savings and transitional provisions relating to the </w:t>
      </w:r>
      <w:r>
        <w:rPr>
          <w:i/>
        </w:rPr>
        <w:t>Residential Tenancies Amendment Act 2011</w:t>
      </w:r>
    </w:p>
    <w:p>
      <w:pPr>
        <w:pStyle w:val="TOC4"/>
        <w:tabs>
          <w:tab w:val="right" w:leader="dot" w:pos="7086"/>
        </w:tabs>
        <w:rPr>
          <w:rFonts w:asciiTheme="minorHAnsi" w:eastAsiaTheme="minorEastAsia" w:hAnsiTheme="minorHAnsi" w:cstheme="minorBidi"/>
          <w:b w:val="0"/>
          <w:szCs w:val="22"/>
        </w:rPr>
      </w:pPr>
      <w:r>
        <w:t>Division 1 — Contracting out</w:t>
      </w:r>
    </w:p>
    <w:p>
      <w:pPr>
        <w:pStyle w:val="TOC8"/>
        <w:rPr>
          <w:rFonts w:asciiTheme="minorHAnsi" w:eastAsiaTheme="minorEastAsia" w:hAnsiTheme="minorHAnsi" w:cstheme="minorBidi"/>
          <w:szCs w:val="22"/>
        </w:rPr>
      </w:pPr>
      <w:r>
        <w:t>91.</w:t>
      </w:r>
      <w:r>
        <w:tab/>
        <w:t>Savings in relation to contracting out of standard terms</w:t>
      </w:r>
      <w:r>
        <w:tab/>
      </w:r>
      <w:r>
        <w:fldChar w:fldCharType="begin"/>
      </w:r>
      <w:r>
        <w:instrText xml:space="preserve"> PAGEREF _Toc392492816 \h </w:instrText>
      </w:r>
      <w:r>
        <w:fldChar w:fldCharType="separate"/>
      </w:r>
      <w:r>
        <w:t>113</w:t>
      </w:r>
      <w:r>
        <w:fldChar w:fldCharType="end"/>
      </w:r>
    </w:p>
    <w:p>
      <w:pPr>
        <w:pStyle w:val="TOC4"/>
        <w:tabs>
          <w:tab w:val="right" w:leader="dot" w:pos="7086"/>
        </w:tabs>
        <w:rPr>
          <w:rFonts w:asciiTheme="minorHAnsi" w:eastAsiaTheme="minorEastAsia" w:hAnsiTheme="minorHAnsi" w:cstheme="minorBidi"/>
          <w:b w:val="0"/>
          <w:szCs w:val="22"/>
        </w:rPr>
      </w:pPr>
      <w:r>
        <w:t>Division 2 — Security bonds held in AFI</w:t>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_Toc392492818 \h </w:instrText>
      </w:r>
      <w:r>
        <w:fldChar w:fldCharType="separate"/>
      </w:r>
      <w:r>
        <w:t>113</w:t>
      </w:r>
      <w:r>
        <w:fldChar w:fldCharType="end"/>
      </w:r>
    </w:p>
    <w:p>
      <w:pPr>
        <w:pStyle w:val="TOC8"/>
        <w:rPr>
          <w:rFonts w:asciiTheme="minorHAnsi" w:eastAsiaTheme="minorEastAsia" w:hAnsiTheme="minorHAnsi" w:cstheme="minorBidi"/>
          <w:szCs w:val="22"/>
        </w:rPr>
      </w:pPr>
      <w:r>
        <w:t>93.</w:t>
      </w:r>
      <w:r>
        <w:tab/>
        <w:t>All security bonds to be transferred to the bond administrator after renewal of agreement or within 18 months</w:t>
      </w:r>
      <w:r>
        <w:tab/>
      </w:r>
      <w:r>
        <w:fldChar w:fldCharType="begin"/>
      </w:r>
      <w:r>
        <w:instrText xml:space="preserve"> PAGEREF _Toc392492819 \h </w:instrText>
      </w:r>
      <w:r>
        <w:fldChar w:fldCharType="separate"/>
      </w:r>
      <w:r>
        <w:t>114</w:t>
      </w:r>
      <w:r>
        <w:fldChar w:fldCharType="end"/>
      </w:r>
    </w:p>
    <w:p>
      <w:pPr>
        <w:pStyle w:val="TOC8"/>
        <w:rPr>
          <w:rFonts w:asciiTheme="minorHAnsi" w:eastAsiaTheme="minorEastAsia" w:hAnsiTheme="minorHAnsi" w:cstheme="minorBidi"/>
          <w:szCs w:val="22"/>
        </w:rPr>
      </w:pPr>
      <w:r>
        <w:t>94.</w:t>
      </w:r>
      <w:r>
        <w:tab/>
        <w:t>Requirements for AFI holding security bonds</w:t>
      </w:r>
      <w:r>
        <w:tab/>
      </w:r>
      <w:r>
        <w:fldChar w:fldCharType="begin"/>
      </w:r>
      <w:r>
        <w:instrText xml:space="preserve"> PAGEREF _Toc392492820 \h </w:instrText>
      </w:r>
      <w:r>
        <w:fldChar w:fldCharType="separate"/>
      </w:r>
      <w:r>
        <w:t>115</w:t>
      </w:r>
      <w:r>
        <w:fldChar w:fldCharType="end"/>
      </w:r>
    </w:p>
    <w:p>
      <w:pPr>
        <w:pStyle w:val="TOC8"/>
        <w:rPr>
          <w:rFonts w:asciiTheme="minorHAnsi" w:eastAsiaTheme="minorEastAsia" w:hAnsiTheme="minorHAnsi" w:cstheme="minorBidi"/>
          <w:szCs w:val="22"/>
        </w:rPr>
      </w:pPr>
      <w:r>
        <w:t>95.</w:t>
      </w:r>
      <w:r>
        <w:tab/>
        <w:t>Power of Commissioner to obtain information relating to AFI security bond accounts</w:t>
      </w:r>
      <w:r>
        <w:tab/>
      </w:r>
      <w:r>
        <w:fldChar w:fldCharType="begin"/>
      </w:r>
      <w:r>
        <w:instrText xml:space="preserve"> PAGEREF _Toc392492821 \h </w:instrText>
      </w:r>
      <w:r>
        <w:fldChar w:fldCharType="separate"/>
      </w:r>
      <w:r>
        <w:t>116</w:t>
      </w:r>
      <w:r>
        <w:fldChar w:fldCharType="end"/>
      </w:r>
    </w:p>
    <w:p>
      <w:pPr>
        <w:pStyle w:val="TOC8"/>
        <w:rPr>
          <w:rFonts w:asciiTheme="minorHAnsi" w:eastAsiaTheme="minorEastAsia" w:hAnsiTheme="minorHAnsi" w:cstheme="minorBidi"/>
          <w:szCs w:val="22"/>
        </w:rPr>
      </w:pPr>
      <w:r>
        <w:t>96.</w:t>
      </w:r>
      <w:r>
        <w:tab/>
        <w:t>Disposal of security bond held in AFIs</w:t>
      </w:r>
      <w:r>
        <w:tab/>
      </w:r>
      <w:r>
        <w:fldChar w:fldCharType="begin"/>
      </w:r>
      <w:r>
        <w:instrText xml:space="preserve"> PAGEREF _Toc392492822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rPr>
      </w:pPr>
      <w:r>
        <w:t>Division 3 — Residential tenancy databases</w:t>
      </w:r>
    </w:p>
    <w:p>
      <w:pPr>
        <w:pStyle w:val="TOC8"/>
        <w:rPr>
          <w:rFonts w:asciiTheme="minorHAnsi" w:eastAsiaTheme="minorEastAsia" w:hAnsiTheme="minorHAnsi" w:cstheme="minorBidi"/>
          <w:szCs w:val="22"/>
        </w:rPr>
      </w:pPr>
      <w:r>
        <w:t>97.</w:t>
      </w:r>
      <w:r>
        <w:tab/>
        <w:t>Application of Part VIA to listings existing before commencement day</w:t>
      </w:r>
      <w:r>
        <w:tab/>
      </w:r>
      <w:r>
        <w:fldChar w:fldCharType="begin"/>
      </w:r>
      <w:r>
        <w:instrText xml:space="preserve"> PAGEREF _Toc392492824 \h </w:instrText>
      </w:r>
      <w:r>
        <w:fldChar w:fldCharType="separate"/>
      </w:r>
      <w:r>
        <w:t>119</w:t>
      </w:r>
      <w:r>
        <w:fldChar w:fldCharType="end"/>
      </w:r>
    </w:p>
    <w:p>
      <w:pPr>
        <w:pStyle w:val="TOC2"/>
        <w:tabs>
          <w:tab w:val="right" w:leader="dot" w:pos="7086"/>
        </w:tabs>
        <w:rPr>
          <w:rFonts w:asciiTheme="minorHAnsi" w:eastAsiaTheme="minorEastAsia" w:hAnsiTheme="minorHAnsi" w:cstheme="minorBidi"/>
          <w:b w:val="0"/>
          <w:sz w:val="22"/>
          <w:szCs w:val="22"/>
        </w:rPr>
      </w:pPr>
      <w:r>
        <w:rPr>
          <w:rFonts w:eastAsia="MS Mincho"/>
        </w:rPr>
        <w:t>Schedule 1 — Provisions relating to holding and disposal of bonds and income from bonds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Term used: authorised agent</w:t>
      </w:r>
      <w:r>
        <w:tab/>
      </w:r>
      <w:r>
        <w:fldChar w:fldCharType="begin"/>
      </w:r>
      <w:r>
        <w:instrText xml:space="preserve"> PAGEREF _Toc392492827 \h </w:instrText>
      </w:r>
      <w:r>
        <w:fldChar w:fldCharType="separate"/>
      </w:r>
      <w:r>
        <w:t>120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Rental Accommodation Account</w:t>
      </w:r>
      <w:r>
        <w:tab/>
      </w:r>
      <w:r>
        <w:fldChar w:fldCharType="begin"/>
      </w:r>
      <w:r>
        <w:instrText xml:space="preserve"> PAGEREF _Toc392492828 \h </w:instrText>
      </w:r>
      <w:r>
        <w:fldChar w:fldCharType="separate"/>
      </w:r>
      <w:r>
        <w:t>120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Duties of bond administrator</w:t>
      </w:r>
      <w:r>
        <w:tab/>
      </w:r>
      <w:r>
        <w:fldChar w:fldCharType="begin"/>
      </w:r>
      <w:r>
        <w:instrText xml:space="preserve"> PAGEREF _Toc392492829 \h </w:instrText>
      </w:r>
      <w:r>
        <w:fldChar w:fldCharType="separate"/>
      </w:r>
      <w:r>
        <w:t>122</w:t>
      </w:r>
      <w:r>
        <w:fldChar w:fldCharType="end"/>
      </w:r>
    </w:p>
    <w:p>
      <w:pPr>
        <w:pStyle w:val="TOC4"/>
        <w:tabs>
          <w:tab w:val="right" w:leader="dot" w:pos="7086"/>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5A.</w:t>
      </w:r>
      <w:r>
        <w:tab/>
        <w:t>Security bond moneys to be paid to bond administrator</w:t>
      </w:r>
      <w:r>
        <w:tab/>
      </w:r>
      <w:r>
        <w:fldChar w:fldCharType="begin"/>
      </w:r>
      <w:r>
        <w:instrText xml:space="preserve"> PAGEREF _Toc392492831 \h </w:instrText>
      </w:r>
      <w:r>
        <w:fldChar w:fldCharType="separate"/>
      </w:r>
      <w:r>
        <w:t>123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Disposal of security bond by bond administrator</w:t>
      </w:r>
      <w:r>
        <w:tab/>
      </w:r>
      <w:r>
        <w:fldChar w:fldCharType="begin"/>
      </w:r>
      <w:r>
        <w:instrText xml:space="preserve"> PAGEREF _Toc392492832 \h </w:instrText>
      </w:r>
      <w:r>
        <w:fldChar w:fldCharType="separate"/>
      </w:r>
      <w:r>
        <w:t>123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may determine disposal of security bond</w:t>
      </w:r>
      <w:r>
        <w:tab/>
      </w:r>
      <w:r>
        <w:fldChar w:fldCharType="begin"/>
      </w:r>
      <w:r>
        <w:instrText xml:space="preserve"> PAGEREF _Toc392492833 \h </w:instrText>
      </w:r>
      <w:r>
        <w:fldChar w:fldCharType="separate"/>
      </w:r>
      <w:r>
        <w:t>124</w:t>
      </w:r>
      <w:r>
        <w:fldChar w:fldCharType="end"/>
      </w:r>
    </w:p>
    <w:p>
      <w:pPr>
        <w:pStyle w:val="TOC4"/>
        <w:tabs>
          <w:tab w:val="right" w:leader="dot" w:pos="7086"/>
        </w:tabs>
        <w:rPr>
          <w:rFonts w:asciiTheme="minorHAnsi" w:eastAsiaTheme="minorEastAsia" w:hAnsiTheme="minorHAnsi" w:cstheme="minorBidi"/>
          <w:b w:val="0"/>
          <w:szCs w:val="22"/>
        </w:rPr>
      </w:pPr>
      <w:r>
        <w:t>Division 3 — Tenant compensation bonds</w:t>
      </w:r>
    </w:p>
    <w:p>
      <w:pPr>
        <w:pStyle w:val="TOC8"/>
        <w:rPr>
          <w:rFonts w:asciiTheme="minorHAnsi" w:eastAsiaTheme="minorEastAsia" w:hAnsiTheme="minorHAnsi" w:cstheme="minorBidi"/>
          <w:szCs w:val="22"/>
        </w:rPr>
      </w:pPr>
      <w:r>
        <w:t>9.</w:t>
      </w:r>
      <w:r>
        <w:tab/>
        <w:t>Application of Division</w:t>
      </w:r>
      <w:r>
        <w:tab/>
      </w:r>
      <w:r>
        <w:fldChar w:fldCharType="begin"/>
      </w:r>
      <w:r>
        <w:instrText xml:space="preserve"> PAGEREF _Toc392492835 \h </w:instrText>
      </w:r>
      <w:r>
        <w:fldChar w:fldCharType="separate"/>
      </w:r>
      <w:r>
        <w:t>126</w:t>
      </w:r>
      <w:r>
        <w:fldChar w:fldCharType="end"/>
      </w:r>
    </w:p>
    <w:p>
      <w:pPr>
        <w:pStyle w:val="TOC8"/>
        <w:rPr>
          <w:rFonts w:asciiTheme="minorHAnsi" w:eastAsiaTheme="minorEastAsia" w:hAnsiTheme="minorHAnsi" w:cstheme="minorBidi"/>
          <w:szCs w:val="22"/>
        </w:rPr>
      </w:pPr>
      <w:r>
        <w:t>10.</w:t>
      </w:r>
      <w:r>
        <w:tab/>
        <w:t>Disposal of tenant compensation bond to tenant by bond administrator</w:t>
      </w:r>
      <w:r>
        <w:tab/>
      </w:r>
      <w:r>
        <w:fldChar w:fldCharType="begin"/>
      </w:r>
      <w:r>
        <w:instrText xml:space="preserve"> PAGEREF _Toc392492836 \h </w:instrText>
      </w:r>
      <w:r>
        <w:fldChar w:fldCharType="separate"/>
      </w:r>
      <w:r>
        <w:t>126</w:t>
      </w:r>
      <w:r>
        <w:fldChar w:fldCharType="end"/>
      </w:r>
    </w:p>
    <w:p>
      <w:pPr>
        <w:pStyle w:val="TOC8"/>
        <w:rPr>
          <w:rFonts w:asciiTheme="minorHAnsi" w:eastAsiaTheme="minorEastAsia" w:hAnsiTheme="minorHAnsi" w:cstheme="minorBidi"/>
          <w:szCs w:val="22"/>
        </w:rPr>
      </w:pPr>
      <w:r>
        <w:t>11.</w:t>
      </w:r>
      <w:r>
        <w:tab/>
        <w:t>Disposal of tenant compensation bond to lessor by bond administrator</w:t>
      </w:r>
      <w:r>
        <w:tab/>
      </w:r>
      <w:r>
        <w:fldChar w:fldCharType="begin"/>
      </w:r>
      <w:r>
        <w:instrText xml:space="preserve"> PAGEREF _Toc392492837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_Toc392492839 \h </w:instrText>
      </w:r>
      <w:r>
        <w:fldChar w:fldCharType="separate"/>
      </w:r>
      <w:r>
        <w:t>128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_Toc392492840 \h </w:instrText>
      </w:r>
      <w:r>
        <w:fldChar w:fldCharType="separate"/>
      </w:r>
      <w:r>
        <w:t>130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2</w:t>
      </w:r>
      <w:r>
        <w:rPr>
          <w:snapToGrid w:val="0"/>
        </w:rPr>
        <w:t xml:space="preserve">, and for connected purposes. </w:t>
      </w:r>
    </w:p>
    <w:p>
      <w:pPr>
        <w:pStyle w:val="Footnotelongtitle"/>
      </w:pPr>
      <w:r>
        <w:tab/>
        <w:t xml:space="preserve">[Long title amended by No. 60 of 2011 s. 4.] </w:t>
      </w:r>
    </w:p>
    <w:p>
      <w:pPr>
        <w:pStyle w:val="Heading2"/>
      </w:pPr>
      <w:bookmarkStart w:id="1" w:name="_Toc381880596"/>
      <w:bookmarkStart w:id="2" w:name="_Toc392492652"/>
      <w:r>
        <w:rPr>
          <w:rStyle w:val="CharPartNo"/>
        </w:rPr>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392492653"/>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4" w:name="_Toc392492654"/>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 w:name="_Toc392492655"/>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bond </w:t>
      </w:r>
      <w:r>
        <w:t>means a security bond or a tenant compensation bond;</w:t>
      </w:r>
    </w:p>
    <w:p>
      <w:pPr>
        <w:pStyle w:val="Defstart"/>
      </w:pPr>
      <w:r>
        <w:tab/>
      </w:r>
      <w:r>
        <w:rPr>
          <w:rStyle w:val="CharDefText"/>
        </w:rPr>
        <w:t>bond administrator</w:t>
      </w:r>
      <w:r>
        <w:t xml:space="preserve"> means the Commissioner as defined in the </w:t>
      </w:r>
      <w:r>
        <w:rPr>
          <w:i/>
        </w:rPr>
        <w:t>Fair Trading Act 2010</w:t>
      </w:r>
      <w:r>
        <w:t xml:space="preserve"> section 6;</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by No. 50 of 1988 s. 4; No. 57 of 1997 s. 39(10); No. 59 of 2004 s. 118; No. 28 of 2006 s. 133; No. 60 of 2011 s. 5 and 90.] </w:t>
      </w:r>
    </w:p>
    <w:p>
      <w:pPr>
        <w:pStyle w:val="Heading5"/>
        <w:rPr>
          <w:snapToGrid w:val="0"/>
        </w:rPr>
      </w:pPr>
      <w:bookmarkStart w:id="6" w:name="_Toc392492656"/>
      <w:r>
        <w:rPr>
          <w:rStyle w:val="CharSectno"/>
        </w:rPr>
        <w:t>4</w:t>
      </w:r>
      <w:r>
        <w:rPr>
          <w:snapToGrid w:val="0"/>
        </w:rPr>
        <w:t>.</w:t>
      </w:r>
      <w:r>
        <w:rPr>
          <w:snapToGrid w:val="0"/>
        </w:rPr>
        <w:tab/>
        <w:t>Position of Crown</w:t>
      </w:r>
      <w:bookmarkEnd w:id="6"/>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7" w:name="_Toc392492657"/>
      <w:r>
        <w:rPr>
          <w:rStyle w:val="CharSectno"/>
        </w:rPr>
        <w:t>5</w:t>
      </w:r>
      <w:r>
        <w:rPr>
          <w:snapToGrid w:val="0"/>
        </w:rPr>
        <w:t>.</w:t>
      </w:r>
      <w:r>
        <w:rPr>
          <w:snapToGrid w:val="0"/>
        </w:rPr>
        <w:tab/>
        <w:t>Application of Act</w:t>
      </w:r>
      <w:bookmarkEnd w:id="7"/>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 No. 60 of 2011 s. 6.]</w:t>
      </w:r>
    </w:p>
    <w:p>
      <w:pPr>
        <w:pStyle w:val="Heading5"/>
        <w:rPr>
          <w:snapToGrid w:val="0"/>
        </w:rPr>
      </w:pPr>
      <w:bookmarkStart w:id="8" w:name="_Toc392492658"/>
      <w:r>
        <w:rPr>
          <w:rStyle w:val="CharSectno"/>
        </w:rPr>
        <w:t>6</w:t>
      </w:r>
      <w:r>
        <w:rPr>
          <w:snapToGrid w:val="0"/>
        </w:rPr>
        <w:t>.</w:t>
      </w:r>
      <w:r>
        <w:rPr>
          <w:snapToGrid w:val="0"/>
        </w:rPr>
        <w:tab/>
        <w:t>Modification of application of Act by regulation</w:t>
      </w:r>
      <w:bookmarkEnd w:id="8"/>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9" w:name="_Toc392492659"/>
      <w:r>
        <w:rPr>
          <w:rStyle w:val="CharSectno"/>
        </w:rPr>
        <w:t>7</w:t>
      </w:r>
      <w:r>
        <w:rPr>
          <w:snapToGrid w:val="0"/>
        </w:rPr>
        <w:t>.</w:t>
      </w:r>
      <w:r>
        <w:rPr>
          <w:snapToGrid w:val="0"/>
        </w:rPr>
        <w:tab/>
      </w:r>
      <w:r>
        <w:rPr>
          <w:bCs/>
        </w:rPr>
        <w:t>Transitional provisions relating to commencement of this Act</w:t>
      </w:r>
      <w:bookmarkEnd w:id="9"/>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Sch. 1 cl. 149(5); No. 60 of 2011 s. 7 and 89.] </w:t>
      </w:r>
    </w:p>
    <w:p>
      <w:pPr>
        <w:pStyle w:val="Heading2"/>
      </w:pPr>
      <w:bookmarkStart w:id="10" w:name="_Toc381880604"/>
      <w:bookmarkStart w:id="11" w:name="_Toc392492660"/>
      <w:r>
        <w:rPr>
          <w:rStyle w:val="CharPartNo"/>
        </w:rPr>
        <w:t>Part II</w:t>
      </w:r>
      <w:r>
        <w:rPr>
          <w:rStyle w:val="CharDivNo"/>
        </w:rPr>
        <w:t> </w:t>
      </w:r>
      <w:r>
        <w:t>—</w:t>
      </w:r>
      <w:r>
        <w:rPr>
          <w:rStyle w:val="CharDivText"/>
        </w:rPr>
        <w:t> </w:t>
      </w:r>
      <w:r>
        <w:rPr>
          <w:rStyle w:val="CharPartText"/>
        </w:rPr>
        <w:t>Administration</w:t>
      </w:r>
      <w:bookmarkEnd w:id="10"/>
      <w:bookmarkEnd w:id="11"/>
    </w:p>
    <w:p>
      <w:pPr>
        <w:pStyle w:val="Heading5"/>
      </w:pPr>
      <w:bookmarkStart w:id="12" w:name="_Toc392492661"/>
      <w:r>
        <w:rPr>
          <w:rStyle w:val="CharSectno"/>
        </w:rPr>
        <w:t>7A</w:t>
      </w:r>
      <w:r>
        <w:t>.</w:t>
      </w:r>
      <w:r>
        <w:tab/>
        <w:t>Commissioner</w:t>
      </w:r>
      <w:bookmarkEnd w:id="12"/>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13" w:name="_Toc392492662"/>
      <w:r>
        <w:rPr>
          <w:rStyle w:val="CharSectno"/>
        </w:rPr>
        <w:t>8</w:t>
      </w:r>
      <w:r>
        <w:rPr>
          <w:snapToGrid w:val="0"/>
        </w:rPr>
        <w:t>.</w:t>
      </w:r>
      <w:r>
        <w:rPr>
          <w:snapToGrid w:val="0"/>
        </w:rPr>
        <w:tab/>
        <w:t>Functions of Commissioner</w:t>
      </w:r>
      <w:bookmarkEnd w:id="13"/>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14" w:name="_Toc392492663"/>
      <w:r>
        <w:rPr>
          <w:rStyle w:val="CharSectno"/>
        </w:rPr>
        <w:t>9</w:t>
      </w:r>
      <w:r>
        <w:rPr>
          <w:snapToGrid w:val="0"/>
        </w:rPr>
        <w:t>.</w:t>
      </w:r>
      <w:r>
        <w:rPr>
          <w:snapToGrid w:val="0"/>
        </w:rPr>
        <w:tab/>
        <w:t>Commissioner may institute or defend proceedings for party</w:t>
      </w:r>
      <w:bookmarkEnd w:id="14"/>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 xml:space="preserve">in relation to a residential tenancy agreement that has terminated unless a complaint is made to </w:t>
      </w:r>
      <w:r>
        <w:t>the Commissioner</w:t>
      </w:r>
      <w:r>
        <w:rPr>
          <w:snapToGrid w:val="0"/>
          <w:spacing w:val="-2"/>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by No. 50 of 1988 s. 18; No. 6 of 1993 s. 11; No. 59 of 1995 s. 56; No. 59 of 2004 s. 121; No. 77 of 2006 s. 4; No. 60 of 2011 s. 8.] </w:t>
      </w:r>
    </w:p>
    <w:p>
      <w:pPr>
        <w:pStyle w:val="Heading5"/>
        <w:rPr>
          <w:snapToGrid w:val="0"/>
        </w:rPr>
      </w:pPr>
      <w:bookmarkStart w:id="15" w:name="_Toc392492664"/>
      <w:r>
        <w:rPr>
          <w:rStyle w:val="CharSectno"/>
        </w:rPr>
        <w:t>10</w:t>
      </w:r>
      <w:r>
        <w:rPr>
          <w:snapToGrid w:val="0"/>
        </w:rPr>
        <w:t>.</w:t>
      </w:r>
      <w:r>
        <w:rPr>
          <w:snapToGrid w:val="0"/>
        </w:rPr>
        <w:tab/>
        <w:t>Delegation by Commissioner</w:t>
      </w:r>
      <w:bookmarkEnd w:id="15"/>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by No. 60 of 2011 s. 9.] </w:t>
      </w:r>
    </w:p>
    <w:p>
      <w:pPr>
        <w:pStyle w:val="Heading5"/>
        <w:rPr>
          <w:snapToGrid w:val="0"/>
        </w:rPr>
      </w:pPr>
      <w:bookmarkStart w:id="16" w:name="_Toc392492665"/>
      <w:r>
        <w:rPr>
          <w:rStyle w:val="CharSectno"/>
        </w:rPr>
        <w:t>11</w:t>
      </w:r>
      <w:r>
        <w:rPr>
          <w:snapToGrid w:val="0"/>
        </w:rPr>
        <w:t>.</w:t>
      </w:r>
      <w:r>
        <w:rPr>
          <w:snapToGrid w:val="0"/>
        </w:rPr>
        <w:tab/>
        <w:t>Protection of officers</w:t>
      </w:r>
      <w:bookmarkEnd w:id="16"/>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7" w:name="_Toc392492666"/>
      <w:r>
        <w:rPr>
          <w:rStyle w:val="CharSectno"/>
        </w:rPr>
        <w:t>11A</w:t>
      </w:r>
      <w:r>
        <w:t>.</w:t>
      </w:r>
      <w:r>
        <w:tab/>
        <w:t>Information officially obtained to be confidential</w:t>
      </w:r>
      <w:bookmarkEnd w:id="1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by No. 28 of 2006 s. 136; amended by No. 60 of 2011 s. 10.]</w:t>
      </w:r>
    </w:p>
    <w:p>
      <w:pPr>
        <w:pStyle w:val="Heading5"/>
      </w:pPr>
      <w:bookmarkStart w:id="18" w:name="_Toc392492667"/>
      <w:r>
        <w:rPr>
          <w:rStyle w:val="CharSectno"/>
        </w:rPr>
        <w:t>11B</w:t>
      </w:r>
      <w:r>
        <w:t>.</w:t>
      </w:r>
      <w:r>
        <w:tab/>
        <w:t>Powers of investigation</w:t>
      </w:r>
      <w:bookmarkEnd w:id="18"/>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189.]</w:t>
      </w:r>
    </w:p>
    <w:p>
      <w:pPr>
        <w:pStyle w:val="Heading2"/>
      </w:pPr>
      <w:bookmarkStart w:id="19" w:name="_Toc381880612"/>
      <w:bookmarkStart w:id="20" w:name="_Toc392492668"/>
      <w:r>
        <w:rPr>
          <w:rStyle w:val="CharPartNo"/>
        </w:rPr>
        <w:t>Part III</w:t>
      </w:r>
      <w:r>
        <w:rPr>
          <w:rStyle w:val="CharDivNo"/>
        </w:rPr>
        <w:t> </w:t>
      </w:r>
      <w:r>
        <w:t>—</w:t>
      </w:r>
      <w:r>
        <w:rPr>
          <w:rStyle w:val="CharDivText"/>
        </w:rPr>
        <w:t> </w:t>
      </w:r>
      <w:r>
        <w:rPr>
          <w:rStyle w:val="CharPartText"/>
        </w:rPr>
        <w:t>Determination of disputes</w:t>
      </w:r>
      <w:bookmarkEnd w:id="19"/>
      <w:bookmarkEnd w:id="20"/>
      <w:r>
        <w:rPr>
          <w:rStyle w:val="CharPartText"/>
        </w:rPr>
        <w:t xml:space="preserve"> </w:t>
      </w:r>
    </w:p>
    <w:p>
      <w:pPr>
        <w:pStyle w:val="Heading5"/>
      </w:pPr>
      <w:bookmarkStart w:id="21" w:name="_Toc392492669"/>
      <w:r>
        <w:rPr>
          <w:rStyle w:val="CharSectno"/>
        </w:rPr>
        <w:t>12</w:t>
      </w:r>
      <w:r>
        <w:t>.</w:t>
      </w:r>
      <w:r>
        <w:tab/>
        <w:t>Terms used</w:t>
      </w:r>
      <w:bookmarkEnd w:id="21"/>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22" w:name="_Toc392492670"/>
      <w:r>
        <w:rPr>
          <w:rStyle w:val="CharSectno"/>
        </w:rPr>
        <w:t>12A</w:t>
      </w:r>
      <w:r>
        <w:t>.</w:t>
      </w:r>
      <w:r>
        <w:tab/>
      </w:r>
      <w:r>
        <w:rPr>
          <w:snapToGrid w:val="0"/>
        </w:rPr>
        <w:t>Jurisdiction</w:t>
      </w:r>
      <w:r>
        <w:t xml:space="preserve"> over </w:t>
      </w:r>
      <w:r>
        <w:rPr>
          <w:snapToGrid w:val="0"/>
        </w:rPr>
        <w:t>prescribed</w:t>
      </w:r>
      <w:r>
        <w:t xml:space="preserve"> disputes</w:t>
      </w:r>
      <w:bookmarkEnd w:id="22"/>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23" w:name="_Toc392492671"/>
      <w:r>
        <w:rPr>
          <w:rStyle w:val="CharSectno"/>
        </w:rPr>
        <w:t>13</w:t>
      </w:r>
      <w:r>
        <w:t>.</w:t>
      </w:r>
      <w:r>
        <w:tab/>
        <w:t>Jurisdiction over other disputes</w:t>
      </w:r>
      <w:bookmarkEnd w:id="23"/>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by No. 59 of 2004 s. 119; amended by No. 60 of 2011 s. 11.] </w:t>
      </w:r>
    </w:p>
    <w:p>
      <w:pPr>
        <w:pStyle w:val="Heading5"/>
      </w:pPr>
      <w:bookmarkStart w:id="24" w:name="_Toc392492672"/>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24"/>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w:t>
      </w:r>
    </w:p>
    <w:p>
      <w:pPr>
        <w:pStyle w:val="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Footnotesection"/>
      </w:pPr>
      <w:r>
        <w:tab/>
        <w:t xml:space="preserve">[Section 13A inserted by No. 59 of 2004 s. 119; amended by No. 60 of 2011 s. 12.] </w:t>
      </w:r>
    </w:p>
    <w:p>
      <w:pPr>
        <w:pStyle w:val="Heading5"/>
      </w:pPr>
      <w:bookmarkStart w:id="25" w:name="_Toc392492673"/>
      <w:r>
        <w:rPr>
          <w:rStyle w:val="CharSectno"/>
        </w:rPr>
        <w:t>13B</w:t>
      </w:r>
      <w:r>
        <w:t>.</w:t>
      </w:r>
      <w:r>
        <w:tab/>
        <w:t>Appeals from decisions of a registrar</w:t>
      </w:r>
      <w:bookmarkEnd w:id="25"/>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by No. 69 of 2006 s. 29.]</w:t>
      </w:r>
    </w:p>
    <w:p>
      <w:pPr>
        <w:pStyle w:val="Heading5"/>
        <w:rPr>
          <w:snapToGrid w:val="0"/>
        </w:rPr>
      </w:pPr>
      <w:bookmarkStart w:id="26" w:name="_Toc392492674"/>
      <w:r>
        <w:rPr>
          <w:rStyle w:val="CharSectno"/>
        </w:rPr>
        <w:t>14</w:t>
      </w:r>
      <w:r>
        <w:rPr>
          <w:snapToGrid w:val="0"/>
        </w:rPr>
        <w:t>.</w:t>
      </w:r>
      <w:r>
        <w:rPr>
          <w:snapToGrid w:val="0"/>
        </w:rPr>
        <w:tab/>
        <w:t>Time for determination of proceedings</w:t>
      </w:r>
      <w:bookmarkEnd w:id="26"/>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27" w:name="_Toc392492675"/>
      <w:r>
        <w:rPr>
          <w:rStyle w:val="CharSectno"/>
        </w:rPr>
        <w:t>15</w:t>
      </w:r>
      <w:r>
        <w:rPr>
          <w:snapToGrid w:val="0"/>
        </w:rPr>
        <w:t>.</w:t>
      </w:r>
      <w:r>
        <w:rPr>
          <w:snapToGrid w:val="0"/>
        </w:rPr>
        <w:tab/>
        <w:t>Applications for relief and orders that may be made</w:t>
      </w:r>
      <w:bookmarkEnd w:id="27"/>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by No. 50 of 1988 s. 8 and 18; No. 59 of 2004 s. 120 and 121; No. 60 of 2011 s. 13 and 89.] </w:t>
      </w:r>
    </w:p>
    <w:p>
      <w:pPr>
        <w:pStyle w:val="Heading5"/>
        <w:rPr>
          <w:snapToGrid w:val="0"/>
        </w:rPr>
      </w:pPr>
      <w:bookmarkStart w:id="28" w:name="_Toc392492676"/>
      <w:r>
        <w:rPr>
          <w:rStyle w:val="CharSectno"/>
        </w:rPr>
        <w:t>16</w:t>
      </w:r>
      <w:r>
        <w:rPr>
          <w:snapToGrid w:val="0"/>
        </w:rPr>
        <w:t>.</w:t>
      </w:r>
      <w:r>
        <w:rPr>
          <w:snapToGrid w:val="0"/>
        </w:rPr>
        <w:tab/>
        <w:t>Enforcement</w:t>
      </w:r>
      <w:bookmarkEnd w:id="28"/>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No. 60 of 2011 s. 14.] </w:t>
      </w:r>
    </w:p>
    <w:p>
      <w:pPr>
        <w:pStyle w:val="Heading5"/>
      </w:pPr>
      <w:bookmarkStart w:id="29" w:name="_Toc392492677"/>
      <w:r>
        <w:rPr>
          <w:rStyle w:val="CharSectno"/>
        </w:rPr>
        <w:t>17A</w:t>
      </w:r>
      <w:r>
        <w:t>.</w:t>
      </w:r>
      <w:r>
        <w:tab/>
        <w:t>Disputes between tenants</w:t>
      </w:r>
      <w:bookmarkEnd w:id="29"/>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by No. 60 of 2011 s. 15.] </w:t>
      </w:r>
    </w:p>
    <w:p>
      <w:pPr>
        <w:pStyle w:val="Heading5"/>
        <w:rPr>
          <w:snapToGrid w:val="0"/>
        </w:rPr>
      </w:pPr>
      <w:bookmarkStart w:id="30" w:name="_Toc392492678"/>
      <w:r>
        <w:rPr>
          <w:rStyle w:val="CharSectno"/>
        </w:rPr>
        <w:t>17</w:t>
      </w:r>
      <w:r>
        <w:rPr>
          <w:snapToGrid w:val="0"/>
        </w:rPr>
        <w:t>.</w:t>
      </w:r>
      <w:r>
        <w:rPr>
          <w:snapToGrid w:val="0"/>
        </w:rPr>
        <w:tab/>
        <w:t>Application to vary or set aside order</w:t>
      </w:r>
      <w:bookmarkEnd w:id="30"/>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by No. 50 of 1988 s. 18; No. 59 of 2004 s. 121; No. 60 of 2011 s. 16.] </w:t>
      </w:r>
    </w:p>
    <w:p>
      <w:pPr>
        <w:pStyle w:val="Heading5"/>
        <w:rPr>
          <w:snapToGrid w:val="0"/>
        </w:rPr>
      </w:pPr>
      <w:bookmarkStart w:id="31" w:name="_Toc392492679"/>
      <w:r>
        <w:rPr>
          <w:rStyle w:val="CharSectno"/>
        </w:rPr>
        <w:t>18</w:t>
      </w:r>
      <w:r>
        <w:rPr>
          <w:snapToGrid w:val="0"/>
        </w:rPr>
        <w:t>.</w:t>
      </w:r>
      <w:r>
        <w:rPr>
          <w:snapToGrid w:val="0"/>
        </w:rPr>
        <w:tab/>
        <w:t>Form of applications and notice of hearing</w:t>
      </w:r>
      <w:bookmarkEnd w:id="31"/>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32" w:name="_Toc392492680"/>
      <w:r>
        <w:rPr>
          <w:rStyle w:val="CharSectno"/>
        </w:rPr>
        <w:t>19</w:t>
      </w:r>
      <w:r>
        <w:rPr>
          <w:snapToGrid w:val="0"/>
        </w:rPr>
        <w:t>.</w:t>
      </w:r>
      <w:r>
        <w:rPr>
          <w:snapToGrid w:val="0"/>
        </w:rPr>
        <w:tab/>
        <w:t>Witnesses and inspection of documents</w:t>
      </w:r>
      <w:bookmarkEnd w:id="32"/>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a fine of $10 000.</w:t>
      </w:r>
    </w:p>
    <w:p>
      <w:pPr>
        <w:pStyle w:val="Footnotesection"/>
      </w:pPr>
      <w:r>
        <w:tab/>
        <w:t xml:space="preserve">[Section 19 amended by No. 50 of 1988 s. 11 and 18; No. 59 of 2004 s. 120(2) and 121; No. 60 of 2011 s. 17.] </w:t>
      </w:r>
    </w:p>
    <w:p>
      <w:pPr>
        <w:pStyle w:val="Heading5"/>
        <w:rPr>
          <w:snapToGrid w:val="0"/>
        </w:rPr>
      </w:pPr>
      <w:bookmarkStart w:id="33" w:name="_Toc392492681"/>
      <w:r>
        <w:rPr>
          <w:rStyle w:val="CharSectno"/>
        </w:rPr>
        <w:t>20</w:t>
      </w:r>
      <w:r>
        <w:rPr>
          <w:snapToGrid w:val="0"/>
        </w:rPr>
        <w:t>.</w:t>
      </w:r>
      <w:r>
        <w:rPr>
          <w:snapToGrid w:val="0"/>
        </w:rPr>
        <w:tab/>
        <w:t>General powers in proceedings</w:t>
      </w:r>
      <w:bookmarkEnd w:id="33"/>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No. 60 of 2011 s. 18.] </w:t>
      </w:r>
    </w:p>
    <w:p>
      <w:pPr>
        <w:pStyle w:val="Heading5"/>
      </w:pPr>
      <w:bookmarkStart w:id="34" w:name="_Toc392492682"/>
      <w:r>
        <w:rPr>
          <w:rStyle w:val="CharSectno"/>
        </w:rPr>
        <w:t>21</w:t>
      </w:r>
      <w:r>
        <w:t>.</w:t>
      </w:r>
      <w:r>
        <w:tab/>
        <w:t>Evidence</w:t>
      </w:r>
      <w:bookmarkEnd w:id="34"/>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35" w:name="_Toc392492683"/>
      <w:r>
        <w:rPr>
          <w:rStyle w:val="CharSectno"/>
        </w:rPr>
        <w:t>22</w:t>
      </w:r>
      <w:r>
        <w:rPr>
          <w:snapToGrid w:val="0"/>
        </w:rPr>
        <w:t>.</w:t>
      </w:r>
      <w:r>
        <w:rPr>
          <w:snapToGrid w:val="0"/>
        </w:rPr>
        <w:tab/>
        <w:t>Presentation of cases</w:t>
      </w:r>
      <w:bookmarkEnd w:id="35"/>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the agent is authorised by the party to do so and is — </w:t>
      </w:r>
    </w:p>
    <w:p>
      <w:pPr>
        <w:pStyle w:val="Indenta"/>
      </w:pPr>
      <w:r>
        <w:tab/>
        <w:t>(a)</w:t>
      </w:r>
      <w:r>
        <w:tab/>
        <w:t>the property manager of the premises the subject of the proceedings; or</w:t>
      </w:r>
    </w:p>
    <w:p>
      <w:pPr>
        <w:pStyle w:val="Indenta"/>
      </w:pPr>
      <w:r>
        <w:tab/>
        <w:t>(b)</w:t>
      </w:r>
      <w:r>
        <w:tab/>
        <w:t>employed or engaged by a non</w:t>
      </w:r>
      <w:r>
        <w:noBreakHyphen/>
        <w:t>profit association or similar body to act as an advocate for tenants or lessors in proceedings.</w:t>
      </w:r>
    </w:p>
    <w:p>
      <w:pPr>
        <w:pStyle w:val="Subsection"/>
      </w:pPr>
      <w:r>
        <w:tab/>
        <w:t>(3A)</w:t>
      </w:r>
      <w:r>
        <w:tab/>
        <w:t xml:space="preserve">The authorisation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No. 60 of 2011 s. 19.] </w:t>
      </w:r>
    </w:p>
    <w:p>
      <w:pPr>
        <w:pStyle w:val="Heading5"/>
        <w:rPr>
          <w:snapToGrid w:val="0"/>
        </w:rPr>
      </w:pPr>
      <w:bookmarkStart w:id="36" w:name="_Toc392492684"/>
      <w:r>
        <w:rPr>
          <w:rStyle w:val="CharSectno"/>
        </w:rPr>
        <w:t>23</w:t>
      </w:r>
      <w:r>
        <w:rPr>
          <w:snapToGrid w:val="0"/>
        </w:rPr>
        <w:t>.</w:t>
      </w:r>
      <w:r>
        <w:rPr>
          <w:snapToGrid w:val="0"/>
        </w:rPr>
        <w:tab/>
        <w:t>Settlement by conciliation</w:t>
      </w:r>
      <w:bookmarkEnd w:id="36"/>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 xml:space="preserve">interview the parties in private (either with or without any person who may be representing any of them or assisting any of them in the presentation of </w:t>
      </w:r>
      <w:r>
        <w:t>the party’s</w:t>
      </w:r>
      <w:r>
        <w:rPr>
          <w:snapToGrid w:val="0"/>
          <w:spacing w:val="-2"/>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by No. 50 of 1988 s. 18; No. 59 of 2004 s. 120(2) and (3) and 121; No. 60 of 2011 s. 20.] </w:t>
      </w:r>
    </w:p>
    <w:p>
      <w:pPr>
        <w:pStyle w:val="Heading5"/>
        <w:rPr>
          <w:snapToGrid w:val="0"/>
        </w:rPr>
      </w:pPr>
      <w:bookmarkStart w:id="37" w:name="_Toc392492685"/>
      <w:r>
        <w:rPr>
          <w:rStyle w:val="CharSectno"/>
        </w:rPr>
        <w:t>24</w:t>
      </w:r>
      <w:r>
        <w:rPr>
          <w:snapToGrid w:val="0"/>
        </w:rPr>
        <w:t>.</w:t>
      </w:r>
      <w:r>
        <w:rPr>
          <w:snapToGrid w:val="0"/>
        </w:rPr>
        <w:tab/>
        <w:t>Costs</w:t>
      </w:r>
      <w:bookmarkEnd w:id="37"/>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38" w:name="_Toc392492686"/>
      <w:r>
        <w:rPr>
          <w:rStyle w:val="CharSectno"/>
        </w:rPr>
        <w:t>25</w:t>
      </w:r>
      <w:r>
        <w:rPr>
          <w:snapToGrid w:val="0"/>
        </w:rPr>
        <w:t>.</w:t>
      </w:r>
      <w:r>
        <w:rPr>
          <w:snapToGrid w:val="0"/>
        </w:rPr>
        <w:tab/>
        <w:t>Reservation of question of law</w:t>
      </w:r>
      <w:bookmarkEnd w:id="38"/>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39" w:name="_Toc392492687"/>
      <w:r>
        <w:rPr>
          <w:rStyle w:val="CharSectno"/>
        </w:rPr>
        <w:t>26</w:t>
      </w:r>
      <w:r>
        <w:rPr>
          <w:snapToGrid w:val="0"/>
        </w:rPr>
        <w:t>.</w:t>
      </w:r>
      <w:r>
        <w:rPr>
          <w:snapToGrid w:val="0"/>
        </w:rPr>
        <w:tab/>
        <w:t>Finality of proceedings</w:t>
      </w:r>
      <w:bookmarkEnd w:id="39"/>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r>
        <w:tab/>
        <w:t xml:space="preserve">[Section 26 amended by No. 50 of 1988 s. 13; No. 59 of 2004 s. 120(3) and 121; No. 69 of 2006 s. 30.] </w:t>
      </w:r>
    </w:p>
    <w:p>
      <w:pPr>
        <w:pStyle w:val="Heading2"/>
      </w:pPr>
      <w:bookmarkStart w:id="40" w:name="_Toc381880632"/>
      <w:bookmarkStart w:id="41" w:name="_Toc392492688"/>
      <w:r>
        <w:rPr>
          <w:rStyle w:val="CharPartNo"/>
        </w:rPr>
        <w:t>Part IV</w:t>
      </w:r>
      <w:r>
        <w:t> — </w:t>
      </w:r>
      <w:r>
        <w:rPr>
          <w:rStyle w:val="CharPartText"/>
        </w:rPr>
        <w:t>Residential tenancy agreements</w:t>
      </w:r>
      <w:bookmarkEnd w:id="40"/>
      <w:bookmarkEnd w:id="41"/>
    </w:p>
    <w:p>
      <w:pPr>
        <w:pStyle w:val="Footnoteheading"/>
      </w:pPr>
      <w:r>
        <w:tab/>
        <w:t>[Heading inserted by No. 60 of 2011 s. 21.]</w:t>
      </w:r>
    </w:p>
    <w:p>
      <w:pPr>
        <w:pStyle w:val="Heading3"/>
      </w:pPr>
      <w:bookmarkStart w:id="42" w:name="_Toc381880633"/>
      <w:bookmarkStart w:id="43" w:name="_Toc392492689"/>
      <w:r>
        <w:rPr>
          <w:rStyle w:val="CharDivNo"/>
        </w:rPr>
        <w:t>Division 1A</w:t>
      </w:r>
      <w:r>
        <w:t> — </w:t>
      </w:r>
      <w:r>
        <w:rPr>
          <w:rStyle w:val="CharDivText"/>
        </w:rPr>
        <w:t>Form of residential tenancy agreement and associated documents</w:t>
      </w:r>
      <w:bookmarkEnd w:id="42"/>
      <w:bookmarkEnd w:id="43"/>
    </w:p>
    <w:p>
      <w:pPr>
        <w:pStyle w:val="Footnoteheading"/>
      </w:pPr>
      <w:r>
        <w:tab/>
        <w:t>[Heading inserted by No. 60 of 2011 s. 22.]</w:t>
      </w:r>
    </w:p>
    <w:p>
      <w:pPr>
        <w:pStyle w:val="Heading5"/>
      </w:pPr>
      <w:bookmarkStart w:id="44" w:name="_Toc392492690"/>
      <w:r>
        <w:rPr>
          <w:rStyle w:val="CharSectno"/>
        </w:rPr>
        <w:t>27A</w:t>
      </w:r>
      <w:r>
        <w:t>.</w:t>
      </w:r>
      <w:r>
        <w:tab/>
        <w:t>Written residential tenancy agreement to be in prescribed form</w:t>
      </w:r>
      <w:bookmarkEnd w:id="44"/>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by No. 60 of 2011 s. 22.] </w:t>
      </w:r>
    </w:p>
    <w:p>
      <w:pPr>
        <w:pStyle w:val="Heading5"/>
      </w:pPr>
      <w:bookmarkStart w:id="45" w:name="_Toc392492691"/>
      <w:r>
        <w:rPr>
          <w:rStyle w:val="CharSectno"/>
        </w:rPr>
        <w:t>27B</w:t>
      </w:r>
      <w:r>
        <w:t>.</w:t>
      </w:r>
      <w:r>
        <w:tab/>
        <w:t>Information to be given to tenant by lessor</w:t>
      </w:r>
      <w:bookmarkEnd w:id="45"/>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by No. 60 of 2011 s. 22.] </w:t>
      </w:r>
    </w:p>
    <w:p>
      <w:pPr>
        <w:pStyle w:val="Heading5"/>
      </w:pPr>
      <w:bookmarkStart w:id="46" w:name="_Toc392492692"/>
      <w:r>
        <w:rPr>
          <w:rStyle w:val="CharSectno"/>
        </w:rPr>
        <w:t>27C</w:t>
      </w:r>
      <w:r>
        <w:t>.</w:t>
      </w:r>
      <w:r>
        <w:tab/>
      </w:r>
      <w:r>
        <w:rPr>
          <w:snapToGrid w:val="0"/>
        </w:rPr>
        <w:t>Property condition report at start and end of tenancy</w:t>
      </w:r>
      <w:bookmarkEnd w:id="46"/>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t xml:space="preserve">Penalty: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as soon as practicable, and in any event within 14 days, after the termination of a tenancy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t xml:space="preserve">Penalty: a fine of </w:t>
      </w:r>
      <w:r>
        <w:t>$5 000.</w:t>
      </w:r>
    </w:p>
    <w:p>
      <w:pPr>
        <w:pStyle w:val="Subsection"/>
      </w:pPr>
      <w:r>
        <w:tab/>
        <w:t>(5)</w:t>
      </w:r>
      <w:r>
        <w:tab/>
        <w:t>The tenant is to be given a reasonable opportunity to be present at the inspection conducted under subsection (4)(a).</w:t>
      </w:r>
    </w:p>
    <w:p>
      <w:pPr>
        <w:pStyle w:val="Subsection"/>
      </w:pPr>
      <w:r>
        <w:tab/>
        <w:t>(6)</w:t>
      </w:r>
      <w:r>
        <w:tab/>
        <w:t>The regulations may prescribe information that must be included in a property condition report.</w:t>
      </w:r>
    </w:p>
    <w:p>
      <w:pPr>
        <w:pStyle w:val="Footnotesection"/>
      </w:pPr>
      <w:r>
        <w:tab/>
        <w:t xml:space="preserve">[Section 27C inserted by No. 60 of 2011 s. 22.] </w:t>
      </w:r>
    </w:p>
    <w:p>
      <w:pPr>
        <w:pStyle w:val="Heading3"/>
        <w:rPr>
          <w:snapToGrid w:val="0"/>
        </w:rPr>
      </w:pPr>
      <w:bookmarkStart w:id="47" w:name="_Toc381880637"/>
      <w:bookmarkStart w:id="48" w:name="_Toc392492693"/>
      <w:r>
        <w:rPr>
          <w:rStyle w:val="CharDivNo"/>
        </w:rPr>
        <w:t>Division 1</w:t>
      </w:r>
      <w:r>
        <w:rPr>
          <w:snapToGrid w:val="0"/>
        </w:rPr>
        <w:t> — </w:t>
      </w:r>
      <w:r>
        <w:rPr>
          <w:rStyle w:val="CharDivText"/>
        </w:rPr>
        <w:t>Rent and security bonds</w:t>
      </w:r>
      <w:bookmarkEnd w:id="47"/>
      <w:bookmarkEnd w:id="48"/>
    </w:p>
    <w:p>
      <w:pPr>
        <w:pStyle w:val="Heading5"/>
        <w:spacing w:before="160"/>
        <w:rPr>
          <w:snapToGrid w:val="0"/>
        </w:rPr>
      </w:pPr>
      <w:bookmarkStart w:id="49" w:name="_Toc392492694"/>
      <w:r>
        <w:rPr>
          <w:rStyle w:val="CharSectno"/>
        </w:rPr>
        <w:t>27</w:t>
      </w:r>
      <w:r>
        <w:rPr>
          <w:snapToGrid w:val="0"/>
        </w:rPr>
        <w:t>.</w:t>
      </w:r>
      <w:r>
        <w:rPr>
          <w:snapToGrid w:val="0"/>
        </w:rPr>
        <w:tab/>
        <w:t>Restriction on consideration for tenancy agreement</w:t>
      </w:r>
      <w:bookmarkEnd w:id="49"/>
      <w:r>
        <w:rPr>
          <w:snapToGrid w:val="0"/>
        </w:rPr>
        <w:t xml:space="preserve"> </w:t>
      </w:r>
    </w:p>
    <w:p>
      <w:pPr>
        <w:pStyle w:val="Subsection"/>
        <w:spacing w:line="240" w:lineRule="auto"/>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a fine of $5 000.</w:t>
      </w:r>
    </w:p>
    <w:p>
      <w:pPr>
        <w:pStyle w:val="Subsection"/>
        <w:keepNext/>
        <w:spacing w:line="240" w:lineRule="auto"/>
        <w:rPr>
          <w:snapToGrid w:val="0"/>
        </w:rPr>
      </w:pPr>
      <w:r>
        <w:rPr>
          <w:snapToGrid w:val="0"/>
        </w:rPr>
        <w:tab/>
        <w:t>(2)</w:t>
      </w:r>
      <w:r>
        <w:rPr>
          <w:snapToGrid w:val="0"/>
        </w:rPr>
        <w:tab/>
        <w:t>Subsection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by No. 59 of 1995 s. 46 and 55; No. 60 of 2011 s. 23 and 89.] </w:t>
      </w:r>
    </w:p>
    <w:p>
      <w:pPr>
        <w:pStyle w:val="Heading5"/>
        <w:rPr>
          <w:snapToGrid w:val="0"/>
        </w:rPr>
      </w:pPr>
      <w:bookmarkStart w:id="50" w:name="_Toc392492695"/>
      <w:r>
        <w:rPr>
          <w:rStyle w:val="CharSectno"/>
        </w:rPr>
        <w:t>28</w:t>
      </w:r>
      <w:r>
        <w:rPr>
          <w:snapToGrid w:val="0"/>
        </w:rPr>
        <w:t>.</w:t>
      </w:r>
      <w:r>
        <w:rPr>
          <w:snapToGrid w:val="0"/>
        </w:rPr>
        <w:tab/>
        <w:t>Rent in advance</w:t>
      </w:r>
      <w:bookmarkEnd w:id="50"/>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pPr>
      <w:r>
        <w:tab/>
        <w:t>Penalty: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a fine of $5 000.</w:t>
      </w:r>
    </w:p>
    <w:p>
      <w:pPr>
        <w:pStyle w:val="Footnotesection"/>
      </w:pPr>
      <w:r>
        <w:tab/>
        <w:t xml:space="preserve">[Section 28 amended by No. 59 of 1995 s. 55; No. 60 of 2011 s. 24.] </w:t>
      </w:r>
    </w:p>
    <w:p>
      <w:pPr>
        <w:pStyle w:val="Heading5"/>
        <w:rPr>
          <w:snapToGrid w:val="0"/>
        </w:rPr>
      </w:pPr>
      <w:bookmarkStart w:id="51" w:name="_Toc392492696"/>
      <w:r>
        <w:rPr>
          <w:rStyle w:val="CharSectno"/>
        </w:rPr>
        <w:t>29</w:t>
      </w:r>
      <w:r>
        <w:rPr>
          <w:snapToGrid w:val="0"/>
        </w:rPr>
        <w:t>.</w:t>
      </w:r>
      <w:r>
        <w:rPr>
          <w:snapToGrid w:val="0"/>
        </w:rPr>
        <w:tab/>
        <w:t>Security bonds</w:t>
      </w:r>
      <w:bookmarkEnd w:id="51"/>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3(1);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a fine of $5 000.</w:t>
      </w:r>
    </w:p>
    <w:p>
      <w:pPr>
        <w:pStyle w:val="Footnotesection"/>
      </w:pPr>
      <w:r>
        <w:tab/>
        <w:t xml:space="preserve">[Section 29 amended by No. 59 of 1995 s. 47 and 55; No. 69 of 2006 s. 31; No. 60 of 2011 s. 25; No. 18 of 2013 s. 62.] </w:t>
      </w:r>
    </w:p>
    <w:p>
      <w:pPr>
        <w:pStyle w:val="Ednotesection"/>
      </w:pPr>
      <w:r>
        <w:t>[</w:t>
      </w:r>
      <w:r>
        <w:rPr>
          <w:b/>
        </w:rPr>
        <w:t>29A.</w:t>
      </w:r>
      <w:r>
        <w:tab/>
        <w:t>Deleted by No. 60 of 2011 s. 26.]</w:t>
      </w:r>
    </w:p>
    <w:p>
      <w:pPr>
        <w:pStyle w:val="Heading5"/>
        <w:rPr>
          <w:snapToGrid w:val="0"/>
        </w:rPr>
      </w:pPr>
      <w:bookmarkStart w:id="52" w:name="_Toc392492697"/>
      <w:r>
        <w:rPr>
          <w:rStyle w:val="CharSectno"/>
        </w:rPr>
        <w:t>30</w:t>
      </w:r>
      <w:r>
        <w:rPr>
          <w:snapToGrid w:val="0"/>
        </w:rPr>
        <w:t>.</w:t>
      </w:r>
      <w:r>
        <w:rPr>
          <w:snapToGrid w:val="0"/>
        </w:rPr>
        <w:tab/>
        <w:t>Variation of rent (except where calculated by reference to tenant’s income)</w:t>
      </w:r>
      <w:bookmarkEnd w:id="52"/>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by No. 60 of 2011 s. 27, 88 and 89.] </w:t>
      </w:r>
    </w:p>
    <w:p>
      <w:pPr>
        <w:pStyle w:val="Heading5"/>
      </w:pPr>
      <w:bookmarkStart w:id="53" w:name="_Toc392492698"/>
      <w:r>
        <w:rPr>
          <w:rStyle w:val="CharSectno"/>
        </w:rPr>
        <w:t>31A</w:t>
      </w:r>
      <w:r>
        <w:t>.</w:t>
      </w:r>
      <w:r>
        <w:tab/>
        <w:t>Variation of rent where calculated by reference to tenant’s income</w:t>
      </w:r>
      <w:bookmarkEnd w:id="53"/>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by No. 60 of 2011 s. 28.] </w:t>
      </w:r>
    </w:p>
    <w:p>
      <w:pPr>
        <w:pStyle w:val="Heading5"/>
      </w:pPr>
      <w:bookmarkStart w:id="54" w:name="_Toc392492699"/>
      <w:r>
        <w:rPr>
          <w:rStyle w:val="CharSectno"/>
        </w:rPr>
        <w:t>31B</w:t>
      </w:r>
      <w:r>
        <w:t>.</w:t>
      </w:r>
      <w:r>
        <w:tab/>
        <w:t>Increase in rent after renegotiating lease</w:t>
      </w:r>
      <w:bookmarkEnd w:id="54"/>
    </w:p>
    <w:p>
      <w:pPr>
        <w:pStyle w:val="Subsection"/>
      </w:pPr>
      <w:r>
        <w:tab/>
      </w:r>
      <w:r>
        <w:tab/>
        <w:t xml:space="preserve">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spacing w:before="120"/>
      </w:pPr>
      <w:r>
        <w:tab/>
      </w:r>
      <w:r>
        <w:tab/>
        <w:t>then, during the first 30 days after the new agreement was entered into, the tenant cannot be required under the new agreement to pay an amount of rent more than the amount payable under the former agreement.</w:t>
      </w:r>
    </w:p>
    <w:p>
      <w:pPr>
        <w:pStyle w:val="Footnotesection"/>
        <w:spacing w:before="100"/>
      </w:pPr>
      <w:r>
        <w:tab/>
        <w:t xml:space="preserve">[Section 31B inserted by No. 60 of 2011 s. 28.] </w:t>
      </w:r>
    </w:p>
    <w:p>
      <w:pPr>
        <w:pStyle w:val="Heading5"/>
        <w:rPr>
          <w:snapToGrid w:val="0"/>
        </w:rPr>
      </w:pPr>
      <w:bookmarkStart w:id="55" w:name="_Toc392492700"/>
      <w:r>
        <w:rPr>
          <w:rStyle w:val="CharSectno"/>
        </w:rPr>
        <w:t>31</w:t>
      </w:r>
      <w:r>
        <w:rPr>
          <w:snapToGrid w:val="0"/>
        </w:rPr>
        <w:t>.</w:t>
      </w:r>
      <w:r>
        <w:rPr>
          <w:snapToGrid w:val="0"/>
        </w:rPr>
        <w:tab/>
        <w:t>Increase in security bond</w:t>
      </w:r>
      <w:bookmarkEnd w:id="55"/>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section 30, 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by No. 60 of 2011 s. 29 and 89.] </w:t>
      </w:r>
    </w:p>
    <w:p>
      <w:pPr>
        <w:pStyle w:val="Heading5"/>
        <w:rPr>
          <w:snapToGrid w:val="0"/>
        </w:rPr>
      </w:pPr>
      <w:bookmarkStart w:id="56" w:name="_Toc392492701"/>
      <w:r>
        <w:rPr>
          <w:rStyle w:val="CharSectno"/>
        </w:rPr>
        <w:t>32</w:t>
      </w:r>
      <w:r>
        <w:rPr>
          <w:snapToGrid w:val="0"/>
        </w:rPr>
        <w:t>.</w:t>
      </w:r>
      <w:r>
        <w:rPr>
          <w:snapToGrid w:val="0"/>
        </w:rPr>
        <w:tab/>
        <w:t>Limitation of excessive rents in certain circumstances</w:t>
      </w:r>
      <w:bookmarkEnd w:id="56"/>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spacing w:before="60"/>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spacing w:before="60"/>
        <w:rPr>
          <w:snapToGrid w:val="0"/>
        </w:rPr>
      </w:pPr>
      <w:r>
        <w:rPr>
          <w:snapToGrid w:val="0"/>
        </w:rPr>
        <w:tab/>
        <w:t>(e)</w:t>
      </w:r>
      <w:r>
        <w:rPr>
          <w:snapToGrid w:val="0"/>
        </w:rPr>
        <w:tab/>
        <w:t>the value and nature of the chattels provided with the premises for use by the tenant; and</w:t>
      </w:r>
    </w:p>
    <w:p>
      <w:pPr>
        <w:pStyle w:val="Indenta"/>
        <w:spacing w:before="60"/>
        <w:rPr>
          <w:snapToGrid w:val="0"/>
        </w:rPr>
      </w:pPr>
      <w:r>
        <w:rPr>
          <w:snapToGrid w:val="0"/>
        </w:rPr>
        <w:tab/>
        <w:t>(f)</w:t>
      </w:r>
      <w:r>
        <w:rPr>
          <w:snapToGrid w:val="0"/>
        </w:rPr>
        <w:tab/>
        <w:t>the accommodation and amenities provided in the premises and the state of repair and general condition thereof; and</w:t>
      </w:r>
    </w:p>
    <w:p>
      <w:pPr>
        <w:pStyle w:val="Indenta"/>
        <w:spacing w:before="60"/>
        <w:rPr>
          <w:snapToGrid w:val="0"/>
        </w:rPr>
      </w:pPr>
      <w:r>
        <w:rPr>
          <w:snapToGrid w:val="0"/>
        </w:rPr>
        <w:tab/>
        <w:t>(g)</w:t>
      </w:r>
      <w:r>
        <w:rPr>
          <w:snapToGrid w:val="0"/>
        </w:rPr>
        <w:tab/>
        <w:t>any other relevant matter.</w:t>
      </w:r>
    </w:p>
    <w:p>
      <w:pPr>
        <w:pStyle w:val="Subsection"/>
        <w:spacing w:before="120"/>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spacing w:before="120"/>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spacing w:before="120"/>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spacing w:before="120"/>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a fine of $5 000.</w:t>
      </w:r>
    </w:p>
    <w:p>
      <w:pPr>
        <w:pStyle w:val="Footnotesection"/>
        <w:spacing w:before="100"/>
      </w:pPr>
      <w:r>
        <w:tab/>
        <w:t xml:space="preserve">[Section 32 amended by No. 50 of 1988 s. 18; No. 59 of 2004 s. 120 and 121; No. 60 of 2011 s. 30 and 89.] </w:t>
      </w:r>
    </w:p>
    <w:p>
      <w:pPr>
        <w:pStyle w:val="Heading5"/>
        <w:rPr>
          <w:snapToGrid w:val="0"/>
        </w:rPr>
      </w:pPr>
      <w:bookmarkStart w:id="57" w:name="_Toc392492702"/>
      <w:r>
        <w:rPr>
          <w:rStyle w:val="CharSectno"/>
        </w:rPr>
        <w:t>33</w:t>
      </w:r>
      <w:r>
        <w:rPr>
          <w:snapToGrid w:val="0"/>
        </w:rPr>
        <w:t>.</w:t>
      </w:r>
      <w:r>
        <w:rPr>
          <w:snapToGrid w:val="0"/>
        </w:rPr>
        <w:tab/>
        <w:t>Duty to give receipt for rent</w:t>
      </w:r>
      <w:bookmarkEnd w:id="57"/>
      <w:r>
        <w:rPr>
          <w:snapToGrid w:val="0"/>
        </w:rPr>
        <w:t xml:space="preserve"> </w:t>
      </w:r>
    </w:p>
    <w:p>
      <w:pPr>
        <w:pStyle w:val="Subsection"/>
        <w:spacing w:before="120"/>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w:t>
      </w:r>
      <w:r>
        <w:rPr>
          <w:b/>
          <w:i/>
          <w:snapToGrid w:val="0"/>
        </w:rPr>
        <w:t>excluded day</w:t>
      </w:r>
      <w:r>
        <w:rPr>
          <w:snapToGrid w:val="0"/>
        </w:rPr>
        <w:t xml:space="preserve">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No. 60 of 2011 s. 31, 88 and 89.] </w:t>
      </w:r>
    </w:p>
    <w:p>
      <w:pPr>
        <w:pStyle w:val="Heading5"/>
      </w:pPr>
      <w:bookmarkStart w:id="58" w:name="_Toc392492703"/>
      <w:r>
        <w:rPr>
          <w:rStyle w:val="CharSectno"/>
        </w:rPr>
        <w:t>34A</w:t>
      </w:r>
      <w:r>
        <w:t>.</w:t>
      </w:r>
      <w:r>
        <w:tab/>
        <w:t>Manner of payment of rent</w:t>
      </w:r>
      <w:bookmarkEnd w:id="58"/>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by No. 60 of 2011 s. 32.] </w:t>
      </w:r>
    </w:p>
    <w:p>
      <w:pPr>
        <w:pStyle w:val="Heading5"/>
        <w:rPr>
          <w:snapToGrid w:val="0"/>
        </w:rPr>
      </w:pPr>
      <w:bookmarkStart w:id="59" w:name="_Toc392492704"/>
      <w:r>
        <w:rPr>
          <w:rStyle w:val="CharSectno"/>
        </w:rPr>
        <w:t>34</w:t>
      </w:r>
      <w:r>
        <w:rPr>
          <w:snapToGrid w:val="0"/>
        </w:rPr>
        <w:t>.</w:t>
      </w:r>
      <w:r>
        <w:rPr>
          <w:snapToGrid w:val="0"/>
        </w:rPr>
        <w:tab/>
        <w:t>Proper records of rent to be kept</w:t>
      </w:r>
      <w:bookmarkEnd w:id="59"/>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a fine of $5 000.</w:t>
      </w:r>
    </w:p>
    <w:p>
      <w:pPr>
        <w:pStyle w:val="Footnotesection"/>
      </w:pPr>
      <w:r>
        <w:tab/>
        <w:t xml:space="preserve">[Section 34 amended by No. 59 of 1995 s. 55; No. 60 of 2011 s. 33 and 89.] </w:t>
      </w:r>
    </w:p>
    <w:p>
      <w:pPr>
        <w:pStyle w:val="Heading5"/>
        <w:rPr>
          <w:snapToGrid w:val="0"/>
        </w:rPr>
      </w:pPr>
      <w:bookmarkStart w:id="60" w:name="_Toc392492705"/>
      <w:r>
        <w:rPr>
          <w:rStyle w:val="CharSectno"/>
        </w:rPr>
        <w:t>35</w:t>
      </w:r>
      <w:r>
        <w:rPr>
          <w:snapToGrid w:val="0"/>
        </w:rPr>
        <w:t>.</w:t>
      </w:r>
      <w:r>
        <w:rPr>
          <w:snapToGrid w:val="0"/>
        </w:rPr>
        <w:tab/>
        <w:t>Payment of rent by post</w:t>
      </w:r>
      <w:r>
        <w:rPr>
          <w:snapToGrid w:val="0"/>
        </w:rPr>
        <w:noBreakHyphen/>
        <w:t>dated cheques etc. prohibited</w:t>
      </w:r>
      <w:bookmarkEnd w:id="60"/>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by No. 59 of 1995 s. 55; No. 60 of 2011 s. 34.] </w:t>
      </w:r>
    </w:p>
    <w:p>
      <w:pPr>
        <w:pStyle w:val="Heading5"/>
        <w:rPr>
          <w:snapToGrid w:val="0"/>
        </w:rPr>
      </w:pPr>
      <w:bookmarkStart w:id="61" w:name="_Toc392492706"/>
      <w:r>
        <w:rPr>
          <w:rStyle w:val="CharSectno"/>
        </w:rPr>
        <w:t>36</w:t>
      </w:r>
      <w:r>
        <w:rPr>
          <w:snapToGrid w:val="0"/>
        </w:rPr>
        <w:t>.</w:t>
      </w:r>
      <w:r>
        <w:rPr>
          <w:snapToGrid w:val="0"/>
        </w:rPr>
        <w:tab/>
        <w:t>Apportionment of rent</w:t>
      </w:r>
      <w:bookmarkEnd w:id="61"/>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62" w:name="_Toc381880651"/>
      <w:bookmarkStart w:id="63" w:name="_Toc392492707"/>
      <w:r>
        <w:rPr>
          <w:rStyle w:val="CharDivNo"/>
        </w:rPr>
        <w:t>Division 2</w:t>
      </w:r>
      <w:r>
        <w:rPr>
          <w:snapToGrid w:val="0"/>
        </w:rPr>
        <w:t> — </w:t>
      </w:r>
      <w:r>
        <w:rPr>
          <w:rStyle w:val="CharDivText"/>
        </w:rPr>
        <w:t>Standard terms</w:t>
      </w:r>
      <w:bookmarkEnd w:id="62"/>
      <w:bookmarkEnd w:id="63"/>
    </w:p>
    <w:p>
      <w:pPr>
        <w:pStyle w:val="Footnoteheading"/>
      </w:pPr>
      <w:r>
        <w:tab/>
        <w:t>[Heading amended by No. 60 of 2011 s. 35.]</w:t>
      </w:r>
    </w:p>
    <w:p>
      <w:pPr>
        <w:pStyle w:val="Ednotesection"/>
      </w:pPr>
      <w:r>
        <w:t>[</w:t>
      </w:r>
      <w:r>
        <w:rPr>
          <w:b/>
        </w:rPr>
        <w:t>37.</w:t>
      </w:r>
      <w:r>
        <w:tab/>
        <w:t>Deleted by No. 60 of 2011 s. 36.]</w:t>
      </w:r>
    </w:p>
    <w:p>
      <w:pPr>
        <w:pStyle w:val="Heading5"/>
        <w:rPr>
          <w:snapToGrid w:val="0"/>
        </w:rPr>
      </w:pPr>
      <w:bookmarkStart w:id="64" w:name="_Toc392492708"/>
      <w:r>
        <w:rPr>
          <w:rStyle w:val="CharSectno"/>
        </w:rPr>
        <w:t>38</w:t>
      </w:r>
      <w:r>
        <w:rPr>
          <w:snapToGrid w:val="0"/>
        </w:rPr>
        <w:t>.</w:t>
      </w:r>
      <w:r>
        <w:rPr>
          <w:snapToGrid w:val="0"/>
        </w:rPr>
        <w:tab/>
        <w:t>Tenant’s responsibility for cleanliness and damage</w:t>
      </w:r>
      <w:bookmarkEnd w:id="64"/>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by No. 60 of 2011 s. 37 and 89.]</w:t>
      </w:r>
    </w:p>
    <w:p>
      <w:pPr>
        <w:pStyle w:val="Heading5"/>
        <w:rPr>
          <w:snapToGrid w:val="0"/>
        </w:rPr>
      </w:pPr>
      <w:bookmarkStart w:id="65" w:name="_Toc392492709"/>
      <w:r>
        <w:rPr>
          <w:rStyle w:val="CharSectno"/>
        </w:rPr>
        <w:t>39</w:t>
      </w:r>
      <w:r>
        <w:rPr>
          <w:snapToGrid w:val="0"/>
        </w:rPr>
        <w:t>.</w:t>
      </w:r>
      <w:r>
        <w:rPr>
          <w:snapToGrid w:val="0"/>
        </w:rPr>
        <w:tab/>
        <w:t>Tenant’s conduct on premises</w:t>
      </w:r>
      <w:bookmarkEnd w:id="65"/>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by No. 60 of 2011 s. 38.]</w:t>
      </w:r>
    </w:p>
    <w:p>
      <w:pPr>
        <w:pStyle w:val="Heading5"/>
      </w:pPr>
      <w:bookmarkStart w:id="66" w:name="_Toc392492710"/>
      <w:r>
        <w:rPr>
          <w:rStyle w:val="CharSectno"/>
        </w:rPr>
        <w:t>40</w:t>
      </w:r>
      <w:r>
        <w:t>.</w:t>
      </w:r>
      <w:r>
        <w:tab/>
        <w:t>Vacant possession</w:t>
      </w:r>
      <w:bookmarkEnd w:id="66"/>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by No. 60 of 2011 s. 39.]</w:t>
      </w:r>
    </w:p>
    <w:p>
      <w:pPr>
        <w:pStyle w:val="Heading5"/>
        <w:rPr>
          <w:snapToGrid w:val="0"/>
        </w:rPr>
      </w:pPr>
      <w:bookmarkStart w:id="67" w:name="_Toc392492711"/>
      <w:r>
        <w:rPr>
          <w:rStyle w:val="CharSectno"/>
        </w:rPr>
        <w:t>41</w:t>
      </w:r>
      <w:r>
        <w:rPr>
          <w:snapToGrid w:val="0"/>
        </w:rPr>
        <w:t>.</w:t>
      </w:r>
      <w:r>
        <w:rPr>
          <w:snapToGrid w:val="0"/>
        </w:rPr>
        <w:tab/>
        <w:t>Legal impediments to occupation as residence</w:t>
      </w:r>
      <w:bookmarkEnd w:id="67"/>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period of the tenancy.</w:t>
      </w:r>
    </w:p>
    <w:p>
      <w:pPr>
        <w:pStyle w:val="Footnotesection"/>
      </w:pPr>
      <w:r>
        <w:tab/>
        <w:t>[Section 41 amended by No. 60 of 2011 s. 40 and 89.]</w:t>
      </w:r>
    </w:p>
    <w:p>
      <w:pPr>
        <w:pStyle w:val="Heading5"/>
      </w:pPr>
      <w:bookmarkStart w:id="68" w:name="_Toc392492712"/>
      <w:r>
        <w:rPr>
          <w:rStyle w:val="CharSectno"/>
        </w:rPr>
        <w:t>42</w:t>
      </w:r>
      <w:r>
        <w:t>.</w:t>
      </w:r>
      <w:r>
        <w:tab/>
        <w:t>Lessor’s responsibility for cleanliness and repairs</w:t>
      </w:r>
      <w:bookmarkEnd w:id="68"/>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by No. 60 of 2011 s. 41.]</w:t>
      </w:r>
    </w:p>
    <w:p>
      <w:pPr>
        <w:pStyle w:val="Heading5"/>
      </w:pPr>
      <w:bookmarkStart w:id="69" w:name="_Toc392492713"/>
      <w:r>
        <w:rPr>
          <w:rStyle w:val="CharSectno"/>
        </w:rPr>
        <w:t>43</w:t>
      </w:r>
      <w:r>
        <w:t>.</w:t>
      </w:r>
      <w:r>
        <w:tab/>
        <w:t>Urgent repairs</w:t>
      </w:r>
      <w:bookmarkEnd w:id="69"/>
    </w:p>
    <w:p>
      <w:pPr>
        <w:pStyle w:val="Subsection"/>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in the regulations as an essential service — 24 hours; or</w:t>
      </w:r>
    </w:p>
    <w:p>
      <w:pPr>
        <w:pStyle w:val="Defpara"/>
      </w:pPr>
      <w:r>
        <w:tab/>
        <w:t>(b)</w:t>
      </w:r>
      <w:r>
        <w:tab/>
        <w:t>in relation to any other urgent repairs — 48 hours or any longer period prescribed in the regulations;</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in the regulations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by No. 60 of 2011 s. 41.]</w:t>
      </w:r>
    </w:p>
    <w:p>
      <w:pPr>
        <w:pStyle w:val="Heading5"/>
      </w:pPr>
      <w:bookmarkStart w:id="70" w:name="_Toc392492714"/>
      <w:r>
        <w:rPr>
          <w:rStyle w:val="CharSectno"/>
        </w:rPr>
        <w:t>44</w:t>
      </w:r>
      <w:r>
        <w:t>.</w:t>
      </w:r>
      <w:r>
        <w:tab/>
        <w:t>Quiet enjoyment</w:t>
      </w:r>
      <w:bookmarkEnd w:id="70"/>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by No. 60 of 2011 s. 41.]</w:t>
      </w:r>
    </w:p>
    <w:p>
      <w:pPr>
        <w:pStyle w:val="Heading5"/>
      </w:pPr>
      <w:bookmarkStart w:id="71" w:name="_Toc392492715"/>
      <w:r>
        <w:rPr>
          <w:rStyle w:val="CharSectno"/>
        </w:rPr>
        <w:t>45</w:t>
      </w:r>
      <w:r>
        <w:t>.</w:t>
      </w:r>
      <w:r>
        <w:tab/>
        <w:t>Securing premises</w:t>
      </w:r>
      <w:bookmarkEnd w:id="71"/>
    </w:p>
    <w:p>
      <w:pPr>
        <w:pStyle w:val="Subsection"/>
      </w:pPr>
      <w:r>
        <w:tab/>
      </w:r>
      <w:r>
        <w:tab/>
        <w:t xml:space="preserve">It is a term of every residential tenancy agreement — </w:t>
      </w:r>
    </w:p>
    <w:p>
      <w:pPr>
        <w:pStyle w:val="Indenta"/>
        <w:spacing w:before="70"/>
      </w:pPr>
      <w:r>
        <w:tab/>
        <w:t>(a)</w:t>
      </w:r>
      <w:r>
        <w:tab/>
      </w:r>
      <w:r>
        <w:rPr>
          <w:snapToGrid w:val="0"/>
        </w:rPr>
        <w:t>that the lessor must provide and maintain such means to ensure that the residential premises are reasonably secure as are prescribed in the regulations;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the lessor or the tenant must not unreasonably withhold the consent referred to in paragraph (b).</w:t>
      </w:r>
    </w:p>
    <w:p>
      <w:pPr>
        <w:pStyle w:val="Footnotesection"/>
        <w:spacing w:before="100"/>
      </w:pPr>
      <w:r>
        <w:tab/>
        <w:t>[Section 45 inserted by No. 60 of 2011 s. 41.]</w:t>
      </w:r>
    </w:p>
    <w:p>
      <w:pPr>
        <w:pStyle w:val="Heading5"/>
      </w:pPr>
      <w:bookmarkStart w:id="72" w:name="_Toc392492716"/>
      <w:r>
        <w:rPr>
          <w:rStyle w:val="CharSectno"/>
        </w:rPr>
        <w:t>46</w:t>
      </w:r>
      <w:r>
        <w:t>.</w:t>
      </w:r>
      <w:r>
        <w:tab/>
        <w:t>Lessor’s right of entry</w:t>
      </w:r>
      <w:bookmarkEnd w:id="72"/>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premises</w:t>
      </w:r>
      <w:r>
        <w:t xml:space="preserve"> means any part of the premises in respect of which the tenant has a right of exclusive occupation;</w:t>
      </w:r>
    </w:p>
    <w:p>
      <w:pPr>
        <w:pStyle w:val="Defstar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before the lessor gives notice under subsection (2) of a proposed entry to the premises,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by No. 60 of 2011 s. 41.]</w:t>
      </w:r>
    </w:p>
    <w:p>
      <w:pPr>
        <w:pStyle w:val="Heading5"/>
        <w:rPr>
          <w:snapToGrid w:val="0"/>
        </w:rPr>
      </w:pPr>
      <w:bookmarkStart w:id="73" w:name="_Toc392492717"/>
      <w:r>
        <w:rPr>
          <w:rStyle w:val="CharSectno"/>
        </w:rPr>
        <w:t>47</w:t>
      </w:r>
      <w:r>
        <w:rPr>
          <w:snapToGrid w:val="0"/>
        </w:rPr>
        <w:t>.</w:t>
      </w:r>
      <w:r>
        <w:rPr>
          <w:snapToGrid w:val="0"/>
        </w:rPr>
        <w:tab/>
        <w:t>Right of tenant to affix and remove fixtures etc.</w:t>
      </w:r>
      <w:bookmarkEnd w:id="73"/>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spacing w:val="-2"/>
        </w:rPr>
      </w:pPr>
      <w:r>
        <w:rPr>
          <w:snapToGrid w:val="0"/>
          <w:spacing w:val="-2"/>
        </w:rPr>
        <w:tab/>
        <w:t>(b)</w:t>
      </w:r>
      <w:r>
        <w:rPr>
          <w:snapToGrid w:val="0"/>
          <w:spacing w:val="-2"/>
        </w:rPr>
        <w:tab/>
        <w:t xml:space="preserve">the tenant may remove any fixture that </w:t>
      </w:r>
      <w:r>
        <w:t>the tenant</w:t>
      </w:r>
      <w:r>
        <w:rPr>
          <w:snapToGrid w:val="0"/>
          <w:spacing w:val="-2"/>
        </w:rPr>
        <w:t xml:space="preserve"> has affixed to the premises, with the </w:t>
      </w:r>
      <w:r>
        <w:t>lessor’s</w:t>
      </w:r>
      <w:r>
        <w:rPr>
          <w:snapToGrid w:val="0"/>
          <w:spacing w:val="-2"/>
        </w:rPr>
        <w:t xml:space="preserve"> consent, during the period that </w:t>
      </w:r>
      <w:r>
        <w:t>the tenant</w:t>
      </w:r>
      <w:r>
        <w:rPr>
          <w:snapToGrid w:val="0"/>
          <w:spacing w:val="-2"/>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w:t>
      </w:r>
      <w:r>
        <w:rPr>
          <w:snapToGrid w:val="0"/>
          <w:spacing w:val="-4"/>
        </w:rPr>
        <w:t>lessor</w:t>
      </w:r>
      <w:r>
        <w:rPr>
          <w:snapToGrid w:val="0"/>
        </w:rPr>
        <w:t xml:space="preserve"> for any reasonable expenses incurred by the </w:t>
      </w:r>
      <w:r>
        <w:rPr>
          <w:snapToGrid w:val="0"/>
          <w:spacing w:val="-4"/>
        </w:rPr>
        <w:t>lessor</w:t>
      </w:r>
      <w:r>
        <w:rPr>
          <w:snapToGrid w:val="0"/>
        </w:rPr>
        <w:t xml:space="preserve"> in repairing the damage.</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Footnotesection"/>
      </w:pPr>
      <w:r>
        <w:tab/>
        <w:t xml:space="preserve">[Section 47 amended by No. 60 of 2011 s. 42, 88 and 89.] </w:t>
      </w:r>
    </w:p>
    <w:p>
      <w:pPr>
        <w:pStyle w:val="Heading5"/>
        <w:rPr>
          <w:snapToGrid w:val="0"/>
        </w:rPr>
      </w:pPr>
      <w:bookmarkStart w:id="74" w:name="_Toc392492718"/>
      <w:r>
        <w:rPr>
          <w:rStyle w:val="CharSectno"/>
        </w:rPr>
        <w:t>48</w:t>
      </w:r>
      <w:r>
        <w:rPr>
          <w:snapToGrid w:val="0"/>
        </w:rPr>
        <w:t>.</w:t>
      </w:r>
      <w:r>
        <w:rPr>
          <w:snapToGrid w:val="0"/>
        </w:rPr>
        <w:tab/>
        <w:t>Lessor to bear outgoings in respect of premises</w:t>
      </w:r>
      <w:bookmarkEnd w:id="74"/>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by No. 73 of 1995 s. 188; No. 14 of 1996 s. 4; No. 45 of 2002 s. 21; No. 60 of 2011 s. 43 and 89.] </w:t>
      </w:r>
    </w:p>
    <w:p>
      <w:pPr>
        <w:pStyle w:val="Heading5"/>
      </w:pPr>
      <w:bookmarkStart w:id="75" w:name="_Toc392492719"/>
      <w:r>
        <w:rPr>
          <w:rStyle w:val="CharSectno"/>
        </w:rPr>
        <w:t>49A</w:t>
      </w:r>
      <w:r>
        <w:t>.</w:t>
      </w:r>
      <w:r>
        <w:tab/>
        <w:t>Lessor’s and tenant’s responsibilities in respect of public utility services</w:t>
      </w:r>
      <w:bookmarkEnd w:id="75"/>
    </w:p>
    <w:p>
      <w:pPr>
        <w:pStyle w:val="Subsection"/>
      </w:pPr>
      <w:r>
        <w:tab/>
        <w:t>(1)</w:t>
      </w:r>
      <w:r>
        <w:tab/>
        <w:t xml:space="preserve">In this section — </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It is a term of every residential tenancy agreement that the tenant must pay a charge in relation to a public utility service provided to the premises only if —</w:t>
      </w:r>
    </w:p>
    <w:p>
      <w:pPr>
        <w:pStyle w:val="Indenta"/>
      </w:pPr>
      <w:r>
        <w:rPr>
          <w:snapToGrid w:val="0"/>
        </w:rPr>
        <w:tab/>
        <w:t>(a)</w:t>
      </w:r>
      <w:r>
        <w:rPr>
          <w:snapToGrid w:val="0"/>
        </w:rPr>
        <w:tab/>
        <w:t>the charge is calculated by reference to consumption at the residential premises by the tenant; and</w:t>
      </w:r>
    </w:p>
    <w:p>
      <w:pPr>
        <w:pStyle w:val="Indenta"/>
      </w:pPr>
      <w:r>
        <w:rPr>
          <w:snapToGrid w:val="0"/>
        </w:rPr>
        <w:tab/>
        <w:t>(b)</w:t>
      </w:r>
      <w:r>
        <w:rPr>
          <w:snapToGrid w:val="0"/>
        </w:rPr>
        <w:tab/>
        <w:t>the tenant is given notice in writing of the charge in relation to the public utility service, specifying —</w:t>
      </w:r>
    </w:p>
    <w:p>
      <w:pPr>
        <w:pStyle w:val="Indenti"/>
      </w:pPr>
      <w:r>
        <w:tab/>
        <w:t>(i)</w:t>
      </w:r>
      <w:r>
        <w:tab/>
      </w:r>
      <w:r>
        <w:rPr>
          <w:snapToGrid w:val="0"/>
        </w:rPr>
        <w:t>if consumption at the premises is metered — the relevant meter reading, or readings, and the charge per metered unit; or</w:t>
      </w:r>
    </w:p>
    <w:p>
      <w:pPr>
        <w:pStyle w:val="Indenti"/>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Indenta"/>
      </w:pPr>
      <w:r>
        <w:tab/>
      </w:r>
      <w:r>
        <w:tab/>
        <w:t>and</w:t>
      </w:r>
    </w:p>
    <w:p>
      <w:pPr>
        <w:pStyle w:val="Indenta"/>
      </w:pPr>
      <w:r>
        <w:tab/>
        <w:t>(c)</w:t>
      </w:r>
      <w:r>
        <w:tab/>
        <w:t>the tenant is provided with full details of the account for the charge including —</w:t>
      </w:r>
    </w:p>
    <w:p>
      <w:pPr>
        <w:pStyle w:val="Indenti"/>
      </w:pPr>
      <w:r>
        <w:tab/>
        <w:t>(i)</w:t>
      </w:r>
      <w:r>
        <w:tab/>
        <w:t>any meter readings and the charge per metered unit; or</w:t>
      </w:r>
    </w:p>
    <w:p>
      <w:pPr>
        <w:pStyle w:val="Indenti"/>
      </w:pPr>
      <w:r>
        <w:tab/>
        <w:t>(ii)</w:t>
      </w:r>
      <w:r>
        <w:tab/>
        <w:t>the agreed method of calculating referred to in paragraph (b)(ii),</w:t>
      </w:r>
    </w:p>
    <w:p>
      <w:pPr>
        <w:pStyle w:val="Indenta"/>
      </w:pPr>
      <w:r>
        <w:tab/>
      </w:r>
      <w:r>
        <w:tab/>
        <w:t>and the amount of GST payable in respect of the provision of the public utility service to the residential premises.</w:t>
      </w:r>
    </w:p>
    <w:p>
      <w:pPr>
        <w:pStyle w:val="Footnotesection"/>
      </w:pPr>
      <w:r>
        <w:tab/>
        <w:t xml:space="preserve">[Section 49A inserted by No. 60 of 2011 s. 44.] </w:t>
      </w:r>
    </w:p>
    <w:p>
      <w:pPr>
        <w:pStyle w:val="Heading5"/>
        <w:rPr>
          <w:snapToGrid w:val="0"/>
        </w:rPr>
      </w:pPr>
      <w:bookmarkStart w:id="76" w:name="_Toc392492720"/>
      <w:r>
        <w:rPr>
          <w:rStyle w:val="CharSectno"/>
        </w:rPr>
        <w:t>49</w:t>
      </w:r>
      <w:r>
        <w:rPr>
          <w:snapToGrid w:val="0"/>
        </w:rPr>
        <w:t>.</w:t>
      </w:r>
      <w:r>
        <w:rPr>
          <w:snapToGrid w:val="0"/>
        </w:rPr>
        <w:tab/>
        <w:t>Right of tenant to assign or sub</w:t>
      </w:r>
      <w:r>
        <w:rPr>
          <w:snapToGrid w:val="0"/>
        </w:rPr>
        <w:noBreakHyphen/>
        <w:t>let</w:t>
      </w:r>
      <w:bookmarkEnd w:id="76"/>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by No. 60 of 2011 s. 45, 88 and 89.] </w:t>
      </w:r>
    </w:p>
    <w:p>
      <w:pPr>
        <w:pStyle w:val="Heading5"/>
        <w:rPr>
          <w:snapToGrid w:val="0"/>
        </w:rPr>
      </w:pPr>
      <w:bookmarkStart w:id="77" w:name="_Toc392492721"/>
      <w:r>
        <w:rPr>
          <w:rStyle w:val="CharSectno"/>
        </w:rPr>
        <w:t>50</w:t>
      </w:r>
      <w:r>
        <w:rPr>
          <w:snapToGrid w:val="0"/>
        </w:rPr>
        <w:t>.</w:t>
      </w:r>
      <w:r>
        <w:rPr>
          <w:snapToGrid w:val="0"/>
        </w:rPr>
        <w:tab/>
        <w:t>Vicarious responsibility of tenant for breach by other person lawfully on premises</w:t>
      </w:r>
      <w:bookmarkEnd w:id="77"/>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by No. 60 of 2011 s. 46.] </w:t>
      </w:r>
    </w:p>
    <w:p>
      <w:pPr>
        <w:pStyle w:val="Heading3"/>
      </w:pPr>
      <w:bookmarkStart w:id="78" w:name="_Toc381880666"/>
      <w:bookmarkStart w:id="79" w:name="_Toc392492722"/>
      <w:r>
        <w:rPr>
          <w:rStyle w:val="CharDivNo"/>
        </w:rPr>
        <w:t>Division 3</w:t>
      </w:r>
      <w:r>
        <w:t> — </w:t>
      </w:r>
      <w:r>
        <w:rPr>
          <w:rStyle w:val="CharDivText"/>
        </w:rPr>
        <w:t>General</w:t>
      </w:r>
      <w:bookmarkEnd w:id="78"/>
      <w:bookmarkEnd w:id="79"/>
    </w:p>
    <w:p>
      <w:pPr>
        <w:pStyle w:val="Footnoteheading"/>
      </w:pPr>
      <w:r>
        <w:tab/>
        <w:t xml:space="preserve">[Heading inserted by No. 60 of 2011 s. 47.] </w:t>
      </w:r>
    </w:p>
    <w:p>
      <w:pPr>
        <w:pStyle w:val="Heading5"/>
      </w:pPr>
      <w:bookmarkStart w:id="80" w:name="_Toc392492723"/>
      <w:r>
        <w:rPr>
          <w:rStyle w:val="CharSectno"/>
        </w:rPr>
        <w:t>51</w:t>
      </w:r>
      <w:r>
        <w:t>.</w:t>
      </w:r>
      <w:r>
        <w:tab/>
        <w:t>Tenant to be notified of lessor’s name and address</w:t>
      </w:r>
      <w:bookmarkEnd w:id="80"/>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pPr>
      <w:r>
        <w:tab/>
        <w:t>(b)</w:t>
      </w:r>
      <w:r>
        <w:tab/>
        <w:t>where the new lessor is a body corporate, the full name and business address of the secretary of the body corporate.</w:t>
      </w:r>
    </w:p>
    <w:p>
      <w:pPr>
        <w:pStyle w:val="Penstart"/>
      </w:pPr>
      <w:r>
        <w:tab/>
        <w:t>Penalty: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a fine of $5 000.</w:t>
      </w:r>
    </w:p>
    <w:p>
      <w:pPr>
        <w:pStyle w:val="Footnotesection"/>
      </w:pPr>
      <w:r>
        <w:tab/>
        <w:t xml:space="preserve">[Section 51 inserted by No. 60 of 2011 s. 48.] </w:t>
      </w:r>
    </w:p>
    <w:p>
      <w:pPr>
        <w:pStyle w:val="Heading5"/>
        <w:rPr>
          <w:snapToGrid w:val="0"/>
        </w:rPr>
      </w:pPr>
      <w:bookmarkStart w:id="81" w:name="_Toc392492724"/>
      <w:r>
        <w:rPr>
          <w:rStyle w:val="CharSectno"/>
        </w:rPr>
        <w:t>52</w:t>
      </w:r>
      <w:r>
        <w:rPr>
          <w:snapToGrid w:val="0"/>
        </w:rPr>
        <w:t>.</w:t>
      </w:r>
      <w:r>
        <w:rPr>
          <w:snapToGrid w:val="0"/>
        </w:rPr>
        <w:tab/>
        <w:t>Failure to pay rent with intention it be recovered from security bond</w:t>
      </w:r>
      <w:bookmarkEnd w:id="81"/>
      <w:r>
        <w:rPr>
          <w:snapToGrid w:val="0"/>
        </w:rPr>
        <w:t xml:space="preserve"> </w:t>
      </w:r>
    </w:p>
    <w:p>
      <w:pPr>
        <w:pStyle w:val="Subsection"/>
        <w:rPr>
          <w:snapToGrid w:val="0"/>
          <w:spacing w:val="-2"/>
        </w:rPr>
      </w:pPr>
      <w:r>
        <w:rPr>
          <w:snapToGrid w:val="0"/>
          <w:spacing w:val="-2"/>
        </w:rPr>
        <w:tab/>
      </w:r>
      <w:r>
        <w:rPr>
          <w:snapToGrid w:val="0"/>
          <w:spacing w:val="-2"/>
        </w:rPr>
        <w:tab/>
        <w:t xml:space="preserve">A tenant shall not fail or refuse to pay any rent due under </w:t>
      </w:r>
      <w:r>
        <w:t>a residential tenancy agreement</w:t>
      </w:r>
      <w:r>
        <w:rPr>
          <w:snapToGrid w:val="0"/>
          <w:spacing w:val="-2"/>
        </w:rPr>
        <w:t xml:space="preserve"> with the intention that the amount of such rent be recovered by </w:t>
      </w:r>
      <w:r>
        <w:t>the lessor</w:t>
      </w:r>
      <w:r>
        <w:rPr>
          <w:snapToGrid w:val="0"/>
          <w:spacing w:val="-2"/>
        </w:rPr>
        <w:t xml:space="preserve"> from the security bond paid by the tenant.</w:t>
      </w:r>
    </w:p>
    <w:p>
      <w:pPr>
        <w:pStyle w:val="Penstart"/>
      </w:pPr>
      <w:r>
        <w:tab/>
        <w:t>Penalty: a fine of $5 000.</w:t>
      </w:r>
    </w:p>
    <w:p>
      <w:pPr>
        <w:pStyle w:val="Footnotesection"/>
      </w:pPr>
      <w:r>
        <w:tab/>
        <w:t xml:space="preserve">[Section 52 amended by No. 59 of 1995 s. 55; No. 60 of 2011 s. 49, 88 and 89.] </w:t>
      </w:r>
    </w:p>
    <w:p>
      <w:pPr>
        <w:pStyle w:val="Heading5"/>
      </w:pPr>
      <w:bookmarkStart w:id="82" w:name="_Toc392492725"/>
      <w:r>
        <w:rPr>
          <w:rStyle w:val="CharSectno"/>
        </w:rPr>
        <w:t>53</w:t>
      </w:r>
      <w:r>
        <w:t>.</w:t>
      </w:r>
      <w:r>
        <w:tab/>
        <w:t>Tenant’s name, place of employment and forwarding address</w:t>
      </w:r>
      <w:bookmarkEnd w:id="82"/>
    </w:p>
    <w:p>
      <w:pPr>
        <w:pStyle w:val="Subsection"/>
      </w:pPr>
      <w:r>
        <w:tab/>
        <w:t>(1)</w:t>
      </w:r>
      <w:r>
        <w:tab/>
        <w:t>A tenant under a residential tenancy agreement must not falsely state to the lessor the tenant’s name or place of employment.</w:t>
      </w:r>
    </w:p>
    <w:p>
      <w:pPr>
        <w:pStyle w:val="Penstart"/>
      </w:pPr>
      <w:r>
        <w:tab/>
        <w:t>Penalty: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a fine of $5 000.</w:t>
      </w:r>
    </w:p>
    <w:p>
      <w:pPr>
        <w:pStyle w:val="Footnotesection"/>
      </w:pPr>
      <w:r>
        <w:tab/>
        <w:t xml:space="preserve">[Section 53 inserted by No. 60 of 2011 s. 50.] </w:t>
      </w:r>
    </w:p>
    <w:p>
      <w:pPr>
        <w:pStyle w:val="Heading5"/>
        <w:rPr>
          <w:snapToGrid w:val="0"/>
        </w:rPr>
      </w:pPr>
      <w:bookmarkStart w:id="83" w:name="_Toc392492726"/>
      <w:r>
        <w:rPr>
          <w:rStyle w:val="CharSectno"/>
        </w:rPr>
        <w:t>54</w:t>
      </w:r>
      <w:r>
        <w:rPr>
          <w:snapToGrid w:val="0"/>
        </w:rPr>
        <w:t>.</w:t>
      </w:r>
      <w:r>
        <w:rPr>
          <w:snapToGrid w:val="0"/>
        </w:rPr>
        <w:tab/>
        <w:t>Lessor to deliver copy of agreement to tenant</w:t>
      </w:r>
      <w:bookmarkEnd w:id="83"/>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by No. 59 of 1995 s. 55; No. 60 of 2011 s. 51.] </w:t>
      </w:r>
    </w:p>
    <w:p>
      <w:pPr>
        <w:pStyle w:val="Heading5"/>
      </w:pPr>
      <w:bookmarkStart w:id="84" w:name="_Toc392492727"/>
      <w:r>
        <w:rPr>
          <w:rStyle w:val="CharSectno"/>
        </w:rPr>
        <w:t>55</w:t>
      </w:r>
      <w:r>
        <w:t>.</w:t>
      </w:r>
      <w:r>
        <w:tab/>
        <w:t>Cost of written agreement to be borne by lessor</w:t>
      </w:r>
      <w:bookmarkEnd w:id="84"/>
    </w:p>
    <w:p>
      <w:pPr>
        <w:pStyle w:val="Subsection"/>
        <w:spacing w:before="120"/>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00"/>
      </w:pPr>
      <w:r>
        <w:tab/>
        <w:t xml:space="preserve">[Section 55 inserted by No. 60 of 2011 s. 52.] </w:t>
      </w:r>
    </w:p>
    <w:p>
      <w:pPr>
        <w:pStyle w:val="Heading5"/>
        <w:spacing w:before="200"/>
        <w:rPr>
          <w:snapToGrid w:val="0"/>
        </w:rPr>
      </w:pPr>
      <w:bookmarkStart w:id="85" w:name="_Toc392492728"/>
      <w:r>
        <w:rPr>
          <w:rStyle w:val="CharSectno"/>
        </w:rPr>
        <w:t>56</w:t>
      </w:r>
      <w:r>
        <w:rPr>
          <w:snapToGrid w:val="0"/>
        </w:rPr>
        <w:t>.</w:t>
      </w:r>
      <w:r>
        <w:rPr>
          <w:snapToGrid w:val="0"/>
        </w:rPr>
        <w:tab/>
        <w:t>Discrimination against tenants with children</w:t>
      </w:r>
      <w:bookmarkEnd w:id="85"/>
      <w:r>
        <w:rPr>
          <w:snapToGrid w:val="0"/>
        </w:rPr>
        <w:t xml:space="preserve"> </w:t>
      </w:r>
    </w:p>
    <w:p>
      <w:pPr>
        <w:pStyle w:val="Subsection"/>
        <w:spacing w:before="120"/>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a fine of $5 000.</w:t>
      </w:r>
    </w:p>
    <w:p>
      <w:pPr>
        <w:pStyle w:val="Subsection"/>
        <w:spacing w:before="120"/>
        <w:rPr>
          <w:snapToGrid w:val="0"/>
        </w:rPr>
      </w:pPr>
      <w:r>
        <w:rPr>
          <w:snapToGrid w:val="0"/>
        </w:rPr>
        <w:tab/>
        <w:t>(2)</w:t>
      </w:r>
      <w:r>
        <w:rPr>
          <w:snapToGrid w:val="0"/>
        </w:rPr>
        <w:tab/>
        <w:t>A person shall not — </w:t>
      </w:r>
    </w:p>
    <w:p>
      <w:pPr>
        <w:pStyle w:val="Indenta"/>
        <w:spacing w:before="60"/>
        <w:rPr>
          <w:snapToGrid w:val="0"/>
        </w:rPr>
      </w:pPr>
      <w:r>
        <w:rPr>
          <w:snapToGrid w:val="0"/>
        </w:rPr>
        <w:tab/>
        <w:t>(a)</w:t>
      </w:r>
      <w:r>
        <w:rPr>
          <w:snapToGrid w:val="0"/>
        </w:rPr>
        <w:tab/>
        <w:t>instruct any person not to grant; or</w:t>
      </w:r>
    </w:p>
    <w:p>
      <w:pPr>
        <w:pStyle w:val="Indenta"/>
        <w:keepNext/>
        <w:keepLines/>
        <w:spacing w:before="60"/>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spacing w:before="100"/>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a fine of $5 000.</w:t>
      </w:r>
    </w:p>
    <w:p>
      <w:pPr>
        <w:pStyle w:val="Footnotesection"/>
        <w:spacing w:before="100"/>
      </w:pPr>
      <w:r>
        <w:tab/>
        <w:t xml:space="preserve">[Section 56 amended by No. 59 of 1995 s. 55; No. 60 of 2011 s. 53.] </w:t>
      </w:r>
    </w:p>
    <w:p>
      <w:pPr>
        <w:pStyle w:val="Heading5"/>
        <w:spacing w:before="200"/>
        <w:rPr>
          <w:snapToGrid w:val="0"/>
        </w:rPr>
      </w:pPr>
      <w:bookmarkStart w:id="86" w:name="_Toc392492729"/>
      <w:r>
        <w:rPr>
          <w:rStyle w:val="CharSectno"/>
        </w:rPr>
        <w:t>57</w:t>
      </w:r>
      <w:r>
        <w:rPr>
          <w:snapToGrid w:val="0"/>
        </w:rPr>
        <w:t>.</w:t>
      </w:r>
      <w:r>
        <w:rPr>
          <w:snapToGrid w:val="0"/>
        </w:rPr>
        <w:tab/>
        <w:t>Accelerated rent and liquidated damages prohibited</w:t>
      </w:r>
      <w:bookmarkEnd w:id="86"/>
      <w:r>
        <w:rPr>
          <w:snapToGrid w:val="0"/>
        </w:rPr>
        <w:t xml:space="preserve"> </w:t>
      </w:r>
    </w:p>
    <w:p>
      <w:pPr>
        <w:pStyle w:val="Subsection"/>
        <w:spacing w:before="120"/>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spacing w:before="60"/>
        <w:rPr>
          <w:snapToGrid w:val="0"/>
        </w:rPr>
      </w:pPr>
      <w:r>
        <w:rPr>
          <w:snapToGrid w:val="0"/>
        </w:rPr>
        <w:tab/>
        <w:t>(a)</w:t>
      </w:r>
      <w:r>
        <w:rPr>
          <w:snapToGrid w:val="0"/>
        </w:rPr>
        <w:tab/>
        <w:t>all or any part of the rent remaining payable under the agreement; or</w:t>
      </w:r>
    </w:p>
    <w:p>
      <w:pPr>
        <w:pStyle w:val="Indenta"/>
        <w:spacing w:before="60"/>
        <w:rPr>
          <w:snapToGrid w:val="0"/>
        </w:rPr>
      </w:pPr>
      <w:r>
        <w:rPr>
          <w:snapToGrid w:val="0"/>
        </w:rPr>
        <w:tab/>
        <w:t>(b)</w:t>
      </w:r>
      <w:r>
        <w:rPr>
          <w:snapToGrid w:val="0"/>
        </w:rPr>
        <w:tab/>
        <w:t>rent of an increased amount; or</w:t>
      </w:r>
    </w:p>
    <w:p>
      <w:pPr>
        <w:pStyle w:val="Indenta"/>
        <w:spacing w:before="60"/>
        <w:rPr>
          <w:snapToGrid w:val="0"/>
        </w:rPr>
      </w:pPr>
      <w:r>
        <w:rPr>
          <w:snapToGrid w:val="0"/>
        </w:rPr>
        <w:tab/>
        <w:t>(c)</w:t>
      </w:r>
      <w:r>
        <w:rPr>
          <w:snapToGrid w:val="0"/>
        </w:rPr>
        <w:tab/>
        <w:t>any amount by way of a penalty; or</w:t>
      </w:r>
    </w:p>
    <w:p>
      <w:pPr>
        <w:pStyle w:val="Indenta"/>
        <w:spacing w:before="60"/>
        <w:rPr>
          <w:snapToGrid w:val="0"/>
        </w:rPr>
      </w:pPr>
      <w:r>
        <w:rPr>
          <w:snapToGrid w:val="0"/>
        </w:rPr>
        <w:tab/>
        <w:t>(d)</w:t>
      </w:r>
      <w:r>
        <w:rPr>
          <w:snapToGrid w:val="0"/>
        </w:rPr>
        <w:tab/>
        <w:t>any amount by way of liquidated damages,</w:t>
      </w:r>
    </w:p>
    <w:p>
      <w:pPr>
        <w:pStyle w:val="Subsection"/>
        <w:spacing w:before="10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by No. 60 of 2011 s. 54 and 88.] </w:t>
      </w:r>
    </w:p>
    <w:p>
      <w:pPr>
        <w:pStyle w:val="Heading5"/>
        <w:rPr>
          <w:snapToGrid w:val="0"/>
        </w:rPr>
      </w:pPr>
      <w:bookmarkStart w:id="87" w:name="_Toc392492730"/>
      <w:r>
        <w:rPr>
          <w:rStyle w:val="CharSectno"/>
        </w:rPr>
        <w:t>58</w:t>
      </w:r>
      <w:r>
        <w:rPr>
          <w:snapToGrid w:val="0"/>
        </w:rPr>
        <w:t>.</w:t>
      </w:r>
      <w:r>
        <w:rPr>
          <w:snapToGrid w:val="0"/>
        </w:rPr>
        <w:tab/>
        <w:t>Duty of mitigation</w:t>
      </w:r>
      <w:bookmarkEnd w:id="87"/>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by No. 60 of 2011 s. 55.] </w:t>
      </w:r>
    </w:p>
    <w:p>
      <w:pPr>
        <w:pStyle w:val="Heading5"/>
      </w:pPr>
      <w:bookmarkStart w:id="88" w:name="_Toc392492731"/>
      <w:r>
        <w:rPr>
          <w:rStyle w:val="CharSectno"/>
        </w:rPr>
        <w:t>59A</w:t>
      </w:r>
      <w:r>
        <w:t>.</w:t>
      </w:r>
      <w:r>
        <w:tab/>
        <w:t>Minors</w:t>
      </w:r>
      <w:bookmarkEnd w:id="88"/>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pPr>
      <w:r>
        <w:tab/>
        <w:t>(a)</w:t>
      </w:r>
      <w:r>
        <w:tab/>
        <w:t>a minor has the capacity to enter into a residential tenancy agreement as a tenant; and</w:t>
      </w:r>
    </w:p>
    <w:p>
      <w:pPr>
        <w:pStyle w:val="Indenta"/>
      </w:pPr>
      <w:r>
        <w:tab/>
        <w:t>(b)</w:t>
      </w:r>
      <w:r>
        <w:tab/>
        <w:t>a residential tenancy agreement may be enforced in accordance with this Act against a minor who is a tenant.</w:t>
      </w:r>
    </w:p>
    <w:p>
      <w:pPr>
        <w:pStyle w:val="Footnotesection"/>
      </w:pPr>
      <w:r>
        <w:tab/>
        <w:t>[Section 59A inserted by No. 60 of 2011 s. 56.]</w:t>
      </w:r>
    </w:p>
    <w:p>
      <w:pPr>
        <w:pStyle w:val="Heading5"/>
      </w:pPr>
      <w:bookmarkStart w:id="89" w:name="_Toc392492732"/>
      <w:r>
        <w:rPr>
          <w:rStyle w:val="CharSectno"/>
        </w:rPr>
        <w:t>59B</w:t>
      </w:r>
      <w:r>
        <w:t>.</w:t>
      </w:r>
      <w:r>
        <w:tab/>
        <w:t>Death of one of 2 or more tenants</w:t>
      </w:r>
      <w:bookmarkEnd w:id="89"/>
    </w:p>
    <w:p>
      <w:pPr>
        <w:pStyle w:val="Subsection"/>
        <w:spacing w:before="140"/>
      </w:pPr>
      <w:r>
        <w:tab/>
        <w:t>(1)</w:t>
      </w:r>
      <w:r>
        <w:tab/>
        <w:t>This section applies if —</w:t>
      </w:r>
    </w:p>
    <w:p>
      <w:pPr>
        <w:pStyle w:val="Indenta"/>
        <w:spacing w:before="60"/>
      </w:pPr>
      <w:r>
        <w:tab/>
        <w:t>(a)</w:t>
      </w:r>
      <w:r>
        <w:tab/>
        <w:t>2 or more tenants are parties to a residential tenancy agreement; and</w:t>
      </w:r>
    </w:p>
    <w:p>
      <w:pPr>
        <w:pStyle w:val="Indenta"/>
        <w:spacing w:before="60"/>
      </w:pPr>
      <w:r>
        <w:tab/>
        <w:t>(b)</w:t>
      </w:r>
      <w:r>
        <w:tab/>
        <w:t>the tenants are not joint tenants under the agreement; and</w:t>
      </w:r>
    </w:p>
    <w:p>
      <w:pPr>
        <w:pStyle w:val="Indenta"/>
        <w:spacing w:before="60"/>
      </w:pPr>
      <w:r>
        <w:tab/>
        <w:t>(c)</w:t>
      </w:r>
      <w:r>
        <w:tab/>
        <w:t>one of the tenants dies.</w:t>
      </w:r>
    </w:p>
    <w:p>
      <w:pPr>
        <w:pStyle w:val="Subsection"/>
        <w:spacing w:before="140"/>
      </w:pPr>
      <w:r>
        <w:tab/>
        <w:t>(2)</w:t>
      </w:r>
      <w:r>
        <w:tab/>
        <w:t>On the death of the tenant —</w:t>
      </w:r>
    </w:p>
    <w:p>
      <w:pPr>
        <w:pStyle w:val="Indenta"/>
        <w:spacing w:before="60"/>
      </w:pPr>
      <w:r>
        <w:tab/>
        <w:t>(a)</w:t>
      </w:r>
      <w:r>
        <w:tab/>
        <w:t>the deceased tenant’s interest in the tenancy ends; and</w:t>
      </w:r>
    </w:p>
    <w:p>
      <w:pPr>
        <w:pStyle w:val="Indenta"/>
        <w:spacing w:before="60"/>
      </w:pPr>
      <w:r>
        <w:tab/>
        <w:t>(b)</w:t>
      </w:r>
      <w:r>
        <w:tab/>
        <w:t>the agreement continues in force with the parties to the agreement being the lessor and the surviving tenant or tenants.</w:t>
      </w:r>
    </w:p>
    <w:p>
      <w:pPr>
        <w:pStyle w:val="Subsection"/>
        <w:spacing w:before="140"/>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by No. 60 of 2011 s. 56.]</w:t>
      </w:r>
    </w:p>
    <w:p>
      <w:pPr>
        <w:pStyle w:val="Heading5"/>
      </w:pPr>
      <w:bookmarkStart w:id="90" w:name="_Toc392492733"/>
      <w:r>
        <w:rPr>
          <w:rStyle w:val="CharSectno"/>
        </w:rPr>
        <w:t>59C</w:t>
      </w:r>
      <w:r>
        <w:t>.</w:t>
      </w:r>
      <w:r>
        <w:tab/>
        <w:t>Recognition of certain persons as tenants</w:t>
      </w:r>
      <w:bookmarkEnd w:id="90"/>
    </w:p>
    <w:p>
      <w:pPr>
        <w:pStyle w:val="Subsection"/>
        <w:spacing w:before="140"/>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spacing w:before="140"/>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spacing w:before="140"/>
      </w:pPr>
      <w:r>
        <w:tab/>
        <w:t>(3)</w:t>
      </w:r>
      <w:r>
        <w:tab/>
        <w:t xml:space="preserve">On application by a person under this section the court may make either or both of the following orders — </w:t>
      </w:r>
    </w:p>
    <w:p>
      <w:pPr>
        <w:pStyle w:val="Indenta"/>
        <w:spacing w:before="60"/>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by No. 60 of 2011 s. 56.]</w:t>
      </w:r>
    </w:p>
    <w:p>
      <w:pPr>
        <w:pStyle w:val="Heading5"/>
      </w:pPr>
      <w:bookmarkStart w:id="91" w:name="_Toc392492734"/>
      <w:r>
        <w:rPr>
          <w:rStyle w:val="CharSectno"/>
        </w:rPr>
        <w:t>59D</w:t>
      </w:r>
      <w:r>
        <w:t>.</w:t>
      </w:r>
      <w:r>
        <w:tab/>
        <w:t>Tenant compensation bonds</w:t>
      </w:r>
      <w:bookmarkEnd w:id="91"/>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spacing w:before="60"/>
      </w:pPr>
      <w:r>
        <w:tab/>
        <w:t>(a)</w:t>
      </w:r>
      <w:r>
        <w:tab/>
        <w:t>Schedule 1 clause 10; or</w:t>
      </w:r>
    </w:p>
    <w:p>
      <w:pPr>
        <w:pStyle w:val="Indenta"/>
        <w:spacing w:before="60"/>
      </w:pPr>
      <w:r>
        <w:tab/>
        <w:t>(b)</w:t>
      </w:r>
      <w:r>
        <w:tab/>
        <w:t>an order under subsection (5) and Schedule 1 clause 11.</w:t>
      </w:r>
    </w:p>
    <w:p>
      <w:pPr>
        <w:pStyle w:val="Footnotesection"/>
      </w:pPr>
      <w:r>
        <w:tab/>
        <w:t>[Section 59D inserted by No. 60 of 2011 s. 56.]</w:t>
      </w:r>
    </w:p>
    <w:p>
      <w:pPr>
        <w:pStyle w:val="Heading5"/>
        <w:spacing w:before="180"/>
      </w:pPr>
      <w:bookmarkStart w:id="92" w:name="_Toc392492735"/>
      <w:r>
        <w:rPr>
          <w:rStyle w:val="CharSectno"/>
        </w:rPr>
        <w:t>59E</w:t>
      </w:r>
      <w:r>
        <w:t>.</w:t>
      </w:r>
      <w:r>
        <w:tab/>
      </w:r>
      <w:r>
        <w:rPr>
          <w:snapToGrid w:val="0"/>
        </w:rPr>
        <w:t>Interference with quiet enjoyment</w:t>
      </w:r>
      <w:bookmarkEnd w:id="92"/>
    </w:p>
    <w:p>
      <w:pPr>
        <w:pStyle w:val="Subsection"/>
        <w:spacing w:before="120"/>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spacing w:before="60"/>
      </w:pPr>
      <w:r>
        <w:tab/>
        <w:t>Penalty: a fine of $10 000.</w:t>
      </w:r>
    </w:p>
    <w:p>
      <w:pPr>
        <w:pStyle w:val="Subsection"/>
        <w:spacing w:before="120"/>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Footnotesection"/>
        <w:spacing w:before="80"/>
      </w:pPr>
      <w:r>
        <w:tab/>
        <w:t>[Section 59E inserted by No. 60 of 2011 s. 56.]</w:t>
      </w:r>
    </w:p>
    <w:p>
      <w:pPr>
        <w:pStyle w:val="Heading5"/>
        <w:spacing w:before="180"/>
      </w:pPr>
      <w:bookmarkStart w:id="93" w:name="_Toc392492736"/>
      <w:r>
        <w:rPr>
          <w:rStyle w:val="CharSectno"/>
        </w:rPr>
        <w:t>59F</w:t>
      </w:r>
      <w:r>
        <w:t>.</w:t>
      </w:r>
      <w:r>
        <w:tab/>
      </w:r>
      <w:r>
        <w:rPr>
          <w:snapToGrid w:val="0"/>
        </w:rPr>
        <w:t>Offences relating to security of residential premises</w:t>
      </w:r>
      <w:bookmarkEnd w:id="93"/>
    </w:p>
    <w:p>
      <w:pPr>
        <w:pStyle w:val="Subsection"/>
        <w:spacing w:before="120"/>
      </w:pPr>
      <w:r>
        <w:tab/>
        <w:t>(1)</w:t>
      </w:r>
      <w:r>
        <w:tab/>
        <w:t>A lessor or tenant who breaches the term referred to in section 45(b) without reasonable excuse commits an offence.</w:t>
      </w:r>
    </w:p>
    <w:p>
      <w:pPr>
        <w:pStyle w:val="Penstart"/>
        <w:spacing w:before="60"/>
      </w:pPr>
      <w:r>
        <w:tab/>
        <w:t>Penalty: a fine of $20 000.</w:t>
      </w:r>
    </w:p>
    <w:p>
      <w:pPr>
        <w:pStyle w:val="Subsection"/>
        <w:spacing w:before="120"/>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spacing w:before="60"/>
      </w:pPr>
      <w:r>
        <w:tab/>
        <w:t>Penalty: a fine of $20 000.</w:t>
      </w:r>
    </w:p>
    <w:p>
      <w:pPr>
        <w:pStyle w:val="Subsection"/>
        <w:spacing w:before="120"/>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spacing w:before="80"/>
      </w:pPr>
      <w:r>
        <w:tab/>
        <w:t>[Section 59F inserted by No. 60 of 2011 s. 56.]</w:t>
      </w:r>
    </w:p>
    <w:p>
      <w:pPr>
        <w:pStyle w:val="Heading2"/>
      </w:pPr>
      <w:bookmarkStart w:id="94" w:name="_Toc381880681"/>
      <w:bookmarkStart w:id="95" w:name="_Toc392492737"/>
      <w:r>
        <w:rPr>
          <w:rStyle w:val="CharPartNo"/>
        </w:rPr>
        <w:t>Part V</w:t>
      </w:r>
      <w:r>
        <w:t> — </w:t>
      </w:r>
      <w:r>
        <w:rPr>
          <w:rStyle w:val="CharPartText"/>
        </w:rPr>
        <w:t>Termination of residential tenancy agreements</w:t>
      </w:r>
      <w:bookmarkEnd w:id="94"/>
      <w:bookmarkEnd w:id="95"/>
    </w:p>
    <w:p>
      <w:pPr>
        <w:pStyle w:val="Heading3"/>
      </w:pPr>
      <w:bookmarkStart w:id="96" w:name="_Toc381880682"/>
      <w:bookmarkStart w:id="97" w:name="_Toc392492738"/>
      <w:r>
        <w:rPr>
          <w:rStyle w:val="CharDivNo"/>
        </w:rPr>
        <w:t>Division 1</w:t>
      </w:r>
      <w:r>
        <w:t> — </w:t>
      </w:r>
      <w:r>
        <w:rPr>
          <w:rStyle w:val="CharDivText"/>
        </w:rPr>
        <w:t>How residential tenancy agreements are terminated</w:t>
      </w:r>
      <w:bookmarkEnd w:id="96"/>
      <w:bookmarkEnd w:id="97"/>
    </w:p>
    <w:p>
      <w:pPr>
        <w:pStyle w:val="Footnoteheading"/>
      </w:pPr>
      <w:r>
        <w:tab/>
        <w:t>[Heading inserted by No. 60 of 2011 s. 57.]</w:t>
      </w:r>
    </w:p>
    <w:p>
      <w:pPr>
        <w:pStyle w:val="Ednotesection"/>
      </w:pPr>
      <w:r>
        <w:t>[</w:t>
      </w:r>
      <w:r>
        <w:rPr>
          <w:b/>
        </w:rPr>
        <w:t>59.</w:t>
      </w:r>
      <w:r>
        <w:tab/>
        <w:t xml:space="preserve">Deleted by No. 60 of 2011 s. 58.] </w:t>
      </w:r>
    </w:p>
    <w:p>
      <w:pPr>
        <w:pStyle w:val="Heading5"/>
        <w:rPr>
          <w:snapToGrid w:val="0"/>
        </w:rPr>
      </w:pPr>
      <w:bookmarkStart w:id="98" w:name="_Toc392492739"/>
      <w:r>
        <w:rPr>
          <w:rStyle w:val="CharSectno"/>
        </w:rPr>
        <w:t>60</w:t>
      </w:r>
      <w:r>
        <w:rPr>
          <w:snapToGrid w:val="0"/>
        </w:rPr>
        <w:t>.</w:t>
      </w:r>
      <w:r>
        <w:rPr>
          <w:snapToGrid w:val="0"/>
        </w:rPr>
        <w:tab/>
        <w:t>How residential tenancy agreements are terminated</w:t>
      </w:r>
      <w:bookmarkEnd w:id="98"/>
      <w:r>
        <w:rPr>
          <w:snapToGrid w:val="0"/>
        </w:rPr>
        <w:t xml:space="preserve"> </w:t>
      </w:r>
    </w:p>
    <w:p>
      <w:pPr>
        <w:pStyle w:val="Subsection"/>
        <w:rPr>
          <w:snapToGrid w:val="0"/>
        </w:rPr>
      </w:pPr>
      <w:r>
        <w:tab/>
      </w:r>
      <w:r>
        <w:tab/>
        <w:t>Despite</w:t>
      </w:r>
      <w:r>
        <w:rPr>
          <w:snapToGrid w:val="0"/>
        </w:rPr>
        <w:t xml:space="preserve"> 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Footnotesection"/>
      </w:pPr>
      <w:r>
        <w:tab/>
        <w:t xml:space="preserve">[Section 60 amended by No. 50 of 1988 s. 18; No. 59 of 1995 s. 49; No. 59 of 2004 s. 120(1); No. 60 of 2011 s. 59, 88, 89 and 91.] </w:t>
      </w:r>
    </w:p>
    <w:p>
      <w:pPr>
        <w:pStyle w:val="Heading3"/>
      </w:pPr>
      <w:bookmarkStart w:id="99" w:name="_Toc381880684"/>
      <w:bookmarkStart w:id="100" w:name="_Toc392492740"/>
      <w:r>
        <w:rPr>
          <w:rStyle w:val="CharDivNo"/>
        </w:rPr>
        <w:t>Division 2</w:t>
      </w:r>
      <w:r>
        <w:t> — </w:t>
      </w:r>
      <w:r>
        <w:rPr>
          <w:rStyle w:val="CharDivText"/>
        </w:rPr>
        <w:t>Notices of termination</w:t>
      </w:r>
      <w:bookmarkEnd w:id="99"/>
      <w:bookmarkEnd w:id="100"/>
    </w:p>
    <w:p>
      <w:pPr>
        <w:pStyle w:val="Footnoteheading"/>
      </w:pPr>
      <w:r>
        <w:tab/>
        <w:t>[Heading inserted by No. 60 of 2011 s. 60.]</w:t>
      </w:r>
    </w:p>
    <w:p>
      <w:pPr>
        <w:pStyle w:val="Heading5"/>
      </w:pPr>
      <w:bookmarkStart w:id="101" w:name="_Toc392492741"/>
      <w:r>
        <w:rPr>
          <w:rStyle w:val="CharSectno"/>
        </w:rPr>
        <w:t>61</w:t>
      </w:r>
      <w:r>
        <w:t>.</w:t>
      </w:r>
      <w:r>
        <w:tab/>
        <w:t>Form of notice of termination by lessor</w:t>
      </w:r>
      <w:bookmarkEnd w:id="101"/>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by No. 60 of 2011 s. 61.]</w:t>
      </w:r>
    </w:p>
    <w:p>
      <w:pPr>
        <w:pStyle w:val="Heading5"/>
        <w:rPr>
          <w:snapToGrid w:val="0"/>
        </w:rPr>
      </w:pPr>
      <w:bookmarkStart w:id="102" w:name="_Toc392492742"/>
      <w:r>
        <w:rPr>
          <w:rStyle w:val="CharSectno"/>
        </w:rPr>
        <w:t>62</w:t>
      </w:r>
      <w:r>
        <w:rPr>
          <w:snapToGrid w:val="0"/>
        </w:rPr>
        <w:t>.</w:t>
      </w:r>
      <w:r>
        <w:rPr>
          <w:snapToGrid w:val="0"/>
        </w:rPr>
        <w:tab/>
        <w:t>Notice of termination by lessor upon ground of breach of term of agreement</w:t>
      </w:r>
      <w:bookmarkEnd w:id="102"/>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by No. 59 of 1995 s. 50; No. 60 of 2011 s. 62, 88 and 89.] </w:t>
      </w:r>
    </w:p>
    <w:p>
      <w:pPr>
        <w:pStyle w:val="Heading5"/>
      </w:pPr>
      <w:bookmarkStart w:id="103" w:name="_Toc392492743"/>
      <w:r>
        <w:rPr>
          <w:rStyle w:val="CharSectno"/>
        </w:rPr>
        <w:t>63</w:t>
      </w:r>
      <w:r>
        <w:t>.</w:t>
      </w:r>
      <w:r>
        <w:tab/>
        <w:t>Notice of termination by lessor who has entered into contract of sale</w:t>
      </w:r>
      <w:bookmarkEnd w:id="103"/>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by No. 60 of 2011 s. 63.]</w:t>
      </w:r>
    </w:p>
    <w:p>
      <w:pPr>
        <w:pStyle w:val="Heading5"/>
      </w:pPr>
      <w:bookmarkStart w:id="104" w:name="_Toc392492744"/>
      <w:r>
        <w:rPr>
          <w:rStyle w:val="CharSectno"/>
        </w:rPr>
        <w:t>64</w:t>
      </w:r>
      <w:r>
        <w:t>.</w:t>
      </w:r>
      <w:r>
        <w:tab/>
        <w:t>Notice of termination by lessor without any ground</w:t>
      </w:r>
      <w:bookmarkEnd w:id="104"/>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by No. 60 of 2011 s. 63.]</w:t>
      </w:r>
    </w:p>
    <w:p>
      <w:pPr>
        <w:pStyle w:val="Heading5"/>
        <w:rPr>
          <w:snapToGrid w:val="0"/>
        </w:rPr>
      </w:pPr>
      <w:bookmarkStart w:id="105" w:name="_Toc392492745"/>
      <w:r>
        <w:rPr>
          <w:rStyle w:val="CharSectno"/>
        </w:rPr>
        <w:t>65</w:t>
      </w:r>
      <w:r>
        <w:rPr>
          <w:snapToGrid w:val="0"/>
        </w:rPr>
        <w:t>.</w:t>
      </w:r>
      <w:r>
        <w:rPr>
          <w:snapToGrid w:val="0"/>
        </w:rPr>
        <w:tab/>
        <w:t>Termination by lessor where s. 32 invoked</w:t>
      </w:r>
      <w:bookmarkEnd w:id="105"/>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w:t>
      </w:r>
      <w:r>
        <w:t>a lessor</w:t>
      </w:r>
      <w:r>
        <w:rPr>
          <w:snapToGrid w:val="0"/>
          <w:spacing w:val="-2"/>
        </w:rPr>
        <w:t xml:space="preserve">, authorise </w:t>
      </w:r>
      <w:r>
        <w:t>the lessor</w:t>
      </w:r>
      <w:r>
        <w:rPr>
          <w:snapToGrid w:val="0"/>
          <w:spacing w:val="-2"/>
        </w:rPr>
        <w:t xml:space="preserve"> to give notice of termination, if </w:t>
      </w:r>
      <w:r>
        <w:rPr>
          <w:snapToGrid w:val="0"/>
        </w:rPr>
        <w:t xml:space="preserve">it </w:t>
      </w:r>
      <w:r>
        <w:rPr>
          <w:snapToGrid w:val="0"/>
          <w:spacing w:val="-2"/>
        </w:rPr>
        <w:t xml:space="preserve">is satisfied that neither the institution of the proceedings for the order nor the making of the order has wholly or partly motivated </w:t>
      </w:r>
      <w:r>
        <w:t>the lessor</w:t>
      </w:r>
      <w:r>
        <w:rPr>
          <w:snapToGrid w:val="0"/>
          <w:spacing w:val="-2"/>
        </w:rPr>
        <w:t xml:space="preserve"> to give notice of termination.</w:t>
      </w:r>
    </w:p>
    <w:p>
      <w:pPr>
        <w:pStyle w:val="Footnotesection"/>
      </w:pPr>
      <w:r>
        <w:tab/>
        <w:t xml:space="preserve">[Section 65 amended by No. 50 of 1988 s. 18; No. 59 of 2004 s. 120(1) and (2); No. 60 of 2011 s. 64 and 89.] </w:t>
      </w:r>
    </w:p>
    <w:p>
      <w:pPr>
        <w:pStyle w:val="Heading5"/>
        <w:rPr>
          <w:snapToGrid w:val="0"/>
        </w:rPr>
      </w:pPr>
      <w:bookmarkStart w:id="106" w:name="_Toc392492746"/>
      <w:r>
        <w:rPr>
          <w:rStyle w:val="CharSectno"/>
        </w:rPr>
        <w:t>66</w:t>
      </w:r>
      <w:r>
        <w:rPr>
          <w:snapToGrid w:val="0"/>
        </w:rPr>
        <w:t>.</w:t>
      </w:r>
      <w:r>
        <w:rPr>
          <w:snapToGrid w:val="0"/>
        </w:rPr>
        <w:tab/>
        <w:t>Notice by lessor not waived by acceptance of rent</w:t>
      </w:r>
      <w:bookmarkEnd w:id="106"/>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by No. 60 of 2011 s. 65 and 89.] </w:t>
      </w:r>
    </w:p>
    <w:p>
      <w:pPr>
        <w:pStyle w:val="Heading5"/>
        <w:rPr>
          <w:snapToGrid w:val="0"/>
        </w:rPr>
      </w:pPr>
      <w:bookmarkStart w:id="107" w:name="_Toc392492747"/>
      <w:r>
        <w:rPr>
          <w:rStyle w:val="CharSectno"/>
        </w:rPr>
        <w:t>67</w:t>
      </w:r>
      <w:r>
        <w:rPr>
          <w:snapToGrid w:val="0"/>
        </w:rPr>
        <w:t>.</w:t>
      </w:r>
      <w:r>
        <w:rPr>
          <w:snapToGrid w:val="0"/>
        </w:rPr>
        <w:tab/>
        <w:t>Form of notice of termination by tenant</w:t>
      </w:r>
      <w:bookmarkEnd w:id="107"/>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by the tenant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Footnotesection"/>
      </w:pPr>
      <w:r>
        <w:tab/>
        <w:t xml:space="preserve">[Section 67 amended by No. 60 of 2011 s. 88.] </w:t>
      </w:r>
    </w:p>
    <w:p>
      <w:pPr>
        <w:pStyle w:val="Heading5"/>
        <w:rPr>
          <w:snapToGrid w:val="0"/>
        </w:rPr>
      </w:pPr>
      <w:bookmarkStart w:id="108" w:name="_Toc392492748"/>
      <w:r>
        <w:rPr>
          <w:rStyle w:val="CharSectno"/>
        </w:rPr>
        <w:t>68</w:t>
      </w:r>
      <w:r>
        <w:rPr>
          <w:snapToGrid w:val="0"/>
        </w:rPr>
        <w:t>.</w:t>
      </w:r>
      <w:r>
        <w:rPr>
          <w:snapToGrid w:val="0"/>
        </w:rPr>
        <w:tab/>
        <w:t>Notice of termination by tenant</w:t>
      </w:r>
      <w:bookmarkEnd w:id="108"/>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by No. 60 of 2011 s. 66, 88 and 89.] </w:t>
      </w:r>
    </w:p>
    <w:p>
      <w:pPr>
        <w:pStyle w:val="Heading5"/>
        <w:rPr>
          <w:snapToGrid w:val="0"/>
        </w:rPr>
      </w:pPr>
      <w:bookmarkStart w:id="109" w:name="_Toc392492749"/>
      <w:r>
        <w:rPr>
          <w:rStyle w:val="CharSectno"/>
        </w:rPr>
        <w:t>69</w:t>
      </w:r>
      <w:r>
        <w:rPr>
          <w:snapToGrid w:val="0"/>
        </w:rPr>
        <w:t>.</w:t>
      </w:r>
      <w:r>
        <w:rPr>
          <w:snapToGrid w:val="0"/>
        </w:rPr>
        <w:tab/>
        <w:t>Notice of termination by lessor or tenant where agreement frustrated</w:t>
      </w:r>
      <w:bookmarkEnd w:id="109"/>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spacing w:val="-4"/>
        </w:rPr>
      </w:pPr>
      <w:r>
        <w:rPr>
          <w:snapToGrid w:val="0"/>
          <w:spacing w:val="-4"/>
        </w:rPr>
        <w:tab/>
        <w:t>(4)</w:t>
      </w:r>
      <w:r>
        <w:rPr>
          <w:snapToGrid w:val="0"/>
          <w:spacing w:val="-4"/>
        </w:rPr>
        <w:tab/>
        <w:t xml:space="preserve">Where notice of termination is given under this section in respect of </w:t>
      </w:r>
      <w:r>
        <w:t>a residential tenancy agreement</w:t>
      </w:r>
      <w:r>
        <w:rPr>
          <w:snapToGrid w:val="0"/>
          <w:spacing w:val="-4"/>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by No. 60 of 2011 s. 67, 88 and 89.] </w:t>
      </w:r>
    </w:p>
    <w:p>
      <w:pPr>
        <w:pStyle w:val="Heading5"/>
      </w:pPr>
      <w:bookmarkStart w:id="110" w:name="_Toc392492750"/>
      <w:r>
        <w:rPr>
          <w:rStyle w:val="CharSectno"/>
        </w:rPr>
        <w:t>70A</w:t>
      </w:r>
      <w:r>
        <w:t>.</w:t>
      </w:r>
      <w:r>
        <w:tab/>
        <w:t>Notice of termination by lessor or tenant at end of fixed term tenancy</w:t>
      </w:r>
      <w:bookmarkEnd w:id="110"/>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by No. 60 of 2011 s. 68.] </w:t>
      </w:r>
    </w:p>
    <w:p>
      <w:pPr>
        <w:pStyle w:val="Heading5"/>
        <w:rPr>
          <w:snapToGrid w:val="0"/>
        </w:rPr>
      </w:pPr>
      <w:bookmarkStart w:id="111" w:name="_Toc392492751"/>
      <w:r>
        <w:rPr>
          <w:rStyle w:val="CharSectno"/>
        </w:rPr>
        <w:t>70</w:t>
      </w:r>
      <w:r>
        <w:rPr>
          <w:snapToGrid w:val="0"/>
        </w:rPr>
        <w:t>.</w:t>
      </w:r>
      <w:r>
        <w:rPr>
          <w:snapToGrid w:val="0"/>
        </w:rPr>
        <w:tab/>
        <w:t>Effect of notice of termination of periodic tenancy</w:t>
      </w:r>
      <w:bookmarkEnd w:id="111"/>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by No. 60 of 2011 s. 88.] </w:t>
      </w:r>
    </w:p>
    <w:p>
      <w:pPr>
        <w:pStyle w:val="Heading3"/>
      </w:pPr>
      <w:bookmarkStart w:id="112" w:name="_Toc381880696"/>
      <w:bookmarkStart w:id="113" w:name="_Toc392492752"/>
      <w:r>
        <w:rPr>
          <w:rStyle w:val="CharDivNo"/>
        </w:rPr>
        <w:t>Division 3</w:t>
      </w:r>
      <w:r>
        <w:t> — </w:t>
      </w:r>
      <w:r>
        <w:rPr>
          <w:rStyle w:val="CharDivText"/>
        </w:rPr>
        <w:t>Special provisions about terminating social housing tenancy agreements</w:t>
      </w:r>
      <w:bookmarkEnd w:id="112"/>
      <w:bookmarkEnd w:id="113"/>
    </w:p>
    <w:p>
      <w:pPr>
        <w:pStyle w:val="Footnoteheading"/>
      </w:pPr>
      <w:r>
        <w:tab/>
        <w:t>[Heading inserted by No. 60 of 2011 s. 92.]</w:t>
      </w:r>
    </w:p>
    <w:p>
      <w:pPr>
        <w:pStyle w:val="Heading4"/>
      </w:pPr>
      <w:bookmarkStart w:id="114" w:name="_Toc381880697"/>
      <w:bookmarkStart w:id="115" w:name="_Toc392492753"/>
      <w:r>
        <w:t>Subdivision 1 — Preliminary</w:t>
      </w:r>
      <w:bookmarkEnd w:id="114"/>
      <w:bookmarkEnd w:id="115"/>
    </w:p>
    <w:p>
      <w:pPr>
        <w:pStyle w:val="Footnoteheading"/>
      </w:pPr>
      <w:r>
        <w:tab/>
        <w:t>[Heading inserted by No. 60 of 2011 s. 92.]</w:t>
      </w:r>
    </w:p>
    <w:p>
      <w:pPr>
        <w:pStyle w:val="Heading5"/>
      </w:pPr>
      <w:bookmarkStart w:id="116" w:name="_Toc392492754"/>
      <w:r>
        <w:rPr>
          <w:rStyle w:val="CharSectno"/>
        </w:rPr>
        <w:t>71A</w:t>
      </w:r>
      <w:r>
        <w:t>.</w:t>
      </w:r>
      <w:r>
        <w:tab/>
        <w:t>Terms used</w:t>
      </w:r>
      <w:bookmarkEnd w:id="116"/>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by No. 60 of 2011 s. 92.]</w:t>
      </w:r>
    </w:p>
    <w:p>
      <w:pPr>
        <w:pStyle w:val="Heading5"/>
      </w:pPr>
      <w:bookmarkStart w:id="117" w:name="_Toc392492755"/>
      <w:r>
        <w:rPr>
          <w:rStyle w:val="CharSectno"/>
        </w:rPr>
        <w:t>71B</w:t>
      </w:r>
      <w:r>
        <w:t>.</w:t>
      </w:r>
      <w:r>
        <w:tab/>
        <w:t>Application of Division</w:t>
      </w:r>
      <w:bookmarkEnd w:id="117"/>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by No. 60 of 2011 s. 92.]</w:t>
      </w:r>
    </w:p>
    <w:p>
      <w:pPr>
        <w:pStyle w:val="Heading4"/>
      </w:pPr>
      <w:bookmarkStart w:id="118" w:name="_Toc381880700"/>
      <w:bookmarkStart w:id="119" w:name="_Toc392492756"/>
      <w:r>
        <w:t>Subdivision 2 — Notice of termination where tenant not eligible for social housing premises</w:t>
      </w:r>
      <w:bookmarkEnd w:id="118"/>
      <w:bookmarkEnd w:id="119"/>
    </w:p>
    <w:p>
      <w:pPr>
        <w:pStyle w:val="Footnoteheading"/>
      </w:pPr>
      <w:r>
        <w:tab/>
        <w:t>[Heading inserted by No. 60 of 2011 s. 92.]</w:t>
      </w:r>
    </w:p>
    <w:p>
      <w:pPr>
        <w:pStyle w:val="Heading5"/>
        <w:rPr>
          <w:snapToGrid w:val="0"/>
        </w:rPr>
      </w:pPr>
      <w:bookmarkStart w:id="120" w:name="_Toc392492757"/>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120"/>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by No. 60 of 2011 s. 92.]</w:t>
      </w:r>
    </w:p>
    <w:p>
      <w:pPr>
        <w:pStyle w:val="Heading5"/>
      </w:pPr>
      <w:bookmarkStart w:id="121" w:name="_Toc392492758"/>
      <w:r>
        <w:rPr>
          <w:rStyle w:val="CharSectno"/>
        </w:rPr>
        <w:t>71D</w:t>
      </w:r>
      <w:r>
        <w:t>.</w:t>
      </w:r>
      <w:r>
        <w:tab/>
        <w:t>Assessment of tenants eligibility for social housing premises</w:t>
      </w:r>
      <w:bookmarkEnd w:id="121"/>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by No. 60 of 2011 s. 92.]</w:t>
      </w:r>
    </w:p>
    <w:p>
      <w:pPr>
        <w:pStyle w:val="Heading5"/>
      </w:pPr>
      <w:bookmarkStart w:id="122" w:name="_Toc392492759"/>
      <w:r>
        <w:rPr>
          <w:rStyle w:val="CharSectno"/>
        </w:rPr>
        <w:t>71E</w:t>
      </w:r>
      <w:r>
        <w:t>.</w:t>
      </w:r>
      <w:r>
        <w:tab/>
        <w:t>Criteria for assessing eligibility of tenants for social housing premises under s. 71D</w:t>
      </w:r>
      <w:bookmarkEnd w:id="122"/>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by No. 60 of 2011 s. 92.]</w:t>
      </w:r>
    </w:p>
    <w:p>
      <w:pPr>
        <w:pStyle w:val="Heading5"/>
      </w:pPr>
      <w:bookmarkStart w:id="123" w:name="_Toc392492760"/>
      <w:r>
        <w:rPr>
          <w:rStyle w:val="CharSectno"/>
        </w:rPr>
        <w:t>71F</w:t>
      </w:r>
      <w:r>
        <w:t>.</w:t>
      </w:r>
      <w:r>
        <w:tab/>
        <w:t>Review of decision to give notice on ground that tenant not eligible for social housing premises</w:t>
      </w:r>
      <w:bookmarkEnd w:id="123"/>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by No. 60 of 2011 s. 92.]</w:t>
      </w:r>
    </w:p>
    <w:p>
      <w:pPr>
        <w:pStyle w:val="Heading5"/>
        <w:rPr>
          <w:snapToGrid w:val="0"/>
        </w:rPr>
      </w:pPr>
      <w:bookmarkStart w:id="124" w:name="_Toc392492761"/>
      <w:r>
        <w:rPr>
          <w:rStyle w:val="CharSectno"/>
        </w:rPr>
        <w:t>71G</w:t>
      </w:r>
      <w:r>
        <w:t>.</w:t>
      </w:r>
      <w:r>
        <w:tab/>
        <w:t xml:space="preserve">Time </w:t>
      </w:r>
      <w:r>
        <w:rPr>
          <w:snapToGrid w:val="0"/>
        </w:rPr>
        <w:t>periods to be observed where notice of termination given under this Subdivision</w:t>
      </w:r>
      <w:bookmarkEnd w:id="124"/>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by No. 60 of 2011 s. 92.]</w:t>
      </w:r>
    </w:p>
    <w:p>
      <w:pPr>
        <w:pStyle w:val="Heading4"/>
      </w:pPr>
      <w:bookmarkStart w:id="125" w:name="_Toc381880706"/>
      <w:bookmarkStart w:id="126" w:name="_Toc392492762"/>
      <w:r>
        <w:t>Subdivision 3 — Notice of termination where tenant offered alternative social housing premises</w:t>
      </w:r>
      <w:bookmarkEnd w:id="125"/>
      <w:bookmarkEnd w:id="126"/>
    </w:p>
    <w:p>
      <w:pPr>
        <w:pStyle w:val="Footnoteheading"/>
        <w:spacing w:before="100"/>
      </w:pPr>
      <w:r>
        <w:tab/>
        <w:t>[Heading inserted by No. 60 of 2011 s. 92.]</w:t>
      </w:r>
    </w:p>
    <w:p>
      <w:pPr>
        <w:pStyle w:val="Heading5"/>
        <w:rPr>
          <w:snapToGrid w:val="0"/>
        </w:rPr>
      </w:pPr>
      <w:bookmarkStart w:id="127" w:name="_Toc392492763"/>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127"/>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by No. 60 of 2011 s. 92.]</w:t>
      </w:r>
    </w:p>
    <w:p>
      <w:pPr>
        <w:pStyle w:val="Heading5"/>
      </w:pPr>
      <w:bookmarkStart w:id="128" w:name="_Toc392492764"/>
      <w:r>
        <w:rPr>
          <w:rStyle w:val="CharSectno"/>
        </w:rPr>
        <w:t>71I</w:t>
      </w:r>
      <w:r>
        <w:t>.</w:t>
      </w:r>
      <w:r>
        <w:tab/>
        <w:t>Review of decision to give notice on ground that tenant offered alternative social housing premises</w:t>
      </w:r>
      <w:bookmarkEnd w:id="128"/>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by No. 60 of 2011 s. 92.]</w:t>
      </w:r>
    </w:p>
    <w:p>
      <w:pPr>
        <w:pStyle w:val="Heading5"/>
      </w:pPr>
      <w:bookmarkStart w:id="129" w:name="_Toc392492765"/>
      <w:r>
        <w:rPr>
          <w:rStyle w:val="CharSectno"/>
        </w:rPr>
        <w:t>71J</w:t>
      </w:r>
      <w:r>
        <w:t>.</w:t>
      </w:r>
      <w:r>
        <w:tab/>
        <w:t xml:space="preserve">Time periods to be observed </w:t>
      </w:r>
      <w:r>
        <w:rPr>
          <w:snapToGrid w:val="0"/>
        </w:rPr>
        <w:t xml:space="preserve">where notice of termination given </w:t>
      </w:r>
      <w:r>
        <w:t>under this Subdivision</w:t>
      </w:r>
      <w:bookmarkEnd w:id="129"/>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by No. 60 of 2011 s. 92.]</w:t>
      </w:r>
    </w:p>
    <w:p>
      <w:pPr>
        <w:pStyle w:val="Heading3"/>
      </w:pPr>
      <w:bookmarkStart w:id="130" w:name="_Toc381880710"/>
      <w:bookmarkStart w:id="131" w:name="_Toc392492766"/>
      <w:r>
        <w:rPr>
          <w:rStyle w:val="CharDivNo"/>
        </w:rPr>
        <w:t>Division 4</w:t>
      </w:r>
      <w:r>
        <w:t> — </w:t>
      </w:r>
      <w:r>
        <w:rPr>
          <w:rStyle w:val="CharDivText"/>
        </w:rPr>
        <w:t>Orders for termination of residential tenancy agreement</w:t>
      </w:r>
      <w:bookmarkEnd w:id="130"/>
      <w:bookmarkEnd w:id="131"/>
    </w:p>
    <w:p>
      <w:pPr>
        <w:pStyle w:val="Footnoteheading"/>
      </w:pPr>
      <w:r>
        <w:tab/>
        <w:t>[Heading inserted by No. 60 of 2011 s. 69.]</w:t>
      </w:r>
    </w:p>
    <w:p>
      <w:pPr>
        <w:pStyle w:val="Heading5"/>
        <w:rPr>
          <w:snapToGrid w:val="0"/>
        </w:rPr>
      </w:pPr>
      <w:bookmarkStart w:id="132" w:name="_Toc392492767"/>
      <w:r>
        <w:rPr>
          <w:rStyle w:val="CharSectno"/>
        </w:rPr>
        <w:t>71</w:t>
      </w:r>
      <w:r>
        <w:rPr>
          <w:snapToGrid w:val="0"/>
        </w:rPr>
        <w:t>.</w:t>
      </w:r>
      <w:r>
        <w:rPr>
          <w:snapToGrid w:val="0"/>
        </w:rPr>
        <w:tab/>
        <w:t>Application by lessor for termination and order for possession</w:t>
      </w:r>
      <w:bookmarkEnd w:id="132"/>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spacing w:val="-4"/>
        </w:rPr>
        <w:tab/>
        <w:t>(4)</w:t>
      </w:r>
      <w:r>
        <w:rPr>
          <w:snapToGrid w:val="0"/>
          <w:spacing w:val="-4"/>
        </w:rPr>
        <w:tab/>
      </w:r>
      <w:r>
        <w:rPr>
          <w:snapToGrid w:val="0"/>
        </w:rPr>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by No. 50 of 1988 s. 18; No. 59 of 1995 s. 51; No. 59 of 2004 s. 120; No. 20 of 2005 s. 23; No. 60 of 2011 s. 70, 88, 89 and 93.] </w:t>
      </w:r>
    </w:p>
    <w:p>
      <w:pPr>
        <w:pStyle w:val="Heading5"/>
        <w:rPr>
          <w:snapToGrid w:val="0"/>
        </w:rPr>
      </w:pPr>
      <w:bookmarkStart w:id="133" w:name="_Toc392492768"/>
      <w:r>
        <w:rPr>
          <w:rStyle w:val="CharSectno"/>
        </w:rPr>
        <w:t>72</w:t>
      </w:r>
      <w:r>
        <w:rPr>
          <w:snapToGrid w:val="0"/>
        </w:rPr>
        <w:t>.</w:t>
      </w:r>
      <w:r>
        <w:rPr>
          <w:snapToGrid w:val="0"/>
        </w:rPr>
        <w:tab/>
        <w:t>Application for termination and order for possession in relation to fixed term agreements</w:t>
      </w:r>
      <w:bookmarkEnd w:id="133"/>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by No. 50 of 1988 s. 18; No. 59 of 2004 s. 120 and 121; No. 20 of 2005 s. 23; No. 60 of 2011 s. 71, 88 and 89.]</w:t>
      </w:r>
    </w:p>
    <w:p>
      <w:pPr>
        <w:pStyle w:val="Heading5"/>
        <w:spacing w:before="200"/>
      </w:pPr>
      <w:bookmarkStart w:id="134" w:name="_Toc392492769"/>
      <w:r>
        <w:rPr>
          <w:rStyle w:val="CharSectno"/>
        </w:rPr>
        <w:t>73A</w:t>
      </w:r>
      <w:r>
        <w:t>.</w:t>
      </w:r>
      <w:r>
        <w:tab/>
        <w:t>Notice of termination not required in certain cases</w:t>
      </w:r>
      <w:bookmarkEnd w:id="134"/>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by No. 60 of 2011 s. 94.]</w:t>
      </w:r>
    </w:p>
    <w:p>
      <w:pPr>
        <w:pStyle w:val="Heading5"/>
        <w:spacing w:before="200"/>
        <w:rPr>
          <w:snapToGrid w:val="0"/>
        </w:rPr>
      </w:pPr>
      <w:bookmarkStart w:id="135" w:name="_Toc392492770"/>
      <w:r>
        <w:rPr>
          <w:rStyle w:val="CharSectno"/>
        </w:rPr>
        <w:t>73</w:t>
      </w:r>
      <w:r>
        <w:rPr>
          <w:snapToGrid w:val="0"/>
        </w:rPr>
        <w:t>.</w:t>
      </w:r>
      <w:r>
        <w:rPr>
          <w:snapToGrid w:val="0"/>
        </w:rPr>
        <w:tab/>
        <w:t>Termination of agreement where tenant causing serious damage or injury</w:t>
      </w:r>
      <w:bookmarkEnd w:id="135"/>
      <w:r>
        <w:rPr>
          <w:snapToGrid w:val="0"/>
        </w:rPr>
        <w:t xml:space="preserve"> </w:t>
      </w:r>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serious damage to the premises or injury to </w:t>
      </w:r>
      <w:r>
        <w:t>the lessor or the property manager of the premises</w:t>
      </w:r>
      <w:r>
        <w:rPr>
          <w:snapToGrid w:val="0"/>
        </w:rPr>
        <w:t xml:space="preserve">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by No. 50 of 1988 s. 18; No. 59 of 2004 s. 120; No. 60 of 2011 s. 72, 88 and 89.] </w:t>
      </w:r>
    </w:p>
    <w:p>
      <w:pPr>
        <w:pStyle w:val="Heading5"/>
        <w:rPr>
          <w:snapToGrid w:val="0"/>
        </w:rPr>
      </w:pPr>
      <w:bookmarkStart w:id="136" w:name="_Toc392492771"/>
      <w:r>
        <w:rPr>
          <w:rStyle w:val="CharSectno"/>
        </w:rPr>
        <w:t>74</w:t>
      </w:r>
      <w:r>
        <w:rPr>
          <w:snapToGrid w:val="0"/>
        </w:rPr>
        <w:t>.</w:t>
      </w:r>
      <w:r>
        <w:rPr>
          <w:snapToGrid w:val="0"/>
        </w:rPr>
        <w:tab/>
        <w:t>Termination of agreement where lessor or tenant would otherwise suffer undue hardship</w:t>
      </w:r>
      <w:bookmarkEnd w:id="136"/>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by No. 50 of 1988 s. 18; No. 59 of 2004 s. 120 and 121; No. 60 of 2011 s. 73 and 88.] </w:t>
      </w:r>
    </w:p>
    <w:p>
      <w:pPr>
        <w:pStyle w:val="Heading5"/>
      </w:pPr>
      <w:bookmarkStart w:id="137" w:name="_Toc392492772"/>
      <w:r>
        <w:rPr>
          <w:rStyle w:val="CharSectno"/>
        </w:rPr>
        <w:t>75A</w:t>
      </w:r>
      <w:r>
        <w:t>.</w:t>
      </w:r>
      <w:r>
        <w:tab/>
        <w:t>Termination of social housing tenancy agreement due to objectionable behaviour</w:t>
      </w:r>
      <w:bookmarkEnd w:id="137"/>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by No. 60 of 2011 s. 95.]</w:t>
      </w:r>
    </w:p>
    <w:p>
      <w:pPr>
        <w:pStyle w:val="Heading5"/>
        <w:spacing w:before="200"/>
        <w:rPr>
          <w:snapToGrid w:val="0"/>
        </w:rPr>
      </w:pPr>
      <w:bookmarkStart w:id="138" w:name="_Toc392492773"/>
      <w:r>
        <w:rPr>
          <w:rStyle w:val="CharSectno"/>
        </w:rPr>
        <w:t>75</w:t>
      </w:r>
      <w:r>
        <w:rPr>
          <w:snapToGrid w:val="0"/>
        </w:rPr>
        <w:t>.</w:t>
      </w:r>
      <w:r>
        <w:rPr>
          <w:snapToGrid w:val="0"/>
        </w:rPr>
        <w:tab/>
        <w:t>Termination of agreement for breach by lessor</w:t>
      </w:r>
      <w:bookmarkEnd w:id="138"/>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by No. 50 of 1988 s. 18; No. 59 of 2004 s. 120; No. 60 of 2011 s. 88 and 89.] </w:t>
      </w:r>
    </w:p>
    <w:p>
      <w:pPr>
        <w:pStyle w:val="Heading5"/>
      </w:pPr>
      <w:bookmarkStart w:id="139" w:name="_Toc392492774"/>
      <w:r>
        <w:rPr>
          <w:rStyle w:val="CharSectno"/>
        </w:rPr>
        <w:t>76A</w:t>
      </w:r>
      <w:r>
        <w:t>.</w:t>
      </w:r>
      <w:r>
        <w:tab/>
        <w:t>Termination of agreement by lessor if premises abandoned</w:t>
      </w:r>
      <w:bookmarkEnd w:id="139"/>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by No. 60 of 2011 s. 74.]</w:t>
      </w:r>
    </w:p>
    <w:p>
      <w:pPr>
        <w:pStyle w:val="Heading5"/>
      </w:pPr>
      <w:bookmarkStart w:id="140" w:name="_Toc392492775"/>
      <w:r>
        <w:rPr>
          <w:rStyle w:val="CharSectno"/>
        </w:rPr>
        <w:t>76B</w:t>
      </w:r>
      <w:r>
        <w:t>.</w:t>
      </w:r>
      <w:r>
        <w:tab/>
        <w:t>Dispute about s. 76A notice</w:t>
      </w:r>
      <w:bookmarkEnd w:id="140"/>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by No. 60 of 2011 s. 74.]</w:t>
      </w:r>
    </w:p>
    <w:p>
      <w:pPr>
        <w:pStyle w:val="Heading3"/>
      </w:pPr>
      <w:bookmarkStart w:id="141" w:name="_Toc381880720"/>
      <w:bookmarkStart w:id="142" w:name="_Toc392492776"/>
      <w:r>
        <w:rPr>
          <w:rStyle w:val="CharDivNo"/>
        </w:rPr>
        <w:t>Division 5</w:t>
      </w:r>
      <w:r>
        <w:t> — </w:t>
      </w:r>
      <w:r>
        <w:rPr>
          <w:rStyle w:val="CharDivText"/>
        </w:rPr>
        <w:t>General</w:t>
      </w:r>
      <w:bookmarkEnd w:id="141"/>
      <w:bookmarkEnd w:id="142"/>
    </w:p>
    <w:p>
      <w:pPr>
        <w:pStyle w:val="Footnoteheading"/>
        <w:spacing w:before="80"/>
      </w:pPr>
      <w:r>
        <w:tab/>
        <w:t>[Heading inserted by No. 60 of 2011 s. 74.]</w:t>
      </w:r>
    </w:p>
    <w:p>
      <w:pPr>
        <w:pStyle w:val="Heading5"/>
      </w:pPr>
      <w:bookmarkStart w:id="143" w:name="_Toc392492777"/>
      <w:r>
        <w:rPr>
          <w:rStyle w:val="CharSectno"/>
        </w:rPr>
        <w:t>76C</w:t>
      </w:r>
      <w:r>
        <w:t>.</w:t>
      </w:r>
      <w:r>
        <w:tab/>
        <w:t>Fixed term tenancies continued as periodic tenancies</w:t>
      </w:r>
      <w:bookmarkEnd w:id="143"/>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by No. 60 of 2011 s. 74.]</w:t>
      </w:r>
    </w:p>
    <w:p>
      <w:pPr>
        <w:pStyle w:val="Heading5"/>
        <w:keepLines w:val="0"/>
        <w:rPr>
          <w:snapToGrid w:val="0"/>
        </w:rPr>
      </w:pPr>
      <w:bookmarkStart w:id="144" w:name="_Toc392492778"/>
      <w:r>
        <w:rPr>
          <w:rStyle w:val="CharSectno"/>
        </w:rPr>
        <w:t>76</w:t>
      </w:r>
      <w:r>
        <w:rPr>
          <w:snapToGrid w:val="0"/>
        </w:rPr>
        <w:t>.</w:t>
      </w:r>
      <w:r>
        <w:rPr>
          <w:snapToGrid w:val="0"/>
        </w:rPr>
        <w:tab/>
        <w:t>Compensation to lessor for holding over</w:t>
      </w:r>
      <w:bookmarkEnd w:id="144"/>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w:t>
      </w:r>
      <w:r>
        <w:t>the lessor</w:t>
      </w:r>
      <w:r>
        <w:rPr>
          <w:snapToGrid w:val="0"/>
          <w:spacing w:val="-4"/>
        </w:rPr>
        <w:t>, order the tenant to pay to the lessor any compensation to which the lessor is entitled under this section.</w:t>
      </w:r>
    </w:p>
    <w:p>
      <w:pPr>
        <w:pStyle w:val="Footnotesection"/>
      </w:pPr>
      <w:r>
        <w:tab/>
        <w:t xml:space="preserve">[Section 76 amended by No. 50 of 1988 s. 18; No. 59 of 2004 s. 120(1) and (3); No. 60 of 2011 s. 89.] </w:t>
      </w:r>
    </w:p>
    <w:p>
      <w:pPr>
        <w:pStyle w:val="Heading5"/>
      </w:pPr>
      <w:bookmarkStart w:id="145" w:name="_Toc392492779"/>
      <w:r>
        <w:rPr>
          <w:rStyle w:val="CharSectno"/>
        </w:rPr>
        <w:t>77</w:t>
      </w:r>
      <w:r>
        <w:t>.</w:t>
      </w:r>
      <w:r>
        <w:tab/>
        <w:t>Abandonment of premises</w:t>
      </w:r>
      <w:bookmarkEnd w:id="145"/>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by No. 60 of 2011 s. 75.]</w:t>
      </w:r>
    </w:p>
    <w:p>
      <w:pPr>
        <w:pStyle w:val="Heading5"/>
      </w:pPr>
      <w:bookmarkStart w:id="146" w:name="_Toc392492780"/>
      <w:r>
        <w:rPr>
          <w:rStyle w:val="CharSectno"/>
        </w:rPr>
        <w:t>78A</w:t>
      </w:r>
      <w:r>
        <w:t>.</w:t>
      </w:r>
      <w:r>
        <w:tab/>
        <w:t>Order about abandonment</w:t>
      </w:r>
      <w:bookmarkEnd w:id="146"/>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by No. 60 of 2011 s. 75.]</w:t>
      </w:r>
    </w:p>
    <w:p>
      <w:pPr>
        <w:pStyle w:val="Heading5"/>
      </w:pPr>
      <w:bookmarkStart w:id="147" w:name="_Toc392492781"/>
      <w:r>
        <w:rPr>
          <w:rStyle w:val="CharSectno"/>
        </w:rPr>
        <w:t>78B</w:t>
      </w:r>
      <w:r>
        <w:t>.</w:t>
      </w:r>
      <w:r>
        <w:tab/>
        <w:t>Review of abandonment order</w:t>
      </w:r>
      <w:bookmarkEnd w:id="147"/>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by No. 60 of 2011 s. 75.]</w:t>
      </w:r>
    </w:p>
    <w:p>
      <w:pPr>
        <w:pStyle w:val="Heading5"/>
        <w:rPr>
          <w:snapToGrid w:val="0"/>
        </w:rPr>
      </w:pPr>
      <w:bookmarkStart w:id="148" w:name="_Toc392492782"/>
      <w:r>
        <w:rPr>
          <w:rStyle w:val="CharSectno"/>
        </w:rPr>
        <w:t>78</w:t>
      </w:r>
      <w:r>
        <w:rPr>
          <w:snapToGrid w:val="0"/>
        </w:rPr>
        <w:t>.</w:t>
      </w:r>
      <w:r>
        <w:rPr>
          <w:snapToGrid w:val="0"/>
        </w:rPr>
        <w:tab/>
      </w:r>
      <w:r>
        <w:rPr>
          <w:bCs/>
        </w:rPr>
        <w:t>Right of lessor to compensation where tenant abandons premises</w:t>
      </w:r>
      <w:bookmarkEnd w:id="148"/>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w:t>
      </w:r>
      <w:r>
        <w:t>the lessor</w:t>
      </w:r>
      <w:r>
        <w:rPr>
          <w:snapToGrid w:val="0"/>
          <w:spacing w:val="-4"/>
        </w:rPr>
        <w:t xml:space="preserve">, order the tenant to pay to the lessor any compensation to which </w:t>
      </w:r>
      <w:r>
        <w:t>the lessor</w:t>
      </w:r>
      <w:r>
        <w:rPr>
          <w:snapToGrid w:val="0"/>
          <w:spacing w:val="-4"/>
        </w:rPr>
        <w:t xml:space="preserve"> is entitled under this section.</w:t>
      </w:r>
    </w:p>
    <w:p>
      <w:pPr>
        <w:pStyle w:val="Footnotesection"/>
        <w:spacing w:before="100"/>
      </w:pPr>
      <w:r>
        <w:tab/>
        <w:t xml:space="preserve">[Section 78 amended by No. 50 of 1988 s. 18; No. 59 of 2004 s. 120(1); No. 60 of 2011 s. 88 and 89.] </w:t>
      </w:r>
    </w:p>
    <w:p>
      <w:pPr>
        <w:pStyle w:val="Heading5"/>
        <w:spacing w:before="200"/>
        <w:rPr>
          <w:snapToGrid w:val="0"/>
        </w:rPr>
      </w:pPr>
      <w:bookmarkStart w:id="149" w:name="_Toc392492783"/>
      <w:r>
        <w:rPr>
          <w:rStyle w:val="CharSectno"/>
        </w:rPr>
        <w:t>79</w:t>
      </w:r>
      <w:r>
        <w:rPr>
          <w:snapToGrid w:val="0"/>
        </w:rPr>
        <w:t>.</w:t>
      </w:r>
      <w:r>
        <w:rPr>
          <w:snapToGrid w:val="0"/>
        </w:rPr>
        <w:tab/>
        <w:t>Abandoned goods</w:t>
      </w:r>
      <w:bookmarkEnd w:id="149"/>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a fine of $5 000.</w:t>
      </w:r>
    </w:p>
    <w:p>
      <w:pPr>
        <w:pStyle w:val="Subsection"/>
        <w:rPr>
          <w:snapToGrid w:val="0"/>
        </w:rPr>
      </w:pPr>
      <w:r>
        <w:rPr>
          <w:snapToGrid w:val="0"/>
        </w:rPr>
        <w:tab/>
        <w:t>(3)</w:t>
      </w:r>
      <w:r>
        <w:rPr>
          <w:snapToGrid w:val="0"/>
        </w:rPr>
        <w:tab/>
      </w:r>
      <w:r>
        <w:t>A lessor</w:t>
      </w:r>
      <w:r>
        <w:rPr>
          <w:snapToGrid w:val="0"/>
        </w:rPr>
        <w:t xml:space="preserve"> shall before the expiration of 7 days after </w:t>
      </w:r>
      <w:r>
        <w:t>the lessor</w:t>
      </w:r>
      <w:r>
        <w:rPr>
          <w:snapToGrid w:val="0"/>
        </w:rPr>
        <w:t xml:space="preserve"> has stored goods under subsection (2) — </w:t>
      </w:r>
    </w:p>
    <w:p>
      <w:pPr>
        <w:pStyle w:val="Indenta"/>
        <w:rPr>
          <w:snapToGrid w:val="0"/>
        </w:rPr>
      </w:pPr>
      <w:r>
        <w:rPr>
          <w:snapToGrid w:val="0"/>
        </w:rPr>
        <w:tab/>
        <w:t>(a)</w:t>
      </w:r>
      <w:r>
        <w:rPr>
          <w:snapToGrid w:val="0"/>
        </w:rPr>
        <w:tab/>
        <w:t xml:space="preserve">where the tenant has informed </w:t>
      </w:r>
      <w:r>
        <w:t>the lessor</w:t>
      </w:r>
      <w:r>
        <w:rPr>
          <w:snapToGrid w:val="0"/>
        </w:rPr>
        <w:t xml:space="preserve"> of </w:t>
      </w:r>
      <w:r>
        <w:t>the tenant’s</w:t>
      </w:r>
      <w:r>
        <w:rPr>
          <w:snapToGrid w:val="0"/>
        </w:rPr>
        <w:t xml:space="preserve">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Penstart"/>
      </w:pPr>
      <w:r>
        <w:tab/>
        <w:t>Penalty: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spacing w:val="-4"/>
        </w:rPr>
      </w:pPr>
      <w:r>
        <w:rPr>
          <w:snapToGrid w:val="0"/>
          <w:spacing w:val="-4"/>
        </w:rPr>
        <w:tab/>
        <w:t>(8)</w:t>
      </w:r>
      <w:r>
        <w:rPr>
          <w:snapToGrid w:val="0"/>
          <w:spacing w:val="-4"/>
        </w:rPr>
        <w:tab/>
        <w:t xml:space="preserve">Where goods are stored under subsection (2) and have not been reclaimed within 60 days after the day on which they were removed and stored, </w:t>
      </w:r>
      <w:r>
        <w:t>the lessor</w:t>
      </w:r>
      <w:r>
        <w:rPr>
          <w:snapToGrid w:val="0"/>
          <w:spacing w:val="-4"/>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by No. 50 of 1988 s. 14 and 18; No. 59 of 1995 s. 56; No. 59 of 2004 s. 120 and 121; No. 77 of 2006 Sch. 1 cl. 149(1) and (5); No. 60 of 2011 s. 76, 88 and 89.] </w:t>
      </w:r>
    </w:p>
    <w:p>
      <w:pPr>
        <w:pStyle w:val="Heading5"/>
      </w:pPr>
      <w:bookmarkStart w:id="150" w:name="_Toc392492784"/>
      <w:r>
        <w:rPr>
          <w:rStyle w:val="CharSectno"/>
        </w:rPr>
        <w:t>80A</w:t>
      </w:r>
      <w:r>
        <w:t>.</w:t>
      </w:r>
      <w:r>
        <w:tab/>
        <w:t>Abandoned documents</w:t>
      </w:r>
      <w:bookmarkEnd w:id="150"/>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pPr>
      <w:r>
        <w:tab/>
        <w:t>(b)</w:t>
      </w:r>
      <w:r>
        <w:tab/>
        <w:t>as to when and from where the document may be collected.</w:t>
      </w:r>
    </w:p>
    <w:p>
      <w:pPr>
        <w:pStyle w:val="Penstart"/>
      </w:pPr>
      <w:r>
        <w:tab/>
        <w:t>Penalty: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spacing w:val="-4"/>
        </w:rPr>
        <w:t xml:space="preserve"> </w:t>
      </w:r>
      <w:r>
        <w:t>competent court</w:t>
      </w:r>
      <w:r>
        <w:rPr>
          <w:snapToGrid w:val="0"/>
          <w:spacing w:val="-4"/>
        </w:rPr>
        <w:t xml:space="preserve"> may, on an application by the lessor, </w:t>
      </w:r>
      <w:r>
        <w:rPr>
          <w:snapToGrid w:val="0"/>
        </w:rPr>
        <w:t>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by No. 60 of 2011 s. 77.] </w:t>
      </w:r>
    </w:p>
    <w:p>
      <w:pPr>
        <w:pStyle w:val="Heading5"/>
        <w:rPr>
          <w:snapToGrid w:val="0"/>
        </w:rPr>
      </w:pPr>
      <w:bookmarkStart w:id="151" w:name="_Toc392492785"/>
      <w:r>
        <w:rPr>
          <w:rStyle w:val="CharSectno"/>
        </w:rPr>
        <w:t>80</w:t>
      </w:r>
      <w:r>
        <w:rPr>
          <w:snapToGrid w:val="0"/>
        </w:rPr>
        <w:t>.</w:t>
      </w:r>
      <w:r>
        <w:rPr>
          <w:snapToGrid w:val="0"/>
        </w:rPr>
        <w:tab/>
        <w:t>Recovery of possession of premises prohibited except by court order</w:t>
      </w:r>
      <w:bookmarkEnd w:id="151"/>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by No. 50 of 1988 s. 18; No. 59 of 1995 s. 55; No. 59 of 2004 s. 120(1); No. 60 of 2011 s. 78 and 88.] </w:t>
      </w:r>
    </w:p>
    <w:p>
      <w:pPr>
        <w:pStyle w:val="Heading5"/>
      </w:pPr>
      <w:bookmarkStart w:id="152" w:name="_Toc392492786"/>
      <w:r>
        <w:rPr>
          <w:rStyle w:val="CharSectno"/>
        </w:rPr>
        <w:t>81A</w:t>
      </w:r>
      <w:r>
        <w:t>.</w:t>
      </w:r>
      <w:r>
        <w:tab/>
        <w:t>Mortgagee repossessions of rented properties</w:t>
      </w:r>
      <w:bookmarkEnd w:id="152"/>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by No. 60 of 2011 s. 79.] </w:t>
      </w:r>
    </w:p>
    <w:p>
      <w:pPr>
        <w:pStyle w:val="Heading5"/>
      </w:pPr>
      <w:bookmarkStart w:id="153" w:name="_Toc392492787"/>
      <w:r>
        <w:rPr>
          <w:rStyle w:val="CharSectno"/>
        </w:rPr>
        <w:t>81B</w:t>
      </w:r>
      <w:r>
        <w:t>.</w:t>
      </w:r>
      <w:r>
        <w:tab/>
        <w:t>Notice of proposed recovery of premises by person with superior title</w:t>
      </w:r>
      <w:bookmarkEnd w:id="153"/>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by No. 60 of 2011 s. 79.] </w:t>
      </w:r>
    </w:p>
    <w:p>
      <w:pPr>
        <w:pStyle w:val="Heading5"/>
      </w:pPr>
      <w:bookmarkStart w:id="154" w:name="_Toc392492788"/>
      <w:r>
        <w:rPr>
          <w:rStyle w:val="CharSectno"/>
        </w:rPr>
        <w:t>81</w:t>
      </w:r>
      <w:r>
        <w:t>.</w:t>
      </w:r>
      <w:r>
        <w:tab/>
        <w:t>Order for tenancy against person with superior title</w:t>
      </w:r>
      <w:bookmarkEnd w:id="154"/>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by No. 60 of 2011 s. 79.] </w:t>
      </w:r>
    </w:p>
    <w:p>
      <w:pPr>
        <w:pStyle w:val="Heading2"/>
      </w:pPr>
      <w:bookmarkStart w:id="155" w:name="_Toc381880733"/>
      <w:bookmarkStart w:id="156" w:name="_Toc392492789"/>
      <w:r>
        <w:rPr>
          <w:rStyle w:val="CharPartNo"/>
        </w:rPr>
        <w:t>Part VIA</w:t>
      </w:r>
      <w:r>
        <w:t> — </w:t>
      </w:r>
      <w:r>
        <w:rPr>
          <w:rStyle w:val="CharPartText"/>
        </w:rPr>
        <w:t>Residential tenancy databases</w:t>
      </w:r>
      <w:bookmarkEnd w:id="155"/>
      <w:bookmarkEnd w:id="156"/>
    </w:p>
    <w:p>
      <w:pPr>
        <w:pStyle w:val="Footnoteheading"/>
      </w:pPr>
      <w:r>
        <w:tab/>
        <w:t xml:space="preserve">[Heading inserted by No. 60 of 2011 s. 96.] </w:t>
      </w:r>
    </w:p>
    <w:p>
      <w:pPr>
        <w:pStyle w:val="Heading3"/>
      </w:pPr>
      <w:bookmarkStart w:id="157" w:name="_Toc381880734"/>
      <w:bookmarkStart w:id="158" w:name="_Toc392492790"/>
      <w:r>
        <w:rPr>
          <w:rStyle w:val="CharDivNo"/>
        </w:rPr>
        <w:t>Division 1</w:t>
      </w:r>
      <w:r>
        <w:t> — </w:t>
      </w:r>
      <w:r>
        <w:rPr>
          <w:rStyle w:val="CharDivText"/>
        </w:rPr>
        <w:t>Preliminary</w:t>
      </w:r>
      <w:bookmarkEnd w:id="157"/>
      <w:bookmarkEnd w:id="158"/>
    </w:p>
    <w:p>
      <w:pPr>
        <w:pStyle w:val="Footnoteheading"/>
      </w:pPr>
      <w:r>
        <w:tab/>
        <w:t xml:space="preserve">[Heading inserted by No. 60 of 2011 s. 96.] </w:t>
      </w:r>
    </w:p>
    <w:p>
      <w:pPr>
        <w:pStyle w:val="Heading5"/>
      </w:pPr>
      <w:bookmarkStart w:id="159" w:name="_Toc392492791"/>
      <w:r>
        <w:rPr>
          <w:rStyle w:val="CharSectno"/>
          <w:spacing w:val="-6"/>
        </w:rPr>
        <w:t>82A</w:t>
      </w:r>
      <w:r>
        <w:t>.</w:t>
      </w:r>
      <w:r>
        <w:tab/>
        <w:t>Terms used</w:t>
      </w:r>
      <w:bookmarkEnd w:id="159"/>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by No. 60 of 2011 s. 96.] </w:t>
      </w:r>
    </w:p>
    <w:p>
      <w:pPr>
        <w:pStyle w:val="Heading5"/>
      </w:pPr>
      <w:bookmarkStart w:id="160" w:name="_Toc392492792"/>
      <w:r>
        <w:rPr>
          <w:rStyle w:val="CharSectno"/>
          <w:spacing w:val="-6"/>
        </w:rPr>
        <w:t>82B</w:t>
      </w:r>
      <w:r>
        <w:t>.</w:t>
      </w:r>
      <w:r>
        <w:tab/>
        <w:t>Application of Part</w:t>
      </w:r>
      <w:bookmarkEnd w:id="160"/>
    </w:p>
    <w:p>
      <w:pPr>
        <w:pStyle w:val="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Footnotesection"/>
        <w:spacing w:before="100"/>
      </w:pPr>
      <w:r>
        <w:tab/>
        <w:t xml:space="preserve">[Section 82B inserted by No. 60 of 2011 s. 96.] </w:t>
      </w:r>
    </w:p>
    <w:p>
      <w:pPr>
        <w:pStyle w:val="Heading3"/>
      </w:pPr>
      <w:bookmarkStart w:id="161" w:name="_Toc381880737"/>
      <w:bookmarkStart w:id="162" w:name="_Toc392492793"/>
      <w:r>
        <w:rPr>
          <w:rStyle w:val="CharDivNo"/>
        </w:rPr>
        <w:t>Division 2</w:t>
      </w:r>
      <w:r>
        <w:t> — </w:t>
      </w:r>
      <w:r>
        <w:rPr>
          <w:rStyle w:val="CharDivText"/>
        </w:rPr>
        <w:t>Tenancy database information</w:t>
      </w:r>
      <w:bookmarkEnd w:id="161"/>
      <w:bookmarkEnd w:id="162"/>
    </w:p>
    <w:p>
      <w:pPr>
        <w:pStyle w:val="Footnoteheading"/>
        <w:spacing w:before="100"/>
      </w:pPr>
      <w:r>
        <w:tab/>
        <w:t xml:space="preserve">[Heading inserted by No. 60 of 2011 s. 96.] </w:t>
      </w:r>
    </w:p>
    <w:p>
      <w:pPr>
        <w:pStyle w:val="Heading5"/>
      </w:pPr>
      <w:bookmarkStart w:id="163" w:name="_Toc392492794"/>
      <w:r>
        <w:rPr>
          <w:rStyle w:val="CharSectno"/>
          <w:spacing w:val="-6"/>
        </w:rPr>
        <w:t>82C</w:t>
      </w:r>
      <w:r>
        <w:t>.</w:t>
      </w:r>
      <w:r>
        <w:tab/>
        <w:t>Notice of usual use of database</w:t>
      </w:r>
      <w:bookmarkEnd w:id="163"/>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by No. 60 of 2011 s. 96.] </w:t>
      </w:r>
    </w:p>
    <w:p>
      <w:pPr>
        <w:pStyle w:val="Heading5"/>
      </w:pPr>
      <w:bookmarkStart w:id="164" w:name="_Toc392492795"/>
      <w:r>
        <w:rPr>
          <w:rStyle w:val="CharSectno"/>
          <w:spacing w:val="-6"/>
        </w:rPr>
        <w:t>82D</w:t>
      </w:r>
      <w:r>
        <w:t>.</w:t>
      </w:r>
      <w:r>
        <w:tab/>
        <w:t>Notice of listing if database used</w:t>
      </w:r>
      <w:bookmarkEnd w:id="164"/>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by No. 60 of 2011 s. 96.] </w:t>
      </w:r>
    </w:p>
    <w:p>
      <w:pPr>
        <w:pStyle w:val="Heading5"/>
      </w:pPr>
      <w:bookmarkStart w:id="165" w:name="_Toc392492796"/>
      <w:r>
        <w:rPr>
          <w:rStyle w:val="CharSectno"/>
          <w:spacing w:val="-6"/>
        </w:rPr>
        <w:t>82E</w:t>
      </w:r>
      <w:r>
        <w:t>.</w:t>
      </w:r>
      <w:r>
        <w:tab/>
        <w:t>Listing can be made only for particular breaches by particular persons</w:t>
      </w:r>
      <w:bookmarkEnd w:id="165"/>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by No. 60 of 2011 s. 96.] </w:t>
      </w:r>
    </w:p>
    <w:p>
      <w:pPr>
        <w:pStyle w:val="Heading5"/>
      </w:pPr>
      <w:bookmarkStart w:id="166" w:name="_Toc392492797"/>
      <w:r>
        <w:rPr>
          <w:rStyle w:val="CharSectno"/>
          <w:spacing w:val="-6"/>
        </w:rPr>
        <w:t>82F</w:t>
      </w:r>
      <w:r>
        <w:t>.</w:t>
      </w:r>
      <w:r>
        <w:tab/>
        <w:t>Further restriction on listing</w:t>
      </w:r>
      <w:bookmarkEnd w:id="166"/>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pPr>
      <w:r>
        <w:tab/>
        <w:t>(c)</w:t>
      </w:r>
      <w:r>
        <w:tab/>
        <w:t>has considered any submissions made.</w:t>
      </w:r>
    </w:p>
    <w:p>
      <w:pPr>
        <w:pStyle w:val="Penstart"/>
      </w:pPr>
      <w:r>
        <w:tab/>
        <w:t>Penalty: a fine of $5 000.</w:t>
      </w:r>
    </w:p>
    <w:p>
      <w:pPr>
        <w:pStyle w:val="Subsection"/>
      </w:pPr>
      <w:r>
        <w:tab/>
        <w:t>(2)</w:t>
      </w:r>
      <w:r>
        <w:tab/>
        <w:t>Subsection (1) does not apply if the lessor, lessor’s agent or database operator cannot locate the person after making reasonable enquiries.</w:t>
      </w:r>
    </w:p>
    <w:p>
      <w:pPr>
        <w:pStyle w:val="Subsection"/>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by No. 60 of 2011 s. 96.] </w:t>
      </w:r>
    </w:p>
    <w:p>
      <w:pPr>
        <w:pStyle w:val="Heading5"/>
      </w:pPr>
      <w:bookmarkStart w:id="167" w:name="_Toc392492798"/>
      <w:r>
        <w:rPr>
          <w:rStyle w:val="CharSectno"/>
          <w:spacing w:val="-6"/>
        </w:rPr>
        <w:t>82G</w:t>
      </w:r>
      <w:r>
        <w:t>.</w:t>
      </w:r>
      <w:r>
        <w:tab/>
        <w:t>Ensuring quality of listing — lessor’s or agent’s obligation</w:t>
      </w:r>
      <w:bookmarkEnd w:id="167"/>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a fine of $5 000.</w:t>
      </w:r>
    </w:p>
    <w:p>
      <w:pPr>
        <w:pStyle w:val="Subsection"/>
      </w:pPr>
      <w:r>
        <w:tab/>
        <w:t>(3)</w:t>
      </w:r>
      <w:r>
        <w:tab/>
        <w:t>The lessor or agent must keep a copy of the written notice for one year after it was given under subsection (2).</w:t>
      </w:r>
    </w:p>
    <w:p>
      <w:pPr>
        <w:pStyle w:val="Penstart"/>
      </w:pPr>
      <w:r>
        <w:tab/>
        <w:t>Penalty: a fine of $5 000.</w:t>
      </w:r>
    </w:p>
    <w:p>
      <w:pPr>
        <w:pStyle w:val="Footnotesection"/>
      </w:pPr>
      <w:r>
        <w:tab/>
        <w:t xml:space="preserve">[Section 82G inserted by No. 60 of 2011 s. 96.] </w:t>
      </w:r>
    </w:p>
    <w:p>
      <w:pPr>
        <w:pStyle w:val="Heading5"/>
      </w:pPr>
      <w:bookmarkStart w:id="168" w:name="_Toc392492799"/>
      <w:r>
        <w:rPr>
          <w:rStyle w:val="CharSectno"/>
          <w:spacing w:val="-6"/>
        </w:rPr>
        <w:t>82H</w:t>
      </w:r>
      <w:r>
        <w:t>.</w:t>
      </w:r>
      <w:r>
        <w:tab/>
        <w:t>Ensuring quality of listing — database operator’s obligation</w:t>
      </w:r>
      <w:bookmarkEnd w:id="168"/>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a fine of $5 000.</w:t>
      </w:r>
    </w:p>
    <w:p>
      <w:pPr>
        <w:pStyle w:val="Footnotesection"/>
      </w:pPr>
      <w:r>
        <w:tab/>
        <w:t xml:space="preserve">[Section 82H inserted by No. 60 of 2011 s. 96.] </w:t>
      </w:r>
    </w:p>
    <w:p>
      <w:pPr>
        <w:pStyle w:val="Heading5"/>
      </w:pPr>
      <w:bookmarkStart w:id="169" w:name="_Toc392492800"/>
      <w:r>
        <w:rPr>
          <w:rStyle w:val="CharSectno"/>
          <w:spacing w:val="-6"/>
        </w:rPr>
        <w:t>82I</w:t>
      </w:r>
      <w:r>
        <w:t>.</w:t>
      </w:r>
      <w:r>
        <w:tab/>
        <w:t>Providing copy of personal information listed</w:t>
      </w:r>
      <w:bookmarkEnd w:id="169"/>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by No. 60 of 2011 s. 96.] </w:t>
      </w:r>
    </w:p>
    <w:p>
      <w:pPr>
        <w:pStyle w:val="Heading5"/>
      </w:pPr>
      <w:bookmarkStart w:id="170" w:name="_Toc392492801"/>
      <w:r>
        <w:rPr>
          <w:rStyle w:val="CharSectno"/>
        </w:rPr>
        <w:t>82J</w:t>
      </w:r>
      <w:r>
        <w:t>.</w:t>
      </w:r>
      <w:r>
        <w:tab/>
        <w:t>Disputes about listings</w:t>
      </w:r>
      <w:bookmarkEnd w:id="170"/>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by No. 60 of 2011 s. 96.] </w:t>
      </w:r>
    </w:p>
    <w:p>
      <w:pPr>
        <w:pStyle w:val="Heading5"/>
      </w:pPr>
      <w:bookmarkStart w:id="171" w:name="_Toc392492802"/>
      <w:r>
        <w:rPr>
          <w:rStyle w:val="CharSectno"/>
          <w:spacing w:val="-6"/>
        </w:rPr>
        <w:t>82K</w:t>
      </w:r>
      <w:r>
        <w:t>.</w:t>
      </w:r>
      <w:r>
        <w:tab/>
        <w:t>Keeping personal information listed</w:t>
      </w:r>
      <w:bookmarkEnd w:id="171"/>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by No. 60 of 2011 s. 96.] </w:t>
      </w:r>
    </w:p>
    <w:p>
      <w:pPr>
        <w:pStyle w:val="Heading2"/>
      </w:pPr>
      <w:bookmarkStart w:id="172" w:name="_Toc381880747"/>
      <w:bookmarkStart w:id="173" w:name="_Toc392492803"/>
      <w:r>
        <w:rPr>
          <w:rStyle w:val="CharPartNo"/>
        </w:rPr>
        <w:t>Part VI</w:t>
      </w:r>
      <w:r>
        <w:rPr>
          <w:rStyle w:val="CharDivNo"/>
        </w:rPr>
        <w:t> </w:t>
      </w:r>
      <w:r>
        <w:t>—</w:t>
      </w:r>
      <w:r>
        <w:rPr>
          <w:rStyle w:val="CharDivText"/>
        </w:rPr>
        <w:t> </w:t>
      </w:r>
      <w:r>
        <w:rPr>
          <w:rStyle w:val="CharPartText"/>
        </w:rPr>
        <w:t>Miscellaneous</w:t>
      </w:r>
      <w:bookmarkEnd w:id="172"/>
      <w:bookmarkEnd w:id="173"/>
    </w:p>
    <w:p>
      <w:pPr>
        <w:pStyle w:val="Heading5"/>
        <w:spacing w:before="200"/>
        <w:rPr>
          <w:snapToGrid w:val="0"/>
        </w:rPr>
      </w:pPr>
      <w:bookmarkStart w:id="174" w:name="_Toc392492804"/>
      <w:r>
        <w:rPr>
          <w:rStyle w:val="CharSectno"/>
        </w:rPr>
        <w:t>82</w:t>
      </w:r>
      <w:r>
        <w:rPr>
          <w:snapToGrid w:val="0"/>
        </w:rPr>
        <w:t>.</w:t>
      </w:r>
      <w:r>
        <w:rPr>
          <w:snapToGrid w:val="0"/>
        </w:rPr>
        <w:tab/>
        <w:t>Contracting out</w:t>
      </w:r>
      <w:bookmarkEnd w:id="174"/>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a fine of $10 000.</w:t>
      </w:r>
    </w:p>
    <w:p>
      <w:pPr>
        <w:pStyle w:val="Ednotesubsection"/>
        <w:spacing w:before="120"/>
      </w:pPr>
      <w:r>
        <w:tab/>
        <w:t>[(3)</w:t>
      </w:r>
      <w:r>
        <w:tab/>
        <w:t>deleted]</w:t>
      </w:r>
    </w:p>
    <w:p>
      <w:pPr>
        <w:pStyle w:val="Footnotesection"/>
        <w:spacing w:before="100"/>
      </w:pPr>
      <w:r>
        <w:tab/>
        <w:t xml:space="preserve">[Section 82 amended by No. 60 of 2011 s. 80.] </w:t>
      </w:r>
    </w:p>
    <w:p>
      <w:pPr>
        <w:pStyle w:val="Heading5"/>
        <w:spacing w:before="200"/>
        <w:rPr>
          <w:snapToGrid w:val="0"/>
        </w:rPr>
      </w:pPr>
      <w:bookmarkStart w:id="175" w:name="_Toc392492805"/>
      <w:r>
        <w:rPr>
          <w:rStyle w:val="CharSectno"/>
        </w:rPr>
        <w:t>83</w:t>
      </w:r>
      <w:r>
        <w:rPr>
          <w:snapToGrid w:val="0"/>
        </w:rPr>
        <w:t>.</w:t>
      </w:r>
      <w:r>
        <w:rPr>
          <w:snapToGrid w:val="0"/>
        </w:rPr>
        <w:tab/>
        <w:t>Recovery of amounts paid under mistake of law or fact</w:t>
      </w:r>
      <w:bookmarkEnd w:id="175"/>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by No. 50 of 1988 s. 18; No. 59 of 2004 s. 120(1).] </w:t>
      </w:r>
    </w:p>
    <w:p>
      <w:pPr>
        <w:pStyle w:val="Heading5"/>
        <w:spacing w:before="200"/>
        <w:rPr>
          <w:snapToGrid w:val="0"/>
        </w:rPr>
      </w:pPr>
      <w:bookmarkStart w:id="176" w:name="_Toc392492806"/>
      <w:r>
        <w:rPr>
          <w:rStyle w:val="CharSectno"/>
        </w:rPr>
        <w:t>84</w:t>
      </w:r>
      <w:r>
        <w:rPr>
          <w:snapToGrid w:val="0"/>
        </w:rPr>
        <w:t>.</w:t>
      </w:r>
      <w:r>
        <w:rPr>
          <w:snapToGrid w:val="0"/>
        </w:rPr>
        <w:tab/>
        <w:t>Exemption of tenancy agreement or premises from provision of Act</w:t>
      </w:r>
      <w:bookmarkEnd w:id="176"/>
      <w:r>
        <w:rPr>
          <w:snapToGrid w:val="0"/>
        </w:rPr>
        <w:t xml:space="preserve"> </w:t>
      </w:r>
    </w:p>
    <w:p>
      <w:pPr>
        <w:pStyle w:val="Subsection"/>
        <w:spacing w:before="120"/>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by No. 50 of 1988 s. 16; No. 59 of 2004 s. 120(1) and (3).] </w:t>
      </w:r>
    </w:p>
    <w:p>
      <w:pPr>
        <w:pStyle w:val="Heading5"/>
        <w:rPr>
          <w:snapToGrid w:val="0"/>
        </w:rPr>
      </w:pPr>
      <w:bookmarkStart w:id="177" w:name="_Toc392492807"/>
      <w:r>
        <w:rPr>
          <w:rStyle w:val="CharSectno"/>
        </w:rPr>
        <w:t>85</w:t>
      </w:r>
      <w:r>
        <w:rPr>
          <w:snapToGrid w:val="0"/>
        </w:rPr>
        <w:t>.</w:t>
      </w:r>
      <w:r>
        <w:rPr>
          <w:snapToGrid w:val="0"/>
        </w:rPr>
        <w:tab/>
        <w:t>Service</w:t>
      </w:r>
      <w:bookmarkEnd w:id="177"/>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 xml:space="preserve">Any notice or document required or authorised to be given under this Act to any person whose address is unknown shall be deemed to have been given to that person </w:t>
      </w:r>
      <w:r>
        <w:t>if —</w:t>
      </w:r>
    </w:p>
    <w:p>
      <w:pPr>
        <w:pStyle w:val="Indenta"/>
        <w:spacing w:before="60"/>
      </w:pPr>
      <w:r>
        <w:tab/>
        <w:t>(a)</w:t>
      </w:r>
      <w:r>
        <w:tab/>
        <w:t>a copy of it is published in a daily newspaper circulating throughout the State; or</w:t>
      </w:r>
    </w:p>
    <w:p>
      <w:pPr>
        <w:pStyle w:val="Indenta"/>
        <w:spacing w:before="60"/>
      </w:pPr>
      <w:r>
        <w:tab/>
        <w:t>(b)</w:t>
      </w:r>
      <w:r>
        <w:tab/>
        <w:t>a court hearing proceedings under this Act orders an alternative means of giving the notice or document, and that means of giving the notice or document is effected.</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 xml:space="preserve">to any person apparently over the age of 16 years apparently residing at the place of residence of </w:t>
      </w:r>
      <w:r>
        <w:rPr>
          <w:snapToGrid w:val="0"/>
          <w:spacing w:val="-4"/>
        </w:rPr>
        <w:t>the lessor</w:t>
      </w:r>
      <w:r>
        <w:rPr>
          <w:snapToGrid w:val="0"/>
        </w:rPr>
        <w:t>,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by No. 60 of 2011 s. 81 and 89.] </w:t>
      </w:r>
    </w:p>
    <w:p>
      <w:pPr>
        <w:pStyle w:val="Heading5"/>
        <w:spacing w:before="260"/>
      </w:pPr>
      <w:bookmarkStart w:id="178" w:name="_Toc392492808"/>
      <w:r>
        <w:rPr>
          <w:rStyle w:val="CharSectno"/>
        </w:rPr>
        <w:t>86</w:t>
      </w:r>
      <w:r>
        <w:t>.</w:t>
      </w:r>
      <w:r>
        <w:tab/>
        <w:t>Court may refer matter to Commissioner for investigation</w:t>
      </w:r>
      <w:bookmarkEnd w:id="178"/>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by No. 60 of 2011 s. 82.] </w:t>
      </w:r>
    </w:p>
    <w:p>
      <w:pPr>
        <w:pStyle w:val="Heading5"/>
        <w:spacing w:before="260"/>
      </w:pPr>
      <w:bookmarkStart w:id="179" w:name="_Toc392492809"/>
      <w:r>
        <w:rPr>
          <w:rStyle w:val="CharSectno"/>
        </w:rPr>
        <w:t>87A</w:t>
      </w:r>
      <w:r>
        <w:t>.</w:t>
      </w:r>
      <w:r>
        <w:tab/>
        <w:t>Defence where lessor and property manager are both charged with the same offence</w:t>
      </w:r>
      <w:bookmarkEnd w:id="179"/>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by No. 60 of 2011 s. 82.] </w:t>
      </w:r>
    </w:p>
    <w:p>
      <w:pPr>
        <w:pStyle w:val="Heading5"/>
        <w:rPr>
          <w:snapToGrid w:val="0"/>
        </w:rPr>
      </w:pPr>
      <w:bookmarkStart w:id="180" w:name="_Toc392492810"/>
      <w:r>
        <w:rPr>
          <w:rStyle w:val="CharSectno"/>
        </w:rPr>
        <w:t>87</w:t>
      </w:r>
      <w:r>
        <w:rPr>
          <w:snapToGrid w:val="0"/>
        </w:rPr>
        <w:t>.</w:t>
      </w:r>
      <w:r>
        <w:rPr>
          <w:snapToGrid w:val="0"/>
        </w:rPr>
        <w:tab/>
        <w:t>Time for bringing proceedings</w:t>
      </w:r>
      <w:bookmarkEnd w:id="180"/>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181" w:name="_Toc392492811"/>
      <w:r>
        <w:rPr>
          <w:rStyle w:val="CharSectno"/>
        </w:rPr>
        <w:t>88A</w:t>
      </w:r>
      <w:r>
        <w:t>.</w:t>
      </w:r>
      <w:r>
        <w:tab/>
        <w:t>Infringement notices</w:t>
      </w:r>
      <w:bookmarkEnd w:id="181"/>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by No. 60 of 2011 s. 83.] </w:t>
      </w:r>
    </w:p>
    <w:p>
      <w:pPr>
        <w:pStyle w:val="Heading5"/>
        <w:rPr>
          <w:snapToGrid w:val="0"/>
        </w:rPr>
      </w:pPr>
      <w:bookmarkStart w:id="182" w:name="_Toc392492812"/>
      <w:r>
        <w:rPr>
          <w:rStyle w:val="CharSectno"/>
        </w:rPr>
        <w:t>88</w:t>
      </w:r>
      <w:r>
        <w:rPr>
          <w:snapToGrid w:val="0"/>
        </w:rPr>
        <w:t>.</w:t>
      </w:r>
      <w:r>
        <w:rPr>
          <w:snapToGrid w:val="0"/>
        </w:rPr>
        <w:tab/>
        <w:t>Regulations</w:t>
      </w:r>
      <w:bookmarkEnd w:id="18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Footnotesection"/>
      </w:pPr>
      <w:r>
        <w:tab/>
        <w:t xml:space="preserve">[Section 88 amended by No. 60 of 2011 s. 84.] </w:t>
      </w:r>
    </w:p>
    <w:p>
      <w:pPr>
        <w:pStyle w:val="Ednotesection"/>
      </w:pPr>
      <w:r>
        <w:t>[</w:t>
      </w:r>
      <w:r>
        <w:rPr>
          <w:b/>
        </w:rPr>
        <w:t>89.</w:t>
      </w:r>
      <w:r>
        <w:tab/>
        <w:t>Omitted under the Reprints Act 1984 s. 7(4)(e).]</w:t>
      </w:r>
    </w:p>
    <w:p>
      <w:pPr>
        <w:pStyle w:val="Heading5"/>
        <w:rPr>
          <w:snapToGrid w:val="0"/>
        </w:rPr>
      </w:pPr>
      <w:bookmarkStart w:id="183" w:name="_Toc392492813"/>
      <w:r>
        <w:rPr>
          <w:rStyle w:val="CharSectno"/>
        </w:rPr>
        <w:t>90</w:t>
      </w:r>
      <w:r>
        <w:rPr>
          <w:snapToGrid w:val="0"/>
        </w:rPr>
        <w:t>.</w:t>
      </w:r>
      <w:r>
        <w:rPr>
          <w:snapToGrid w:val="0"/>
        </w:rPr>
        <w:tab/>
        <w:t>Review of Act</w:t>
      </w:r>
      <w:bookmarkEnd w:id="183"/>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by No. 59 of 1995 s. 53; No. 60 of 2011 s. 85.] </w:t>
      </w:r>
    </w:p>
    <w:p>
      <w:pPr>
        <w:pStyle w:val="Heading2"/>
      </w:pPr>
      <w:bookmarkStart w:id="184" w:name="_Toc381880758"/>
      <w:bookmarkStart w:id="185" w:name="_Toc392492814"/>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184"/>
      <w:bookmarkEnd w:id="185"/>
    </w:p>
    <w:p>
      <w:pPr>
        <w:pStyle w:val="Footnoteheading"/>
      </w:pPr>
      <w:r>
        <w:tab/>
        <w:t xml:space="preserve">[Heading inserted by No. 60 of 2011 s. 86.] </w:t>
      </w:r>
    </w:p>
    <w:p>
      <w:pPr>
        <w:pStyle w:val="Heading3"/>
      </w:pPr>
      <w:bookmarkStart w:id="186" w:name="_Toc381880759"/>
      <w:bookmarkStart w:id="187" w:name="_Toc392492815"/>
      <w:r>
        <w:rPr>
          <w:rStyle w:val="CharDivNo"/>
        </w:rPr>
        <w:t>Division 1</w:t>
      </w:r>
      <w:r>
        <w:t> — </w:t>
      </w:r>
      <w:r>
        <w:rPr>
          <w:rStyle w:val="CharDivText"/>
        </w:rPr>
        <w:t>Contracting out</w:t>
      </w:r>
      <w:bookmarkEnd w:id="186"/>
      <w:bookmarkEnd w:id="187"/>
    </w:p>
    <w:p>
      <w:pPr>
        <w:pStyle w:val="Footnoteheading"/>
      </w:pPr>
      <w:r>
        <w:tab/>
        <w:t xml:space="preserve">[Heading inserted by No. 60 of 2011 s. 86.] </w:t>
      </w:r>
    </w:p>
    <w:p>
      <w:pPr>
        <w:pStyle w:val="Heading5"/>
      </w:pPr>
      <w:bookmarkStart w:id="188" w:name="_Toc392492816"/>
      <w:r>
        <w:rPr>
          <w:rStyle w:val="CharSectno"/>
        </w:rPr>
        <w:t>91</w:t>
      </w:r>
      <w:r>
        <w:t>.</w:t>
      </w:r>
      <w:r>
        <w:tab/>
        <w:t>Savings in relation to contracting out of standard terms</w:t>
      </w:r>
      <w:bookmarkEnd w:id="18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r>
        <w:rPr>
          <w:vertAlign w:val="superscript"/>
        </w:rPr>
        <w:t> 1</w:t>
      </w:r>
      <w:r>
        <w:t>.</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by No. 60 of 2011 s. 86.] </w:t>
      </w:r>
    </w:p>
    <w:p>
      <w:pPr>
        <w:pStyle w:val="Heading3"/>
      </w:pPr>
      <w:bookmarkStart w:id="189" w:name="_Toc381880761"/>
      <w:bookmarkStart w:id="190" w:name="_Toc392492817"/>
      <w:r>
        <w:rPr>
          <w:rStyle w:val="CharDivNo"/>
        </w:rPr>
        <w:t>Division 2</w:t>
      </w:r>
      <w:r>
        <w:t> — </w:t>
      </w:r>
      <w:r>
        <w:rPr>
          <w:rStyle w:val="CharDivText"/>
        </w:rPr>
        <w:t>Security bonds held in AFI</w:t>
      </w:r>
      <w:bookmarkEnd w:id="189"/>
      <w:bookmarkEnd w:id="190"/>
    </w:p>
    <w:p>
      <w:pPr>
        <w:pStyle w:val="Footnoteheading"/>
      </w:pPr>
      <w:r>
        <w:tab/>
        <w:t xml:space="preserve">[Heading inserted by No. 60 of 2011 s. 86.] </w:t>
      </w:r>
    </w:p>
    <w:p>
      <w:pPr>
        <w:pStyle w:val="Heading5"/>
      </w:pPr>
      <w:bookmarkStart w:id="191" w:name="_Toc392492818"/>
      <w:r>
        <w:rPr>
          <w:rStyle w:val="CharSectno"/>
        </w:rPr>
        <w:t>92</w:t>
      </w:r>
      <w:r>
        <w:t>.</w:t>
      </w:r>
      <w:r>
        <w:tab/>
        <w:t>Terms used</w:t>
      </w:r>
      <w:bookmarkEnd w:id="191"/>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r>
        <w:rPr>
          <w:vertAlign w:val="superscript"/>
        </w:rPr>
        <w:t> 1</w:t>
      </w:r>
      <w:r>
        <w:t>;</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by No. 60 of 2011 s. 86.] </w:t>
      </w:r>
    </w:p>
    <w:p>
      <w:pPr>
        <w:pStyle w:val="Heading5"/>
      </w:pPr>
      <w:bookmarkStart w:id="192" w:name="_Toc392492819"/>
      <w:r>
        <w:rPr>
          <w:rStyle w:val="CharSectno"/>
        </w:rPr>
        <w:t>93</w:t>
      </w:r>
      <w:r>
        <w:t>.</w:t>
      </w:r>
      <w:r>
        <w:tab/>
        <w:t>All security bonds to be transferred to the bond administrator after renewal of agreement or within 18 months</w:t>
      </w:r>
      <w:bookmarkEnd w:id="192"/>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by No. 60 of 2011 s. 86.] </w:t>
      </w:r>
    </w:p>
    <w:p>
      <w:pPr>
        <w:pStyle w:val="Heading5"/>
      </w:pPr>
      <w:bookmarkStart w:id="193" w:name="_Toc392492820"/>
      <w:r>
        <w:rPr>
          <w:rStyle w:val="CharSectno"/>
        </w:rPr>
        <w:t>94</w:t>
      </w:r>
      <w:r>
        <w:t>.</w:t>
      </w:r>
      <w:r>
        <w:tab/>
        <w:t>Requirements for AFI holding security bonds</w:t>
      </w:r>
      <w:bookmarkEnd w:id="193"/>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market rate indicator specified in the regulations.</w:t>
      </w:r>
    </w:p>
    <w:p>
      <w:pPr>
        <w:pStyle w:val="Footnotesection"/>
      </w:pPr>
      <w:r>
        <w:tab/>
        <w:t xml:space="preserve">[Section 94 inserted by No. 60 of 2011 s. 86.] </w:t>
      </w:r>
    </w:p>
    <w:p>
      <w:pPr>
        <w:pStyle w:val="Heading5"/>
      </w:pPr>
      <w:bookmarkStart w:id="194" w:name="_Toc392492821"/>
      <w:r>
        <w:rPr>
          <w:rStyle w:val="CharSectno"/>
        </w:rPr>
        <w:t>95</w:t>
      </w:r>
      <w:r>
        <w:t>.</w:t>
      </w:r>
      <w:r>
        <w:tab/>
        <w:t>Power of Commissioner to obtain information relating to AFI security bond accounts</w:t>
      </w:r>
      <w:bookmarkEnd w:id="194"/>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by No. 60 of 2011 s. 86.] </w:t>
      </w:r>
    </w:p>
    <w:p>
      <w:pPr>
        <w:pStyle w:val="Heading5"/>
      </w:pPr>
      <w:bookmarkStart w:id="195" w:name="_Toc392492822"/>
      <w:r>
        <w:rPr>
          <w:rStyle w:val="CharSectno"/>
        </w:rPr>
        <w:t>96</w:t>
      </w:r>
      <w:r>
        <w:t>.</w:t>
      </w:r>
      <w:r>
        <w:tab/>
        <w:t>Disposal of security bond held in AFIs</w:t>
      </w:r>
      <w:bookmarkEnd w:id="195"/>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by No. 60 of 2011 s. 86.] </w:t>
      </w:r>
    </w:p>
    <w:p>
      <w:pPr>
        <w:pStyle w:val="Heading3"/>
      </w:pPr>
      <w:bookmarkStart w:id="196" w:name="_Toc381880767"/>
      <w:bookmarkStart w:id="197" w:name="_Toc392492823"/>
      <w:r>
        <w:rPr>
          <w:rStyle w:val="CharDivNo"/>
        </w:rPr>
        <w:t>Division 3</w:t>
      </w:r>
      <w:r>
        <w:t> — </w:t>
      </w:r>
      <w:r>
        <w:rPr>
          <w:rStyle w:val="CharDivText"/>
        </w:rPr>
        <w:t>Residential tenancy databases</w:t>
      </w:r>
      <w:bookmarkEnd w:id="196"/>
      <w:bookmarkEnd w:id="197"/>
    </w:p>
    <w:p>
      <w:pPr>
        <w:pStyle w:val="Footnoteheading"/>
        <w:keepNext/>
      </w:pPr>
      <w:r>
        <w:tab/>
        <w:t xml:space="preserve">[Heading inserted by No. 60 of 2011 s. 86.] </w:t>
      </w:r>
    </w:p>
    <w:p>
      <w:pPr>
        <w:pStyle w:val="Heading5"/>
      </w:pPr>
      <w:bookmarkStart w:id="198" w:name="_Toc392492824"/>
      <w:r>
        <w:rPr>
          <w:rStyle w:val="CharSectno"/>
        </w:rPr>
        <w:t>97</w:t>
      </w:r>
      <w:r>
        <w:t>.</w:t>
      </w:r>
      <w:r>
        <w:tab/>
        <w:t>Application of Part VIA to listings existing before commencement day</w:t>
      </w:r>
      <w:bookmarkEnd w:id="198"/>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r>
        <w:rPr>
          <w:vertAlign w:val="superscript"/>
        </w:rPr>
        <w:t> 1</w:t>
      </w:r>
      <w:r>
        <w:t>.</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by No. 60 of 2011 s. 86.]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199" w:name="_Toc381880769"/>
      <w:bookmarkStart w:id="200" w:name="_Toc392492825"/>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199"/>
      <w:bookmarkEnd w:id="200"/>
    </w:p>
    <w:p>
      <w:pPr>
        <w:pStyle w:val="yShoulderClause"/>
      </w:pPr>
      <w:r>
        <w:t>[s. 3, 7(3), 12, 29(4), (7), (8), 59D(6), 79(5), (6), (11) and 80A(8)]</w:t>
      </w:r>
    </w:p>
    <w:p>
      <w:pPr>
        <w:pStyle w:val="yFootnoteheading"/>
      </w:pPr>
      <w:r>
        <w:tab/>
        <w:t xml:space="preserve">[Heading inserted by No. 60 of 2011 s. 87(1).] </w:t>
      </w:r>
    </w:p>
    <w:p>
      <w:pPr>
        <w:pStyle w:val="yHeading3"/>
      </w:pPr>
      <w:bookmarkStart w:id="201" w:name="_Toc381880770"/>
      <w:bookmarkStart w:id="202" w:name="_Toc392492826"/>
      <w:r>
        <w:rPr>
          <w:rStyle w:val="CharSDivNo"/>
        </w:rPr>
        <w:t>Division 1</w:t>
      </w:r>
      <w:r>
        <w:t> — </w:t>
      </w:r>
      <w:r>
        <w:rPr>
          <w:rStyle w:val="CharSDivText"/>
        </w:rPr>
        <w:t>General</w:t>
      </w:r>
      <w:bookmarkEnd w:id="201"/>
      <w:bookmarkEnd w:id="202"/>
    </w:p>
    <w:p>
      <w:pPr>
        <w:pStyle w:val="yFootnoteheading"/>
      </w:pPr>
      <w:r>
        <w:tab/>
        <w:t>[Heading inserted by No. 60 of 2011 s. 87(2).]</w:t>
      </w:r>
    </w:p>
    <w:p>
      <w:pPr>
        <w:pStyle w:val="yHeading5"/>
        <w:outlineLvl w:val="9"/>
        <w:rPr>
          <w:snapToGrid w:val="0"/>
        </w:rPr>
      </w:pPr>
      <w:bookmarkStart w:id="203" w:name="_Toc392492827"/>
      <w:r>
        <w:rPr>
          <w:rStyle w:val="CharSClsNo"/>
        </w:rPr>
        <w:t>1</w:t>
      </w:r>
      <w:r>
        <w:rPr>
          <w:snapToGrid w:val="0"/>
        </w:rPr>
        <w:t>.</w:t>
      </w:r>
      <w:r>
        <w:rPr>
          <w:snapToGrid w:val="0"/>
        </w:rPr>
        <w:tab/>
        <w:t>Term used: authorised agent</w:t>
      </w:r>
      <w:bookmarkEnd w:id="203"/>
    </w:p>
    <w:p>
      <w:pPr>
        <w:pStyle w:val="ySubsection"/>
        <w:rPr>
          <w:snapToGrid w:val="0"/>
        </w:rPr>
      </w:pPr>
      <w:r>
        <w:rPr>
          <w:snapToGrid w:val="0"/>
        </w:rPr>
        <w:tab/>
      </w:r>
      <w:r>
        <w:rPr>
          <w:snapToGrid w:val="0"/>
        </w:rPr>
        <w:tab/>
        <w:t>In this Schedule — </w:t>
      </w:r>
    </w:p>
    <w:p>
      <w:pPr>
        <w:pStyle w:val="yDefstart"/>
      </w:pPr>
      <w:r>
        <w:rPr>
          <w:b/>
        </w:rP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by No. 31 of 1993 s. 63(a); No. 59 of 1995 s. 54(1)(a); No. 26 of 1999 s. 100(3); No. 60  of 2011 s. 87(3)-(4).] </w:t>
      </w:r>
    </w:p>
    <w:p>
      <w:pPr>
        <w:pStyle w:val="yEdnotesection"/>
      </w:pPr>
      <w:r>
        <w:t>[</w:t>
      </w:r>
      <w:r>
        <w:rPr>
          <w:b/>
        </w:rPr>
        <w:t>2.</w:t>
      </w:r>
      <w:r>
        <w:tab/>
        <w:t>Deleted by No. 60 of 2011 s. 87(5).]</w:t>
      </w:r>
    </w:p>
    <w:p>
      <w:pPr>
        <w:pStyle w:val="yHeading5"/>
        <w:outlineLvl w:val="9"/>
        <w:rPr>
          <w:snapToGrid w:val="0"/>
        </w:rPr>
      </w:pPr>
      <w:bookmarkStart w:id="204" w:name="_Toc392492828"/>
      <w:r>
        <w:rPr>
          <w:rStyle w:val="CharSClsNo"/>
        </w:rPr>
        <w:t>3</w:t>
      </w:r>
      <w:r>
        <w:rPr>
          <w:snapToGrid w:val="0"/>
        </w:rPr>
        <w:t>.</w:t>
      </w:r>
      <w:r>
        <w:rPr>
          <w:snapToGrid w:val="0"/>
        </w:rPr>
        <w:tab/>
        <w:t>Rental Accommodation Account</w:t>
      </w:r>
      <w:bookmarkEnd w:id="204"/>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by No. 50 of 1988 s. 17(a); No. 6 of 1993 s. 11; No. 31 of 1993 s. 63(b); No. 59 of 1995 s. 54(1)(d) and (e) and 56; No. 59 of 2004 s. 121; No. 28 of 2006 s. 137; No. 32 of 2006 s. 98; No. 77 of 2006 s. 4 and Sch. 1 cl. 149(2)-(5); No. 60 of 2011 s. 87(6)-(9).]</w:t>
      </w:r>
    </w:p>
    <w:p>
      <w:pPr>
        <w:pStyle w:val="yHeading5"/>
        <w:outlineLvl w:val="9"/>
        <w:rPr>
          <w:snapToGrid w:val="0"/>
        </w:rPr>
      </w:pPr>
      <w:bookmarkStart w:id="205" w:name="_Toc392492829"/>
      <w:r>
        <w:rPr>
          <w:rStyle w:val="CharSClsNo"/>
        </w:rPr>
        <w:t>4</w:t>
      </w:r>
      <w:r>
        <w:rPr>
          <w:snapToGrid w:val="0"/>
        </w:rPr>
        <w:t>.</w:t>
      </w:r>
      <w:r>
        <w:rPr>
          <w:snapToGrid w:val="0"/>
        </w:rPr>
        <w:tab/>
        <w:t>Duties of bond administrator</w:t>
      </w:r>
      <w:bookmarkEnd w:id="205"/>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by No. 77 of 2006 Sch. 1 cl. 149(5); No. 60 of 2011 s. 87(10) and 89.] </w:t>
      </w:r>
    </w:p>
    <w:p>
      <w:pPr>
        <w:pStyle w:val="yHeading3"/>
      </w:pPr>
      <w:bookmarkStart w:id="206" w:name="_Toc381880774"/>
      <w:bookmarkStart w:id="207" w:name="_Toc392492830"/>
      <w:r>
        <w:rPr>
          <w:rStyle w:val="CharSDivNo"/>
        </w:rPr>
        <w:t>Division 2</w:t>
      </w:r>
      <w:r>
        <w:t> — </w:t>
      </w:r>
      <w:r>
        <w:rPr>
          <w:rStyle w:val="CharSDivText"/>
        </w:rPr>
        <w:t>Security bonds</w:t>
      </w:r>
      <w:bookmarkEnd w:id="206"/>
      <w:bookmarkEnd w:id="207"/>
    </w:p>
    <w:p>
      <w:pPr>
        <w:pStyle w:val="yFootnoteheading"/>
      </w:pPr>
      <w:r>
        <w:tab/>
        <w:t>[Heading inserted by No. 60 of 2011 s. 87(11).]</w:t>
      </w:r>
    </w:p>
    <w:p>
      <w:pPr>
        <w:pStyle w:val="yHeading5"/>
      </w:pPr>
      <w:bookmarkStart w:id="208" w:name="_Toc392492831"/>
      <w:r>
        <w:rPr>
          <w:rStyle w:val="CharSClsNo"/>
        </w:rPr>
        <w:t>5A</w:t>
      </w:r>
      <w:r>
        <w:t>.</w:t>
      </w:r>
      <w:r>
        <w:tab/>
        <w:t>Security bond moneys to be paid to bond administrator</w:t>
      </w:r>
      <w:bookmarkEnd w:id="208"/>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by No. 60 of 2011 s. 87(12).] </w:t>
      </w:r>
    </w:p>
    <w:p>
      <w:pPr>
        <w:pStyle w:val="yHeading5"/>
        <w:outlineLvl w:val="9"/>
        <w:rPr>
          <w:snapToGrid w:val="0"/>
        </w:rPr>
      </w:pPr>
      <w:bookmarkStart w:id="209" w:name="_Toc392492832"/>
      <w:r>
        <w:rPr>
          <w:rStyle w:val="CharSClsNo"/>
        </w:rPr>
        <w:t>5</w:t>
      </w:r>
      <w:r>
        <w:rPr>
          <w:snapToGrid w:val="0"/>
        </w:rPr>
        <w:t>.</w:t>
      </w:r>
      <w:r>
        <w:rPr>
          <w:snapToGrid w:val="0"/>
        </w:rPr>
        <w:tab/>
        <w:t>Disposal of security bond by bond administrator</w:t>
      </w:r>
      <w:bookmarkEnd w:id="209"/>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by No. 69 of 2006 s. 32(2) and (3); No. 60 of 2011 s. 87(13)-(15).] </w:t>
      </w:r>
    </w:p>
    <w:p>
      <w:pPr>
        <w:pStyle w:val="yEdnotesection"/>
      </w:pPr>
      <w:r>
        <w:t>[Part C (cl. 6-7) deleted by No. 60 of 2011 s. 87(16).]</w:t>
      </w:r>
    </w:p>
    <w:p>
      <w:pPr>
        <w:pStyle w:val="yEdnotesection"/>
      </w:pPr>
      <w:r>
        <w:tab/>
        <w:t>[Heading deleted by No. 60 of 2011 s. 87(17).]</w:t>
      </w:r>
    </w:p>
    <w:p>
      <w:pPr>
        <w:pStyle w:val="yHeading5"/>
        <w:outlineLvl w:val="9"/>
        <w:rPr>
          <w:snapToGrid w:val="0"/>
        </w:rPr>
      </w:pPr>
      <w:bookmarkStart w:id="210" w:name="_Toc392492833"/>
      <w:r>
        <w:rPr>
          <w:rStyle w:val="CharSClsNo"/>
        </w:rPr>
        <w:t>8</w:t>
      </w:r>
      <w:r>
        <w:rPr>
          <w:snapToGrid w:val="0"/>
        </w:rPr>
        <w:t>.</w:t>
      </w:r>
      <w:r>
        <w:rPr>
          <w:snapToGrid w:val="0"/>
        </w:rPr>
        <w:tab/>
        <w:t>Court may determine disposal of security bond</w:t>
      </w:r>
      <w:bookmarkEnd w:id="210"/>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prescribed form, 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prescribed form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by No. 50 of 1988 s. 17(b) and (c) and 18; No. 59 of 1995 s. 54(1)(h); No. 59 of 2004 s. 120 and 121; No. 60 of 2011 s. 87(18)-(22) and 89.]</w:t>
      </w:r>
    </w:p>
    <w:p>
      <w:pPr>
        <w:pStyle w:val="yHeading3"/>
      </w:pPr>
      <w:bookmarkStart w:id="211" w:name="_Toc381880778"/>
      <w:bookmarkStart w:id="212" w:name="_Toc392492834"/>
      <w:r>
        <w:rPr>
          <w:rStyle w:val="CharSDivNo"/>
        </w:rPr>
        <w:t>Division 3</w:t>
      </w:r>
      <w:r>
        <w:t> — </w:t>
      </w:r>
      <w:r>
        <w:rPr>
          <w:rStyle w:val="CharSDivText"/>
        </w:rPr>
        <w:t>Tenant compensation bonds</w:t>
      </w:r>
      <w:bookmarkEnd w:id="211"/>
      <w:bookmarkEnd w:id="212"/>
    </w:p>
    <w:p>
      <w:pPr>
        <w:pStyle w:val="yFootnotesection"/>
      </w:pPr>
      <w:r>
        <w:tab/>
        <w:t>[Heading inserted by No. 60 of 2011 s. 87(23).]</w:t>
      </w:r>
    </w:p>
    <w:p>
      <w:pPr>
        <w:pStyle w:val="yHeading5"/>
      </w:pPr>
      <w:bookmarkStart w:id="213" w:name="_Toc392492835"/>
      <w:r>
        <w:rPr>
          <w:rStyle w:val="CharSClsNo"/>
        </w:rPr>
        <w:t>9</w:t>
      </w:r>
      <w:r>
        <w:t>.</w:t>
      </w:r>
      <w:r>
        <w:tab/>
        <w:t>Application of Division</w:t>
      </w:r>
      <w:bookmarkEnd w:id="213"/>
    </w:p>
    <w:p>
      <w:pPr>
        <w:pStyle w:val="ySubsection"/>
      </w:pPr>
      <w:r>
        <w:tab/>
      </w:r>
      <w:r>
        <w:tab/>
        <w:t>This Division applies where the bond administrator has been paid a tenant compensation bond in accordance with an order under section 59D(2).</w:t>
      </w:r>
    </w:p>
    <w:p>
      <w:pPr>
        <w:pStyle w:val="yFootnotesection"/>
      </w:pPr>
      <w:r>
        <w:tab/>
        <w:t>[Clause 9 inserted by No. 60 of 2011 s. 87(23).]</w:t>
      </w:r>
    </w:p>
    <w:p>
      <w:pPr>
        <w:pStyle w:val="yHeading5"/>
      </w:pPr>
      <w:bookmarkStart w:id="214" w:name="_Toc392492836"/>
      <w:r>
        <w:rPr>
          <w:rStyle w:val="CharSClsNo"/>
        </w:rPr>
        <w:t>10</w:t>
      </w:r>
      <w:r>
        <w:t>.</w:t>
      </w:r>
      <w:r>
        <w:tab/>
        <w:t>Disposal of tenant compensation bond to tenant by bond administrator</w:t>
      </w:r>
      <w:bookmarkEnd w:id="214"/>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by No. 60 of 2011 s. 87(23).]</w:t>
      </w:r>
    </w:p>
    <w:p>
      <w:pPr>
        <w:pStyle w:val="yHeading5"/>
      </w:pPr>
      <w:bookmarkStart w:id="215" w:name="_Toc392492837"/>
      <w:r>
        <w:rPr>
          <w:rStyle w:val="CharSClsNo"/>
        </w:rPr>
        <w:t>11</w:t>
      </w:r>
      <w:r>
        <w:t>.</w:t>
      </w:r>
      <w:r>
        <w:tab/>
        <w:t>Disposal of tenant compensation bond to lessor by bond administrator</w:t>
      </w:r>
      <w:bookmarkEnd w:id="215"/>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by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216" w:name="_Toc381880782"/>
      <w:bookmarkStart w:id="217" w:name="_Toc392492838"/>
      <w:r>
        <w:t>Notes</w:t>
      </w:r>
      <w:bookmarkEnd w:id="216"/>
      <w:bookmarkEnd w:id="217"/>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18" w:name="_Toc392492839"/>
      <w:r>
        <w:t>Compilation table</w:t>
      </w:r>
      <w:bookmarkEnd w:id="21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9"/>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9" w:type="dxa"/>
          <w:cantSplit/>
        </w:trPr>
        <w:tc>
          <w:tcPr>
            <w:tcW w:w="2273" w:type="dxa"/>
          </w:tcPr>
          <w:p>
            <w:pPr>
              <w:pStyle w:val="nTable"/>
              <w:spacing w:after="40"/>
              <w:rPr>
                <w:sz w:val="19"/>
              </w:rPr>
            </w:pPr>
            <w:r>
              <w:rPr>
                <w:i/>
                <w:sz w:val="19"/>
              </w:rPr>
              <w:t>Residential Tenancies Act 1987</w:t>
            </w:r>
          </w:p>
        </w:tc>
        <w:tc>
          <w:tcPr>
            <w:tcW w:w="1138"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1"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gridAfter w:val="1"/>
          <w:wAfter w:w="9" w:type="dxa"/>
          <w:cantSplit/>
        </w:trPr>
        <w:tc>
          <w:tcPr>
            <w:tcW w:w="2273" w:type="dxa"/>
          </w:tcPr>
          <w:p>
            <w:pPr>
              <w:pStyle w:val="nTable"/>
              <w:spacing w:after="40"/>
              <w:rPr>
                <w:sz w:val="19"/>
              </w:rPr>
            </w:pPr>
            <w:r>
              <w:rPr>
                <w:i/>
                <w:sz w:val="19"/>
              </w:rPr>
              <w:t>Residential Tenancies Amendment Act 1988</w:t>
            </w:r>
          </w:p>
        </w:tc>
        <w:tc>
          <w:tcPr>
            <w:tcW w:w="1138" w:type="dxa"/>
          </w:tcPr>
          <w:p>
            <w:pPr>
              <w:pStyle w:val="nTable"/>
              <w:spacing w:after="40"/>
              <w:rPr>
                <w:sz w:val="19"/>
              </w:rPr>
            </w:pPr>
            <w:r>
              <w:rPr>
                <w:sz w:val="19"/>
              </w:rPr>
              <w:t>50 of 1988</w:t>
            </w:r>
          </w:p>
        </w:tc>
        <w:tc>
          <w:tcPr>
            <w:tcW w:w="1135"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gridAfter w:val="1"/>
          <w:wAfter w:w="9" w:type="dxa"/>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9" w:type="dxa"/>
          <w:cantSplit/>
        </w:trPr>
        <w:tc>
          <w:tcPr>
            <w:tcW w:w="2273"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8" w:type="dxa"/>
          </w:tcPr>
          <w:p>
            <w:pPr>
              <w:pStyle w:val="nTable"/>
              <w:spacing w:after="40"/>
              <w:rPr>
                <w:sz w:val="19"/>
              </w:rPr>
            </w:pPr>
            <w:r>
              <w:rPr>
                <w:sz w:val="19"/>
              </w:rPr>
              <w:t>31 of 1993</w:t>
            </w:r>
          </w:p>
        </w:tc>
        <w:tc>
          <w:tcPr>
            <w:tcW w:w="1135"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gridAfter w:val="1"/>
          <w:wAfter w:w="9" w:type="dxa"/>
          <w:cantSplit/>
        </w:trPr>
        <w:tc>
          <w:tcPr>
            <w:tcW w:w="2273" w:type="dxa"/>
          </w:tcPr>
          <w:p>
            <w:pPr>
              <w:pStyle w:val="nTable"/>
              <w:spacing w:after="40"/>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8" w:type="dxa"/>
          </w:tcPr>
          <w:p>
            <w:pPr>
              <w:pStyle w:val="nTable"/>
              <w:spacing w:after="40"/>
              <w:rPr>
                <w:sz w:val="19"/>
              </w:rPr>
            </w:pPr>
            <w:r>
              <w:rPr>
                <w:sz w:val="19"/>
              </w:rPr>
              <w:t>34 of 1995</w:t>
            </w:r>
          </w:p>
        </w:tc>
        <w:tc>
          <w:tcPr>
            <w:tcW w:w="1135"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gridAfter w:val="1"/>
          <w:wAfter w:w="9" w:type="dxa"/>
          <w:cantSplit/>
        </w:trPr>
        <w:tc>
          <w:tcPr>
            <w:tcW w:w="2273"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5</w:t>
            </w:r>
          </w:p>
        </w:tc>
        <w:tc>
          <w:tcPr>
            <w:tcW w:w="1138"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gridAfter w:val="1"/>
          <w:wAfter w:w="9" w:type="dxa"/>
          <w:cantSplit/>
        </w:trPr>
        <w:tc>
          <w:tcPr>
            <w:tcW w:w="2273"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8" w:type="dxa"/>
          </w:tcPr>
          <w:p>
            <w:pPr>
              <w:pStyle w:val="nTable"/>
              <w:keepNext/>
              <w:keepLines/>
              <w:spacing w:after="40"/>
              <w:rPr>
                <w:sz w:val="19"/>
              </w:rPr>
            </w:pPr>
            <w:r>
              <w:rPr>
                <w:sz w:val="19"/>
              </w:rPr>
              <w:t>73 of 1995</w:t>
            </w:r>
          </w:p>
        </w:tc>
        <w:tc>
          <w:tcPr>
            <w:tcW w:w="1135"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gridAfter w:val="1"/>
          <w:wAfter w:w="9" w:type="dxa"/>
          <w:cantSplit/>
        </w:trPr>
        <w:tc>
          <w:tcPr>
            <w:tcW w:w="709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gridAfter w:val="1"/>
          <w:wAfter w:w="9" w:type="dxa"/>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9" w:type="dxa"/>
          <w:cantSplit/>
        </w:trPr>
        <w:tc>
          <w:tcPr>
            <w:tcW w:w="2273" w:type="dxa"/>
          </w:tcPr>
          <w:p>
            <w:pPr>
              <w:pStyle w:val="nTable"/>
              <w:spacing w:after="40"/>
              <w:rPr>
                <w:sz w:val="19"/>
              </w:rPr>
            </w:pPr>
            <w:r>
              <w:rPr>
                <w:i/>
                <w:sz w:val="19"/>
              </w:rPr>
              <w:t>Statutes (Repeals and Minor Amendments) Act 1997</w:t>
            </w:r>
            <w:r>
              <w:rPr>
                <w:sz w:val="19"/>
              </w:rPr>
              <w:t xml:space="preserve"> s. 39(10)</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9" w:type="dxa"/>
          <w:cantSplit/>
        </w:trPr>
        <w:tc>
          <w:tcPr>
            <w:tcW w:w="709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gridAfter w:val="1"/>
          <w:wAfter w:w="9" w:type="dxa"/>
          <w:cantSplit/>
        </w:trPr>
        <w:tc>
          <w:tcPr>
            <w:tcW w:w="2273" w:type="dxa"/>
          </w:tcPr>
          <w:p>
            <w:pPr>
              <w:pStyle w:val="nTable"/>
              <w:spacing w:after="40"/>
              <w:rPr>
                <w:sz w:val="19"/>
              </w:rPr>
            </w:pPr>
            <w:r>
              <w:rPr>
                <w:i/>
                <w:sz w:val="19"/>
              </w:rPr>
              <w:t>Acts Amendment and Repeal (Financial Sector Reform) Act 1999</w:t>
            </w:r>
            <w:r>
              <w:rPr>
                <w:sz w:val="19"/>
              </w:rPr>
              <w:t xml:space="preserve"> s. 100</w:t>
            </w:r>
          </w:p>
        </w:tc>
        <w:tc>
          <w:tcPr>
            <w:tcW w:w="1138"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After w:val="1"/>
          <w:wAfter w:w="9" w:type="dxa"/>
          <w:cantSplit/>
        </w:trPr>
        <w:tc>
          <w:tcPr>
            <w:tcW w:w="2273" w:type="dxa"/>
          </w:tcPr>
          <w:p>
            <w:pPr>
              <w:pStyle w:val="nTable"/>
              <w:spacing w:after="40"/>
              <w:rPr>
                <w:i/>
                <w:sz w:val="19"/>
              </w:rPr>
            </w:pPr>
            <w:r>
              <w:rPr>
                <w:i/>
                <w:sz w:val="19"/>
              </w:rPr>
              <w:t>Corporations (Consequential Amendments) Act 2001</w:t>
            </w:r>
            <w:r>
              <w:rPr>
                <w:sz w:val="19"/>
              </w:rPr>
              <w:t xml:space="preserve"> s. 220</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9" w:type="dxa"/>
          <w:cantSplit/>
        </w:trPr>
        <w:tc>
          <w:tcPr>
            <w:tcW w:w="2273"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8" w:type="dxa"/>
          </w:tcPr>
          <w:p>
            <w:pPr>
              <w:pStyle w:val="nTable"/>
              <w:spacing w:after="40"/>
              <w:rPr>
                <w:sz w:val="19"/>
              </w:rPr>
            </w:pPr>
            <w:r>
              <w:rPr>
                <w:sz w:val="19"/>
              </w:rPr>
              <w:t>45 of 2002</w:t>
            </w:r>
          </w:p>
        </w:tc>
        <w:tc>
          <w:tcPr>
            <w:tcW w:w="1135"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9" w:type="dxa"/>
          <w:cantSplit/>
        </w:trPr>
        <w:tc>
          <w:tcPr>
            <w:tcW w:w="2273" w:type="dxa"/>
          </w:tcPr>
          <w:p>
            <w:pPr>
              <w:pStyle w:val="nTable"/>
              <w:spacing w:after="40"/>
              <w:rPr>
                <w:sz w:val="19"/>
              </w:rPr>
            </w:pPr>
            <w:r>
              <w:rPr>
                <w:i/>
                <w:sz w:val="19"/>
              </w:rPr>
              <w:t>Acts Amendment and Repeal (Courts and Legal Practice) Act 2003</w:t>
            </w:r>
            <w:r>
              <w:rPr>
                <w:sz w:val="19"/>
              </w:rPr>
              <w:t xml:space="preserve"> s. 61</w:t>
            </w:r>
          </w:p>
        </w:tc>
        <w:tc>
          <w:tcPr>
            <w:tcW w:w="1138"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9" w:type="dxa"/>
          <w:cantSplit/>
        </w:trPr>
        <w:tc>
          <w:tcPr>
            <w:tcW w:w="2273" w:type="dxa"/>
          </w:tcPr>
          <w:p>
            <w:pPr>
              <w:pStyle w:val="nTable"/>
              <w:spacing w:after="40"/>
              <w:rPr>
                <w:i/>
                <w:sz w:val="19"/>
              </w:rPr>
            </w:pPr>
            <w:r>
              <w:rPr>
                <w:i/>
                <w:snapToGrid w:val="0"/>
                <w:sz w:val="19"/>
              </w:rPr>
              <w:t>Courts Legislation Amendment and Repeal Act 2004</w:t>
            </w:r>
            <w:r>
              <w:rPr>
                <w:snapToGrid w:val="0"/>
                <w:sz w:val="19"/>
              </w:rPr>
              <w:t xml:space="preserve"> Pt. 16</w:t>
            </w:r>
          </w:p>
        </w:tc>
        <w:tc>
          <w:tcPr>
            <w:tcW w:w="1138" w:type="dxa"/>
          </w:tcPr>
          <w:p>
            <w:pPr>
              <w:pStyle w:val="nTable"/>
              <w:spacing w:after="40"/>
              <w:rPr>
                <w:sz w:val="19"/>
              </w:rPr>
            </w:pPr>
            <w:r>
              <w:rPr>
                <w:snapToGrid w:val="0"/>
                <w:sz w:val="19"/>
              </w:rPr>
              <w:t>59 of 2004</w:t>
            </w:r>
          </w:p>
        </w:tc>
        <w:tc>
          <w:tcPr>
            <w:tcW w:w="1135"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After w:val="1"/>
          <w:wAfter w:w="9" w:type="dxa"/>
          <w:cantSplit/>
        </w:trPr>
        <w:tc>
          <w:tcPr>
            <w:tcW w:w="7097" w:type="dxa"/>
            <w:gridSpan w:val="4"/>
          </w:tcPr>
          <w:p>
            <w:pPr>
              <w:pStyle w:val="nTable"/>
              <w:spacing w:after="40"/>
              <w:rPr>
                <w:snapToGrid w:val="0"/>
                <w:sz w:val="19"/>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gridAfter w:val="1"/>
          <w:wAfter w:w="9" w:type="dxa"/>
        </w:trPr>
        <w:tc>
          <w:tcPr>
            <w:tcW w:w="2273" w:type="dxa"/>
          </w:tcPr>
          <w:p>
            <w:pPr>
              <w:pStyle w:val="nTable"/>
              <w:spacing w:after="40"/>
              <w:rPr>
                <w:snapToGrid w:val="0"/>
                <w:sz w:val="19"/>
                <w:vertAlign w:val="superscript"/>
              </w:rPr>
            </w:pPr>
            <w:r>
              <w:rPr>
                <w:i/>
                <w:snapToGrid w:val="0"/>
                <w:sz w:val="19"/>
              </w:rPr>
              <w:t>Limitation Legislation Amendment and Repeal Act 2005</w:t>
            </w:r>
            <w:r>
              <w:rPr>
                <w:snapToGrid w:val="0"/>
                <w:sz w:val="19"/>
              </w:rPr>
              <w:t xml:space="preserve"> s. 23</w:t>
            </w:r>
          </w:p>
        </w:tc>
        <w:tc>
          <w:tcPr>
            <w:tcW w:w="1138" w:type="dxa"/>
          </w:tcPr>
          <w:p>
            <w:pPr>
              <w:pStyle w:val="nTable"/>
              <w:spacing w:after="40"/>
              <w:rPr>
                <w:snapToGrid w:val="0"/>
                <w:sz w:val="19"/>
              </w:rPr>
            </w:pPr>
            <w:r>
              <w:rPr>
                <w:snapToGrid w:val="0"/>
                <w:sz w:val="19"/>
              </w:rPr>
              <w:t>20 of 2005</w:t>
            </w:r>
          </w:p>
        </w:tc>
        <w:tc>
          <w:tcPr>
            <w:tcW w:w="1135" w:type="dxa"/>
          </w:tcPr>
          <w:p>
            <w:pPr>
              <w:pStyle w:val="nTable"/>
              <w:spacing w:after="40"/>
              <w:rPr>
                <w:sz w:val="19"/>
              </w:rPr>
            </w:pPr>
            <w:r>
              <w:rPr>
                <w:sz w:val="19"/>
              </w:rPr>
              <w:t>15 Nov 2005</w:t>
            </w:r>
          </w:p>
        </w:tc>
        <w:tc>
          <w:tcPr>
            <w:tcW w:w="2551" w:type="dxa"/>
          </w:tcPr>
          <w:p>
            <w:pPr>
              <w:pStyle w:val="nTable"/>
              <w:spacing w:after="40"/>
              <w:rPr>
                <w:snapToGrid w:val="0"/>
                <w:sz w:val="19"/>
              </w:rPr>
            </w:pPr>
            <w:r>
              <w:rPr>
                <w:snapToGrid w:val="0"/>
                <w:sz w:val="19"/>
              </w:rPr>
              <w:t>15 Nov 2005 (see s. 2)</w:t>
            </w:r>
          </w:p>
        </w:tc>
      </w:tr>
      <w:tr>
        <w:trPr>
          <w:gridAfter w:val="1"/>
          <w:wAfter w:w="9" w:type="dxa"/>
        </w:trPr>
        <w:tc>
          <w:tcPr>
            <w:tcW w:w="2273" w:type="dxa"/>
          </w:tcPr>
          <w:p>
            <w:pPr>
              <w:pStyle w:val="nTable"/>
              <w:spacing w:after="40"/>
              <w:rPr>
                <w:snapToGrid w:val="0"/>
                <w:sz w:val="19"/>
                <w:vertAlign w:val="superscript"/>
              </w:rPr>
            </w:pPr>
            <w:r>
              <w:rPr>
                <w:i/>
                <w:snapToGrid w:val="0"/>
                <w:sz w:val="19"/>
              </w:rPr>
              <w:t>Machinery of Government (Miscellaneous Amendments) Act 2006</w:t>
            </w:r>
            <w:r>
              <w:rPr>
                <w:snapToGrid w:val="0"/>
                <w:sz w:val="19"/>
              </w:rPr>
              <w:t xml:space="preserve"> Pt. 4 Div. 20 </w:t>
            </w:r>
            <w:r>
              <w:rPr>
                <w:snapToGrid w:val="0"/>
                <w:sz w:val="19"/>
                <w:vertAlign w:val="superscript"/>
              </w:rPr>
              <w:t>7</w:t>
            </w:r>
          </w:p>
        </w:tc>
        <w:tc>
          <w:tcPr>
            <w:tcW w:w="1138" w:type="dxa"/>
          </w:tcPr>
          <w:p>
            <w:pPr>
              <w:pStyle w:val="nTable"/>
              <w:spacing w:after="40"/>
              <w:rPr>
                <w:snapToGrid w:val="0"/>
                <w:sz w:val="19"/>
              </w:rPr>
            </w:pPr>
            <w:r>
              <w:rPr>
                <w:snapToGrid w:val="0"/>
                <w:sz w:val="19"/>
              </w:rPr>
              <w:t>28 of 2006</w:t>
            </w:r>
          </w:p>
        </w:tc>
        <w:tc>
          <w:tcPr>
            <w:tcW w:w="1135" w:type="dxa"/>
          </w:tcPr>
          <w:p>
            <w:pPr>
              <w:pStyle w:val="nTable"/>
              <w:spacing w:after="40"/>
              <w:rPr>
                <w:sz w:val="19"/>
              </w:rPr>
            </w:pPr>
            <w:r>
              <w:rPr>
                <w:sz w:val="19"/>
              </w:rPr>
              <w:t>26 Jun 2006</w:t>
            </w:r>
          </w:p>
        </w:tc>
        <w:tc>
          <w:tcPr>
            <w:tcW w:w="2551" w:type="dxa"/>
          </w:tcPr>
          <w:p>
            <w:pPr>
              <w:pStyle w:val="nTable"/>
              <w:spacing w:after="40"/>
              <w:rPr>
                <w:snapToGrid w:val="0"/>
                <w:sz w:val="19"/>
              </w:rPr>
            </w:pPr>
            <w:r>
              <w:rPr>
                <w:snapToGrid w:val="0"/>
                <w:sz w:val="19"/>
              </w:rPr>
              <w:t xml:space="preserve">1 Jul 2006 (see s. 2 and </w:t>
            </w:r>
            <w:r>
              <w:rPr>
                <w:i/>
                <w:snapToGrid w:val="0"/>
                <w:sz w:val="19"/>
              </w:rPr>
              <w:t>Gazette</w:t>
            </w:r>
            <w:r>
              <w:rPr>
                <w:snapToGrid w:val="0"/>
                <w:sz w:val="19"/>
              </w:rPr>
              <w:t xml:space="preserve"> 27 Jun 2006 p. 2347)</w:t>
            </w:r>
          </w:p>
        </w:tc>
      </w:tr>
      <w:tr>
        <w:trPr>
          <w:gridAfter w:val="1"/>
          <w:wAfter w:w="9" w:type="dxa"/>
        </w:trPr>
        <w:tc>
          <w:tcPr>
            <w:tcW w:w="2273" w:type="dxa"/>
          </w:tcPr>
          <w:p>
            <w:pPr>
              <w:pStyle w:val="nTable"/>
              <w:spacing w:after="40"/>
              <w:rPr>
                <w:iCs/>
                <w:snapToGrid w:val="0"/>
                <w:sz w:val="19"/>
              </w:rPr>
            </w:pPr>
            <w:r>
              <w:rPr>
                <w:i/>
                <w:snapToGrid w:val="0"/>
                <w:sz w:val="19"/>
              </w:rPr>
              <w:t>Residential Parks (Long</w:t>
            </w:r>
            <w:r>
              <w:rPr>
                <w:i/>
                <w:snapToGrid w:val="0"/>
                <w:sz w:val="19"/>
              </w:rPr>
              <w:noBreakHyphen/>
              <w:t>stay Tenants) Act 2006</w:t>
            </w:r>
            <w:r>
              <w:rPr>
                <w:iCs/>
                <w:snapToGrid w:val="0"/>
                <w:sz w:val="19"/>
              </w:rPr>
              <w:t xml:space="preserve"> s. 98</w:t>
            </w:r>
          </w:p>
        </w:tc>
        <w:tc>
          <w:tcPr>
            <w:tcW w:w="1138" w:type="dxa"/>
          </w:tcPr>
          <w:p>
            <w:pPr>
              <w:pStyle w:val="nTable"/>
              <w:spacing w:after="40"/>
              <w:rPr>
                <w:snapToGrid w:val="0"/>
                <w:sz w:val="19"/>
              </w:rPr>
            </w:pPr>
            <w:r>
              <w:rPr>
                <w:snapToGrid w:val="0"/>
                <w:sz w:val="19"/>
              </w:rPr>
              <w:t>32 of 2006</w:t>
            </w:r>
          </w:p>
        </w:tc>
        <w:tc>
          <w:tcPr>
            <w:tcW w:w="1135" w:type="dxa"/>
          </w:tcPr>
          <w:p>
            <w:pPr>
              <w:pStyle w:val="nTable"/>
              <w:spacing w:after="40"/>
              <w:rPr>
                <w:sz w:val="19"/>
              </w:rPr>
            </w:pPr>
            <w:r>
              <w:rPr>
                <w:sz w:val="19"/>
              </w:rPr>
              <w:t>4 Jul 2006</w:t>
            </w:r>
          </w:p>
        </w:tc>
        <w:tc>
          <w:tcPr>
            <w:tcW w:w="2551" w:type="dxa"/>
          </w:tcPr>
          <w:p>
            <w:pPr>
              <w:pStyle w:val="nTable"/>
              <w:spacing w:after="40"/>
              <w:rPr>
                <w:snapToGrid w:val="0"/>
                <w:sz w:val="19"/>
              </w:rPr>
            </w:pPr>
            <w:r>
              <w:rPr>
                <w:snapToGrid w:val="0"/>
                <w:sz w:val="19"/>
              </w:rPr>
              <w:t xml:space="preserve">3 Aug 2007 (see s. 2 and </w:t>
            </w:r>
            <w:r>
              <w:rPr>
                <w:i/>
                <w:iCs/>
                <w:snapToGrid w:val="0"/>
                <w:sz w:val="19"/>
              </w:rPr>
              <w:t>Gazette</w:t>
            </w:r>
            <w:r>
              <w:rPr>
                <w:snapToGrid w:val="0"/>
                <w:sz w:val="19"/>
              </w:rPr>
              <w:t xml:space="preserve"> 1 Aug 2007 p. 3835)</w:t>
            </w:r>
          </w:p>
        </w:tc>
      </w:tr>
      <w:tr>
        <w:trPr>
          <w:gridAfter w:val="1"/>
          <w:wAfter w:w="9" w:type="dxa"/>
        </w:trPr>
        <w:tc>
          <w:tcPr>
            <w:tcW w:w="2273" w:type="dxa"/>
          </w:tcPr>
          <w:p>
            <w:pPr>
              <w:pStyle w:val="nTable"/>
              <w:spacing w:after="40"/>
              <w:rPr>
                <w:i/>
                <w:snapToGrid w:val="0"/>
                <w:sz w:val="19"/>
              </w:rPr>
            </w:pPr>
            <w:r>
              <w:rPr>
                <w:i/>
                <w:snapToGrid w:val="0"/>
                <w:sz w:val="19"/>
              </w:rPr>
              <w:t>Consumer Protection Legislation Amendment and Repeal Act 2006</w:t>
            </w:r>
            <w:r>
              <w:rPr>
                <w:iCs/>
                <w:snapToGrid w:val="0"/>
                <w:sz w:val="19"/>
              </w:rPr>
              <w:t xml:space="preserve"> Pt. 9</w:t>
            </w:r>
          </w:p>
        </w:tc>
        <w:tc>
          <w:tcPr>
            <w:tcW w:w="1138" w:type="dxa"/>
          </w:tcPr>
          <w:p>
            <w:pPr>
              <w:pStyle w:val="nTable"/>
              <w:spacing w:after="40"/>
              <w:rPr>
                <w:snapToGrid w:val="0"/>
                <w:sz w:val="19"/>
              </w:rPr>
            </w:pPr>
            <w:r>
              <w:rPr>
                <w:snapToGrid w:val="0"/>
                <w:sz w:val="19"/>
              </w:rPr>
              <w:t>69 of 2006</w:t>
            </w:r>
          </w:p>
        </w:tc>
        <w:tc>
          <w:tcPr>
            <w:tcW w:w="1135" w:type="dxa"/>
          </w:tcPr>
          <w:p>
            <w:pPr>
              <w:pStyle w:val="nTable"/>
              <w:spacing w:after="40"/>
              <w:rPr>
                <w:sz w:val="19"/>
              </w:rPr>
            </w:pPr>
            <w:r>
              <w:rPr>
                <w:sz w:val="19"/>
              </w:rPr>
              <w:t>13 Dec 2006</w:t>
            </w:r>
          </w:p>
        </w:tc>
        <w:tc>
          <w:tcPr>
            <w:tcW w:w="2551" w:type="dxa"/>
          </w:tcPr>
          <w:p>
            <w:pPr>
              <w:pStyle w:val="nTable"/>
              <w:spacing w:after="40"/>
              <w:rPr>
                <w:snapToGrid w:val="0"/>
                <w:sz w:val="19"/>
              </w:rPr>
            </w:pPr>
            <w:r>
              <w:rPr>
                <w:snapToGrid w:val="0"/>
                <w:sz w:val="19"/>
              </w:rPr>
              <w:t xml:space="preserve">14 Jul 2007 (see s. 2 and </w:t>
            </w:r>
            <w:r>
              <w:rPr>
                <w:i/>
                <w:iCs/>
                <w:snapToGrid w:val="0"/>
                <w:sz w:val="19"/>
              </w:rPr>
              <w:t>Gazette</w:t>
            </w:r>
            <w:r>
              <w:rPr>
                <w:snapToGrid w:val="0"/>
                <w:sz w:val="19"/>
              </w:rPr>
              <w:t xml:space="preserve"> 13 Jul 2007 p. 3453)</w:t>
            </w:r>
          </w:p>
        </w:tc>
      </w:tr>
      <w:tr>
        <w:trPr>
          <w:gridAfter w:val="1"/>
          <w:wAfter w:w="9" w:type="dxa"/>
        </w:trPr>
        <w:tc>
          <w:tcPr>
            <w:tcW w:w="2273" w:type="dxa"/>
          </w:tcPr>
          <w:p>
            <w:pPr>
              <w:pStyle w:val="nTable"/>
              <w:spacing w:after="40"/>
              <w:rPr>
                <w:i/>
                <w:snapToGrid w:val="0"/>
                <w:sz w:val="19"/>
              </w:rPr>
            </w:pPr>
            <w:r>
              <w:rPr>
                <w:i/>
                <w:snapToGrid w:val="0"/>
                <w:sz w:val="19"/>
              </w:rPr>
              <w:t xml:space="preserve">Financial Legislation Amendment and Repeal Act 2006 </w:t>
            </w:r>
            <w:r>
              <w:rPr>
                <w:snapToGrid w:val="0"/>
                <w:sz w:val="19"/>
              </w:rPr>
              <w:t>s. 4 and Sch. 1 cl. 149</w:t>
            </w:r>
          </w:p>
        </w:tc>
        <w:tc>
          <w:tcPr>
            <w:tcW w:w="1138" w:type="dxa"/>
          </w:tcPr>
          <w:p>
            <w:pPr>
              <w:pStyle w:val="nTable"/>
              <w:spacing w:after="40"/>
              <w:rPr>
                <w:snapToGrid w:val="0"/>
                <w:sz w:val="19"/>
              </w:rPr>
            </w:pPr>
            <w:r>
              <w:rPr>
                <w:snapToGrid w:val="0"/>
                <w:sz w:val="19"/>
              </w:rPr>
              <w:t xml:space="preserve">77 of 2006 </w:t>
            </w:r>
          </w:p>
        </w:tc>
        <w:tc>
          <w:tcPr>
            <w:tcW w:w="1135" w:type="dxa"/>
          </w:tcPr>
          <w:p>
            <w:pPr>
              <w:pStyle w:val="nTable"/>
              <w:spacing w:after="40"/>
              <w:rPr>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After w:val="1"/>
          <w:wAfter w:w="9" w:type="dxa"/>
          <w:cantSplit/>
        </w:trPr>
        <w:tc>
          <w:tcPr>
            <w:tcW w:w="7097" w:type="dxa"/>
            <w:gridSpan w:val="4"/>
          </w:tcPr>
          <w:p>
            <w:pPr>
              <w:pStyle w:val="nTable"/>
              <w:spacing w:after="40"/>
              <w:rPr>
                <w:snapToGrid w:val="0"/>
                <w:sz w:val="19"/>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 except those in the </w:t>
            </w:r>
            <w:r>
              <w:rPr>
                <w:i/>
                <w:snapToGrid w:val="0"/>
                <w:sz w:val="19"/>
              </w:rPr>
              <w:t>Residential Parks (Long</w:t>
            </w:r>
            <w:r>
              <w:rPr>
                <w:i/>
                <w:snapToGrid w:val="0"/>
                <w:sz w:val="19"/>
              </w:rPr>
              <w:noBreakHyphen/>
              <w:t>stay Tenants) Act 2006</w:t>
            </w:r>
            <w:r>
              <w:rPr>
                <w:sz w:val="19"/>
              </w:rPr>
              <w:t>)</w:t>
            </w:r>
          </w:p>
        </w:tc>
      </w:tr>
      <w:tr>
        <w:trPr>
          <w:gridAfter w:val="1"/>
          <w:wAfter w:w="9" w:type="dxa"/>
        </w:trPr>
        <w:tc>
          <w:tcPr>
            <w:tcW w:w="2273" w:type="dxa"/>
          </w:tcPr>
          <w:p>
            <w:pPr>
              <w:pStyle w:val="nTable"/>
              <w:spacing w:after="40"/>
              <w:rPr>
                <w:i/>
                <w:snapToGrid w:val="0"/>
                <w:sz w:val="19"/>
              </w:rPr>
            </w:pPr>
            <w:r>
              <w:rPr>
                <w:i/>
                <w:iCs/>
                <w:snapToGrid w:val="0"/>
                <w:sz w:val="19"/>
              </w:rPr>
              <w:t>Legal Profession Act 2008</w:t>
            </w:r>
            <w:r>
              <w:rPr>
                <w:snapToGrid w:val="0"/>
                <w:sz w:val="19"/>
              </w:rPr>
              <w:t xml:space="preserve"> s. 698</w:t>
            </w:r>
          </w:p>
        </w:tc>
        <w:tc>
          <w:tcPr>
            <w:tcW w:w="1138" w:type="dxa"/>
          </w:tcPr>
          <w:p>
            <w:pPr>
              <w:pStyle w:val="nTable"/>
              <w:spacing w:after="40"/>
              <w:rPr>
                <w:snapToGrid w:val="0"/>
                <w:sz w:val="19"/>
              </w:rPr>
            </w:pPr>
            <w:r>
              <w:rPr>
                <w:snapToGrid w:val="0"/>
                <w:sz w:val="19"/>
              </w:rPr>
              <w:t>21 of 2008</w:t>
            </w:r>
          </w:p>
        </w:tc>
        <w:tc>
          <w:tcPr>
            <w:tcW w:w="1135" w:type="dxa"/>
          </w:tcPr>
          <w:p>
            <w:pPr>
              <w:pStyle w:val="nTable"/>
              <w:spacing w:after="40"/>
              <w:rPr>
                <w:sz w:val="19"/>
              </w:rPr>
            </w:pPr>
            <w:r>
              <w:rPr>
                <w:sz w:val="19"/>
              </w:rPr>
              <w:t>27 May 2008</w:t>
            </w:r>
          </w:p>
        </w:tc>
        <w:tc>
          <w:tcPr>
            <w:tcW w:w="2551" w:type="dxa"/>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rPr>
          <w:gridAfter w:val="1"/>
          <w:wAfter w:w="9" w:type="dxa"/>
          <w:cantSplit/>
        </w:trPr>
        <w:tc>
          <w:tcPr>
            <w:tcW w:w="2273"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29</w:t>
            </w:r>
          </w:p>
        </w:tc>
        <w:tc>
          <w:tcPr>
            <w:tcW w:w="1138"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9" w:type="dxa"/>
          <w:cantSplit/>
        </w:trPr>
        <w:tc>
          <w:tcPr>
            <w:tcW w:w="2273" w:type="dxa"/>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189</w:t>
            </w:r>
          </w:p>
        </w:tc>
        <w:tc>
          <w:tcPr>
            <w:tcW w:w="1138" w:type="dxa"/>
          </w:tcPr>
          <w:p>
            <w:pPr>
              <w:pStyle w:val="nTable"/>
              <w:spacing w:after="40"/>
              <w:rPr>
                <w:snapToGrid w:val="0"/>
                <w:sz w:val="19"/>
              </w:rPr>
            </w:pPr>
            <w:r>
              <w:rPr>
                <w:sz w:val="19"/>
              </w:rPr>
              <w:t>58 of 2010</w:t>
            </w:r>
          </w:p>
        </w:tc>
        <w:tc>
          <w:tcPr>
            <w:tcW w:w="1135" w:type="dxa"/>
          </w:tcPr>
          <w:p>
            <w:pPr>
              <w:pStyle w:val="nTable"/>
              <w:spacing w:after="40"/>
              <w:rPr>
                <w:snapToGrid w:val="0"/>
                <w:sz w:val="19"/>
              </w:rPr>
            </w:pPr>
            <w:r>
              <w:rPr>
                <w:sz w:val="19"/>
              </w:rPr>
              <w:t>8 Dec 2010</w:t>
            </w:r>
          </w:p>
        </w:tc>
        <w:tc>
          <w:tcPr>
            <w:tcW w:w="2551" w:type="dxa"/>
          </w:tcPr>
          <w:p>
            <w:pPr>
              <w:pStyle w:val="nTable"/>
              <w:spacing w:after="40"/>
              <w:rPr>
                <w:snapToGrid w:val="0"/>
                <w:sz w:val="19"/>
              </w:rPr>
            </w:pPr>
            <w:r>
              <w:rPr>
                <w:sz w:val="19"/>
              </w:rPr>
              <w:t xml:space="preserve">1 Jan 2011 (see s. 2(c) and </w:t>
            </w:r>
            <w:r>
              <w:rPr>
                <w:i/>
                <w:iCs/>
                <w:sz w:val="19"/>
              </w:rPr>
              <w:t>Gazette</w:t>
            </w:r>
            <w:r>
              <w:rPr>
                <w:sz w:val="19"/>
              </w:rPr>
              <w:t xml:space="preserve"> 24 Dec 2010 p. 6805)</w:t>
            </w:r>
          </w:p>
        </w:tc>
      </w:tr>
      <w:tr>
        <w:trPr>
          <w:gridAfter w:val="1"/>
          <w:wAfter w:w="9" w:type="dxa"/>
          <w:cantSplit/>
        </w:trPr>
        <w:tc>
          <w:tcPr>
            <w:tcW w:w="2273" w:type="dxa"/>
            <w:shd w:val="clear" w:color="auto" w:fill="auto"/>
          </w:tcPr>
          <w:p>
            <w:pPr>
              <w:pStyle w:val="nTable"/>
              <w:spacing w:after="40"/>
              <w:ind w:right="113"/>
              <w:rPr>
                <w:rFonts w:ascii="Arial" w:hAnsi="Arial"/>
                <w:i/>
                <w:noProof/>
                <w:snapToGrid w:val="0"/>
                <w:sz w:val="19"/>
              </w:rPr>
            </w:pPr>
            <w:r>
              <w:rPr>
                <w:i/>
                <w:snapToGrid w:val="0"/>
                <w:sz w:val="19"/>
              </w:rPr>
              <w:t>Residential Tenancies Amendment Act 2011</w:t>
            </w:r>
          </w:p>
        </w:tc>
        <w:tc>
          <w:tcPr>
            <w:tcW w:w="1138" w:type="dxa"/>
            <w:shd w:val="clear" w:color="auto" w:fill="auto"/>
          </w:tcPr>
          <w:p>
            <w:pPr>
              <w:pStyle w:val="nTable"/>
              <w:spacing w:after="40"/>
              <w:rPr>
                <w:sz w:val="19"/>
              </w:rPr>
            </w:pPr>
            <w:r>
              <w:rPr>
                <w:snapToGrid w:val="0"/>
                <w:sz w:val="19"/>
              </w:rPr>
              <w:t>60 of 2011</w:t>
            </w:r>
          </w:p>
        </w:tc>
        <w:tc>
          <w:tcPr>
            <w:tcW w:w="1135" w:type="dxa"/>
            <w:shd w:val="clear" w:color="auto" w:fill="auto"/>
          </w:tcPr>
          <w:p>
            <w:pPr>
              <w:pStyle w:val="nTable"/>
              <w:spacing w:after="40"/>
              <w:rPr>
                <w:sz w:val="19"/>
              </w:rPr>
            </w:pPr>
            <w:r>
              <w:rPr>
                <w:sz w:val="19"/>
              </w:rPr>
              <w:t>14 Dec 2011</w:t>
            </w:r>
          </w:p>
        </w:tc>
        <w:tc>
          <w:tcPr>
            <w:tcW w:w="2551" w:type="dxa"/>
            <w:shd w:val="clear" w:color="auto" w:fill="auto"/>
          </w:tcPr>
          <w:p>
            <w:pPr>
              <w:pStyle w:val="nTable"/>
              <w:spacing w:after="40"/>
              <w:rPr>
                <w:rFonts w:ascii="Arial" w:hAnsi="Arial"/>
                <w:sz w:val="19"/>
              </w:rPr>
            </w:pPr>
            <w:r>
              <w:rPr>
                <w:snapToGrid w:val="0"/>
                <w:sz w:val="19"/>
              </w:rPr>
              <w:t xml:space="preserve">s. 1 and 2: </w:t>
            </w:r>
            <w:r>
              <w:rPr>
                <w:sz w:val="19"/>
              </w:rPr>
              <w:t>14 Dec 2011 (see s. 2(a));</w:t>
            </w:r>
            <w:r>
              <w:rPr>
                <w:sz w:val="19"/>
              </w:rPr>
              <w:br/>
            </w:r>
            <w:r>
              <w:rPr>
                <w:snapToGrid w:val="0"/>
                <w:sz w:val="19"/>
              </w:rPr>
              <w:t xml:space="preserve">s. 5(2) </w:t>
            </w:r>
            <w:r>
              <w:rPr>
                <w:sz w:val="19"/>
              </w:rPr>
              <w:t xml:space="preserve">(to the extent that it inserts the definition of </w:t>
            </w:r>
            <w:r>
              <w:rPr>
                <w:b/>
                <w:i/>
                <w:sz w:val="19"/>
              </w:rPr>
              <w:t>lessor</w:t>
            </w:r>
            <w:r>
              <w:rPr>
                <w:sz w:val="19"/>
              </w:rPr>
              <w:t>)</w:t>
            </w:r>
            <w:r>
              <w:rPr>
                <w:snapToGrid w:val="0"/>
                <w:sz w:val="19"/>
              </w:rPr>
              <w:t xml:space="preserve">, 42(1) and (2), 45(1), 57, 58, 60, 69, 88, 89 </w:t>
            </w:r>
            <w:r>
              <w:rPr>
                <w:sz w:val="19"/>
              </w:rPr>
              <w:t>(to the extent that it amends s. 71) and 90</w:t>
            </w:r>
            <w:r>
              <w:rPr>
                <w:sz w:val="19"/>
              </w:rPr>
              <w:noBreakHyphen/>
              <w:t xml:space="preserve">95: 30 Jul 2012 (see s. 2(b) and </w:t>
            </w:r>
            <w:r>
              <w:rPr>
                <w:i/>
                <w:sz w:val="19"/>
              </w:rPr>
              <w:t>Gazette</w:t>
            </w:r>
            <w:r>
              <w:rPr>
                <w:sz w:val="19"/>
              </w:rPr>
              <w:t xml:space="preserve"> 27 Jul 2012 p. 3663);</w:t>
            </w:r>
            <w:r>
              <w:rPr>
                <w:sz w:val="19"/>
              </w:rPr>
              <w:br/>
            </w:r>
            <w:r>
              <w:rPr>
                <w:snapToGrid w:val="0"/>
                <w:sz w:val="19"/>
              </w:rPr>
              <w:t xml:space="preserve">s. 3-5 (except to the extent that it inserts the definition of </w:t>
            </w:r>
            <w:r>
              <w:rPr>
                <w:b/>
                <w:i/>
                <w:snapToGrid w:val="0"/>
                <w:sz w:val="19"/>
              </w:rPr>
              <w:t>lessor</w:t>
            </w:r>
            <w:r>
              <w:rPr>
                <w:snapToGrid w:val="0"/>
                <w:sz w:val="19"/>
              </w:rPr>
              <w:t>), 6-41, 42(3), 43-44, 45(2), 46-56, 59, 61-68, 70</w:t>
            </w:r>
            <w:r>
              <w:rPr>
                <w:snapToGrid w:val="0"/>
                <w:sz w:val="19"/>
              </w:rPr>
              <w:noBreakHyphen/>
              <w:t xml:space="preserve">87, 89 (except to the extent that it amends s. 71) and Pt. 4 (s. 96): 1 Jul 2013 (see s. 2(b) and </w:t>
            </w:r>
            <w:r>
              <w:rPr>
                <w:i/>
                <w:snapToGrid w:val="0"/>
                <w:sz w:val="19"/>
              </w:rPr>
              <w:t>Gazette</w:t>
            </w:r>
            <w:r>
              <w:rPr>
                <w:snapToGrid w:val="0"/>
                <w:sz w:val="19"/>
              </w:rPr>
              <w:t xml:space="preserve"> 3 May 2013 p. 1735)</w:t>
            </w:r>
          </w:p>
        </w:tc>
      </w:tr>
      <w:tr>
        <w:trPr>
          <w:gridAfter w:val="1"/>
          <w:wAfter w:w="9" w:type="dxa"/>
          <w:cantSplit/>
        </w:trPr>
        <w:tc>
          <w:tcPr>
            <w:tcW w:w="7097" w:type="dxa"/>
            <w:gridSpan w:val="4"/>
            <w:shd w:val="clear" w:color="auto" w:fill="auto"/>
          </w:tcPr>
          <w:p>
            <w:pPr>
              <w:pStyle w:val="nTable"/>
              <w:spacing w:after="40"/>
              <w:rPr>
                <w:snapToGrid w:val="0"/>
                <w:sz w:val="19"/>
              </w:rPr>
            </w:pPr>
            <w:r>
              <w:rPr>
                <w:b/>
                <w:sz w:val="19"/>
              </w:rPr>
              <w:t xml:space="preserve">Reprint 5: The </w:t>
            </w:r>
            <w:r>
              <w:rPr>
                <w:b/>
                <w:i/>
                <w:sz w:val="19"/>
              </w:rPr>
              <w:t xml:space="preserve">Residential Tenancies Act 1987 </w:t>
            </w:r>
            <w:r>
              <w:rPr>
                <w:b/>
                <w:sz w:val="19"/>
              </w:rPr>
              <w:t>as at 19 Jul 2013</w:t>
            </w:r>
            <w:r>
              <w:rPr>
                <w:sz w:val="19"/>
              </w:rPr>
              <w:t xml:space="preserve"> (includes amendments listed above)</w:t>
            </w:r>
          </w:p>
        </w:tc>
      </w:tr>
      <w:tr>
        <w:trPr>
          <w:gridAfter w:val="1"/>
          <w:wAfter w:w="9" w:type="dxa"/>
          <w:cantSplit/>
        </w:trPr>
        <w:tc>
          <w:tcPr>
            <w:tcW w:w="2273" w:type="dxa"/>
            <w:tcBorders>
              <w:bottom w:val="single" w:sz="4" w:space="0" w:color="auto"/>
            </w:tcBorders>
            <w:shd w:val="clear" w:color="auto" w:fill="auto"/>
          </w:tcPr>
          <w:p>
            <w:pPr>
              <w:pStyle w:val="nTable"/>
              <w:spacing w:after="40"/>
              <w:ind w:right="113"/>
              <w:rPr>
                <w:rFonts w:ascii="Arial" w:hAnsi="Arial"/>
                <w:i/>
                <w:noProof/>
                <w:snapToGrid w:val="0"/>
                <w:sz w:val="19"/>
              </w:rPr>
            </w:pPr>
            <w:r>
              <w:rPr>
                <w:i/>
                <w:sz w:val="19"/>
              </w:rPr>
              <w:t>Dog Amendment Act 2013</w:t>
            </w:r>
            <w:r>
              <w:rPr>
                <w:sz w:val="19"/>
              </w:rPr>
              <w:t xml:space="preserve"> Pt. 3</w:t>
            </w:r>
          </w:p>
        </w:tc>
        <w:tc>
          <w:tcPr>
            <w:tcW w:w="1138" w:type="dxa"/>
            <w:tcBorders>
              <w:bottom w:val="single" w:sz="4" w:space="0" w:color="auto"/>
            </w:tcBorders>
            <w:shd w:val="clear" w:color="auto" w:fill="auto"/>
          </w:tcPr>
          <w:p>
            <w:pPr>
              <w:pStyle w:val="nTable"/>
              <w:spacing w:after="40"/>
              <w:rPr>
                <w:sz w:val="19"/>
              </w:rPr>
            </w:pPr>
            <w:r>
              <w:rPr>
                <w:szCs w:val="18"/>
              </w:rPr>
              <w:t>18 of 2013</w:t>
            </w:r>
          </w:p>
        </w:tc>
        <w:tc>
          <w:tcPr>
            <w:tcW w:w="1135" w:type="dxa"/>
            <w:tcBorders>
              <w:bottom w:val="single" w:sz="4" w:space="0" w:color="auto"/>
            </w:tcBorders>
            <w:shd w:val="clear" w:color="auto" w:fill="auto"/>
          </w:tcPr>
          <w:p>
            <w:pPr>
              <w:pStyle w:val="nTable"/>
              <w:spacing w:after="40"/>
              <w:rPr>
                <w:sz w:val="19"/>
              </w:rPr>
            </w:pPr>
            <w:r>
              <w:rPr>
                <w:sz w:val="19"/>
              </w:rPr>
              <w:t>29 Oct 2013</w:t>
            </w:r>
          </w:p>
        </w:tc>
        <w:tc>
          <w:tcPr>
            <w:tcW w:w="2551" w:type="dxa"/>
            <w:tcBorders>
              <w:bottom w:val="single" w:sz="4" w:space="0" w:color="auto"/>
            </w:tcBorders>
            <w:shd w:val="clear" w:color="auto" w:fill="auto"/>
          </w:tcPr>
          <w:p>
            <w:pPr>
              <w:pStyle w:val="nTable"/>
              <w:spacing w:after="40"/>
              <w:rPr>
                <w:rFonts w:ascii="Arial" w:hAnsi="Arial"/>
                <w:sz w:val="19"/>
              </w:rPr>
            </w:pPr>
            <w:r>
              <w:rPr>
                <w:sz w:val="19"/>
              </w:rPr>
              <w:t xml:space="preserve">1 Nov 2013 (see s. 2(b) and </w:t>
            </w:r>
            <w:r>
              <w:rPr>
                <w:i/>
                <w:sz w:val="19"/>
              </w:rPr>
              <w:t>Gazette</w:t>
            </w:r>
            <w:r>
              <w:rPr>
                <w:sz w:val="19"/>
              </w:rPr>
              <w:t xml:space="preserve"> 31 Oct 2013 p. 4829)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9" w:name="_Toc392152471"/>
      <w:bookmarkStart w:id="220" w:name="_Toc392492840"/>
      <w:r>
        <w:t>Provisions that have not come into operation</w:t>
      </w:r>
      <w:bookmarkEnd w:id="219"/>
      <w:bookmarkEnd w:id="22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rPr>
            </w:pPr>
            <w:r>
              <w:rPr>
                <w:b/>
                <w:snapToGrid w:val="0"/>
                <w:sz w:val="19"/>
                <w:szCs w:val="19"/>
              </w:rPr>
              <w:t>Short title</w:t>
            </w:r>
          </w:p>
        </w:tc>
        <w:tc>
          <w:tcPr>
            <w:tcW w:w="1118" w:type="dxa"/>
          </w:tcPr>
          <w:p>
            <w:pPr>
              <w:pStyle w:val="nTable"/>
              <w:spacing w:after="40"/>
              <w:rPr>
                <w:b/>
                <w:snapToGrid w:val="0"/>
                <w:sz w:val="19"/>
                <w:szCs w:val="19"/>
              </w:rPr>
            </w:pPr>
            <w:r>
              <w:rPr>
                <w:b/>
                <w:snapToGrid w:val="0"/>
                <w:sz w:val="19"/>
                <w:szCs w:val="19"/>
              </w:rPr>
              <w:t>Number and year</w:t>
            </w:r>
          </w:p>
        </w:tc>
        <w:tc>
          <w:tcPr>
            <w:tcW w:w="1134" w:type="dxa"/>
          </w:tcPr>
          <w:p>
            <w:pPr>
              <w:pStyle w:val="nTable"/>
              <w:spacing w:after="40"/>
              <w:rPr>
                <w:b/>
                <w:snapToGrid w:val="0"/>
                <w:sz w:val="19"/>
                <w:szCs w:val="19"/>
              </w:rPr>
            </w:pPr>
            <w:r>
              <w:rPr>
                <w:b/>
                <w:snapToGrid w:val="0"/>
                <w:sz w:val="19"/>
                <w:szCs w:val="19"/>
              </w:rPr>
              <w:t>Assent</w:t>
            </w:r>
          </w:p>
        </w:tc>
        <w:tc>
          <w:tcPr>
            <w:tcW w:w="2552" w:type="dxa"/>
          </w:tcPr>
          <w:p>
            <w:pPr>
              <w:pStyle w:val="nTable"/>
              <w:spacing w:after="40"/>
              <w:rPr>
                <w:b/>
                <w:snapToGrid w:val="0"/>
                <w:sz w:val="19"/>
                <w:szCs w:val="19"/>
              </w:rPr>
            </w:pPr>
            <w:r>
              <w:rPr>
                <w:b/>
                <w:snapToGrid w:val="0"/>
                <w:sz w:val="19"/>
                <w:szCs w:val="19"/>
              </w:rPr>
              <w:t>Commencement</w:t>
            </w:r>
          </w:p>
        </w:tc>
      </w:tr>
      <w:tr>
        <w:tc>
          <w:tcPr>
            <w:tcW w:w="2268" w:type="dxa"/>
          </w:tcPr>
          <w:p>
            <w:pPr>
              <w:pStyle w:val="nSubsection"/>
              <w:tabs>
                <w:tab w:val="clear" w:pos="454"/>
              </w:tabs>
              <w:spacing w:before="40" w:after="40"/>
              <w:ind w:left="0" w:firstLine="0"/>
              <w:rPr>
                <w:sz w:val="19"/>
                <w:szCs w:val="19"/>
                <w:vertAlign w:val="superscript"/>
              </w:rPr>
            </w:pPr>
            <w:r>
              <w:rPr>
                <w:i/>
                <w:snapToGrid w:val="0"/>
                <w:sz w:val="19"/>
                <w:szCs w:val="19"/>
              </w:rPr>
              <w:t xml:space="preserve">Statutes (Repeals and Minor Amendments) Act 2014 </w:t>
            </w:r>
            <w:r>
              <w:rPr>
                <w:snapToGrid w:val="0"/>
                <w:sz w:val="19"/>
                <w:szCs w:val="19"/>
              </w:rPr>
              <w:t>s. 5</w:t>
            </w:r>
            <w:r>
              <w:rPr>
                <w:i/>
                <w:snapToGrid w:val="0"/>
                <w:sz w:val="19"/>
                <w:szCs w:val="19"/>
              </w:rPr>
              <w:t> </w:t>
            </w:r>
            <w:r>
              <w:rPr>
                <w:noProof/>
                <w:snapToGrid w:val="0"/>
                <w:sz w:val="19"/>
                <w:szCs w:val="19"/>
                <w:vertAlign w:val="superscript"/>
              </w:rPr>
              <w:t>8</w:t>
            </w:r>
          </w:p>
        </w:tc>
        <w:tc>
          <w:tcPr>
            <w:tcW w:w="1118" w:type="dxa"/>
          </w:tcPr>
          <w:p>
            <w:pPr>
              <w:pStyle w:val="nTable"/>
              <w:spacing w:after="40"/>
              <w:rPr>
                <w:sz w:val="19"/>
                <w:szCs w:val="19"/>
              </w:rPr>
            </w:pPr>
            <w:r>
              <w:rPr>
                <w:sz w:val="19"/>
                <w:szCs w:val="19"/>
              </w:rPr>
              <w:t>17 of 2014</w:t>
            </w:r>
          </w:p>
        </w:tc>
        <w:tc>
          <w:tcPr>
            <w:tcW w:w="1134" w:type="dxa"/>
          </w:tcPr>
          <w:p>
            <w:pPr>
              <w:pStyle w:val="nTable"/>
              <w:spacing w:after="40"/>
              <w:rPr>
                <w:sz w:val="19"/>
                <w:szCs w:val="19"/>
              </w:rPr>
            </w:pPr>
            <w:r>
              <w:rPr>
                <w:sz w:val="19"/>
                <w:szCs w:val="19"/>
              </w:rPr>
              <w:t>2 Jul 2014</w:t>
            </w:r>
          </w:p>
        </w:tc>
        <w:tc>
          <w:tcPr>
            <w:tcW w:w="2552" w:type="dxa"/>
          </w:tcPr>
          <w:p>
            <w:pPr>
              <w:pStyle w:val="nTable"/>
              <w:spacing w:after="40"/>
              <w:rPr>
                <w:snapToGrid w:val="0"/>
                <w:sz w:val="19"/>
                <w:szCs w:val="19"/>
              </w:rPr>
            </w:pPr>
            <w:r>
              <w:rPr>
                <w:snapToGrid w:val="0"/>
                <w:sz w:val="19"/>
                <w:szCs w:val="19"/>
              </w:rPr>
              <w:t>To be proclaimed (see s. 2(b))</w:t>
            </w:r>
          </w:p>
        </w:tc>
      </w:tr>
    </w:tbl>
    <w:p/>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7</w:t>
      </w:r>
      <w:r>
        <w:tab/>
        <w:t xml:space="preserve">The </w:t>
      </w:r>
      <w:r>
        <w:rPr>
          <w:i/>
        </w:rPr>
        <w:t>Machinery of Government (Miscellaneous Amendments) Act 2006</w:t>
      </w:r>
      <w:r>
        <w:t xml:space="preserve"> Pt. 4 Div. 23 is a transitional provision that is of no further effect.</w:t>
      </w:r>
    </w:p>
    <w:p>
      <w:pPr>
        <w:pStyle w:val="nSubsection"/>
        <w:keepNext/>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Statutes (Repeals and Minor Amendments) Act 2014 </w:t>
      </w:r>
      <w:r>
        <w:rPr>
          <w:snapToGrid w:val="0"/>
        </w:rPr>
        <w:t>s. 5 had not come into operation.  It reads as follows:</w:t>
      </w:r>
    </w:p>
    <w:p>
      <w:pPr>
        <w:pStyle w:val="BlankOpen"/>
      </w:pPr>
    </w:p>
    <w:p>
      <w:pPr>
        <w:pStyle w:val="nzHeading5"/>
      </w:pPr>
      <w:bookmarkStart w:id="221" w:name="_Toc392133785"/>
      <w:bookmarkStart w:id="222" w:name="_Toc392144289"/>
      <w:r>
        <w:rPr>
          <w:rStyle w:val="CharSectno"/>
        </w:rPr>
        <w:t>5</w:t>
      </w:r>
      <w:r>
        <w:t>.</w:t>
      </w:r>
      <w:r>
        <w:tab/>
      </w:r>
      <w:r>
        <w:rPr>
          <w:i/>
        </w:rPr>
        <w:t>Residential Tenancies Act 1987</w:t>
      </w:r>
      <w:r>
        <w:t xml:space="preserve"> amended</w:t>
      </w:r>
      <w:bookmarkEnd w:id="221"/>
      <w:bookmarkEnd w:id="222"/>
    </w:p>
    <w:p>
      <w:pPr>
        <w:pStyle w:val="nzSubsection"/>
      </w:pPr>
      <w:r>
        <w:tab/>
        <w:t>(1)</w:t>
      </w:r>
      <w:r>
        <w:tab/>
        <w:t xml:space="preserve">This section amends the </w:t>
      </w:r>
      <w:r>
        <w:rPr>
          <w:i/>
        </w:rPr>
        <w:t>Residential Tenancies Act 1987</w:t>
      </w:r>
      <w:r>
        <w:t>.</w:t>
      </w:r>
    </w:p>
    <w:p>
      <w:pPr>
        <w:pStyle w:val="nzSubsection"/>
      </w:pPr>
      <w:r>
        <w:tab/>
        <w:t>(2)</w:t>
      </w:r>
      <w:r>
        <w:tab/>
        <w:t>In section 15(2)(d) delete “a local court” and insert:</w:t>
      </w:r>
    </w:p>
    <w:p>
      <w:pPr>
        <w:pStyle w:val="BlankOpen"/>
      </w:pPr>
    </w:p>
    <w:p>
      <w:pPr>
        <w:pStyle w:val="nzSubsection"/>
      </w:pPr>
      <w:r>
        <w:tab/>
      </w:r>
      <w:r>
        <w:tab/>
        <w:t xml:space="preserve">the </w:t>
      </w:r>
      <w:smartTag w:uri="urn:schemas-microsoft-com:office:smarttags" w:element="Street">
        <w:smartTag w:uri="urn:schemas-microsoft-com:office:smarttags" w:element="address">
          <w:r>
            <w:t>Magistrates Court</w:t>
          </w:r>
        </w:smartTag>
      </w:smartTag>
    </w:p>
    <w:p>
      <w:pPr>
        <w:pStyle w:val="BlankClose"/>
      </w:pPr>
    </w:p>
    <w:p>
      <w:pPr>
        <w:pStyle w:val="BlankClose"/>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223" w:name="_Toc381880784"/>
      <w:bookmarkStart w:id="224" w:name="_Toc392492841"/>
      <w:r>
        <w:rPr>
          <w:sz w:val="28"/>
        </w:rPr>
        <w:t>Defined terms</w:t>
      </w:r>
      <w:bookmarkEnd w:id="223"/>
      <w:bookmarkEnd w:id="2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5" w:name="DefinedTerms"/>
      <w:bookmarkEnd w:id="225"/>
      <w:r>
        <w:t>AFI</w:t>
      </w:r>
      <w:r>
        <w:tab/>
        <w:t>92</w:t>
      </w:r>
    </w:p>
    <w:p>
      <w:pPr>
        <w:pStyle w:val="DefinedTerms"/>
      </w:pPr>
      <w:r>
        <w:t>agent</w:t>
      </w:r>
      <w:r>
        <w:tab/>
        <w:t>22(6), 82A</w:t>
      </w:r>
    </w:p>
    <w:p>
      <w:pPr>
        <w:pStyle w:val="DefinedTerms"/>
      </w:pPr>
      <w:r>
        <w:t>agreement</w:t>
      </w:r>
      <w:r>
        <w:tab/>
        <w:t>70A(1), 71D(1), 72(1A)</w:t>
      </w:r>
    </w:p>
    <w:p>
      <w:pPr>
        <w:pStyle w:val="DefinedTerms"/>
      </w:pPr>
      <w:r>
        <w:t>applicant</w:t>
      </w:r>
      <w:r>
        <w:tab/>
        <w:t>82C(1)(a), 82D(1)(a)</w:t>
      </w:r>
    </w:p>
    <w:p>
      <w:pPr>
        <w:pStyle w:val="DefinedTerms"/>
      </w:pPr>
      <w:r>
        <w:t>authorised agent</w:t>
      </w:r>
      <w:r>
        <w:tab/>
        <w:t>Sch. 1 cl. 1</w:t>
      </w:r>
    </w:p>
    <w:p>
      <w:pPr>
        <w:pStyle w:val="DefinedTerms"/>
      </w:pPr>
      <w:r>
        <w:t>authorised financial institution</w:t>
      </w:r>
      <w:r>
        <w:tab/>
        <w:t>92</w:t>
      </w:r>
    </w:p>
    <w:p>
      <w:pPr>
        <w:pStyle w:val="DefinedTerms"/>
      </w:pPr>
      <w:r>
        <w:t>authorised person</w:t>
      </w:r>
      <w:r>
        <w:tab/>
        <w:t>88A(1)</w:t>
      </w:r>
    </w:p>
    <w:p>
      <w:pPr>
        <w:pStyle w:val="DefinedTerms"/>
      </w:pPr>
      <w:r>
        <w:t xml:space="preserve">bond </w:t>
      </w:r>
      <w:r>
        <w:tab/>
        <w:t>3</w:t>
      </w:r>
    </w:p>
    <w:p>
      <w:pPr>
        <w:pStyle w:val="DefinedTerms"/>
      </w:pPr>
      <w:r>
        <w:t>bond administrator</w:t>
      </w:r>
      <w:r>
        <w:tab/>
        <w:t>3</w:t>
      </w:r>
    </w:p>
    <w:p>
      <w:pPr>
        <w:pStyle w:val="DefinedTerms"/>
      </w:pPr>
      <w:r>
        <w:t>commencement day</w:t>
      </w:r>
      <w:r>
        <w:tab/>
        <w:t>91(1), 92, 97(1)</w:t>
      </w:r>
    </w:p>
    <w:p>
      <w:pPr>
        <w:pStyle w:val="DefinedTerms"/>
      </w:pPr>
      <w:r>
        <w:t>Commissioner</w:t>
      </w:r>
      <w:r>
        <w:tab/>
        <w:t>3</w:t>
      </w:r>
    </w:p>
    <w:p>
      <w:pPr>
        <w:pStyle w:val="DefinedTerms"/>
      </w:pPr>
      <w:r>
        <w:t>competent court</w:t>
      </w:r>
      <w:r>
        <w:tab/>
        <w:t>3</w:t>
      </w:r>
    </w:p>
    <w:p>
      <w:pPr>
        <w:pStyle w:val="DefinedTerms"/>
      </w:pPr>
      <w:r>
        <w:t>criteria</w:t>
      </w:r>
      <w:r>
        <w:tab/>
        <w:t>71A</w:t>
      </w:r>
    </w:p>
    <w:p>
      <w:pPr>
        <w:pStyle w:val="DefinedTerms"/>
      </w:pPr>
      <w:r>
        <w:t>database</w:t>
      </w:r>
      <w:r>
        <w:tab/>
        <w:t>82A</w:t>
      </w:r>
    </w:p>
    <w:p>
      <w:pPr>
        <w:pStyle w:val="DefinedTerms"/>
      </w:pPr>
      <w:r>
        <w:t>database operator</w:t>
      </w:r>
      <w:r>
        <w:tab/>
        <w:t>82A</w:t>
      </w:r>
    </w:p>
    <w:p>
      <w:pPr>
        <w:pStyle w:val="DefinedTerms"/>
      </w:pPr>
      <w:r>
        <w:t>Department</w:t>
      </w:r>
      <w:r>
        <w:tab/>
        <w:t>3</w:t>
      </w:r>
    </w:p>
    <w:p>
      <w:pPr>
        <w:pStyle w:val="DefinedTerms"/>
      </w:pPr>
      <w:r>
        <w:t>executive officer</w:t>
      </w:r>
      <w:r>
        <w:tab/>
        <w:t>7A(3)</w:t>
      </w:r>
    </w:p>
    <w:p>
      <w:pPr>
        <w:pStyle w:val="DefinedTerms"/>
      </w:pPr>
      <w:r>
        <w:t>existing agreement</w:t>
      </w:r>
      <w:r>
        <w:tab/>
        <w:t>71H</w:t>
      </w:r>
    </w:p>
    <w:p>
      <w:pPr>
        <w:pStyle w:val="DefinedTerms"/>
      </w:pPr>
      <w:r>
        <w:t>expiry day</w:t>
      </w:r>
      <w:r>
        <w:tab/>
        <w:t>3</w:t>
      </w:r>
    </w:p>
    <w:p>
      <w:pPr>
        <w:pStyle w:val="DefinedTerms"/>
      </w:pPr>
      <w:r>
        <w:t>first tenant</w:t>
      </w:r>
      <w:r>
        <w:tab/>
        <w:t>17A(1)</w:t>
      </w:r>
    </w:p>
    <w:p>
      <w:pPr>
        <w:pStyle w:val="DefinedTerms"/>
      </w:pPr>
      <w:r>
        <w:t>former agreement</w:t>
      </w:r>
      <w:r>
        <w:tab/>
        <w:t>31B(a)</w:t>
      </w:r>
    </w:p>
    <w:p>
      <w:pPr>
        <w:pStyle w:val="DefinedTerms"/>
      </w:pPr>
      <w:r>
        <w:t>goods</w:t>
      </w:r>
      <w:r>
        <w:tab/>
        <w:t>79(1A)</w:t>
      </w:r>
    </w:p>
    <w:p>
      <w:pPr>
        <w:pStyle w:val="DefinedTerms"/>
      </w:pPr>
      <w:r>
        <w:t>GST</w:t>
      </w:r>
      <w:r>
        <w:tab/>
        <w:t>49A(1)</w:t>
      </w:r>
    </w:p>
    <w:p>
      <w:pPr>
        <w:pStyle w:val="DefinedTerms"/>
      </w:pPr>
      <w:r>
        <w:t>Housing Authority</w:t>
      </w:r>
      <w:r>
        <w:tab/>
        <w:t>71A</w:t>
      </w:r>
    </w:p>
    <w:p>
      <w:pPr>
        <w:pStyle w:val="DefinedTerms"/>
      </w:pPr>
      <w:r>
        <w:t>inaccurate</w:t>
      </w:r>
      <w:r>
        <w:tab/>
        <w:t>82A</w:t>
      </w:r>
    </w:p>
    <w:p>
      <w:pPr>
        <w:pStyle w:val="DefinedTerms"/>
      </w:pPr>
      <w:r>
        <w:t>information</w:t>
      </w:r>
      <w:r>
        <w:tab/>
        <w:t>11A(3)</w:t>
      </w:r>
    </w:p>
    <w:p>
      <w:pPr>
        <w:pStyle w:val="DefinedTerms"/>
      </w:pPr>
      <w:r>
        <w:t>legal practitioner</w:t>
      </w:r>
      <w:r>
        <w:tab/>
        <w:t>22(6)</w:t>
      </w:r>
    </w:p>
    <w:p>
      <w:pPr>
        <w:pStyle w:val="DefinedTerms"/>
      </w:pPr>
      <w:r>
        <w:t>legally qualified person</w:t>
      </w:r>
      <w:r>
        <w:tab/>
        <w:t>22(6)</w:t>
      </w:r>
    </w:p>
    <w:p>
      <w:pPr>
        <w:pStyle w:val="DefinedTerms"/>
      </w:pPr>
      <w:r>
        <w:t>lessor</w:t>
      </w:r>
      <w:r>
        <w:tab/>
        <w:t>3, 46(1)</w:t>
      </w:r>
    </w:p>
    <w:p>
      <w:pPr>
        <w:pStyle w:val="DefinedTerms"/>
      </w:pPr>
      <w:r>
        <w:t>list</w:t>
      </w:r>
      <w:r>
        <w:tab/>
        <w:t>82A</w:t>
      </w:r>
    </w:p>
    <w:p>
      <w:pPr>
        <w:pStyle w:val="DefinedTerms"/>
      </w:pPr>
      <w:r>
        <w:t>Minister for Housing</w:t>
      </w:r>
      <w:r>
        <w:tab/>
        <w:t>71A</w:t>
      </w:r>
    </w:p>
    <w:p>
      <w:pPr>
        <w:pStyle w:val="DefinedTerms"/>
      </w:pPr>
      <w:r>
        <w:t>minor</w:t>
      </w:r>
      <w:r>
        <w:tab/>
        <w:t>59A(1)</w:t>
      </w:r>
    </w:p>
    <w:p>
      <w:pPr>
        <w:pStyle w:val="DefinedTerms"/>
      </w:pPr>
      <w:r>
        <w:t>national privacy principles</w:t>
      </w:r>
      <w:r>
        <w:tab/>
        <w:t>82K(1)</w:t>
      </w:r>
    </w:p>
    <w:p>
      <w:pPr>
        <w:pStyle w:val="DefinedTerms"/>
      </w:pPr>
      <w:r>
        <w:t>new agreement</w:t>
      </w:r>
      <w:r>
        <w:tab/>
        <w:t>31B(b)</w:t>
      </w:r>
    </w:p>
    <w:p>
      <w:pPr>
        <w:pStyle w:val="DefinedTerms"/>
      </w:pPr>
      <w:r>
        <w:t>notice</w:t>
      </w:r>
      <w:r>
        <w:tab/>
        <w:t>70A(1)</w:t>
      </w:r>
    </w:p>
    <w:p>
      <w:pPr>
        <w:pStyle w:val="DefinedTerms"/>
      </w:pPr>
      <w:r>
        <w:t>notice to vacate</w:t>
      </w:r>
      <w:r>
        <w:tab/>
        <w:t>81A(1)</w:t>
      </w:r>
    </w:p>
    <w:p>
      <w:pPr>
        <w:pStyle w:val="DefinedTerms"/>
      </w:pPr>
      <w:r>
        <w:t>out</w:t>
      </w:r>
      <w:r>
        <w:noBreakHyphen/>
        <w:t>of</w:t>
      </w:r>
      <w:r>
        <w:noBreakHyphen/>
        <w:t>date</w:t>
      </w:r>
      <w:r>
        <w:tab/>
        <w:t>82A</w:t>
      </w:r>
    </w:p>
    <w:p>
      <w:pPr>
        <w:pStyle w:val="DefinedTerms"/>
      </w:pPr>
      <w:r>
        <w:t>party</w:t>
      </w:r>
      <w:r>
        <w:tab/>
        <w:t>9(1A)</w:t>
      </w:r>
    </w:p>
    <w:p>
      <w:pPr>
        <w:pStyle w:val="DefinedTerms"/>
      </w:pPr>
      <w:r>
        <w:t>personal information</w:t>
      </w:r>
      <w:r>
        <w:tab/>
        <w:t>82A</w:t>
      </w:r>
    </w:p>
    <w:p>
      <w:pPr>
        <w:pStyle w:val="DefinedTerms"/>
      </w:pPr>
      <w:r>
        <w:t>pet</w:t>
      </w:r>
      <w:r>
        <w:tab/>
        <w:t>29(1A)</w:t>
      </w:r>
    </w:p>
    <w:p>
      <w:pPr>
        <w:pStyle w:val="DefinedTerms"/>
      </w:pPr>
      <w:r>
        <w:t>plaintiff</w:t>
      </w:r>
      <w:r>
        <w:tab/>
        <w:t>81B(1), 81(1)</w:t>
      </w:r>
    </w:p>
    <w:p>
      <w:pPr>
        <w:pStyle w:val="DefinedTerms"/>
      </w:pPr>
      <w:r>
        <w:t>possession day</w:t>
      </w:r>
      <w:r>
        <w:tab/>
        <w:t>70A(1), 72(1A)</w:t>
      </w:r>
    </w:p>
    <w:p>
      <w:pPr>
        <w:pStyle w:val="DefinedTerms"/>
      </w:pPr>
      <w:r>
        <w:t>premises</w:t>
      </w:r>
      <w:r>
        <w:tab/>
        <w:t>3, 38(2), 40(1), 42(1), 44(1), 46(1)</w:t>
      </w:r>
    </w:p>
    <w:p>
      <w:pPr>
        <w:pStyle w:val="DefinedTerms"/>
      </w:pPr>
      <w:r>
        <w:t>prescribed amount</w:t>
      </w:r>
      <w:r>
        <w:tab/>
        <w:t>12</w:t>
      </w:r>
    </w:p>
    <w:p>
      <w:pPr>
        <w:pStyle w:val="DefinedTerms"/>
      </w:pPr>
      <w:r>
        <w:t>prescribed dispute</w:t>
      </w:r>
      <w:r>
        <w:tab/>
        <w:t>12</w:t>
      </w:r>
    </w:p>
    <w:p>
      <w:pPr>
        <w:pStyle w:val="DefinedTerms"/>
      </w:pPr>
      <w:r>
        <w:t>prescribed period</w:t>
      </w:r>
      <w:r>
        <w:tab/>
        <w:t>43(1)</w:t>
      </w:r>
    </w:p>
    <w:p>
      <w:pPr>
        <w:pStyle w:val="DefinedTerms"/>
      </w:pPr>
      <w:r>
        <w:t>proceedings</w:t>
      </w:r>
      <w:r>
        <w:tab/>
        <w:t>22(1A)</w:t>
      </w:r>
    </w:p>
    <w:p>
      <w:pPr>
        <w:pStyle w:val="DefinedTerms"/>
      </w:pPr>
      <w:r>
        <w:t>property manager</w:t>
      </w:r>
      <w:r>
        <w:tab/>
        <w:t>3</w:t>
      </w:r>
    </w:p>
    <w:p>
      <w:pPr>
        <w:pStyle w:val="DefinedTerms"/>
      </w:pPr>
      <w:r>
        <w:t>public utility services</w:t>
      </w:r>
      <w:r>
        <w:tab/>
        <w:t>49A(1)</w:t>
      </w:r>
    </w:p>
    <w:p>
      <w:pPr>
        <w:pStyle w:val="DefinedTerms"/>
      </w:pPr>
      <w:r>
        <w:t>reasonable grounds</w:t>
      </w:r>
      <w:r>
        <w:tab/>
        <w:t>3</w:t>
      </w:r>
    </w:p>
    <w:p>
      <w:pPr>
        <w:pStyle w:val="DefinedTerms"/>
      </w:pPr>
      <w:r>
        <w:t>reasonable time</w:t>
      </w:r>
      <w:r>
        <w:tab/>
        <w:t>46(1)</w:t>
      </w:r>
    </w:p>
    <w:p>
      <w:pPr>
        <w:pStyle w:val="DefinedTerms"/>
      </w:pPr>
      <w:r>
        <w:t>rent</w:t>
      </w:r>
      <w:r>
        <w:tab/>
        <w:t>3</w:t>
      </w:r>
    </w:p>
    <w:p>
      <w:pPr>
        <w:pStyle w:val="DefinedTerms"/>
      </w:pPr>
      <w:r>
        <w:t>Rental Accommodation Account</w:t>
      </w:r>
      <w:r>
        <w:tab/>
        <w:t>3</w:t>
      </w:r>
    </w:p>
    <w:p>
      <w:pPr>
        <w:pStyle w:val="DefinedTerms"/>
      </w:pPr>
      <w:r>
        <w:t>residential premises</w:t>
      </w:r>
      <w:r>
        <w:tab/>
        <w:t>3, 82A</w:t>
      </w:r>
    </w:p>
    <w:p>
      <w:pPr>
        <w:pStyle w:val="DefinedTerms"/>
      </w:pPr>
      <w:r>
        <w:t>residential tenancy agreement</w:t>
      </w:r>
      <w:r>
        <w:tab/>
        <w:t>3, 82A</w:t>
      </w:r>
    </w:p>
    <w:p>
      <w:pPr>
        <w:pStyle w:val="DefinedTerms"/>
      </w:pPr>
      <w:r>
        <w:t>residential tenancy database</w:t>
      </w:r>
      <w:r>
        <w:tab/>
        <w:t>82A</w:t>
      </w:r>
    </w:p>
    <w:p>
      <w:pPr>
        <w:pStyle w:val="DefinedTerms"/>
      </w:pPr>
      <w:r>
        <w:t>security bond</w:t>
      </w:r>
      <w:r>
        <w:tab/>
        <w:t>3, 29(1A)</w:t>
      </w:r>
    </w:p>
    <w:p>
      <w:pPr>
        <w:pStyle w:val="DefinedTerms"/>
      </w:pPr>
      <w:r>
        <w:t>security bond held in an AFI</w:t>
      </w:r>
      <w:r>
        <w:tab/>
        <w:t>92</w:t>
      </w:r>
    </w:p>
    <w:p>
      <w:pPr>
        <w:pStyle w:val="DefinedTerms"/>
      </w:pPr>
      <w:r>
        <w:t>social housing premises</w:t>
      </w:r>
      <w:r>
        <w:tab/>
        <w:t>3, 71A</w:t>
      </w:r>
    </w:p>
    <w:p>
      <w:pPr>
        <w:pStyle w:val="DefinedTerms"/>
      </w:pPr>
      <w:r>
        <w:t>social housing provider</w:t>
      </w:r>
      <w:r>
        <w:tab/>
        <w:t>3, 71A</w:t>
      </w:r>
    </w:p>
    <w:p>
      <w:pPr>
        <w:pStyle w:val="DefinedTerms"/>
      </w:pPr>
      <w:r>
        <w:t>social housing tenancy agreement</w:t>
      </w:r>
      <w:r>
        <w:tab/>
        <w:t>3, 71A</w:t>
      </w:r>
    </w:p>
    <w:p>
      <w:pPr>
        <w:pStyle w:val="DefinedTerms"/>
      </w:pPr>
      <w:r>
        <w:t>specified date</w:t>
      </w:r>
      <w:r>
        <w:tab/>
        <w:t>81A(1)</w:t>
      </w:r>
    </w:p>
    <w:p>
      <w:pPr>
        <w:pStyle w:val="DefinedTerms"/>
      </w:pPr>
      <w:r>
        <w:t>suitable repairer</w:t>
      </w:r>
      <w:r>
        <w:tab/>
        <w:t>43(1)</w:t>
      </w:r>
    </w:p>
    <w:p>
      <w:pPr>
        <w:pStyle w:val="DefinedTerms"/>
      </w:pPr>
      <w:r>
        <w:t>tenancy</w:t>
      </w:r>
      <w:r>
        <w:tab/>
        <w:t>3</w:t>
      </w:r>
    </w:p>
    <w:p>
      <w:pPr>
        <w:pStyle w:val="DefinedTerms"/>
      </w:pPr>
      <w:r>
        <w:t>tenant</w:t>
      </w:r>
      <w:r>
        <w:tab/>
        <w:t>3, 82A</w:t>
      </w:r>
    </w:p>
    <w:p>
      <w:pPr>
        <w:pStyle w:val="DefinedTerms"/>
      </w:pPr>
      <w:r>
        <w:t>tenant compensation bond</w:t>
      </w:r>
      <w:r>
        <w:tab/>
        <w:t>3</w:t>
      </w:r>
    </w:p>
    <w:p>
      <w:pPr>
        <w:pStyle w:val="DefinedTerms"/>
      </w:pPr>
      <w:r>
        <w:t>tenant compensation order</w:t>
      </w:r>
      <w:r>
        <w:tab/>
        <w:t>59D(1)</w:t>
      </w:r>
    </w:p>
    <w:p>
      <w:pPr>
        <w:pStyle w:val="DefinedTerms"/>
      </w:pPr>
      <w:r>
        <w:t>tenant’s document</w:t>
      </w:r>
      <w:r>
        <w:tab/>
        <w:t>80A(1)</w:t>
      </w:r>
    </w:p>
    <w:p>
      <w:pPr>
        <w:pStyle w:val="DefinedTerms"/>
      </w:pPr>
      <w:r>
        <w:t>urgent repairs</w:t>
      </w:r>
      <w:r>
        <w:tab/>
        <w:t>43(1)</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6E606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912F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34"/>
  </w:num>
  <w:num w:numId="26">
    <w:abstractNumId w:val="13"/>
  </w:num>
  <w:num w:numId="27">
    <w:abstractNumId w:val="14"/>
  </w:num>
  <w:num w:numId="28">
    <w:abstractNumId w:val="33"/>
  </w:num>
  <w:num w:numId="2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40933"/>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1D5FA7-222E-430A-BFFD-AD4F9015D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143</Pages>
  <Words>37665</Words>
  <Characters>176653</Characters>
  <Application>Microsoft Office Word</Application>
  <DocSecurity>0</DocSecurity>
  <Lines>4648</Lines>
  <Paragraphs>2551</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211767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1987 - 05-c0-00</dc:title>
  <dc:subject/>
  <dc:creator/>
  <cp:keywords/>
  <dc:description/>
  <cp:lastModifiedBy>svcMRProcess</cp:lastModifiedBy>
  <cp:revision>4</cp:revision>
  <cp:lastPrinted>2013-07-23T23:41:00Z</cp:lastPrinted>
  <dcterms:created xsi:type="dcterms:W3CDTF">2018-09-07T23:03:00Z</dcterms:created>
  <dcterms:modified xsi:type="dcterms:W3CDTF">2018-09-07T23:03:00Z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693</vt:i4>
  </property>
  <property fmtid="{D5CDD505-2E9C-101B-9397-08002B2CF9AE}" pid="6" name="AsAtDate">
    <vt:lpwstr>02 Jul 2014</vt:lpwstr>
  </property>
  <property fmtid="{D5CDD505-2E9C-101B-9397-08002B2CF9AE}" pid="7" name="Suffix">
    <vt:lpwstr>05-c0-00</vt:lpwstr>
  </property>
  <property fmtid="{D5CDD505-2E9C-101B-9397-08002B2CF9AE}" pid="8" name="ReprintNo">
    <vt:lpwstr>5</vt:lpwstr>
  </property>
  <property fmtid="{D5CDD505-2E9C-101B-9397-08002B2CF9AE}" pid="9" name="ReprintedAsAt">
    <vt:filetime>2013-07-18T16:00:00Z</vt:filetime>
  </property>
</Properties>
</file>