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Vocational Education and Training Act 1996</w:t>
      </w:r>
    </w:p>
    <w:p>
      <w:pPr>
        <w:pStyle w:val="NameofActRegPage1"/>
        <w:spacing w:before="3760" w:after="4200"/>
        <w:ind w:left="397" w:right="39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Vocational Education and Training (General) Regulations 2009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March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_Toc393111325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_Toc393111326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_Toc393111327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Approved VET courses (Act s. 5(1))</w:t>
      </w:r>
      <w:r>
        <w:tab/>
      </w:r>
      <w:r>
        <w:fldChar w:fldCharType="begin"/>
      </w:r>
      <w:r>
        <w:instrText xml:space="preserve"> PAGEREF _Toc393111329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laws (Act s. 5(1))</w:t>
      </w:r>
      <w:r>
        <w:tab/>
      </w:r>
      <w:r>
        <w:fldChar w:fldCharType="begin"/>
      </w:r>
      <w:r>
        <w:instrText xml:space="preserve"> PAGEREF _Toc393111330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VET qualifications (Act s. 5(1))</w:t>
      </w:r>
      <w:r>
        <w:tab/>
      </w:r>
      <w:r>
        <w:fldChar w:fldCharType="begin"/>
      </w:r>
      <w:r>
        <w:instrText xml:space="preserve"> PAGEREF _Toc393111331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Regulations for Part 7A of the Act</w:t>
      </w:r>
    </w:p>
    <w:p>
      <w:pPr>
        <w:pStyle w:val="TOC4"/>
        <w:tabs>
          <w:tab w:val="right" w:leader="dot" w:pos="7086"/>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_Toc393111334 \h </w:instrText>
      </w:r>
      <w:r>
        <w:fldChar w:fldCharType="separate"/>
      </w:r>
      <w:r>
        <w:t>5</w:t>
      </w:r>
      <w:r>
        <w:fldChar w:fldCharType="end"/>
      </w:r>
    </w:p>
    <w:p>
      <w:pPr>
        <w:pStyle w:val="TOC8"/>
        <w:rPr>
          <w:rFonts w:asciiTheme="minorHAnsi" w:eastAsiaTheme="minorEastAsia" w:hAnsiTheme="minorHAnsi" w:cstheme="minorBidi"/>
          <w:szCs w:val="22"/>
        </w:rPr>
      </w:pPr>
      <w:r>
        <w:t>8.</w:t>
      </w:r>
      <w:r>
        <w:tab/>
        <w:t>Council to have regard to Standards for VET Regulators</w:t>
      </w:r>
      <w:r>
        <w:tab/>
      </w:r>
      <w:r>
        <w:fldChar w:fldCharType="begin"/>
      </w:r>
      <w:r>
        <w:instrText xml:space="preserve"> PAGEREF _Toc393111335 \h </w:instrText>
      </w:r>
      <w:r>
        <w:fldChar w:fldCharType="separate"/>
      </w:r>
      <w:r>
        <w:t>6</w:t>
      </w:r>
      <w:r>
        <w:fldChar w:fldCharType="end"/>
      </w:r>
    </w:p>
    <w:p>
      <w:pPr>
        <w:pStyle w:val="TOC8"/>
        <w:rPr>
          <w:rFonts w:asciiTheme="minorHAnsi" w:eastAsiaTheme="minorEastAsia" w:hAnsiTheme="minorHAnsi" w:cstheme="minorBidi"/>
          <w:szCs w:val="22"/>
        </w:rPr>
      </w:pPr>
      <w:r>
        <w:t>9.</w:t>
      </w:r>
      <w:r>
        <w:tab/>
        <w:t>Register</w:t>
      </w:r>
      <w:r>
        <w:tab/>
      </w:r>
      <w:r>
        <w:fldChar w:fldCharType="begin"/>
      </w:r>
      <w:r>
        <w:instrText xml:space="preserve"> PAGEREF _Toc393111336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 — Registration of training providers</w:t>
      </w:r>
    </w:p>
    <w:p>
      <w:pPr>
        <w:pStyle w:val="TOC8"/>
        <w:rPr>
          <w:rFonts w:asciiTheme="minorHAnsi" w:eastAsiaTheme="minorEastAsia" w:hAnsiTheme="minorHAnsi" w:cstheme="minorBidi"/>
          <w:szCs w:val="22"/>
        </w:rPr>
      </w:pPr>
      <w:r>
        <w:t>10.</w:t>
      </w:r>
      <w:r>
        <w:tab/>
        <w:t>Applying to be registered training provider</w:t>
      </w:r>
      <w:r>
        <w:tab/>
      </w:r>
      <w:r>
        <w:fldChar w:fldCharType="begin"/>
      </w:r>
      <w:r>
        <w:instrText xml:space="preserve"> PAGEREF _Toc393111338 \h </w:instrText>
      </w:r>
      <w:r>
        <w:fldChar w:fldCharType="separate"/>
      </w:r>
      <w:r>
        <w:t>8</w:t>
      </w:r>
      <w:r>
        <w:fldChar w:fldCharType="end"/>
      </w:r>
    </w:p>
    <w:p>
      <w:pPr>
        <w:pStyle w:val="TOC8"/>
        <w:rPr>
          <w:rFonts w:asciiTheme="minorHAnsi" w:eastAsiaTheme="minorEastAsia" w:hAnsiTheme="minorHAnsi" w:cstheme="minorBidi"/>
          <w:szCs w:val="22"/>
        </w:rPr>
      </w:pPr>
      <w:r>
        <w:t>11.</w:t>
      </w:r>
      <w:r>
        <w:tab/>
        <w:t>Dealing with applications</w:t>
      </w:r>
      <w:r>
        <w:tab/>
      </w:r>
      <w:r>
        <w:fldChar w:fldCharType="begin"/>
      </w:r>
      <w:r>
        <w:instrText xml:space="preserve"> PAGEREF _Toc393111339 \h </w:instrText>
      </w:r>
      <w:r>
        <w:fldChar w:fldCharType="separate"/>
      </w:r>
      <w:r>
        <w:t>9</w:t>
      </w:r>
      <w:r>
        <w:fldChar w:fldCharType="end"/>
      </w:r>
    </w:p>
    <w:p>
      <w:pPr>
        <w:pStyle w:val="TOC8"/>
        <w:rPr>
          <w:rFonts w:asciiTheme="minorHAnsi" w:eastAsiaTheme="minorEastAsia" w:hAnsiTheme="minorHAnsi" w:cstheme="minorBidi"/>
          <w:szCs w:val="22"/>
        </w:rPr>
      </w:pPr>
      <w:r>
        <w:t>12.</w:t>
      </w:r>
      <w:r>
        <w:tab/>
        <w:t>Registering training providers</w:t>
      </w:r>
      <w:r>
        <w:tab/>
      </w:r>
      <w:r>
        <w:fldChar w:fldCharType="begin"/>
      </w:r>
      <w:r>
        <w:instrText xml:space="preserve"> PAGEREF _Toc393111340 \h </w:instrText>
      </w:r>
      <w:r>
        <w:fldChar w:fldCharType="separate"/>
      </w:r>
      <w:r>
        <w:t>9</w:t>
      </w:r>
      <w:r>
        <w:fldChar w:fldCharType="end"/>
      </w:r>
    </w:p>
    <w:p>
      <w:pPr>
        <w:pStyle w:val="TOC8"/>
        <w:rPr>
          <w:rFonts w:asciiTheme="minorHAnsi" w:eastAsiaTheme="minorEastAsia" w:hAnsiTheme="minorHAnsi" w:cstheme="minorBidi"/>
          <w:szCs w:val="22"/>
        </w:rPr>
      </w:pPr>
      <w:r>
        <w:t>13.</w:t>
      </w:r>
      <w:r>
        <w:tab/>
        <w:t>Conditions of registration</w:t>
      </w:r>
      <w:r>
        <w:tab/>
      </w:r>
      <w:r>
        <w:fldChar w:fldCharType="begin"/>
      </w:r>
      <w:r>
        <w:instrText xml:space="preserve"> PAGEREF _Toc393111341 \h </w:instrText>
      </w:r>
      <w:r>
        <w:fldChar w:fldCharType="separate"/>
      </w:r>
      <w:r>
        <w:t>11</w:t>
      </w:r>
      <w:r>
        <w:fldChar w:fldCharType="end"/>
      </w:r>
    </w:p>
    <w:p>
      <w:pPr>
        <w:pStyle w:val="TOC8"/>
        <w:rPr>
          <w:rFonts w:asciiTheme="minorHAnsi" w:eastAsiaTheme="minorEastAsia" w:hAnsiTheme="minorHAnsi" w:cstheme="minorBidi"/>
          <w:szCs w:val="22"/>
        </w:rPr>
      </w:pPr>
      <w:r>
        <w:t>14.</w:t>
      </w:r>
      <w:r>
        <w:tab/>
        <w:t>Period of registration</w:t>
      </w:r>
      <w:r>
        <w:tab/>
      </w:r>
      <w:r>
        <w:fldChar w:fldCharType="begin"/>
      </w:r>
      <w:r>
        <w:instrText xml:space="preserve"> PAGEREF _Toc393111342 \h </w:instrText>
      </w:r>
      <w:r>
        <w:fldChar w:fldCharType="separate"/>
      </w:r>
      <w:r>
        <w:t>13</w:t>
      </w:r>
      <w:r>
        <w:fldChar w:fldCharType="end"/>
      </w:r>
    </w:p>
    <w:p>
      <w:pPr>
        <w:pStyle w:val="TOC8"/>
        <w:rPr>
          <w:rFonts w:asciiTheme="minorHAnsi" w:eastAsiaTheme="minorEastAsia" w:hAnsiTheme="minorHAnsi" w:cstheme="minorBidi"/>
          <w:szCs w:val="22"/>
        </w:rPr>
      </w:pPr>
      <w:r>
        <w:t>15.</w:t>
      </w:r>
      <w:r>
        <w:tab/>
        <w:t>Annual fees payable by registered training providers</w:t>
      </w:r>
      <w:r>
        <w:tab/>
      </w:r>
      <w:r>
        <w:fldChar w:fldCharType="begin"/>
      </w:r>
      <w:r>
        <w:instrText xml:space="preserve"> PAGEREF _Toc393111343 \h </w:instrText>
      </w:r>
      <w:r>
        <w:fldChar w:fldCharType="separate"/>
      </w:r>
      <w:r>
        <w:t>13</w:t>
      </w:r>
      <w:r>
        <w:fldChar w:fldCharType="end"/>
      </w:r>
    </w:p>
    <w:p>
      <w:pPr>
        <w:pStyle w:val="TOC8"/>
        <w:rPr>
          <w:rFonts w:asciiTheme="minorHAnsi" w:eastAsiaTheme="minorEastAsia" w:hAnsiTheme="minorHAnsi" w:cstheme="minorBidi"/>
          <w:szCs w:val="22"/>
        </w:rPr>
      </w:pPr>
      <w:r>
        <w:t>16.</w:t>
      </w:r>
      <w:r>
        <w:tab/>
        <w:t>Renewal of registration</w:t>
      </w:r>
      <w:r>
        <w:tab/>
      </w:r>
      <w:r>
        <w:fldChar w:fldCharType="begin"/>
      </w:r>
      <w:r>
        <w:instrText xml:space="preserve"> PAGEREF _Toc393111344 \h </w:instrText>
      </w:r>
      <w:r>
        <w:fldChar w:fldCharType="separate"/>
      </w:r>
      <w:r>
        <w:t>13</w:t>
      </w:r>
      <w:r>
        <w:fldChar w:fldCharType="end"/>
      </w:r>
    </w:p>
    <w:p>
      <w:pPr>
        <w:pStyle w:val="TOC8"/>
        <w:rPr>
          <w:rFonts w:asciiTheme="minorHAnsi" w:eastAsiaTheme="minorEastAsia" w:hAnsiTheme="minorHAnsi" w:cstheme="minorBidi"/>
          <w:szCs w:val="22"/>
        </w:rPr>
      </w:pPr>
      <w:r>
        <w:t>17.</w:t>
      </w:r>
      <w:r>
        <w:tab/>
        <w:t>Varying registrations</w:t>
      </w:r>
      <w:r>
        <w:tab/>
      </w:r>
      <w:r>
        <w:fldChar w:fldCharType="begin"/>
      </w:r>
      <w:r>
        <w:instrText xml:space="preserve"> PAGEREF _Toc393111345 \h </w:instrText>
      </w:r>
      <w:r>
        <w:fldChar w:fldCharType="separate"/>
      </w:r>
      <w:r>
        <w:t>14</w:t>
      </w:r>
      <w:r>
        <w:fldChar w:fldCharType="end"/>
      </w:r>
    </w:p>
    <w:p>
      <w:pPr>
        <w:pStyle w:val="TOC8"/>
        <w:rPr>
          <w:rFonts w:asciiTheme="minorHAnsi" w:eastAsiaTheme="minorEastAsia" w:hAnsiTheme="minorHAnsi" w:cstheme="minorBidi"/>
          <w:szCs w:val="22"/>
        </w:rPr>
      </w:pPr>
      <w:r>
        <w:t>18.</w:t>
      </w:r>
      <w:r>
        <w:tab/>
        <w:t>Cancelling registration if provider’s operations change</w:t>
      </w:r>
      <w:r>
        <w:tab/>
      </w:r>
      <w:r>
        <w:fldChar w:fldCharType="begin"/>
      </w:r>
      <w:r>
        <w:instrText xml:space="preserve"> PAGEREF _Toc393111346 \h </w:instrText>
      </w:r>
      <w:r>
        <w:fldChar w:fldCharType="separate"/>
      </w:r>
      <w:r>
        <w:t>16</w:t>
      </w:r>
      <w:r>
        <w:fldChar w:fldCharType="end"/>
      </w:r>
    </w:p>
    <w:p>
      <w:pPr>
        <w:pStyle w:val="TOC8"/>
        <w:rPr>
          <w:rFonts w:asciiTheme="minorHAnsi" w:eastAsiaTheme="minorEastAsia" w:hAnsiTheme="minorHAnsi" w:cstheme="minorBidi"/>
          <w:szCs w:val="22"/>
        </w:rPr>
      </w:pPr>
      <w:r>
        <w:t>19.</w:t>
      </w:r>
      <w:r>
        <w:tab/>
        <w:t>Suspending or cancelling registration</w:t>
      </w:r>
      <w:r>
        <w:tab/>
      </w:r>
      <w:r>
        <w:fldChar w:fldCharType="begin"/>
      </w:r>
      <w:r>
        <w:instrText xml:space="preserve"> PAGEREF _Toc393111347 \h </w:instrText>
      </w:r>
      <w:r>
        <w:fldChar w:fldCharType="separate"/>
      </w:r>
      <w:r>
        <w:t>16</w:t>
      </w:r>
      <w:r>
        <w:fldChar w:fldCharType="end"/>
      </w:r>
    </w:p>
    <w:p>
      <w:pPr>
        <w:pStyle w:val="TOC8"/>
        <w:rPr>
          <w:rFonts w:asciiTheme="minorHAnsi" w:eastAsiaTheme="minorEastAsia" w:hAnsiTheme="minorHAnsi" w:cstheme="minorBidi"/>
          <w:szCs w:val="22"/>
        </w:rPr>
      </w:pPr>
      <w:r>
        <w:t>20.</w:t>
      </w:r>
      <w:r>
        <w:tab/>
        <w:t>Suspension of WA registered provider may be on terms</w:t>
      </w:r>
      <w:r>
        <w:tab/>
      </w:r>
      <w:r>
        <w:fldChar w:fldCharType="begin"/>
      </w:r>
      <w:r>
        <w:instrText xml:space="preserve"> PAGEREF _Toc393111348 \h </w:instrText>
      </w:r>
      <w:r>
        <w:fldChar w:fldCharType="separate"/>
      </w:r>
      <w:r>
        <w:t>18</w:t>
      </w:r>
      <w:r>
        <w:fldChar w:fldCharType="end"/>
      </w:r>
    </w:p>
    <w:p>
      <w:pPr>
        <w:pStyle w:val="TOC8"/>
        <w:rPr>
          <w:rFonts w:asciiTheme="minorHAnsi" w:eastAsiaTheme="minorEastAsia" w:hAnsiTheme="minorHAnsi" w:cstheme="minorBidi"/>
          <w:szCs w:val="22"/>
        </w:rPr>
      </w:pPr>
      <w:r>
        <w:t>21.</w:t>
      </w:r>
      <w:r>
        <w:tab/>
        <w:t>Effect of suspension of WA registered provider</w:t>
      </w:r>
      <w:r>
        <w:tab/>
      </w:r>
      <w:r>
        <w:fldChar w:fldCharType="begin"/>
      </w:r>
      <w:r>
        <w:instrText xml:space="preserve"> PAGEREF _Toc393111349 \h </w:instrText>
      </w:r>
      <w:r>
        <w:fldChar w:fldCharType="separate"/>
      </w:r>
      <w:r>
        <w:t>18</w:t>
      </w:r>
      <w:r>
        <w:fldChar w:fldCharType="end"/>
      </w:r>
    </w:p>
    <w:p>
      <w:pPr>
        <w:pStyle w:val="TOC8"/>
        <w:rPr>
          <w:rFonts w:asciiTheme="minorHAnsi" w:eastAsiaTheme="minorEastAsia" w:hAnsiTheme="minorHAnsi" w:cstheme="minorBidi"/>
          <w:szCs w:val="22"/>
        </w:rPr>
      </w:pPr>
      <w:r>
        <w:t>22.</w:t>
      </w:r>
      <w:r>
        <w:tab/>
        <w:t>Requests for reassessment of decision to suspend WA registered provider</w:t>
      </w:r>
      <w:r>
        <w:tab/>
      </w:r>
      <w:r>
        <w:fldChar w:fldCharType="begin"/>
      </w:r>
      <w:r>
        <w:instrText xml:space="preserve"> PAGEREF _Toc393111350 \h </w:instrText>
      </w:r>
      <w:r>
        <w:fldChar w:fldCharType="separate"/>
      </w:r>
      <w:r>
        <w:t>19</w:t>
      </w:r>
      <w:r>
        <w:fldChar w:fldCharType="end"/>
      </w:r>
    </w:p>
    <w:p>
      <w:pPr>
        <w:pStyle w:val="TOC8"/>
        <w:rPr>
          <w:rFonts w:asciiTheme="minorHAnsi" w:eastAsiaTheme="minorEastAsia" w:hAnsiTheme="minorHAnsi" w:cstheme="minorBidi"/>
          <w:szCs w:val="22"/>
        </w:rPr>
      </w:pPr>
      <w:r>
        <w:t>23.</w:t>
      </w:r>
      <w:r>
        <w:tab/>
        <w:t>Fees</w:t>
      </w:r>
      <w:r>
        <w:tab/>
      </w:r>
      <w:r>
        <w:fldChar w:fldCharType="begin"/>
      </w:r>
      <w:r>
        <w:instrText xml:space="preserve"> PAGEREF _Toc393111351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 — Audits of, and investigations into, training providers</w:t>
      </w:r>
    </w:p>
    <w:p>
      <w:pPr>
        <w:pStyle w:val="TOC8"/>
        <w:rPr>
          <w:rFonts w:asciiTheme="minorHAnsi" w:eastAsiaTheme="minorEastAsia" w:hAnsiTheme="minorHAnsi" w:cstheme="minorBidi"/>
          <w:szCs w:val="22"/>
        </w:rPr>
      </w:pPr>
      <w:r>
        <w:t>24.</w:t>
      </w:r>
      <w:r>
        <w:tab/>
        <w:t>Terms used</w:t>
      </w:r>
      <w:r>
        <w:tab/>
      </w:r>
      <w:r>
        <w:fldChar w:fldCharType="begin"/>
      </w:r>
      <w:r>
        <w:instrText xml:space="preserve"> PAGEREF _Toc393111353 \h </w:instrText>
      </w:r>
      <w:r>
        <w:fldChar w:fldCharType="separate"/>
      </w:r>
      <w:r>
        <w:t>20</w:t>
      </w:r>
      <w:r>
        <w:fldChar w:fldCharType="end"/>
      </w:r>
    </w:p>
    <w:p>
      <w:pPr>
        <w:pStyle w:val="TOC8"/>
        <w:rPr>
          <w:rFonts w:asciiTheme="minorHAnsi" w:eastAsiaTheme="minorEastAsia" w:hAnsiTheme="minorHAnsi" w:cstheme="minorBidi"/>
          <w:szCs w:val="22"/>
        </w:rPr>
      </w:pPr>
      <w:r>
        <w:t>25.</w:t>
      </w:r>
      <w:r>
        <w:tab/>
        <w:t>Compliance audits</w:t>
      </w:r>
      <w:r>
        <w:tab/>
      </w:r>
      <w:r>
        <w:fldChar w:fldCharType="begin"/>
      </w:r>
      <w:r>
        <w:instrText xml:space="preserve"> PAGEREF _Toc393111354 \h </w:instrText>
      </w:r>
      <w:r>
        <w:fldChar w:fldCharType="separate"/>
      </w:r>
      <w:r>
        <w:t>21</w:t>
      </w:r>
      <w:r>
        <w:fldChar w:fldCharType="end"/>
      </w:r>
    </w:p>
    <w:p>
      <w:pPr>
        <w:pStyle w:val="TOC8"/>
        <w:rPr>
          <w:rFonts w:asciiTheme="minorHAnsi" w:eastAsiaTheme="minorEastAsia" w:hAnsiTheme="minorHAnsi" w:cstheme="minorBidi"/>
          <w:szCs w:val="22"/>
        </w:rPr>
      </w:pPr>
      <w:r>
        <w:t>26A.</w:t>
      </w:r>
      <w:r>
        <w:tab/>
        <w:t>Compliance monitoring audits</w:t>
      </w:r>
      <w:r>
        <w:tab/>
      </w:r>
      <w:r>
        <w:fldChar w:fldCharType="begin"/>
      </w:r>
      <w:r>
        <w:instrText xml:space="preserve"> PAGEREF _Toc393111355 \h </w:instrText>
      </w:r>
      <w:r>
        <w:fldChar w:fldCharType="separate"/>
      </w:r>
      <w:r>
        <w:t>21</w:t>
      </w:r>
      <w:r>
        <w:fldChar w:fldCharType="end"/>
      </w:r>
    </w:p>
    <w:p>
      <w:pPr>
        <w:pStyle w:val="TOC8"/>
        <w:rPr>
          <w:rFonts w:asciiTheme="minorHAnsi" w:eastAsiaTheme="minorEastAsia" w:hAnsiTheme="minorHAnsi" w:cstheme="minorBidi"/>
          <w:szCs w:val="22"/>
        </w:rPr>
      </w:pPr>
      <w:r>
        <w:t>26B.</w:t>
      </w:r>
      <w:r>
        <w:tab/>
        <w:t>Investigations of complaints</w:t>
      </w:r>
      <w:r>
        <w:tab/>
      </w:r>
      <w:r>
        <w:fldChar w:fldCharType="begin"/>
      </w:r>
      <w:r>
        <w:instrText xml:space="preserve"> PAGEREF _Toc393111356 \h </w:instrText>
      </w:r>
      <w:r>
        <w:fldChar w:fldCharType="separate"/>
      </w:r>
      <w:r>
        <w:t>22</w:t>
      </w:r>
      <w:r>
        <w:fldChar w:fldCharType="end"/>
      </w:r>
    </w:p>
    <w:p>
      <w:pPr>
        <w:pStyle w:val="TOC8"/>
        <w:rPr>
          <w:rFonts w:asciiTheme="minorHAnsi" w:eastAsiaTheme="minorEastAsia" w:hAnsiTheme="minorHAnsi" w:cstheme="minorBidi"/>
          <w:szCs w:val="22"/>
        </w:rPr>
      </w:pPr>
      <w:r>
        <w:t>26C.</w:t>
      </w:r>
      <w:r>
        <w:tab/>
        <w:t>Circumstances in which a charge may be waived in whole or in part</w:t>
      </w:r>
      <w:r>
        <w:tab/>
      </w:r>
      <w:r>
        <w:fldChar w:fldCharType="begin"/>
      </w:r>
      <w:r>
        <w:instrText xml:space="preserve"> PAGEREF _Toc393111357 \h </w:instrText>
      </w:r>
      <w:r>
        <w:fldChar w:fldCharType="separate"/>
      </w:r>
      <w:r>
        <w:t>23</w:t>
      </w:r>
      <w:r>
        <w:fldChar w:fldCharType="end"/>
      </w:r>
    </w:p>
    <w:p>
      <w:pPr>
        <w:pStyle w:val="TOC8"/>
        <w:rPr>
          <w:rFonts w:asciiTheme="minorHAnsi" w:eastAsiaTheme="minorEastAsia" w:hAnsiTheme="minorHAnsi" w:cstheme="minorBidi"/>
          <w:szCs w:val="22"/>
        </w:rPr>
      </w:pPr>
      <w:r>
        <w:t>26D.</w:t>
      </w:r>
      <w:r>
        <w:tab/>
        <w:t>Rounding</w:t>
      </w:r>
      <w:r>
        <w:tab/>
      </w:r>
      <w:r>
        <w:fldChar w:fldCharType="begin"/>
      </w:r>
      <w:r>
        <w:instrText xml:space="preserve"> PAGEREF _Toc393111358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4 — Obligations of registered training providers and of the Council</w:t>
      </w:r>
    </w:p>
    <w:p>
      <w:pPr>
        <w:pStyle w:val="TOC8"/>
        <w:rPr>
          <w:rFonts w:asciiTheme="minorHAnsi" w:eastAsiaTheme="minorEastAsia" w:hAnsiTheme="minorHAnsi" w:cstheme="minorBidi"/>
          <w:szCs w:val="22"/>
        </w:rPr>
      </w:pPr>
      <w:r>
        <w:t>26.</w:t>
      </w:r>
      <w:r>
        <w:tab/>
        <w:t>Reporting to Council</w:t>
      </w:r>
      <w:r>
        <w:tab/>
      </w:r>
      <w:r>
        <w:fldChar w:fldCharType="begin"/>
      </w:r>
      <w:r>
        <w:instrText xml:space="preserve"> PAGEREF _Toc393111360 \h </w:instrText>
      </w:r>
      <w:r>
        <w:fldChar w:fldCharType="separate"/>
      </w:r>
      <w:r>
        <w:t>25</w:t>
      </w:r>
      <w:r>
        <w:fldChar w:fldCharType="end"/>
      </w:r>
    </w:p>
    <w:p>
      <w:pPr>
        <w:pStyle w:val="TOC8"/>
        <w:rPr>
          <w:rFonts w:asciiTheme="minorHAnsi" w:eastAsiaTheme="minorEastAsia" w:hAnsiTheme="minorHAnsi" w:cstheme="minorBidi"/>
          <w:szCs w:val="22"/>
        </w:rPr>
      </w:pPr>
      <w:r>
        <w:t>27.</w:t>
      </w:r>
      <w:r>
        <w:tab/>
        <w:t>Giving Council information on ceasing operations</w:t>
      </w:r>
      <w:r>
        <w:tab/>
      </w:r>
      <w:r>
        <w:fldChar w:fldCharType="begin"/>
      </w:r>
      <w:r>
        <w:instrText xml:space="preserve"> PAGEREF _Toc393111361 \h </w:instrText>
      </w:r>
      <w:r>
        <w:fldChar w:fldCharType="separate"/>
      </w:r>
      <w:r>
        <w:t>26</w:t>
      </w:r>
      <w:r>
        <w:fldChar w:fldCharType="end"/>
      </w:r>
    </w:p>
    <w:p>
      <w:pPr>
        <w:pStyle w:val="TOC8"/>
        <w:rPr>
          <w:rFonts w:asciiTheme="minorHAnsi" w:eastAsiaTheme="minorEastAsia" w:hAnsiTheme="minorHAnsi" w:cstheme="minorBidi"/>
          <w:szCs w:val="22"/>
        </w:rPr>
      </w:pPr>
      <w:r>
        <w:t>28A.</w:t>
      </w:r>
      <w:r>
        <w:tab/>
        <w:t>Person may obtain from Council certified copies of information</w:t>
      </w:r>
      <w:r>
        <w:tab/>
      </w:r>
      <w:r>
        <w:fldChar w:fldCharType="begin"/>
      </w:r>
      <w:r>
        <w:instrText xml:space="preserve"> PAGEREF _Toc393111362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5 — Accreditation of VET courses</w:t>
      </w:r>
    </w:p>
    <w:p>
      <w:pPr>
        <w:pStyle w:val="TOC8"/>
        <w:rPr>
          <w:rFonts w:asciiTheme="minorHAnsi" w:eastAsiaTheme="minorEastAsia" w:hAnsiTheme="minorHAnsi" w:cstheme="minorBidi"/>
          <w:szCs w:val="22"/>
        </w:rPr>
      </w:pPr>
      <w:r>
        <w:t>28.</w:t>
      </w:r>
      <w:r>
        <w:tab/>
        <w:t>Applying to have VET course accredited</w:t>
      </w:r>
      <w:r>
        <w:tab/>
      </w:r>
      <w:r>
        <w:fldChar w:fldCharType="begin"/>
      </w:r>
      <w:r>
        <w:instrText xml:space="preserve"> PAGEREF _Toc393111364 \h </w:instrText>
      </w:r>
      <w:r>
        <w:fldChar w:fldCharType="separate"/>
      </w:r>
      <w:r>
        <w:t>27</w:t>
      </w:r>
      <w:r>
        <w:fldChar w:fldCharType="end"/>
      </w:r>
    </w:p>
    <w:p>
      <w:pPr>
        <w:pStyle w:val="TOC8"/>
        <w:rPr>
          <w:rFonts w:asciiTheme="minorHAnsi" w:eastAsiaTheme="minorEastAsia" w:hAnsiTheme="minorHAnsi" w:cstheme="minorBidi"/>
          <w:szCs w:val="22"/>
        </w:rPr>
      </w:pPr>
      <w:r>
        <w:t>29.</w:t>
      </w:r>
      <w:r>
        <w:tab/>
        <w:t>Dealing with applications</w:t>
      </w:r>
      <w:r>
        <w:tab/>
      </w:r>
      <w:r>
        <w:fldChar w:fldCharType="begin"/>
      </w:r>
      <w:r>
        <w:instrText xml:space="preserve"> PAGEREF _Toc393111365 \h </w:instrText>
      </w:r>
      <w:r>
        <w:fldChar w:fldCharType="separate"/>
      </w:r>
      <w:r>
        <w:t>28</w:t>
      </w:r>
      <w:r>
        <w:fldChar w:fldCharType="end"/>
      </w:r>
    </w:p>
    <w:p>
      <w:pPr>
        <w:pStyle w:val="TOC8"/>
        <w:rPr>
          <w:rFonts w:asciiTheme="minorHAnsi" w:eastAsiaTheme="minorEastAsia" w:hAnsiTheme="minorHAnsi" w:cstheme="minorBidi"/>
          <w:szCs w:val="22"/>
        </w:rPr>
      </w:pPr>
      <w:r>
        <w:t>30.</w:t>
      </w:r>
      <w:r>
        <w:tab/>
        <w:t>Accrediting VET courses</w:t>
      </w:r>
      <w:r>
        <w:tab/>
      </w:r>
      <w:r>
        <w:fldChar w:fldCharType="begin"/>
      </w:r>
      <w:r>
        <w:instrText xml:space="preserve"> PAGEREF _Toc393111366 \h </w:instrText>
      </w:r>
      <w:r>
        <w:fldChar w:fldCharType="separate"/>
      </w:r>
      <w:r>
        <w:t>28</w:t>
      </w:r>
      <w:r>
        <w:fldChar w:fldCharType="end"/>
      </w:r>
    </w:p>
    <w:p>
      <w:pPr>
        <w:pStyle w:val="TOC8"/>
        <w:rPr>
          <w:rFonts w:asciiTheme="minorHAnsi" w:eastAsiaTheme="minorEastAsia" w:hAnsiTheme="minorHAnsi" w:cstheme="minorBidi"/>
          <w:szCs w:val="22"/>
        </w:rPr>
      </w:pPr>
      <w:r>
        <w:t>31.</w:t>
      </w:r>
      <w:r>
        <w:tab/>
        <w:t>Period of accreditation</w:t>
      </w:r>
      <w:r>
        <w:tab/>
      </w:r>
      <w:r>
        <w:fldChar w:fldCharType="begin"/>
      </w:r>
      <w:r>
        <w:instrText xml:space="preserve"> PAGEREF _Toc393111367 \h </w:instrText>
      </w:r>
      <w:r>
        <w:fldChar w:fldCharType="separate"/>
      </w:r>
      <w:r>
        <w:t>29</w:t>
      </w:r>
      <w:r>
        <w:fldChar w:fldCharType="end"/>
      </w:r>
    </w:p>
    <w:p>
      <w:pPr>
        <w:pStyle w:val="TOC8"/>
        <w:rPr>
          <w:rFonts w:asciiTheme="minorHAnsi" w:eastAsiaTheme="minorEastAsia" w:hAnsiTheme="minorHAnsi" w:cstheme="minorBidi"/>
          <w:szCs w:val="22"/>
        </w:rPr>
      </w:pPr>
      <w:r>
        <w:t>32.</w:t>
      </w:r>
      <w:r>
        <w:tab/>
        <w:t>Renewing accreditation</w:t>
      </w:r>
      <w:r>
        <w:tab/>
      </w:r>
      <w:r>
        <w:fldChar w:fldCharType="begin"/>
      </w:r>
      <w:r>
        <w:instrText xml:space="preserve"> PAGEREF _Toc393111368 \h </w:instrText>
      </w:r>
      <w:r>
        <w:fldChar w:fldCharType="separate"/>
      </w:r>
      <w:r>
        <w:t>29</w:t>
      </w:r>
      <w:r>
        <w:fldChar w:fldCharType="end"/>
      </w:r>
    </w:p>
    <w:p>
      <w:pPr>
        <w:pStyle w:val="TOC8"/>
        <w:rPr>
          <w:rFonts w:asciiTheme="minorHAnsi" w:eastAsiaTheme="minorEastAsia" w:hAnsiTheme="minorHAnsi" w:cstheme="minorBidi"/>
          <w:szCs w:val="22"/>
        </w:rPr>
      </w:pPr>
      <w:r>
        <w:t>33A.</w:t>
      </w:r>
      <w:r>
        <w:tab/>
        <w:t>Varying accreditation</w:t>
      </w:r>
      <w:r>
        <w:tab/>
      </w:r>
      <w:r>
        <w:fldChar w:fldCharType="begin"/>
      </w:r>
      <w:r>
        <w:instrText xml:space="preserve"> PAGEREF _Toc393111369 \h </w:instrText>
      </w:r>
      <w:r>
        <w:fldChar w:fldCharType="separate"/>
      </w:r>
      <w:r>
        <w:t>30</w:t>
      </w:r>
      <w:r>
        <w:fldChar w:fldCharType="end"/>
      </w:r>
    </w:p>
    <w:p>
      <w:pPr>
        <w:pStyle w:val="TOC8"/>
        <w:rPr>
          <w:rFonts w:asciiTheme="minorHAnsi" w:eastAsiaTheme="minorEastAsia" w:hAnsiTheme="minorHAnsi" w:cstheme="minorBidi"/>
          <w:szCs w:val="22"/>
        </w:rPr>
      </w:pPr>
      <w:r>
        <w:t>33.</w:t>
      </w:r>
      <w:r>
        <w:tab/>
        <w:t>Cancelling accreditation</w:t>
      </w:r>
      <w:r>
        <w:tab/>
      </w:r>
      <w:r>
        <w:fldChar w:fldCharType="begin"/>
      </w:r>
      <w:r>
        <w:instrText xml:space="preserve"> PAGEREF _Toc393111370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4 — Regulations for Part 7 of the Act</w:t>
      </w:r>
    </w:p>
    <w:p>
      <w:pPr>
        <w:pStyle w:val="TOC4"/>
        <w:tabs>
          <w:tab w:val="right" w:leader="dot" w:pos="7086"/>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34.</w:t>
      </w:r>
      <w:r>
        <w:tab/>
        <w:t>Term used: nominated training provider</w:t>
      </w:r>
      <w:r>
        <w:tab/>
      </w:r>
      <w:r>
        <w:fldChar w:fldCharType="begin"/>
      </w:r>
      <w:r>
        <w:instrText xml:space="preserve"> PAGEREF _Toc393111373 \h </w:instrText>
      </w:r>
      <w:r>
        <w:fldChar w:fldCharType="separate"/>
      </w:r>
      <w:r>
        <w:t>32</w:t>
      </w:r>
      <w:r>
        <w:fldChar w:fldCharType="end"/>
      </w:r>
    </w:p>
    <w:p>
      <w:pPr>
        <w:pStyle w:val="TOC8"/>
        <w:rPr>
          <w:rFonts w:asciiTheme="minorHAnsi" w:eastAsiaTheme="minorEastAsia" w:hAnsiTheme="minorHAnsi" w:cstheme="minorBidi"/>
          <w:szCs w:val="22"/>
        </w:rPr>
      </w:pPr>
      <w:r>
        <w:t>35.</w:t>
      </w:r>
      <w:r>
        <w:tab/>
        <w:t>Chief executive may delegate</w:t>
      </w:r>
      <w:r>
        <w:tab/>
      </w:r>
      <w:r>
        <w:fldChar w:fldCharType="begin"/>
      </w:r>
      <w:r>
        <w:instrText xml:space="preserve"> PAGEREF _Toc393111374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2 — Classifying prescribed VET qualifications</w:t>
      </w:r>
    </w:p>
    <w:p>
      <w:pPr>
        <w:pStyle w:val="TOC8"/>
        <w:rPr>
          <w:rFonts w:asciiTheme="minorHAnsi" w:eastAsiaTheme="minorEastAsia" w:hAnsiTheme="minorHAnsi" w:cstheme="minorBidi"/>
          <w:szCs w:val="22"/>
        </w:rPr>
      </w:pPr>
      <w:r>
        <w:t>36.</w:t>
      </w:r>
      <w:r>
        <w:tab/>
        <w:t>Who Board must consult (Act s. 60C)</w:t>
      </w:r>
      <w:r>
        <w:tab/>
      </w:r>
      <w:r>
        <w:fldChar w:fldCharType="begin"/>
      </w:r>
      <w:r>
        <w:instrText xml:space="preserve"> PAGEREF _Toc393111376 \h </w:instrText>
      </w:r>
      <w:r>
        <w:fldChar w:fldCharType="separate"/>
      </w:r>
      <w:r>
        <w:t>33</w:t>
      </w:r>
      <w:r>
        <w:fldChar w:fldCharType="end"/>
      </w:r>
    </w:p>
    <w:p>
      <w:pPr>
        <w:pStyle w:val="TOC8"/>
        <w:rPr>
          <w:rFonts w:asciiTheme="minorHAnsi" w:eastAsiaTheme="minorEastAsia" w:hAnsiTheme="minorHAnsi" w:cstheme="minorBidi"/>
          <w:szCs w:val="22"/>
        </w:rPr>
      </w:pPr>
      <w:r>
        <w:t>37.</w:t>
      </w:r>
      <w:r>
        <w:tab/>
        <w:t>Board’s advice and recommendations to Minister (Act s. 60C)</w:t>
      </w:r>
      <w:r>
        <w:tab/>
      </w:r>
      <w:r>
        <w:fldChar w:fldCharType="begin"/>
      </w:r>
      <w:r>
        <w:instrText xml:space="preserve"> PAGEREF _Toc393111377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3 — Training contracts</w:t>
      </w:r>
    </w:p>
    <w:p>
      <w:pPr>
        <w:pStyle w:val="TOC8"/>
        <w:rPr>
          <w:rFonts w:asciiTheme="minorHAnsi" w:eastAsiaTheme="minorEastAsia" w:hAnsiTheme="minorHAnsi" w:cstheme="minorBidi"/>
          <w:szCs w:val="22"/>
        </w:rPr>
      </w:pPr>
      <w:r>
        <w:t>38.</w:t>
      </w:r>
      <w:r>
        <w:tab/>
        <w:t>Form and content of training contracts</w:t>
      </w:r>
      <w:r>
        <w:tab/>
      </w:r>
      <w:r>
        <w:fldChar w:fldCharType="begin"/>
      </w:r>
      <w:r>
        <w:instrText xml:space="preserve"> PAGEREF _Toc393111379 \h </w:instrText>
      </w:r>
      <w:r>
        <w:fldChar w:fldCharType="separate"/>
      </w:r>
      <w:r>
        <w:t>34</w:t>
      </w:r>
      <w:r>
        <w:fldChar w:fldCharType="end"/>
      </w:r>
    </w:p>
    <w:p>
      <w:pPr>
        <w:pStyle w:val="TOC8"/>
        <w:rPr>
          <w:rFonts w:asciiTheme="minorHAnsi" w:eastAsiaTheme="minorEastAsia" w:hAnsiTheme="minorHAnsi" w:cstheme="minorBidi"/>
          <w:szCs w:val="22"/>
        </w:rPr>
      </w:pPr>
      <w:r>
        <w:t>39.</w:t>
      </w:r>
      <w:r>
        <w:tab/>
        <w:t>Probation periods of training contracts</w:t>
      </w:r>
      <w:r>
        <w:tab/>
      </w:r>
      <w:r>
        <w:fldChar w:fldCharType="begin"/>
      </w:r>
      <w:r>
        <w:instrText xml:space="preserve"> PAGEREF _Toc393111380 \h </w:instrText>
      </w:r>
      <w:r>
        <w:fldChar w:fldCharType="separate"/>
      </w:r>
      <w:r>
        <w:t>35</w:t>
      </w:r>
      <w:r>
        <w:fldChar w:fldCharType="end"/>
      </w:r>
    </w:p>
    <w:p>
      <w:pPr>
        <w:pStyle w:val="TOC8"/>
        <w:rPr>
          <w:rFonts w:asciiTheme="minorHAnsi" w:eastAsiaTheme="minorEastAsia" w:hAnsiTheme="minorHAnsi" w:cstheme="minorBidi"/>
          <w:szCs w:val="22"/>
        </w:rPr>
      </w:pPr>
      <w:r>
        <w:t>40.</w:t>
      </w:r>
      <w:r>
        <w:tab/>
        <w:t>Children’s capacity to enter into training contracts</w:t>
      </w:r>
      <w:r>
        <w:tab/>
      </w:r>
      <w:r>
        <w:fldChar w:fldCharType="begin"/>
      </w:r>
      <w:r>
        <w:instrText xml:space="preserve"> PAGEREF _Toc393111381 \h </w:instrText>
      </w:r>
      <w:r>
        <w:fldChar w:fldCharType="separate"/>
      </w:r>
      <w:r>
        <w:t>35</w:t>
      </w:r>
      <w:r>
        <w:fldChar w:fldCharType="end"/>
      </w:r>
    </w:p>
    <w:p>
      <w:pPr>
        <w:pStyle w:val="TOC8"/>
        <w:rPr>
          <w:rFonts w:asciiTheme="minorHAnsi" w:eastAsiaTheme="minorEastAsia" w:hAnsiTheme="minorHAnsi" w:cstheme="minorBidi"/>
          <w:szCs w:val="22"/>
        </w:rPr>
      </w:pPr>
      <w:r>
        <w:t>41.</w:t>
      </w:r>
      <w:r>
        <w:tab/>
        <w:t>Lodging training contracts for registration (Act s. 60F)</w:t>
      </w:r>
      <w:r>
        <w:tab/>
      </w:r>
      <w:r>
        <w:fldChar w:fldCharType="begin"/>
      </w:r>
      <w:r>
        <w:instrText xml:space="preserve"> PAGEREF _Toc393111382 \h </w:instrText>
      </w:r>
      <w:r>
        <w:fldChar w:fldCharType="separate"/>
      </w:r>
      <w:r>
        <w:t>37</w:t>
      </w:r>
      <w:r>
        <w:fldChar w:fldCharType="end"/>
      </w:r>
    </w:p>
    <w:p>
      <w:pPr>
        <w:pStyle w:val="TOC8"/>
        <w:rPr>
          <w:rFonts w:asciiTheme="minorHAnsi" w:eastAsiaTheme="minorEastAsia" w:hAnsiTheme="minorHAnsi" w:cstheme="minorBidi"/>
          <w:szCs w:val="22"/>
        </w:rPr>
      </w:pPr>
      <w:r>
        <w:t>42.</w:t>
      </w:r>
      <w:r>
        <w:tab/>
        <w:t>Registering training contracts (Act s. 60F)</w:t>
      </w:r>
      <w:r>
        <w:tab/>
      </w:r>
      <w:r>
        <w:fldChar w:fldCharType="begin"/>
      </w:r>
      <w:r>
        <w:instrText xml:space="preserve"> PAGEREF _Toc393111383 \h </w:instrText>
      </w:r>
      <w:r>
        <w:fldChar w:fldCharType="separate"/>
      </w:r>
      <w:r>
        <w:t>37</w:t>
      </w:r>
      <w:r>
        <w:fldChar w:fldCharType="end"/>
      </w:r>
    </w:p>
    <w:p>
      <w:pPr>
        <w:pStyle w:val="TOC8"/>
        <w:rPr>
          <w:rFonts w:asciiTheme="minorHAnsi" w:eastAsiaTheme="minorEastAsia" w:hAnsiTheme="minorHAnsi" w:cstheme="minorBidi"/>
          <w:szCs w:val="22"/>
        </w:rPr>
      </w:pPr>
      <w:r>
        <w:t>43.</w:t>
      </w:r>
      <w:r>
        <w:tab/>
        <w:t>Training plans for training contracts</w:t>
      </w:r>
      <w:r>
        <w:tab/>
      </w:r>
      <w:r>
        <w:fldChar w:fldCharType="begin"/>
      </w:r>
      <w:r>
        <w:instrText xml:space="preserve"> PAGEREF _Toc393111384 \h </w:instrText>
      </w:r>
      <w:r>
        <w:fldChar w:fldCharType="separate"/>
      </w:r>
      <w:r>
        <w:t>38</w:t>
      </w:r>
      <w:r>
        <w:fldChar w:fldCharType="end"/>
      </w:r>
    </w:p>
    <w:p>
      <w:pPr>
        <w:pStyle w:val="TOC8"/>
        <w:rPr>
          <w:rFonts w:asciiTheme="minorHAnsi" w:eastAsiaTheme="minorEastAsia" w:hAnsiTheme="minorHAnsi" w:cstheme="minorBidi"/>
          <w:szCs w:val="22"/>
        </w:rPr>
      </w:pPr>
      <w:r>
        <w:t>44.</w:t>
      </w:r>
      <w:r>
        <w:tab/>
        <w:t>Cancellation of registration by chief executive (Act s. 60F)</w:t>
      </w:r>
      <w:r>
        <w:tab/>
      </w:r>
      <w:r>
        <w:fldChar w:fldCharType="begin"/>
      </w:r>
      <w:r>
        <w:instrText xml:space="preserve"> PAGEREF _Toc393111385 \h </w:instrText>
      </w:r>
      <w:r>
        <w:fldChar w:fldCharType="separate"/>
      </w:r>
      <w:r>
        <w:t>39</w:t>
      </w:r>
      <w:r>
        <w:fldChar w:fldCharType="end"/>
      </w:r>
    </w:p>
    <w:p>
      <w:pPr>
        <w:pStyle w:val="TOC8"/>
        <w:rPr>
          <w:rFonts w:asciiTheme="minorHAnsi" w:eastAsiaTheme="minorEastAsia" w:hAnsiTheme="minorHAnsi" w:cstheme="minorBidi"/>
          <w:szCs w:val="22"/>
        </w:rPr>
      </w:pPr>
      <w:r>
        <w:t>45.</w:t>
      </w:r>
      <w:r>
        <w:tab/>
        <w:t>Chief executive may require persons involved in training contracts to provide information</w:t>
      </w:r>
      <w:r>
        <w:tab/>
      </w:r>
      <w:r>
        <w:fldChar w:fldCharType="begin"/>
      </w:r>
      <w:r>
        <w:instrText xml:space="preserve"> PAGEREF _Toc393111386 \h </w:instrText>
      </w:r>
      <w:r>
        <w:fldChar w:fldCharType="separate"/>
      </w:r>
      <w:r>
        <w:t>40</w:t>
      </w:r>
      <w:r>
        <w:fldChar w:fldCharType="end"/>
      </w:r>
    </w:p>
    <w:p>
      <w:pPr>
        <w:pStyle w:val="TOC8"/>
        <w:rPr>
          <w:rFonts w:asciiTheme="minorHAnsi" w:eastAsiaTheme="minorEastAsia" w:hAnsiTheme="minorHAnsi" w:cstheme="minorBidi"/>
          <w:szCs w:val="22"/>
        </w:rPr>
      </w:pPr>
      <w:r>
        <w:t>46.</w:t>
      </w:r>
      <w:r>
        <w:tab/>
        <w:t>Variation of training contract by parties (Act s. 60E)</w:t>
      </w:r>
      <w:r>
        <w:tab/>
      </w:r>
      <w:r>
        <w:fldChar w:fldCharType="begin"/>
      </w:r>
      <w:r>
        <w:instrText xml:space="preserve"> PAGEREF _Toc393111387 \h </w:instrText>
      </w:r>
      <w:r>
        <w:fldChar w:fldCharType="separate"/>
      </w:r>
      <w:r>
        <w:t>40</w:t>
      </w:r>
      <w:r>
        <w:fldChar w:fldCharType="end"/>
      </w:r>
    </w:p>
    <w:p>
      <w:pPr>
        <w:pStyle w:val="TOC8"/>
        <w:rPr>
          <w:rFonts w:asciiTheme="minorHAnsi" w:eastAsiaTheme="minorEastAsia" w:hAnsiTheme="minorHAnsi" w:cstheme="minorBidi"/>
          <w:szCs w:val="22"/>
        </w:rPr>
      </w:pPr>
      <w:r>
        <w:t>47.</w:t>
      </w:r>
      <w:r>
        <w:tab/>
        <w:t>Assignment of training contract to another employer (Act s. 60E)</w:t>
      </w:r>
      <w:r>
        <w:tab/>
      </w:r>
      <w:r>
        <w:fldChar w:fldCharType="begin"/>
      </w:r>
      <w:r>
        <w:instrText xml:space="preserve"> PAGEREF _Toc393111388 \h </w:instrText>
      </w:r>
      <w:r>
        <w:fldChar w:fldCharType="separate"/>
      </w:r>
      <w:r>
        <w:t>41</w:t>
      </w:r>
      <w:r>
        <w:fldChar w:fldCharType="end"/>
      </w:r>
    </w:p>
    <w:p>
      <w:pPr>
        <w:pStyle w:val="TOC8"/>
        <w:rPr>
          <w:rFonts w:asciiTheme="minorHAnsi" w:eastAsiaTheme="minorEastAsia" w:hAnsiTheme="minorHAnsi" w:cstheme="minorBidi"/>
          <w:szCs w:val="22"/>
        </w:rPr>
      </w:pPr>
      <w:r>
        <w:t>48.</w:t>
      </w:r>
      <w:r>
        <w:tab/>
        <w:t>Suspension of training contract by parties (Act s. 60E)</w:t>
      </w:r>
      <w:r>
        <w:tab/>
      </w:r>
      <w:r>
        <w:fldChar w:fldCharType="begin"/>
      </w:r>
      <w:r>
        <w:instrText xml:space="preserve"> PAGEREF _Toc393111389 \h </w:instrText>
      </w:r>
      <w:r>
        <w:fldChar w:fldCharType="separate"/>
      </w:r>
      <w:r>
        <w:t>42</w:t>
      </w:r>
      <w:r>
        <w:fldChar w:fldCharType="end"/>
      </w:r>
    </w:p>
    <w:p>
      <w:pPr>
        <w:pStyle w:val="TOC8"/>
        <w:rPr>
          <w:rFonts w:asciiTheme="minorHAnsi" w:eastAsiaTheme="minorEastAsia" w:hAnsiTheme="minorHAnsi" w:cstheme="minorBidi"/>
          <w:szCs w:val="22"/>
        </w:rPr>
      </w:pPr>
      <w:r>
        <w:t>49.</w:t>
      </w:r>
      <w:r>
        <w:tab/>
        <w:t>Suspension by employer (Act s. 60E)</w:t>
      </w:r>
      <w:r>
        <w:tab/>
      </w:r>
      <w:r>
        <w:fldChar w:fldCharType="begin"/>
      </w:r>
      <w:r>
        <w:instrText xml:space="preserve"> PAGEREF _Toc393111390 \h </w:instrText>
      </w:r>
      <w:r>
        <w:fldChar w:fldCharType="separate"/>
      </w:r>
      <w:r>
        <w:t>43</w:t>
      </w:r>
      <w:r>
        <w:fldChar w:fldCharType="end"/>
      </w:r>
    </w:p>
    <w:p>
      <w:pPr>
        <w:pStyle w:val="TOC8"/>
        <w:rPr>
          <w:rFonts w:asciiTheme="minorHAnsi" w:eastAsiaTheme="minorEastAsia" w:hAnsiTheme="minorHAnsi" w:cstheme="minorBidi"/>
          <w:szCs w:val="22"/>
        </w:rPr>
      </w:pPr>
      <w:r>
        <w:t>50.</w:t>
      </w:r>
      <w:r>
        <w:tab/>
        <w:t>Termination of training contract by parties (Act s. 60G)</w:t>
      </w:r>
      <w:r>
        <w:tab/>
      </w:r>
      <w:r>
        <w:fldChar w:fldCharType="begin"/>
      </w:r>
      <w:r>
        <w:instrText xml:space="preserve"> PAGEREF _Toc393111391 \h </w:instrText>
      </w:r>
      <w:r>
        <w:fldChar w:fldCharType="separate"/>
      </w:r>
      <w:r>
        <w:t>44</w:t>
      </w:r>
      <w:r>
        <w:fldChar w:fldCharType="end"/>
      </w:r>
    </w:p>
    <w:p>
      <w:pPr>
        <w:pStyle w:val="TOC8"/>
        <w:rPr>
          <w:rFonts w:asciiTheme="minorHAnsi" w:eastAsiaTheme="minorEastAsia" w:hAnsiTheme="minorHAnsi" w:cstheme="minorBidi"/>
          <w:szCs w:val="22"/>
        </w:rPr>
      </w:pPr>
      <w:r>
        <w:t>51.</w:t>
      </w:r>
      <w:r>
        <w:tab/>
        <w:t>Approval of termination of training contract by chief executive (Act s. 60G)</w:t>
      </w:r>
      <w:r>
        <w:tab/>
      </w:r>
      <w:r>
        <w:fldChar w:fldCharType="begin"/>
      </w:r>
      <w:r>
        <w:instrText xml:space="preserve"> PAGEREF _Toc393111392 \h </w:instrText>
      </w:r>
      <w:r>
        <w:fldChar w:fldCharType="separate"/>
      </w:r>
      <w:r>
        <w:t>45</w:t>
      </w:r>
      <w:r>
        <w:fldChar w:fldCharType="end"/>
      </w:r>
    </w:p>
    <w:p>
      <w:pPr>
        <w:pStyle w:val="TOC8"/>
        <w:rPr>
          <w:rFonts w:asciiTheme="minorHAnsi" w:eastAsiaTheme="minorEastAsia" w:hAnsiTheme="minorHAnsi" w:cstheme="minorBidi"/>
          <w:szCs w:val="22"/>
        </w:rPr>
      </w:pPr>
      <w:r>
        <w:t>52.</w:t>
      </w:r>
      <w:r>
        <w:tab/>
        <w:t>Completion of training contract</w:t>
      </w:r>
      <w:r>
        <w:tab/>
      </w:r>
      <w:r>
        <w:fldChar w:fldCharType="begin"/>
      </w:r>
      <w:r>
        <w:instrText xml:space="preserve"> PAGEREF _Toc393111393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4 — Procedure and appeals</w:t>
      </w:r>
    </w:p>
    <w:p>
      <w:pPr>
        <w:pStyle w:val="TOC8"/>
        <w:rPr>
          <w:rFonts w:asciiTheme="minorHAnsi" w:eastAsiaTheme="minorEastAsia" w:hAnsiTheme="minorHAnsi" w:cstheme="minorBidi"/>
          <w:szCs w:val="22"/>
        </w:rPr>
      </w:pPr>
      <w:r>
        <w:t>53.</w:t>
      </w:r>
      <w:r>
        <w:tab/>
        <w:t>Procedure on applications</w:t>
      </w:r>
      <w:r>
        <w:tab/>
      </w:r>
      <w:r>
        <w:fldChar w:fldCharType="begin"/>
      </w:r>
      <w:r>
        <w:instrText xml:space="preserve"> PAGEREF _Toc393111395 \h </w:instrText>
      </w:r>
      <w:r>
        <w:fldChar w:fldCharType="separate"/>
      </w:r>
      <w:r>
        <w:t>45</w:t>
      </w:r>
      <w:r>
        <w:fldChar w:fldCharType="end"/>
      </w:r>
    </w:p>
    <w:p>
      <w:pPr>
        <w:pStyle w:val="TOC8"/>
        <w:rPr>
          <w:rFonts w:asciiTheme="minorHAnsi" w:eastAsiaTheme="minorEastAsia" w:hAnsiTheme="minorHAnsi" w:cstheme="minorBidi"/>
          <w:szCs w:val="22"/>
        </w:rPr>
      </w:pPr>
      <w:r>
        <w:t>54.</w:t>
      </w:r>
      <w:r>
        <w:tab/>
        <w:t>Appeals</w:t>
      </w:r>
      <w:r>
        <w:tab/>
      </w:r>
      <w:r>
        <w:fldChar w:fldCharType="begin"/>
      </w:r>
      <w:r>
        <w:instrText xml:space="preserve"> PAGEREF _Toc393111396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5 — Repeals and transitional matters</w:t>
      </w:r>
    </w:p>
    <w:p>
      <w:pPr>
        <w:pStyle w:val="TOC8"/>
        <w:rPr>
          <w:rFonts w:asciiTheme="minorHAnsi" w:eastAsiaTheme="minorEastAsia" w:hAnsiTheme="minorHAnsi" w:cstheme="minorBidi"/>
          <w:szCs w:val="22"/>
        </w:rPr>
      </w:pPr>
      <w:r>
        <w:t>55.</w:t>
      </w:r>
      <w:r>
        <w:tab/>
        <w:t>Term used: commencement</w:t>
      </w:r>
      <w:r>
        <w:tab/>
      </w:r>
      <w:r>
        <w:fldChar w:fldCharType="begin"/>
      </w:r>
      <w:r>
        <w:instrText xml:space="preserve"> PAGEREF _Toc393111398 \h </w:instrText>
      </w:r>
      <w:r>
        <w:fldChar w:fldCharType="separate"/>
      </w:r>
      <w:r>
        <w:t>47</w:t>
      </w:r>
      <w:r>
        <w:fldChar w:fldCharType="end"/>
      </w:r>
    </w:p>
    <w:p>
      <w:pPr>
        <w:pStyle w:val="TOC8"/>
        <w:rPr>
          <w:rFonts w:asciiTheme="minorHAnsi" w:eastAsiaTheme="minorEastAsia" w:hAnsiTheme="minorHAnsi" w:cstheme="minorBidi"/>
          <w:szCs w:val="22"/>
        </w:rPr>
      </w:pPr>
      <w:r>
        <w:t>57.</w:t>
      </w:r>
      <w:r>
        <w:tab/>
        <w:t>Registered training providers</w:t>
      </w:r>
      <w:r>
        <w:tab/>
      </w:r>
      <w:r>
        <w:fldChar w:fldCharType="begin"/>
      </w:r>
      <w:r>
        <w:instrText xml:space="preserve"> PAGEREF _Toc393111399 \h </w:instrText>
      </w:r>
      <w:r>
        <w:fldChar w:fldCharType="separate"/>
      </w:r>
      <w:r>
        <w:t>47</w:t>
      </w:r>
      <w:r>
        <w:fldChar w:fldCharType="end"/>
      </w:r>
    </w:p>
    <w:p>
      <w:pPr>
        <w:pStyle w:val="TOC8"/>
        <w:rPr>
          <w:rFonts w:asciiTheme="minorHAnsi" w:eastAsiaTheme="minorEastAsia" w:hAnsiTheme="minorHAnsi" w:cstheme="minorBidi"/>
          <w:szCs w:val="22"/>
        </w:rPr>
      </w:pPr>
      <w:r>
        <w:t>58.</w:t>
      </w:r>
      <w:r>
        <w:tab/>
        <w:t>Accredited courses</w:t>
      </w:r>
      <w:r>
        <w:tab/>
      </w:r>
      <w:r>
        <w:fldChar w:fldCharType="begin"/>
      </w:r>
      <w:r>
        <w:instrText xml:space="preserve"> PAGEREF _Toc393111400 \h </w:instrText>
      </w:r>
      <w:r>
        <w:fldChar w:fldCharType="separate"/>
      </w:r>
      <w:r>
        <w:t>47</w:t>
      </w:r>
      <w:r>
        <w:fldChar w:fldCharType="end"/>
      </w:r>
    </w:p>
    <w:p>
      <w:pPr>
        <w:pStyle w:val="TOC8"/>
        <w:rPr>
          <w:rFonts w:asciiTheme="minorHAnsi" w:eastAsiaTheme="minorEastAsia" w:hAnsiTheme="minorHAnsi" w:cstheme="minorBidi"/>
          <w:szCs w:val="22"/>
        </w:rPr>
      </w:pPr>
      <w:r>
        <w:t>59.</w:t>
      </w:r>
      <w:r>
        <w:tab/>
        <w:t>Traineeship contracts</w:t>
      </w:r>
      <w:r>
        <w:tab/>
      </w:r>
      <w:r>
        <w:fldChar w:fldCharType="begin"/>
      </w:r>
      <w:r>
        <w:instrText xml:space="preserve"> PAGEREF _Toc393111401 \h </w:instrText>
      </w:r>
      <w:r>
        <w:fldChar w:fldCharType="separate"/>
      </w:r>
      <w:r>
        <w:t>47</w:t>
      </w:r>
      <w:r>
        <w:fldChar w:fldCharType="end"/>
      </w:r>
    </w:p>
    <w:p>
      <w:pPr>
        <w:pStyle w:val="TOC8"/>
        <w:rPr>
          <w:rFonts w:asciiTheme="minorHAnsi" w:eastAsiaTheme="minorEastAsia" w:hAnsiTheme="minorHAnsi" w:cstheme="minorBidi"/>
          <w:szCs w:val="22"/>
        </w:rPr>
      </w:pPr>
      <w:r>
        <w:t>60.</w:t>
      </w:r>
      <w:r>
        <w:tab/>
        <w:t>Apprentices learning trades, transitional provisions for</w:t>
      </w:r>
      <w:r>
        <w:tab/>
      </w:r>
      <w:r>
        <w:fldChar w:fldCharType="begin"/>
      </w:r>
      <w:r>
        <w:instrText xml:space="preserve"> PAGEREF _Toc393111402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Schedule 1 — Training contract</w:t>
      </w:r>
    </w:p>
    <w:p>
      <w:pPr>
        <w:pStyle w:val="TOC2"/>
        <w:tabs>
          <w:tab w:val="right" w:leader="dot" w:pos="7086"/>
        </w:tabs>
        <w:rPr>
          <w:rFonts w:asciiTheme="minorHAnsi" w:eastAsiaTheme="minorEastAsia" w:hAnsiTheme="minorHAnsi" w:cstheme="minorBidi"/>
          <w:b w:val="0"/>
          <w:sz w:val="22"/>
          <w:szCs w:val="22"/>
        </w:rPr>
      </w:pPr>
      <w:r>
        <w:t>Schedule 2 — Provisions about old agreements and old training contracts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_Toc393111405 \h </w:instrText>
      </w:r>
      <w:r>
        <w:fldChar w:fldCharType="separate"/>
      </w:r>
      <w:r>
        <w:t>64</w:t>
      </w:r>
      <w:r>
        <w:fldChar w:fldCharType="end"/>
      </w:r>
    </w:p>
    <w:p>
      <w:pPr>
        <w:pStyle w:val="TOC8"/>
        <w:rPr>
          <w:rFonts w:asciiTheme="minorHAnsi" w:eastAsiaTheme="minorEastAsia" w:hAnsiTheme="minorHAnsi" w:cstheme="minorBidi"/>
          <w:szCs w:val="22"/>
        </w:rPr>
      </w:pPr>
      <w:r>
        <w:t>2.</w:t>
      </w:r>
      <w:r>
        <w:tab/>
        <w:t>Old agreements to be read with modifications</w:t>
      </w:r>
      <w:r>
        <w:tab/>
      </w:r>
      <w:r>
        <w:fldChar w:fldCharType="begin"/>
      </w:r>
      <w:r>
        <w:instrText xml:space="preserve"> PAGEREF _Toc393111406 \h </w:instrText>
      </w:r>
      <w:r>
        <w:fldChar w:fldCharType="separate"/>
      </w:r>
      <w:r>
        <w:t>64</w:t>
      </w:r>
      <w:r>
        <w:fldChar w:fldCharType="end"/>
      </w:r>
    </w:p>
    <w:p>
      <w:pPr>
        <w:pStyle w:val="TOC8"/>
        <w:rPr>
          <w:rFonts w:asciiTheme="minorHAnsi" w:eastAsiaTheme="minorEastAsia" w:hAnsiTheme="minorHAnsi" w:cstheme="minorBidi"/>
          <w:szCs w:val="22"/>
        </w:rPr>
      </w:pPr>
      <w:r>
        <w:t>3.</w:t>
      </w:r>
      <w:r>
        <w:tab/>
        <w:t>Old agreements and contracts not terminated by sale of business</w:t>
      </w:r>
      <w:r>
        <w:tab/>
      </w:r>
      <w:r>
        <w:fldChar w:fldCharType="begin"/>
      </w:r>
      <w:r>
        <w:instrText xml:space="preserve"> PAGEREF _Toc393111407 \h </w:instrText>
      </w:r>
      <w:r>
        <w:fldChar w:fldCharType="separate"/>
      </w:r>
      <w:r>
        <w:t>66</w:t>
      </w:r>
      <w:r>
        <w:fldChar w:fldCharType="end"/>
      </w:r>
    </w:p>
    <w:p>
      <w:pPr>
        <w:pStyle w:val="TOC8"/>
        <w:rPr>
          <w:rFonts w:asciiTheme="minorHAnsi" w:eastAsiaTheme="minorEastAsia" w:hAnsiTheme="minorHAnsi" w:cstheme="minorBidi"/>
          <w:szCs w:val="22"/>
        </w:rPr>
      </w:pPr>
      <w:r>
        <w:t>4.</w:t>
      </w:r>
      <w:r>
        <w:tab/>
        <w:t>Technical instruction requirements for trade apprentices</w:t>
      </w:r>
      <w:r>
        <w:tab/>
      </w:r>
      <w:r>
        <w:fldChar w:fldCharType="begin"/>
      </w:r>
      <w:r>
        <w:instrText xml:space="preserve"> PAGEREF _Toc393111408 \h </w:instrText>
      </w:r>
      <w:r>
        <w:fldChar w:fldCharType="separate"/>
      </w:r>
      <w:r>
        <w:t>66</w:t>
      </w:r>
      <w:r>
        <w:fldChar w:fldCharType="end"/>
      </w:r>
    </w:p>
    <w:p>
      <w:pPr>
        <w:pStyle w:val="TOC8"/>
        <w:rPr>
          <w:rFonts w:asciiTheme="minorHAnsi" w:eastAsiaTheme="minorEastAsia" w:hAnsiTheme="minorHAnsi" w:cstheme="minorBidi"/>
          <w:szCs w:val="22"/>
        </w:rPr>
      </w:pPr>
      <w:r>
        <w:t>5.</w:t>
      </w:r>
      <w:r>
        <w:tab/>
        <w:t>Final certificates for trade apprentices</w:t>
      </w:r>
      <w:r>
        <w:tab/>
      </w:r>
      <w:r>
        <w:fldChar w:fldCharType="begin"/>
      </w:r>
      <w:r>
        <w:instrText xml:space="preserve"> PAGEREF _Toc393111409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_Toc393111411 \h </w:instrText>
      </w:r>
      <w:r>
        <w:fldChar w:fldCharType="separate"/>
      </w:r>
      <w:r>
        <w:t>67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_Toc393111412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March 2014</w:t>
            </w:r>
          </w:p>
        </w:tc>
      </w:tr>
    </w:tbl>
    <w:p>
      <w:pPr>
        <w:pStyle w:val="WA"/>
        <w:spacing w:before="120"/>
      </w:pPr>
      <w:r>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1" w:name="_Toc383698215"/>
      <w:bookmarkStart w:id="2" w:name="_Toc393111324"/>
      <w:r>
        <w:rPr>
          <w:rStyle w:val="CharPartNo"/>
        </w:rPr>
        <w:t>Part 1</w:t>
      </w:r>
      <w:r>
        <w:rPr>
          <w:rStyle w:val="CharDivNo"/>
        </w:rPr>
        <w:t> </w:t>
      </w:r>
      <w:r>
        <w:t>—</w:t>
      </w:r>
      <w:r>
        <w:rPr>
          <w:rStyle w:val="CharDivText"/>
        </w:rPr>
        <w:t> </w:t>
      </w:r>
      <w:r>
        <w:rPr>
          <w:rStyle w:val="CharPartText"/>
        </w:rPr>
        <w:t>Preliminary matters</w:t>
      </w:r>
      <w:bookmarkEnd w:id="1"/>
      <w:bookmarkEnd w:id="2"/>
    </w:p>
    <w:p>
      <w:pPr>
        <w:pStyle w:val="Heading5"/>
      </w:pPr>
      <w:bookmarkStart w:id="3" w:name="_Toc393111325"/>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Vocational Education and Training (General) Regulations 2009</w:t>
      </w:r>
      <w:r>
        <w:t> </w:t>
      </w:r>
      <w:r>
        <w:rPr>
          <w:iCs/>
          <w:vertAlign w:val="superscript"/>
        </w:rPr>
        <w:t>1</w:t>
      </w:r>
      <w:r>
        <w:t>.</w:t>
      </w:r>
    </w:p>
    <w:p>
      <w:pPr>
        <w:pStyle w:val="Heading5"/>
        <w:rPr>
          <w:spacing w:val="-2"/>
        </w:rPr>
      </w:pPr>
      <w:bookmarkStart w:id="5" w:name="_Toc393111326"/>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r>
        <w:rPr>
          <w:vertAlign w:val="superscript"/>
        </w:rPr>
        <w:t> 1</w:t>
      </w:r>
      <w:r>
        <w:t>.</w:t>
      </w:r>
    </w:p>
    <w:p>
      <w:pPr>
        <w:pStyle w:val="Heading5"/>
      </w:pPr>
      <w:bookmarkStart w:id="6" w:name="_Toc393111327"/>
      <w:r>
        <w:rPr>
          <w:rStyle w:val="CharSectno"/>
        </w:rPr>
        <w:t>3</w:t>
      </w:r>
      <w:r>
        <w:t>.</w:t>
      </w:r>
      <w:r>
        <w:tab/>
        <w:t>Terms used</w:t>
      </w:r>
      <w:bookmarkEnd w:id="6"/>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 xml:space="preserve">AQF </w:t>
      </w:r>
      <w:r>
        <w:t>means the Australian Qualifications Framework as defined in the Commonwealth Act section 3;</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pPr>
      <w:r>
        <w:tab/>
        <w:t>[Regulation 3 amended in Gazette 17 Dec 2013 p.</w:t>
      </w:r>
      <w:r>
        <w:rPr>
          <w:sz w:val="19"/>
        </w:rPr>
        <w:t> </w:t>
      </w:r>
      <w:r>
        <w:t>6219.]</w:t>
      </w:r>
    </w:p>
    <w:p>
      <w:pPr>
        <w:pStyle w:val="Heading2"/>
      </w:pPr>
      <w:bookmarkStart w:id="7" w:name="_Toc383698219"/>
      <w:bookmarkStart w:id="8" w:name="_Toc393111328"/>
      <w:r>
        <w:rPr>
          <w:rStyle w:val="CharPartNo"/>
        </w:rPr>
        <w:t>Part 2</w:t>
      </w:r>
      <w:r>
        <w:rPr>
          <w:rStyle w:val="CharDivNo"/>
        </w:rPr>
        <w:t> </w:t>
      </w:r>
      <w:r>
        <w:t>—</w:t>
      </w:r>
      <w:r>
        <w:rPr>
          <w:rStyle w:val="CharDivText"/>
        </w:rPr>
        <w:t> </w:t>
      </w:r>
      <w:r>
        <w:rPr>
          <w:rStyle w:val="CharPartText"/>
        </w:rPr>
        <w:t>General matters</w:t>
      </w:r>
      <w:bookmarkEnd w:id="7"/>
      <w:bookmarkEnd w:id="8"/>
    </w:p>
    <w:p>
      <w:pPr>
        <w:pStyle w:val="Heading5"/>
      </w:pPr>
      <w:bookmarkStart w:id="9" w:name="_Toc393111329"/>
      <w:r>
        <w:rPr>
          <w:rStyle w:val="CharSectno"/>
        </w:rPr>
        <w:t>4</w:t>
      </w:r>
      <w:r>
        <w:t>.</w:t>
      </w:r>
      <w:r>
        <w:tab/>
        <w:t>Approved VET courses (Act s. 5(1))</w:t>
      </w:r>
      <w:bookmarkEnd w:id="9"/>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Footnotesection"/>
      </w:pPr>
      <w:r>
        <w:tab/>
        <w:t>[Regulation 4 amended in Gazette 17 Dec 2013 p.</w:t>
      </w:r>
      <w:r>
        <w:rPr>
          <w:sz w:val="19"/>
        </w:rPr>
        <w:t> </w:t>
      </w:r>
      <w:r>
        <w:t>6220.]</w:t>
      </w:r>
    </w:p>
    <w:p>
      <w:pPr>
        <w:pStyle w:val="Heading5"/>
      </w:pPr>
      <w:bookmarkStart w:id="10" w:name="_Toc393111330"/>
      <w:r>
        <w:rPr>
          <w:rStyle w:val="CharSectno"/>
        </w:rPr>
        <w:t>5</w:t>
      </w:r>
      <w:r>
        <w:t>.</w:t>
      </w:r>
      <w:r>
        <w:tab/>
        <w:t>Corresponding laws (Act s. 5(1))</w:t>
      </w:r>
      <w:bookmarkEnd w:id="10"/>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11" w:name="_Toc393111331"/>
      <w:r>
        <w:rPr>
          <w:rStyle w:val="CharSectno"/>
        </w:rPr>
        <w:t>6</w:t>
      </w:r>
      <w:r>
        <w:t>.</w:t>
      </w:r>
      <w:r>
        <w:tab/>
        <w:t>Prescribed VET qualifications (Act s. 5(1))</w:t>
      </w:r>
      <w:bookmarkEnd w:id="11"/>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12" w:name="_Toc383698223"/>
      <w:bookmarkStart w:id="13" w:name="_Toc393111332"/>
      <w:r>
        <w:rPr>
          <w:rStyle w:val="CharPartNo"/>
        </w:rPr>
        <w:t>Part 3</w:t>
      </w:r>
      <w:r>
        <w:t> — </w:t>
      </w:r>
      <w:r>
        <w:rPr>
          <w:rStyle w:val="CharPartText"/>
        </w:rPr>
        <w:t>Regulations for Part 7A of the Act</w:t>
      </w:r>
      <w:bookmarkEnd w:id="12"/>
      <w:bookmarkEnd w:id="13"/>
    </w:p>
    <w:p>
      <w:pPr>
        <w:pStyle w:val="Heading3"/>
      </w:pPr>
      <w:bookmarkStart w:id="14" w:name="_Toc383698224"/>
      <w:bookmarkStart w:id="15" w:name="_Toc393111333"/>
      <w:r>
        <w:rPr>
          <w:rStyle w:val="CharDivNo"/>
        </w:rPr>
        <w:t>Division 1</w:t>
      </w:r>
      <w:r>
        <w:t> — </w:t>
      </w:r>
      <w:r>
        <w:rPr>
          <w:rStyle w:val="CharDivText"/>
        </w:rPr>
        <w:t>General matters</w:t>
      </w:r>
      <w:bookmarkEnd w:id="14"/>
      <w:bookmarkEnd w:id="15"/>
    </w:p>
    <w:p>
      <w:pPr>
        <w:pStyle w:val="Heading5"/>
      </w:pPr>
      <w:bookmarkStart w:id="16" w:name="_Toc393111334"/>
      <w:r>
        <w:rPr>
          <w:rStyle w:val="CharSectno"/>
        </w:rPr>
        <w:t>7</w:t>
      </w:r>
      <w:r>
        <w:t>.</w:t>
      </w:r>
      <w:r>
        <w:tab/>
        <w:t>Terms used</w:t>
      </w:r>
      <w:bookmarkEnd w:id="16"/>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pPr>
      <w:r>
        <w:rPr>
          <w:b/>
          <w:i/>
        </w:rPr>
        <w:tab/>
      </w:r>
      <w:r>
        <w:rPr>
          <w:rStyle w:val="CharDefText"/>
        </w:rPr>
        <w:t>compliance monitoring audit</w:t>
      </w:r>
      <w:r>
        <w:t xml:space="preserve"> means a compliance monitoring audit conducted under Division 3;</w:t>
      </w:r>
    </w:p>
    <w:p>
      <w:pPr>
        <w:pStyle w:val="Defstart"/>
      </w:pPr>
      <w:r>
        <w:tab/>
      </w:r>
      <w:r>
        <w:rPr>
          <w:rStyle w:val="CharDefText"/>
        </w:rPr>
        <w:t>continuing registration requirements</w:t>
      </w:r>
      <w:r>
        <w:t xml:space="preserve"> means the </w:t>
      </w:r>
      <w:r>
        <w:rPr>
          <w:i/>
        </w:rPr>
        <w:t xml:space="preserve">AQTF Essential Conditions and Standards for Continuing Registration </w:t>
      </w:r>
      <w:r>
        <w:t>(published by the Commonwealth of Australia);</w:t>
      </w:r>
    </w:p>
    <w:p>
      <w:pPr>
        <w:pStyle w:val="Defstart"/>
      </w:pPr>
      <w:r>
        <w:tab/>
      </w:r>
      <w:r>
        <w:rPr>
          <w:rStyle w:val="CharDefText"/>
        </w:rPr>
        <w:t>initial registration requirements</w:t>
      </w:r>
      <w:r>
        <w:t xml:space="preserve"> means the </w:t>
      </w:r>
      <w:r>
        <w:rPr>
          <w:i/>
        </w:rPr>
        <w:t xml:space="preserve">AQTF Essential Conditions and Standards for Initial Registration </w:t>
      </w:r>
      <w:r>
        <w:t>(published by the Commonwealth of Australia);</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requirements</w:t>
      </w:r>
      <w:r>
        <w:t xml:space="preserve"> means —</w:t>
      </w:r>
    </w:p>
    <w:p>
      <w:pPr>
        <w:pStyle w:val="Defpara"/>
      </w:pPr>
      <w:r>
        <w:tab/>
        <w:t>(a)</w:t>
      </w:r>
      <w:r>
        <w:tab/>
        <w:t>the initial registration requirements; and</w:t>
      </w:r>
    </w:p>
    <w:p>
      <w:pPr>
        <w:pStyle w:val="Defpara"/>
      </w:pPr>
      <w:r>
        <w:tab/>
        <w:t>(b)</w:t>
      </w:r>
      <w:r>
        <w:tab/>
        <w:t>the continuing registration requirements;</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forming part of the AQTF or the Standards for VET Regulators is a reference to the standard as published from time to time.</w:t>
      </w:r>
    </w:p>
    <w:p>
      <w:pPr>
        <w:pStyle w:val="Footnotesection"/>
      </w:pPr>
      <w:r>
        <w:tab/>
        <w:t>[Regulation 7 amended in Gazette 25 Oct 2011 p. 4509; 17 Dec 2013 p. 6220.]</w:t>
      </w:r>
    </w:p>
    <w:p>
      <w:pPr>
        <w:pStyle w:val="Heading5"/>
      </w:pPr>
      <w:bookmarkStart w:id="17" w:name="_Toc393111335"/>
      <w:r>
        <w:rPr>
          <w:rStyle w:val="CharSectno"/>
        </w:rPr>
        <w:t>8</w:t>
      </w:r>
      <w:r>
        <w:t>.</w:t>
      </w:r>
      <w:r>
        <w:tab/>
        <w:t>Council to have regard to Standards for VET Regulators</w:t>
      </w:r>
      <w:bookmarkEnd w:id="17"/>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requirements; and</w:t>
      </w:r>
    </w:p>
    <w:p>
      <w:pPr>
        <w:pStyle w:val="Indenta"/>
      </w:pPr>
      <w:r>
        <w:tab/>
        <w:t>(b)</w:t>
      </w:r>
      <w:r>
        <w:tab/>
        <w:t>the accreditation standards.</w:t>
      </w:r>
    </w:p>
    <w:p>
      <w:pPr>
        <w:pStyle w:val="Footnotesection"/>
      </w:pPr>
      <w:r>
        <w:tab/>
        <w:t>[Regulation 8 amended in Gazette 25 Oct 2011 p. 4509; 17 Dec 2013 p. 6220.]</w:t>
      </w:r>
    </w:p>
    <w:p>
      <w:pPr>
        <w:pStyle w:val="Heading5"/>
      </w:pPr>
      <w:bookmarkStart w:id="18" w:name="_Toc393111336"/>
      <w:r>
        <w:rPr>
          <w:rStyle w:val="CharSectno"/>
        </w:rPr>
        <w:t>9</w:t>
      </w:r>
      <w:r>
        <w:t>.</w:t>
      </w:r>
      <w:r>
        <w:tab/>
        <w:t>Register</w:t>
      </w:r>
      <w:bookmarkEnd w:id="18"/>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in Gazette 17 Dec 2013 p.</w:t>
      </w:r>
      <w:r>
        <w:rPr>
          <w:sz w:val="19"/>
        </w:rPr>
        <w:t> </w:t>
      </w:r>
      <w:r>
        <w:t>6220.]</w:t>
      </w:r>
    </w:p>
    <w:p>
      <w:pPr>
        <w:pStyle w:val="Heading3"/>
      </w:pPr>
      <w:bookmarkStart w:id="19" w:name="_Toc383698228"/>
      <w:bookmarkStart w:id="20" w:name="_Toc393111337"/>
      <w:r>
        <w:rPr>
          <w:rStyle w:val="CharDivNo"/>
        </w:rPr>
        <w:t>Division 2</w:t>
      </w:r>
      <w:r>
        <w:t> — </w:t>
      </w:r>
      <w:r>
        <w:rPr>
          <w:rStyle w:val="CharDivText"/>
        </w:rPr>
        <w:t>Registration of training providers</w:t>
      </w:r>
      <w:bookmarkEnd w:id="19"/>
      <w:bookmarkEnd w:id="20"/>
    </w:p>
    <w:p>
      <w:pPr>
        <w:pStyle w:val="Heading5"/>
      </w:pPr>
      <w:bookmarkStart w:id="21" w:name="_Toc393111338"/>
      <w:r>
        <w:rPr>
          <w:rStyle w:val="CharSectno"/>
        </w:rPr>
        <w:t>10</w:t>
      </w:r>
      <w:r>
        <w:t>.</w:t>
      </w:r>
      <w:r>
        <w:tab/>
        <w:t>Applying to be registered training provider</w:t>
      </w:r>
      <w:bookmarkEnd w:id="21"/>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in Gazette 17 Dec 2013 p.</w:t>
      </w:r>
      <w:r>
        <w:rPr>
          <w:sz w:val="19"/>
        </w:rPr>
        <w:t> </w:t>
      </w:r>
      <w:r>
        <w:t>6221.]</w:t>
      </w:r>
    </w:p>
    <w:p>
      <w:pPr>
        <w:pStyle w:val="Heading5"/>
      </w:pPr>
      <w:bookmarkStart w:id="22" w:name="_Toc393111339"/>
      <w:r>
        <w:rPr>
          <w:rStyle w:val="CharSectno"/>
        </w:rPr>
        <w:t>11</w:t>
      </w:r>
      <w:r>
        <w:t>.</w:t>
      </w:r>
      <w:r>
        <w:tab/>
        <w:t>Dealing with applications</w:t>
      </w:r>
      <w:bookmarkEnd w:id="22"/>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23" w:name="_Toc393111340"/>
      <w:r>
        <w:rPr>
          <w:rStyle w:val="CharSectno"/>
        </w:rPr>
        <w:t>12</w:t>
      </w:r>
      <w:r>
        <w:t>.</w:t>
      </w:r>
      <w:r>
        <w:tab/>
        <w:t>Registering training providers</w:t>
      </w:r>
      <w:bookmarkEnd w:id="23"/>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that —</w:t>
      </w:r>
    </w:p>
    <w:p>
      <w:pPr>
        <w:pStyle w:val="Indenta"/>
      </w:pPr>
      <w:r>
        <w:tab/>
        <w:t>(a)</w:t>
      </w:r>
      <w:r>
        <w:tab/>
        <w:t>the provider complies with the conditions of registration, and meets the standards, in the initial registration requirements; or</w:t>
      </w:r>
    </w:p>
    <w:p>
      <w:pPr>
        <w:pStyle w:val="Indenta"/>
      </w:pPr>
      <w:r>
        <w:tab/>
        <w:t>(b)</w:t>
      </w:r>
      <w:r>
        <w:tab/>
        <w:t>a compliance audit has been conducted on the provider within the previous 3 months and the provider has been found to comply with those conditions of registration and to meet those standards;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in Gazette 25 Oct 2011 p. 4509; 17 Dec 2013 p. 6221.]</w:t>
      </w:r>
    </w:p>
    <w:p>
      <w:pPr>
        <w:pStyle w:val="Heading5"/>
      </w:pPr>
      <w:bookmarkStart w:id="24" w:name="_Toc393111341"/>
      <w:r>
        <w:rPr>
          <w:rStyle w:val="CharSectno"/>
        </w:rPr>
        <w:t>13</w:t>
      </w:r>
      <w:r>
        <w:t>.</w:t>
      </w:r>
      <w:r>
        <w:tab/>
        <w:t>Conditions of registration</w:t>
      </w:r>
      <w:bookmarkEnd w:id="24"/>
    </w:p>
    <w:p>
      <w:pPr>
        <w:pStyle w:val="Subsection"/>
        <w:keepNext/>
      </w:pPr>
      <w:r>
        <w:tab/>
        <w:t>(1)</w:t>
      </w:r>
      <w:r>
        <w:tab/>
        <w:t>A WA registered provider’s registration is subject to —</w:t>
      </w:r>
    </w:p>
    <w:p>
      <w:pPr>
        <w:pStyle w:val="Indenta"/>
      </w:pPr>
      <w:r>
        <w:tab/>
        <w:t>(a)</w:t>
      </w:r>
      <w:r>
        <w:tab/>
        <w:t>the conditions of registration in the continuing registration requirements;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meet the standards in the continuing registration requirements;</w:t>
      </w:r>
    </w:p>
    <w:p>
      <w:pPr>
        <w:pStyle w:val="Indenta"/>
      </w:pPr>
      <w:r>
        <w:tab/>
        <w:t>(b)</w:t>
      </w:r>
      <w:r>
        <w:tab/>
        <w:t>the provider must, if a compliance audit or a compliance monitoring audit shows the provider does meet those 3 standards, take all steps necessary to meet them;</w:t>
      </w:r>
    </w:p>
    <w:p>
      <w:pPr>
        <w:pStyle w:val="Ednotepara"/>
      </w:pPr>
      <w:r>
        <w:tab/>
        <w:t>[(c)</w:t>
      </w:r>
      <w:r>
        <w:tab/>
        <w:t>deleted]</w:t>
      </w:r>
    </w:p>
    <w:p>
      <w:pPr>
        <w:pStyle w:val="Indenta"/>
      </w:pPr>
      <w:r>
        <w:tab/>
        <w:t>(d)</w:t>
      </w:r>
      <w:r>
        <w:tab/>
        <w:t>the provider must, if a compliance audit or a compliance monitoring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continuing registration requirements.</w:t>
      </w:r>
    </w:p>
    <w:p>
      <w:pPr>
        <w:pStyle w:val="Footnotesection"/>
      </w:pPr>
      <w:r>
        <w:tab/>
        <w:t>[Regulation 13 amended in Gazette 25 Oct 2011 p. 4510; 17 Dec 2013 p. 6222.]</w:t>
      </w:r>
    </w:p>
    <w:p>
      <w:pPr>
        <w:pStyle w:val="Heading5"/>
      </w:pPr>
      <w:bookmarkStart w:id="25" w:name="_Toc393111342"/>
      <w:r>
        <w:rPr>
          <w:rStyle w:val="CharSectno"/>
        </w:rPr>
        <w:t>14</w:t>
      </w:r>
      <w:r>
        <w:t>.</w:t>
      </w:r>
      <w:r>
        <w:tab/>
        <w:t>Period of registration</w:t>
      </w:r>
      <w:bookmarkEnd w:id="25"/>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26" w:name="_Toc393111343"/>
      <w:r>
        <w:rPr>
          <w:rStyle w:val="CharSectno"/>
        </w:rPr>
        <w:t>15</w:t>
      </w:r>
      <w:r>
        <w:t>.</w:t>
      </w:r>
      <w:r>
        <w:tab/>
        <w:t>Annual fees payable by registered training providers</w:t>
      </w:r>
      <w:bookmarkEnd w:id="26"/>
    </w:p>
    <w:p>
      <w:pPr>
        <w:pStyle w:val="Subsection"/>
      </w:pPr>
      <w:r>
        <w:tab/>
      </w:r>
      <w:r>
        <w:tab/>
        <w:t>A WA registered provider must pay an annual fee set under regulation 23 on or before each anniversary of the provider’s registration or its renewal.</w:t>
      </w:r>
    </w:p>
    <w:p>
      <w:pPr>
        <w:pStyle w:val="Heading5"/>
      </w:pPr>
      <w:bookmarkStart w:id="27" w:name="_Toc393111344"/>
      <w:r>
        <w:rPr>
          <w:rStyle w:val="CharSectno"/>
        </w:rPr>
        <w:t>16</w:t>
      </w:r>
      <w:r>
        <w:t>.</w:t>
      </w:r>
      <w:r>
        <w:tab/>
        <w:t>Renewal of registration</w:t>
      </w:r>
      <w:bookmarkEnd w:id="27"/>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meets the standards in the continuing registration requirements;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Footnotesection"/>
      </w:pPr>
      <w:r>
        <w:tab/>
        <w:t>[Regulation 16 amended in Gazette 25 Oct 2011 p. 4510; 17 Dec 2013 p. 6222.]</w:t>
      </w:r>
    </w:p>
    <w:p>
      <w:pPr>
        <w:pStyle w:val="Heading5"/>
      </w:pPr>
      <w:bookmarkStart w:id="28" w:name="_Toc393111345"/>
      <w:r>
        <w:rPr>
          <w:rStyle w:val="CharSectno"/>
        </w:rPr>
        <w:t>17</w:t>
      </w:r>
      <w:r>
        <w:t>.</w:t>
      </w:r>
      <w:r>
        <w:tab/>
        <w:t>Varying registrations</w:t>
      </w:r>
      <w:bookmarkEnd w:id="28"/>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meets the standards in the continuing registration requirements; or</w:t>
      </w:r>
    </w:p>
    <w:p>
      <w:pPr>
        <w:pStyle w:val="Indenta"/>
      </w:pPr>
      <w:r>
        <w:tab/>
        <w:t>(b)</w:t>
      </w:r>
      <w:r>
        <w:tab/>
        <w:t>a compliance audit or a compliance monitoring audit has been conducted on the provider within the previous 3 months and the provider has been found to meet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in Gazette 25 Oct 2011 p. 4510; 17 Dec 2013 p. 6222.]</w:t>
      </w:r>
    </w:p>
    <w:p>
      <w:pPr>
        <w:pStyle w:val="Heading5"/>
      </w:pPr>
      <w:bookmarkStart w:id="29" w:name="_Toc393111346"/>
      <w:r>
        <w:rPr>
          <w:rStyle w:val="CharSectno"/>
        </w:rPr>
        <w:t>18</w:t>
      </w:r>
      <w:r>
        <w:t>.</w:t>
      </w:r>
      <w:r>
        <w:tab/>
        <w:t>Cancelling registration if provider’s operations change</w:t>
      </w:r>
      <w:bookmarkEnd w:id="29"/>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in Gazette 17 Dec 2013 p.</w:t>
      </w:r>
      <w:r>
        <w:rPr>
          <w:sz w:val="19"/>
        </w:rPr>
        <w:t> </w:t>
      </w:r>
      <w:r>
        <w:t>6222.]</w:t>
      </w:r>
    </w:p>
    <w:p>
      <w:pPr>
        <w:pStyle w:val="Heading5"/>
      </w:pPr>
      <w:bookmarkStart w:id="30" w:name="_Toc393111347"/>
      <w:r>
        <w:rPr>
          <w:rStyle w:val="CharSectno"/>
        </w:rPr>
        <w:t>19</w:t>
      </w:r>
      <w:r>
        <w:t>.</w:t>
      </w:r>
      <w:r>
        <w:tab/>
        <w:t>Suspending or cancelling registration</w:t>
      </w:r>
      <w:bookmarkEnd w:id="30"/>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meet the standards in the continuing registration requirements;</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Subsection"/>
      </w:pPr>
      <w:r>
        <w:tab/>
        <w:t>(9)</w:t>
      </w:r>
      <w:r>
        <w:tab/>
        <w:t>A request by a WA registered provider for the cancellation of its registration must be accompanied by the fee set under regulation 23.</w:t>
      </w:r>
    </w:p>
    <w:p>
      <w:pPr>
        <w:pStyle w:val="Footnotesection"/>
      </w:pPr>
      <w:r>
        <w:tab/>
        <w:t>[Regulation 19 amended in Gazette 25 Oct 2011 p. 4510; 17 Dec 2013 p. 6223.]</w:t>
      </w:r>
    </w:p>
    <w:p>
      <w:pPr>
        <w:pStyle w:val="Heading5"/>
      </w:pPr>
      <w:bookmarkStart w:id="31" w:name="_Toc393111348"/>
      <w:r>
        <w:rPr>
          <w:rStyle w:val="CharSectno"/>
        </w:rPr>
        <w:t>20</w:t>
      </w:r>
      <w:r>
        <w:t>.</w:t>
      </w:r>
      <w:r>
        <w:tab/>
        <w:t>Suspension of WA registered provider may be on terms</w:t>
      </w:r>
      <w:bookmarkEnd w:id="31"/>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32" w:name="_Toc393111349"/>
      <w:r>
        <w:rPr>
          <w:rStyle w:val="CharSectno"/>
        </w:rPr>
        <w:t>21</w:t>
      </w:r>
      <w:r>
        <w:t>.</w:t>
      </w:r>
      <w:r>
        <w:tab/>
        <w:t>Effect of suspension of WA registered provider</w:t>
      </w:r>
      <w:bookmarkEnd w:id="32"/>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33" w:name="_Toc393111350"/>
      <w:r>
        <w:rPr>
          <w:rStyle w:val="CharSectno"/>
        </w:rPr>
        <w:t>22</w:t>
      </w:r>
      <w:r>
        <w:t>.</w:t>
      </w:r>
      <w:r>
        <w:tab/>
        <w:t>Requests for reassessment of decision to suspend WA registered provider</w:t>
      </w:r>
      <w:bookmarkEnd w:id="33"/>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in Gazette 17 Dec 2013 p.</w:t>
      </w:r>
      <w:r>
        <w:rPr>
          <w:sz w:val="19"/>
        </w:rPr>
        <w:t> </w:t>
      </w:r>
      <w:r>
        <w:t>6223</w:t>
      </w:r>
      <w:r>
        <w:noBreakHyphen/>
        <w:t>4.]</w:t>
      </w:r>
    </w:p>
    <w:p>
      <w:pPr>
        <w:pStyle w:val="Heading5"/>
        <w:spacing w:before="180"/>
      </w:pPr>
      <w:bookmarkStart w:id="34" w:name="_Toc393111351"/>
      <w:r>
        <w:rPr>
          <w:rStyle w:val="CharSectno"/>
        </w:rPr>
        <w:t>23</w:t>
      </w:r>
      <w:r>
        <w:t>.</w:t>
      </w:r>
      <w:r>
        <w:tab/>
        <w:t>Fees</w:t>
      </w:r>
      <w:bookmarkEnd w:id="34"/>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35" w:name="_Toc383698243"/>
      <w:bookmarkStart w:id="36" w:name="_Toc393111352"/>
      <w:r>
        <w:rPr>
          <w:rStyle w:val="CharDivNo"/>
        </w:rPr>
        <w:t>Division 3</w:t>
      </w:r>
      <w:r>
        <w:t> — </w:t>
      </w:r>
      <w:r>
        <w:rPr>
          <w:rStyle w:val="CharDivText"/>
        </w:rPr>
        <w:t>Audits of, and investigations into, training providers</w:t>
      </w:r>
      <w:bookmarkEnd w:id="35"/>
      <w:bookmarkEnd w:id="36"/>
    </w:p>
    <w:p>
      <w:pPr>
        <w:pStyle w:val="Footnoteheading"/>
      </w:pPr>
      <w:r>
        <w:tab/>
        <w:t>[Heading amended in Gazette 17 Dec 2013 p. 6224.]</w:t>
      </w:r>
    </w:p>
    <w:p>
      <w:pPr>
        <w:pStyle w:val="Heading5"/>
      </w:pPr>
      <w:bookmarkStart w:id="37" w:name="_Toc393111353"/>
      <w:r>
        <w:rPr>
          <w:rStyle w:val="CharSectno"/>
        </w:rPr>
        <w:t>24</w:t>
      </w:r>
      <w:r>
        <w:t>.</w:t>
      </w:r>
      <w:r>
        <w:tab/>
        <w:t>Terms used</w:t>
      </w:r>
      <w:bookmarkEnd w:id="37"/>
    </w:p>
    <w:p>
      <w:pPr>
        <w:pStyle w:val="Subsection"/>
      </w:pPr>
      <w:r>
        <w:tab/>
      </w:r>
      <w:r>
        <w:tab/>
        <w:t>In this Division —</w:t>
      </w:r>
    </w:p>
    <w:p>
      <w:pPr>
        <w:pStyle w:val="Defstart"/>
      </w:pPr>
      <w:r>
        <w:tab/>
      </w:r>
      <w:r>
        <w:rPr>
          <w:rStyle w:val="CharDefText"/>
        </w:rPr>
        <w:t>compliance audit</w:t>
      </w:r>
      <w:r>
        <w:t xml:space="preserve"> means an audit to establish whether a training provider meets the relevant registration requirements or is complying with the Act;</w:t>
      </w:r>
    </w:p>
    <w:p>
      <w:pPr>
        <w:pStyle w:val="Defstart"/>
      </w:pPr>
      <w:r>
        <w:rPr>
          <w:b/>
          <w:i/>
        </w:rPr>
        <w:tab/>
      </w:r>
      <w:r>
        <w:rPr>
          <w:rStyle w:val="CharDefText"/>
        </w:rPr>
        <w:t>compliance monitoring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 compliance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AQTF;</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in Gazette 17 Dec 2013 p.</w:t>
      </w:r>
      <w:r>
        <w:rPr>
          <w:sz w:val="19"/>
        </w:rPr>
        <w:t> </w:t>
      </w:r>
      <w:r>
        <w:t>6224.]</w:t>
      </w:r>
    </w:p>
    <w:p>
      <w:pPr>
        <w:pStyle w:val="Heading5"/>
      </w:pPr>
      <w:bookmarkStart w:id="38" w:name="_Toc393111354"/>
      <w:r>
        <w:rPr>
          <w:rStyle w:val="CharSectno"/>
        </w:rPr>
        <w:t>25</w:t>
      </w:r>
      <w:r>
        <w:t>.</w:t>
      </w:r>
      <w:r>
        <w:tab/>
        <w:t>Compliance audits</w:t>
      </w:r>
      <w:bookmarkEnd w:id="38"/>
    </w:p>
    <w:p>
      <w:pPr>
        <w:pStyle w:val="Subsection"/>
      </w:pPr>
      <w:r>
        <w:tab/>
        <w:t>(1)</w:t>
      </w:r>
      <w:r>
        <w:tab/>
        <w:t>An inquiry conducted under section 58D of the Act may be in the form of a compliance audit.</w:t>
      </w:r>
    </w:p>
    <w:p>
      <w:pPr>
        <w:pStyle w:val="Subsection"/>
      </w:pPr>
      <w:r>
        <w:tab/>
        <w:t>(2A)</w:t>
      </w:r>
      <w:r>
        <w:tab/>
        <w:t>The Council may conduct a compliance audit at any time on a training provider if the Council thinks fit having regard to the Act and the relevant registration requirements.</w:t>
      </w:r>
    </w:p>
    <w:p>
      <w:pPr>
        <w:pStyle w:val="Subsection"/>
      </w:pPr>
      <w:r>
        <w:tab/>
        <w:t>(2)</w:t>
      </w:r>
      <w:r>
        <w:tab/>
        <w:t>A compliance audit must comply with the Standards for VET Regulators.</w:t>
      </w:r>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Footnotesection"/>
      </w:pPr>
      <w:r>
        <w:tab/>
        <w:t>[Regulation 25 amended in Gazette 17 Dec 2013 p.</w:t>
      </w:r>
      <w:r>
        <w:rPr>
          <w:sz w:val="19"/>
        </w:rPr>
        <w:t> </w:t>
      </w:r>
      <w:r>
        <w:t>6225.]</w:t>
      </w:r>
    </w:p>
    <w:p>
      <w:pPr>
        <w:pStyle w:val="Heading5"/>
      </w:pPr>
      <w:bookmarkStart w:id="39" w:name="_Toc393111355"/>
      <w:r>
        <w:rPr>
          <w:rStyle w:val="CharSectno"/>
        </w:rPr>
        <w:t>26A</w:t>
      </w:r>
      <w:r>
        <w:t>.</w:t>
      </w:r>
      <w:r>
        <w:tab/>
        <w:t>Compliance monitoring audits</w:t>
      </w:r>
      <w:bookmarkEnd w:id="39"/>
    </w:p>
    <w:p>
      <w:pPr>
        <w:pStyle w:val="Subsection"/>
      </w:pPr>
      <w:r>
        <w:tab/>
        <w:t>(1)</w:t>
      </w:r>
      <w:r>
        <w:tab/>
        <w:t>An inquiry conducted under section 58D of the Act may be in the form of a compliance monitoring audit on a WA registered provider.</w:t>
      </w:r>
    </w:p>
    <w:p>
      <w:pPr>
        <w:pStyle w:val="Subsection"/>
      </w:pPr>
      <w:r>
        <w:tab/>
        <w:t>(2)</w:t>
      </w:r>
      <w:r>
        <w:tab/>
        <w:t xml:space="preserve">The Council may conduct a compliance monitoring audit on a WA registered provider — </w:t>
      </w:r>
    </w:p>
    <w:p>
      <w:pPr>
        <w:pStyle w:val="Indenta"/>
      </w:pPr>
      <w:r>
        <w:tab/>
        <w:t>(a)</w:t>
      </w:r>
      <w:r>
        <w:tab/>
        <w:t>if the Council thinks fit after assessing the results of a compliance audit; or</w:t>
      </w:r>
    </w:p>
    <w:p>
      <w:pPr>
        <w:pStyle w:val="Indenta"/>
      </w:pPr>
      <w:r>
        <w:tab/>
        <w:t>(b)</w:t>
      </w:r>
      <w:r>
        <w:tab/>
        <w:t>as part of an investigation of a complaint.</w:t>
      </w:r>
    </w:p>
    <w:p>
      <w:pPr>
        <w:pStyle w:val="Subsection"/>
      </w:pPr>
      <w:r>
        <w:tab/>
        <w:t>(3)</w:t>
      </w:r>
      <w:r>
        <w:tab/>
        <w:t xml:space="preserve">If the Council conducts a compliance monitoring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monitoring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in Gazette 17 Dec 2013 p.</w:t>
      </w:r>
      <w:r>
        <w:rPr>
          <w:sz w:val="19"/>
        </w:rPr>
        <w:t> </w:t>
      </w:r>
      <w:r>
        <w:t>6225</w:t>
      </w:r>
      <w:r>
        <w:noBreakHyphen/>
        <w:t>6.]</w:t>
      </w:r>
    </w:p>
    <w:p>
      <w:pPr>
        <w:pStyle w:val="Heading5"/>
      </w:pPr>
      <w:bookmarkStart w:id="40" w:name="_Toc393111356"/>
      <w:r>
        <w:rPr>
          <w:rStyle w:val="CharSectno"/>
        </w:rPr>
        <w:t>26B</w:t>
      </w:r>
      <w:r>
        <w:t>.</w:t>
      </w:r>
      <w:r>
        <w:tab/>
        <w:t>Investigations of complaints</w:t>
      </w:r>
      <w:bookmarkEnd w:id="40"/>
    </w:p>
    <w:p>
      <w:pPr>
        <w:pStyle w:val="Subsection"/>
      </w:pPr>
      <w:r>
        <w:tab/>
        <w:t>(1)</w:t>
      </w:r>
      <w:r>
        <w:tab/>
        <w:t>An inquiry conducted under section 58D of the Act may be in the form of the investigation of a complaint made about compliance with the AQTF by a WA registered provider.</w:t>
      </w:r>
    </w:p>
    <w:p>
      <w:pPr>
        <w:pStyle w:val="Subsection"/>
      </w:pPr>
      <w:r>
        <w:tab/>
        <w:t>(2)</w:t>
      </w:r>
      <w:r>
        <w:tab/>
        <w:t>An investigation of a complaint must comply with the National Guidelines for Responding to Complaints about Vocational Education and Training Quality in the National Guidelines for a Registering Body, part of the AQTF.</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National Guidelines for Responding to Complaints about Vocational Education and Training Quality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monitoring audit is conducted as part of the investigation — the charges prescribed under regulation 26A(3)(a); and</w:t>
      </w:r>
    </w:p>
    <w:p>
      <w:pPr>
        <w:pStyle w:val="Indenta"/>
      </w:pPr>
      <w:r>
        <w:tab/>
        <w:t>(c)</w:t>
      </w:r>
      <w:r>
        <w:tab/>
        <w:t>if any part of the investigation, or compliance monitoring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in Gazette 17 Dec 2013 p.</w:t>
      </w:r>
      <w:r>
        <w:rPr>
          <w:sz w:val="19"/>
        </w:rPr>
        <w:t> </w:t>
      </w:r>
      <w:r>
        <w:t>6226.]</w:t>
      </w:r>
    </w:p>
    <w:p>
      <w:pPr>
        <w:pStyle w:val="Heading5"/>
      </w:pPr>
      <w:bookmarkStart w:id="41" w:name="_Toc393111357"/>
      <w:r>
        <w:rPr>
          <w:rStyle w:val="CharSectno"/>
        </w:rPr>
        <w:t>26C</w:t>
      </w:r>
      <w:r>
        <w:t>.</w:t>
      </w:r>
      <w:r>
        <w:tab/>
        <w:t>Circumstances in which a charge may be waived in whole or in part</w:t>
      </w:r>
      <w:bookmarkEnd w:id="41"/>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monitoring audit or investigation that resulted in the imposition of a charge;</w:t>
      </w:r>
    </w:p>
    <w:p>
      <w:pPr>
        <w:pStyle w:val="Indenta"/>
      </w:pPr>
      <w:r>
        <w:tab/>
        <w:t>(b)</w:t>
      </w:r>
      <w:r>
        <w:tab/>
        <w:t>where the WA registered provider required to pay the charge does not agree with the outcome of the compliance monitoring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in Gazette 17 Dec 2013 p.</w:t>
      </w:r>
      <w:r>
        <w:rPr>
          <w:sz w:val="19"/>
        </w:rPr>
        <w:t> </w:t>
      </w:r>
      <w:r>
        <w:t>6227.]</w:t>
      </w:r>
    </w:p>
    <w:p>
      <w:pPr>
        <w:pStyle w:val="Heading5"/>
      </w:pPr>
      <w:bookmarkStart w:id="42" w:name="_Toc393111358"/>
      <w:r>
        <w:rPr>
          <w:rStyle w:val="CharSectno"/>
        </w:rPr>
        <w:t>26D</w:t>
      </w:r>
      <w:r>
        <w:t>.</w:t>
      </w:r>
      <w:r>
        <w:tab/>
        <w:t>Rounding</w:t>
      </w:r>
      <w:bookmarkEnd w:id="42"/>
    </w:p>
    <w:p>
      <w:pPr>
        <w:pStyle w:val="Subsection"/>
      </w:pPr>
      <w:r>
        <w:tab/>
      </w:r>
      <w:r>
        <w:tab/>
        <w:t xml:space="preserve">When determining under regulations 26A(3)(a)(ii) and 26B(4)(a)(i) the amount of the charge payable for a compliance monitoring audit or investigation where the hourly rate is $250 per hour, the following amounts will apply in the following circumstances — </w:t>
      </w:r>
    </w:p>
    <w:p>
      <w:pPr>
        <w:pStyle w:val="Indenta"/>
      </w:pPr>
      <w:r>
        <w:tab/>
        <w:t>(a)</w:t>
      </w:r>
      <w:r>
        <w:tab/>
        <w:t>if the time taken to complete the compliance monitoring audit or an investigation is less than 30 minutes, the total amount payable will be zero dollars;</w:t>
      </w:r>
    </w:p>
    <w:p>
      <w:pPr>
        <w:pStyle w:val="Indenta"/>
      </w:pPr>
      <w:r>
        <w:tab/>
        <w:t>(b)</w:t>
      </w:r>
      <w:r>
        <w:tab/>
        <w:t>if the time taken to complete the compliance monitoring audit or investigation is less than one hour but equal to or greater than 30 minutes, the total amount payable will be $125.</w:t>
      </w:r>
    </w:p>
    <w:p>
      <w:pPr>
        <w:pStyle w:val="Footnotesection"/>
      </w:pPr>
      <w:r>
        <w:tab/>
        <w:t>[Regulation 26D inserted in Gazette 17 Dec 2013 p.</w:t>
      </w:r>
      <w:r>
        <w:rPr>
          <w:sz w:val="19"/>
        </w:rPr>
        <w:t> </w:t>
      </w:r>
      <w:r>
        <w:t>6227.]</w:t>
      </w:r>
    </w:p>
    <w:p>
      <w:pPr>
        <w:pStyle w:val="Heading3"/>
        <w:pageBreakBefore/>
      </w:pPr>
      <w:bookmarkStart w:id="43" w:name="_Toc383698250"/>
      <w:bookmarkStart w:id="44" w:name="_Toc393111359"/>
      <w:r>
        <w:rPr>
          <w:rStyle w:val="CharDivNo"/>
        </w:rPr>
        <w:t>Division 4</w:t>
      </w:r>
      <w:r>
        <w:t> — </w:t>
      </w:r>
      <w:r>
        <w:rPr>
          <w:rStyle w:val="CharDivText"/>
        </w:rPr>
        <w:t>Obligations of registered training providers and of the Council</w:t>
      </w:r>
      <w:bookmarkEnd w:id="43"/>
      <w:bookmarkEnd w:id="44"/>
    </w:p>
    <w:p>
      <w:pPr>
        <w:pStyle w:val="Footnoteheading"/>
      </w:pPr>
      <w:r>
        <w:tab/>
        <w:t>[Heading amended in Gazette 17 Dec 2013 p. 6228.]</w:t>
      </w:r>
    </w:p>
    <w:p>
      <w:pPr>
        <w:pStyle w:val="Heading5"/>
      </w:pPr>
      <w:bookmarkStart w:id="45" w:name="_Toc393111360"/>
      <w:r>
        <w:rPr>
          <w:rStyle w:val="CharSectno"/>
        </w:rPr>
        <w:t>26</w:t>
      </w:r>
      <w:r>
        <w:t>.</w:t>
      </w:r>
      <w:r>
        <w:tab/>
        <w:t>Reporting to Council</w:t>
      </w:r>
      <w:bookmarkEnd w:id="45"/>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Subsection"/>
        <w:keepNext/>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w:t>
      </w:r>
    </w:p>
    <w:p>
      <w:pPr>
        <w:pStyle w:val="Heading5"/>
      </w:pPr>
      <w:bookmarkStart w:id="46" w:name="_Toc393111361"/>
      <w:r>
        <w:rPr>
          <w:rStyle w:val="CharSectno"/>
        </w:rPr>
        <w:t>27</w:t>
      </w:r>
      <w:r>
        <w:t>.</w:t>
      </w:r>
      <w:r>
        <w:tab/>
        <w:t>Giving Council information on ceasing operations</w:t>
      </w:r>
      <w:bookmarkEnd w:id="46"/>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conditions of registration in the continuing registration requirements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in Gazette 25 Oct 2011 p. 4511.]</w:t>
      </w:r>
    </w:p>
    <w:p>
      <w:pPr>
        <w:pStyle w:val="Heading5"/>
      </w:pPr>
      <w:bookmarkStart w:id="47" w:name="_Toc393111362"/>
      <w:r>
        <w:rPr>
          <w:rStyle w:val="CharSectno"/>
        </w:rPr>
        <w:t>28A</w:t>
      </w:r>
      <w:r>
        <w:t>.</w:t>
      </w:r>
      <w:r>
        <w:tab/>
        <w:t>Person may obtain from Council certified copies of information</w:t>
      </w:r>
      <w:bookmarkEnd w:id="47"/>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in Gazette 17 Dec 2013 p.</w:t>
      </w:r>
      <w:r>
        <w:rPr>
          <w:sz w:val="19"/>
        </w:rPr>
        <w:t> </w:t>
      </w:r>
      <w:r>
        <w:t>6228.]</w:t>
      </w:r>
    </w:p>
    <w:p>
      <w:pPr>
        <w:pStyle w:val="Heading3"/>
      </w:pPr>
      <w:bookmarkStart w:id="48" w:name="_Toc383698254"/>
      <w:bookmarkStart w:id="49" w:name="_Toc393111363"/>
      <w:r>
        <w:rPr>
          <w:rStyle w:val="CharDivNo"/>
        </w:rPr>
        <w:t>Division 5</w:t>
      </w:r>
      <w:r>
        <w:t> — </w:t>
      </w:r>
      <w:r>
        <w:rPr>
          <w:rStyle w:val="CharDivText"/>
        </w:rPr>
        <w:t>Accreditation of VET courses</w:t>
      </w:r>
      <w:bookmarkEnd w:id="48"/>
      <w:bookmarkEnd w:id="49"/>
    </w:p>
    <w:p>
      <w:pPr>
        <w:pStyle w:val="Heading5"/>
      </w:pPr>
      <w:bookmarkStart w:id="50" w:name="_Toc393111364"/>
      <w:r>
        <w:rPr>
          <w:rStyle w:val="CharSectno"/>
        </w:rPr>
        <w:t>28</w:t>
      </w:r>
      <w:r>
        <w:t>.</w:t>
      </w:r>
      <w:r>
        <w:tab/>
        <w:t>Applying to have VET course accredited</w:t>
      </w:r>
      <w:bookmarkEnd w:id="50"/>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w:t>
      </w:r>
    </w:p>
    <w:p>
      <w:pPr>
        <w:pStyle w:val="Indenti"/>
      </w:pPr>
      <w:r>
        <w:tab/>
        <w:t>(i)</w:t>
      </w:r>
      <w:r>
        <w:tab/>
        <w:t>for a VET course for a prescribed VET qualification — $2 700;</w:t>
      </w:r>
    </w:p>
    <w:p>
      <w:pPr>
        <w:pStyle w:val="Indenti"/>
      </w:pPr>
      <w:r>
        <w:tab/>
        <w:t>(ii)</w:t>
      </w:r>
      <w:r>
        <w:tab/>
        <w:t>for any other VET course — $715.</w:t>
      </w:r>
    </w:p>
    <w:p>
      <w:pPr>
        <w:pStyle w:val="Footnotesection"/>
      </w:pPr>
      <w:r>
        <w:tab/>
        <w:t>[Regulation 28 amended in Gazette 25 Oct 2011 p. 4512; 21 Aug 2012 p. 3927; 17 Dec 2013 p. 6228.]</w:t>
      </w:r>
    </w:p>
    <w:p>
      <w:pPr>
        <w:pStyle w:val="Heading5"/>
      </w:pPr>
      <w:bookmarkStart w:id="51" w:name="_Toc393111365"/>
      <w:r>
        <w:rPr>
          <w:rStyle w:val="CharSectno"/>
        </w:rPr>
        <w:t>29</w:t>
      </w:r>
      <w:r>
        <w:t>.</w:t>
      </w:r>
      <w:r>
        <w:tab/>
        <w:t>Dealing with applications</w:t>
      </w:r>
      <w:bookmarkEnd w:id="51"/>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52" w:name="_Toc393111366"/>
      <w:r>
        <w:rPr>
          <w:rStyle w:val="CharSectno"/>
        </w:rPr>
        <w:t>30</w:t>
      </w:r>
      <w:r>
        <w:t>.</w:t>
      </w:r>
      <w:r>
        <w:tab/>
        <w:t>Accrediting VET courses</w:t>
      </w:r>
      <w:bookmarkEnd w:id="52"/>
    </w:p>
    <w:p>
      <w:pPr>
        <w:pStyle w:val="Subsection"/>
        <w:keepNext/>
      </w:pPr>
      <w:r>
        <w:tab/>
        <w:t>(1)</w:t>
      </w:r>
      <w:r>
        <w:tab/>
        <w:t xml:space="preserve">The Council must not accredit a VET course unless — </w:t>
      </w:r>
    </w:p>
    <w:p>
      <w:pPr>
        <w:pStyle w:val="Indenta"/>
      </w:pPr>
      <w:r>
        <w:tab/>
        <w:t>(a)</w:t>
      </w:r>
      <w:r>
        <w:tab/>
        <w:t>it has assessed the VET course in accordance with the Standards for VET Regulators;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Standards for VET Regulators;</w:t>
      </w:r>
    </w:p>
    <w:p>
      <w:pPr>
        <w:pStyle w:val="Indenta"/>
      </w:pPr>
      <w:r>
        <w:tab/>
        <w:t>(c)</w:t>
      </w:r>
      <w:r>
        <w:tab/>
        <w:t>give that person written notice of any condition to which the accreditation is subject.</w:t>
      </w:r>
    </w:p>
    <w:p>
      <w:pPr>
        <w:pStyle w:val="Footnotesection"/>
      </w:pPr>
      <w:r>
        <w:tab/>
        <w:t>[Regulation 30 amended in Gazette 17 Dec 2013 p.</w:t>
      </w:r>
      <w:r>
        <w:rPr>
          <w:sz w:val="19"/>
        </w:rPr>
        <w:t> </w:t>
      </w:r>
      <w:r>
        <w:t>6228</w:t>
      </w:r>
      <w:r>
        <w:noBreakHyphen/>
        <w:t>9.]</w:t>
      </w:r>
    </w:p>
    <w:p>
      <w:pPr>
        <w:pStyle w:val="Heading5"/>
      </w:pPr>
      <w:bookmarkStart w:id="53" w:name="_Toc393111367"/>
      <w:r>
        <w:rPr>
          <w:rStyle w:val="CharSectno"/>
        </w:rPr>
        <w:t>31</w:t>
      </w:r>
      <w:r>
        <w:t>.</w:t>
      </w:r>
      <w:r>
        <w:tab/>
        <w:t>Period of accreditation</w:t>
      </w:r>
      <w:bookmarkEnd w:id="53"/>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54" w:name="_Toc393111368"/>
      <w:r>
        <w:rPr>
          <w:rStyle w:val="CharSectno"/>
        </w:rPr>
        <w:t>32</w:t>
      </w:r>
      <w:r>
        <w:t>.</w:t>
      </w:r>
      <w:r>
        <w:tab/>
        <w:t>Renewing accreditation</w:t>
      </w:r>
      <w:bookmarkEnd w:id="54"/>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55" w:name="_Toc393111369"/>
      <w:r>
        <w:rPr>
          <w:rStyle w:val="CharSectno"/>
        </w:rPr>
        <w:t>33A</w:t>
      </w:r>
      <w:r>
        <w:t>.</w:t>
      </w:r>
      <w:r>
        <w:tab/>
        <w:t>Varying accreditation</w:t>
      </w:r>
      <w:bookmarkEnd w:id="55"/>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VET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$500.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VET course, it must give to the owner of the course —</w:t>
      </w:r>
    </w:p>
    <w:p>
      <w:pPr>
        <w:pStyle w:val="Indenta"/>
      </w:pPr>
      <w:r>
        <w:tab/>
        <w:t>(a)</w:t>
      </w:r>
      <w:r>
        <w:tab/>
        <w:t>a course accreditation document in accordance with the Standards for VET Regulators; and</w:t>
      </w:r>
    </w:p>
    <w:p>
      <w:pPr>
        <w:pStyle w:val="Indenta"/>
      </w:pPr>
      <w:r>
        <w:tab/>
        <w:t>(b)</w:t>
      </w:r>
      <w:r>
        <w:tab/>
        <w:t>written notice of any condition to which the accreditation as varied is subject.</w:t>
      </w:r>
    </w:p>
    <w:p>
      <w:pPr>
        <w:pStyle w:val="Footnotesection"/>
      </w:pPr>
      <w:r>
        <w:tab/>
        <w:t>[Regulation 33A inserted in Gazette 17 Dec 2013 p.</w:t>
      </w:r>
      <w:r>
        <w:rPr>
          <w:sz w:val="19"/>
        </w:rPr>
        <w:t> </w:t>
      </w:r>
      <w:r>
        <w:t>6229</w:t>
      </w:r>
      <w:r>
        <w:noBreakHyphen/>
        <w:t>30.]</w:t>
      </w:r>
    </w:p>
    <w:p>
      <w:pPr>
        <w:pStyle w:val="Heading5"/>
      </w:pPr>
      <w:bookmarkStart w:id="56" w:name="_Toc393111370"/>
      <w:r>
        <w:rPr>
          <w:rStyle w:val="CharSectno"/>
        </w:rPr>
        <w:t>33</w:t>
      </w:r>
      <w:r>
        <w:t>.</w:t>
      </w:r>
      <w:r>
        <w:tab/>
        <w:t>Cancelling accreditation</w:t>
      </w:r>
      <w:bookmarkEnd w:id="56"/>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57" w:name="_Toc383698262"/>
      <w:bookmarkStart w:id="58" w:name="_Toc393111371"/>
      <w:r>
        <w:rPr>
          <w:rStyle w:val="CharPartNo"/>
        </w:rPr>
        <w:t>Part 4</w:t>
      </w:r>
      <w:r>
        <w:t> — </w:t>
      </w:r>
      <w:r>
        <w:rPr>
          <w:rStyle w:val="CharPartText"/>
        </w:rPr>
        <w:t>Regulations for Part 7 of the Act</w:t>
      </w:r>
      <w:bookmarkEnd w:id="57"/>
      <w:bookmarkEnd w:id="58"/>
    </w:p>
    <w:p>
      <w:pPr>
        <w:pStyle w:val="Heading3"/>
      </w:pPr>
      <w:bookmarkStart w:id="59" w:name="_Toc383698263"/>
      <w:bookmarkStart w:id="60" w:name="_Toc393111372"/>
      <w:r>
        <w:rPr>
          <w:rStyle w:val="CharDivNo"/>
        </w:rPr>
        <w:t>Division 1</w:t>
      </w:r>
      <w:r>
        <w:t> — </w:t>
      </w:r>
      <w:r>
        <w:rPr>
          <w:rStyle w:val="CharDivText"/>
        </w:rPr>
        <w:t>General matters</w:t>
      </w:r>
      <w:bookmarkEnd w:id="59"/>
      <w:bookmarkEnd w:id="60"/>
    </w:p>
    <w:p>
      <w:pPr>
        <w:pStyle w:val="Heading5"/>
      </w:pPr>
      <w:bookmarkStart w:id="61" w:name="_Toc393111373"/>
      <w:r>
        <w:rPr>
          <w:rStyle w:val="CharSectno"/>
        </w:rPr>
        <w:t>34</w:t>
      </w:r>
      <w:r>
        <w:t>.</w:t>
      </w:r>
      <w:r>
        <w:tab/>
        <w:t>Term used: nominated training provider</w:t>
      </w:r>
      <w:bookmarkEnd w:id="61"/>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62" w:name="_Toc393111374"/>
      <w:r>
        <w:rPr>
          <w:rStyle w:val="CharSectno"/>
        </w:rPr>
        <w:t>35</w:t>
      </w:r>
      <w:r>
        <w:t>.</w:t>
      </w:r>
      <w:r>
        <w:tab/>
        <w:t>Chief executive may delegate</w:t>
      </w:r>
      <w:bookmarkEnd w:id="62"/>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63" w:name="_Toc383698266"/>
      <w:bookmarkStart w:id="64" w:name="_Toc393111375"/>
      <w:r>
        <w:rPr>
          <w:rStyle w:val="CharDivNo"/>
        </w:rPr>
        <w:t>Division 2</w:t>
      </w:r>
      <w:r>
        <w:t> — </w:t>
      </w:r>
      <w:r>
        <w:rPr>
          <w:rStyle w:val="CharDivText"/>
        </w:rPr>
        <w:t>Classifying prescribed VET qualifications</w:t>
      </w:r>
      <w:bookmarkEnd w:id="63"/>
      <w:bookmarkEnd w:id="64"/>
    </w:p>
    <w:p>
      <w:pPr>
        <w:pStyle w:val="Heading5"/>
      </w:pPr>
      <w:bookmarkStart w:id="65" w:name="_Toc393111376"/>
      <w:r>
        <w:rPr>
          <w:rStyle w:val="CharSectno"/>
        </w:rPr>
        <w:t>36</w:t>
      </w:r>
      <w:r>
        <w:t>.</w:t>
      </w:r>
      <w:r>
        <w:tab/>
        <w:t>Who Board must consult (Act s. 60C)</w:t>
      </w:r>
      <w:bookmarkEnd w:id="65"/>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66" w:name="_Toc393111377"/>
      <w:r>
        <w:rPr>
          <w:rStyle w:val="CharSectno"/>
        </w:rPr>
        <w:t>37</w:t>
      </w:r>
      <w:r>
        <w:t>.</w:t>
      </w:r>
      <w:r>
        <w:tab/>
        <w:t>Board’s advice and recommendations to Minister (Act s. 60C)</w:t>
      </w:r>
      <w:bookmarkEnd w:id="66"/>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in Gazette 17 Dec 2013 p.</w:t>
      </w:r>
      <w:r>
        <w:rPr>
          <w:sz w:val="19"/>
        </w:rPr>
        <w:t> </w:t>
      </w:r>
      <w:r>
        <w:t>6230.]</w:t>
      </w:r>
    </w:p>
    <w:p>
      <w:pPr>
        <w:pStyle w:val="Heading3"/>
      </w:pPr>
      <w:bookmarkStart w:id="67" w:name="_Toc383698269"/>
      <w:bookmarkStart w:id="68" w:name="_Toc393111378"/>
      <w:r>
        <w:rPr>
          <w:rStyle w:val="CharDivNo"/>
        </w:rPr>
        <w:t>Division 3</w:t>
      </w:r>
      <w:r>
        <w:t> — </w:t>
      </w:r>
      <w:r>
        <w:rPr>
          <w:rStyle w:val="CharDivText"/>
        </w:rPr>
        <w:t>Training contracts</w:t>
      </w:r>
      <w:bookmarkEnd w:id="67"/>
      <w:bookmarkEnd w:id="68"/>
    </w:p>
    <w:p>
      <w:pPr>
        <w:pStyle w:val="Heading5"/>
      </w:pPr>
      <w:bookmarkStart w:id="69" w:name="_Toc393111379"/>
      <w:r>
        <w:rPr>
          <w:rStyle w:val="CharSectno"/>
        </w:rPr>
        <w:t>38</w:t>
      </w:r>
      <w:r>
        <w:t>.</w:t>
      </w:r>
      <w:r>
        <w:tab/>
        <w:t>Form and content of training contracts</w:t>
      </w:r>
      <w:bookmarkEnd w:id="69"/>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Heading5"/>
        <w:spacing w:before="180"/>
      </w:pPr>
      <w:bookmarkStart w:id="70" w:name="_Toc393111380"/>
      <w:r>
        <w:rPr>
          <w:rStyle w:val="CharSectno"/>
        </w:rPr>
        <w:t>39</w:t>
      </w:r>
      <w:r>
        <w:t>.</w:t>
      </w:r>
      <w:r>
        <w:tab/>
        <w:t>Probation periods of training contracts</w:t>
      </w:r>
      <w:bookmarkEnd w:id="70"/>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71" w:name="_Toc393111381"/>
      <w:r>
        <w:rPr>
          <w:rStyle w:val="CharSectno"/>
        </w:rPr>
        <w:t>40</w:t>
      </w:r>
      <w:r>
        <w:t>.</w:t>
      </w:r>
      <w:r>
        <w:tab/>
        <w:t>Children’s capacity to enter into training contracts</w:t>
      </w:r>
      <w:bookmarkEnd w:id="71"/>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72" w:name="_Toc393111382"/>
      <w:r>
        <w:rPr>
          <w:rStyle w:val="CharSectno"/>
        </w:rPr>
        <w:t>41</w:t>
      </w:r>
      <w:r>
        <w:t>.</w:t>
      </w:r>
      <w:r>
        <w:tab/>
        <w:t>Lodging training contracts for registration (Act s. 60F)</w:t>
      </w:r>
      <w:bookmarkEnd w:id="72"/>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73" w:name="_Toc393111383"/>
      <w:r>
        <w:rPr>
          <w:rStyle w:val="CharSectno"/>
        </w:rPr>
        <w:t>42</w:t>
      </w:r>
      <w:r>
        <w:t>.</w:t>
      </w:r>
      <w:r>
        <w:tab/>
        <w:t>Registering training contracts (Act s. 60F)</w:t>
      </w:r>
      <w:bookmarkEnd w:id="73"/>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w:t>
      </w:r>
      <w:r>
        <w:tab/>
        <w:t>the chief executive is satisfied the parties have terminated the contract.</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Heading5"/>
      </w:pPr>
      <w:bookmarkStart w:id="74" w:name="_Toc393111384"/>
      <w:r>
        <w:rPr>
          <w:rStyle w:val="CharSectno"/>
        </w:rPr>
        <w:t>43</w:t>
      </w:r>
      <w:r>
        <w:t>.</w:t>
      </w:r>
      <w:r>
        <w:tab/>
        <w:t>Training plans for training contracts</w:t>
      </w:r>
      <w:bookmarkEnd w:id="74"/>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75" w:name="_Toc393111385"/>
      <w:r>
        <w:rPr>
          <w:rStyle w:val="CharSectno"/>
        </w:rPr>
        <w:t>44</w:t>
      </w:r>
      <w:r>
        <w:t>.</w:t>
      </w:r>
      <w:r>
        <w:tab/>
        <w:t>Cancellation of registration by chief executive (Act s. 60F)</w:t>
      </w:r>
      <w:bookmarkEnd w:id="75"/>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76" w:name="_Toc393111386"/>
      <w:r>
        <w:rPr>
          <w:rStyle w:val="CharSectno"/>
        </w:rPr>
        <w:t>45</w:t>
      </w:r>
      <w:r>
        <w:t>.</w:t>
      </w:r>
      <w:r>
        <w:tab/>
        <w:t>Chief executive may require persons involved in training contracts to provide information</w:t>
      </w:r>
      <w:bookmarkEnd w:id="76"/>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77" w:name="_Toc393111387"/>
      <w:r>
        <w:rPr>
          <w:rStyle w:val="CharSectno"/>
        </w:rPr>
        <w:t>46</w:t>
      </w:r>
      <w:r>
        <w:t>.</w:t>
      </w:r>
      <w:r>
        <w:tab/>
        <w:t>Variation of training contract by parties (Act s. 60E)</w:t>
      </w:r>
      <w:bookmarkEnd w:id="77"/>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78" w:name="_Toc393111388"/>
      <w:r>
        <w:rPr>
          <w:rStyle w:val="CharSectno"/>
        </w:rPr>
        <w:t>47</w:t>
      </w:r>
      <w:r>
        <w:t>.</w:t>
      </w:r>
      <w:r>
        <w:tab/>
        <w:t>Assignment of training contract to another employer (Act s. 60E)</w:t>
      </w:r>
      <w:bookmarkEnd w:id="78"/>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79" w:name="_Toc393111389"/>
      <w:r>
        <w:rPr>
          <w:rStyle w:val="CharSectno"/>
        </w:rPr>
        <w:t>48</w:t>
      </w:r>
      <w:r>
        <w:t>.</w:t>
      </w:r>
      <w:r>
        <w:tab/>
        <w:t>Suspension of training contract by parties (Act s. 60E)</w:t>
      </w:r>
      <w:bookmarkEnd w:id="79"/>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80" w:name="_Toc393111390"/>
      <w:r>
        <w:rPr>
          <w:rStyle w:val="CharSectno"/>
        </w:rPr>
        <w:t>49</w:t>
      </w:r>
      <w:r>
        <w:t>.</w:t>
      </w:r>
      <w:r>
        <w:tab/>
        <w:t>Suspension by employer (Act s. 60E)</w:t>
      </w:r>
      <w:bookmarkEnd w:id="80"/>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81" w:name="_Toc393111391"/>
      <w:r>
        <w:rPr>
          <w:rStyle w:val="CharSectno"/>
        </w:rPr>
        <w:t>50</w:t>
      </w:r>
      <w:r>
        <w:t>.</w:t>
      </w:r>
      <w:r>
        <w:tab/>
        <w:t>Termination of training contract by parties (Act s. 60G)</w:t>
      </w:r>
      <w:bookmarkEnd w:id="81"/>
    </w:p>
    <w:p>
      <w:pPr>
        <w:pStyle w:val="Subsection"/>
      </w:pPr>
      <w:r>
        <w:tab/>
      </w:r>
      <w:r>
        <w:tab/>
        <w:t>A party to a training contract may terminate the contract during the contract’s probation period without the approval of the chief executive.</w:t>
      </w:r>
    </w:p>
    <w:p>
      <w:pPr>
        <w:pStyle w:val="Heading5"/>
      </w:pPr>
      <w:bookmarkStart w:id="82" w:name="_Toc393111392"/>
      <w:r>
        <w:rPr>
          <w:rStyle w:val="CharSectno"/>
        </w:rPr>
        <w:t>51</w:t>
      </w:r>
      <w:r>
        <w:t>.</w:t>
      </w:r>
      <w:r>
        <w:tab/>
        <w:t>Approval of termination of training contract by chief executive (Act s. 60G)</w:t>
      </w:r>
      <w:bookmarkEnd w:id="82"/>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83" w:name="_Toc393111393"/>
      <w:r>
        <w:rPr>
          <w:rStyle w:val="CharSectno"/>
        </w:rPr>
        <w:t>52</w:t>
      </w:r>
      <w:r>
        <w:t>.</w:t>
      </w:r>
      <w:r>
        <w:tab/>
        <w:t>Completion of training contract</w:t>
      </w:r>
      <w:bookmarkEnd w:id="83"/>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84" w:name="_Toc383698285"/>
      <w:bookmarkStart w:id="85" w:name="_Toc393111394"/>
      <w:r>
        <w:rPr>
          <w:rStyle w:val="CharDivNo"/>
        </w:rPr>
        <w:t>Division 4</w:t>
      </w:r>
      <w:r>
        <w:t> — </w:t>
      </w:r>
      <w:r>
        <w:rPr>
          <w:rStyle w:val="CharDivText"/>
        </w:rPr>
        <w:t>Procedure and appeals</w:t>
      </w:r>
      <w:bookmarkEnd w:id="84"/>
      <w:bookmarkEnd w:id="85"/>
    </w:p>
    <w:p>
      <w:pPr>
        <w:pStyle w:val="Heading5"/>
      </w:pPr>
      <w:bookmarkStart w:id="86" w:name="_Toc393111395"/>
      <w:r>
        <w:rPr>
          <w:rStyle w:val="CharSectno"/>
        </w:rPr>
        <w:t>53</w:t>
      </w:r>
      <w:r>
        <w:t>.</w:t>
      </w:r>
      <w:r>
        <w:tab/>
        <w:t>Procedure on applications</w:t>
      </w:r>
      <w:bookmarkEnd w:id="86"/>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87" w:name="_Toc393111396"/>
      <w:r>
        <w:rPr>
          <w:rStyle w:val="CharSectno"/>
        </w:rPr>
        <w:t>54</w:t>
      </w:r>
      <w:r>
        <w:t>.</w:t>
      </w:r>
      <w:r>
        <w:tab/>
        <w:t>Appeals</w:t>
      </w:r>
      <w:bookmarkEnd w:id="87"/>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88" w:name="_Toc383698288"/>
      <w:bookmarkStart w:id="89" w:name="_Toc393111397"/>
      <w:r>
        <w:rPr>
          <w:rStyle w:val="CharPartNo"/>
        </w:rPr>
        <w:t>Part 5</w:t>
      </w:r>
      <w:r>
        <w:rPr>
          <w:rStyle w:val="CharDivNo"/>
        </w:rPr>
        <w:t> </w:t>
      </w:r>
      <w:r>
        <w:t>—</w:t>
      </w:r>
      <w:r>
        <w:rPr>
          <w:rStyle w:val="CharDivText"/>
        </w:rPr>
        <w:t> </w:t>
      </w:r>
      <w:r>
        <w:rPr>
          <w:rStyle w:val="CharPartText"/>
        </w:rPr>
        <w:t>Repeals and transitional matters</w:t>
      </w:r>
      <w:bookmarkEnd w:id="88"/>
      <w:bookmarkEnd w:id="89"/>
    </w:p>
    <w:p>
      <w:pPr>
        <w:pStyle w:val="Heading5"/>
      </w:pPr>
      <w:bookmarkStart w:id="90" w:name="_Toc393111398"/>
      <w:r>
        <w:rPr>
          <w:rStyle w:val="CharSectno"/>
        </w:rPr>
        <w:t>55</w:t>
      </w:r>
      <w:r>
        <w:t>.</w:t>
      </w:r>
      <w:r>
        <w:tab/>
        <w:t>Term used: commencement</w:t>
      </w:r>
      <w:bookmarkEnd w:id="90"/>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91" w:name="_Toc393111399"/>
      <w:r>
        <w:rPr>
          <w:rStyle w:val="CharSectno"/>
        </w:rPr>
        <w:t>57</w:t>
      </w:r>
      <w:r>
        <w:t>.</w:t>
      </w:r>
      <w:r>
        <w:tab/>
        <w:t>Registered training providers</w:t>
      </w:r>
      <w:bookmarkEnd w:id="91"/>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92" w:name="_Toc393111400"/>
      <w:r>
        <w:rPr>
          <w:rStyle w:val="CharSectno"/>
        </w:rPr>
        <w:t>58</w:t>
      </w:r>
      <w:r>
        <w:t>.</w:t>
      </w:r>
      <w:r>
        <w:tab/>
        <w:t>Accredited courses</w:t>
      </w:r>
      <w:bookmarkEnd w:id="92"/>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93" w:name="_Toc393111401"/>
      <w:r>
        <w:rPr>
          <w:rStyle w:val="CharSectno"/>
        </w:rPr>
        <w:t>59</w:t>
      </w:r>
      <w:r>
        <w:t>.</w:t>
      </w:r>
      <w:r>
        <w:tab/>
        <w:t>Traineeship contracts</w:t>
      </w:r>
      <w:bookmarkEnd w:id="93"/>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3</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94" w:name="_Toc393111402"/>
      <w:r>
        <w:rPr>
          <w:rStyle w:val="CharSectno"/>
        </w:rPr>
        <w:t>60</w:t>
      </w:r>
      <w:r>
        <w:t>.</w:t>
      </w:r>
      <w:r>
        <w:tab/>
        <w:t>Apprentices learning trades, transitional provisions for</w:t>
      </w:r>
      <w:bookmarkEnd w:id="94"/>
    </w:p>
    <w:p>
      <w:pPr>
        <w:pStyle w:val="Subsection"/>
      </w:pPr>
      <w:r>
        <w:tab/>
      </w:r>
      <w:r>
        <w:tab/>
        <w:t>Schedule 2 sets out transitional provisions.</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5" w:name="_Toc383698294"/>
      <w:bookmarkStart w:id="96" w:name="_Toc393111403"/>
      <w:r>
        <w:rPr>
          <w:rStyle w:val="CharSchNo"/>
        </w:rPr>
        <w:t>Schedule 1</w:t>
      </w:r>
      <w:r>
        <w:rPr>
          <w:rStyle w:val="CharSDivNo"/>
        </w:rPr>
        <w:t> </w:t>
      </w:r>
      <w:r>
        <w:t>—</w:t>
      </w:r>
      <w:r>
        <w:rPr>
          <w:rStyle w:val="CharSDivText"/>
        </w:rPr>
        <w:t> </w:t>
      </w:r>
      <w:r>
        <w:rPr>
          <w:rStyle w:val="CharSchText"/>
        </w:rPr>
        <w:t>Training contract</w:t>
      </w:r>
      <w:bookmarkEnd w:id="95"/>
      <w:bookmarkEnd w:id="96"/>
    </w:p>
    <w:p>
      <w:pPr>
        <w:pStyle w:val="yShoulderClause"/>
      </w:pPr>
      <w:r>
        <w:t>[r. 38]</w:t>
      </w:r>
    </w:p>
    <w:p>
      <w:pPr>
        <w:pStyle w:val="yMiscellaneousBody"/>
        <w:ind w:left="2977"/>
        <w:rPr>
          <w:rFonts w:ascii="Arial" w:hAnsi="Arial" w:cs="Arial"/>
        </w:rPr>
      </w:pPr>
      <w:r>
        <w:rPr>
          <w:rFonts w:ascii="Arial" w:hAnsi="Arial" w:cs="Arial"/>
        </w:rPr>
        <w:t>Apprenticeship/Traineeship</w:t>
      </w:r>
    </w:p>
    <w:p>
      <w:pPr>
        <w:pStyle w:val="yMiscellaneousBody"/>
        <w:spacing w:before="0"/>
        <w:ind w:left="2977"/>
        <w:rPr>
          <w:rFonts w:ascii="Arial" w:hAnsi="Arial" w:cs="Arial"/>
          <w:b/>
          <w:bCs/>
        </w:rPr>
      </w:pPr>
      <w:r>
        <w:rPr>
          <w:rFonts w:ascii="Arial" w:hAnsi="Arial" w:cs="Arial"/>
          <w:b/>
          <w:bCs/>
          <w:sz w:val="24"/>
        </w:rPr>
        <w:t>Training Contract</w:t>
      </w:r>
    </w:p>
    <w:p>
      <w:pPr>
        <w:pStyle w:val="yMiscellaneousBody"/>
        <w:spacing w:before="40"/>
        <w:ind w:left="2977"/>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40"/>
        <w:ind w:left="2977"/>
        <w:rPr>
          <w:rFonts w:ascii="Arial" w:hAnsi="Arial" w:cs="Arial"/>
        </w:rPr>
      </w:pPr>
      <w:r>
        <w:rPr>
          <w:rFonts w:ascii="Arial" w:hAnsi="Arial" w:cs="Arial"/>
        </w:rPr>
        <w:t>including</w:t>
      </w:r>
    </w:p>
    <w:p>
      <w:pPr>
        <w:pStyle w:val="yMiscellaneousBody"/>
        <w:spacing w:before="0"/>
        <w:ind w:left="2977"/>
        <w:rPr>
          <w:rFonts w:ascii="Arial" w:hAnsi="Arial" w:cs="Arial"/>
        </w:rPr>
      </w:pPr>
      <w:r>
        <w:rPr>
          <w:rFonts w:ascii="Arial" w:hAnsi="Arial" w:cs="Arial"/>
        </w:rPr>
        <w:t>Assessment for Australian Government</w:t>
      </w:r>
    </w:p>
    <w:p>
      <w:pPr>
        <w:pStyle w:val="yMiscellaneousBody"/>
        <w:spacing w:before="0"/>
        <w:ind w:left="2977"/>
        <w:rPr>
          <w:rFonts w:ascii="Arial" w:hAnsi="Arial" w:cs="Arial"/>
        </w:rPr>
      </w:pPr>
      <w:r>
        <w:rPr>
          <w:rFonts w:ascii="Arial" w:hAnsi="Arial" w:cs="Arial"/>
        </w:rPr>
        <w:t>Australian Apprenticeships Incentives</w:t>
      </w:r>
    </w:p>
    <w:p>
      <w:pPr>
        <w:pStyle w:val="yMiscellaneousBody"/>
        <w:spacing w:before="40"/>
        <w:ind w:left="2977"/>
        <w:rPr>
          <w:rFonts w:ascii="Arial" w:hAnsi="Arial" w:cs="Arial"/>
        </w:rPr>
      </w:pPr>
      <w:r>
        <w:rPr>
          <w:rFonts w:ascii="Arial" w:hAnsi="Arial" w:cs="Arial"/>
        </w:rPr>
        <w:t>This contract must be completed with the assistance of an Australian Apprenticeships Centre.</w:t>
      </w:r>
    </w:p>
    <w:p>
      <w:pPr>
        <w:pStyle w:val="yMiscellaneousBody"/>
        <w:spacing w:before="40"/>
        <w:ind w:left="2977"/>
        <w:rPr>
          <w:rFonts w:ascii="Arial" w:hAnsi="Arial" w:cs="Arial"/>
        </w:rPr>
      </w:pPr>
      <w:r>
        <w:rPr>
          <w:rFonts w:ascii="Arial" w:hAnsi="Arial" w:cs="Arial"/>
        </w:rPr>
        <w:t>This is a free service.</w:t>
      </w:r>
    </w:p>
    <w:p>
      <w:pPr>
        <w:pStyle w:val="yMiscellaneousBody"/>
        <w:spacing w:before="40"/>
        <w:rPr>
          <w:rFonts w:ascii="Arial" w:hAnsi="Arial" w:cs="Arial"/>
        </w:rPr>
      </w:pPr>
      <w:r>
        <w:rPr>
          <w:rFonts w:ascii="Arial" w:hAnsi="Arial" w:cs="Arial"/>
        </w:rPr>
        <w:t>Please read this before completing the Training Contract.</w:t>
      </w:r>
    </w:p>
    <w:p>
      <w:pPr>
        <w:pStyle w:val="yMiscellaneousBody"/>
        <w:spacing w:before="40"/>
        <w:rPr>
          <w:rFonts w:ascii="Arial" w:hAnsi="Arial" w:cs="Arial"/>
          <w:b/>
          <w:bCs/>
        </w:rPr>
      </w:pPr>
      <w:r>
        <w:rPr>
          <w:rFonts w:ascii="Arial" w:hAnsi="Arial" w:cs="Arial"/>
          <w:b/>
          <w:bCs/>
        </w:rPr>
        <w:t>This Training Contract must be completed with the assistance of your chosen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bCs/>
        </w:rPr>
        <w:t>13 38 73</w:t>
      </w:r>
      <w:r>
        <w:rPr>
          <w:rFonts w:ascii="Arial" w:hAnsi="Arial" w:cs="Arial"/>
        </w:rPr>
        <w:t>; or</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bCs/>
        </w:rPr>
        <w:t>www.australianapprenticeships.gov.au</w:t>
      </w:r>
    </w:p>
    <w:p>
      <w:pPr>
        <w:pStyle w:val="yMiscellaneousBody"/>
        <w:spacing w:before="40"/>
        <w:rPr>
          <w:rFonts w:ascii="Arial" w:hAnsi="Arial" w:cs="Arial"/>
        </w:rPr>
      </w:pPr>
      <w:r>
        <w:rPr>
          <w:rFonts w:ascii="Arial" w:hAnsi="Arial" w:cs="Arial"/>
        </w:rPr>
        <w:t>Australian Apprenticeships Centres are contracted by the Australian Government Department of Education, Employment and Workplace Relations (DEEWR)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4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40"/>
        <w:rPr>
          <w:rFonts w:ascii="Arial" w:hAnsi="Arial" w:cs="Arial"/>
          <w:b/>
          <w:bCs/>
        </w:rPr>
      </w:pPr>
      <w:r>
        <w:rPr>
          <w:rFonts w:ascii="Arial" w:hAnsi="Arial" w:cs="Arial"/>
          <w:b/>
          <w:bCs/>
        </w:rPr>
        <w:t>Before completing the Training Contract please read the following sections:</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Information You Need to Know </w:t>
      </w:r>
      <w:r>
        <w:rPr>
          <w:rFonts w:ascii="Arial" w:hAnsi="Arial" w:cs="Arial"/>
        </w:rPr>
        <w:t xml:space="preserve">and </w:t>
      </w:r>
      <w:r>
        <w:rPr>
          <w:rFonts w:ascii="Arial" w:hAnsi="Arial" w:cs="Arial"/>
          <w:b/>
          <w:bCs/>
        </w:rPr>
        <w:t>Information to Help Complete the Training Contract</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Training Contract Declaration </w:t>
      </w:r>
      <w:r>
        <w:rPr>
          <w:rFonts w:ascii="Arial" w:hAnsi="Arial" w:cs="Arial"/>
        </w:rPr>
        <w:t xml:space="preserve">and </w:t>
      </w:r>
      <w:r>
        <w:rPr>
          <w:rFonts w:ascii="Arial" w:hAnsi="Arial" w:cs="Arial"/>
          <w:b/>
          <w:bCs/>
        </w:rPr>
        <w:t>Obligations</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Information on Australian Government Australian Apprenticeships Incentives</w:t>
      </w:r>
      <w:r>
        <w:rPr>
          <w:rFonts w:ascii="Arial" w:hAnsi="Arial" w:cs="Arial"/>
        </w:rPr>
        <w:t>.</w:t>
      </w:r>
    </w:p>
    <w:p>
      <w:pPr>
        <w:pStyle w:val="yMiscellaneousBody"/>
        <w:spacing w:before="40"/>
        <w:rPr>
          <w:rFonts w:ascii="Arial" w:hAnsi="Arial" w:cs="Arial"/>
        </w:rPr>
      </w:pPr>
      <w:r>
        <w:rPr>
          <w:rFonts w:ascii="Arial" w:hAnsi="Arial" w:cs="Arial"/>
        </w:rPr>
        <w:t>If filling this Contract out by hand, please write clearly, in BLOCK LETTERS, and push firmly with a ball point pen.  Do not use correction fluid. Cross out the error and write the correct information above it.</w:t>
      </w:r>
    </w:p>
    <w:p>
      <w:pPr>
        <w:pStyle w:val="yMiscellaneousBody"/>
        <w:spacing w:before="0"/>
        <w:rPr>
          <w:rFonts w:ascii="Arial" w:hAnsi="Arial" w:cs="Arial"/>
          <w:b/>
          <w:bCs/>
        </w:rPr>
      </w:pPr>
      <w:r>
        <w:rPr>
          <w:rFonts w:ascii="Arial" w:hAnsi="Arial" w:cs="Arial"/>
          <w:b/>
          <w:bCs/>
        </w:rPr>
        <w:t>ALL corrections must be initialled by all parties to the Contract.</w:t>
      </w:r>
    </w:p>
    <w:p>
      <w:pPr>
        <w:pStyle w:val="yMiscellaneousBody"/>
        <w:spacing w:before="40"/>
        <w:rPr>
          <w:rFonts w:ascii="Arial" w:hAnsi="Arial" w:cs="Arial"/>
          <w:b/>
          <w:bCs/>
        </w:rPr>
      </w:pPr>
      <w:r>
        <w:rPr>
          <w:rFonts w:ascii="Arial" w:hAnsi="Arial" w:cs="Arial"/>
          <w:b/>
          <w:bCs/>
        </w:rPr>
        <w:t>When the Training Contract is completed your Australian Apprenticeships Centre will lodge it for approval/registration with the relevant State/Territory Training Authority.</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the original Training Contract with original signatures to your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keep a copy of the Training Contract for your records.</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your apprentice or trainee a copy of the Training Contract.</w:t>
      </w:r>
    </w:p>
    <w:p>
      <w:pPr>
        <w:pStyle w:val="yMiscellaneousBody"/>
        <w:spacing w:before="40"/>
        <w:rPr>
          <w:rFonts w:ascii="Arial" w:hAnsi="Arial" w:cs="Arial"/>
          <w:b/>
          <w:bCs/>
        </w:rPr>
      </w:pPr>
      <w:r>
        <w:rPr>
          <w:rFonts w:ascii="Arial" w:hAnsi="Arial" w:cs="Arial"/>
          <w:b/>
          <w:bCs/>
        </w:rPr>
        <w:t>An unsigned or incomplete Training Contract cannot be processed and will be returned for completion. Before you lodge it, make sure you have taken the steps in the following checklist: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Additional information and/or evidence required by questions 21, 22 and 24 is provided if necessary.</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The employer, the apprentice/trainee, and any guardian or parent as required, have all read, signed and dated the Training Contract.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Any alterations to any part of the document are initialled by all those who sign the Training Contract.</w:t>
      </w:r>
    </w:p>
    <w:p>
      <w:pPr>
        <w:pStyle w:val="yMiscellaneousBody"/>
        <w:spacing w:before="240"/>
        <w:rPr>
          <w:rFonts w:ascii="Arial" w:hAnsi="Arial" w:cs="Arial"/>
          <w:b/>
          <w:bCs/>
        </w:rPr>
      </w:pPr>
      <w:r>
        <w:rPr>
          <w:rFonts w:ascii="Arial" w:hAnsi="Arial" w:cs="Arial"/>
          <w:b/>
          <w:bCs/>
        </w:rPr>
        <w:t>Contacts for Further Information &amp; Assistance</w:t>
      </w:r>
    </w:p>
    <w:p>
      <w:pPr>
        <w:pStyle w:val="yMiscellaneousBody"/>
        <w:spacing w:before="40"/>
        <w:rPr>
          <w:rFonts w:ascii="Arial" w:hAnsi="Arial" w:cs="Arial"/>
          <w:b/>
          <w:bCs/>
          <w:sz w:val="18"/>
        </w:rPr>
      </w:pPr>
      <w:r>
        <w:rPr>
          <w:rFonts w:ascii="Arial" w:hAnsi="Arial" w:cs="Arial"/>
          <w:b/>
          <w:bCs/>
          <w:sz w:val="18"/>
        </w:rPr>
        <w:t>Australian Apprenticeships Centres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administer Australian Government incentive payments to employers and allowances for apprentices/trainees;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information on Australian Apprenticeships options to employers and other interested people;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market and promote Australian Apprenticeships;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the State/Territory government department or agency to provide an integrated service;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training providers, schools and other organisations to support Australian Apprenticeships; and</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support to employers and Australian Apprentices throughout the Australian Apprenticeship to encourage successful completion.</w:t>
      </w:r>
    </w:p>
    <w:p>
      <w:pPr>
        <w:pStyle w:val="yMiscellaneousBody"/>
        <w:spacing w:before="40"/>
        <w:rPr>
          <w:rFonts w:ascii="Arial" w:hAnsi="Arial" w:cs="Arial"/>
          <w:sz w:val="18"/>
        </w:rPr>
      </w:pPr>
      <w:r>
        <w:rPr>
          <w:rFonts w:ascii="Arial" w:hAnsi="Arial" w:cs="Arial"/>
          <w:sz w:val="18"/>
        </w:rPr>
        <w:t>Australian Apprenticeships Centres are located throughout each State and Territory.</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Find an Australian Apprenticeships Centre in your region by calling 13 38 73; or</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Visit the Australian Apprenticeships website at www.australianapprenticeships.gov.au</w:t>
      </w:r>
    </w:p>
    <w:p>
      <w:pPr>
        <w:pStyle w:val="yMiscellaneousBody"/>
        <w:keepNext/>
        <w:spacing w:before="40"/>
        <w:rPr>
          <w:rFonts w:ascii="Arial" w:hAnsi="Arial" w:cs="Arial"/>
          <w:b/>
          <w:bCs/>
          <w:sz w:val="18"/>
        </w:rPr>
      </w:pPr>
      <w:smartTag w:uri="urn:schemas-microsoft-com:office:smarttags" w:element="place">
        <w:smartTag w:uri="urn:schemas-microsoft-com:office:smarttags" w:element="State">
          <w:r>
            <w:rPr>
              <w:rFonts w:ascii="Arial" w:hAnsi="Arial" w:cs="Arial"/>
              <w:b/>
              <w:bCs/>
              <w:sz w:val="18"/>
            </w:rPr>
            <w:t>Western Australia</w:t>
          </w:r>
        </w:smartTag>
      </w:smartTag>
      <w:r>
        <w:rPr>
          <w:rFonts w:ascii="Arial" w:hAnsi="Arial" w:cs="Arial"/>
          <w:b/>
          <w:bCs/>
          <w:sz w:val="18"/>
        </w:rPr>
        <w:t xml:space="preserve"> Government</w:t>
      </w:r>
    </w:p>
    <w:p>
      <w:pPr>
        <w:pStyle w:val="yMiscellaneousBody"/>
        <w:keepNext/>
        <w:spacing w:before="40"/>
        <w:ind w:left="426" w:hanging="426"/>
        <w:rPr>
          <w:rFonts w:ascii="Arial" w:hAnsi="Arial" w:cs="Arial"/>
          <w:b/>
          <w:bCs/>
          <w:sz w:val="18"/>
        </w:rPr>
      </w:pPr>
      <w:r>
        <w:rPr>
          <w:rFonts w:ascii="Arial" w:hAnsi="Arial" w:cs="Arial"/>
          <w:b/>
          <w:bCs/>
          <w:sz w:val="18"/>
        </w:rPr>
        <w:tab/>
        <w:t>Further information can be obtained from:</w:t>
      </w:r>
    </w:p>
    <w:p>
      <w:pPr>
        <w:pStyle w:val="yMiscellaneousBody"/>
        <w:spacing w:before="40"/>
        <w:ind w:left="426"/>
        <w:rPr>
          <w:rFonts w:ascii="Arial" w:hAnsi="Arial" w:cs="Arial"/>
          <w:sz w:val="18"/>
        </w:rPr>
      </w:pPr>
      <w:r>
        <w:rPr>
          <w:rFonts w:ascii="Arial" w:hAnsi="Arial" w:cs="Arial"/>
          <w:sz w:val="18"/>
        </w:rPr>
        <w:t>ApprentiCentre – Department of Education and Training</w:t>
      </w:r>
    </w:p>
    <w:p>
      <w:pPr>
        <w:pStyle w:val="yMiscellaneousBody"/>
        <w:spacing w:before="0"/>
        <w:ind w:left="425"/>
        <w:rPr>
          <w:rFonts w:ascii="Arial" w:hAnsi="Arial" w:cs="Arial"/>
          <w:sz w:val="18"/>
        </w:rPr>
      </w:pPr>
      <w:r>
        <w:rPr>
          <w:rFonts w:ascii="Arial" w:hAnsi="Arial" w:cs="Arial"/>
          <w:sz w:val="18"/>
        </w:rPr>
        <w:t>Locked Bag 145, Leederville  WA  6903</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13 19 54</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(08) 9318 5450</w:t>
      </w:r>
    </w:p>
    <w:p>
      <w:pPr>
        <w:pStyle w:val="yMiscellaneousBody"/>
        <w:spacing w:before="0"/>
        <w:ind w:left="425"/>
        <w:rPr>
          <w:rFonts w:ascii="Arial" w:hAnsi="Arial" w:cs="Arial"/>
          <w:sz w:val="18"/>
        </w:rPr>
      </w:pPr>
      <w:r>
        <w:rPr>
          <w:rFonts w:ascii="Arial" w:hAnsi="Arial" w:cs="Arial"/>
          <w:b/>
          <w:bCs/>
          <w:sz w:val="18"/>
        </w:rPr>
        <w:t>Fax:</w:t>
      </w:r>
      <w:r>
        <w:rPr>
          <w:rFonts w:ascii="Arial" w:hAnsi="Arial" w:cs="Arial"/>
          <w:sz w:val="18"/>
        </w:rPr>
        <w:t xml:space="preserve"> (08) 9264 8952</w:t>
      </w:r>
    </w:p>
    <w:p>
      <w:pPr>
        <w:pStyle w:val="yMiscellaneousBody"/>
        <w:spacing w:before="0"/>
        <w:ind w:left="425"/>
        <w:rPr>
          <w:rFonts w:ascii="Arial" w:hAnsi="Arial" w:cs="Arial"/>
          <w:sz w:val="18"/>
        </w:rPr>
      </w:pPr>
      <w:r>
        <w:rPr>
          <w:rFonts w:ascii="Arial" w:hAnsi="Arial" w:cs="Arial"/>
          <w:b/>
          <w:bCs/>
          <w:sz w:val="18"/>
        </w:rPr>
        <w:t>Web:</w:t>
      </w:r>
      <w:r>
        <w:rPr>
          <w:rFonts w:ascii="Arial" w:hAnsi="Arial" w:cs="Arial"/>
          <w:sz w:val="18"/>
        </w:rPr>
        <w:t xml:space="preserve"> www.apprenticentre.wa.gov.au</w:t>
      </w:r>
    </w:p>
    <w:p>
      <w:pPr>
        <w:pStyle w:val="yMiscellaneousBody"/>
        <w:spacing w:before="240"/>
        <w:rPr>
          <w:rFonts w:ascii="Arial" w:hAnsi="Arial" w:cs="Arial"/>
          <w:b/>
          <w:bCs/>
        </w:rPr>
      </w:pPr>
      <w:r>
        <w:rPr>
          <w:rFonts w:ascii="Arial" w:hAnsi="Arial" w:cs="Arial"/>
          <w:b/>
          <w:bCs/>
        </w:rPr>
        <w:t>Training Contract</w:t>
      </w:r>
    </w:p>
    <w:p>
      <w:pPr>
        <w:pStyle w:val="yMiscellaneousBody"/>
        <w:spacing w:before="40"/>
        <w:rPr>
          <w:rFonts w:ascii="Arial" w:hAnsi="Arial" w:cs="Arial"/>
        </w:rPr>
      </w:pPr>
      <w:r>
        <w:rPr>
          <w:rFonts w:ascii="Arial" w:hAnsi="Arial" w:cs="Arial"/>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40" w:after="40"/>
        <w:rPr>
          <w:rFonts w:ascii="Arial" w:hAnsi="Arial" w:cs="Arial"/>
          <w:b/>
          <w:bCs/>
        </w:rPr>
      </w:pPr>
      <w:r>
        <w:rPr>
          <w:rFonts w:ascii="Arial" w:hAnsi="Arial" w:cs="Arial"/>
          <w:b/>
          <w:bCs/>
        </w:rPr>
        <w:t>Training Contract Declaration</w:t>
      </w:r>
    </w:p>
    <w:p>
      <w:pPr>
        <w:pStyle w:val="yMiscellaneousBody"/>
        <w:spacing w:before="0" w:after="40"/>
        <w:rPr>
          <w:rFonts w:ascii="Arial" w:hAnsi="Arial" w:cs="Arial"/>
        </w:rPr>
      </w:pPr>
      <w:r>
        <w:rPr>
          <w:rFonts w:ascii="Arial" w:hAnsi="Arial" w:cs="Arial"/>
        </w:rPr>
        <w:t>We, the employer, apprentice/trainee and parent or guardian (where applicable) have read and understood the Training Contract Obligations outlined below.</w:t>
      </w:r>
    </w:p>
    <w:p>
      <w:pPr>
        <w:pStyle w:val="yMiscellaneousBody"/>
        <w:spacing w:before="0" w:after="40"/>
        <w:rPr>
          <w:rFonts w:ascii="Arial" w:hAnsi="Arial" w:cs="Arial"/>
        </w:rPr>
      </w:pPr>
      <w:r>
        <w:rPr>
          <w:rFonts w:ascii="Arial" w:hAnsi="Arial" w:cs="Arial"/>
        </w:rPr>
        <w:t>We declare that to the best of our knowledge the details entered on this Training Contract are true and correct. We understand that the giving of false or misleading information is a serious offence.</w:t>
      </w:r>
    </w:p>
    <w:p>
      <w:pPr>
        <w:pStyle w:val="yMiscellaneousBody"/>
        <w:spacing w:before="0" w:after="40"/>
        <w:rPr>
          <w:rFonts w:ascii="Arial" w:hAnsi="Arial" w:cs="Arial"/>
        </w:rPr>
      </w:pPr>
      <w:r>
        <w:rPr>
          <w:rFonts w:ascii="Arial" w:hAnsi="Arial" w:cs="Arial"/>
        </w:rPr>
        <w:t>We understand that the information provided in this Training Contract:</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is collected for the purposes of registration, preparing statistics, reporting, programme administration, monitoring and evaluation, calculating incentives and allowances paid to employers and apprentices/trainees and preventing dual payments;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be disclosed to and used for these purposes by the Australian Government, including the Department of Education, Employment and Workplace Relations (DEEWR) and Centrelink, State/Territory government departments and agencies, employers, our Australian Apprenticeships Centre, Registered Training Organisation, non-government education authorities and the contractors or agents of any of these organisations, departments and agencies;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also be exchanged between DEEWR and Centrelink (for Youth Allowance, Austudy and ABSTUDY administration) to provide confirmation that the apprentice/trainee who signed this declaration is an Australian Apprentice; and</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otherwise be disclosed without consent where authorised or required by law.</w:t>
      </w:r>
    </w:p>
    <w:p>
      <w:pPr>
        <w:pStyle w:val="yMiscellaneousBody"/>
        <w:spacing w:before="0" w:after="40"/>
        <w:rPr>
          <w:rFonts w:ascii="Arial" w:hAnsi="Arial" w:cs="Arial"/>
        </w:rPr>
      </w:pPr>
      <w:r>
        <w:rPr>
          <w:rFonts w:ascii="Arial" w:hAnsi="Arial" w:cs="Arial"/>
        </w:rPr>
        <w:t>We understand that this Apprenticeship/Traineeship Contract is legally binding in accordance with the Training Contract Obligations set out below and the legislation of the State or Territory in which this Training Contract is to be registered.</w:t>
      </w:r>
    </w:p>
    <w:p>
      <w:pPr>
        <w:pStyle w:val="yMiscellaneousBody"/>
        <w:spacing w:before="0" w:after="40"/>
        <w:rPr>
          <w:rFonts w:ascii="Arial" w:hAnsi="Arial" w:cs="Arial"/>
        </w:rPr>
      </w:pPr>
      <w:r>
        <w:rPr>
          <w:rFonts w:ascii="Arial" w:hAnsi="Arial" w:cs="Arial"/>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0" w:after="120"/>
        <w:rPr>
          <w:rFonts w:ascii="Arial" w:hAnsi="Arial" w:cs="Arial"/>
          <w:sz w:val="24"/>
        </w:rPr>
      </w:pPr>
      <w:r>
        <w:rPr>
          <w:rFonts w:ascii="Arial" w:hAnsi="Arial" w:cs="Arial"/>
        </w:rPr>
        <w:t>We undertake to negotiate and sign a Training Plan with the chosen RTO as required by the relevant State/Territory Training Authority.</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261"/>
        <w:gridCol w:w="3827"/>
      </w:tblGrid>
      <w:tr>
        <w:trPr>
          <w:cantSplit/>
        </w:trPr>
        <w:tc>
          <w:tcPr>
            <w:tcW w:w="7088" w:type="dxa"/>
            <w:gridSpan w:val="2"/>
            <w:tcBorders>
              <w:bottom w:val="nil"/>
            </w:tcBorders>
          </w:tcPr>
          <w:p>
            <w:pPr>
              <w:pStyle w:val="yTableNAm"/>
              <w:tabs>
                <w:tab w:val="clear" w:pos="567"/>
              </w:tabs>
              <w:spacing w:before="0" w:after="40"/>
              <w:rPr>
                <w:rFonts w:ascii="Arial" w:hAnsi="Arial" w:cs="Arial"/>
                <w:sz w:val="20"/>
              </w:rPr>
            </w:pPr>
            <w:r>
              <w:rPr>
                <w:rFonts w:ascii="Arial" w:hAnsi="Arial" w:cs="Arial"/>
                <w:b/>
                <w:bCs/>
                <w:sz w:val="20"/>
              </w:rPr>
              <w:t xml:space="preserve">The employer representative </w:t>
            </w:r>
            <w:r>
              <w:rPr>
                <w:rFonts w:ascii="Arial" w:hAnsi="Arial" w:cs="Arial"/>
                <w:sz w:val="20"/>
              </w:rPr>
              <w:t>(on behalf of the employer named in Question 28)</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 xml:space="preserve">Given names </w:t>
            </w:r>
            <w:r>
              <w:rPr>
                <w:rFonts w:ascii="Arial" w:hAnsi="Arial" w:cs="Arial"/>
                <w:sz w:val="20"/>
              </w:rPr>
              <w:t>(in full)</w:t>
            </w:r>
          </w:p>
          <w:p>
            <w:pPr>
              <w:pStyle w:val="yTableNAm"/>
              <w:spacing w:before="0"/>
              <w:rPr>
                <w:rFonts w:ascii="Arial" w:hAnsi="Arial" w:cs="Arial"/>
                <w:sz w:val="20"/>
              </w:rPr>
            </w:pP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b/>
                <w:bCs/>
                <w:sz w:val="20"/>
              </w:rPr>
            </w:pPr>
            <w:r>
              <w:rPr>
                <w:rFonts w:ascii="Arial" w:hAnsi="Arial" w:cs="Arial"/>
                <w:b/>
                <w:bCs/>
                <w:sz w:val="20"/>
              </w:rPr>
              <w:t>Signature of employer representative</w:t>
            </w:r>
          </w:p>
        </w:tc>
      </w:tr>
      <w:tr>
        <w:trPr>
          <w:cantSplit/>
        </w:trPr>
        <w:tc>
          <w:tcPr>
            <w:tcW w:w="7088" w:type="dxa"/>
            <w:gridSpan w:val="2"/>
            <w:tcBorders>
              <w:bottom w:val="nil"/>
            </w:tcBorders>
          </w:tcPr>
          <w:p>
            <w:pPr>
              <w:pStyle w:val="yTableNAm"/>
              <w:spacing w:before="0"/>
              <w:rPr>
                <w:rFonts w:ascii="Arial" w:hAnsi="Arial" w:cs="Arial"/>
                <w:sz w:val="20"/>
              </w:rPr>
            </w:pPr>
            <w:r>
              <w:rPr>
                <w:rFonts w:ascii="Arial" w:hAnsi="Arial" w:cs="Arial"/>
                <w:b/>
                <w:bCs/>
                <w:sz w:val="20"/>
              </w:rPr>
              <w:t>The apprentice/trainee</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Given names</w:t>
            </w:r>
            <w:r>
              <w:rPr>
                <w:rFonts w:ascii="Arial" w:hAnsi="Arial" w:cs="Arial"/>
                <w:sz w:val="20"/>
              </w:rPr>
              <w:t xml:space="preserve"> (in full)</w:t>
            </w:r>
          </w:p>
          <w:p>
            <w:pPr>
              <w:pStyle w:val="yTableNAm"/>
              <w:spacing w:before="0"/>
              <w:rPr>
                <w:rFonts w:ascii="Arial" w:hAnsi="Arial" w:cs="Arial"/>
                <w:sz w:val="20"/>
              </w:rPr>
            </w:pPr>
          </w:p>
        </w:tc>
      </w:tr>
      <w:tr>
        <w:trPr>
          <w:cantSplit/>
        </w:trPr>
        <w:tc>
          <w:tcPr>
            <w:tcW w:w="3261" w:type="dxa"/>
            <w:tcBorders>
              <w:top w:val="nil"/>
              <w:bottom w:val="nil"/>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nil"/>
            </w:tcBorders>
          </w:tcPr>
          <w:p>
            <w:pPr>
              <w:pStyle w:val="yTableNAm"/>
              <w:spacing w:before="0"/>
              <w:rPr>
                <w:rFonts w:ascii="Arial" w:hAnsi="Arial" w:cs="Arial"/>
                <w:b/>
                <w:bCs/>
                <w:sz w:val="20"/>
              </w:rPr>
            </w:pPr>
            <w:r>
              <w:rPr>
                <w:rFonts w:ascii="Arial" w:hAnsi="Arial" w:cs="Arial"/>
                <w:b/>
                <w:bCs/>
                <w:sz w:val="20"/>
              </w:rPr>
              <w:t>Signature of apprentice/trainee</w:t>
            </w: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sz w:val="20"/>
              </w:rPr>
            </w:pPr>
            <w:r>
              <w:rPr>
                <w:rFonts w:ascii="Arial" w:hAnsi="Arial" w:cs="Arial"/>
                <w:b/>
                <w:bCs/>
                <w:sz w:val="20"/>
              </w:rPr>
              <w:t xml:space="preserve">Signature of parent/guardian </w:t>
            </w:r>
            <w:r>
              <w:rPr>
                <w:rFonts w:ascii="Arial" w:hAnsi="Arial" w:cs="Arial"/>
                <w:sz w:val="20"/>
              </w:rPr>
              <w:t>(for apprentice/trainee under 18 years of age)</w:t>
            </w:r>
          </w:p>
          <w:p>
            <w:pPr>
              <w:pStyle w:val="yTableNAm"/>
              <w:spacing w:before="0"/>
              <w:rPr>
                <w:rFonts w:ascii="Arial" w:hAnsi="Arial" w:cs="Arial"/>
                <w:sz w:val="20"/>
              </w:rPr>
            </w:pPr>
          </w:p>
        </w:tc>
      </w:tr>
      <w:tr>
        <w:trPr>
          <w:cantSplit/>
        </w:trPr>
        <w:tc>
          <w:tcPr>
            <w:tcW w:w="7088" w:type="dxa"/>
            <w:gridSpan w:val="2"/>
            <w:tcBorders>
              <w:bottom w:val="single" w:sz="4" w:space="0" w:color="auto"/>
            </w:tcBorders>
          </w:tcPr>
          <w:p>
            <w:pPr>
              <w:pStyle w:val="yTableNAm"/>
              <w:spacing w:before="0"/>
              <w:rPr>
                <w:rFonts w:ascii="Arial" w:hAnsi="Arial" w:cs="Arial"/>
                <w:sz w:val="20"/>
              </w:rPr>
            </w:pPr>
            <w:r>
              <w:rPr>
                <w:rFonts w:ascii="Arial" w:hAnsi="Arial" w:cs="Arial"/>
                <w:b/>
                <w:bCs/>
                <w:sz w:val="20"/>
              </w:rPr>
              <w:t xml:space="preserve">Name of Apprenticeship/Traineeship </w:t>
            </w:r>
            <w:r>
              <w:rPr>
                <w:rFonts w:ascii="Arial" w:hAnsi="Arial" w:cs="Arial"/>
                <w:sz w:val="20"/>
              </w:rPr>
              <w:t>(as designated by legislation/regulation):</w:t>
            </w:r>
          </w:p>
          <w:p>
            <w:pPr>
              <w:pStyle w:val="yTableNAm"/>
              <w:spacing w:before="0"/>
              <w:rPr>
                <w:rFonts w:ascii="Arial" w:hAnsi="Arial" w:cs="Arial"/>
                <w:sz w:val="20"/>
              </w:rPr>
            </w:pPr>
          </w:p>
        </w:tc>
      </w:tr>
    </w:tbl>
    <w:p>
      <w:pPr>
        <w:pStyle w:val="yMiscellaneousBody"/>
        <w:keepNext/>
        <w:spacing w:before="240"/>
        <w:rPr>
          <w:rFonts w:ascii="Arial" w:hAnsi="Arial" w:cs="Arial"/>
          <w:b/>
          <w:bCs/>
        </w:rPr>
      </w:pPr>
      <w:r>
        <w:rPr>
          <w:rFonts w:ascii="Arial" w:hAnsi="Arial" w:cs="Arial"/>
          <w:b/>
          <w:bCs/>
        </w:rPr>
        <w:t>Training Contract Obligations</w:t>
      </w:r>
    </w:p>
    <w:p>
      <w:pPr>
        <w:pStyle w:val="yMiscellaneousBody"/>
        <w:spacing w:before="40"/>
        <w:rPr>
          <w:rFonts w:ascii="Arial" w:hAnsi="Arial" w:cs="Arial"/>
          <w:b/>
          <w:bCs/>
          <w:sz w:val="20"/>
        </w:rPr>
      </w:pPr>
      <w:r>
        <w:rPr>
          <w:rFonts w:ascii="Arial" w:hAnsi="Arial" w:cs="Arial"/>
          <w:b/>
          <w:bCs/>
          <w:sz w:val="20"/>
        </w:rPr>
        <w:t>For the employer, apprentice or trainee, and parent or guardian (where applicable). We agree that:</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the Contract commences from the date stated in question 3, provided that it has been registered or approved under the provisions of the relevant State/Territory legislation;</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the apprentice/trainee can see, and correct, any information about himself/herself in this Contract or held by the employer in relation to this Contract;</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the apprentice/trainee is not liable for any unintentional damage to material or property in the course of their work and training;</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we will try to resolve any dispute we have between us, and if we can't, we will contact our State/Territory Training Authority to request assistance or to access the appropriate dispute resolution processes;</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the Contract can be audited by the relevant State/Territory Training Authority or Australian Government Department;</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this Contract expires if it reaches the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this Contract may be terminated in accordance with State/Territory legislation.</w:t>
      </w:r>
    </w:p>
    <w:p>
      <w:pPr>
        <w:pStyle w:val="yMiscellaneousBody"/>
        <w:spacing w:before="40"/>
        <w:rPr>
          <w:rFonts w:ascii="Arial" w:hAnsi="Arial" w:cs="Arial"/>
          <w:b/>
          <w:bCs/>
          <w:sz w:val="20"/>
        </w:rPr>
      </w:pPr>
      <w:r>
        <w:rPr>
          <w:rFonts w:ascii="Arial" w:hAnsi="Arial" w:cs="Arial"/>
          <w:b/>
          <w:bCs/>
          <w:sz w:val="20"/>
        </w:rPr>
        <w:t>For the employer.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employ and train the apprentice/trainee as agreed in our Training Plan and ensure the apprentice/trainee understands the choices that he/she has regarding the training;</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provide the appropriate facilities and experienced people to facilitate the training and supervise the apprentice/trainee while at work, in accordance with the Training Plan;</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make sure the apprentice/trainee receives on-the-job training and assessment in accordance with our Training Plan;</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provide work that is relevant and appropriate to the vocation and also to the achievement of the qualification referred to in this Contract;</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release the apprentice/trainee from work to attend any training and assessment specified in our Training Plan;</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pay the apprentice/trainee the appropriate wages to attend any training and assessment specified in the Training Plan (please note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meet all legal requirements regarding the apprentice/trainee, including but not limited to, occupational health and safety requirements and payment of wages and conditions under the relevant employment arrangements;</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repay any payment I receive that I am not entitled to;</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work with our RTO and the apprentice/trainee to make sure we follow our Training Plan, keep training records up-to-date, and monitor and support the apprentice/trainee’s progress; and</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let the relevant State/Territory Training Authority and the RTO know within five  working days (or when the local State/Territory legislation requires, if this is different) if our Training Contract has become jeopardised.</w:t>
      </w:r>
    </w:p>
    <w:p>
      <w:pPr>
        <w:pStyle w:val="yMiscellaneousBody"/>
        <w:spacing w:before="40"/>
        <w:rPr>
          <w:rFonts w:ascii="Arial" w:hAnsi="Arial" w:cs="Arial"/>
          <w:sz w:val="20"/>
        </w:rPr>
      </w:pPr>
      <w:r>
        <w:rPr>
          <w:rFonts w:ascii="Arial" w:hAnsi="Arial" w:cs="Arial"/>
          <w:sz w:val="20"/>
        </w:rPr>
        <w:t>I acknowledge that it is an offence to use information in the Contract to discriminate against any person, including the apprentice/trainee.</w:t>
      </w:r>
    </w:p>
    <w:p>
      <w:pPr>
        <w:pStyle w:val="yMiscellaneousBody"/>
        <w:spacing w:before="40"/>
        <w:rPr>
          <w:rFonts w:ascii="Arial" w:hAnsi="Arial" w:cs="Arial"/>
          <w:b/>
          <w:bCs/>
          <w:sz w:val="20"/>
        </w:rPr>
      </w:pPr>
      <w:r>
        <w:rPr>
          <w:rFonts w:ascii="Arial" w:hAnsi="Arial" w:cs="Arial"/>
          <w:b/>
          <w:bCs/>
          <w:sz w:val="20"/>
        </w:rPr>
        <w:t>For the apprentice/trainee.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attend work, do my job, and follow my employer's instructions, as long as they are lawful;</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work towards achieving the qualification stated in our Training Contract;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undertake any training and assessment in our Training Plan.</w:t>
      </w:r>
    </w:p>
    <w:p>
      <w:pPr>
        <w:pStyle w:val="yMiscellaneousBody"/>
        <w:spacing w:before="40"/>
        <w:rPr>
          <w:rFonts w:ascii="Arial" w:hAnsi="Arial" w:cs="Arial"/>
          <w:b/>
          <w:bCs/>
          <w:sz w:val="20"/>
        </w:rPr>
      </w:pPr>
      <w:r>
        <w:rPr>
          <w:rFonts w:ascii="Arial" w:hAnsi="Arial" w:cs="Arial"/>
          <w:b/>
          <w:bCs/>
          <w:sz w:val="20"/>
        </w:rPr>
        <w:t>For the parent or guardian.</w:t>
      </w:r>
    </w:p>
    <w:p>
      <w:pPr>
        <w:pStyle w:val="yMiscellaneousBody"/>
        <w:spacing w:before="40"/>
        <w:rPr>
          <w:rFonts w:ascii="Arial" w:hAnsi="Arial" w:cs="Arial"/>
          <w:sz w:val="20"/>
        </w:rPr>
      </w:pPr>
      <w:r>
        <w:rPr>
          <w:rFonts w:ascii="Arial" w:hAnsi="Arial" w:cs="Arial"/>
          <w:sz w:val="20"/>
        </w:rPr>
        <w:t>I agree that I will uphold the responsibilities listed above for the apprentice/trainee until this person is 18 years of age.</w:t>
      </w:r>
    </w:p>
    <w:p>
      <w:pPr>
        <w:pStyle w:val="yMiscellaneousBody"/>
        <w:spacing w:before="240" w:after="40"/>
        <w:rPr>
          <w:rFonts w:ascii="Arial" w:hAnsi="Arial" w:cs="Arial"/>
          <w:b/>
          <w:bCs/>
        </w:rPr>
      </w:pPr>
      <w:r>
        <w:rPr>
          <w:rFonts w:ascii="Arial" w:hAnsi="Arial" w:cs="Arial"/>
          <w:b/>
          <w:bCs/>
        </w:rPr>
        <w:t>Apprenticeship/Traineeship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tabs>
                <w:tab w:val="clear" w:pos="567"/>
              </w:tabs>
              <w:spacing w:before="0"/>
              <w:rPr>
                <w:rFonts w:ascii="Arial" w:hAnsi="Arial" w:cs="Arial"/>
                <w:sz w:val="20"/>
              </w:rPr>
            </w:pPr>
            <w:r>
              <w:rPr>
                <w:rFonts w:ascii="Arial" w:hAnsi="Arial" w:cs="Arial"/>
                <w:sz w:val="20"/>
              </w:rPr>
              <w:t>1</w:t>
            </w:r>
          </w:p>
        </w:tc>
        <w:tc>
          <w:tcPr>
            <w:tcW w:w="6521" w:type="dxa"/>
          </w:tcPr>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r>
        <w:tc>
          <w:tcPr>
            <w:tcW w:w="567" w:type="dxa"/>
          </w:tcPr>
          <w:p>
            <w:pPr>
              <w:pStyle w:val="yTableNAm"/>
              <w:tabs>
                <w:tab w:val="clear" w:pos="567"/>
              </w:tabs>
              <w:spacing w:before="0"/>
              <w:rPr>
                <w:rFonts w:ascii="Arial" w:hAnsi="Arial" w:cs="Arial"/>
                <w:sz w:val="20"/>
              </w:rPr>
            </w:pPr>
            <w:r>
              <w:rPr>
                <w:rFonts w:ascii="Arial" w:hAnsi="Arial" w:cs="Arial"/>
                <w:sz w:val="20"/>
              </w:rPr>
              <w:t>2</w:t>
            </w:r>
          </w:p>
        </w:tc>
        <w:tc>
          <w:tcPr>
            <w:tcW w:w="6521" w:type="dxa"/>
          </w:tcPr>
          <w:p>
            <w:pPr>
              <w:pStyle w:val="yTableNAm"/>
              <w:tabs>
                <w:tab w:val="clear" w:pos="567"/>
              </w:tabs>
              <w:spacing w:before="0"/>
              <w:rPr>
                <w:rFonts w:ascii="Arial" w:hAnsi="Arial" w:cs="Arial"/>
                <w:sz w:val="20"/>
              </w:rPr>
            </w:pPr>
            <w:r>
              <w:rPr>
                <w:rFonts w:ascii="Arial" w:hAnsi="Arial" w:cs="Arial"/>
                <w:sz w:val="20"/>
              </w:rPr>
              <w:t>National Qualification Code</w:t>
            </w:r>
          </w:p>
        </w:tc>
      </w:tr>
      <w:tr>
        <w:tc>
          <w:tcPr>
            <w:tcW w:w="567" w:type="dxa"/>
          </w:tcPr>
          <w:p>
            <w:pPr>
              <w:pStyle w:val="yTableNAm"/>
              <w:tabs>
                <w:tab w:val="clear" w:pos="567"/>
              </w:tabs>
              <w:spacing w:before="0"/>
              <w:rPr>
                <w:rFonts w:ascii="Arial" w:hAnsi="Arial" w:cs="Arial"/>
                <w:sz w:val="20"/>
              </w:rPr>
            </w:pPr>
            <w:r>
              <w:rPr>
                <w:rFonts w:ascii="Arial" w:hAnsi="Arial" w:cs="Arial"/>
                <w:sz w:val="20"/>
              </w:rPr>
              <w:t>3</w:t>
            </w:r>
          </w:p>
        </w:tc>
        <w:tc>
          <w:tcPr>
            <w:tcW w:w="6521" w:type="dxa"/>
          </w:tcPr>
          <w:p>
            <w:pPr>
              <w:pStyle w:val="yTableNAm"/>
              <w:tabs>
                <w:tab w:val="clear" w:pos="567"/>
              </w:tabs>
              <w:spacing w:before="0"/>
              <w:rPr>
                <w:rFonts w:ascii="Arial" w:hAnsi="Arial" w:cs="Arial"/>
                <w:sz w:val="20"/>
              </w:rPr>
            </w:pPr>
            <w:r>
              <w:rPr>
                <w:rFonts w:ascii="Arial" w:hAnsi="Arial" w:cs="Arial"/>
                <w:sz w:val="20"/>
              </w:rPr>
              <w:t>Commencement date of employment</w:t>
            </w:r>
          </w:p>
          <w:p>
            <w:pPr>
              <w:pStyle w:val="yTableNAm"/>
              <w:tabs>
                <w:tab w:val="clear" w:pos="567"/>
                <w:tab w:val="left" w:pos="3628"/>
              </w:tabs>
              <w:spacing w:before="0"/>
              <w:rPr>
                <w:rFonts w:ascii="Arial" w:hAnsi="Arial" w:cs="Arial"/>
                <w:sz w:val="20"/>
              </w:rPr>
            </w:pPr>
            <w:r>
              <w:rPr>
                <w:rFonts w:ascii="Arial" w:hAnsi="Arial" w:cs="Arial"/>
                <w:sz w:val="20"/>
              </w:rPr>
              <w:t>for Apprenticeship/Traineeship</w:t>
            </w:r>
            <w:r>
              <w:rPr>
                <w:rFonts w:ascii="Arial" w:hAnsi="Arial" w:cs="Arial"/>
                <w:sz w:val="20"/>
              </w:rPr>
              <w:tab/>
              <w:t>Day    /Month    /Year</w:t>
            </w:r>
          </w:p>
        </w:tc>
      </w:tr>
      <w:tr>
        <w:tc>
          <w:tcPr>
            <w:tcW w:w="567" w:type="dxa"/>
          </w:tcPr>
          <w:p>
            <w:pPr>
              <w:pStyle w:val="yTableNAm"/>
              <w:tabs>
                <w:tab w:val="clear" w:pos="567"/>
              </w:tabs>
              <w:spacing w:before="0"/>
              <w:rPr>
                <w:rFonts w:ascii="Arial" w:hAnsi="Arial" w:cs="Arial"/>
                <w:sz w:val="20"/>
              </w:rPr>
            </w:pPr>
            <w:r>
              <w:rPr>
                <w:rFonts w:ascii="Arial" w:hAnsi="Arial" w:cs="Arial"/>
                <w:sz w:val="20"/>
              </w:rPr>
              <w:t>4</w:t>
            </w:r>
          </w:p>
        </w:tc>
        <w:tc>
          <w:tcPr>
            <w:tcW w:w="6521" w:type="dxa"/>
          </w:tcPr>
          <w:p>
            <w:pPr>
              <w:pStyle w:val="yTableNAm"/>
              <w:tabs>
                <w:tab w:val="clear" w:pos="567"/>
              </w:tabs>
              <w:spacing w:before="0"/>
              <w:rPr>
                <w:rFonts w:ascii="Arial" w:hAnsi="Arial" w:cs="Arial"/>
                <w:sz w:val="20"/>
              </w:rPr>
            </w:pPr>
            <w:r>
              <w:rPr>
                <w:rFonts w:ascii="Arial" w:hAnsi="Arial" w:cs="Arial"/>
                <w:sz w:val="20"/>
              </w:rPr>
              <w:t>Nominal term of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5</w:t>
            </w:r>
          </w:p>
        </w:tc>
        <w:tc>
          <w:tcPr>
            <w:tcW w:w="6521" w:type="dxa"/>
          </w:tcPr>
          <w:p>
            <w:pPr>
              <w:pStyle w:val="yTableNAm"/>
              <w:tabs>
                <w:tab w:val="clear" w:pos="567"/>
              </w:tabs>
              <w:spacing w:before="0"/>
              <w:rPr>
                <w:rFonts w:ascii="Arial" w:hAnsi="Arial" w:cs="Arial"/>
                <w:sz w:val="20"/>
              </w:rPr>
            </w:pPr>
            <w:r>
              <w:rPr>
                <w:rFonts w:ascii="Arial" w:hAnsi="Arial" w:cs="Arial"/>
                <w:sz w:val="20"/>
              </w:rPr>
              <w:t>The period of probation for this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6</w:t>
            </w:r>
          </w:p>
        </w:tc>
        <w:tc>
          <w:tcPr>
            <w:tcW w:w="6521" w:type="dxa"/>
          </w:tcPr>
          <w:p>
            <w:pPr>
              <w:pStyle w:val="yTableNAm"/>
              <w:tabs>
                <w:tab w:val="clear" w:pos="567"/>
              </w:tabs>
              <w:spacing w:before="0"/>
              <w:rPr>
                <w:rFonts w:ascii="Arial" w:hAnsi="Arial" w:cs="Arial"/>
                <w:sz w:val="20"/>
              </w:rPr>
            </w:pPr>
            <w:r>
              <w:rPr>
                <w:rFonts w:ascii="Arial" w:hAnsi="Arial" w:cs="Arial"/>
                <w:sz w:val="20"/>
              </w:rPr>
              <w:t>Type of Apprenticeship/Traineeship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Apprenticeship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Traineeship</w:t>
            </w:r>
          </w:p>
        </w:tc>
      </w:tr>
      <w:tr>
        <w:tc>
          <w:tcPr>
            <w:tcW w:w="567" w:type="dxa"/>
          </w:tcPr>
          <w:p>
            <w:pPr>
              <w:pStyle w:val="yTableNAm"/>
              <w:tabs>
                <w:tab w:val="clear" w:pos="567"/>
              </w:tabs>
              <w:spacing w:before="0"/>
              <w:rPr>
                <w:rFonts w:ascii="Arial" w:hAnsi="Arial" w:cs="Arial"/>
                <w:sz w:val="20"/>
              </w:rPr>
            </w:pPr>
            <w:r>
              <w:rPr>
                <w:rFonts w:ascii="Arial" w:hAnsi="Arial" w:cs="Arial"/>
                <w:sz w:val="20"/>
              </w:rPr>
              <w:t>7</w:t>
            </w:r>
          </w:p>
        </w:tc>
        <w:tc>
          <w:tcPr>
            <w:tcW w:w="6521" w:type="dxa"/>
          </w:tcPr>
          <w:p>
            <w:pPr>
              <w:pStyle w:val="yTableNAm"/>
              <w:tabs>
                <w:tab w:val="clear" w:pos="567"/>
              </w:tabs>
              <w:spacing w:before="0"/>
              <w:rPr>
                <w:rFonts w:ascii="Arial" w:hAnsi="Arial" w:cs="Arial"/>
                <w:sz w:val="20"/>
              </w:rPr>
            </w:pPr>
            <w:r>
              <w:rPr>
                <w:rFonts w:ascii="Arial" w:hAnsi="Arial" w:cs="Arial"/>
                <w:sz w:val="20"/>
              </w:rPr>
              <w:t>Is the apprentice/trainee an existing worker?</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No</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Yes </w:t>
            </w:r>
            <w:r>
              <w:rPr>
                <w:rFonts w:ascii="Arial" w:hAnsi="Arial" w:cs="Arial"/>
                <w:sz w:val="18"/>
              </w:rPr>
              <w:t xml:space="preserve">(Refer to </w:t>
            </w:r>
            <w:r>
              <w:rPr>
                <w:rFonts w:ascii="Arial" w:hAnsi="Arial" w:cs="Arial"/>
                <w:b/>
                <w:bCs/>
                <w:sz w:val="18"/>
              </w:rPr>
              <w:t>Information to Help Complete the Training Contract</w:t>
            </w:r>
            <w:r>
              <w:rPr>
                <w:rFonts w:ascii="Arial" w:hAnsi="Arial" w:cs="Arial"/>
                <w:sz w:val="18"/>
              </w:rPr>
              <w:t>)</w:t>
            </w:r>
          </w:p>
        </w:tc>
      </w:tr>
    </w:tbl>
    <w:p>
      <w:pPr>
        <w:pStyle w:val="yMiscellaneousBody"/>
        <w:spacing w:before="240" w:after="40"/>
        <w:rPr>
          <w:rFonts w:ascii="Arial" w:hAnsi="Arial" w:cs="Arial"/>
          <w:b/>
          <w:bCs/>
        </w:rPr>
      </w:pPr>
      <w:r>
        <w:rPr>
          <w:rFonts w:ascii="Arial" w:hAnsi="Arial" w:cs="Arial"/>
          <w:b/>
          <w:bCs/>
        </w:rPr>
        <w:t>Apprentice/Trainee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173"/>
        <w:gridCol w:w="2174"/>
        <w:gridCol w:w="189"/>
        <w:gridCol w:w="1985"/>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(residential)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(postal)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10</w:t>
            </w: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number/s Home</w:t>
            </w:r>
            <w:r>
              <w:rPr>
                <w:rFonts w:ascii="Arial" w:hAnsi="Arial" w:cs="Arial"/>
                <w:sz w:val="20"/>
              </w:rPr>
              <w:tab/>
            </w:r>
            <w:smartTag w:uri="urn:schemas-microsoft-com:office:smarttags" w:element="place">
              <w:smartTag w:uri="urn:schemas-microsoft-com:office:smarttags" w:element="City">
                <w:r>
                  <w:rPr>
                    <w:rFonts w:ascii="Arial" w:hAnsi="Arial" w:cs="Arial"/>
                    <w:sz w:val="20"/>
                  </w:rPr>
                  <w:t>Mobile</w:t>
                </w:r>
              </w:smartTag>
            </w:smartTag>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11</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13</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Citizenship (Tick applicable box)</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A </w:t>
            </w:r>
            <w:smartTag w:uri="urn:schemas-microsoft-com:office:smarttags" w:element="country-region">
              <w:r>
                <w:rPr>
                  <w:rFonts w:ascii="Arial" w:hAnsi="Arial" w:cs="Arial"/>
                  <w:sz w:val="20"/>
                </w:rPr>
                <w:t>New Zealand</w:t>
              </w:r>
            </w:smartTag>
            <w:r>
              <w:rPr>
                <w:rFonts w:ascii="Arial" w:hAnsi="Arial" w:cs="Arial"/>
                <w:sz w:val="20"/>
              </w:rPr>
              <w:t xml:space="preserve"> passport holder who has been resident in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for 6 months or more </w:t>
            </w:r>
            <w:r>
              <w:rPr>
                <w:rFonts w:ascii="Arial" w:hAnsi="Arial" w:cs="Arial"/>
                <w:sz w:val="18"/>
              </w:rPr>
              <w:t>(Refer to Information to Help Complete the Training Contract)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tabs>
                <w:tab w:val="clear" w:pos="567"/>
              </w:tabs>
              <w:spacing w:before="0"/>
              <w:ind w:left="510" w:hanging="51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14*</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of Aboriginal or Torres Strait Islander origin?</w:t>
            </w:r>
          </w:p>
          <w:p>
            <w:pPr>
              <w:pStyle w:val="yTableNAm"/>
              <w:tabs>
                <w:tab w:val="clear" w:pos="567"/>
              </w:tabs>
              <w:spacing w:before="0"/>
              <w:rPr>
                <w:rFonts w:ascii="Arial" w:hAnsi="Arial" w:cs="Arial"/>
                <w:sz w:val="18"/>
              </w:rPr>
            </w:pPr>
            <w:r>
              <w:rPr>
                <w:rFonts w:ascii="Arial" w:hAnsi="Arial" w:cs="Arial"/>
                <w:sz w:val="18"/>
              </w:rPr>
              <w:t>For persons of both Aboriginal AND Torres Strait Islander origin mark both ‘Yes’ boxes.</w:t>
            </w:r>
          </w:p>
          <w:p>
            <w:pPr>
              <w:pStyle w:val="yTableNAm"/>
              <w:tabs>
                <w:tab w:val="clear" w:pos="567"/>
                <w:tab w:val="left" w:pos="1503"/>
                <w:tab w:val="left" w:pos="3629"/>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w:t>
            </w:r>
            <w:smartTag w:uri="urn:schemas-microsoft-com:office:smarttags" w:element="place">
              <w:r>
                <w:rPr>
                  <w:rFonts w:ascii="Arial" w:hAnsi="Arial" w:cs="Arial"/>
                  <w:sz w:val="20"/>
                </w:rPr>
                <w:t>Torres Strait</w:t>
              </w:r>
            </w:smartTag>
            <w:r>
              <w:rPr>
                <w:rFonts w:ascii="Arial" w:hAnsi="Arial" w:cs="Arial"/>
                <w:sz w:val="20"/>
              </w:rPr>
              <w:t xml:space="preserve"> Islander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15*</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In which country were you born?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16*</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 xml:space="preserve">Do you speak a language other than English at home? </w:t>
            </w:r>
            <w:r>
              <w:rPr>
                <w:rFonts w:ascii="Arial" w:hAnsi="Arial" w:cs="Arial"/>
                <w:sz w:val="18"/>
              </w:rPr>
              <w:t>(If more than one language, indicate the one that is spoken most often.)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17*</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Do you consider yourself to have a disability, impairment or long-term condition?</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still attending secondary school?</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18"/>
              </w:rPr>
              <w:t>(e.g. Year 11)</w:t>
            </w:r>
          </w:p>
          <w:p>
            <w:pPr>
              <w:pStyle w:val="yTableNAm"/>
              <w:tabs>
                <w:tab w:val="clear" w:pos="567"/>
              </w:tabs>
              <w:spacing w:before="0"/>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Is this an approved Australian School-based Apprenticeship/Traineeship?</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20</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What is your highest COMPLETED school level?</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12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11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10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9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8 or below</w:t>
            </w:r>
            <w:r>
              <w:rPr>
                <w:rFonts w:ascii="Arial" w:hAnsi="Arial" w:cs="Arial"/>
                <w:sz w:val="18"/>
              </w:rPr>
              <w:tab/>
            </w:r>
            <w:r>
              <w:rPr>
                <w:rFonts w:ascii="Arial" w:hAnsi="Arial" w:cs="Arial"/>
                <w:sz w:val="18"/>
              </w:rPr>
              <w:sym w:font="Monotype Sorts" w:char="F070"/>
            </w:r>
            <w:r>
              <w:rPr>
                <w:rFonts w:ascii="Arial" w:hAnsi="Arial" w:cs="Arial"/>
                <w:sz w:val="18"/>
              </w:rPr>
              <w:t xml:space="preserve"> Did not go to school</w:t>
            </w:r>
          </w:p>
          <w:p>
            <w:pPr>
              <w:pStyle w:val="yTableNAm"/>
              <w:tabs>
                <w:tab w:val="clear" w:pos="567"/>
                <w:tab w:val="left" w:pos="4196"/>
              </w:tabs>
              <w:spacing w:before="0"/>
              <w:rPr>
                <w:rFonts w:ascii="Arial" w:hAnsi="Arial" w:cs="Arial"/>
                <w:sz w:val="20"/>
              </w:rPr>
            </w:pPr>
            <w:r>
              <w:rPr>
                <w:rFonts w:ascii="Arial" w:hAnsi="Arial" w:cs="Arial"/>
                <w:sz w:val="18"/>
              </w:rPr>
              <w:t>When did you complete that school level?</w:t>
            </w:r>
            <w:r>
              <w:rPr>
                <w:rFonts w:ascii="Arial" w:hAnsi="Arial" w:cs="Arial"/>
                <w:sz w:val="18"/>
              </w:rPr>
              <w:tab/>
              <w:t>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Have you successfully COMPLETED any of the following qualifications?</w:t>
            </w:r>
          </w:p>
          <w:p>
            <w:pPr>
              <w:pStyle w:val="yTableNAm"/>
              <w:tabs>
                <w:tab w:val="clear" w:pos="567"/>
              </w:tabs>
              <w:spacing w:before="0"/>
              <w:rPr>
                <w:rFonts w:ascii="Arial" w:hAnsi="Arial" w:cs="Arial"/>
                <w:b/>
                <w:bCs/>
                <w:sz w:val="18"/>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w:t>
            </w:r>
            <w:r>
              <w:rPr>
                <w:rFonts w:ascii="Arial" w:hAnsi="Arial" w:cs="Arial"/>
                <w:sz w:val="18"/>
              </w:rPr>
              <w:t>tick and complete any applicable boxes</w:t>
            </w:r>
          </w:p>
          <w:p>
            <w:pPr>
              <w:pStyle w:val="yTableNAm"/>
              <w:tabs>
                <w:tab w:val="clear" w:pos="567"/>
                <w:tab w:val="left" w:pos="5188"/>
              </w:tabs>
              <w:spacing w:before="0"/>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Pre-Apprenticeship/Pre-Vocational</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tabs>
                <w:tab w:val="clear" w:pos="567"/>
                <w:tab w:val="left" w:pos="936"/>
                <w:tab w:val="left" w:pos="5188"/>
              </w:tabs>
              <w:spacing w:before="0"/>
              <w:rPr>
                <w:rFonts w:ascii="Arial" w:hAnsi="Arial" w:cs="Arial"/>
                <w:sz w:val="18"/>
              </w:rPr>
            </w:pPr>
            <w:r>
              <w:rPr>
                <w:rFonts w:ascii="Arial" w:hAnsi="Arial" w:cs="Arial"/>
                <w:sz w:val="20"/>
              </w:rPr>
              <w:t xml:space="preserve">Title and level of qualification/s obtained </w:t>
            </w:r>
            <w:r>
              <w:rPr>
                <w:rFonts w:ascii="Arial" w:hAnsi="Arial" w:cs="Arial"/>
                <w:sz w:val="18"/>
              </w:rPr>
              <w:t>(Attach list if necessary)</w:t>
            </w:r>
          </w:p>
          <w:p>
            <w:pPr>
              <w:pStyle w:val="yTableNAm"/>
              <w:tabs>
                <w:tab w:val="clear" w:pos="567"/>
                <w:tab w:val="left" w:pos="936"/>
                <w:tab w:val="left" w:pos="5188"/>
              </w:tabs>
              <w:spacing w:before="0"/>
              <w:rPr>
                <w:rFonts w:ascii="Arial" w:hAnsi="Arial" w:cs="Arial"/>
                <w:sz w:val="18"/>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22*</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The qualification cannot be used because of an injury or disability</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an Intensive Support Customised Assistance Client</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unemployed and have been registered with Centrelink for 12 months or more</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gridSpan w:val="4"/>
            <w:tcBorders>
              <w:top w:val="nil"/>
              <w:bottom w:val="single" w:sz="4" w:space="0" w:color="auto"/>
            </w:tcBorders>
          </w:tcPr>
          <w:p>
            <w:pPr>
              <w:pStyle w:val="yTableNAm"/>
              <w:tabs>
                <w:tab w:val="clear" w:pos="567"/>
              </w:tabs>
              <w:spacing w:before="0"/>
              <w:rPr>
                <w:rFonts w:ascii="Arial" w:hAnsi="Arial" w:cs="Arial"/>
                <w:sz w:val="18"/>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23</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Have you previously worked as an apprentice or trainee?</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b/>
                <w:bCs/>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Please provide details below. </w:t>
            </w:r>
            <w:r>
              <w:rPr>
                <w:rFonts w:ascii="Arial" w:hAnsi="Arial" w:cs="Arial"/>
                <w:sz w:val="18"/>
              </w:rPr>
              <w:t>If you are unsure of any of these details, ask your Australian Apprenticeships Centre for assistance.</w:t>
            </w:r>
          </w:p>
          <w:p>
            <w:pPr>
              <w:pStyle w:val="yTableNAm"/>
              <w:tabs>
                <w:tab w:val="clear" w:pos="567"/>
              </w:tabs>
              <w:spacing w:before="0"/>
              <w:rPr>
                <w:rFonts w:ascii="Arial" w:hAnsi="Arial" w:cs="Arial"/>
                <w:sz w:val="20"/>
              </w:rPr>
            </w:pPr>
            <w:r>
              <w:rPr>
                <w:rFonts w:ascii="Arial" w:hAnsi="Arial" w:cs="Arial"/>
                <w:sz w:val="20"/>
              </w:rPr>
              <w:t>Name of company</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 w:val="left" w:pos="1644"/>
                <w:tab w:val="left" w:pos="3912"/>
              </w:tabs>
              <w:spacing w:before="0"/>
              <w:rPr>
                <w:rFonts w:ascii="Arial" w:hAnsi="Arial" w:cs="Arial"/>
              </w:rPr>
            </w:pPr>
          </w:p>
        </w:tc>
      </w:tr>
      <w:tr>
        <w:trPr>
          <w:cantSplit/>
        </w:trPr>
        <w:tc>
          <w:tcPr>
            <w:tcW w:w="567" w:type="dxa"/>
            <w:vMerge/>
            <w:tcBorders>
              <w:left w:val="single" w:sz="4" w:space="0" w:color="auto"/>
              <w:bottom w:val="single" w:sz="4" w:space="0" w:color="auto"/>
            </w:tcBorders>
          </w:tcPr>
          <w:p>
            <w:pPr>
              <w:pStyle w:val="yTableNAm"/>
              <w:tabs>
                <w:tab w:val="clear" w:pos="567"/>
              </w:tabs>
              <w:spacing w:before="0"/>
              <w:rPr>
                <w:rFonts w:ascii="Arial" w:hAnsi="Arial" w:cs="Arial"/>
                <w:sz w:val="20"/>
              </w:rPr>
            </w:pPr>
          </w:p>
        </w:tc>
        <w:tc>
          <w:tcPr>
            <w:tcW w:w="2173" w:type="dxa"/>
            <w:tcBorders>
              <w:top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State/Territory/ Overseas</w:t>
            </w:r>
          </w:p>
          <w:p>
            <w:pPr>
              <w:pStyle w:val="yTableNAm"/>
              <w:tabs>
                <w:tab w:val="clear" w:pos="567"/>
              </w:tabs>
              <w:spacing w:before="0"/>
              <w:rPr>
                <w:rFonts w:ascii="Arial" w:hAnsi="Arial" w:cs="Arial"/>
                <w:sz w:val="20"/>
              </w:rPr>
            </w:pPr>
          </w:p>
        </w:tc>
        <w:tc>
          <w:tcPr>
            <w:tcW w:w="2174" w:type="dxa"/>
            <w:tcBorders>
              <w:top w:val="nil"/>
              <w:left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Year of commencement</w:t>
            </w:r>
          </w:p>
        </w:tc>
        <w:tc>
          <w:tcPr>
            <w:tcW w:w="2174" w:type="dxa"/>
            <w:gridSpan w:val="2"/>
            <w:tcBorders>
              <w:top w:val="nil"/>
              <w:left w:val="nil"/>
              <w:bottom w:val="single" w:sz="4" w:space="0" w:color="auto"/>
            </w:tcBorders>
          </w:tcPr>
          <w:p>
            <w:pPr>
              <w:pStyle w:val="yTableNAm"/>
              <w:tabs>
                <w:tab w:val="clear" w:pos="567"/>
              </w:tabs>
              <w:spacing w:before="0"/>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24</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Are you seeking credit to reduce the term of the Training Contract?</w:t>
            </w:r>
            <w:r>
              <w:rPr>
                <w:rFonts w:ascii="Arial" w:hAnsi="Arial" w:cs="Arial"/>
                <w:sz w:val="18"/>
              </w:rPr>
              <w:t xml:space="preserve"> (Refer to Information to Help Complete the Training Contract) (Evidence is required and must be attached.)</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tabs>
                <w:tab w:val="clear" w:pos="567"/>
              </w:tabs>
              <w:spacing w:before="0"/>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Are you currently undertaking any other study?</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bl>
    <w:p>
      <w:pPr>
        <w:pStyle w:val="yMiscellaneousBody"/>
        <w:keepNext/>
        <w:spacing w:before="240" w:after="40"/>
        <w:rPr>
          <w:rFonts w:ascii="Arial" w:hAnsi="Arial" w:cs="Arial"/>
          <w:b/>
          <w:bCs/>
        </w:rPr>
      </w:pPr>
      <w:r>
        <w:rPr>
          <w:rFonts w:ascii="Arial" w:hAnsi="Arial" w:cs="Arial"/>
          <w:b/>
          <w:bCs/>
        </w:rPr>
        <w:t>Parent or Guardian details</w:t>
      </w:r>
    </w:p>
    <w:p>
      <w:pPr>
        <w:pStyle w:val="yMiscellaneousBody"/>
        <w:keepNext/>
        <w:spacing w:before="0" w:after="40"/>
        <w:rPr>
          <w:rFonts w:ascii="Arial" w:hAnsi="Arial" w:cs="Arial"/>
          <w:sz w:val="18"/>
        </w:rPr>
      </w:pPr>
      <w:r>
        <w:rPr>
          <w:rFonts w:ascii="Arial" w:hAnsi="Arial" w:cs="Arial"/>
          <w:sz w:val="18"/>
        </w:rPr>
        <w:t xml:space="preserve">If under 18 years of age, go to </w:t>
      </w:r>
      <w:r>
        <w:rPr>
          <w:rFonts w:ascii="Arial" w:hAnsi="Arial" w:cs="Arial"/>
          <w:b/>
          <w:bCs/>
          <w:sz w:val="18"/>
        </w:rPr>
        <w:t>Question 26</w:t>
      </w:r>
      <w:r>
        <w:rPr>
          <w:rFonts w:ascii="Arial" w:hAnsi="Arial" w:cs="Arial"/>
          <w:sz w:val="18"/>
        </w:rPr>
        <w:t xml:space="preserve">. If 18 years or over, go to </w:t>
      </w:r>
      <w:r>
        <w:rPr>
          <w:rFonts w:ascii="Arial" w:hAnsi="Arial" w:cs="Arial"/>
          <w:b/>
          <w:bCs/>
          <w:sz w:val="18"/>
        </w:rPr>
        <w:t>Question 28</w:t>
      </w:r>
      <w:r>
        <w:rPr>
          <w:rFonts w:ascii="Arial" w:hAnsi="Arial" w:cs="Arial"/>
          <w:sz w:val="18"/>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26</w:t>
            </w:r>
          </w:p>
        </w:tc>
        <w:tc>
          <w:tcPr>
            <w:tcW w:w="6521" w:type="dxa"/>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27</w:t>
            </w:r>
          </w:p>
        </w:tc>
        <w:tc>
          <w:tcPr>
            <w:tcW w:w="6521" w:type="dxa"/>
          </w:tcPr>
          <w:p>
            <w:pPr>
              <w:pStyle w:val="yTableNAm"/>
              <w:tabs>
                <w:tab w:val="clear" w:pos="567"/>
              </w:tabs>
              <w:spacing w:before="0"/>
              <w:rPr>
                <w:rFonts w:ascii="Arial" w:hAnsi="Arial" w:cs="Arial"/>
                <w:sz w:val="20"/>
              </w:rPr>
            </w:pPr>
            <w:r>
              <w:rPr>
                <w:rFonts w:ascii="Arial" w:hAnsi="Arial" w:cs="Arial"/>
                <w:sz w:val="20"/>
              </w:rPr>
              <w:t>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Home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Work (  )</w:t>
            </w:r>
          </w:p>
        </w:tc>
      </w:tr>
    </w:tbl>
    <w:p>
      <w:pPr>
        <w:pStyle w:val="yMiscellaneousBody"/>
        <w:spacing w:before="240" w:after="40"/>
        <w:rPr>
          <w:rFonts w:ascii="Arial" w:hAnsi="Arial" w:cs="Arial"/>
          <w:b/>
          <w:bCs/>
        </w:rPr>
      </w:pPr>
      <w:r>
        <w:rPr>
          <w:rFonts w:ascii="Arial" w:hAnsi="Arial" w:cs="Arial"/>
          <w:b/>
          <w:bCs/>
        </w:rPr>
        <w:t>Employer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28</w:t>
            </w:r>
          </w:p>
        </w:tc>
        <w:tc>
          <w:tcPr>
            <w:tcW w:w="6521" w:type="dxa"/>
          </w:tcPr>
          <w:p>
            <w:pPr>
              <w:pStyle w:val="yTableNAm"/>
              <w:tabs>
                <w:tab w:val="clear" w:pos="567"/>
              </w:tabs>
              <w:spacing w:before="0"/>
              <w:rPr>
                <w:rFonts w:ascii="Arial" w:hAnsi="Arial" w:cs="Arial"/>
                <w:sz w:val="18"/>
              </w:rPr>
            </w:pPr>
            <w:r>
              <w:rPr>
                <w:rFonts w:ascii="Arial" w:hAnsi="Arial" w:cs="Arial"/>
                <w:sz w:val="20"/>
              </w:rPr>
              <w:t xml:space="preserve">Legal name of employer </w:t>
            </w:r>
            <w:r>
              <w:rPr>
                <w:rFonts w:ascii="Arial" w:hAnsi="Arial" w:cs="Arial"/>
                <w:sz w:val="18"/>
              </w:rPr>
              <w:t>(Refer to Information to Help Complete the Training Contract)</w:t>
            </w:r>
          </w:p>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29</w:t>
            </w:r>
          </w:p>
        </w:tc>
        <w:tc>
          <w:tcPr>
            <w:tcW w:w="6521" w:type="dxa"/>
          </w:tcPr>
          <w:p>
            <w:pPr>
              <w:pStyle w:val="yTableNAm"/>
              <w:tabs>
                <w:tab w:val="clear" w:pos="567"/>
              </w:tabs>
              <w:spacing w:before="0"/>
              <w:rPr>
                <w:rFonts w:ascii="Arial" w:hAnsi="Arial" w:cs="Arial"/>
                <w:sz w:val="20"/>
              </w:rPr>
            </w:pPr>
            <w:r>
              <w:rPr>
                <w:rFonts w:ascii="Arial" w:hAnsi="Arial" w:cs="Arial"/>
                <w:sz w:val="20"/>
              </w:rPr>
              <w:t>Australian Business Number (ABN) of your legal entity</w:t>
            </w:r>
          </w:p>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keepNext/>
              <w:keepLines/>
              <w:tabs>
                <w:tab w:val="clear" w:pos="567"/>
              </w:tabs>
              <w:spacing w:before="0"/>
              <w:rPr>
                <w:rFonts w:ascii="Arial" w:hAnsi="Arial" w:cs="Arial"/>
                <w:sz w:val="20"/>
              </w:rPr>
            </w:pPr>
            <w:r>
              <w:rPr>
                <w:rFonts w:ascii="Arial" w:hAnsi="Arial" w:cs="Arial"/>
                <w:sz w:val="20"/>
              </w:rPr>
              <w:t>30</w:t>
            </w:r>
          </w:p>
        </w:tc>
        <w:tc>
          <w:tcPr>
            <w:tcW w:w="6521" w:type="dxa"/>
          </w:tcPr>
          <w:p>
            <w:pPr>
              <w:pStyle w:val="yTableNAm"/>
              <w:keepNext/>
              <w:keepLines/>
              <w:tabs>
                <w:tab w:val="clear" w:pos="567"/>
              </w:tabs>
              <w:spacing w:before="0"/>
              <w:rPr>
                <w:rFonts w:ascii="Arial" w:hAnsi="Arial" w:cs="Arial"/>
                <w:sz w:val="20"/>
              </w:rPr>
            </w:pPr>
            <w:r>
              <w:rPr>
                <w:rFonts w:ascii="Arial" w:hAnsi="Arial" w:cs="Arial"/>
                <w:sz w:val="20"/>
              </w:rPr>
              <w:t>Trading name</w:t>
            </w:r>
          </w:p>
          <w:p>
            <w:pPr>
              <w:pStyle w:val="yTableNAm"/>
              <w:keepNext/>
              <w:keepLines/>
              <w:tabs>
                <w:tab w:val="clear" w:pos="567"/>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31</w:t>
            </w:r>
          </w:p>
        </w:tc>
        <w:tc>
          <w:tcPr>
            <w:tcW w:w="6521" w:type="dxa"/>
          </w:tcPr>
          <w:p>
            <w:pPr>
              <w:pStyle w:val="yTableNAm"/>
              <w:tabs>
                <w:tab w:val="clear" w:pos="567"/>
              </w:tabs>
              <w:spacing w:before="0"/>
              <w:rPr>
                <w:rFonts w:ascii="Arial" w:hAnsi="Arial" w:cs="Arial"/>
                <w:sz w:val="20"/>
              </w:rPr>
            </w:pPr>
            <w:r>
              <w:rPr>
                <w:rFonts w:ascii="Arial" w:hAnsi="Arial" w:cs="Arial"/>
                <w:sz w:val="20"/>
              </w:rPr>
              <w:t>Postal 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32</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Business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Fax (  )</w:t>
            </w:r>
          </w:p>
          <w:p>
            <w:pPr>
              <w:pStyle w:val="yTableNAm"/>
              <w:tabs>
                <w:tab w:val="clear" w:pos="567"/>
                <w:tab w:val="left" w:pos="1928"/>
                <w:tab w:val="left" w:pos="3629"/>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33</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What is the industry or principal activity of the business?</w:t>
            </w:r>
          </w:p>
          <w:p>
            <w:pPr>
              <w:pStyle w:val="yTableNAm"/>
              <w:tabs>
                <w:tab w:val="clear" w:pos="567"/>
                <w:tab w:val="left" w:pos="3628"/>
                <w:tab w:val="left" w:pos="4620"/>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34</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Type of employer</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Government Business </w:t>
            </w:r>
            <w:smartTag w:uri="urn:schemas-microsoft-com:office:smarttags" w:element="place">
              <w:smartTag w:uri="urn:schemas-microsoft-com:office:smarttags" w:element="City">
                <w:r>
                  <w:rPr>
                    <w:rFonts w:ascii="Arial" w:hAnsi="Arial" w:cs="Arial"/>
                    <w:sz w:val="18"/>
                  </w:rPr>
                  <w:t>Enterprise</w:t>
                </w:r>
              </w:smartTag>
            </w:smartTag>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spacing w:before="240" w:after="40"/>
        <w:rPr>
          <w:rFonts w:ascii="Arial" w:hAnsi="Arial" w:cs="Arial"/>
          <w:b/>
          <w:bCs/>
        </w:rPr>
      </w:pPr>
      <w:r>
        <w:rPr>
          <w:rFonts w:ascii="Arial" w:hAnsi="Arial" w:cs="Arial"/>
          <w:b/>
          <w:bCs/>
        </w:rPr>
        <w:t>Employment and Training details</w:t>
      </w:r>
    </w:p>
    <w:p>
      <w:pPr>
        <w:pStyle w:val="yMiscellaneousBody"/>
        <w:spacing w:before="0" w:after="40"/>
        <w:rPr>
          <w:rFonts w:ascii="Arial" w:hAnsi="Arial" w:cs="Arial"/>
          <w:sz w:val="18"/>
        </w:rPr>
      </w:pPr>
      <w:r>
        <w:rPr>
          <w:rFonts w:ascii="Arial" w:hAnsi="Arial" w:cs="Arial"/>
          <w:sz w:val="18"/>
        </w:rPr>
        <w:t>(For apprentices/trainees employed through Group Training Organisations provide the name and address of the first host employer.)</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410"/>
        <w:gridCol w:w="1701"/>
        <w:gridCol w:w="284"/>
        <w:gridCol w:w="1134"/>
        <w:gridCol w:w="992"/>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35</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workplace where apprentice/trainee will be employed</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Address of workplace where apprentice/trainee will be employed</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36</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Workplace details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18"/>
              </w:rPr>
              <w:t>Total number of people employed by the firm</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Total number of apprentices/trainees in this workplace</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Number of workers able to demonstrate the relevant competencies available to supervise or train the apprentices/trainees in this workplace</w:t>
            </w:r>
          </w:p>
        </w:tc>
        <w:tc>
          <w:tcPr>
            <w:tcW w:w="992" w:type="dxa"/>
          </w:tcPr>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37</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contact person for this workplace</w:t>
            </w:r>
          </w:p>
          <w:p>
            <w:pPr>
              <w:pStyle w:val="yTableNAm"/>
              <w:tabs>
                <w:tab w:val="clear" w:pos="567"/>
              </w:tabs>
              <w:spacing w:before="0"/>
              <w:rPr>
                <w:rFonts w:ascii="Arial" w:hAnsi="Arial" w:cs="Arial"/>
                <w:sz w:val="20"/>
              </w:rPr>
            </w:pPr>
          </w:p>
          <w:p>
            <w:pPr>
              <w:pStyle w:val="yTableNAm"/>
              <w:tabs>
                <w:tab w:val="clear" w:pos="567"/>
                <w:tab w:val="left" w:pos="2211"/>
                <w:tab w:val="left" w:pos="4479"/>
              </w:tabs>
              <w:spacing w:before="0"/>
              <w:rPr>
                <w:rFonts w:ascii="Arial" w:hAnsi="Arial" w:cs="Arial"/>
                <w:sz w:val="20"/>
              </w:rPr>
            </w:pPr>
            <w:r>
              <w:rPr>
                <w:rFonts w:ascii="Arial" w:hAnsi="Arial" w:cs="Arial"/>
                <w:sz w:val="20"/>
              </w:rPr>
              <w:t>Telephone number (  )</w:t>
            </w:r>
            <w:r>
              <w:rPr>
                <w:rFonts w:ascii="Arial" w:hAnsi="Arial" w:cs="Arial"/>
                <w:sz w:val="20"/>
              </w:rPr>
              <w:tab/>
            </w:r>
            <w:r>
              <w:rPr>
                <w:rFonts w:ascii="Arial" w:hAnsi="Arial" w:cs="Arial"/>
                <w:sz w:val="20"/>
              </w:rPr>
              <w:tab/>
              <w:t>Fax (  )</w:t>
            </w:r>
          </w:p>
          <w:p>
            <w:pPr>
              <w:pStyle w:val="yTableNAm"/>
              <w:tabs>
                <w:tab w:val="clear" w:pos="567"/>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38</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Type of employment arrangement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Federal Award</w:t>
            </w:r>
            <w:r>
              <w:rPr>
                <w:rFonts w:ascii="Arial" w:hAnsi="Arial" w:cs="Arial"/>
                <w:sz w:val="18"/>
              </w:rPr>
              <w:tab/>
            </w:r>
            <w:r>
              <w:rPr>
                <w:rFonts w:ascii="Arial" w:hAnsi="Arial" w:cs="Arial"/>
                <w:sz w:val="18"/>
              </w:rPr>
              <w:sym w:font="Monotype Sorts" w:char="F070"/>
            </w:r>
            <w:r>
              <w:rPr>
                <w:rFonts w:ascii="Arial" w:hAnsi="Arial" w:cs="Arial"/>
                <w:sz w:val="18"/>
              </w:rPr>
              <w:t xml:space="preserve"> Australian Workplace Agreement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Certified Agreement</w:t>
            </w:r>
            <w:r>
              <w:rPr>
                <w:rFonts w:ascii="Arial" w:hAnsi="Arial" w:cs="Arial"/>
                <w:sz w:val="18"/>
              </w:rPr>
              <w:tab/>
            </w:r>
            <w:r>
              <w:rPr>
                <w:rFonts w:ascii="Arial" w:hAnsi="Arial" w:cs="Arial"/>
                <w:sz w:val="18"/>
              </w:rPr>
              <w:sym w:font="Monotype Sorts" w:char="F070"/>
            </w:r>
            <w:r>
              <w:rPr>
                <w:rFonts w:ascii="Arial" w:hAnsi="Arial" w:cs="Arial"/>
                <w:sz w:val="18"/>
              </w:rPr>
              <w:t xml:space="preserve"> State Workplace Agreement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State Award</w:t>
            </w:r>
            <w:r>
              <w:rPr>
                <w:rFonts w:ascii="Arial" w:hAnsi="Arial" w:cs="Arial"/>
                <w:sz w:val="18"/>
              </w:rPr>
              <w:tab/>
            </w:r>
            <w:r>
              <w:rPr>
                <w:rFonts w:ascii="Arial" w:hAnsi="Arial" w:cs="Arial"/>
                <w:sz w:val="18"/>
              </w:rPr>
              <w:sym w:font="Monotype Sorts" w:char="F070"/>
            </w:r>
            <w:r>
              <w:rPr>
                <w:rFonts w:ascii="Arial" w:hAnsi="Arial" w:cs="Arial"/>
                <w:sz w:val="18"/>
              </w:rPr>
              <w:t xml:space="preserve"> Other</w:t>
            </w:r>
          </w:p>
          <w:p>
            <w:pPr>
              <w:pStyle w:val="yTableNAm"/>
              <w:tabs>
                <w:tab w:val="clear" w:pos="567"/>
              </w:tabs>
              <w:spacing w:before="0"/>
              <w:rPr>
                <w:rFonts w:ascii="Arial" w:hAnsi="Arial" w:cs="Arial"/>
                <w:sz w:val="20"/>
              </w:rPr>
            </w:pPr>
            <w:r>
              <w:rPr>
                <w:rFonts w:ascii="Arial" w:hAnsi="Arial" w:cs="Arial"/>
                <w:sz w:val="20"/>
              </w:rPr>
              <w:t>Name of Agreement/Award</w:t>
            </w:r>
          </w:p>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39</w:t>
            </w:r>
          </w:p>
        </w:tc>
        <w:tc>
          <w:tcPr>
            <w:tcW w:w="6521" w:type="dxa"/>
            <w:gridSpan w:val="5"/>
          </w:tcPr>
          <w:p>
            <w:pPr>
              <w:pStyle w:val="yTableNAm"/>
              <w:keepNext/>
              <w:tabs>
                <w:tab w:val="clear" w:pos="567"/>
              </w:tabs>
              <w:spacing w:before="0"/>
              <w:rPr>
                <w:rFonts w:ascii="Arial" w:hAnsi="Arial" w:cs="Arial"/>
                <w:sz w:val="20"/>
              </w:rPr>
            </w:pPr>
            <w:r>
              <w:rPr>
                <w:rFonts w:ascii="Arial" w:hAnsi="Arial" w:cs="Arial"/>
                <w:sz w:val="20"/>
              </w:rPr>
              <w:t>Please indicate the number of hours of employment and training per week and whether this Apprenticeship/Traineeship is full-time or part</w:t>
            </w:r>
            <w:r>
              <w:rPr>
                <w:rFonts w:ascii="Arial" w:hAnsi="Arial" w:cs="Arial"/>
                <w:sz w:val="20"/>
              </w:rPr>
              <w:noBreakHyphen/>
              <w:t>time.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20"/>
              </w:rPr>
              <w:t>Number of hours work and training per week</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Full-time</w:t>
            </w:r>
            <w:r>
              <w:rPr>
                <w:rFonts w:ascii="Arial" w:hAnsi="Arial" w:cs="Arial"/>
                <w:sz w:val="20"/>
              </w:rPr>
              <w:tab/>
            </w:r>
            <w:r>
              <w:rPr>
                <w:rFonts w:ascii="Arial" w:hAnsi="Arial" w:cs="Arial"/>
                <w:sz w:val="20"/>
              </w:rPr>
              <w:sym w:font="Monotype Sorts" w:char="F070"/>
            </w:r>
            <w:r>
              <w:rPr>
                <w:rFonts w:ascii="Arial" w:hAnsi="Arial" w:cs="Arial"/>
                <w:sz w:val="20"/>
              </w:rPr>
              <w:t xml:space="preserve"> Part-time</w:t>
            </w:r>
          </w:p>
        </w:tc>
        <w:tc>
          <w:tcPr>
            <w:tcW w:w="992" w:type="dxa"/>
          </w:tcPr>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40</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Prior to commencing THIS Apprenticeship/Traineeship, has the apprentice/trainee worked for, or been hosted by/to, the employer/host employer?</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 </w:t>
            </w:r>
            <w:r>
              <w:rPr>
                <w:rFonts w:ascii="Arial" w:hAnsi="Arial" w:cs="Arial"/>
                <w:sz w:val="20"/>
              </w:rPr>
              <w:tab/>
            </w:r>
            <w:r>
              <w:rPr>
                <w:rFonts w:ascii="Arial" w:hAnsi="Arial" w:cs="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full-time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part-time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Part-time: Number of hours per week</w:t>
            </w:r>
          </w:p>
        </w:tc>
        <w:tc>
          <w:tcPr>
            <w:tcW w:w="2126" w:type="dxa"/>
            <w:gridSpan w:val="2"/>
          </w:tcPr>
          <w:p>
            <w:pPr>
              <w:pStyle w:val="yTableNAm"/>
              <w:tabs>
                <w:tab w:val="clear" w:pos="567"/>
              </w:tabs>
              <w:spacing w:before="0"/>
              <w:rPr>
                <w:rFonts w:ascii="Arial" w:hAnsi="Arial" w:cs="Arial"/>
                <w:sz w:val="18"/>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casual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Casual: Number of hours per week</w:t>
            </w:r>
          </w:p>
        </w:tc>
        <w:tc>
          <w:tcPr>
            <w:tcW w:w="2126" w:type="dxa"/>
            <w:gridSpan w:val="2"/>
          </w:tcPr>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41</w:t>
            </w:r>
          </w:p>
        </w:tc>
        <w:tc>
          <w:tcPr>
            <w:tcW w:w="6521" w:type="dxa"/>
            <w:gridSpan w:val="5"/>
          </w:tcPr>
          <w:p>
            <w:pPr>
              <w:pStyle w:val="yTableNAm"/>
              <w:tabs>
                <w:tab w:val="clear" w:pos="567"/>
              </w:tabs>
              <w:spacing w:before="0"/>
              <w:rPr>
                <w:rFonts w:ascii="Arial" w:hAnsi="Arial" w:cs="Arial"/>
                <w:sz w:val="18"/>
              </w:rPr>
            </w:pPr>
            <w:r>
              <w:rPr>
                <w:rFonts w:ascii="Arial" w:hAnsi="Arial" w:cs="Arial"/>
                <w:sz w:val="20"/>
              </w:rPr>
              <w:t>Is the apprentice/trainee in a business relationship with this employer?</w:t>
            </w:r>
          </w:p>
          <w:p>
            <w:pPr>
              <w:pStyle w:val="yTableNAm"/>
              <w:tabs>
                <w:tab w:val="clear" w:pos="567"/>
              </w:tabs>
              <w:spacing w:before="0"/>
              <w:rPr>
                <w:rFonts w:ascii="Arial" w:hAnsi="Arial" w:cs="Arial"/>
                <w:sz w:val="18"/>
              </w:rPr>
            </w:pPr>
            <w:r>
              <w:rPr>
                <w:rFonts w:ascii="Arial" w:hAnsi="Arial" w:cs="Arial"/>
                <w:sz w:val="18"/>
              </w:rPr>
              <w:t>(Examples include partnership, director or franchise arrangement – family trusts excluded.) (Refer to Information to Help Complete the Training Contract)</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Yes → Please provide details below.</w:t>
            </w:r>
          </w:p>
          <w:p>
            <w:pPr>
              <w:pStyle w:val="yTableNAm"/>
              <w:tabs>
                <w:tab w:val="clear" w:pos="567"/>
              </w:tabs>
              <w:spacing w:before="0"/>
              <w:rPr>
                <w:rFonts w:ascii="Arial" w:hAnsi="Arial" w:cs="Arial"/>
                <w:sz w:val="20"/>
              </w:rPr>
            </w:pPr>
          </w:p>
        </w:tc>
      </w:tr>
    </w:tbl>
    <w:p>
      <w:pPr>
        <w:pStyle w:val="yMiscellaneousBody"/>
        <w:spacing w:before="200" w:after="40"/>
        <w:rPr>
          <w:rFonts w:ascii="Arial" w:hAnsi="Arial" w:cs="Arial"/>
          <w:b/>
          <w:bCs/>
        </w:rPr>
      </w:pPr>
      <w:r>
        <w:rPr>
          <w:rFonts w:ascii="Arial" w:hAnsi="Arial" w:cs="Arial"/>
          <w:b/>
          <w:bCs/>
        </w:rPr>
        <w:t>Registered Training Organisation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Registered Training Organisation (RTO)</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00" w:after="40"/>
        <w:rPr>
          <w:rFonts w:ascii="Arial" w:hAnsi="Arial" w:cs="Arial"/>
          <w:b/>
          <w:bCs/>
        </w:rPr>
      </w:pPr>
      <w:r>
        <w:rPr>
          <w:rFonts w:ascii="Arial" w:hAnsi="Arial" w:cs="Arial"/>
          <w:b/>
          <w:bCs/>
        </w:rPr>
        <w:t>Australian Apprenticeships Centre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Australian Apprenticeships Centre</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rPr>
          <w:rFonts w:ascii="Arial" w:hAnsi="Arial" w:cs="Arial"/>
          <w:b/>
          <w:bCs/>
        </w:rPr>
      </w:pPr>
      <w:r>
        <w:rPr>
          <w:rFonts w:ascii="Arial" w:hAnsi="Arial" w:cs="Arial"/>
          <w:b/>
          <w:bCs/>
        </w:rPr>
        <w:t>Information on Australian Government Australian Apprenticeships Incentives</w:t>
      </w:r>
    </w:p>
    <w:p>
      <w:pPr>
        <w:pStyle w:val="yMiscellaneousBody"/>
        <w:spacing w:before="40"/>
        <w:rPr>
          <w:rFonts w:ascii="Arial" w:hAnsi="Arial" w:cs="Arial"/>
          <w:sz w:val="20"/>
        </w:rPr>
      </w:pPr>
      <w:r>
        <w:rPr>
          <w:rFonts w:ascii="Arial" w:hAnsi="Arial" w:cs="Arial"/>
          <w:sz w:val="20"/>
        </w:rPr>
        <w:t>Australian Apprenticeships, formerly known as New Apprenticeships, encompass all apprenticeships and traineeships. They combine time at work with training and can be full-time, part-time or school-based. Australian Apprenticeships are a stepping stone to ongoing employment or further education and training, and a great way to get a head start to a career.</w:t>
      </w:r>
    </w:p>
    <w:p>
      <w:pPr>
        <w:pStyle w:val="yMiscellaneousBody"/>
        <w:spacing w:before="40"/>
        <w:rPr>
          <w:rFonts w:ascii="Arial" w:hAnsi="Arial" w:cs="Arial"/>
          <w:sz w:val="20"/>
        </w:rPr>
      </w:pPr>
      <w:r>
        <w:rPr>
          <w:rFonts w:ascii="Arial" w:hAnsi="Arial" w:cs="Arial"/>
          <w:sz w:val="20"/>
        </w:rPr>
        <w:t>The Australian Apprenticeships Incentives Programme encourages employers to offer the kinds of employment-related training opportunities that will encourage people to acquire and expand their working skills. For further details about the incentives listed here, including application forms and advice about whether you may be eligible, contact your Australian Apprenticeships Centre.</w:t>
      </w:r>
    </w:p>
    <w:p>
      <w:pPr>
        <w:pStyle w:val="yMiscellaneousBody"/>
        <w:spacing w:before="40"/>
        <w:rPr>
          <w:rFonts w:ascii="Arial" w:hAnsi="Arial" w:cs="Arial"/>
          <w:b/>
          <w:bCs/>
          <w:sz w:val="20"/>
        </w:rPr>
      </w:pPr>
      <w:r>
        <w:rPr>
          <w:rFonts w:ascii="Arial" w:hAnsi="Arial" w:cs="Arial"/>
          <w:b/>
          <w:bCs/>
          <w:sz w:val="20"/>
        </w:rPr>
        <w:t>Eligibility for Australian Government Incentives – Information for Employers</w:t>
      </w:r>
    </w:p>
    <w:p>
      <w:pPr>
        <w:pStyle w:val="yMiscellaneousBody"/>
        <w:spacing w:before="40"/>
        <w:ind w:left="284"/>
        <w:rPr>
          <w:rFonts w:ascii="Arial" w:hAnsi="Arial" w:cs="Arial"/>
          <w:sz w:val="18"/>
        </w:rPr>
      </w:pPr>
      <w:r>
        <w:rPr>
          <w:rFonts w:ascii="Arial" w:hAnsi="Arial" w:cs="Arial"/>
          <w:sz w:val="18"/>
        </w:rPr>
        <w:t>This Training Contract has been designed to assess your eligibility for Australian Government Australian Apprenticeships Incentives.</w:t>
      </w:r>
    </w:p>
    <w:p>
      <w:pPr>
        <w:pStyle w:val="yMiscellaneousBody"/>
        <w:spacing w:before="40"/>
        <w:ind w:left="284"/>
        <w:rPr>
          <w:rFonts w:ascii="Arial" w:hAnsi="Arial" w:cs="Arial"/>
          <w:sz w:val="18"/>
        </w:rPr>
      </w:pPr>
      <w:r>
        <w:rPr>
          <w:rFonts w:ascii="Arial" w:hAnsi="Arial" w:cs="Arial"/>
          <w:sz w:val="18"/>
        </w:rPr>
        <w:t>These Incentives can include Commencement, Recommencement, Completion and other special incentives.</w:t>
      </w:r>
    </w:p>
    <w:p>
      <w:pPr>
        <w:pStyle w:val="yMiscellaneousBody"/>
        <w:spacing w:before="40"/>
        <w:ind w:left="284"/>
        <w:rPr>
          <w:rFonts w:ascii="Arial" w:hAnsi="Arial" w:cs="Arial"/>
          <w:sz w:val="18"/>
        </w:rPr>
      </w:pPr>
      <w:r>
        <w:rPr>
          <w:rFonts w:ascii="Arial" w:hAnsi="Arial" w:cs="Arial"/>
          <w:sz w:val="18"/>
        </w:rPr>
        <w:t>Eligibility is assessed on a number of criteria, including but not limited to:</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date the Australian Apprentice commences or recommences with an employer;</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employment status of the Australian Apprentice at the date the incentive falls due;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location of the workplace;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accredited training programme is in 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type of employment relationship; and</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formal approval by the State or Territory Training Authority.</w:t>
      </w:r>
    </w:p>
    <w:p>
      <w:pPr>
        <w:pStyle w:val="yMiscellaneousBody"/>
        <w:spacing w:before="40"/>
        <w:ind w:left="284"/>
        <w:rPr>
          <w:rFonts w:ascii="Arial" w:hAnsi="Arial" w:cs="Arial"/>
          <w:sz w:val="18"/>
        </w:rPr>
      </w:pPr>
      <w:r>
        <w:rPr>
          <w:rFonts w:ascii="Arial" w:hAnsi="Arial" w:cs="Arial"/>
          <w:sz w:val="18"/>
        </w:rPr>
        <w:t>If you are eligible for Australian Government Incentives, you will need to complete a separate Claim Form available from your Australian Apprenticeships Centre in order to be paid. This Claim Form should be lodged following:</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approval of the Training Contract;</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after the apprentice/trainee has commenced training according to the approved Training Plan; and</w:t>
      </w:r>
    </w:p>
    <w:p>
      <w:pPr>
        <w:pStyle w:val="yMiscellaneousBody"/>
        <w:spacing w:before="0"/>
        <w:ind w:left="709" w:hanging="425"/>
        <w:rPr>
          <w:sz w:val="18"/>
        </w:rPr>
      </w:pPr>
      <w:r>
        <w:rPr>
          <w:rFonts w:ascii="Arial" w:hAnsi="Arial" w:cs="Arial"/>
          <w:sz w:val="18"/>
        </w:rPr>
        <w:t>•</w:t>
      </w:r>
      <w:r>
        <w:rPr>
          <w:rFonts w:ascii="Arial" w:hAnsi="Arial" w:cs="Arial"/>
          <w:sz w:val="18"/>
        </w:rPr>
        <w:tab/>
        <w:t>after the Australian Government three-month waiting period has expired and the apprentice/trainee is still employed by your business and any State/Territory probation period has been completed.</w:t>
      </w:r>
    </w:p>
    <w:p>
      <w:pPr>
        <w:pStyle w:val="yMiscellaneousBody"/>
        <w:keepNext/>
        <w:spacing w:before="40"/>
        <w:rPr>
          <w:rFonts w:ascii="Arial" w:hAnsi="Arial" w:cs="Arial"/>
          <w:b/>
          <w:bCs/>
          <w:sz w:val="20"/>
        </w:rPr>
      </w:pPr>
      <w:r>
        <w:rPr>
          <w:rFonts w:ascii="Arial" w:hAnsi="Arial" w:cs="Arial"/>
          <w:b/>
          <w:bCs/>
          <w:sz w:val="20"/>
        </w:rPr>
        <w:t>Taxation</w:t>
      </w:r>
    </w:p>
    <w:p>
      <w:pPr>
        <w:pStyle w:val="yMiscellaneousBody"/>
        <w:spacing w:before="40"/>
        <w:ind w:left="284"/>
        <w:rPr>
          <w:rFonts w:ascii="Arial" w:hAnsi="Arial" w:cs="Arial"/>
          <w:sz w:val="18"/>
        </w:rPr>
      </w:pPr>
      <w:r>
        <w:rPr>
          <w:rFonts w:ascii="Arial" w:hAnsi="Arial" w:cs="Arial"/>
          <w:sz w:val="18"/>
        </w:rPr>
        <w:t>If you are eligible for Australian Government Incentives you should be aware that if you do not provide your ABN when lodging a Claim Form, the Department of Education, Employment and Workplace Relations will be obliged to withhold 46.5% of the incentive payment and remit it to the Australian Taxation Office.</w:t>
      </w:r>
    </w:p>
    <w:p>
      <w:pPr>
        <w:pStyle w:val="yMiscellaneousBody"/>
        <w:spacing w:before="40"/>
        <w:ind w:left="284"/>
        <w:rPr>
          <w:sz w:val="20"/>
        </w:rPr>
      </w:pPr>
      <w:r>
        <w:rPr>
          <w:rFonts w:ascii="Arial" w:hAnsi="Arial" w:cs="Arial"/>
          <w:sz w:val="18"/>
        </w:rPr>
        <w:t>You should seek independent advice regarding your taxation position.</w:t>
      </w:r>
    </w:p>
    <w:p>
      <w:pPr>
        <w:pStyle w:val="yMiscellaneousBody"/>
        <w:keepNext/>
        <w:spacing w:before="40"/>
        <w:rPr>
          <w:rFonts w:ascii="Arial" w:hAnsi="Arial" w:cs="Arial"/>
          <w:b/>
          <w:bCs/>
          <w:sz w:val="20"/>
        </w:rPr>
      </w:pPr>
      <w:r>
        <w:rPr>
          <w:rFonts w:ascii="Arial" w:hAnsi="Arial" w:cs="Arial"/>
          <w:b/>
          <w:bCs/>
          <w:sz w:val="20"/>
        </w:rPr>
        <w:t>Other Australian Government Assistance</w:t>
      </w:r>
    </w:p>
    <w:p>
      <w:pPr>
        <w:pStyle w:val="yMiscellaneousBody"/>
        <w:keepNext/>
        <w:spacing w:before="40"/>
        <w:ind w:left="284"/>
        <w:rPr>
          <w:rFonts w:ascii="Arial" w:hAnsi="Arial" w:cs="Arial"/>
          <w:b/>
          <w:bCs/>
          <w:sz w:val="18"/>
        </w:rPr>
      </w:pPr>
      <w:r>
        <w:rPr>
          <w:rFonts w:ascii="Arial" w:hAnsi="Arial" w:cs="Arial"/>
          <w:b/>
          <w:bCs/>
          <w:sz w:val="18"/>
        </w:rPr>
        <w:t>Assistance for Apprentices/Trainees with a Disability</w:t>
      </w:r>
    </w:p>
    <w:p>
      <w:pPr>
        <w:pStyle w:val="yMiscellaneousBody"/>
        <w:spacing w:before="40"/>
        <w:ind w:left="284"/>
        <w:rPr>
          <w:rFonts w:ascii="Arial" w:hAnsi="Arial" w:cs="Arial"/>
          <w:sz w:val="18"/>
        </w:rPr>
      </w:pPr>
      <w:r>
        <w:rPr>
          <w:rFonts w:ascii="Arial" w:hAnsi="Arial" w:cs="Arial"/>
          <w:sz w:val="18"/>
        </w:rPr>
        <w:t>The Australian Government may provide assistance to employers of apprentices/trainees with a disability, including the Disabled Australian Apprenticeships Wage Support programme,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spacing w:before="40"/>
        <w:ind w:left="284"/>
        <w:rPr>
          <w:rFonts w:ascii="Arial" w:hAnsi="Arial" w:cs="Arial"/>
          <w:b/>
          <w:bCs/>
          <w:sz w:val="18"/>
        </w:rPr>
      </w:pPr>
      <w:r>
        <w:rPr>
          <w:rFonts w:ascii="Arial" w:hAnsi="Arial" w:cs="Arial"/>
          <w:b/>
          <w:bCs/>
          <w:sz w:val="18"/>
        </w:rPr>
        <w:t>Living Away from Home Allowance</w:t>
      </w:r>
    </w:p>
    <w:p>
      <w:pPr>
        <w:pStyle w:val="yMiscellaneousBody"/>
        <w:spacing w:before="40"/>
        <w:ind w:left="284"/>
        <w:rPr>
          <w:rFonts w:ascii="Arial" w:hAnsi="Arial" w:cs="Arial"/>
          <w:sz w:val="18"/>
        </w:rPr>
      </w:pPr>
      <w:r>
        <w:rPr>
          <w:rFonts w:ascii="Arial" w:hAnsi="Arial" w:cs="Arial"/>
          <w:sz w:val="18"/>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spacing w:before="240"/>
        <w:rPr>
          <w:rFonts w:ascii="Arial" w:hAnsi="Arial" w:cs="Arial"/>
          <w:b/>
          <w:bCs/>
        </w:rPr>
      </w:pPr>
      <w:r>
        <w:rPr>
          <w:rFonts w:ascii="Arial" w:hAnsi="Arial" w:cs="Arial"/>
          <w:b/>
          <w:bCs/>
        </w:rPr>
        <w:t>Information You Need to Know</w:t>
      </w:r>
    </w:p>
    <w:p>
      <w:pPr>
        <w:pStyle w:val="yMiscellaneousBody"/>
        <w:spacing w:before="40"/>
        <w:rPr>
          <w:rFonts w:ascii="Arial" w:hAnsi="Arial" w:cs="Arial"/>
          <w:b/>
          <w:bCs/>
          <w:sz w:val="20"/>
        </w:rPr>
      </w:pPr>
      <w:r>
        <w:rPr>
          <w:rFonts w:ascii="Arial" w:hAnsi="Arial" w:cs="Arial"/>
          <w:b/>
          <w:bCs/>
          <w:sz w:val="20"/>
        </w:rPr>
        <w:t>National Code of Good Practice for Australian Apprenticeships</w:t>
      </w:r>
    </w:p>
    <w:p>
      <w:pPr>
        <w:pStyle w:val="yMiscellaneousBody"/>
        <w:spacing w:before="40"/>
        <w:rPr>
          <w:rFonts w:ascii="Arial" w:hAnsi="Arial" w:cs="Arial"/>
          <w:sz w:val="18"/>
        </w:rPr>
      </w:pPr>
      <w:r>
        <w:rPr>
          <w:rFonts w:ascii="Arial" w:hAnsi="Arial" w:cs="Arial"/>
          <w:sz w:val="18"/>
        </w:rPr>
        <w:t>This code explains the rights and responsibilities of the people who sign this contract. Free copies of the code are available from your Australian Apprenticeships Centre.</w:t>
      </w:r>
    </w:p>
    <w:p>
      <w:pPr>
        <w:pStyle w:val="yMiscellaneousBody"/>
        <w:spacing w:before="40"/>
        <w:rPr>
          <w:rFonts w:ascii="Arial" w:hAnsi="Arial" w:cs="Arial"/>
          <w:b/>
          <w:bCs/>
          <w:sz w:val="20"/>
        </w:rPr>
      </w:pPr>
      <w:r>
        <w:rPr>
          <w:rFonts w:ascii="Arial" w:hAnsi="Arial" w:cs="Arial"/>
          <w:b/>
          <w:bCs/>
          <w:sz w:val="20"/>
        </w:rPr>
        <w:t>Making choices</w:t>
      </w:r>
    </w:p>
    <w:p>
      <w:pPr>
        <w:pStyle w:val="yMiscellaneousBody"/>
        <w:spacing w:before="40"/>
        <w:ind w:left="284" w:hanging="284"/>
        <w:rPr>
          <w:rFonts w:ascii="Arial" w:hAnsi="Arial" w:cs="Arial"/>
          <w:b/>
          <w:bCs/>
          <w:sz w:val="18"/>
        </w:rPr>
      </w:pPr>
      <w:r>
        <w:rPr>
          <w:rFonts w:ascii="Arial" w:hAnsi="Arial" w:cs="Arial"/>
          <w:b/>
          <w:bCs/>
          <w:sz w:val="18"/>
        </w:rPr>
        <w:t>a.</w:t>
      </w:r>
      <w:r>
        <w:rPr>
          <w:rFonts w:ascii="Arial" w:hAnsi="Arial" w:cs="Arial"/>
          <w:b/>
          <w:bCs/>
          <w:sz w:val="18"/>
        </w:rPr>
        <w:tab/>
        <w:t>Choosing a Registered Training Organisation (RTO)</w:t>
      </w:r>
    </w:p>
    <w:p>
      <w:pPr>
        <w:pStyle w:val="yMiscellaneousBody"/>
        <w:spacing w:before="40"/>
        <w:ind w:left="284"/>
        <w:rPr>
          <w:rFonts w:ascii="Arial" w:hAnsi="Arial" w:cs="Arial"/>
          <w:sz w:val="18"/>
        </w:rPr>
      </w:pPr>
      <w:r>
        <w:rPr>
          <w:rFonts w:ascii="Arial" w:hAnsi="Arial" w:cs="Arial"/>
          <w:sz w:val="18"/>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rPr>
        <w:t>Contacts for Further Information and Assistance</w:t>
      </w:r>
      <w:r>
        <w:rPr>
          <w:rFonts w:ascii="Arial" w:hAnsi="Arial" w:cs="Arial"/>
          <w:sz w:val="18"/>
        </w:rPr>
        <w:t xml:space="preserve"> section of this document for contacts.)</w:t>
      </w:r>
    </w:p>
    <w:p>
      <w:pPr>
        <w:pStyle w:val="yMiscellaneousBody"/>
        <w:spacing w:before="40"/>
        <w:ind w:left="284"/>
        <w:rPr>
          <w:rFonts w:ascii="Arial" w:hAnsi="Arial" w:cs="Arial"/>
          <w:sz w:val="18"/>
        </w:rPr>
      </w:pPr>
      <w:r>
        <w:rPr>
          <w:rFonts w:ascii="Arial" w:hAnsi="Arial" w:cs="Arial"/>
          <w:sz w:val="18"/>
        </w:rPr>
        <w:t>The employer and apprentice/trainee have a right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ask RTOs for accurate and timely information about training options they can offer you</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identify and select the training outcomes from nationally endorsed Training Packages or accredited courses that are available in your State/Territory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negotiate a Training Plan with the RTO according to the relevant State/Territory Training Authority.</w:t>
      </w:r>
    </w:p>
    <w:p>
      <w:pPr>
        <w:pStyle w:val="yMiscellaneousBody"/>
        <w:spacing w:before="40"/>
        <w:ind w:left="284" w:hanging="284"/>
        <w:rPr>
          <w:rFonts w:ascii="Arial" w:hAnsi="Arial" w:cs="Arial"/>
          <w:b/>
          <w:bCs/>
          <w:sz w:val="18"/>
        </w:rPr>
      </w:pPr>
      <w:r>
        <w:rPr>
          <w:rFonts w:ascii="Arial" w:hAnsi="Arial" w:cs="Arial"/>
          <w:b/>
          <w:bCs/>
          <w:sz w:val="18"/>
        </w:rPr>
        <w:t>b.</w:t>
      </w:r>
      <w:r>
        <w:rPr>
          <w:rFonts w:ascii="Arial" w:hAnsi="Arial" w:cs="Arial"/>
          <w:b/>
          <w:bCs/>
          <w:sz w:val="18"/>
        </w:rPr>
        <w:tab/>
        <w:t>Training Plans</w:t>
      </w:r>
    </w:p>
    <w:p>
      <w:pPr>
        <w:pStyle w:val="yMiscellaneousBody"/>
        <w:spacing w:before="40"/>
        <w:ind w:left="284"/>
        <w:rPr>
          <w:rFonts w:ascii="Arial" w:hAnsi="Arial" w:cs="Arial"/>
          <w:sz w:val="18"/>
        </w:rPr>
      </w:pPr>
      <w:r>
        <w:rPr>
          <w:rFonts w:ascii="Arial" w:hAnsi="Arial" w:cs="Arial"/>
          <w:sz w:val="18"/>
        </w:rPr>
        <w:t>A Training Plan sets out the training that an apprentice/trainee will do both on-the-job and off-the-job. It also sets out how the RTO will ensure the apprentice/trainee will receive quality training - both on-the-job and off-the-job.</w:t>
      </w:r>
    </w:p>
    <w:p>
      <w:pPr>
        <w:pStyle w:val="yMiscellaneousBody"/>
        <w:spacing w:before="40"/>
        <w:ind w:left="284"/>
        <w:rPr>
          <w:rFonts w:ascii="Arial" w:hAnsi="Arial" w:cs="Arial"/>
          <w:sz w:val="18"/>
        </w:rPr>
      </w:pPr>
      <w:r>
        <w:rPr>
          <w:rFonts w:ascii="Arial" w:hAnsi="Arial" w:cs="Arial"/>
          <w:sz w:val="18"/>
        </w:rPr>
        <w:t>It’s important that the employer and the apprentice/trainee know how the Plan will work and are well-informed about it.</w:t>
      </w:r>
    </w:p>
    <w:p>
      <w:pPr>
        <w:pStyle w:val="yMiscellaneousBody"/>
        <w:spacing w:before="40"/>
        <w:ind w:left="284"/>
        <w:rPr>
          <w:rFonts w:ascii="Arial" w:hAnsi="Arial" w:cs="Arial"/>
          <w:sz w:val="18"/>
        </w:rPr>
      </w:pPr>
      <w:r>
        <w:rPr>
          <w:rFonts w:ascii="Arial" w:hAnsi="Arial" w:cs="Arial"/>
          <w:sz w:val="18"/>
        </w:rPr>
        <w:t>Training Plans reflect the choices made in relation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RTO that will provide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competency standards will be covered and in what order</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when, where and how training is provided</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trainer/facilitator provides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who assesses the apprentice/trainee</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how the training is evaluated.</w:t>
      </w:r>
    </w:p>
    <w:p>
      <w:pPr>
        <w:pStyle w:val="yMiscellaneousBody"/>
        <w:spacing w:before="40"/>
        <w:rPr>
          <w:rFonts w:ascii="Arial" w:hAnsi="Arial" w:cs="Arial"/>
          <w:b/>
          <w:bCs/>
          <w:sz w:val="20"/>
        </w:rPr>
      </w:pPr>
      <w:r>
        <w:rPr>
          <w:rFonts w:ascii="Arial" w:hAnsi="Arial" w:cs="Arial"/>
          <w:b/>
          <w:bCs/>
          <w:sz w:val="20"/>
        </w:rPr>
        <w:t>Qualifications and records</w:t>
      </w:r>
    </w:p>
    <w:p>
      <w:pPr>
        <w:pStyle w:val="yMiscellaneousBody"/>
        <w:spacing w:before="40"/>
        <w:ind w:left="284"/>
        <w:rPr>
          <w:rFonts w:ascii="Arial" w:hAnsi="Arial" w:cs="Arial"/>
          <w:sz w:val="18"/>
        </w:rPr>
      </w:pPr>
      <w:r>
        <w:rPr>
          <w:rFonts w:ascii="Arial" w:hAnsi="Arial" w:cs="Arial"/>
          <w:sz w:val="18"/>
        </w:rPr>
        <w:t>Once the Training Contract is completed, the RTO must issue the qualification specified in the Training Contract. If the apprentice/trainee only completes some of the competency standards in the Training Plan, the RTO must issue a Statement of Attainment. The RTO will keep the relevant records.</w:t>
      </w:r>
    </w:p>
    <w:p>
      <w:pPr>
        <w:pStyle w:val="yMiscellaneousBody"/>
        <w:spacing w:before="40"/>
        <w:rPr>
          <w:rFonts w:ascii="Arial" w:hAnsi="Arial" w:cs="Arial"/>
          <w:b/>
          <w:bCs/>
          <w:sz w:val="20"/>
        </w:rPr>
      </w:pPr>
      <w:r>
        <w:rPr>
          <w:rFonts w:ascii="Arial" w:hAnsi="Arial" w:cs="Arial"/>
          <w:b/>
          <w:bCs/>
          <w:sz w:val="20"/>
        </w:rPr>
        <w:t>Allowances and Incentives</w:t>
      </w:r>
    </w:p>
    <w:p>
      <w:pPr>
        <w:pStyle w:val="yMiscellaneousBody"/>
        <w:spacing w:before="40"/>
        <w:ind w:left="284"/>
        <w:rPr>
          <w:rFonts w:ascii="Arial" w:hAnsi="Arial" w:cs="Arial"/>
          <w:sz w:val="18"/>
        </w:rPr>
      </w:pPr>
      <w:r>
        <w:rPr>
          <w:rFonts w:ascii="Arial" w:hAnsi="Arial" w:cs="Arial"/>
          <w:sz w:val="18"/>
        </w:rPr>
        <w:t xml:space="preserve">A range of Australian Government and State/Territory incentives and subsidies may be available from time to time. For more information, see the </w:t>
      </w:r>
      <w:r>
        <w:rPr>
          <w:rFonts w:ascii="Arial" w:hAnsi="Arial" w:cs="Arial"/>
          <w:b/>
          <w:bCs/>
          <w:sz w:val="18"/>
        </w:rPr>
        <w:t xml:space="preserve">Information on Australian Government Australian Apprenticeships Incentives </w:t>
      </w:r>
      <w:r>
        <w:rPr>
          <w:rFonts w:ascii="Arial" w:hAnsi="Arial" w:cs="Arial"/>
          <w:sz w:val="18"/>
        </w:rPr>
        <w:t>section of this document.</w:t>
      </w:r>
    </w:p>
    <w:p>
      <w:pPr>
        <w:pStyle w:val="yMiscellaneousBody"/>
        <w:spacing w:before="40"/>
        <w:ind w:left="284"/>
        <w:rPr>
          <w:rFonts w:ascii="Arial" w:hAnsi="Arial" w:cs="Arial"/>
          <w:sz w:val="18"/>
        </w:rPr>
      </w:pPr>
      <w:r>
        <w:rPr>
          <w:rFonts w:ascii="Arial" w:hAnsi="Arial" w:cs="Arial"/>
          <w:sz w:val="18"/>
        </w:rPr>
        <w:t>State/Territory government allowances may also be available where the apprentice/trainee has to travel away from home to attend training.</w:t>
      </w:r>
    </w:p>
    <w:p>
      <w:pPr>
        <w:pStyle w:val="yMiscellaneousBody"/>
        <w:spacing w:before="40"/>
        <w:ind w:left="284"/>
        <w:rPr>
          <w:rFonts w:ascii="Arial" w:hAnsi="Arial" w:cs="Arial"/>
          <w:sz w:val="18"/>
        </w:rPr>
      </w:pPr>
      <w:r>
        <w:rPr>
          <w:rFonts w:ascii="Arial" w:hAnsi="Arial" w:cs="Arial"/>
          <w:sz w:val="18"/>
        </w:rPr>
        <w:t>Check with an Australian Apprenticeships Centre in your region.</w:t>
      </w:r>
    </w:p>
    <w:p>
      <w:pPr>
        <w:pStyle w:val="yMiscellaneousBody"/>
        <w:spacing w:before="40"/>
        <w:ind w:left="284"/>
        <w:rPr>
          <w:rFonts w:ascii="Arial" w:hAnsi="Arial" w:cs="Arial"/>
          <w:sz w:val="18"/>
        </w:rPr>
      </w:pPr>
      <w:r>
        <w:rPr>
          <w:rFonts w:ascii="Arial" w:hAnsi="Arial" w:cs="Arial"/>
          <w:sz w:val="18"/>
        </w:rPr>
        <w:t>Existing workers who become apprentices/trainees may not attract Australian Government or State/Territory subsidies and incentives.</w:t>
      </w:r>
    </w:p>
    <w:p>
      <w:pPr>
        <w:pStyle w:val="yMiscellaneousBody"/>
        <w:spacing w:before="240"/>
        <w:rPr>
          <w:rFonts w:ascii="Arial" w:hAnsi="Arial" w:cs="Arial"/>
          <w:b/>
          <w:bCs/>
        </w:rPr>
      </w:pPr>
      <w:r>
        <w:rPr>
          <w:rFonts w:ascii="Arial" w:hAnsi="Arial" w:cs="Arial"/>
          <w:b/>
          <w:bCs/>
        </w:rPr>
        <w:t>Information to Help Complete the Training Contract</w:t>
      </w:r>
    </w:p>
    <w:p>
      <w:pPr>
        <w:pStyle w:val="yMiscellaneousBody"/>
        <w:spacing w:before="40"/>
        <w:rPr>
          <w:rFonts w:ascii="Arial" w:hAnsi="Arial" w:cs="Arial"/>
          <w:sz w:val="18"/>
        </w:rPr>
      </w:pPr>
      <w:r>
        <w:rPr>
          <w:rFonts w:ascii="Arial" w:hAnsi="Arial" w:cs="Arial"/>
          <w:b/>
          <w:bCs/>
          <w:sz w:val="18"/>
        </w:rPr>
        <w:t>Questions marked (*) 14, 15, 16, 17 and 22 are optional questions</w:t>
      </w:r>
    </w:p>
    <w:p>
      <w:pPr>
        <w:pStyle w:val="yMiscellaneousBody"/>
        <w:spacing w:before="40"/>
        <w:ind w:left="284"/>
        <w:rPr>
          <w:rFonts w:ascii="Arial" w:hAnsi="Arial" w:cs="Arial"/>
          <w:sz w:val="18"/>
        </w:rPr>
      </w:pPr>
      <w:r>
        <w:rPr>
          <w:rFonts w:ascii="Arial" w:hAnsi="Arial" w:cs="Arial"/>
          <w:sz w:val="18"/>
        </w:rPr>
        <w:t>You are not required to complete these questions, however, if you answer question 22 it may assist in processing your claim for incentives.</w:t>
      </w:r>
    </w:p>
    <w:p>
      <w:pPr>
        <w:pStyle w:val="yMiscellaneousBody"/>
        <w:spacing w:before="40"/>
        <w:rPr>
          <w:rFonts w:ascii="Arial" w:hAnsi="Arial" w:cs="Arial"/>
          <w:sz w:val="18"/>
        </w:rPr>
      </w:pPr>
      <w:r>
        <w:rPr>
          <w:rFonts w:ascii="Arial" w:hAnsi="Arial" w:cs="Arial"/>
          <w:b/>
          <w:bCs/>
          <w:sz w:val="18"/>
        </w:rPr>
        <w:t>Questions 1, 2, 21 and 25 – Title, Level and Code of Qualification</w:t>
      </w:r>
    </w:p>
    <w:p>
      <w:pPr>
        <w:pStyle w:val="yMiscellaneousBody"/>
        <w:spacing w:before="40"/>
        <w:ind w:left="284"/>
        <w:rPr>
          <w:rFonts w:ascii="Arial" w:hAnsi="Arial" w:cs="Arial"/>
          <w:sz w:val="18"/>
        </w:rPr>
      </w:pPr>
      <w:r>
        <w:rPr>
          <w:rFonts w:ascii="Arial" w:hAnsi="Arial" w:cs="Arial"/>
          <w:sz w:val="18"/>
        </w:rPr>
        <w:t xml:space="preserve">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w:t>
      </w:r>
      <w:r>
        <w:rPr>
          <w:rFonts w:ascii="Arial" w:hAnsi="Arial" w:cs="Arial"/>
          <w:sz w:val="18"/>
          <w:szCs w:val="18"/>
        </w:rPr>
        <w:t xml:space="preserve">National Register website (training.gov.au). </w:t>
      </w:r>
      <w:r>
        <w:rPr>
          <w:rFonts w:ascii="Arial" w:hAnsi="Arial" w:cs="Arial"/>
          <w:sz w:val="18"/>
        </w:rPr>
        <w:t xml:space="preserve"> Your Australian Apprenticeships Centre or RTO can also provide this information.</w:t>
      </w:r>
    </w:p>
    <w:p>
      <w:pPr>
        <w:pStyle w:val="yMiscellaneousBody"/>
        <w:spacing w:before="40"/>
        <w:rPr>
          <w:rFonts w:ascii="Arial" w:hAnsi="Arial" w:cs="Arial"/>
          <w:sz w:val="18"/>
        </w:rPr>
      </w:pPr>
      <w:r>
        <w:rPr>
          <w:rFonts w:ascii="Arial" w:hAnsi="Arial" w:cs="Arial"/>
          <w:b/>
          <w:bCs/>
          <w:sz w:val="18"/>
        </w:rPr>
        <w:t>Question 7 – Existing Worker</w:t>
      </w:r>
    </w:p>
    <w:p>
      <w:pPr>
        <w:pStyle w:val="yMiscellaneousBody"/>
        <w:spacing w:before="40"/>
        <w:ind w:left="284"/>
        <w:rPr>
          <w:rFonts w:ascii="Arial" w:hAnsi="Arial" w:cs="Arial"/>
          <w:sz w:val="18"/>
        </w:rPr>
      </w:pPr>
      <w:r>
        <w:rPr>
          <w:rFonts w:ascii="Arial" w:hAnsi="Arial" w:cs="Arial"/>
          <w:sz w:val="18"/>
        </w:rPr>
        <w:t>An existing worker is defined as a person who has been employed by the applicant employer continuously for more than 3 months full-time or 12 months casual or part</w:t>
      </w:r>
      <w:r>
        <w:rPr>
          <w:rFonts w:ascii="Arial" w:hAnsi="Arial" w:cs="Arial"/>
          <w:sz w:val="18"/>
        </w:rPr>
        <w:noBreakHyphen/>
        <w:t>time or a combination of both, immediately prior to the commencement date of the Training Contract as shown in question 3.</w:t>
      </w:r>
    </w:p>
    <w:p>
      <w:pPr>
        <w:pStyle w:val="yMiscellaneousBody"/>
        <w:spacing w:before="40"/>
        <w:ind w:left="284"/>
        <w:rPr>
          <w:rFonts w:ascii="Arial" w:hAnsi="Arial" w:cs="Arial"/>
          <w:sz w:val="18"/>
        </w:rPr>
      </w:pPr>
      <w:r>
        <w:rPr>
          <w:rFonts w:ascii="Arial" w:hAnsi="Arial" w:cs="Arial"/>
          <w:sz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keepNext/>
        <w:spacing w:before="40"/>
        <w:rPr>
          <w:rFonts w:ascii="Arial" w:hAnsi="Arial" w:cs="Arial"/>
          <w:sz w:val="18"/>
        </w:rPr>
      </w:pPr>
      <w:r>
        <w:rPr>
          <w:rFonts w:ascii="Arial" w:hAnsi="Arial" w:cs="Arial"/>
          <w:b/>
          <w:bCs/>
          <w:sz w:val="18"/>
        </w:rPr>
        <w:t xml:space="preserve">Question 13 – </w:t>
      </w:r>
      <w:smartTag w:uri="urn:schemas-microsoft-com:office:smarttags" w:element="place">
        <w:smartTag w:uri="urn:schemas-microsoft-com:office:smarttags" w:element="country-region">
          <w:r>
            <w:rPr>
              <w:rFonts w:ascii="Arial" w:hAnsi="Arial" w:cs="Arial"/>
              <w:b/>
              <w:bCs/>
              <w:sz w:val="18"/>
            </w:rPr>
            <w:t>New Zealand</w:t>
          </w:r>
        </w:smartTag>
      </w:smartTag>
      <w:r>
        <w:rPr>
          <w:rFonts w:ascii="Arial" w:hAnsi="Arial" w:cs="Arial"/>
          <w:b/>
          <w:bCs/>
          <w:sz w:val="18"/>
        </w:rPr>
        <w:t xml:space="preserve"> Passport Holders</w:t>
      </w:r>
    </w:p>
    <w:p>
      <w:pPr>
        <w:pStyle w:val="yMiscellaneousBody"/>
        <w:spacing w:before="40"/>
        <w:ind w:left="284"/>
        <w:rPr>
          <w:rFonts w:ascii="Arial" w:hAnsi="Arial" w:cs="Arial"/>
          <w:sz w:val="18"/>
        </w:rPr>
      </w:pPr>
      <w:r>
        <w:rPr>
          <w:rFonts w:ascii="Arial" w:hAnsi="Arial" w:cs="Arial"/>
          <w:sz w:val="18"/>
        </w:rPr>
        <w:t xml:space="preserve">Australian Government incentives are only available to </w:t>
      </w:r>
      <w:smartTag w:uri="urn:schemas-microsoft-com:office:smarttags" w:element="country-region">
        <w:r>
          <w:rPr>
            <w:rFonts w:ascii="Arial" w:hAnsi="Arial" w:cs="Arial"/>
            <w:sz w:val="18"/>
          </w:rPr>
          <w:t>New Zealand</w:t>
        </w:r>
      </w:smartTag>
      <w:r>
        <w:rPr>
          <w:rFonts w:ascii="Arial" w:hAnsi="Arial" w:cs="Arial"/>
          <w:sz w:val="18"/>
        </w:rPr>
        <w:t xml:space="preserve"> passport holders if the applicant has been resident in </w:t>
      </w:r>
      <w:smartTag w:uri="urn:schemas-microsoft-com:office:smarttags" w:element="place">
        <w:smartTag w:uri="urn:schemas-microsoft-com:office:smarttags" w:element="country-region">
          <w:r>
            <w:rPr>
              <w:rFonts w:ascii="Arial" w:hAnsi="Arial" w:cs="Arial"/>
              <w:sz w:val="18"/>
            </w:rPr>
            <w:t>Australia</w:t>
          </w:r>
        </w:smartTag>
      </w:smartTag>
      <w:r>
        <w:rPr>
          <w:rFonts w:ascii="Arial" w:hAnsi="Arial" w:cs="Arial"/>
          <w:sz w:val="18"/>
        </w:rPr>
        <w:t xml:space="preserve"> for 6 months or more. However, a Training Contract with the </w:t>
      </w:r>
      <w:smartTag w:uri="urn:schemas-microsoft-com:office:smarttags" w:element="place">
        <w:smartTag w:uri="urn:schemas-microsoft-com:office:smarttags" w:element="country-region">
          <w:r>
            <w:rPr>
              <w:rFonts w:ascii="Arial" w:hAnsi="Arial" w:cs="Arial"/>
              <w:sz w:val="18"/>
            </w:rPr>
            <w:t>New Zealand</w:t>
          </w:r>
        </w:smartTag>
      </w:smartTag>
      <w:r>
        <w:rPr>
          <w:rFonts w:ascii="Arial" w:hAnsi="Arial" w:cs="Arial"/>
          <w:sz w:val="18"/>
        </w:rPr>
        <w:t xml:space="preserve"> passport holder could still be registered. Contact your Australian Apprenticeships Centre or State/Territory Training Authority for more information.</w:t>
      </w:r>
    </w:p>
    <w:p>
      <w:pPr>
        <w:pStyle w:val="yMiscellaneousBody"/>
        <w:keepNext/>
        <w:keepLines/>
        <w:spacing w:before="40"/>
        <w:rPr>
          <w:rFonts w:ascii="Arial" w:hAnsi="Arial" w:cs="Arial"/>
          <w:sz w:val="18"/>
        </w:rPr>
      </w:pPr>
      <w:r>
        <w:rPr>
          <w:rFonts w:ascii="Arial" w:hAnsi="Arial" w:cs="Arial"/>
          <w:b/>
          <w:bCs/>
          <w:sz w:val="18"/>
        </w:rPr>
        <w:t>Question 19 – Australian School-based Apprenticeship</w:t>
      </w:r>
    </w:p>
    <w:p>
      <w:pPr>
        <w:pStyle w:val="yMiscellaneousBody"/>
        <w:keepNext/>
        <w:keepLines/>
        <w:spacing w:before="40"/>
        <w:ind w:left="284"/>
        <w:rPr>
          <w:rFonts w:ascii="Arial" w:hAnsi="Arial" w:cs="Arial"/>
          <w:sz w:val="18"/>
        </w:rPr>
      </w:pPr>
      <w:r>
        <w:rPr>
          <w:rFonts w:ascii="Arial" w:hAnsi="Arial" w:cs="Arial"/>
          <w:sz w:val="18"/>
        </w:rPr>
        <w:t>Australian Apprenticeship training undertaken by a student will be an Australian School-based Apprenticeship when all of the following apply: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student is enrolled in a senior secondary certificate under the relevant Education 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school or education provider at which the student is enrolled acknowledges and endorses the Training Plan/Outline required by the Apprenticeship/Traineeship Training Contract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Australian School-based Apprenticeship is recognised on the senior secondary certificate.</w:t>
      </w:r>
    </w:p>
    <w:p>
      <w:pPr>
        <w:pStyle w:val="yMiscellaneousBody"/>
        <w:spacing w:before="0"/>
        <w:ind w:left="284"/>
        <w:rPr>
          <w:rFonts w:ascii="Arial" w:hAnsi="Arial" w:cs="Arial"/>
          <w:sz w:val="18"/>
        </w:rPr>
      </w:pPr>
      <w:r>
        <w:rPr>
          <w:rFonts w:ascii="Arial" w:hAnsi="Arial" w:cs="Arial"/>
          <w:sz w:val="18"/>
        </w:rPr>
        <w:t>(Note: The term Australian Apprenticeships relates to apprenticeships and traineeships)</w:t>
      </w:r>
    </w:p>
    <w:p>
      <w:pPr>
        <w:pStyle w:val="yMiscellaneousBody"/>
        <w:spacing w:before="40"/>
        <w:rPr>
          <w:rFonts w:ascii="Arial" w:hAnsi="Arial" w:cs="Arial"/>
          <w:sz w:val="18"/>
        </w:rPr>
      </w:pPr>
      <w:r>
        <w:rPr>
          <w:rFonts w:ascii="Arial" w:hAnsi="Arial" w:cs="Arial"/>
          <w:b/>
          <w:bCs/>
          <w:sz w:val="18"/>
        </w:rPr>
        <w:t>Question 24 – Credit</w:t>
      </w:r>
    </w:p>
    <w:p>
      <w:pPr>
        <w:pStyle w:val="yMiscellaneousBody"/>
        <w:spacing w:before="40"/>
        <w:ind w:left="284"/>
        <w:rPr>
          <w:rFonts w:ascii="Arial" w:hAnsi="Arial" w:cs="Arial"/>
          <w:sz w:val="18"/>
        </w:rPr>
      </w:pPr>
      <w:r>
        <w:rPr>
          <w:rFonts w:ascii="Arial" w:hAnsi="Arial" w:cs="Arial"/>
          <w:sz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spacing w:before="40"/>
        <w:ind w:left="284"/>
        <w:rPr>
          <w:rFonts w:ascii="Arial" w:hAnsi="Arial" w:cs="Arial"/>
          <w:sz w:val="18"/>
        </w:rPr>
      </w:pPr>
      <w:r>
        <w:rPr>
          <w:rFonts w:ascii="Arial" w:hAnsi="Arial" w:cs="Arial"/>
          <w:sz w:val="18"/>
        </w:rPr>
        <w:t>Your RTO should discuss the issue of credit for prior learning with you during the negotiation of the Training Plan associated with this contract of training.</w:t>
      </w:r>
    </w:p>
    <w:p>
      <w:pPr>
        <w:pStyle w:val="yMiscellaneousBody"/>
        <w:spacing w:before="40"/>
        <w:rPr>
          <w:rFonts w:ascii="Arial" w:hAnsi="Arial" w:cs="Arial"/>
          <w:sz w:val="18"/>
        </w:rPr>
      </w:pPr>
      <w:r>
        <w:rPr>
          <w:rFonts w:ascii="Arial" w:hAnsi="Arial" w:cs="Arial"/>
          <w:b/>
          <w:bCs/>
          <w:sz w:val="18"/>
        </w:rPr>
        <w:t>Question 28 – Legal Name of Employer</w:t>
      </w:r>
    </w:p>
    <w:p>
      <w:pPr>
        <w:pStyle w:val="yMiscellaneousBody"/>
        <w:spacing w:before="40"/>
        <w:ind w:left="284"/>
        <w:rPr>
          <w:rFonts w:ascii="Arial" w:hAnsi="Arial" w:cs="Arial"/>
          <w:sz w:val="18"/>
        </w:rPr>
      </w:pPr>
      <w:r>
        <w:rPr>
          <w:rFonts w:ascii="Arial" w:hAnsi="Arial" w:cs="Arial"/>
          <w:sz w:val="18"/>
        </w:rPr>
        <w:t>The employer must provide the name of the employer's legal entity. This will be a person's name, a company name, or the name of an incorporated association, NOT a trading name, business name, or name of a trust.</w:t>
      </w:r>
    </w:p>
    <w:p>
      <w:pPr>
        <w:pStyle w:val="yMiscellaneousBody"/>
        <w:spacing w:before="40"/>
        <w:rPr>
          <w:rFonts w:ascii="Arial" w:hAnsi="Arial" w:cs="Arial"/>
          <w:sz w:val="18"/>
        </w:rPr>
      </w:pPr>
      <w:r>
        <w:rPr>
          <w:rFonts w:ascii="Arial" w:hAnsi="Arial" w:cs="Arial"/>
          <w:b/>
          <w:bCs/>
          <w:sz w:val="18"/>
        </w:rPr>
        <w:t>Questions 34 and 35 – Group Training Organisation</w:t>
      </w:r>
    </w:p>
    <w:p>
      <w:pPr>
        <w:pStyle w:val="yMiscellaneousBody"/>
        <w:spacing w:before="40"/>
        <w:ind w:left="284"/>
        <w:rPr>
          <w:rFonts w:ascii="Arial" w:hAnsi="Arial" w:cs="Arial"/>
          <w:sz w:val="18"/>
        </w:rPr>
      </w:pPr>
      <w:r>
        <w:rPr>
          <w:rFonts w:ascii="Arial" w:hAnsi="Arial" w:cs="Arial"/>
          <w:sz w:val="18"/>
        </w:rPr>
        <w:t>A group training organisation employs apprentices/trainees and places them with host employers. The host employer and the company providing the group training services must be separate legal entities.</w:t>
      </w:r>
    </w:p>
    <w:p>
      <w:pPr>
        <w:pStyle w:val="yMiscellaneousBody"/>
        <w:spacing w:before="40"/>
        <w:rPr>
          <w:rFonts w:ascii="Arial" w:hAnsi="Arial" w:cs="Arial"/>
          <w:sz w:val="18"/>
        </w:rPr>
      </w:pPr>
      <w:r>
        <w:rPr>
          <w:rFonts w:ascii="Arial" w:hAnsi="Arial" w:cs="Arial"/>
          <w:b/>
          <w:bCs/>
          <w:sz w:val="18"/>
        </w:rPr>
        <w:t>Question 39 – Full-time/Part-time Apprentices and Trainees</w:t>
      </w:r>
    </w:p>
    <w:p>
      <w:pPr>
        <w:pStyle w:val="yMiscellaneousBody"/>
        <w:spacing w:before="40"/>
        <w:ind w:left="284"/>
        <w:rPr>
          <w:rFonts w:ascii="Arial" w:hAnsi="Arial" w:cs="Arial"/>
          <w:sz w:val="18"/>
        </w:rPr>
      </w:pPr>
      <w:r>
        <w:rPr>
          <w:rFonts w:ascii="Arial" w:hAnsi="Arial" w:cs="Arial"/>
          <w:sz w:val="18"/>
        </w:rPr>
        <w:t xml:space="preserve">Apprenticeships/traineeships may be undertaken full-time or part-time. A full-time apprentice/trainee is one whose ordinary hours of employment, including the training component, are not less than the usual hours of employment for a full-time employee in that occupation.  For more information contact an Australian Apprenticeships Centre in your region or State/Territory Training Authority. See the </w:t>
      </w:r>
      <w:r>
        <w:rPr>
          <w:rFonts w:ascii="Arial" w:hAnsi="Arial" w:cs="Arial"/>
          <w:b/>
          <w:bCs/>
          <w:sz w:val="18"/>
        </w:rPr>
        <w:t xml:space="preserve">Contacts for Further Information and Assistance </w:t>
      </w:r>
      <w:r>
        <w:rPr>
          <w:rFonts w:ascii="Arial" w:hAnsi="Arial" w:cs="Arial"/>
          <w:sz w:val="18"/>
        </w:rPr>
        <w:t>section for further contact details.</w:t>
      </w:r>
    </w:p>
    <w:p>
      <w:pPr>
        <w:pStyle w:val="yMiscellaneousBody"/>
        <w:spacing w:before="40"/>
        <w:rPr>
          <w:rFonts w:ascii="Arial" w:hAnsi="Arial" w:cs="Arial"/>
          <w:sz w:val="14"/>
        </w:rPr>
      </w:pPr>
      <w:r>
        <w:rPr>
          <w:rFonts w:ascii="Arial" w:hAnsi="Arial" w:cs="Arial"/>
          <w:b/>
          <w:sz w:val="18"/>
        </w:rPr>
        <w:t>Question 41 – Business Relationship</w:t>
      </w:r>
    </w:p>
    <w:p>
      <w:pPr>
        <w:pStyle w:val="yMiscellaneousBody"/>
        <w:spacing w:before="40"/>
        <w:ind w:left="284"/>
        <w:rPr>
          <w:rFonts w:ascii="Arial" w:hAnsi="Arial" w:cs="Arial"/>
          <w:sz w:val="18"/>
        </w:rPr>
      </w:pPr>
      <w:r>
        <w:rPr>
          <w:rFonts w:ascii="Arial" w:hAnsi="Arial" w:cs="Arial"/>
          <w:sz w:val="18"/>
        </w:rPr>
        <w:t>A business relationship includes a pre-existing or current business relationship between the employer and the apprentice/trainee; for example, when the apprentice/ trainee is a partner, a director of the company, a previous director or partner or involved in franchise arrangements.</w:t>
      </w:r>
    </w:p>
    <w:p>
      <w:pPr>
        <w:pStyle w:val="yFootnotesection"/>
        <w:rPr>
          <w:rFonts w:ascii="Arial" w:hAnsi="Arial" w:cs="Arial"/>
          <w:sz w:val="18"/>
        </w:rPr>
      </w:pPr>
      <w:r>
        <w:tab/>
        <w:t xml:space="preserve">[Schedule 1 amended in Gazette </w:t>
      </w:r>
      <w:r>
        <w:rPr>
          <w:szCs w:val="22"/>
        </w:rPr>
        <w:t>17 Dec 2013 p</w:t>
      </w:r>
      <w:r>
        <w:t>. 6230.]</w:t>
      </w:r>
    </w:p>
    <w:p>
      <w:pPr>
        <w:pStyle w:val="yMiscellaneousBody"/>
        <w:spacing w:before="40"/>
        <w:ind w:left="284"/>
        <w:rPr>
          <w:rFonts w:ascii="Arial" w:hAnsi="Arial" w:cs="Arial"/>
          <w:sz w:val="18"/>
        </w:rPr>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ScheduleHeading"/>
        <w:pageBreakBefore w:val="0"/>
      </w:pPr>
      <w:bookmarkStart w:id="97" w:name="_Toc383698295"/>
      <w:bookmarkStart w:id="98" w:name="_Toc393111404"/>
      <w:r>
        <w:rPr>
          <w:rStyle w:val="CharSchNo"/>
        </w:rPr>
        <w:t>Schedule 2</w:t>
      </w:r>
      <w:r>
        <w:rPr>
          <w:rStyle w:val="CharSDivNo"/>
        </w:rPr>
        <w:t> </w:t>
      </w:r>
      <w:r>
        <w:t>—</w:t>
      </w:r>
      <w:r>
        <w:rPr>
          <w:rStyle w:val="CharSDivText"/>
        </w:rPr>
        <w:t> </w:t>
      </w:r>
      <w:r>
        <w:rPr>
          <w:rStyle w:val="CharSchText"/>
        </w:rPr>
        <w:t>Provisions about old agreements and old training contracts</w:t>
      </w:r>
      <w:bookmarkEnd w:id="97"/>
      <w:bookmarkEnd w:id="98"/>
    </w:p>
    <w:p>
      <w:pPr>
        <w:pStyle w:val="yShoulderClause"/>
      </w:pPr>
      <w:r>
        <w:t>[r. 60]</w:t>
      </w:r>
    </w:p>
    <w:p>
      <w:pPr>
        <w:pStyle w:val="yHeading5"/>
      </w:pPr>
      <w:bookmarkStart w:id="99" w:name="_Toc393111405"/>
      <w:r>
        <w:rPr>
          <w:rStyle w:val="CharSClsNo"/>
        </w:rPr>
        <w:t>1</w:t>
      </w:r>
      <w:r>
        <w:t>.</w:t>
      </w:r>
      <w:r>
        <w:tab/>
        <w:t>Terms used</w:t>
      </w:r>
      <w:bookmarkEnd w:id="99"/>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4</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3</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3</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3</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3</w:t>
      </w:r>
      <w:r>
        <w:t>, whether or not the contract also specifies the apprentice is being trained for a prescribed VET qualification.</w:t>
      </w:r>
    </w:p>
    <w:p>
      <w:pPr>
        <w:pStyle w:val="yHeading5"/>
      </w:pPr>
      <w:bookmarkStart w:id="100" w:name="_Toc393111406"/>
      <w:r>
        <w:rPr>
          <w:rStyle w:val="CharSClsNo"/>
        </w:rPr>
        <w:t>2</w:t>
      </w:r>
      <w:r>
        <w:t>.</w:t>
      </w:r>
      <w:r>
        <w:tab/>
        <w:t>Old agreements to be read with modifications</w:t>
      </w:r>
      <w:bookmarkEnd w:id="100"/>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3</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3</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3</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3</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3</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101" w:name="_Toc393111407"/>
      <w:r>
        <w:rPr>
          <w:rStyle w:val="CharSClsNo"/>
        </w:rPr>
        <w:t>3</w:t>
      </w:r>
      <w:r>
        <w:t>.</w:t>
      </w:r>
      <w:r>
        <w:tab/>
        <w:t>Old agreements and contracts not terminated by sale of business</w:t>
      </w:r>
      <w:bookmarkEnd w:id="101"/>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102" w:name="_Toc393111408"/>
      <w:r>
        <w:rPr>
          <w:rStyle w:val="CharSClsNo"/>
        </w:rPr>
        <w:t>4</w:t>
      </w:r>
      <w:r>
        <w:t>.</w:t>
      </w:r>
      <w:r>
        <w:tab/>
        <w:t>Technical instruction requirements for trade apprentices</w:t>
      </w:r>
      <w:bookmarkEnd w:id="102"/>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103" w:name="_Toc393111409"/>
      <w:r>
        <w:rPr>
          <w:rStyle w:val="CharSClsNo"/>
        </w:rPr>
        <w:t>5</w:t>
      </w:r>
      <w:r>
        <w:t>.</w:t>
      </w:r>
      <w:r>
        <w:tab/>
        <w:t>Final certificates for trade apprentices</w:t>
      </w:r>
      <w:bookmarkEnd w:id="103"/>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104" w:name="_Toc383698301"/>
      <w:bookmarkStart w:id="105" w:name="_Toc393111410"/>
      <w:r>
        <w:t>Notes</w:t>
      </w:r>
      <w:bookmarkEnd w:id="104"/>
      <w:bookmarkEnd w:id="105"/>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06" w:name="_Toc393111411"/>
      <w:r>
        <w:t>Compilation table</w:t>
      </w:r>
      <w:bookmarkEnd w:id="1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rFonts w:ascii="Times" w:hAnsi="Times"/>
                <w:b/>
                <w:sz w:val="19"/>
              </w:rPr>
            </w:pPr>
            <w:r>
              <w:rPr>
                <w:rFonts w:ascii="Times" w:hAnsi="Times"/>
                <w:b/>
                <w:sz w:val="19"/>
              </w:rPr>
              <w:t>Citation</w:t>
            </w:r>
          </w:p>
        </w:tc>
        <w:tc>
          <w:tcPr>
            <w:tcW w:w="1276" w:type="dxa"/>
            <w:tcBorders>
              <w:bottom w:val="single" w:sz="8" w:space="0" w:color="auto"/>
            </w:tcBorders>
            <w:shd w:val="clear" w:color="auto" w:fill="auto"/>
          </w:tcPr>
          <w:p>
            <w:pPr>
              <w:pStyle w:val="nTable"/>
              <w:spacing w:after="40"/>
              <w:rPr>
                <w:rFonts w:ascii="Times" w:hAnsi="Times"/>
                <w:b/>
                <w:sz w:val="19"/>
              </w:rPr>
            </w:pPr>
            <w:r>
              <w:rPr>
                <w:rFonts w:ascii="Times" w:hAnsi="Times"/>
                <w:b/>
                <w:sz w:val="19"/>
              </w:rPr>
              <w:t>Gazettal</w:t>
            </w:r>
          </w:p>
        </w:tc>
        <w:tc>
          <w:tcPr>
            <w:tcW w:w="2693" w:type="dxa"/>
            <w:tcBorders>
              <w:bottom w:val="single" w:sz="8" w:space="0" w:color="auto"/>
            </w:tcBorders>
            <w:shd w:val="clear" w:color="auto" w:fill="auto"/>
          </w:tcPr>
          <w:p>
            <w:pPr>
              <w:pStyle w:val="nTable"/>
              <w:spacing w:after="40"/>
              <w:rPr>
                <w:rFonts w:ascii="Times" w:hAnsi="Times"/>
                <w:b/>
                <w:sz w:val="19"/>
              </w:rPr>
            </w:pPr>
            <w:r>
              <w:rPr>
                <w:rFonts w:ascii="Times" w:hAnsi="Times"/>
                <w:b/>
                <w:sz w:val="19"/>
              </w:rPr>
              <w:t>Commencement</w:t>
            </w:r>
          </w:p>
        </w:tc>
      </w:tr>
      <w:tr>
        <w:tc>
          <w:tcPr>
            <w:tcW w:w="3118" w:type="dxa"/>
            <w:tcBorders>
              <w:top w:val="single" w:sz="8" w:space="0" w:color="auto"/>
              <w:bottom w:val="nil"/>
            </w:tcBorders>
          </w:tcPr>
          <w:p>
            <w:pPr>
              <w:pStyle w:val="nTable"/>
              <w:spacing w:after="40"/>
              <w:rPr>
                <w:rFonts w:ascii="Times" w:hAnsi="Times"/>
                <w:iCs/>
                <w:sz w:val="19"/>
              </w:rPr>
            </w:pPr>
            <w:r>
              <w:rPr>
                <w:rFonts w:ascii="Times" w:hAnsi="Times"/>
                <w:i/>
                <w:noProof/>
                <w:snapToGrid w:val="0"/>
                <w:sz w:val="19"/>
              </w:rPr>
              <w:t>Vocational Education and Training (General) Regulations 2009</w:t>
            </w:r>
          </w:p>
        </w:tc>
        <w:tc>
          <w:tcPr>
            <w:tcW w:w="1276" w:type="dxa"/>
            <w:tcBorders>
              <w:top w:val="single" w:sz="8" w:space="0" w:color="auto"/>
              <w:bottom w:val="nil"/>
            </w:tcBorders>
          </w:tcPr>
          <w:p>
            <w:pPr>
              <w:pStyle w:val="nTable"/>
              <w:spacing w:after="40"/>
              <w:rPr>
                <w:rFonts w:ascii="Times" w:hAnsi="Times"/>
                <w:sz w:val="19"/>
              </w:rPr>
            </w:pPr>
            <w:r>
              <w:rPr>
                <w:rFonts w:ascii="Times" w:hAnsi="Times"/>
                <w:sz w:val="19"/>
              </w:rPr>
              <w:t>22 May 2009 p. 1731</w:t>
            </w:r>
            <w:r>
              <w:rPr>
                <w:rFonts w:ascii="Times" w:hAnsi="Times"/>
                <w:sz w:val="19"/>
              </w:rPr>
              <w:noBreakHyphen/>
              <w:t>97</w:t>
            </w:r>
          </w:p>
        </w:tc>
        <w:tc>
          <w:tcPr>
            <w:tcW w:w="2693" w:type="dxa"/>
            <w:tcBorders>
              <w:top w:val="single" w:sz="8" w:space="0" w:color="auto"/>
              <w:bottom w:val="nil"/>
            </w:tcBorders>
          </w:tcPr>
          <w:p>
            <w:pPr>
              <w:pStyle w:val="nTable"/>
              <w:spacing w:after="40"/>
              <w:rPr>
                <w:rFonts w:ascii="Times" w:hAnsi="Times"/>
                <w:sz w:val="19"/>
              </w:rPr>
            </w:pPr>
            <w:r>
              <w:rPr>
                <w:rFonts w:ascii="Times" w:hAnsi="Times"/>
                <w:sz w:val="19"/>
              </w:rPr>
              <w:t>r. 1 and 2: 22 May 2009 (see r. 2(a));</w:t>
            </w:r>
            <w:r>
              <w:rPr>
                <w:rFonts w:ascii="Times" w:hAnsi="Times"/>
                <w:sz w:val="19"/>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Vocational Education and Training (General) Amendment Regulations 2011</w:t>
            </w:r>
          </w:p>
        </w:tc>
        <w:tc>
          <w:tcPr>
            <w:tcW w:w="1276" w:type="dxa"/>
            <w:tcBorders>
              <w:top w:val="nil"/>
              <w:bottom w:val="nil"/>
            </w:tcBorders>
          </w:tcPr>
          <w:p>
            <w:pPr>
              <w:pStyle w:val="nTable"/>
              <w:spacing w:after="40"/>
              <w:rPr>
                <w:rFonts w:ascii="Times" w:hAnsi="Times"/>
                <w:sz w:val="19"/>
              </w:rPr>
            </w:pPr>
            <w:r>
              <w:rPr>
                <w:rFonts w:ascii="Times" w:hAnsi="Times"/>
                <w:sz w:val="19"/>
              </w:rPr>
              <w:t>25 Oct 2011 p. 4508-11</w:t>
            </w:r>
          </w:p>
        </w:tc>
        <w:tc>
          <w:tcPr>
            <w:tcW w:w="2693" w:type="dxa"/>
            <w:tcBorders>
              <w:top w:val="nil"/>
              <w:bottom w:val="nil"/>
            </w:tcBorders>
          </w:tcPr>
          <w:p>
            <w:pPr>
              <w:pStyle w:val="nTable"/>
              <w:spacing w:after="40"/>
              <w:rPr>
                <w:rFonts w:ascii="Times" w:hAnsi="Times"/>
                <w:sz w:val="19"/>
              </w:rPr>
            </w:pPr>
            <w:r>
              <w:rPr>
                <w:rFonts w:ascii="Times" w:hAnsi="Times"/>
                <w:sz w:val="19"/>
              </w:rPr>
              <w:t>r. 1 and 2: 25 Oct 2011 (see r. 2(a));</w:t>
            </w:r>
            <w:r>
              <w:rPr>
                <w:rFonts w:ascii="Times" w:hAnsi="Times"/>
                <w:sz w:val="19"/>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Vocational Education and Training (General) Amendment Regulations (No. 2) 2011</w:t>
            </w:r>
          </w:p>
        </w:tc>
        <w:tc>
          <w:tcPr>
            <w:tcW w:w="1276" w:type="dxa"/>
            <w:tcBorders>
              <w:top w:val="nil"/>
              <w:bottom w:val="nil"/>
            </w:tcBorders>
          </w:tcPr>
          <w:p>
            <w:pPr>
              <w:pStyle w:val="nTable"/>
              <w:spacing w:after="40"/>
              <w:rPr>
                <w:rFonts w:ascii="Times" w:hAnsi="Times"/>
                <w:sz w:val="19"/>
              </w:rPr>
            </w:pPr>
            <w:r>
              <w:rPr>
                <w:rFonts w:ascii="Times" w:hAnsi="Times"/>
                <w:sz w:val="19"/>
              </w:rPr>
              <w:t>25 Oct 2011 p. 4511-12</w:t>
            </w:r>
          </w:p>
        </w:tc>
        <w:tc>
          <w:tcPr>
            <w:tcW w:w="2693" w:type="dxa"/>
            <w:tcBorders>
              <w:top w:val="nil"/>
              <w:bottom w:val="nil"/>
            </w:tcBorders>
          </w:tcPr>
          <w:p>
            <w:pPr>
              <w:pStyle w:val="nTable"/>
              <w:spacing w:after="40"/>
              <w:rPr>
                <w:rFonts w:ascii="Times" w:hAnsi="Times"/>
                <w:sz w:val="19"/>
              </w:rPr>
            </w:pPr>
            <w:r>
              <w:rPr>
                <w:rFonts w:ascii="Times" w:hAnsi="Times"/>
                <w:sz w:val="19"/>
              </w:rPr>
              <w:t>r. 1 and 2: 25 Oct 2011 (see r. 2(a));</w:t>
            </w:r>
            <w:r>
              <w:rPr>
                <w:rFonts w:ascii="Times" w:hAnsi="Times"/>
                <w:sz w:val="19"/>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sz w:val="19"/>
                <w:szCs w:val="19"/>
              </w:rPr>
            </w:pPr>
            <w:r>
              <w:rPr>
                <w:rFonts w:ascii="Times" w:hAnsi="Times"/>
                <w:i/>
                <w:sz w:val="19"/>
                <w:szCs w:val="19"/>
              </w:rPr>
              <w:t>Vocational Education and Training (General)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16 Mar 2012 p. 1247</w:t>
            </w:r>
            <w:r>
              <w:rPr>
                <w:rFonts w:ascii="Times" w:hAnsi="Times"/>
                <w:sz w:val="19"/>
              </w:rPr>
              <w:noBreakHyphen/>
              <w:t>8</w:t>
            </w:r>
          </w:p>
        </w:tc>
        <w:tc>
          <w:tcPr>
            <w:tcW w:w="2693" w:type="dxa"/>
            <w:tcBorders>
              <w:top w:val="nil"/>
              <w:bottom w:val="nil"/>
            </w:tcBorders>
          </w:tcPr>
          <w:p>
            <w:pPr>
              <w:pStyle w:val="nTable"/>
              <w:spacing w:after="40"/>
              <w:rPr>
                <w:rFonts w:ascii="Times" w:hAnsi="Times"/>
                <w:sz w:val="19"/>
              </w:rPr>
            </w:pPr>
            <w:r>
              <w:rPr>
                <w:rFonts w:ascii="Times" w:hAnsi="Times"/>
                <w:snapToGrid w:val="0"/>
                <w:sz w:val="19"/>
              </w:rPr>
              <w:t>r. 1 and 2: 16 Mar 2012 (see r. 2(a));</w:t>
            </w:r>
            <w:r>
              <w:rPr>
                <w:rFonts w:ascii="Times" w:hAnsi="Times"/>
                <w:snapToGrid w:val="0"/>
                <w:sz w:val="19"/>
              </w:rPr>
              <w:br/>
              <w:t>Regulations other than r. 1 and 2: 17 Mar 2012 (see r. 2(b))</w:t>
            </w:r>
          </w:p>
        </w:tc>
      </w:tr>
      <w:tr>
        <w:tc>
          <w:tcPr>
            <w:tcW w:w="3118" w:type="dxa"/>
            <w:tcBorders>
              <w:top w:val="nil"/>
              <w:bottom w:val="nil"/>
            </w:tcBorders>
          </w:tcPr>
          <w:p>
            <w:pPr>
              <w:pStyle w:val="nTable"/>
              <w:spacing w:after="40"/>
              <w:rPr>
                <w:rFonts w:ascii="Times" w:hAnsi="Times"/>
                <w:i/>
                <w:sz w:val="19"/>
                <w:szCs w:val="19"/>
              </w:rPr>
            </w:pPr>
            <w:r>
              <w:rPr>
                <w:rFonts w:ascii="Times" w:hAnsi="Times"/>
                <w:i/>
                <w:sz w:val="19"/>
                <w:szCs w:val="19"/>
              </w:rPr>
              <w:t>Vocational Education and Training (General) Amendment Regulations (No. 2) 2012</w:t>
            </w:r>
          </w:p>
        </w:tc>
        <w:tc>
          <w:tcPr>
            <w:tcW w:w="1276" w:type="dxa"/>
            <w:tcBorders>
              <w:top w:val="nil"/>
              <w:bottom w:val="nil"/>
            </w:tcBorders>
          </w:tcPr>
          <w:p>
            <w:pPr>
              <w:pStyle w:val="nTable"/>
              <w:spacing w:after="40"/>
              <w:rPr>
                <w:rFonts w:ascii="Times" w:hAnsi="Times"/>
                <w:sz w:val="19"/>
              </w:rPr>
            </w:pPr>
            <w:r>
              <w:rPr>
                <w:rFonts w:ascii="Times" w:hAnsi="Times"/>
                <w:sz w:val="19"/>
              </w:rPr>
              <w:t>21 Aug 2012 p. 3927</w:t>
            </w:r>
          </w:p>
        </w:tc>
        <w:tc>
          <w:tcPr>
            <w:tcW w:w="2693" w:type="dxa"/>
            <w:tcBorders>
              <w:top w:val="nil"/>
              <w:bottom w:val="nil"/>
            </w:tcBorders>
          </w:tcPr>
          <w:p>
            <w:pPr>
              <w:pStyle w:val="nTable"/>
              <w:spacing w:after="40"/>
              <w:rPr>
                <w:rFonts w:ascii="Times" w:hAnsi="Times"/>
                <w:snapToGrid w:val="0"/>
                <w:sz w:val="19"/>
              </w:rPr>
            </w:pPr>
            <w:r>
              <w:rPr>
                <w:rFonts w:ascii="Times" w:hAnsi="Times"/>
                <w:snapToGrid w:val="0"/>
                <w:sz w:val="19"/>
              </w:rPr>
              <w:t>r. 1 and 2: 21 Aug 2012 (see r. 2(a));</w:t>
            </w:r>
            <w:r>
              <w:rPr>
                <w:rFonts w:ascii="Times" w:hAnsi="Times"/>
                <w:snapToGrid w:val="0"/>
                <w:sz w:val="19"/>
              </w:rPr>
              <w:br/>
              <w:t>Regulations other than r. 1 and 2: 1 Sep 2012 (see r. 2(b))</w:t>
            </w:r>
          </w:p>
        </w:tc>
      </w:tr>
      <w:tr>
        <w:tc>
          <w:tcPr>
            <w:tcW w:w="3118" w:type="dxa"/>
            <w:tcBorders>
              <w:top w:val="nil"/>
              <w:bottom w:val="nil"/>
            </w:tcBorders>
          </w:tcPr>
          <w:p>
            <w:pPr>
              <w:pStyle w:val="nTable"/>
              <w:spacing w:after="40"/>
              <w:rPr>
                <w:rFonts w:ascii="Times" w:hAnsi="Times"/>
                <w:i/>
                <w:sz w:val="19"/>
                <w:szCs w:val="19"/>
              </w:rPr>
            </w:pPr>
            <w:r>
              <w:rPr>
                <w:i/>
                <w:sz w:val="19"/>
              </w:rPr>
              <w:t>Vocational Education and Training (General) Amendment Regulations 2013</w:t>
            </w:r>
            <w:r>
              <w:rPr>
                <w:sz w:val="19"/>
              </w:rPr>
              <w:t xml:space="preserve"> </w:t>
            </w:r>
          </w:p>
        </w:tc>
        <w:tc>
          <w:tcPr>
            <w:tcW w:w="1276" w:type="dxa"/>
            <w:tcBorders>
              <w:top w:val="nil"/>
              <w:bottom w:val="nil"/>
            </w:tcBorders>
          </w:tcPr>
          <w:p>
            <w:pPr>
              <w:pStyle w:val="nTable"/>
              <w:spacing w:after="40"/>
              <w:rPr>
                <w:rFonts w:ascii="Times" w:hAnsi="Times"/>
                <w:sz w:val="19"/>
              </w:rPr>
            </w:pPr>
            <w:r>
              <w:rPr>
                <w:rFonts w:ascii="Times" w:hAnsi="Times"/>
                <w:sz w:val="19"/>
              </w:rPr>
              <w:t>17 Dec 2013 p. 6218</w:t>
            </w:r>
            <w:r>
              <w:rPr>
                <w:rFonts w:ascii="Times" w:hAnsi="Times"/>
                <w:sz w:val="19"/>
              </w:rPr>
              <w:noBreakHyphen/>
              <w:t>30</w:t>
            </w:r>
          </w:p>
        </w:tc>
        <w:tc>
          <w:tcPr>
            <w:tcW w:w="2693" w:type="dxa"/>
            <w:tcBorders>
              <w:top w:val="nil"/>
              <w:bottom w:val="nil"/>
            </w:tcBorders>
          </w:tcPr>
          <w:p>
            <w:pPr>
              <w:pStyle w:val="nTable"/>
              <w:spacing w:after="40"/>
              <w:rPr>
                <w:rFonts w:ascii="Times" w:hAnsi="Times"/>
                <w:snapToGrid w:val="0"/>
                <w:sz w:val="19"/>
              </w:rPr>
            </w:pPr>
            <w:r>
              <w:rPr>
                <w:rFonts w:ascii="Times" w:hAnsi="Times"/>
                <w:bCs/>
                <w:snapToGrid w:val="0"/>
                <w:sz w:val="19"/>
                <w:szCs w:val="19"/>
              </w:rPr>
              <w:t>r. 1 and 2: 17 Dec 2013 (see r. 2(a));</w:t>
            </w:r>
            <w:r>
              <w:rPr>
                <w:rFonts w:ascii="Times" w:hAnsi="Times"/>
                <w:bCs/>
                <w:snapToGrid w:val="0"/>
                <w:sz w:val="19"/>
                <w:szCs w:val="19"/>
              </w:rPr>
              <w:br/>
              <w:t xml:space="preserve">Regulations other than r. 1 and 2: </w:t>
            </w:r>
            <w:r>
              <w:rPr>
                <w:rFonts w:ascii="Times" w:hAnsi="Times"/>
                <w:sz w:val="19"/>
              </w:rPr>
              <w:t>1 Jan 2014 (see r. 2(b))</w:t>
            </w:r>
          </w:p>
        </w:tc>
      </w:tr>
      <w:tr>
        <w:tc>
          <w:tcPr>
            <w:tcW w:w="7087" w:type="dxa"/>
            <w:gridSpan w:val="3"/>
            <w:tcBorders>
              <w:top w:val="nil"/>
              <w:bottom w:val="single" w:sz="8" w:space="0" w:color="auto"/>
            </w:tcBorders>
            <w:shd w:val="clear" w:color="auto" w:fill="auto"/>
          </w:tcPr>
          <w:p>
            <w:pPr>
              <w:pStyle w:val="nTable"/>
              <w:spacing w:after="40"/>
              <w:rPr>
                <w:rFonts w:ascii="Times" w:hAnsi="Times"/>
                <w:bCs/>
                <w:snapToGrid w:val="0"/>
                <w:sz w:val="19"/>
                <w:szCs w:val="19"/>
              </w:rPr>
            </w:pPr>
            <w:r>
              <w:rPr>
                <w:rFonts w:ascii="Times" w:hAnsi="Times"/>
                <w:b/>
                <w:bCs/>
                <w:snapToGrid w:val="0"/>
                <w:sz w:val="19"/>
                <w:szCs w:val="19"/>
              </w:rPr>
              <w:t xml:space="preserve">Reprint 1:  The </w:t>
            </w:r>
            <w:r>
              <w:rPr>
                <w:rFonts w:ascii="Times" w:hAnsi="Times"/>
                <w:b/>
                <w:i/>
                <w:noProof/>
                <w:snapToGrid w:val="0"/>
                <w:sz w:val="19"/>
              </w:rPr>
              <w:t xml:space="preserve">Vocational Education and Training (General) Regulations 2009 </w:t>
            </w:r>
            <w:r>
              <w:rPr>
                <w:rFonts w:ascii="Times" w:hAnsi="Times"/>
                <w:b/>
                <w:bCs/>
                <w:snapToGrid w:val="0"/>
                <w:sz w:val="19"/>
                <w:szCs w:val="19"/>
              </w:rPr>
              <w:t>as at 7 Mar 2014</w:t>
            </w:r>
            <w:r>
              <w:rPr>
                <w:rFonts w:ascii="Times" w:hAnsi="Times"/>
                <w:bCs/>
                <w:snapToGrid w:val="0"/>
                <w:sz w:val="19"/>
                <w:szCs w:val="19"/>
              </w:rPr>
              <w:t xml:space="preserve"> (includes amendments listed above) </w:t>
            </w:r>
          </w:p>
        </w:tc>
      </w:tr>
    </w:tbl>
    <w:p>
      <w:pPr>
        <w:pStyle w:val="nSubsection"/>
        <w:tabs>
          <w:tab w:val="clear" w:pos="454"/>
          <w:tab w:val="left" w:pos="567"/>
        </w:tabs>
        <w:spacing w:before="120"/>
        <w:ind w:left="567" w:hanging="567"/>
        <w:rPr>
          <w:snapToGrid w:val="0"/>
        </w:rPr>
      </w:pPr>
      <w:bookmarkStart w:id="107" w:name="AutoSch"/>
      <w:bookmarkEnd w:id="107"/>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8" w:name="_Toc393111412"/>
      <w:r>
        <w:t>Provisions that have not come into operation</w:t>
      </w:r>
      <w:bookmarkEnd w:id="108"/>
    </w:p>
    <w:tbl>
      <w:tblPr>
        <w:tblW w:w="0" w:type="auto"/>
        <w:tblInd w:w="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ind w:right="113"/>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rPr>
          <w:cantSplit/>
        </w:trPr>
        <w:tc>
          <w:tcPr>
            <w:tcW w:w="3119" w:type="dxa"/>
          </w:tcPr>
          <w:p>
            <w:pPr>
              <w:pStyle w:val="nTable"/>
              <w:spacing w:after="40"/>
              <w:ind w:right="113"/>
            </w:pPr>
            <w:r>
              <w:rPr>
                <w:i/>
              </w:rPr>
              <w:t>Vocational Education and Training (General) Amendment Regulations (No. 2) 2014</w:t>
            </w:r>
            <w:r>
              <w:t xml:space="preserve"> r. 3-6</w:t>
            </w:r>
            <w:r>
              <w:rPr>
                <w:vertAlign w:val="superscript"/>
              </w:rPr>
              <w:t> 5</w:t>
            </w:r>
          </w:p>
        </w:tc>
        <w:tc>
          <w:tcPr>
            <w:tcW w:w="1276" w:type="dxa"/>
          </w:tcPr>
          <w:p>
            <w:pPr>
              <w:pStyle w:val="nTable"/>
              <w:spacing w:after="40"/>
              <w:rPr>
                <w:sz w:val="19"/>
              </w:rPr>
            </w:pPr>
            <w:r>
              <w:rPr>
                <w:sz w:val="19"/>
              </w:rPr>
              <w:t>15 Jul 2014 p. 2463-4</w:t>
            </w:r>
          </w:p>
        </w:tc>
        <w:tc>
          <w:tcPr>
            <w:tcW w:w="2693" w:type="dxa"/>
          </w:tcPr>
          <w:p>
            <w:pPr>
              <w:pStyle w:val="nTable"/>
              <w:spacing w:after="40"/>
              <w:rPr>
                <w:sz w:val="19"/>
              </w:rPr>
            </w:pPr>
            <w:r>
              <w:rPr>
                <w:sz w:val="19"/>
              </w:rPr>
              <w:t>1 Aug 2014 (see r. 2(b))</w:t>
            </w:r>
          </w:p>
        </w:tc>
      </w:tr>
    </w:tbl>
    <w:p>
      <w:pPr>
        <w:pStyle w:val="nSubsection"/>
        <w:spacing w:before="160"/>
        <w:rPr>
          <w:color w:val="000000"/>
        </w:rPr>
      </w:pPr>
      <w:r>
        <w:rPr>
          <w:color w:val="000000"/>
          <w:vertAlign w:val="superscript"/>
        </w:rPr>
        <w:t>2</w:t>
      </w:r>
      <w:r>
        <w:rPr>
          <w:color w:val="000000"/>
        </w:rPr>
        <w:tab/>
        <w:t>The</w:t>
      </w:r>
      <w:r>
        <w:rPr>
          <w:i/>
          <w:color w:val="000000"/>
        </w:rPr>
        <w:t xml:space="preserve"> Training Legislation Amendment and Repeal Act 2008 </w:t>
      </w:r>
      <w:r>
        <w:rPr>
          <w:color w:val="000000"/>
        </w:rPr>
        <w:t>(other than Pt. 1) commenced 10 Jun 2009.</w:t>
      </w:r>
    </w:p>
    <w:p>
      <w:pPr>
        <w:pStyle w:val="nSubsection"/>
        <w:rPr>
          <w:i/>
          <w:color w:val="000000"/>
        </w:rPr>
      </w:pPr>
      <w:r>
        <w:rPr>
          <w:vertAlign w:val="superscript"/>
        </w:rPr>
        <w:t>3</w:t>
      </w:r>
      <w:r>
        <w:tab/>
        <w:t xml:space="preserve">The </w:t>
      </w:r>
      <w:r>
        <w:rPr>
          <w:i/>
        </w:rPr>
        <w:t>Industrial Training Act 1975</w:t>
      </w:r>
      <w:r>
        <w:t xml:space="preserve"> was repealed by the </w:t>
      </w:r>
      <w:r>
        <w:rPr>
          <w:i/>
          <w:color w:val="000000"/>
        </w:rPr>
        <w:t>Training Legislation Amendment and Repeal Act 2008.</w:t>
      </w:r>
    </w:p>
    <w:p>
      <w:pPr>
        <w:pStyle w:val="nSubsection"/>
      </w:pPr>
      <w:r>
        <w:rPr>
          <w:color w:val="000000"/>
          <w:vertAlign w:val="superscript"/>
        </w:rPr>
        <w:t>4</w:t>
      </w:r>
      <w:r>
        <w:rPr>
          <w:color w:val="000000"/>
        </w:rPr>
        <w:tab/>
      </w:r>
      <w:r>
        <w:t xml:space="preserve">The </w:t>
      </w:r>
      <w:r>
        <w:rPr>
          <w:i/>
        </w:rPr>
        <w:t>Industrial Training (General Apprenticeship) Regulations 1981</w:t>
      </w:r>
      <w:r>
        <w:t xml:space="preserve"> were repealed by r. 56(2) of these regulations. Regulation 56 was omitted under the </w:t>
      </w:r>
      <w:r>
        <w:rPr>
          <w:i/>
        </w:rPr>
        <w:t>Reprints Act 1984</w:t>
      </w:r>
      <w:r>
        <w:t xml:space="preserve"> s. 7(4)(f).</w:t>
      </w:r>
    </w:p>
    <w:p>
      <w:pPr>
        <w:pStyle w:val="nSubsection"/>
        <w:spacing w:before="200"/>
        <w:rPr>
          <w:snapToGrid w:val="0"/>
        </w:rPr>
      </w:pPr>
      <w:r>
        <w:rPr>
          <w:snapToGrid w:val="0"/>
          <w:vertAlign w:val="superscript"/>
        </w:rPr>
        <w:t>5</w:t>
      </w:r>
      <w:r>
        <w:rPr>
          <w:snapToGrid w:val="0"/>
          <w:vertAlign w:val="superscript"/>
        </w:rPr>
        <w:tab/>
      </w:r>
      <w:r>
        <w:t xml:space="preserve">On </w:t>
      </w:r>
      <w:r>
        <w:rPr>
          <w:snapToGrid w:val="0"/>
        </w:rPr>
        <w:t>the</w:t>
      </w:r>
      <w:r>
        <w:t xml:space="preserve"> date as at which this compilation was prepared, </w:t>
      </w:r>
      <w:r>
        <w:rPr>
          <w:snapToGrid w:val="0"/>
        </w:rPr>
        <w:t xml:space="preserve">the </w:t>
      </w:r>
      <w:r>
        <w:rPr>
          <w:i/>
          <w:snapToGrid w:val="0"/>
        </w:rPr>
        <w:t xml:space="preserve">Vocational Education and Training (General) Amendment Regulations (No. 2) 2014 </w:t>
      </w:r>
      <w:r>
        <w:rPr>
          <w:snapToGrid w:val="0"/>
        </w:rPr>
        <w:t>r. 3-6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Vocational Education and Training (General) Regulations 2009</w:t>
      </w:r>
      <w:r>
        <w:t>.</w:t>
      </w:r>
    </w:p>
    <w:p>
      <w:pPr>
        <w:pStyle w:val="nzHeading5"/>
      </w:pPr>
      <w:r>
        <w:rPr>
          <w:rStyle w:val="CharSectno"/>
        </w:rPr>
        <w:t>4</w:t>
      </w:r>
      <w:r>
        <w:t>.</w:t>
      </w:r>
      <w:r>
        <w:tab/>
        <w:t>Regulation 19 amended</w:t>
      </w:r>
    </w:p>
    <w:p>
      <w:pPr>
        <w:pStyle w:val="nzSubsection"/>
      </w:pPr>
      <w:r>
        <w:tab/>
      </w:r>
      <w:r>
        <w:tab/>
        <w:t>Delete regulation 19(9).</w:t>
      </w:r>
    </w:p>
    <w:p>
      <w:pPr>
        <w:pStyle w:val="nzHeading5"/>
      </w:pPr>
      <w:r>
        <w:rPr>
          <w:rStyle w:val="CharSectno"/>
        </w:rPr>
        <w:t>5</w:t>
      </w:r>
      <w:r>
        <w:t>.</w:t>
      </w:r>
      <w:r>
        <w:tab/>
        <w:t>Regulation 28 amended</w:t>
      </w:r>
    </w:p>
    <w:p>
      <w:pPr>
        <w:pStyle w:val="nzSubsection"/>
      </w:pPr>
      <w:r>
        <w:tab/>
      </w:r>
      <w:r>
        <w:tab/>
        <w:t>Delete regulation 28(2)(b) and insert:</w:t>
      </w:r>
    </w:p>
    <w:p>
      <w:pPr>
        <w:pStyle w:val="BlankOpen"/>
      </w:pPr>
    </w:p>
    <w:p>
      <w:pPr>
        <w:pStyle w:val="nzIndenta"/>
      </w:pPr>
      <w:r>
        <w:tab/>
        <w:t>(b)</w:t>
      </w:r>
      <w:r>
        <w:tab/>
        <w:t>the application fee being $8 070 for each course that the application is made in respect of.</w:t>
      </w:r>
    </w:p>
    <w:p>
      <w:pPr>
        <w:pStyle w:val="BlankClose"/>
      </w:pPr>
    </w:p>
    <w:p>
      <w:pPr>
        <w:pStyle w:val="nzHeading5"/>
      </w:pPr>
      <w:r>
        <w:rPr>
          <w:rStyle w:val="CharSectno"/>
        </w:rPr>
        <w:t>6</w:t>
      </w:r>
      <w:r>
        <w:t>.</w:t>
      </w:r>
      <w:r>
        <w:tab/>
        <w:t>Regulation 33A amended</w:t>
      </w:r>
    </w:p>
    <w:p>
      <w:pPr>
        <w:pStyle w:val="nzSubsection"/>
      </w:pPr>
      <w:r>
        <w:tab/>
      </w:r>
      <w:r>
        <w:tab/>
        <w:t>Delete regulation 33A(3)(b) and insert:</w:t>
      </w:r>
    </w:p>
    <w:p>
      <w:pPr>
        <w:pStyle w:val="BlankOpen"/>
      </w:pPr>
    </w:p>
    <w:p>
      <w:pPr>
        <w:pStyle w:val="nzIndenta"/>
      </w:pPr>
      <w:r>
        <w:tab/>
        <w:t>(b)</w:t>
      </w:r>
      <w:r>
        <w:tab/>
        <w:t>the application fee of $2 290.</w:t>
      </w:r>
    </w:p>
    <w:p>
      <w:pPr>
        <w:pStyle w:val="BlankClose"/>
      </w:pPr>
    </w:p>
    <w:p>
      <w:pPr>
        <w:pStyle w:val="BlankClose"/>
      </w:pPr>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09" w:name="_Toc383698303"/>
      <w:bookmarkStart w:id="110" w:name="_Toc393111413"/>
      <w:r>
        <w:rPr>
          <w:sz w:val="28"/>
        </w:rPr>
        <w:t>Defined terms</w:t>
      </w:r>
      <w:bookmarkEnd w:id="109"/>
      <w:bookmarkEnd w:id="1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1" w:name="DefinedTerms"/>
      <w:bookmarkEnd w:id="111"/>
      <w:r>
        <w:t>accreditation application</w:t>
      </w:r>
      <w:r>
        <w:tab/>
        <w:t>7(1)</w:t>
      </w:r>
    </w:p>
    <w:p>
      <w:pPr>
        <w:pStyle w:val="DefinedTerms"/>
      </w:pPr>
      <w:r>
        <w:t>accreditation standards</w:t>
      </w:r>
      <w:r>
        <w:tab/>
        <w:t>7(1)</w:t>
      </w:r>
    </w:p>
    <w:p>
      <w:pPr>
        <w:pStyle w:val="DefinedTerms"/>
      </w:pPr>
      <w:r>
        <w:t>Act</w:t>
      </w:r>
      <w:r>
        <w:tab/>
        <w:t>3</w:t>
      </w:r>
    </w:p>
    <w:p>
      <w:pPr>
        <w:pStyle w:val="DefinedTerms"/>
      </w:pPr>
      <w:r>
        <w:t>application</w:t>
      </w:r>
      <w:r>
        <w:tab/>
        <w:t>11(1)</w:t>
      </w:r>
    </w:p>
    <w:p>
      <w:pPr>
        <w:pStyle w:val="DefinedTerms"/>
      </w:pPr>
      <w:r>
        <w:t xml:space="preserve">AQF </w:t>
      </w:r>
      <w:r>
        <w:tab/>
        <w:t>3</w:t>
      </w:r>
    </w:p>
    <w:p>
      <w:pPr>
        <w:pStyle w:val="DefinedTerms"/>
      </w:pPr>
      <w:r>
        <w:t>AQTF</w:t>
      </w:r>
      <w:r>
        <w:tab/>
        <w:t>3</w:t>
      </w:r>
    </w:p>
    <w:p>
      <w:pPr>
        <w:pStyle w:val="DefinedTerms"/>
      </w:pPr>
      <w:r>
        <w:t>ASQA</w:t>
      </w:r>
      <w:r>
        <w:tab/>
        <w:t>3</w:t>
      </w:r>
    </w:p>
    <w:p>
      <w:pPr>
        <w:pStyle w:val="DefinedTerms"/>
      </w:pPr>
      <w:r>
        <w:t>associate</w:t>
      </w:r>
      <w:r>
        <w:tab/>
        <w:t>12(1)</w:t>
      </w:r>
    </w:p>
    <w:p>
      <w:pPr>
        <w:pStyle w:val="DefinedTerms"/>
      </w:pPr>
      <w:r>
        <w:t>child</w:t>
      </w:r>
      <w:r>
        <w:tab/>
        <w:t>40(1)</w:t>
      </w:r>
    </w:p>
    <w:p>
      <w:pPr>
        <w:pStyle w:val="DefinedTerms"/>
      </w:pPr>
      <w:r>
        <w:t>commencement</w:t>
      </w:r>
      <w:r>
        <w:tab/>
        <w:t>55, Sch. 2 cl. 1</w:t>
      </w:r>
    </w:p>
    <w:p>
      <w:pPr>
        <w:pStyle w:val="DefinedTerms"/>
      </w:pPr>
      <w:r>
        <w:t>Commonwealth Act</w:t>
      </w:r>
      <w:r>
        <w:tab/>
        <w:t>3</w:t>
      </w:r>
    </w:p>
    <w:p>
      <w:pPr>
        <w:pStyle w:val="DefinedTerms"/>
      </w:pPr>
      <w:r>
        <w:t>compliance audit</w:t>
      </w:r>
      <w:r>
        <w:tab/>
        <w:t>7(1), 24</w:t>
      </w:r>
    </w:p>
    <w:p>
      <w:pPr>
        <w:pStyle w:val="DefinedTerms"/>
      </w:pPr>
      <w:r>
        <w:t xml:space="preserve">compliance monitoring audit </w:t>
      </w:r>
      <w:r>
        <w:tab/>
        <w:t>7(1), 24</w:t>
      </w:r>
    </w:p>
    <w:p>
      <w:pPr>
        <w:pStyle w:val="DefinedTerms"/>
      </w:pPr>
      <w:r>
        <w:t>complying training plan</w:t>
      </w:r>
      <w:r>
        <w:tab/>
        <w:t>43(1)</w:t>
      </w:r>
    </w:p>
    <w:p>
      <w:pPr>
        <w:pStyle w:val="DefinedTerms"/>
      </w:pPr>
      <w:r>
        <w:t>compulsory education period</w:t>
      </w:r>
      <w:r>
        <w:tab/>
        <w:t>40(1)</w:t>
      </w:r>
    </w:p>
    <w:p>
      <w:pPr>
        <w:pStyle w:val="DefinedTerms"/>
      </w:pPr>
      <w:r>
        <w:t>continuing registration requirements</w:t>
      </w:r>
      <w:r>
        <w:tab/>
        <w:t>7(1)</w:t>
      </w:r>
    </w:p>
    <w:p>
      <w:pPr>
        <w:pStyle w:val="DefinedTerms"/>
      </w:pPr>
      <w:r>
        <w:t>initial registration requirements</w:t>
      </w:r>
      <w:r>
        <w:tab/>
        <w:t>7(1)</w:t>
      </w:r>
    </w:p>
    <w:p>
      <w:pPr>
        <w:pStyle w:val="DefinedTerms"/>
      </w:pPr>
      <w:r>
        <w:t>investigation</w:t>
      </w:r>
      <w:r>
        <w:tab/>
        <w:t>24</w:t>
      </w:r>
    </w:p>
    <w:p>
      <w:pPr>
        <w:pStyle w:val="DefinedTerms"/>
      </w:pPr>
      <w:r>
        <w:t>involved person</w:t>
      </w:r>
      <w:r>
        <w:tab/>
        <w:t>45(1)</w:t>
      </w:r>
    </w:p>
    <w:p>
      <w:pPr>
        <w:pStyle w:val="DefinedTerms"/>
      </w:pPr>
      <w:r>
        <w:t>jurisdiction</w:t>
      </w:r>
      <w:r>
        <w:tab/>
        <w:t>3</w:t>
      </w:r>
    </w:p>
    <w:p>
      <w:pPr>
        <w:pStyle w:val="DefinedTerms"/>
      </w:pPr>
      <w:r>
        <w:t>listed</w:t>
      </w:r>
      <w:r>
        <w:tab/>
        <w:t>4(1)</w:t>
      </w:r>
    </w:p>
    <w:p>
      <w:pPr>
        <w:pStyle w:val="DefinedTerms"/>
      </w:pPr>
      <w:r>
        <w:t>national register</w:t>
      </w:r>
      <w:r>
        <w:tab/>
        <w:t>3</w:t>
      </w:r>
    </w:p>
    <w:p>
      <w:pPr>
        <w:pStyle w:val="DefinedTerms"/>
      </w:pPr>
      <w:r>
        <w:t>nominated training provider</w:t>
      </w:r>
      <w:r>
        <w:tab/>
        <w:t>34</w:t>
      </w:r>
    </w:p>
    <w:p>
      <w:pPr>
        <w:pStyle w:val="DefinedTerms"/>
      </w:pPr>
      <w:r>
        <w:t>non</w:t>
      </w:r>
      <w:r>
        <w:noBreakHyphen/>
        <w:t>referring State</w:t>
      </w:r>
      <w:r>
        <w:tab/>
        <w:t>7(1)</w:t>
      </w:r>
    </w:p>
    <w:p>
      <w:pPr>
        <w:pStyle w:val="DefinedTerms"/>
      </w:pPr>
      <w:r>
        <w:t>official travel costs</w:t>
      </w:r>
      <w:r>
        <w:tab/>
        <w:t>24</w:t>
      </w:r>
    </w:p>
    <w:p>
      <w:pPr>
        <w:pStyle w:val="DefinedTerms"/>
      </w:pPr>
      <w:r>
        <w:t>old agreement</w:t>
      </w:r>
      <w:r>
        <w:tab/>
        <w:t>Sch. 2 cl. 1</w:t>
      </w:r>
    </w:p>
    <w:p>
      <w:pPr>
        <w:pStyle w:val="DefinedTerms"/>
      </w:pPr>
      <w:r>
        <w:t>old training contract</w:t>
      </w:r>
      <w:r>
        <w:tab/>
        <w:t>Sch. 2 cl. 1</w:t>
      </w:r>
    </w:p>
    <w:p>
      <w:pPr>
        <w:pStyle w:val="DefinedTerms"/>
      </w:pPr>
      <w:r>
        <w:t>owner</w:t>
      </w:r>
      <w:r>
        <w:tab/>
        <w:t>7(1)</w:t>
      </w:r>
    </w:p>
    <w:p>
      <w:pPr>
        <w:pStyle w:val="DefinedTerms"/>
      </w:pPr>
      <w:r>
        <w:t>parent</w:t>
      </w:r>
      <w:r>
        <w:tab/>
        <w:t>40(1)</w:t>
      </w:r>
    </w:p>
    <w:p>
      <w:pPr>
        <w:pStyle w:val="DefinedTerms"/>
      </w:pPr>
      <w:r>
        <w:t>personal details</w:t>
      </w:r>
      <w:r>
        <w:tab/>
        <w:t>3</w:t>
      </w:r>
    </w:p>
    <w:p>
      <w:pPr>
        <w:pStyle w:val="DefinedTerms"/>
      </w:pPr>
      <w:r>
        <w:t>prescribed registration document</w:t>
      </w:r>
      <w:r>
        <w:tab/>
        <w:t>7(1)</w:t>
      </w:r>
    </w:p>
    <w:p>
      <w:pPr>
        <w:pStyle w:val="DefinedTerms"/>
      </w:pPr>
      <w:r>
        <w:t>register</w:t>
      </w:r>
      <w:r>
        <w:tab/>
        <w:t>7(1)</w:t>
      </w:r>
    </w:p>
    <w:p>
      <w:pPr>
        <w:pStyle w:val="DefinedTerms"/>
      </w:pPr>
      <w:r>
        <w:t>registering body</w:t>
      </w:r>
      <w:r>
        <w:tab/>
        <w:t>3</w:t>
      </w:r>
    </w:p>
    <w:p>
      <w:pPr>
        <w:pStyle w:val="DefinedTerms"/>
      </w:pPr>
      <w:r>
        <w:t>registration application</w:t>
      </w:r>
      <w:r>
        <w:tab/>
        <w:t>7(1)</w:t>
      </w:r>
    </w:p>
    <w:p>
      <w:pPr>
        <w:pStyle w:val="DefinedTerms"/>
      </w:pPr>
      <w:r>
        <w:t>registration requirements</w:t>
      </w:r>
      <w:r>
        <w:tab/>
        <w:t>7(1)</w:t>
      </w:r>
    </w:p>
    <w:p>
      <w:pPr>
        <w:pStyle w:val="DefinedTerms"/>
      </w:pPr>
      <w:r>
        <w:t>scope of registration</w:t>
      </w:r>
      <w:r>
        <w:tab/>
        <w:t>7(1)</w:t>
      </w:r>
    </w:p>
    <w:p>
      <w:pPr>
        <w:pStyle w:val="DefinedTerms"/>
      </w:pPr>
      <w:r>
        <w:t>Standards for VET Regulators</w:t>
      </w:r>
      <w:r>
        <w:tab/>
        <w:t>7(1)</w:t>
      </w:r>
    </w:p>
    <w:p>
      <w:pPr>
        <w:pStyle w:val="DefinedTerms"/>
      </w:pPr>
      <w:r>
        <w:t>suspension notice</w:t>
      </w:r>
      <w:r>
        <w:tab/>
        <w:t>49(4)</w:t>
      </w:r>
    </w:p>
    <w:p>
      <w:pPr>
        <w:pStyle w:val="DefinedTerms"/>
      </w:pPr>
      <w:r>
        <w:t>trade apprentice</w:t>
      </w:r>
      <w:r>
        <w:tab/>
        <w:t>Sch. 2 cl. 1</w:t>
      </w:r>
    </w:p>
    <w:p>
      <w:pPr>
        <w:pStyle w:val="DefinedTerms"/>
      </w:pPr>
      <w:r>
        <w:t>VET course for a prescribed VET qualification</w:t>
      </w:r>
      <w:r>
        <w:tab/>
        <w:t>7(1)</w:t>
      </w:r>
    </w:p>
    <w:p>
      <w:pPr>
        <w:pStyle w:val="DefinedTerms"/>
      </w:pPr>
      <w:r>
        <w:t>WA</w:t>
      </w:r>
      <w:r>
        <w:tab/>
        <w:t>3</w:t>
      </w:r>
    </w:p>
    <w:p>
      <w:pPr>
        <w:pStyle w:val="DefinedTerms"/>
      </w:pPr>
      <w:r>
        <w:t>WA accredited course</w:t>
      </w:r>
      <w:r>
        <w:tab/>
        <w:t>7(1)</w:t>
      </w:r>
    </w:p>
    <w:p>
      <w:pPr>
        <w:pStyle w:val="DefinedTerms"/>
      </w:pPr>
      <w:r>
        <w:t>WA registered provider</w:t>
      </w:r>
      <w:r>
        <w:tab/>
        <w:t>7(1)</w:t>
      </w:r>
    </w:p>
    <w:p>
      <w:pPr>
        <w:pStyle w:val="DefinedTerms"/>
      </w:pPr>
      <w:r>
        <w:t>working day</w:t>
      </w:r>
      <w:r>
        <w:tab/>
        <w:t>3</w:t>
      </w:r>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p/>
    <w:p/>
    <w:p/>
    <w:p/>
    <w:p/>
    <w:p/>
    <w:p/>
    <w:p/>
    <w:p/>
    <w:p/>
    <w:p/>
    <w:p/>
    <w:p/>
    <w:p/>
    <w:p/>
    <w:p/>
    <w:p/>
    <w:p/>
    <w:p/>
    <w:p/>
    <w:p/>
    <w:p/>
    <w:p/>
    <w:p/>
    <w:p/>
    <w:p/>
    <w:p/>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Training contract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fldSimple w:instr=" styleref CharSchText ">
            <w:r>
              <w:rPr>
                <w:noProof/>
              </w:rPr>
              <w:t>Training contract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8913"/>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27153209"/>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17632</Words>
  <Characters>92747</Characters>
  <Application>Microsoft Office Word</Application>
  <DocSecurity>0</DocSecurity>
  <Lines>2649</Lines>
  <Paragraphs>1599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108780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2009 - 01-b0-00</dc:title>
  <dc:subject/>
  <dc:creator/>
  <cp:keywords/>
  <dc:description/>
  <cp:lastModifiedBy>svcMRProcess</cp:lastModifiedBy>
  <cp:revision>4</cp:revision>
  <cp:lastPrinted>2014-03-13T01:01:00Z</cp:lastPrinted>
  <dcterms:created xsi:type="dcterms:W3CDTF">2018-09-18T06:39:00Z</dcterms:created>
  <dcterms:modified xsi:type="dcterms:W3CDTF">2018-09-18T06:39:00Z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CommencementDate">
    <vt:lpwstr>20140715</vt:lpwstr>
  </property>
  <property fmtid="{D5CDD505-2E9C-101B-9397-08002B2CF9AE}" pid="4" name="AsAtDate">
    <vt:lpwstr>15 Jul 2014</vt:lpwstr>
  </property>
  <property fmtid="{D5CDD505-2E9C-101B-9397-08002B2CF9AE}" pid="5" name="Suffix">
    <vt:lpwstr>01-b0-00</vt:lpwstr>
  </property>
  <property fmtid="{D5CDD505-2E9C-101B-9397-08002B2CF9AE}" pid="6" name="OwlsUID">
    <vt:i4>41125</vt:i4>
  </property>
  <property fmtid="{D5CDD505-2E9C-101B-9397-08002B2CF9AE}" pid="7" name="ReprintNo">
    <vt:lpwstr>1</vt:lpwstr>
  </property>
  <property fmtid="{D5CDD505-2E9C-101B-9397-08002B2CF9AE}" pid="8" name="ReprintedAsAt">
    <vt:filetime>2014-03-06T16:00:00Z</vt:filetime>
  </property>
  <property fmtid="{D5CDD505-2E9C-101B-9397-08002B2CF9AE}" pid="9" name="DocumentType">
    <vt:lpwstr>Reg</vt:lpwstr>
  </property>
</Properties>
</file>