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Fertilisers Act 1928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Fertilizers Act 1928</w:t>
      </w:r>
      <w:r>
        <w:rPr>
          <w:color w:val="000000"/>
          <w:sz w:val="22"/>
          <w:szCs w:val="22"/>
        </w:rPr>
        <w:t xml:space="preserve"> s. 3 (No. 11 of 1977) as at 15 Sep 1978.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505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40505" w:val="UsedStyles"/>
    <w:docVar w:name="WAFER_20160412140505_GUID" w:val="1e388d84-0119-4967-98de-a4006b71e75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184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Fertilisers Act 1928 - 02-b0-02</dc:title>
  <dc:subject/>
  <dc:creator/>
  <cp:keywords/>
  <dc:description/>
  <cp:lastModifiedBy>svcMRProcess</cp:lastModifiedBy>
  <cp:revision>3</cp:revision>
  <dcterms:created xsi:type="dcterms:W3CDTF">2016-04-12T06:12:00Z</dcterms:created>
  <dcterms:modified xsi:type="dcterms:W3CDTF">2016-04-12T06:12:00Z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15 Sep 1978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19780915</vt:lpwstr>
  </property>
</Properties>
</file>