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Married Persons and Children (Summary Relief) Act 1965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 xml:space="preserve">Family Court Act 1975 </w:t>
      </w:r>
      <w:r>
        <w:rPr>
          <w:color w:val="000000"/>
          <w:sz w:val="22"/>
          <w:szCs w:val="22"/>
        </w:rPr>
        <w:t>s. 5(1) (No. 106 of 1975) as at 1 Jun 1976.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00206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00206" w:val="UsedStyles"/>
    <w:docVar w:name="WAFER_20160418100206_GUID" w:val="7fc39761-4259-4201-828d-8d35a778d8e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216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Married Persons and Children (Summary Relief) Act 1965 - 01-b0-02</dc:title>
  <dc:subject/>
  <dc:creator/>
  <cp:keywords/>
  <dc:description/>
  <cp:lastModifiedBy>svcMRProcess</cp:lastModifiedBy>
  <cp:revision>3</cp:revision>
  <dcterms:created xsi:type="dcterms:W3CDTF">2016-04-18T02:41:00Z</dcterms:created>
  <dcterms:modified xsi:type="dcterms:W3CDTF">2016-04-18T02:41:00Z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01-b0-02</vt:lpwstr>
  </property>
  <property fmtid="{D5CDD505-2E9C-101B-9397-08002B2CF9AE}" pid="3" name="AsAtDate">
    <vt:lpwstr>01 Jun 1976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19760601</vt:lpwstr>
  </property>
</Properties>
</file>