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t>Western Australia</w:t>
      </w:r>
    </w:p>
    <w:p>
      <w:pPr>
        <w:pStyle w:val="PrincipalActReg"/>
        <w:spacing w:before="2600" w:after="0"/>
      </w:pPr>
      <w:r>
        <w:rPr>
          <w:snapToGrid w:val="0"/>
        </w:rPr>
        <w:t>Associations Incorporation Act 1987</w:t>
      </w:r>
    </w:p>
    <w:p>
      <w:pPr>
        <w:pStyle w:val="NameofActReg"/>
        <w:spacing w:before="3760" w:after="4200"/>
      </w:pPr>
      <w:r>
        <w:rPr>
          <w:noProof/>
        </w:rPr>
        <w:t>Associations Incorporation Regulations 1988</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 November 2006</w:t>
            </w:r>
          </w:p>
        </w:tc>
      </w:tr>
    </w:tbl>
    <w:p>
      <w:pPr>
        <w:pStyle w:val="WA"/>
        <w:spacing w:before="120"/>
      </w:pPr>
      <w:r>
        <w:t>Western Australia</w:t>
      </w:r>
    </w:p>
    <w:p>
      <w:pPr>
        <w:pStyle w:val="NameofActRegPage1"/>
        <w:spacing w:after="600"/>
      </w:pPr>
      <w:r>
        <w:fldChar w:fldCharType="begin"/>
      </w:r>
      <w:r>
        <w:instrText xml:space="preserve"> STYLEREF "Name Of Act/Reg"</w:instrText>
      </w:r>
      <w:r>
        <w:fldChar w:fldCharType="separate"/>
      </w:r>
      <w:r>
        <w:rPr>
          <w:noProof/>
        </w:rPr>
        <w:t>Associations Incorporation Regulations 1988</w:t>
      </w:r>
      <w:r>
        <w:fldChar w:fldCharType="end"/>
      </w:r>
    </w:p>
    <w:p>
      <w:pPr>
        <w:pStyle w:val="Arrangement"/>
        <w:spacing w:after="28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_Toc152057209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_Toc152057210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_Toc152057211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for approval of purpose</w:t>
      </w:r>
      <w:r>
        <w:tab/>
      </w:r>
      <w:r>
        <w:fldChar w:fldCharType="begin"/>
      </w:r>
      <w:r>
        <w:instrText xml:space="preserve"> PAGEREF _Toc152057212 \h </w:instrText>
      </w:r>
      <w:r>
        <w:fldChar w:fldCharType="separate"/>
      </w:r>
      <w:r>
        <w:t>1</w:t>
      </w:r>
      <w:r>
        <w:fldChar w:fldCharType="end"/>
      </w:r>
    </w:p>
    <w:p>
      <w:pPr>
        <w:pStyle w:val="TOC8"/>
        <w:rPr>
          <w:sz w:val="24"/>
          <w:szCs w:val="24"/>
        </w:rPr>
      </w:pPr>
      <w:r>
        <w:rPr>
          <w:szCs w:val="24"/>
        </w:rPr>
        <w:t>6.</w:t>
      </w:r>
      <w:r>
        <w:rPr>
          <w:szCs w:val="24"/>
        </w:rPr>
        <w:tab/>
        <w:t>Applied provisions — voluntary winding up</w:t>
      </w:r>
      <w:r>
        <w:tab/>
      </w:r>
      <w:r>
        <w:fldChar w:fldCharType="begin"/>
      </w:r>
      <w:r>
        <w:instrText xml:space="preserve"> PAGEREF _Toc152057213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Approval of liquidator</w:t>
      </w:r>
      <w:r>
        <w:tab/>
      </w:r>
      <w:r>
        <w:fldChar w:fldCharType="begin"/>
      </w:r>
      <w:r>
        <w:instrText xml:space="preserve"> PAGEREF _Toc152057214 \h </w:instrText>
      </w:r>
      <w:r>
        <w:fldChar w:fldCharType="separate"/>
      </w:r>
      <w:r>
        <w:t>3</w:t>
      </w:r>
      <w:r>
        <w:fldChar w:fldCharType="end"/>
      </w:r>
    </w:p>
    <w:p>
      <w:pPr>
        <w:pStyle w:val="TOC8"/>
        <w:rPr>
          <w:sz w:val="24"/>
          <w:szCs w:val="24"/>
        </w:rPr>
      </w:pPr>
      <w:r>
        <w:rPr>
          <w:szCs w:val="24"/>
        </w:rPr>
        <w:t>8.</w:t>
      </w:r>
      <w:r>
        <w:rPr>
          <w:szCs w:val="24"/>
        </w:rPr>
        <w:tab/>
        <w:t>Applied provisions — winding up by Court</w:t>
      </w:r>
      <w:r>
        <w:tab/>
      </w:r>
      <w:r>
        <w:fldChar w:fldCharType="begin"/>
      </w:r>
      <w:r>
        <w:instrText xml:space="preserve"> PAGEREF _Toc152057215 \h </w:instrText>
      </w:r>
      <w:r>
        <w:fldChar w:fldCharType="separate"/>
      </w:r>
      <w:r>
        <w:t>3</w:t>
      </w:r>
      <w:r>
        <w:fldChar w:fldCharType="end"/>
      </w:r>
    </w:p>
    <w:p>
      <w:pPr>
        <w:pStyle w:val="TOC8"/>
        <w:rPr>
          <w:sz w:val="24"/>
          <w:szCs w:val="24"/>
        </w:rPr>
      </w:pPr>
      <w:r>
        <w:rPr>
          <w:szCs w:val="24"/>
        </w:rPr>
        <w:t>9.</w:t>
      </w:r>
      <w:r>
        <w:rPr>
          <w:szCs w:val="24"/>
        </w:rPr>
        <w:tab/>
        <w:t>Forms</w:t>
      </w:r>
      <w:r>
        <w:tab/>
      </w:r>
      <w:r>
        <w:fldChar w:fldCharType="begin"/>
      </w:r>
      <w:r>
        <w:instrText xml:space="preserve"> PAGEREF _Toc152057216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Compliance with forms</w:t>
      </w:r>
      <w:r>
        <w:tab/>
      </w:r>
      <w:r>
        <w:fldChar w:fldCharType="begin"/>
      </w:r>
      <w:r>
        <w:instrText xml:space="preserve"> PAGEREF _Toc152057217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Completion of forms</w:t>
      </w:r>
      <w:r>
        <w:tab/>
      </w:r>
      <w:r>
        <w:fldChar w:fldCharType="begin"/>
      </w:r>
      <w:r>
        <w:instrText xml:space="preserve"> PAGEREF _Toc152057218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General requirements for documents</w:t>
      </w:r>
      <w:r>
        <w:tab/>
      </w:r>
      <w:r>
        <w:fldChar w:fldCharType="begin"/>
      </w:r>
      <w:r>
        <w:instrText xml:space="preserve"> PAGEREF _Toc152057219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Annexures accompanying forms</w:t>
      </w:r>
      <w:r>
        <w:tab/>
      </w:r>
      <w:r>
        <w:fldChar w:fldCharType="begin"/>
      </w:r>
      <w:r>
        <w:instrText xml:space="preserve"> PAGEREF _Toc152057220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Signature of documents lodged with Commissioner</w:t>
      </w:r>
      <w:r>
        <w:tab/>
      </w:r>
      <w:r>
        <w:fldChar w:fldCharType="begin"/>
      </w:r>
      <w:r>
        <w:instrText xml:space="preserve"> PAGEREF _Toc152057221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Translations</w:t>
      </w:r>
      <w:r>
        <w:tab/>
      </w:r>
      <w:r>
        <w:fldChar w:fldCharType="begin"/>
      </w:r>
      <w:r>
        <w:instrText xml:space="preserve"> PAGEREF _Toc152057222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Fees</w:t>
      </w:r>
      <w:r>
        <w:tab/>
      </w:r>
      <w:r>
        <w:fldChar w:fldCharType="begin"/>
      </w:r>
      <w:r>
        <w:instrText xml:space="preserve"> PAGEREF _Toc152057223 \h </w:instrText>
      </w:r>
      <w:r>
        <w:fldChar w:fldCharType="separate"/>
      </w:r>
      <w:r>
        <w:t>7</w:t>
      </w:r>
      <w:r>
        <w:fldChar w:fldCharType="end"/>
      </w:r>
    </w:p>
    <w:p>
      <w:pPr>
        <w:pStyle w:val="TOC8"/>
        <w:rPr>
          <w:sz w:val="24"/>
          <w:szCs w:val="24"/>
        </w:rPr>
      </w:pPr>
      <w:r>
        <w:rPr>
          <w:szCs w:val="24"/>
        </w:rPr>
        <w:t>17.</w:t>
      </w:r>
      <w:r>
        <w:rPr>
          <w:szCs w:val="24"/>
        </w:rPr>
        <w:tab/>
        <w:t>Infringement notices</w:t>
      </w:r>
      <w:r>
        <w:tab/>
      </w:r>
      <w:r>
        <w:fldChar w:fldCharType="begin"/>
      </w:r>
      <w:r>
        <w:instrText xml:space="preserve"> PAGEREF _Toc152057224 \h </w:instrText>
      </w:r>
      <w:r>
        <w:fldChar w:fldCharType="separate"/>
      </w:r>
      <w:r>
        <w:t>7</w:t>
      </w:r>
      <w:r>
        <w:fldChar w:fldCharType="end"/>
      </w:r>
    </w:p>
    <w:p>
      <w:pPr>
        <w:pStyle w:val="TOC2"/>
        <w:tabs>
          <w:tab w:val="right" w:leader="dot" w:pos="7086"/>
        </w:tabs>
        <w:rPr>
          <w:b w:val="0"/>
          <w:sz w:val="24"/>
          <w:szCs w:val="24"/>
        </w:rPr>
      </w:pPr>
      <w:r>
        <w:rPr>
          <w:szCs w:val="28"/>
        </w:rPr>
        <w:lastRenderedPageBreak/>
        <w:t>Schedule 1 — 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Prescribed offences and modified penalties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_Toc152057230 \h </w:instrText>
      </w:r>
      <w:r>
        <w:fldChar w:fldCharType="separate"/>
      </w:r>
      <w:r>
        <w:t>19</w:t>
      </w:r>
      <w:r>
        <w:fldChar w:fldCharType="end"/>
      </w:r>
    </w:p>
    <w:p>
      <w:pPr>
        <w:rPr>
          <w:sz w:val="12"/>
        </w:rPr>
      </w:pPr>
      <w:r>
        <w:fldChar w:fldCharType="end"/>
      </w:r>
    </w:p>
    <w:p>
      <w:pPr>
        <w:pStyle w:val="NoteHeading"/>
        <w:rPr>
          <w:sz w:val="12"/>
        </w:rPr>
      </w:pPr>
      <w:r>
        <w:rPr>
          <w:rStyle w:val="CharPartNo"/>
          <w:sz w:val="12"/>
        </w:rPr>
        <w:t xml:space="preserve"> </w:t>
      </w:r>
      <w:r>
        <w:rPr>
          <w:rStyle w:val="CharPartText"/>
          <w:sz w:val="12"/>
        </w:rPr>
        <w:t xml:space="preserve"> </w:t>
      </w:r>
      <w:r>
        <w:rPr>
          <w:rStyle w:val="CharDivNo"/>
          <w:sz w:val="12"/>
        </w:rPr>
        <w:t xml:space="preserve"> </w:t>
      </w:r>
      <w:r>
        <w:rPr>
          <w:rStyle w:val="CharDivText"/>
          <w:sz w:val="12"/>
        </w:rPr>
        <w:t xml:space="preserve"> </w:t>
      </w:r>
      <w:r>
        <w:rPr>
          <w:rStyle w:val="CharSchNo"/>
          <w:sz w:val="12"/>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November 2006</w:t>
            </w:r>
          </w:p>
        </w:tc>
      </w:tr>
    </w:tbl>
    <w:p>
      <w:pPr>
        <w:pStyle w:val="WA"/>
        <w:spacing w:before="120"/>
      </w:pPr>
      <w:r>
        <w:t>Western Australia</w:t>
      </w:r>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2" w:name="_Toc17188433"/>
      <w:bookmarkStart w:id="3" w:name="_Toc107803033"/>
      <w:bookmarkStart w:id="4" w:name="_Toc152057209"/>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 w:name="_Toc17188434"/>
      <w:bookmarkStart w:id="6" w:name="_Toc107803034"/>
      <w:bookmarkStart w:id="7" w:name="_Toc152057210"/>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8" w:name="_Toc17188435"/>
      <w:bookmarkStart w:id="9" w:name="_Toc107803035"/>
      <w:bookmarkStart w:id="10" w:name="_Toc152057211"/>
      <w:r>
        <w:rPr>
          <w:rStyle w:val="CharSectno"/>
        </w:rPr>
        <w:t>3</w:t>
      </w:r>
      <w:r>
        <w:t>.</w:t>
      </w:r>
      <w:r>
        <w:tab/>
        <w:t>Interpretation</w:t>
      </w:r>
      <w:bookmarkEnd w:id="8"/>
      <w:bookmarkEnd w:id="9"/>
      <w:bookmarkEnd w:id="10"/>
    </w:p>
    <w:p>
      <w:pPr>
        <w:pStyle w:val="Subsection"/>
        <w:spacing w:before="120"/>
      </w:pPr>
      <w:r>
        <w:tab/>
      </w:r>
      <w:r>
        <w:tab/>
        <w:t xml:space="preserve">In these regulations, unless the contrary intention appears — </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1" w:name="_Toc17188436"/>
      <w:bookmarkStart w:id="12" w:name="_Toc107803036"/>
      <w:bookmarkStart w:id="13" w:name="_Toc152057212"/>
      <w:r>
        <w:rPr>
          <w:rStyle w:val="CharSectno"/>
        </w:rPr>
        <w:t>4</w:t>
      </w:r>
      <w:r>
        <w:rPr>
          <w:snapToGrid w:val="0"/>
        </w:rPr>
        <w:t>.</w:t>
      </w:r>
      <w:r>
        <w:rPr>
          <w:snapToGrid w:val="0"/>
        </w:rPr>
        <w:tab/>
        <w:t>Application for approval of purpose</w:t>
      </w:r>
      <w:bookmarkEnd w:id="11"/>
      <w:bookmarkEnd w:id="12"/>
      <w:bookmarkEnd w:id="13"/>
      <w:r>
        <w:rPr>
          <w:snapToGrid w:val="0"/>
        </w:rPr>
        <w:t xml:space="preserve"> </w:t>
      </w:r>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Repealed in Gazette 30 Dec 2004 p. 6906.]</w:t>
      </w:r>
    </w:p>
    <w:p>
      <w:pPr>
        <w:pStyle w:val="Heading5"/>
      </w:pPr>
      <w:bookmarkStart w:id="14" w:name="_Toc107803037"/>
      <w:bookmarkStart w:id="15" w:name="_Toc152057213"/>
      <w:bookmarkStart w:id="16" w:name="_Toc17188439"/>
      <w:r>
        <w:rPr>
          <w:rStyle w:val="CharSectno"/>
        </w:rPr>
        <w:t>6</w:t>
      </w:r>
      <w:r>
        <w:t>.</w:t>
      </w:r>
      <w:r>
        <w:tab/>
        <w:t>Applied provisions — voluntary winding up</w:t>
      </w:r>
      <w:bookmarkEnd w:id="14"/>
      <w:bookmarkEnd w:id="15"/>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17" w:name="_Toc107803038"/>
      <w:bookmarkStart w:id="18" w:name="_Toc152057214"/>
      <w:r>
        <w:rPr>
          <w:rStyle w:val="CharSectno"/>
        </w:rPr>
        <w:t>7</w:t>
      </w:r>
      <w:r>
        <w:rPr>
          <w:snapToGrid w:val="0"/>
        </w:rPr>
        <w:t>.</w:t>
      </w:r>
      <w:r>
        <w:rPr>
          <w:snapToGrid w:val="0"/>
        </w:rPr>
        <w:tab/>
        <w:t>Approval of liquidator</w:t>
      </w:r>
      <w:bookmarkEnd w:id="16"/>
      <w:bookmarkEnd w:id="17"/>
      <w:bookmarkEnd w:id="18"/>
      <w:r>
        <w:rPr>
          <w:snapToGrid w:val="0"/>
        </w:rPr>
        <w:t xml:space="preserve"> </w:t>
      </w:r>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19" w:name="_Toc17188440"/>
      <w:bookmarkStart w:id="20" w:name="_Toc107803039"/>
      <w:bookmarkStart w:id="21" w:name="_Toc152057215"/>
      <w:r>
        <w:rPr>
          <w:rStyle w:val="CharSectno"/>
        </w:rPr>
        <w:t>8</w:t>
      </w:r>
      <w:r>
        <w:t>.</w:t>
      </w:r>
      <w:r>
        <w:tab/>
        <w:t>Applied provisions — winding up by Court</w:t>
      </w:r>
      <w:bookmarkEnd w:id="19"/>
      <w:bookmarkEnd w:id="20"/>
      <w:bookmarkEnd w:id="21"/>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22" w:name="_Toc152057216"/>
      <w:bookmarkStart w:id="23" w:name="_Toc17188442"/>
      <w:bookmarkStart w:id="24" w:name="_Toc107803041"/>
      <w:r>
        <w:rPr>
          <w:rStyle w:val="CharSectno"/>
        </w:rPr>
        <w:t>9</w:t>
      </w:r>
      <w:r>
        <w:t>.</w:t>
      </w:r>
      <w:r>
        <w:tab/>
        <w:t>Forms</w:t>
      </w:r>
      <w:bookmarkEnd w:id="22"/>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25" w:name="_Toc152057217"/>
      <w:r>
        <w:rPr>
          <w:rStyle w:val="CharSectno"/>
        </w:rPr>
        <w:t>10</w:t>
      </w:r>
      <w:r>
        <w:rPr>
          <w:snapToGrid w:val="0"/>
        </w:rPr>
        <w:t>.</w:t>
      </w:r>
      <w:r>
        <w:rPr>
          <w:snapToGrid w:val="0"/>
        </w:rPr>
        <w:tab/>
        <w:t>Compliance with forms</w:t>
      </w:r>
      <w:bookmarkEnd w:id="23"/>
      <w:bookmarkEnd w:id="24"/>
      <w:bookmarkEnd w:id="25"/>
      <w:r>
        <w:rPr>
          <w:snapToGrid w:val="0"/>
        </w:rPr>
        <w:t xml:space="preserve"> </w:t>
      </w:r>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26" w:name="_Toc17188443"/>
      <w:bookmarkStart w:id="27" w:name="_Toc107803042"/>
      <w:bookmarkStart w:id="28" w:name="_Toc152057218"/>
      <w:r>
        <w:rPr>
          <w:rStyle w:val="CharSectno"/>
        </w:rPr>
        <w:t>11</w:t>
      </w:r>
      <w:r>
        <w:rPr>
          <w:snapToGrid w:val="0"/>
        </w:rPr>
        <w:t>.</w:t>
      </w:r>
      <w:r>
        <w:rPr>
          <w:snapToGrid w:val="0"/>
        </w:rPr>
        <w:tab/>
        <w:t>Completion of forms</w:t>
      </w:r>
      <w:bookmarkEnd w:id="26"/>
      <w:bookmarkEnd w:id="27"/>
      <w:bookmarkEnd w:id="28"/>
      <w:r>
        <w:rPr>
          <w:snapToGrid w:val="0"/>
        </w:rPr>
        <w:t xml:space="preserve"> </w:t>
      </w:r>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29" w:name="_Toc17188444"/>
      <w:bookmarkStart w:id="30" w:name="_Toc107803043"/>
      <w:bookmarkStart w:id="31" w:name="_Toc152057219"/>
      <w:r>
        <w:rPr>
          <w:rStyle w:val="CharSectno"/>
        </w:rPr>
        <w:t>12</w:t>
      </w:r>
      <w:r>
        <w:rPr>
          <w:snapToGrid w:val="0"/>
        </w:rPr>
        <w:t>.</w:t>
      </w:r>
      <w:r>
        <w:rPr>
          <w:snapToGrid w:val="0"/>
        </w:rPr>
        <w:tab/>
        <w:t>General requirements for documents</w:t>
      </w:r>
      <w:bookmarkEnd w:id="29"/>
      <w:bookmarkEnd w:id="30"/>
      <w:bookmarkEnd w:id="31"/>
      <w:r>
        <w:rPr>
          <w:snapToGrid w:val="0"/>
        </w:rPr>
        <w:t xml:space="preserve"> </w:t>
      </w:r>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32" w:name="_Toc17188445"/>
      <w:bookmarkStart w:id="33" w:name="_Toc107803044"/>
      <w:bookmarkStart w:id="34" w:name="_Toc152057220"/>
      <w:r>
        <w:rPr>
          <w:rStyle w:val="CharSectno"/>
        </w:rPr>
        <w:t>13</w:t>
      </w:r>
      <w:r>
        <w:rPr>
          <w:snapToGrid w:val="0"/>
        </w:rPr>
        <w:t>.</w:t>
      </w:r>
      <w:r>
        <w:rPr>
          <w:snapToGrid w:val="0"/>
        </w:rPr>
        <w:tab/>
        <w:t>Annexures accompanying forms</w:t>
      </w:r>
      <w:bookmarkEnd w:id="32"/>
      <w:bookmarkEnd w:id="33"/>
      <w:bookmarkEnd w:id="34"/>
      <w:r>
        <w:rPr>
          <w:snapToGrid w:val="0"/>
        </w:rPr>
        <w:t xml:space="preserve"> </w:t>
      </w:r>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35" w:name="_Toc17188446"/>
      <w:bookmarkStart w:id="36" w:name="_Toc107803045"/>
      <w:bookmarkStart w:id="37" w:name="_Toc152057221"/>
      <w:r>
        <w:rPr>
          <w:rStyle w:val="CharSectno"/>
        </w:rPr>
        <w:t>14</w:t>
      </w:r>
      <w:r>
        <w:rPr>
          <w:snapToGrid w:val="0"/>
        </w:rPr>
        <w:t>.</w:t>
      </w:r>
      <w:r>
        <w:rPr>
          <w:snapToGrid w:val="0"/>
        </w:rPr>
        <w:tab/>
        <w:t>Signature of documents lodged with Commissioner</w:t>
      </w:r>
      <w:bookmarkEnd w:id="35"/>
      <w:bookmarkEnd w:id="36"/>
      <w:bookmarkEnd w:id="37"/>
      <w:r>
        <w:rPr>
          <w:snapToGrid w:val="0"/>
        </w:rPr>
        <w:t xml:space="preserve"> </w:t>
      </w:r>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38" w:name="_Toc17188447"/>
      <w:bookmarkStart w:id="39" w:name="_Toc107803046"/>
      <w:bookmarkStart w:id="40" w:name="_Toc152057222"/>
      <w:r>
        <w:rPr>
          <w:rStyle w:val="CharSectno"/>
        </w:rPr>
        <w:t>15</w:t>
      </w:r>
      <w:r>
        <w:rPr>
          <w:snapToGrid w:val="0"/>
        </w:rPr>
        <w:t>.</w:t>
      </w:r>
      <w:r>
        <w:rPr>
          <w:snapToGrid w:val="0"/>
        </w:rPr>
        <w:tab/>
        <w:t>Translations</w:t>
      </w:r>
      <w:bookmarkEnd w:id="38"/>
      <w:bookmarkEnd w:id="39"/>
      <w:bookmarkEnd w:id="40"/>
      <w:r>
        <w:rPr>
          <w:snapToGrid w:val="0"/>
        </w:rPr>
        <w:t xml:space="preserve"> </w:t>
      </w:r>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41" w:name="_Toc17188448"/>
      <w:bookmarkStart w:id="42" w:name="_Toc107803047"/>
      <w:bookmarkStart w:id="43" w:name="_Toc152057223"/>
      <w:r>
        <w:rPr>
          <w:rStyle w:val="CharSectno"/>
        </w:rPr>
        <w:t>16</w:t>
      </w:r>
      <w:r>
        <w:rPr>
          <w:snapToGrid w:val="0"/>
        </w:rPr>
        <w:t>.</w:t>
      </w:r>
      <w:r>
        <w:rPr>
          <w:snapToGrid w:val="0"/>
        </w:rPr>
        <w:tab/>
        <w:t>Fees</w:t>
      </w:r>
      <w:bookmarkEnd w:id="41"/>
      <w:bookmarkEnd w:id="42"/>
      <w:bookmarkEnd w:id="43"/>
      <w:r>
        <w:rPr>
          <w:snapToGrid w:val="0"/>
        </w:rPr>
        <w:t xml:space="preserve"> </w:t>
      </w:r>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44" w:name="_Toc152057224"/>
      <w:r>
        <w:rPr>
          <w:rStyle w:val="CharSectno"/>
        </w:rPr>
        <w:t>17</w:t>
      </w:r>
      <w:r>
        <w:t>.</w:t>
      </w:r>
      <w:r>
        <w:tab/>
        <w:t>Infringement notices</w:t>
      </w:r>
      <w:bookmarkEnd w:id="44"/>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5" w:name="_Toc107803049"/>
      <w:bookmarkStart w:id="46" w:name="_Toc146604639"/>
      <w:bookmarkStart w:id="47" w:name="_Toc146686451"/>
      <w:bookmarkStart w:id="48" w:name="_Toc148497716"/>
      <w:bookmarkStart w:id="49" w:name="_Toc148500091"/>
      <w:bookmarkStart w:id="50" w:name="_Toc149356152"/>
      <w:bookmarkStart w:id="51" w:name="_Toc149383416"/>
      <w:bookmarkStart w:id="52" w:name="_Toc149452856"/>
      <w:bookmarkStart w:id="53" w:name="_Toc152057225"/>
      <w:r>
        <w:rPr>
          <w:rStyle w:val="CharSchNo"/>
        </w:rPr>
        <w:t>Schedule 1</w:t>
      </w:r>
      <w:bookmarkEnd w:id="45"/>
      <w:bookmarkEnd w:id="46"/>
      <w:bookmarkEnd w:id="47"/>
      <w:bookmarkEnd w:id="48"/>
      <w:bookmarkEnd w:id="49"/>
      <w:bookmarkEnd w:id="50"/>
      <w:bookmarkEnd w:id="51"/>
      <w:bookmarkEnd w:id="52"/>
      <w:bookmarkEnd w:id="53"/>
      <w:r>
        <w:t xml:space="preserve"> </w:t>
      </w:r>
    </w:p>
    <w:p>
      <w:pPr>
        <w:pStyle w:val="yShoulderClause"/>
        <w:rPr>
          <w:snapToGrid w:val="0"/>
        </w:rPr>
      </w:pPr>
      <w:r>
        <w:rPr>
          <w:snapToGrid w:val="0"/>
        </w:rPr>
        <w:t>[Regulation 9]</w:t>
      </w:r>
    </w:p>
    <w:p>
      <w:pPr>
        <w:pStyle w:val="yHeading2"/>
        <w:rPr>
          <w:snapToGrid/>
        </w:rPr>
      </w:pPr>
      <w:bookmarkStart w:id="54" w:name="_Toc149452857"/>
      <w:bookmarkStart w:id="55" w:name="_Toc152057226"/>
      <w:r>
        <w:rPr>
          <w:rStyle w:val="CharSchText"/>
        </w:rPr>
        <w:t>Forms</w:t>
      </w:r>
      <w:bookmarkEnd w:id="54"/>
      <w:bookmarkEnd w:id="55"/>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w:t>
      </w:r>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Fair Trading</w:t>
      </w:r>
      <w:r>
        <w:rPr>
          <w:snapToGrid w:val="0"/>
          <w:vertAlign w:val="superscript"/>
        </w:rPr>
        <w:t> 2</w:t>
      </w:r>
      <w:r>
        <w:rPr>
          <w:snapToGrid w:val="0"/>
        </w:rPr>
        <w:t xml:space="preserve">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 Fair Trading</w:t>
      </w:r>
      <w:r>
        <w:rPr>
          <w:snapToGrid w:val="0"/>
          <w:vertAlign w:val="superscript"/>
        </w:rPr>
        <w:t> 2</w:t>
      </w:r>
      <w:r>
        <w:rPr>
          <w:snapToGrid w:val="0"/>
        </w:rPr>
        <w:t>.</w:t>
      </w:r>
    </w:p>
    <w:p>
      <w:pPr>
        <w:pStyle w:val="yFootnotesection"/>
      </w:pPr>
      <w:r>
        <w:tab/>
        <w:t>[Form 3 amended in Gazette 9 Oct 2001 p. 5527.]</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 Fair Trading</w:t>
      </w:r>
      <w:r>
        <w:rPr>
          <w:snapToGrid w:val="0"/>
          <w:vertAlign w:val="superscript"/>
        </w:rPr>
        <w:t> 2</w:t>
      </w:r>
      <w:r>
        <w:rPr>
          <w:snapToGrid w:val="0"/>
        </w:rPr>
        <w:t>.</w:t>
      </w:r>
    </w:p>
    <w:p>
      <w:pPr>
        <w:pStyle w:val="yFootnotesection"/>
      </w:pPr>
      <w:r>
        <w:tab/>
        <w:t>[Form 4 amended in Gazette 9 Oct 2001 p. 5527.]</w:t>
      </w:r>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Pr>
          <w:p>
            <w:pPr>
              <w:pStyle w:val="yTable"/>
              <w:spacing w:before="0"/>
              <w:ind w:right="-108"/>
              <w:rPr>
                <w:b/>
                <w:sz w:val="20"/>
              </w:rPr>
            </w:pPr>
          </w:p>
        </w:tc>
        <w:tc>
          <w:tcPr>
            <w:tcW w:w="5662" w:type="dxa"/>
            <w:gridSpan w:val="2"/>
            <w:tcBorders>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ScheduleHeading"/>
      </w:pPr>
      <w:bookmarkStart w:id="56" w:name="_Toc107803050"/>
      <w:bookmarkStart w:id="57" w:name="_Toc146604640"/>
      <w:bookmarkStart w:id="58" w:name="_Toc146686452"/>
      <w:bookmarkStart w:id="59" w:name="_Toc148497717"/>
      <w:bookmarkStart w:id="60" w:name="_Toc148500092"/>
      <w:bookmarkStart w:id="61" w:name="_Toc149356153"/>
      <w:bookmarkStart w:id="62" w:name="_Toc149383417"/>
      <w:bookmarkStart w:id="63" w:name="_Toc149452858"/>
      <w:bookmarkStart w:id="64" w:name="_Toc152057227"/>
      <w:r>
        <w:rPr>
          <w:rStyle w:val="CharSchNo"/>
        </w:rPr>
        <w:t>Schedule 2</w:t>
      </w:r>
      <w:bookmarkEnd w:id="56"/>
      <w:bookmarkEnd w:id="57"/>
      <w:bookmarkEnd w:id="58"/>
      <w:bookmarkEnd w:id="59"/>
      <w:bookmarkEnd w:id="60"/>
      <w:bookmarkEnd w:id="61"/>
      <w:bookmarkEnd w:id="62"/>
      <w:bookmarkEnd w:id="63"/>
      <w:bookmarkEnd w:id="64"/>
      <w:r>
        <w:rPr>
          <w:rStyle w:val="CharSchText"/>
        </w:rPr>
        <w:t xml:space="preserve"> </w:t>
      </w:r>
    </w:p>
    <w:p>
      <w:pPr>
        <w:pStyle w:val="yShoulderClause"/>
      </w:pPr>
      <w:r>
        <w:t>[r. 16]</w:t>
      </w:r>
    </w:p>
    <w:p>
      <w:pPr>
        <w:pStyle w:val="yFootnoteheading"/>
        <w:spacing w:after="8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pPr>
            <w:r>
              <w:rPr>
                <w:spacing w:val="-4"/>
              </w:rPr>
              <w:t>Application for approval of purpose of an association under section 4(1)(f) ..........................................................................</w:t>
            </w:r>
          </w:p>
        </w:tc>
        <w:tc>
          <w:tcPr>
            <w:tcW w:w="992" w:type="dxa"/>
          </w:tcPr>
          <w:p>
            <w:pPr>
              <w:pStyle w:val="yTable"/>
              <w:jc w:val="right"/>
            </w:pPr>
            <w:r>
              <w:br/>
              <w:t>$32.50</w:t>
            </w:r>
          </w:p>
        </w:tc>
      </w:tr>
      <w:tr>
        <w:trPr>
          <w:cantSplit/>
        </w:trPr>
        <w:tc>
          <w:tcPr>
            <w:tcW w:w="960" w:type="dxa"/>
          </w:tcPr>
          <w:p>
            <w:pPr>
              <w:pStyle w:val="yTable"/>
            </w:pPr>
            <w:r>
              <w:t>2.</w:t>
            </w:r>
          </w:p>
        </w:tc>
        <w:tc>
          <w:tcPr>
            <w:tcW w:w="5256" w:type="dxa"/>
          </w:tcPr>
          <w:p>
            <w:pPr>
              <w:pStyle w:val="yTable"/>
            </w:pPr>
            <w:r>
              <w:t>Application for incorporation of an association under section 5(1) ...............................................</w:t>
            </w:r>
            <w:r>
              <w:rPr>
                <w:spacing w:val="-4"/>
              </w:rPr>
              <w:t>..........................</w:t>
            </w:r>
          </w:p>
        </w:tc>
        <w:tc>
          <w:tcPr>
            <w:tcW w:w="992" w:type="dxa"/>
          </w:tcPr>
          <w:p>
            <w:pPr>
              <w:pStyle w:val="yTable"/>
              <w:jc w:val="right"/>
            </w:pPr>
            <w:r>
              <w:br/>
              <w:t>$108.00</w:t>
            </w:r>
          </w:p>
        </w:tc>
      </w:tr>
      <w:tr>
        <w:trPr>
          <w:cantSplit/>
        </w:trPr>
        <w:tc>
          <w:tcPr>
            <w:tcW w:w="960" w:type="dxa"/>
          </w:tcPr>
          <w:p>
            <w:pPr>
              <w:pStyle w:val="yTable"/>
            </w:pPr>
            <w:r>
              <w:t>4.</w:t>
            </w:r>
          </w:p>
        </w:tc>
        <w:tc>
          <w:tcPr>
            <w:tcW w:w="5256" w:type="dxa"/>
          </w:tcPr>
          <w:p>
            <w:pPr>
              <w:pStyle w:val="yTable"/>
              <w:tabs>
                <w:tab w:val="left" w:pos="175"/>
                <w:tab w:val="left" w:pos="742"/>
              </w:tabs>
              <w:ind w:left="742" w:hanging="566"/>
            </w:pPr>
            <w:r>
              <w:t>(a)</w:t>
            </w:r>
            <w:r>
              <w:tab/>
              <w:t xml:space="preserve">Lodgment of notice of special resolution setting out particulars of alteration of rules of an association under section 17 </w:t>
            </w:r>
            <w:r>
              <w:rPr>
                <w:spacing w:val="-4"/>
              </w:rPr>
              <w:t>.................................</w:t>
            </w:r>
          </w:p>
          <w:p>
            <w:pPr>
              <w:pStyle w:val="yTable"/>
              <w:tabs>
                <w:tab w:val="left" w:pos="175"/>
                <w:tab w:val="left" w:pos="742"/>
              </w:tabs>
              <w:ind w:left="742" w:hanging="567"/>
            </w:pPr>
            <w:r>
              <w:t>(b)</w:t>
            </w:r>
            <w:r>
              <w:tab/>
              <w:t xml:space="preserve">Where alteration of rules has effect to change name of an association, on approval of change of name and issue of certificate of incorporation on change of name under section 18(6) </w:t>
            </w:r>
            <w:r>
              <w:rPr>
                <w:spacing w:val="-4"/>
              </w:rPr>
              <w:t>.........</w:t>
            </w:r>
            <w:r>
              <w:t>.....</w:t>
            </w:r>
          </w:p>
          <w:p>
            <w:pPr>
              <w:pStyle w:val="yTable"/>
              <w:tabs>
                <w:tab w:val="left" w:pos="175"/>
                <w:tab w:val="left" w:pos="742"/>
              </w:tabs>
              <w:ind w:left="742" w:hanging="567"/>
            </w:pPr>
            <w:r>
              <w:t>(c)</w:t>
            </w:r>
            <w:r>
              <w:tab/>
              <w:t>Where alteration of rules has effect to change objects or purposes of an association, on approval of the alteration under section 19 .........</w:t>
            </w:r>
          </w:p>
        </w:tc>
        <w:tc>
          <w:tcPr>
            <w:tcW w:w="992" w:type="dxa"/>
          </w:tcPr>
          <w:p>
            <w:pPr>
              <w:pStyle w:val="yTable"/>
              <w:jc w:val="right"/>
            </w:pPr>
            <w:r>
              <w:br/>
            </w:r>
            <w:r>
              <w:br/>
              <w:t>$18.00</w:t>
            </w:r>
          </w:p>
          <w:p>
            <w:pPr>
              <w:pStyle w:val="yTable"/>
              <w:jc w:val="right"/>
            </w:pPr>
            <w:r>
              <w:br/>
            </w:r>
            <w:r>
              <w:br/>
            </w:r>
            <w:r>
              <w:br/>
              <w:t>$18.00</w:t>
            </w:r>
          </w:p>
          <w:p>
            <w:pPr>
              <w:pStyle w:val="yTable"/>
              <w:jc w:val="right"/>
            </w:pPr>
            <w:r>
              <w:br/>
            </w:r>
            <w:r>
              <w:br/>
              <w:t>$18.00</w:t>
            </w:r>
          </w:p>
        </w:tc>
      </w:tr>
      <w:tr>
        <w:trPr>
          <w:cantSplit/>
        </w:trPr>
        <w:tc>
          <w:tcPr>
            <w:tcW w:w="960" w:type="dxa"/>
          </w:tcPr>
          <w:p>
            <w:pPr>
              <w:pStyle w:val="yTable"/>
            </w:pPr>
            <w:r>
              <w:rPr>
                <w:sz w:val="24"/>
              </w:rPr>
              <w:br w:type="page"/>
            </w:r>
            <w:r>
              <w:br w:type="page"/>
              <w:t>5.</w:t>
            </w:r>
          </w:p>
        </w:tc>
        <w:tc>
          <w:tcPr>
            <w:tcW w:w="5256" w:type="dxa"/>
          </w:tcPr>
          <w:p>
            <w:pPr>
              <w:pStyle w:val="yTable"/>
              <w:ind w:right="34"/>
            </w:pPr>
            <w:r>
              <w:t>Lodgment of application for extension of period for holding an annual general meeting under section 23(1)...</w:t>
            </w:r>
          </w:p>
        </w:tc>
        <w:tc>
          <w:tcPr>
            <w:tcW w:w="992" w:type="dxa"/>
          </w:tcPr>
          <w:p>
            <w:pPr>
              <w:pStyle w:val="yTable"/>
              <w:jc w:val="right"/>
            </w:pPr>
            <w:r>
              <w:br/>
              <w:t>$32.50</w:t>
            </w:r>
          </w:p>
        </w:tc>
      </w:tr>
      <w:tr>
        <w:trPr>
          <w:cantSplit/>
        </w:trPr>
        <w:tc>
          <w:tcPr>
            <w:tcW w:w="960" w:type="dxa"/>
          </w:tcPr>
          <w:p>
            <w:pPr>
              <w:pStyle w:val="yTable"/>
            </w:pPr>
            <w:r>
              <w:t>6.</w:t>
            </w:r>
          </w:p>
        </w:tc>
        <w:tc>
          <w:tcPr>
            <w:tcW w:w="5256" w:type="dxa"/>
          </w:tcPr>
          <w:p>
            <w:pPr>
              <w:pStyle w:val="yTable"/>
            </w:pPr>
            <w:r>
              <w:t>Lodgment of application for approval of variation of provisions of rules of an association relating to distribution of surplus property upon winding up under section 33(4) .....................................................................</w:t>
            </w:r>
          </w:p>
        </w:tc>
        <w:tc>
          <w:tcPr>
            <w:tcW w:w="992" w:type="dxa"/>
          </w:tcPr>
          <w:p>
            <w:pPr>
              <w:pStyle w:val="yTable"/>
              <w:jc w:val="right"/>
            </w:pPr>
            <w:r>
              <w:br/>
            </w:r>
            <w:r>
              <w:br/>
            </w:r>
            <w:r>
              <w:br/>
              <w:t>$32.50</w:t>
            </w:r>
          </w:p>
        </w:tc>
      </w:tr>
      <w:tr>
        <w:trPr>
          <w:cantSplit/>
        </w:trPr>
        <w:tc>
          <w:tcPr>
            <w:tcW w:w="960" w:type="dxa"/>
          </w:tcPr>
          <w:p>
            <w:pPr>
              <w:pStyle w:val="yTable"/>
            </w:pPr>
            <w:r>
              <w:t>7.</w:t>
            </w:r>
          </w:p>
        </w:tc>
        <w:tc>
          <w:tcPr>
            <w:tcW w:w="5256" w:type="dxa"/>
          </w:tcPr>
          <w:p>
            <w:pPr>
              <w:pStyle w:val="yTable"/>
              <w:rPr>
                <w:spacing w:val="-4"/>
              </w:rPr>
            </w:pPr>
            <w:r>
              <w:rPr>
                <w:spacing w:val="-4"/>
              </w:rPr>
              <w:t>Lodgment of distribution plan under section 33(6) ...</w:t>
            </w:r>
          </w:p>
        </w:tc>
        <w:tc>
          <w:tcPr>
            <w:tcW w:w="992" w:type="dxa"/>
          </w:tcPr>
          <w:p>
            <w:pPr>
              <w:pStyle w:val="yTable"/>
              <w:jc w:val="right"/>
            </w:pPr>
            <w:r>
              <w:t>$32.50</w:t>
            </w:r>
          </w:p>
        </w:tc>
      </w:tr>
      <w:tr>
        <w:trPr>
          <w:cantSplit/>
        </w:trPr>
        <w:tc>
          <w:tcPr>
            <w:tcW w:w="960" w:type="dxa"/>
          </w:tcPr>
          <w:p>
            <w:pPr>
              <w:pStyle w:val="yTable"/>
            </w:pPr>
            <w:r>
              <w:t>8.</w:t>
            </w:r>
          </w:p>
        </w:tc>
        <w:tc>
          <w:tcPr>
            <w:tcW w:w="5256" w:type="dxa"/>
          </w:tcPr>
          <w:p>
            <w:pPr>
              <w:pStyle w:val="yTable"/>
            </w:pPr>
            <w:r>
              <w:t>Inspection of document lodged with Commissioner under section 37(2)(a) .................</w:t>
            </w:r>
            <w:r>
              <w:rPr>
                <w:spacing w:val="-4"/>
              </w:rPr>
              <w:t>.....................................</w:t>
            </w:r>
            <w:r>
              <w:t>...</w:t>
            </w:r>
          </w:p>
        </w:tc>
        <w:tc>
          <w:tcPr>
            <w:tcW w:w="992" w:type="dxa"/>
          </w:tcPr>
          <w:p>
            <w:pPr>
              <w:pStyle w:val="yTable"/>
              <w:jc w:val="right"/>
            </w:pPr>
            <w:r>
              <w:br/>
              <w:t>$6.75</w:t>
            </w:r>
          </w:p>
        </w:tc>
      </w:tr>
      <w:tr>
        <w:tc>
          <w:tcPr>
            <w:tcW w:w="960" w:type="dxa"/>
          </w:tcPr>
          <w:p>
            <w:pPr>
              <w:pStyle w:val="yTable"/>
            </w:pPr>
            <w:r>
              <w:rPr>
                <w:sz w:val="24"/>
              </w:rPr>
              <w:br w:type="page"/>
            </w:r>
            <w:r>
              <w:rPr>
                <w:sz w:val="24"/>
              </w:rPr>
              <w:br w:type="page"/>
            </w:r>
            <w:r>
              <w:t>9.</w:t>
            </w:r>
          </w:p>
        </w:tc>
        <w:tc>
          <w:tcPr>
            <w:tcW w:w="5256" w:type="dxa"/>
          </w:tcPr>
          <w:p>
            <w:pPr>
              <w:pStyle w:val="yTable"/>
              <w:ind w:left="34"/>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Pr>
          <w:p>
            <w:pPr>
              <w:pStyle w:val="yTable"/>
            </w:pPr>
          </w:p>
        </w:tc>
        <w:tc>
          <w:tcPr>
            <w:tcW w:w="5256" w:type="dxa"/>
          </w:tcPr>
          <w:p>
            <w:pPr>
              <w:pStyle w:val="yTable"/>
              <w:pageBreakBefore/>
              <w:ind w:left="742" w:hanging="567"/>
            </w:pPr>
            <w:r>
              <w:t>(a)</w:t>
            </w:r>
            <w:r>
              <w:tab/>
              <w:t>where fee payable under item 8 for inspection of the document has been paid, for each page ........</w:t>
            </w:r>
          </w:p>
        </w:tc>
        <w:tc>
          <w:tcPr>
            <w:tcW w:w="992" w:type="dxa"/>
          </w:tcPr>
          <w:p>
            <w:pPr>
              <w:pStyle w:val="yTable"/>
              <w:jc w:val="right"/>
            </w:pPr>
            <w:r>
              <w:br/>
              <w:t>$1.40</w:t>
            </w:r>
          </w:p>
        </w:tc>
      </w:tr>
      <w:tr>
        <w:trPr>
          <w:cantSplit/>
        </w:trPr>
        <w:tc>
          <w:tcPr>
            <w:tcW w:w="960" w:type="dxa"/>
          </w:tcPr>
          <w:p>
            <w:pPr>
              <w:pStyle w:val="yTable"/>
            </w:pPr>
          </w:p>
        </w:tc>
        <w:tc>
          <w:tcPr>
            <w:tcW w:w="5256" w:type="dxa"/>
          </w:tcPr>
          <w:p>
            <w:pPr>
              <w:pStyle w:val="yTable"/>
              <w:pageBreakBefore/>
              <w:ind w:left="742" w:hanging="567"/>
            </w:pPr>
            <w:r>
              <w:t>(b)</w:t>
            </w:r>
            <w:r>
              <w:tab/>
              <w:t>where fee payable under item 8 for inspection of the document has not been paid —</w:t>
            </w:r>
          </w:p>
          <w:p>
            <w:pPr>
              <w:pStyle w:val="yTable"/>
              <w:tabs>
                <w:tab w:val="left" w:pos="884"/>
                <w:tab w:val="left" w:pos="1309"/>
              </w:tabs>
            </w:pPr>
            <w:r>
              <w:tab/>
              <w:t>(i)</w:t>
            </w:r>
            <w:r>
              <w:tab/>
              <w:t>for the first page ........................................</w:t>
            </w:r>
          </w:p>
          <w:p>
            <w:pPr>
              <w:pStyle w:val="yTable"/>
              <w:tabs>
                <w:tab w:val="left" w:pos="884"/>
                <w:tab w:val="left" w:pos="1309"/>
              </w:tabs>
            </w:pPr>
            <w:r>
              <w:tab/>
              <w:t>(ii)</w:t>
            </w:r>
            <w:r>
              <w:tab/>
              <w:t>for each additional page ............................</w:t>
            </w:r>
          </w:p>
        </w:tc>
        <w:tc>
          <w:tcPr>
            <w:tcW w:w="992" w:type="dxa"/>
          </w:tcPr>
          <w:p>
            <w:pPr>
              <w:pStyle w:val="yTable"/>
              <w:jc w:val="right"/>
            </w:pPr>
            <w:r>
              <w:br/>
            </w:r>
          </w:p>
          <w:p>
            <w:pPr>
              <w:pStyle w:val="yTable"/>
              <w:jc w:val="right"/>
            </w:pPr>
            <w:r>
              <w:t>$6.75</w:t>
            </w:r>
          </w:p>
          <w:p>
            <w:pPr>
              <w:pStyle w:val="yTable"/>
              <w:jc w:val="right"/>
            </w:pPr>
            <w:r>
              <w:t>$1.40</w:t>
            </w:r>
          </w:p>
        </w:tc>
      </w:tr>
      <w:tr>
        <w:trPr>
          <w:cantSplit/>
        </w:trPr>
        <w:tc>
          <w:tcPr>
            <w:tcW w:w="960" w:type="dxa"/>
          </w:tcPr>
          <w:p>
            <w:pPr>
              <w:pStyle w:val="yTable"/>
            </w:pPr>
            <w:r>
              <w:t>10.</w:t>
            </w:r>
          </w:p>
        </w:tc>
        <w:tc>
          <w:tcPr>
            <w:tcW w:w="5256" w:type="dxa"/>
          </w:tcPr>
          <w:p>
            <w:pPr>
              <w:pStyle w:val="yTable"/>
            </w:pPr>
            <w:r>
              <w:t>Issue of uncertified copy of current rules of an incorporated association lodged with Commissioner .......</w:t>
            </w:r>
          </w:p>
        </w:tc>
        <w:tc>
          <w:tcPr>
            <w:tcW w:w="992" w:type="dxa"/>
          </w:tcPr>
          <w:p>
            <w:pPr>
              <w:pStyle w:val="yTable"/>
              <w:jc w:val="right"/>
            </w:pPr>
            <w:r>
              <w:br/>
              <w:t>$25.50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742"/>
              </w:tabs>
              <w:ind w:firstLine="175"/>
            </w:pPr>
            <w:r>
              <w:t>(a)</w:t>
            </w:r>
            <w:r>
              <w:tab/>
              <w:t>for the first page ..................................................</w:t>
            </w:r>
          </w:p>
          <w:p>
            <w:pPr>
              <w:pStyle w:val="yTable"/>
              <w:ind w:left="742" w:hanging="566"/>
            </w:pPr>
            <w:r>
              <w:t>(b)</w:t>
            </w:r>
            <w:r>
              <w:tab/>
              <w:t>for each additional page ......................................</w:t>
            </w:r>
          </w:p>
        </w:tc>
        <w:tc>
          <w:tcPr>
            <w:tcW w:w="992" w:type="dxa"/>
          </w:tcPr>
          <w:p>
            <w:pPr>
              <w:pStyle w:val="yTable"/>
              <w:jc w:val="right"/>
            </w:pPr>
            <w:r>
              <w:br/>
            </w:r>
          </w:p>
          <w:p>
            <w:pPr>
              <w:pStyle w:val="yTable"/>
              <w:jc w:val="right"/>
            </w:pPr>
            <w:r>
              <w:t>$10.00</w:t>
            </w:r>
          </w:p>
          <w:p>
            <w:pPr>
              <w:pStyle w:val="yTable"/>
              <w:jc w:val="right"/>
            </w:pPr>
            <w:r>
              <w:t>$1.40</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pPr>
            <w:r>
              <w:t>Application for certificate of Commissioner under section 38 ..........................................................................</w:t>
            </w:r>
          </w:p>
        </w:tc>
        <w:tc>
          <w:tcPr>
            <w:tcW w:w="992" w:type="dxa"/>
            <w:tcBorders>
              <w:bottom w:val="single" w:sz="4" w:space="0" w:color="auto"/>
            </w:tcBorders>
          </w:tcPr>
          <w:p>
            <w:pPr>
              <w:pStyle w:val="yTable"/>
              <w:jc w:val="right"/>
            </w:pPr>
            <w:r>
              <w:br/>
              <w:t>$10.00</w:t>
            </w:r>
          </w:p>
        </w:tc>
      </w:tr>
    </w:tbl>
    <w:p>
      <w:pPr>
        <w:pStyle w:val="yFootnotesection"/>
      </w:pPr>
      <w:r>
        <w:tab/>
        <w:t>[Schedule 2 inserted in Gazette 28 Jun 2005 p. 2909-10.]</w:t>
      </w:r>
    </w:p>
    <w:p>
      <w:pPr>
        <w:pStyle w:val="yScheduleHeading"/>
      </w:pPr>
      <w:bookmarkStart w:id="65" w:name="_Toc146604641"/>
      <w:bookmarkStart w:id="66" w:name="_Toc146686453"/>
      <w:bookmarkStart w:id="67" w:name="_Toc148497718"/>
      <w:bookmarkStart w:id="68" w:name="_Toc148500093"/>
      <w:bookmarkStart w:id="69" w:name="_Toc149356154"/>
      <w:bookmarkStart w:id="70" w:name="_Toc149383418"/>
      <w:bookmarkStart w:id="71" w:name="_Toc149452859"/>
      <w:bookmarkStart w:id="72" w:name="_Toc152057228"/>
      <w:r>
        <w:rPr>
          <w:rStyle w:val="CharSchNo"/>
        </w:rPr>
        <w:t>Schedule 3</w:t>
      </w:r>
      <w:r>
        <w:t> — </w:t>
      </w:r>
      <w:r>
        <w:rPr>
          <w:rStyle w:val="CharSchText"/>
        </w:rPr>
        <w:t>Prescribed offences and modified penalties</w:t>
      </w:r>
      <w:bookmarkEnd w:id="65"/>
      <w:bookmarkEnd w:id="66"/>
      <w:bookmarkEnd w:id="67"/>
      <w:bookmarkEnd w:id="68"/>
      <w:bookmarkEnd w:id="69"/>
      <w:bookmarkEnd w:id="70"/>
      <w:bookmarkEnd w:id="71"/>
      <w:bookmarkEnd w:id="72"/>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pPr>
            <w:r>
              <w:t>Member of committee with pecuniary interest taking part in deliberations or decision ...................</w:t>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pPr>
            <w:r>
              <w:t>Failing to produce records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pPr>
            <w:r>
              <w:t>Unincorporated person using name including “incorporated” .........................................................</w:t>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yFootnotesection"/>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9"/>
      </w:pPr>
      <w:bookmarkStart w:id="73" w:name="_Toc92688710"/>
      <w:bookmarkStart w:id="74" w:name="_Toc92876662"/>
      <w:bookmarkStart w:id="75" w:name="_Toc107803051"/>
      <w:bookmarkStart w:id="76" w:name="_Toc146604642"/>
      <w:bookmarkStart w:id="77" w:name="_Toc146686454"/>
      <w:bookmarkStart w:id="78" w:name="_Toc148497719"/>
      <w:bookmarkStart w:id="79" w:name="_Toc148500094"/>
      <w:bookmarkStart w:id="80" w:name="_Toc149356155"/>
      <w:bookmarkStart w:id="81" w:name="_Toc149383419"/>
      <w:bookmarkStart w:id="82" w:name="_Toc149452860"/>
      <w:bookmarkStart w:id="83" w:name="_Toc152057229"/>
      <w:r>
        <w:t>Notes</w:t>
      </w:r>
      <w:bookmarkEnd w:id="73"/>
      <w:bookmarkEnd w:id="74"/>
      <w:bookmarkEnd w:id="75"/>
      <w:bookmarkEnd w:id="76"/>
      <w:bookmarkEnd w:id="77"/>
      <w:bookmarkEnd w:id="78"/>
      <w:bookmarkEnd w:id="79"/>
      <w:bookmarkEnd w:id="80"/>
      <w:bookmarkEnd w:id="81"/>
      <w:bookmarkEnd w:id="82"/>
      <w:bookmarkEnd w:id="83"/>
    </w:p>
    <w:p>
      <w:pPr>
        <w:pStyle w:val="nSubsection"/>
        <w:rPr>
          <w:snapToGrid w:val="0"/>
        </w:rPr>
      </w:pPr>
      <w:r>
        <w:rPr>
          <w:snapToGrid w:val="0"/>
          <w:vertAlign w:val="superscript"/>
        </w:rPr>
        <w:t>1</w:t>
      </w:r>
      <w:r>
        <w:rPr>
          <w:snapToGrid w:val="0"/>
        </w:rPr>
        <w:tab/>
        <w:t xml:space="preserve">This reprint is a compilation as at 3 November 2006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outlineLvl w:val="9"/>
        <w:rPr>
          <w:snapToGrid w:val="0"/>
        </w:rPr>
      </w:pPr>
      <w:bookmarkStart w:id="84" w:name="_Toc152057230"/>
      <w:r>
        <w:rPr>
          <w:snapToGrid w:val="0"/>
        </w:rPr>
        <w:t>Compilation table</w:t>
      </w:r>
      <w:bookmarkEnd w:id="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bl>
    <w:p>
      <w:pPr>
        <w:pStyle w:val="nSubsection"/>
      </w:pPr>
      <w:r>
        <w:rPr>
          <w:vertAlign w:val="superscript"/>
        </w:rPr>
        <w:t>2</w:t>
      </w:r>
      <w:r>
        <w:tab/>
        <w:t xml:space="preserve">As at the time of this reprint the person designated as the Commissioner for the purposes of the Act is known as the Commissioner for Consumer Protection (see </w:t>
      </w:r>
      <w:r>
        <w:rPr>
          <w:i/>
          <w:iCs/>
        </w:rPr>
        <w:t>Gazette</w:t>
      </w:r>
      <w:r>
        <w:t xml:space="preserve"> 18 August 2006 p. 3372).</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Associations Incorporation Regulations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175"/>
    </w:tblGrid>
    <w:tr>
      <w:trPr>
        <w:cantSplit/>
      </w:trPr>
      <w:tc>
        <w:tcPr>
          <w:tcW w:w="7160"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175"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175" w:type="dxa"/>
        </w:tcPr>
        <w:p>
          <w:pPr>
            <w:pStyle w:val="HeaderNumberRight"/>
          </w:pPr>
          <w:r>
            <w:fldChar w:fldCharType="begin"/>
          </w:r>
          <w:r>
            <w:instrText xml:space="preserve"> styleref CharDivNo </w:instrText>
          </w:r>
          <w:r>
            <w:fldChar w:fldCharType="end"/>
          </w:r>
        </w:p>
      </w:tc>
    </w:tr>
    <w:tr>
      <w:trPr>
        <w:cantSplit/>
      </w:trPr>
      <w:tc>
        <w:tcPr>
          <w:tcW w:w="7160"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624"/>
    <w:docVar w:name="WAFER_20151204150624" w:val="RemoveTrackChanges"/>
    <w:docVar w:name="WAFER_20151204150624_GUID" w:val="cd026e57-5684-4099-91c9-019106defd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3676</Words>
  <Characters>21433</Characters>
  <Application>Microsoft Office Word</Application>
  <DocSecurity>0</DocSecurity>
  <Lines>793</Lines>
  <Paragraphs>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24597</CharactersWithSpaces>
  <SharedDoc>false</SharedDoc>
  <HLinks>
    <vt:vector size="6" baseType="variant">
      <vt:variant>
        <vt:i4>3014716</vt:i4>
      </vt:variant>
      <vt:variant>
        <vt:i4>2734</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1988 - 03-a0-03</dc:title>
  <dc:subject/>
  <dc:creator/>
  <cp:keywords/>
  <dc:description/>
  <cp:lastModifiedBy>svcMRProcess</cp:lastModifiedBy>
  <cp:revision>4</cp:revision>
  <cp:lastPrinted>2006-11-14T01:59:00Z</cp:lastPrinted>
  <dcterms:created xsi:type="dcterms:W3CDTF">2015-12-04T17:18:00Z</dcterms:created>
  <dcterms:modified xsi:type="dcterms:W3CDTF">2015-12-04T17:18:00Z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3</vt:lpwstr>
  </property>
  <property fmtid="{D5CDD505-2E9C-101B-9397-08002B2CF9AE}" pid="6" name="CommencementDate">
    <vt:lpwstr>20061103</vt:lpwstr>
  </property>
  <property fmtid="{D5CDD505-2E9C-101B-9397-08002B2CF9AE}" pid="7" name="AsAtDate">
    <vt:lpwstr>03 Nov 2006</vt:lpwstr>
  </property>
  <property fmtid="{D5CDD505-2E9C-101B-9397-08002B2CF9AE}" pid="8" name="Suffix">
    <vt:lpwstr>03-a0-03</vt:lpwstr>
  </property>
</Properties>
</file>