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Second-hand Dealers Act 1906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Pawnbrokers and Second-hand Dealers Act 1994 </w:t>
      </w:r>
      <w:r>
        <w:rPr>
          <w:color w:val="000000"/>
          <w:sz w:val="22"/>
          <w:szCs w:val="22"/>
        </w:rPr>
        <w:t>s. 99(1) (No. 88 of 1994) as at 1 Apr 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540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5409" w:val="UsedStyles"/>
    <w:docVar w:name="WAFER_20160419085409_GUID" w:val="3b67ea81-a225-4d95-b3df-74332d97bb6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215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Second-hand Dealers Act 1906 - 02-b0-02</dc:title>
  <dc:subject/>
  <dc:creator/>
  <cp:keywords/>
  <dc:description/>
  <cp:lastModifiedBy>svcMRProcess</cp:lastModifiedBy>
  <cp:revision>3</cp:revision>
  <dcterms:created xsi:type="dcterms:W3CDTF">2016-04-19T00:56:00Z</dcterms:created>
  <dcterms:modified xsi:type="dcterms:W3CDTF">2016-04-19T00:56:00Z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Apr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19960401</vt:lpwstr>
  </property>
</Properties>
</file>