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Stock Diseases Act 1895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Stock Diseases (Regulation) Act 1968 </w:t>
      </w:r>
      <w:r>
        <w:rPr>
          <w:color w:val="000000"/>
          <w:sz w:val="22"/>
          <w:szCs w:val="22"/>
        </w:rPr>
        <w:t xml:space="preserve">s. 5 (No. 66 of 1968) as at 1 Aug 1970 (see s. 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24 Jun 1970 p. 1783).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50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508" w:val="UsedStyles"/>
    <w:docVar w:name="WAFER_20160419085508_GUID" w:val="b14265a3-6818-4e44-92c8-f2709a6bb54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232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 Diseases Act 1895 - 01-b0-02</dc:title>
  <dc:subject/>
  <dc:creator/>
  <cp:keywords/>
  <dc:description/>
  <cp:lastModifiedBy>svcMRProcess</cp:lastModifiedBy>
  <cp:revision>3</cp:revision>
  <dcterms:created xsi:type="dcterms:W3CDTF">2016-04-19T00:57:00Z</dcterms:created>
  <dcterms:modified xsi:type="dcterms:W3CDTF">2016-04-19T00:57:00Z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Aug 1970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19700801</vt:lpwstr>
  </property>
</Properties>
</file>