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Truck Act 1899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Industrial Relations Legislation Amendment and Repeal Act 1995</w:t>
      </w:r>
      <w:r>
        <w:rPr>
          <w:color w:val="000000"/>
          <w:sz w:val="22"/>
          <w:szCs w:val="22"/>
        </w:rPr>
        <w:t xml:space="preserve"> s. 66(1) (No. 79 of 1995) as at 18 May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71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712" w:val="UsedStyles"/>
    <w:docVar w:name="WAFER_20160419090712_GUID" w:val="9a142c3e-73df-4e9d-95a8-029d04b7859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219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 Act 1899 - 01-b0-02</dc:title>
  <dc:subject/>
  <dc:creator/>
  <cp:keywords/>
  <dc:description/>
  <cp:lastModifiedBy>svcMRProcess</cp:lastModifiedBy>
  <cp:revision>3</cp:revision>
  <dcterms:created xsi:type="dcterms:W3CDTF">2016-04-19T01:16:00Z</dcterms:created>
  <dcterms:modified xsi:type="dcterms:W3CDTF">2016-04-19T01:16:00Z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18 May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19960518</vt:lpwstr>
  </property>
</Properties>
</file>