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Workers’ Homes Act 1911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State Housing Act 1946 </w:t>
      </w:r>
      <w:r>
        <w:rPr>
          <w:color w:val="000000"/>
          <w:sz w:val="22"/>
          <w:szCs w:val="22"/>
        </w:rPr>
        <w:t>s. 4 (No. 51 of 1946) as at 31 Jan 1947.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90843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90843" w:val="UsedStyles"/>
    <w:docVar w:name="WAFER_20160419090843_GUID" w:val="b707a5cf-ba39-441b-a4f5-37722b7aee5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187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Workers' Homes Act 1911 - 01-b0-02</dc:title>
  <dc:subject/>
  <dc:creator/>
  <cp:keywords/>
  <dc:description/>
  <cp:lastModifiedBy>svcMRProcess</cp:lastModifiedBy>
  <cp:revision>3</cp:revision>
  <dcterms:created xsi:type="dcterms:W3CDTF">2016-04-19T01:24:00Z</dcterms:created>
  <dcterms:modified xsi:type="dcterms:W3CDTF">2016-04-19T01:24:00Z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31 Jan 1947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19470131</vt:lpwstr>
  </property>
</Properties>
</file>