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Bush Fires Act 1902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Bush Fires Act 1937</w:t>
      </w:r>
      <w:r>
        <w:rPr>
          <w:color w:val="000000"/>
          <w:sz w:val="22"/>
          <w:szCs w:val="22"/>
        </w:rPr>
        <w:t xml:space="preserve"> s. 4 (No. 55 of 1937) as at 18 Jan 1938.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273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2734" w:val="UsedStyles"/>
    <w:docVar w:name="WAFER_20160412132734_GUID" w:val="6ef5dfd8-2fd8-4ce3-a7d7-a2e4d6b4113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180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Bush Fires Act 1902 - 01-b0-02</dc:title>
  <dc:subject/>
  <dc:creator/>
  <cp:keywords/>
  <dc:description/>
  <cp:lastModifiedBy>svcMRProcess</cp:lastModifiedBy>
  <cp:revision>3</cp:revision>
  <dcterms:created xsi:type="dcterms:W3CDTF">2016-04-12T05:29:00Z</dcterms:created>
  <dcterms:modified xsi:type="dcterms:W3CDTF">2016-04-12T05:29:00Z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18 Jan 1938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19380118</vt:lpwstr>
  </property>
</Properties>
</file>