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Hire-Purchase Agreements Act 1931</w:t>
      </w:r>
    </w:p>
    <w:p>
      <w:pPr>
        <w:pStyle w:val="NameofActReg"/>
      </w:pP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Hire-Purchase Act 1959</w:t>
      </w:r>
      <w:r>
        <w:rPr>
          <w:color w:val="000000"/>
          <w:sz w:val="22"/>
          <w:szCs w:val="22"/>
        </w:rPr>
        <w:t xml:space="preserve"> s. 1(5) (No. 58 of 1959) as at 31 Mar 1960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25 Oct 1996 p. 5632).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92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929" w:val="UsedStyles"/>
    <w:docVar w:name="WAFER_20160415160929_GUID" w:val="d1e511ea-ae07-4ba8-b0e7-3f859ba354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234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Hire-Purchase Agreements Act 1931 - 03-b0-02</dc:title>
  <dc:subject/>
  <dc:creator/>
  <cp:keywords/>
  <dc:description/>
  <cp:lastModifiedBy>svcMRProcess</cp:lastModifiedBy>
  <cp:revision>3</cp:revision>
  <dcterms:created xsi:type="dcterms:W3CDTF">2016-04-15T08:13:00Z</dcterms:created>
  <dcterms:modified xsi:type="dcterms:W3CDTF">2016-04-15T08:13:00Z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31 Mar 1960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19600331</vt:lpwstr>
  </property>
</Properties>
</file>