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rPr>
          <w:noProof/>
        </w:rPr>
      </w:pPr>
      <w:bookmarkStart w:id="0" w:name="_GoBack"/>
      <w:bookmarkEnd w:id="0"/>
      <w:smartTag w:uri="urn:schemas-microsoft-com:office:smarttags" w:element="place">
        <w:smartTag w:uri="urn:schemas-microsoft-com:office:smarttags" w:element="State">
          <w:r>
            <w:rPr>
              <w:noProof/>
            </w:rPr>
            <w:t>Western Australia</w:t>
          </w:r>
        </w:smartTag>
      </w:smartTag>
    </w:p>
    <w:p>
      <w:pPr>
        <w:pStyle w:val="PrincipalActReg"/>
        <w:spacing w:before="2600" w:after="0"/>
        <w:rPr>
          <w:snapToGrid w:val="0"/>
        </w:rPr>
      </w:pPr>
      <w:r>
        <w:rPr>
          <w:snapToGrid w:val="0"/>
        </w:rPr>
        <w:t>Environmental Protection Act 1986</w:t>
      </w:r>
    </w:p>
    <w:p>
      <w:pPr>
        <w:pStyle w:val="NameofActRegPage1"/>
        <w:spacing w:before="1960" w:after="420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_Toc394657342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 in these regulations</w:t>
      </w:r>
      <w:r>
        <w:tab/>
      </w:r>
      <w:r>
        <w:fldChar w:fldCharType="begin"/>
      </w:r>
      <w:r>
        <w:instrText xml:space="preserve"> PAGEREF _Toc394657343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_Toc394657344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Licensing</w:t>
      </w:r>
    </w:p>
    <w:p>
      <w:pPr>
        <w:pStyle w:val="TOC4"/>
        <w:tabs>
          <w:tab w:val="right" w:leader="dot" w:pos="7086"/>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_Toc394657347 \h </w:instrText>
      </w:r>
      <w:r>
        <w:fldChar w:fldCharType="separate"/>
      </w:r>
      <w:r>
        <w:t>6</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_Toc394657348 \h </w:instrText>
      </w:r>
      <w:r>
        <w:fldChar w:fldCharType="separate"/>
      </w:r>
      <w:r>
        <w:t>6</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_Toc394657349 \h </w:instrText>
      </w:r>
      <w:r>
        <w:fldChar w:fldCharType="separate"/>
      </w:r>
      <w:r>
        <w:t>7</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_Toc394657350 \h </w:instrText>
      </w:r>
      <w:r>
        <w:fldChar w:fldCharType="separate"/>
      </w:r>
      <w:r>
        <w:t>8</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_Toc394657351 \h </w:instrText>
      </w:r>
      <w:r>
        <w:fldChar w:fldCharType="separate"/>
      </w:r>
      <w:r>
        <w:t>9</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_Toc394657352 \h </w:instrText>
      </w:r>
      <w:r>
        <w:fldChar w:fldCharType="separate"/>
      </w:r>
      <w:r>
        <w:t>9</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_Toc394657353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_Toc394657355 \h </w:instrText>
      </w:r>
      <w:r>
        <w:fldChar w:fldCharType="separate"/>
      </w:r>
      <w:r>
        <w:t>11</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_Toc394657356 \h </w:instrText>
      </w:r>
      <w:r>
        <w:fldChar w:fldCharType="separate"/>
      </w:r>
      <w:r>
        <w:t>11</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_Toc394657357 \h </w:instrText>
      </w:r>
      <w:r>
        <w:fldChar w:fldCharType="separate"/>
      </w:r>
      <w:r>
        <w:t>11</w:t>
      </w:r>
      <w:r>
        <w:fldChar w:fldCharType="end"/>
      </w:r>
    </w:p>
    <w:p>
      <w:pPr>
        <w:pStyle w:val="TOC8"/>
        <w:rPr>
          <w:rFonts w:asciiTheme="minorHAnsi" w:eastAsiaTheme="minorEastAsia" w:hAnsiTheme="minorHAnsi" w:cstheme="minorBidi"/>
          <w:szCs w:val="22"/>
        </w:rPr>
      </w:pPr>
      <w:r>
        <w:t>14.</w:t>
      </w:r>
      <w:r>
        <w:tab/>
        <w:t>Employment of unlicensed driver to transport bulk controlled waste</w:t>
      </w:r>
      <w:r>
        <w:tab/>
      </w:r>
      <w:r>
        <w:fldChar w:fldCharType="begin"/>
      </w:r>
      <w:r>
        <w:instrText xml:space="preserve"> PAGEREF _Toc394657358 \h </w:instrText>
      </w:r>
      <w:r>
        <w:fldChar w:fldCharType="separate"/>
      </w:r>
      <w:r>
        <w:t>12</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_Toc394657359 \h </w:instrText>
      </w:r>
      <w:r>
        <w:fldChar w:fldCharType="separate"/>
      </w:r>
      <w:r>
        <w:t>12</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_Toc394657360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_Toc394657362 \h </w:instrText>
      </w:r>
      <w:r>
        <w:fldChar w:fldCharType="separate"/>
      </w:r>
      <w:r>
        <w:t>13</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_Toc394657363 \h </w:instrText>
      </w:r>
      <w:r>
        <w:fldChar w:fldCharType="separate"/>
      </w:r>
      <w:r>
        <w:t>13</w:t>
      </w:r>
      <w:r>
        <w:fldChar w:fldCharType="end"/>
      </w:r>
    </w:p>
    <w:p>
      <w:pPr>
        <w:pStyle w:val="TOC8"/>
        <w:rPr>
          <w:rFonts w:asciiTheme="minorHAnsi" w:eastAsiaTheme="minorEastAsia" w:hAnsiTheme="minorHAnsi" w:cstheme="minorBidi"/>
          <w:szCs w:val="22"/>
        </w:rPr>
      </w:pPr>
      <w:r>
        <w:t>19.</w:t>
      </w:r>
      <w:r>
        <w:tab/>
        <w:t>Driver identification card</w:t>
      </w:r>
      <w:r>
        <w:tab/>
      </w:r>
      <w:r>
        <w:fldChar w:fldCharType="begin"/>
      </w:r>
      <w:r>
        <w:instrText xml:space="preserve"> PAGEREF _Toc394657364 \h </w:instrText>
      </w:r>
      <w:r>
        <w:fldChar w:fldCharType="separate"/>
      </w:r>
      <w:r>
        <w:t>14</w:t>
      </w:r>
      <w:r>
        <w:fldChar w:fldCharType="end"/>
      </w:r>
    </w:p>
    <w:p>
      <w:pPr>
        <w:pStyle w:val="TOC8"/>
        <w:rPr>
          <w:rFonts w:asciiTheme="minorHAnsi" w:eastAsiaTheme="minorEastAsia" w:hAnsiTheme="minorHAnsi" w:cstheme="minorBidi"/>
          <w:szCs w:val="22"/>
        </w:rPr>
      </w:pPr>
      <w:r>
        <w:t>20.</w:t>
      </w:r>
      <w:r>
        <w:tab/>
        <w:t>Recognition of a licence issued in another State or a Territory</w:t>
      </w:r>
      <w:r>
        <w:tab/>
      </w:r>
      <w:r>
        <w:fldChar w:fldCharType="begin"/>
      </w:r>
      <w:r>
        <w:instrText xml:space="preserve"> PAGEREF _Toc394657365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_Toc394657367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_Toc394657368 \h </w:instrText>
      </w:r>
      <w:r>
        <w:fldChar w:fldCharType="separate"/>
      </w:r>
      <w:r>
        <w:t>15</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_Toc394657369 \h </w:instrText>
      </w:r>
      <w:r>
        <w:fldChar w:fldCharType="separate"/>
      </w:r>
      <w:r>
        <w:t>16</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_Toc394657370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5 — Assignment of carrier’s business and transfer of licence</w:t>
      </w:r>
    </w:p>
    <w:p>
      <w:pPr>
        <w:pStyle w:val="TOC8"/>
        <w:rPr>
          <w:rFonts w:asciiTheme="minorHAnsi" w:eastAsiaTheme="minorEastAsia" w:hAnsiTheme="minorHAnsi" w:cstheme="minorBidi"/>
          <w:szCs w:val="22"/>
        </w:rPr>
      </w:pPr>
      <w:r>
        <w:t>25A.</w:t>
      </w:r>
      <w:r>
        <w:tab/>
        <w:t>Terms used</w:t>
      </w:r>
      <w:r>
        <w:tab/>
      </w:r>
      <w:r>
        <w:fldChar w:fldCharType="begin"/>
      </w:r>
      <w:r>
        <w:instrText xml:space="preserve"> PAGEREF _Toc394657372 \h </w:instrText>
      </w:r>
      <w:r>
        <w:fldChar w:fldCharType="separate"/>
      </w:r>
      <w:r>
        <w:t>17</w:t>
      </w:r>
      <w:r>
        <w:fldChar w:fldCharType="end"/>
      </w:r>
    </w:p>
    <w:p>
      <w:pPr>
        <w:pStyle w:val="TOC8"/>
        <w:rPr>
          <w:rFonts w:asciiTheme="minorHAnsi" w:eastAsiaTheme="minorEastAsia" w:hAnsiTheme="minorHAnsi" w:cstheme="minorBidi"/>
          <w:szCs w:val="22"/>
        </w:rPr>
      </w:pPr>
      <w:r>
        <w:t>25B.</w:t>
      </w:r>
      <w:r>
        <w:tab/>
        <w:t>Assignment of carrier’s business</w:t>
      </w:r>
      <w:r>
        <w:tab/>
      </w:r>
      <w:r>
        <w:fldChar w:fldCharType="begin"/>
      </w:r>
      <w:r>
        <w:instrText xml:space="preserve"> PAGEREF _Toc394657373 \h </w:instrText>
      </w:r>
      <w:r>
        <w:fldChar w:fldCharType="separate"/>
      </w:r>
      <w:r>
        <w:t>17</w:t>
      </w:r>
      <w:r>
        <w:fldChar w:fldCharType="end"/>
      </w:r>
    </w:p>
    <w:p>
      <w:pPr>
        <w:pStyle w:val="TOC8"/>
        <w:rPr>
          <w:rFonts w:asciiTheme="minorHAnsi" w:eastAsiaTheme="minorEastAsia" w:hAnsiTheme="minorHAnsi" w:cstheme="minorBidi"/>
          <w:szCs w:val="22"/>
        </w:rPr>
      </w:pPr>
      <w:r>
        <w:t>25C.</w:t>
      </w:r>
      <w:r>
        <w:tab/>
        <w:t>Transfer of licence</w:t>
      </w:r>
      <w:r>
        <w:tab/>
      </w:r>
      <w:r>
        <w:fldChar w:fldCharType="begin"/>
      </w:r>
      <w:r>
        <w:instrText xml:space="preserve"> PAGEREF _Toc394657374 \h </w:instrText>
      </w:r>
      <w:r>
        <w:fldChar w:fldCharType="separate"/>
      </w:r>
      <w:r>
        <w:t>17</w:t>
      </w:r>
      <w:r>
        <w:fldChar w:fldCharType="end"/>
      </w:r>
    </w:p>
    <w:p>
      <w:pPr>
        <w:pStyle w:val="TOC8"/>
        <w:rPr>
          <w:rFonts w:asciiTheme="minorHAnsi" w:eastAsiaTheme="minorEastAsia" w:hAnsiTheme="minorHAnsi" w:cstheme="minorBidi"/>
          <w:szCs w:val="22"/>
        </w:rPr>
      </w:pPr>
      <w:r>
        <w:t>25D.</w:t>
      </w:r>
      <w:r>
        <w:tab/>
        <w:t>Validity of transferred licence</w:t>
      </w:r>
      <w:r>
        <w:tab/>
      </w:r>
      <w:r>
        <w:fldChar w:fldCharType="begin"/>
      </w:r>
      <w:r>
        <w:instrText xml:space="preserve"> PAGEREF _Toc394657375 \h </w:instrText>
      </w:r>
      <w:r>
        <w:fldChar w:fldCharType="separate"/>
      </w:r>
      <w:r>
        <w:t>18</w:t>
      </w:r>
      <w:r>
        <w:fldChar w:fldCharType="end"/>
      </w:r>
    </w:p>
    <w:p>
      <w:pPr>
        <w:pStyle w:val="TOC8"/>
        <w:rPr>
          <w:rFonts w:asciiTheme="minorHAnsi" w:eastAsiaTheme="minorEastAsia" w:hAnsiTheme="minorHAnsi" w:cstheme="minorBidi"/>
          <w:szCs w:val="22"/>
        </w:rPr>
      </w:pPr>
      <w:r>
        <w:t>25E.</w:t>
      </w:r>
      <w:r>
        <w:tab/>
        <w:t>Transitional</w:t>
      </w:r>
      <w:r>
        <w:tab/>
      </w:r>
      <w:r>
        <w:fldChar w:fldCharType="begin"/>
      </w:r>
      <w:r>
        <w:instrText xml:space="preserve"> PAGEREF _Toc394657376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Transportation and unloading of a controlled waste</w:t>
      </w:r>
    </w:p>
    <w:p>
      <w:pPr>
        <w:pStyle w:val="TOC4"/>
        <w:tabs>
          <w:tab w:val="right" w:leader="dot" w:pos="7086"/>
        </w:tabs>
        <w:rPr>
          <w:rFonts w:asciiTheme="minorHAnsi" w:eastAsiaTheme="minorEastAsia" w:hAnsiTheme="minorHAnsi" w:cstheme="minorBidi"/>
          <w:b w:val="0"/>
          <w:szCs w:val="22"/>
        </w:rPr>
      </w:pPr>
      <w:r>
        <w:t>Division 1 — Waste holder’s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_Toc394657379 \h </w:instrText>
      </w:r>
      <w:r>
        <w:fldChar w:fldCharType="separate"/>
      </w:r>
      <w:r>
        <w:t>20</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_Toc394657380 \h </w:instrText>
      </w:r>
      <w:r>
        <w:fldChar w:fldCharType="separate"/>
      </w:r>
      <w:r>
        <w:t>21</w:t>
      </w:r>
      <w:r>
        <w:fldChar w:fldCharType="end"/>
      </w:r>
    </w:p>
    <w:p>
      <w:pPr>
        <w:pStyle w:val="TOC8"/>
        <w:rPr>
          <w:rFonts w:asciiTheme="minorHAnsi" w:eastAsiaTheme="minorEastAsia" w:hAnsiTheme="minorHAnsi" w:cstheme="minorBidi"/>
          <w:szCs w:val="22"/>
        </w:rPr>
      </w:pPr>
      <w:r>
        <w:t>27.</w:t>
      </w:r>
      <w:r>
        <w:tab/>
        <w:t>Directions to transport controlled waste to waste facility</w:t>
      </w:r>
      <w:r>
        <w:tab/>
      </w:r>
      <w:r>
        <w:fldChar w:fldCharType="begin"/>
      </w:r>
      <w:r>
        <w:instrText xml:space="preserve"> PAGEREF _Toc394657381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form required to transport controlled waste</w:t>
      </w:r>
      <w:r>
        <w:tab/>
      </w:r>
      <w:r>
        <w:fldChar w:fldCharType="begin"/>
      </w:r>
      <w:r>
        <w:instrText xml:space="preserve"> PAGEREF _Toc394657383 \h </w:instrText>
      </w:r>
      <w:r>
        <w:fldChar w:fldCharType="separate"/>
      </w:r>
      <w:r>
        <w:t>22</w:t>
      </w:r>
      <w:r>
        <w:fldChar w:fldCharType="end"/>
      </w:r>
    </w:p>
    <w:p>
      <w:pPr>
        <w:pStyle w:val="TOC8"/>
        <w:rPr>
          <w:rFonts w:asciiTheme="minorHAnsi" w:eastAsiaTheme="minorEastAsia" w:hAnsiTheme="minorHAnsi" w:cstheme="minorBidi"/>
          <w:szCs w:val="22"/>
        </w:rPr>
      </w:pPr>
      <w:r>
        <w:t>29.</w:t>
      </w:r>
      <w:r>
        <w:tab/>
        <w:t>Obligations of carrier as to the transportation of a controlled waste</w:t>
      </w:r>
      <w:r>
        <w:tab/>
      </w:r>
      <w:r>
        <w:fldChar w:fldCharType="begin"/>
      </w:r>
      <w:r>
        <w:instrText xml:space="preserve"> PAGEREF _Toc394657384 \h </w:instrText>
      </w:r>
      <w:r>
        <w:fldChar w:fldCharType="separate"/>
      </w:r>
      <w:r>
        <w:t>22</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a controlled waste</w:t>
      </w:r>
      <w:r>
        <w:tab/>
      </w:r>
      <w:r>
        <w:fldChar w:fldCharType="begin"/>
      </w:r>
      <w:r>
        <w:instrText xml:space="preserve"> PAGEREF _Toc394657385 \h </w:instrText>
      </w:r>
      <w:r>
        <w:fldChar w:fldCharType="separate"/>
      </w:r>
      <w:r>
        <w:t>23</w:t>
      </w:r>
      <w:r>
        <w:fldChar w:fldCharType="end"/>
      </w:r>
    </w:p>
    <w:p>
      <w:pPr>
        <w:pStyle w:val="TOC8"/>
        <w:rPr>
          <w:rFonts w:asciiTheme="minorHAnsi" w:eastAsiaTheme="minorEastAsia" w:hAnsiTheme="minorHAnsi" w:cstheme="minorBidi"/>
          <w:szCs w:val="22"/>
        </w:rPr>
      </w:pPr>
      <w:r>
        <w:t>31A.</w:t>
      </w:r>
      <w:r>
        <w:tab/>
        <w:t>Obligations of carrier as to transportation of anything other than controlled waste in licensed vehicle or tank</w:t>
      </w:r>
      <w:r>
        <w:tab/>
      </w:r>
      <w:r>
        <w:fldChar w:fldCharType="begin"/>
      </w:r>
      <w:r>
        <w:instrText xml:space="preserve"> PAGEREF _Toc394657386 \h </w:instrText>
      </w:r>
      <w:r>
        <w:fldChar w:fldCharType="separate"/>
      </w:r>
      <w:r>
        <w:t>23</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_Toc394657387 \h </w:instrText>
      </w:r>
      <w:r>
        <w:fldChar w:fldCharType="separate"/>
      </w:r>
      <w:r>
        <w:t>24</w:t>
      </w:r>
      <w:r>
        <w:fldChar w:fldCharType="end"/>
      </w:r>
    </w:p>
    <w:p>
      <w:pPr>
        <w:pStyle w:val="TOC8"/>
        <w:rPr>
          <w:rFonts w:asciiTheme="minorHAnsi" w:eastAsiaTheme="minorEastAsia" w:hAnsiTheme="minorHAnsi" w:cstheme="minorBidi"/>
          <w:szCs w:val="22"/>
        </w:rPr>
      </w:pPr>
      <w:r>
        <w:t>32A.</w:t>
      </w:r>
      <w:r>
        <w:tab/>
        <w:t>Obligations of carrier as to controlled waste tracking form information</w:t>
      </w:r>
      <w:r>
        <w:tab/>
      </w:r>
      <w:r>
        <w:fldChar w:fldCharType="begin"/>
      </w:r>
      <w:r>
        <w:instrText xml:space="preserve"> PAGEREF _Toc394657388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a controlled waste</w:t>
      </w:r>
      <w:r>
        <w:tab/>
      </w:r>
      <w:r>
        <w:fldChar w:fldCharType="begin"/>
      </w:r>
      <w:r>
        <w:instrText xml:space="preserve"> PAGEREF _Toc394657390 \h </w:instrText>
      </w:r>
      <w:r>
        <w:fldChar w:fldCharType="separate"/>
      </w:r>
      <w:r>
        <w:t>25</w:t>
      </w:r>
      <w:r>
        <w:fldChar w:fldCharType="end"/>
      </w:r>
    </w:p>
    <w:p>
      <w:pPr>
        <w:pStyle w:val="TOC8"/>
        <w:rPr>
          <w:rFonts w:asciiTheme="minorHAnsi" w:eastAsiaTheme="minorEastAsia" w:hAnsiTheme="minorHAnsi" w:cstheme="minorBidi"/>
          <w:szCs w:val="22"/>
        </w:rPr>
      </w:pPr>
      <w:r>
        <w:t>33.</w:t>
      </w:r>
      <w:r>
        <w:tab/>
        <w:t>Obligations of drivers as to vehicles or tanks used to transport a controlled waste</w:t>
      </w:r>
      <w:r>
        <w:tab/>
      </w:r>
      <w:r>
        <w:fldChar w:fldCharType="begin"/>
      </w:r>
      <w:r>
        <w:instrText xml:space="preserve"> PAGEREF _Toc394657391 \h </w:instrText>
      </w:r>
      <w:r>
        <w:fldChar w:fldCharType="separate"/>
      </w:r>
      <w:r>
        <w:t>25</w:t>
      </w:r>
      <w:r>
        <w:fldChar w:fldCharType="end"/>
      </w:r>
    </w:p>
    <w:p>
      <w:pPr>
        <w:pStyle w:val="TOC8"/>
        <w:rPr>
          <w:rFonts w:asciiTheme="minorHAnsi" w:eastAsiaTheme="minorEastAsia" w:hAnsiTheme="minorHAnsi" w:cstheme="minorBidi"/>
          <w:szCs w:val="22"/>
        </w:rPr>
      </w:pPr>
      <w:r>
        <w:t>34.</w:t>
      </w:r>
      <w:r>
        <w:tab/>
        <w:t>Obligations of drivers as to transportation of anything other than controlled waste in licensed vehicle or tank</w:t>
      </w:r>
      <w:r>
        <w:tab/>
      </w:r>
      <w:r>
        <w:fldChar w:fldCharType="begin"/>
      </w:r>
      <w:r>
        <w:instrText xml:space="preserve"> PAGEREF _Toc394657392 \h </w:instrText>
      </w:r>
      <w:r>
        <w:fldChar w:fldCharType="separate"/>
      </w:r>
      <w:r>
        <w:t>25</w:t>
      </w:r>
      <w:r>
        <w:fldChar w:fldCharType="end"/>
      </w:r>
    </w:p>
    <w:p>
      <w:pPr>
        <w:pStyle w:val="TOC8"/>
        <w:rPr>
          <w:rFonts w:asciiTheme="minorHAnsi" w:eastAsiaTheme="minorEastAsia" w:hAnsiTheme="minorHAnsi" w:cstheme="minorBidi"/>
          <w:szCs w:val="22"/>
        </w:rPr>
      </w:pPr>
      <w:r>
        <w:t>35.</w:t>
      </w:r>
      <w:r>
        <w:tab/>
        <w:t>Obligations of driver to provide a receipt</w:t>
      </w:r>
      <w:r>
        <w:tab/>
      </w:r>
      <w:r>
        <w:fldChar w:fldCharType="begin"/>
      </w:r>
      <w:r>
        <w:instrText xml:space="preserve"> PAGEREF _Toc394657393 \h </w:instrText>
      </w:r>
      <w:r>
        <w:fldChar w:fldCharType="separate"/>
      </w:r>
      <w:r>
        <w:t>26</w:t>
      </w:r>
      <w:r>
        <w:fldChar w:fldCharType="end"/>
      </w:r>
    </w:p>
    <w:p>
      <w:pPr>
        <w:pStyle w:val="TOC4"/>
        <w:tabs>
          <w:tab w:val="right" w:leader="dot" w:pos="7086"/>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_Toc394657395 \h </w:instrText>
      </w:r>
      <w:r>
        <w:fldChar w:fldCharType="separate"/>
      </w:r>
      <w:r>
        <w:t>26</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_Toc394657396 \h </w:instrText>
      </w:r>
      <w:r>
        <w:fldChar w:fldCharType="separate"/>
      </w:r>
      <w:r>
        <w:t>28</w:t>
      </w:r>
      <w:r>
        <w:fldChar w:fldCharType="end"/>
      </w:r>
    </w:p>
    <w:p>
      <w:pPr>
        <w:pStyle w:val="TOC8"/>
        <w:rPr>
          <w:rFonts w:asciiTheme="minorHAnsi" w:eastAsiaTheme="minorEastAsia" w:hAnsiTheme="minorHAnsi" w:cstheme="minorBidi"/>
          <w:szCs w:val="22"/>
        </w:rPr>
      </w:pPr>
      <w:r>
        <w:t>38.</w:t>
      </w:r>
      <w:r>
        <w:tab/>
        <w:t>CEO to ensure each controlled waste tracking form has unique number</w:t>
      </w:r>
      <w:r>
        <w:tab/>
      </w:r>
      <w:r>
        <w:fldChar w:fldCharType="begin"/>
      </w:r>
      <w:r>
        <w:instrText xml:space="preserve"> PAGEREF _Toc394657397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5 — Unloading controlled waste</w:t>
      </w:r>
    </w:p>
    <w:p>
      <w:pPr>
        <w:pStyle w:val="TOC8"/>
        <w:rPr>
          <w:rFonts w:asciiTheme="minorHAnsi" w:eastAsiaTheme="minorEastAsia" w:hAnsiTheme="minorHAnsi" w:cstheme="minorBidi"/>
          <w:szCs w:val="22"/>
        </w:rPr>
      </w:pPr>
      <w:r>
        <w:t>39.</w:t>
      </w:r>
      <w:r>
        <w:tab/>
        <w:t>Obligations as to unloading controlled waste</w:t>
      </w:r>
      <w:r>
        <w:tab/>
      </w:r>
      <w:r>
        <w:fldChar w:fldCharType="begin"/>
      </w:r>
      <w:r>
        <w:instrText xml:space="preserve"> PAGEREF _Toc394657399 \h </w:instrText>
      </w:r>
      <w:r>
        <w:fldChar w:fldCharType="separate"/>
      </w:r>
      <w:r>
        <w:t>28</w:t>
      </w:r>
      <w:r>
        <w:fldChar w:fldCharType="end"/>
      </w:r>
    </w:p>
    <w:p>
      <w:pPr>
        <w:pStyle w:val="TOC8"/>
        <w:rPr>
          <w:rFonts w:asciiTheme="minorHAnsi" w:eastAsiaTheme="minorEastAsia" w:hAnsiTheme="minorHAnsi" w:cstheme="minorBidi"/>
          <w:szCs w:val="22"/>
        </w:rPr>
      </w:pPr>
      <w:r>
        <w:t>40.</w:t>
      </w:r>
      <w:r>
        <w:tab/>
        <w:t>Procedure on unloading a controlled waste</w:t>
      </w:r>
      <w:r>
        <w:tab/>
      </w:r>
      <w:r>
        <w:fldChar w:fldCharType="begin"/>
      </w:r>
      <w:r>
        <w:instrText xml:space="preserve"> PAGEREF _Toc394657400 \h </w:instrText>
      </w:r>
      <w:r>
        <w:fldChar w:fldCharType="separate"/>
      </w:r>
      <w:r>
        <w:t>30</w:t>
      </w:r>
      <w:r>
        <w:fldChar w:fldCharType="end"/>
      </w:r>
    </w:p>
    <w:p>
      <w:pPr>
        <w:pStyle w:val="TOC8"/>
        <w:rPr>
          <w:rFonts w:asciiTheme="minorHAnsi" w:eastAsiaTheme="minorEastAsia" w:hAnsiTheme="minorHAnsi" w:cstheme="minorBidi"/>
          <w:szCs w:val="22"/>
        </w:rPr>
      </w:pPr>
      <w:r>
        <w:t>41A.</w:t>
      </w:r>
      <w:r>
        <w:tab/>
        <w:t>Carrier to provide CEO with copy of controlled waste tracking form</w:t>
      </w:r>
      <w:r>
        <w:tab/>
      </w:r>
      <w:r>
        <w:fldChar w:fldCharType="begin"/>
      </w:r>
      <w:r>
        <w:instrText xml:space="preserve"> PAGEREF _Toc394657401 \h </w:instrText>
      </w:r>
      <w:r>
        <w:fldChar w:fldCharType="separate"/>
      </w:r>
      <w:r>
        <w:t>31</w:t>
      </w:r>
      <w:r>
        <w:fldChar w:fldCharType="end"/>
      </w:r>
    </w:p>
    <w:p>
      <w:pPr>
        <w:pStyle w:val="TOC8"/>
        <w:rPr>
          <w:rFonts w:asciiTheme="minorHAnsi" w:eastAsiaTheme="minorEastAsia" w:hAnsiTheme="minorHAnsi" w:cstheme="minorBidi"/>
          <w:szCs w:val="22"/>
        </w:rPr>
      </w:pPr>
      <w:r>
        <w:t>41.</w:t>
      </w:r>
      <w:r>
        <w:tab/>
        <w:t>Obligations of occupier of waste facility</w:t>
      </w:r>
      <w:r>
        <w:tab/>
      </w:r>
      <w:r>
        <w:fldChar w:fldCharType="begin"/>
      </w:r>
      <w:r>
        <w:instrText xml:space="preserve"> PAGEREF _Toc394657402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_Toc394657404 \h </w:instrText>
      </w:r>
      <w:r>
        <w:fldChar w:fldCharType="separate"/>
      </w:r>
      <w:r>
        <w:t>32</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_Toc394657405 \h </w:instrText>
      </w:r>
      <w:r>
        <w:fldChar w:fldCharType="separate"/>
      </w:r>
      <w:r>
        <w:t>33</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_Toc394657406 \h </w:instrText>
      </w:r>
      <w:r>
        <w:fldChar w:fldCharType="separate"/>
      </w:r>
      <w:r>
        <w:t>33</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_Toc394657407 \h </w:instrText>
      </w:r>
      <w:r>
        <w:fldChar w:fldCharType="separate"/>
      </w:r>
      <w:r>
        <w:t>34</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_Toc394657408 \h </w:instrText>
      </w:r>
      <w:r>
        <w:fldChar w:fldCharType="separate"/>
      </w:r>
      <w:r>
        <w:t>34</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_Toc394657409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_Toc394657411 \h </w:instrText>
      </w:r>
      <w:r>
        <w:fldChar w:fldCharType="separate"/>
      </w:r>
      <w:r>
        <w:t>36</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_Toc394657412 \h </w:instrText>
      </w:r>
      <w:r>
        <w:fldChar w:fldCharType="separate"/>
      </w:r>
      <w:r>
        <w:t>36</w:t>
      </w:r>
      <w:r>
        <w:fldChar w:fldCharType="end"/>
      </w:r>
    </w:p>
    <w:p>
      <w:pPr>
        <w:pStyle w:val="TOC8"/>
        <w:rPr>
          <w:rFonts w:asciiTheme="minorHAnsi" w:eastAsiaTheme="minorEastAsia" w:hAnsiTheme="minorHAnsi" w:cstheme="minorBidi"/>
          <w:szCs w:val="22"/>
        </w:rPr>
      </w:pPr>
      <w:r>
        <w:t>50A.</w:t>
      </w:r>
      <w:r>
        <w:tab/>
        <w:t>Application for exemption</w:t>
      </w:r>
      <w:r>
        <w:tab/>
      </w:r>
      <w:r>
        <w:fldChar w:fldCharType="begin"/>
      </w:r>
      <w:r>
        <w:instrText xml:space="preserve"> PAGEREF _Toc394657413 \h </w:instrText>
      </w:r>
      <w:r>
        <w:fldChar w:fldCharType="separate"/>
      </w:r>
      <w:r>
        <w:t>38</w:t>
      </w:r>
      <w:r>
        <w:fldChar w:fldCharType="end"/>
      </w:r>
    </w:p>
    <w:p>
      <w:pPr>
        <w:pStyle w:val="TOC8"/>
        <w:rPr>
          <w:rFonts w:asciiTheme="minorHAnsi" w:eastAsiaTheme="minorEastAsia" w:hAnsiTheme="minorHAnsi" w:cstheme="minorBidi"/>
          <w:szCs w:val="22"/>
        </w:rPr>
      </w:pPr>
      <w:r>
        <w:t>50.</w:t>
      </w:r>
      <w:r>
        <w:tab/>
        <w:t>Inspection of licences, etc.</w:t>
      </w:r>
      <w:r>
        <w:tab/>
      </w:r>
      <w:r>
        <w:fldChar w:fldCharType="begin"/>
      </w:r>
      <w:r>
        <w:instrText xml:space="preserve"> PAGEREF _Toc394657414 \h </w:instrText>
      </w:r>
      <w:r>
        <w:fldChar w:fldCharType="separate"/>
      </w:r>
      <w:r>
        <w:t>38</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_Toc394657415 \h </w:instrText>
      </w:r>
      <w:r>
        <w:fldChar w:fldCharType="separate"/>
      </w:r>
      <w:r>
        <w:t>38</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_Toc394657416 \h </w:instrText>
      </w:r>
      <w:r>
        <w:fldChar w:fldCharType="separate"/>
      </w:r>
      <w:r>
        <w:t>38</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_Toc394657417 \h </w:instrText>
      </w:r>
      <w:r>
        <w:fldChar w:fldCharType="separate"/>
      </w:r>
      <w:r>
        <w:t>39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_Toc394657418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Schedule 1 — Controlled waste</w:t>
      </w:r>
    </w:p>
    <w:p>
      <w:pPr>
        <w:pStyle w:val="TOC2"/>
        <w:tabs>
          <w:tab w:val="right" w:leader="dot" w:pos="7086"/>
        </w:tabs>
        <w:rPr>
          <w:rFonts w:asciiTheme="minorHAnsi" w:eastAsiaTheme="minorEastAsia" w:hAnsiTheme="minorHAnsi" w:cstheme="minorBidi"/>
          <w:b w:val="0"/>
          <w:sz w:val="22"/>
          <w:szCs w:val="22"/>
        </w:rPr>
      </w:pPr>
      <w:r>
        <w:t>Schedule 2 — Transport information</w:t>
      </w:r>
    </w:p>
    <w:p>
      <w:pPr>
        <w:pStyle w:val="TOC4"/>
        <w:tabs>
          <w:tab w:val="right" w:leader="dot" w:pos="7086"/>
        </w:tabs>
        <w:rPr>
          <w:rFonts w:asciiTheme="minorHAnsi" w:eastAsiaTheme="minorEastAsia" w:hAnsiTheme="minorHAnsi" w:cstheme="minorBidi"/>
          <w:b w:val="0"/>
          <w:szCs w:val="22"/>
        </w:rPr>
      </w:pPr>
      <w:r>
        <w:t>Division 1</w:t>
      </w:r>
      <w:r>
        <w:rPr>
          <w:b w:val="0"/>
        </w:rPr>
        <w:t> — </w:t>
      </w:r>
      <w:r>
        <w:t>Information to be provided by driver to waste holder</w:t>
      </w:r>
    </w:p>
    <w:p>
      <w:pPr>
        <w:pStyle w:val="TOC4"/>
        <w:tabs>
          <w:tab w:val="right" w:leader="dot" w:pos="7086"/>
        </w:tabs>
        <w:rPr>
          <w:rFonts w:asciiTheme="minorHAnsi" w:eastAsiaTheme="minorEastAsia" w:hAnsiTheme="minorHAnsi" w:cstheme="minorBidi"/>
          <w:b w:val="0"/>
          <w:szCs w:val="22"/>
        </w:rPr>
      </w:pPr>
      <w:r>
        <w:t>Division 2</w:t>
      </w:r>
      <w:r>
        <w:rPr>
          <w:b w:val="0"/>
        </w:rPr>
        <w:t> — </w:t>
      </w:r>
      <w:r>
        <w:t>Information to be provided by waste holder</w:t>
      </w:r>
    </w:p>
    <w:p>
      <w:pPr>
        <w:pStyle w:val="TOC4"/>
        <w:tabs>
          <w:tab w:val="right" w:leader="dot" w:pos="7086"/>
        </w:tabs>
        <w:rPr>
          <w:rFonts w:asciiTheme="minorHAnsi" w:eastAsiaTheme="minorEastAsia" w:hAnsiTheme="minorHAnsi" w:cstheme="minorBidi"/>
          <w:b w:val="0"/>
          <w:szCs w:val="22"/>
        </w:rPr>
      </w:pPr>
      <w:r>
        <w:t>Division 3 — Information to be recorded on controlled waste tracking form</w:t>
      </w:r>
    </w:p>
    <w:p>
      <w:pPr>
        <w:pStyle w:val="TOC4"/>
        <w:tabs>
          <w:tab w:val="right" w:leader="dot" w:pos="7086"/>
        </w:tabs>
        <w:rPr>
          <w:rFonts w:asciiTheme="minorHAnsi" w:eastAsiaTheme="minorEastAsia" w:hAnsiTheme="minorHAnsi" w:cstheme="minorBidi"/>
          <w:b w:val="0"/>
          <w:szCs w:val="22"/>
        </w:rPr>
      </w:pPr>
      <w:r>
        <w:t>Division 4</w:t>
      </w:r>
      <w:r>
        <w:rPr>
          <w:b w:val="0"/>
        </w:rPr>
        <w:t> — </w:t>
      </w:r>
      <w:r>
        <w:t>Information to be recorded by the occupier of waste facility</w:t>
      </w:r>
    </w:p>
    <w:p>
      <w:pPr>
        <w:pStyle w:val="TOC2"/>
        <w:tabs>
          <w:tab w:val="right" w:leader="dot" w:pos="7086"/>
        </w:tabs>
        <w:rPr>
          <w:rFonts w:asciiTheme="minorHAnsi" w:eastAsiaTheme="minorEastAsia" w:hAnsiTheme="minorHAnsi" w:cstheme="minorBidi"/>
          <w:b w:val="0"/>
          <w:sz w:val="22"/>
          <w:szCs w:val="22"/>
        </w:rPr>
      </w:pPr>
      <w:r>
        <w:t>Schedule 3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_Toc394657427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Environmental Protection Act 1986</w:t>
      </w:r>
    </w:p>
    <w:p>
      <w:pPr>
        <w:pStyle w:val="NameofActReg"/>
      </w:pPr>
      <w:r>
        <w:t>Environmental Protection (Controlled Waste) Regulations 2004</w:t>
      </w:r>
    </w:p>
    <w:p>
      <w:pPr>
        <w:pStyle w:val="Heading2"/>
        <w:keepNext w:val="0"/>
        <w:pageBreakBefore w:val="0"/>
        <w:spacing w:before="240"/>
      </w:pPr>
      <w:bookmarkStart w:id="1" w:name="_Toc394657341"/>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4657342"/>
      <w:r>
        <w:rPr>
          <w:rStyle w:val="CharSectno"/>
        </w:rPr>
        <w:t>1</w:t>
      </w:r>
      <w:r>
        <w:t>.</w:t>
      </w:r>
      <w:r>
        <w:tab/>
        <w:t>Citation</w:t>
      </w:r>
      <w:bookmarkEnd w:id="2"/>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t>.</w:t>
      </w:r>
    </w:p>
    <w:p>
      <w:pPr>
        <w:pStyle w:val="Heading5"/>
      </w:pPr>
      <w:bookmarkStart w:id="3" w:name="_Toc394657343"/>
      <w:r>
        <w:rPr>
          <w:rStyle w:val="CharSectno"/>
        </w:rPr>
        <w:t>2</w:t>
      </w:r>
      <w:r>
        <w:t>.</w:t>
      </w:r>
      <w:r>
        <w:tab/>
        <w:t>Terms used in these regulations</w:t>
      </w:r>
      <w:bookmarkEnd w:id="3"/>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w:t>
      </w:r>
    </w:p>
    <w:p>
      <w:pPr>
        <w:pStyle w:val="Defpara"/>
      </w:pPr>
      <w:r>
        <w:tab/>
        <w:t>(b)</w:t>
      </w:r>
      <w:r>
        <w:tab/>
        <w:t>does not contain, or is not comprised of, any free liquids;</w:t>
      </w:r>
    </w:p>
    <w:p>
      <w:pPr>
        <w:pStyle w:val="Defpara"/>
      </w:pPr>
      <w:r>
        <w:tab/>
        <w:t>(c)</w:t>
      </w:r>
      <w:r>
        <w:tab/>
        <w:t>does not contain, or is not comprised of, any liquids that are capable of being released when the waste is transported;</w:t>
      </w:r>
    </w:p>
    <w:p>
      <w:pPr>
        <w:pStyle w:val="Defpara"/>
      </w:pPr>
      <w:r>
        <w:tab/>
        <w:t>(d)</w:t>
      </w:r>
      <w:r>
        <w:tab/>
        <w:t>does not become free flowing at or below 60 degrees Celsius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in Gazette 20 Jun 2008 p. 2684; 14 Nov 2013 p. 5039-40; 1 Aug 2014 p. 2787-90.]</w:t>
      </w:r>
    </w:p>
    <w:p>
      <w:pPr>
        <w:pStyle w:val="Heading5"/>
      </w:pPr>
      <w:bookmarkStart w:id="4" w:name="_Toc394657344"/>
      <w:r>
        <w:rPr>
          <w:rStyle w:val="CharSectno"/>
        </w:rPr>
        <w:t>3</w:t>
      </w:r>
      <w:r>
        <w:t>.</w:t>
      </w:r>
      <w:r>
        <w:tab/>
        <w:t>Application of regulations</w:t>
      </w:r>
      <w:bookmarkEnd w:id="4"/>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w:t>
      </w:r>
    </w:p>
    <w:p>
      <w:pPr>
        <w:pStyle w:val="Indenta"/>
      </w:pPr>
      <w:r>
        <w:tab/>
        <w:t>(b)</w:t>
      </w:r>
      <w:r>
        <w:tab/>
        <w:t>a medical, nursing, dental, veterinary, pharmaceutical or other related activity;</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in Gazette 13 Apr 2007 p. 1669; 1 Aug 2014 p. 2790.]</w:t>
      </w:r>
    </w:p>
    <w:p>
      <w:pPr>
        <w:pStyle w:val="Heading2"/>
      </w:pPr>
      <w:bookmarkStart w:id="5" w:name="_Toc394657345"/>
      <w:r>
        <w:rPr>
          <w:rStyle w:val="CharPartNo"/>
        </w:rPr>
        <w:t>Part 2</w:t>
      </w:r>
      <w:r>
        <w:t> — </w:t>
      </w:r>
      <w:r>
        <w:rPr>
          <w:rStyle w:val="CharPartText"/>
        </w:rPr>
        <w:t>Licensing</w:t>
      </w:r>
      <w:bookmarkEnd w:id="5"/>
    </w:p>
    <w:p>
      <w:pPr>
        <w:pStyle w:val="Heading3"/>
      </w:pPr>
      <w:bookmarkStart w:id="6" w:name="_Toc394657346"/>
      <w:r>
        <w:rPr>
          <w:rStyle w:val="CharDivNo"/>
        </w:rPr>
        <w:t>Division 1</w:t>
      </w:r>
      <w:r>
        <w:t> — </w:t>
      </w:r>
      <w:r>
        <w:rPr>
          <w:rStyle w:val="CharDivText"/>
        </w:rPr>
        <w:t>General matters</w:t>
      </w:r>
      <w:bookmarkEnd w:id="6"/>
    </w:p>
    <w:p>
      <w:pPr>
        <w:pStyle w:val="Heading5"/>
      </w:pPr>
      <w:bookmarkStart w:id="7" w:name="_Toc394657347"/>
      <w:r>
        <w:rPr>
          <w:rStyle w:val="CharSectno"/>
        </w:rPr>
        <w:t>4</w:t>
      </w:r>
      <w:r>
        <w:t>.</w:t>
      </w:r>
      <w:r>
        <w:tab/>
        <w:t>Application for licence</w:t>
      </w:r>
      <w:bookmarkEnd w:id="7"/>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8" w:name="_Toc394657348"/>
      <w:r>
        <w:rPr>
          <w:rStyle w:val="CharSectno"/>
        </w:rPr>
        <w:t>5</w:t>
      </w:r>
      <w:r>
        <w:t>.</w:t>
      </w:r>
      <w:r>
        <w:tab/>
        <w:t>Licensing</w:t>
      </w:r>
      <w:bookmarkEnd w:id="8"/>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in Gazette 1 Aug 2014 p. 2791.]</w:t>
      </w:r>
    </w:p>
    <w:p>
      <w:pPr>
        <w:pStyle w:val="Heading5"/>
      </w:pPr>
      <w:bookmarkStart w:id="9" w:name="_Toc394657349"/>
      <w:r>
        <w:rPr>
          <w:rStyle w:val="CharSectno"/>
        </w:rPr>
        <w:t>6</w:t>
      </w:r>
      <w:r>
        <w:t>.</w:t>
      </w:r>
      <w:r>
        <w:tab/>
        <w:t>Conditions</w:t>
      </w:r>
      <w:bookmarkEnd w:id="9"/>
    </w:p>
    <w:p>
      <w:pPr>
        <w:pStyle w:val="Subsection"/>
      </w:pPr>
      <w:r>
        <w:tab/>
        <w:t>(1)</w:t>
      </w:r>
      <w:r>
        <w:tab/>
        <w:t>The CEO may issue or renew a licence subject to such conditions as the CEO thinks fit to impose.</w:t>
      </w:r>
    </w:p>
    <w:p>
      <w:pPr>
        <w:pStyle w:val="Subsection"/>
      </w:pPr>
      <w:r>
        <w:tab/>
        <w:t>(2)</w:t>
      </w:r>
      <w:r>
        <w:tab/>
        <w:t xml:space="preserve">The CEO may at any time by written notice — </w:t>
      </w:r>
    </w:p>
    <w:p>
      <w:pPr>
        <w:pStyle w:val="Indenta"/>
      </w:pPr>
      <w:r>
        <w:tab/>
        <w:t>(a)</w:t>
      </w:r>
      <w:r>
        <w:tab/>
        <w:t>impose conditions upon a licence that has been granted;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0" w:name="_Toc394657350"/>
      <w:r>
        <w:rPr>
          <w:rStyle w:val="CharSectno"/>
        </w:rPr>
        <w:t>7</w:t>
      </w:r>
      <w:r>
        <w:t>.</w:t>
      </w:r>
      <w:r>
        <w:tab/>
        <w:t>Refund of fee</w:t>
      </w:r>
      <w:bookmarkEnd w:id="10"/>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in Gazette 1 Aug 2014 p. 2791.]</w:t>
      </w:r>
    </w:p>
    <w:p>
      <w:pPr>
        <w:pStyle w:val="Heading5"/>
      </w:pPr>
      <w:bookmarkStart w:id="11" w:name="_Toc394657351"/>
      <w:r>
        <w:rPr>
          <w:rStyle w:val="CharSectno"/>
        </w:rPr>
        <w:t>8</w:t>
      </w:r>
      <w:r>
        <w:t>.</w:t>
      </w:r>
      <w:r>
        <w:tab/>
        <w:t>Validity of licence</w:t>
      </w:r>
      <w:bookmarkEnd w:id="11"/>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in Gazette 1 Aug 2014 p. 2791.]</w:t>
      </w:r>
    </w:p>
    <w:p>
      <w:pPr>
        <w:pStyle w:val="Heading5"/>
      </w:pPr>
      <w:bookmarkStart w:id="12" w:name="_Toc394657352"/>
      <w:r>
        <w:rPr>
          <w:rStyle w:val="CharSectno"/>
        </w:rPr>
        <w:t>9</w:t>
      </w:r>
      <w:r>
        <w:t>.</w:t>
      </w:r>
      <w:r>
        <w:tab/>
        <w:t>Renewal of licence</w:t>
      </w:r>
      <w:bookmarkEnd w:id="12"/>
    </w:p>
    <w:p>
      <w:pPr>
        <w:pStyle w:val="Subsection"/>
      </w:pPr>
      <w:r>
        <w:tab/>
        <w:t>(1)</w:t>
      </w:r>
      <w:r>
        <w:tab/>
        <w:t xml:space="preserve">Upon application — </w:t>
      </w:r>
    </w:p>
    <w:p>
      <w:pPr>
        <w:pStyle w:val="Indenta"/>
      </w:pPr>
      <w:r>
        <w:tab/>
        <w:t>(a)</w:t>
      </w:r>
      <w:r>
        <w:tab/>
        <w:t>made before a licence expires;</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in Gazette 1 Aug 2014 p. 2792.]</w:t>
      </w:r>
    </w:p>
    <w:p>
      <w:pPr>
        <w:pStyle w:val="Heading5"/>
      </w:pPr>
      <w:bookmarkStart w:id="13" w:name="_Toc394657353"/>
      <w:r>
        <w:rPr>
          <w:rStyle w:val="CharSectno"/>
        </w:rPr>
        <w:t>10</w:t>
      </w:r>
      <w:r>
        <w:t>.</w:t>
      </w:r>
      <w:r>
        <w:tab/>
        <w:t>Cancellation or suspension of, refusal to renew, licence</w:t>
      </w:r>
      <w:bookmarkEnd w:id="13"/>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in Gazette 1 Aug 2014 p. 2792-3.]</w:t>
      </w:r>
    </w:p>
    <w:p>
      <w:pPr>
        <w:pStyle w:val="Heading3"/>
      </w:pPr>
      <w:bookmarkStart w:id="14" w:name="_Toc394657354"/>
      <w:r>
        <w:rPr>
          <w:rStyle w:val="CharDivNo"/>
        </w:rPr>
        <w:t>Division 2</w:t>
      </w:r>
      <w:r>
        <w:t> — </w:t>
      </w:r>
      <w:r>
        <w:rPr>
          <w:rStyle w:val="CharDivText"/>
        </w:rPr>
        <w:t>Carriers</w:t>
      </w:r>
      <w:bookmarkEnd w:id="14"/>
    </w:p>
    <w:p>
      <w:pPr>
        <w:pStyle w:val="Heading5"/>
      </w:pPr>
      <w:bookmarkStart w:id="15" w:name="_Toc394657355"/>
      <w:r>
        <w:rPr>
          <w:rStyle w:val="CharSectno"/>
        </w:rPr>
        <w:t>11</w:t>
      </w:r>
      <w:r>
        <w:t>.</w:t>
      </w:r>
      <w:r>
        <w:tab/>
        <w:t>Certain carriers to be licensed</w:t>
      </w:r>
      <w:bookmarkEnd w:id="15"/>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16" w:name="_Toc394657356"/>
      <w:r>
        <w:rPr>
          <w:rStyle w:val="CharSectno"/>
        </w:rPr>
        <w:t>12</w:t>
      </w:r>
      <w:r>
        <w:t>.</w:t>
      </w:r>
      <w:r>
        <w:tab/>
        <w:t>Refusal of licence</w:t>
      </w:r>
      <w:bookmarkEnd w:id="16"/>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17" w:name="_Toc394657357"/>
      <w:r>
        <w:rPr>
          <w:rStyle w:val="CharSectno"/>
        </w:rPr>
        <w:t>13</w:t>
      </w:r>
      <w:r>
        <w:t>.</w:t>
      </w:r>
      <w:r>
        <w:tab/>
        <w:t>Sub</w:t>
      </w:r>
      <w:r>
        <w:noBreakHyphen/>
        <w:t>contractors</w:t>
      </w:r>
      <w:bookmarkEnd w:id="17"/>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18" w:name="_Toc394657358"/>
      <w:r>
        <w:rPr>
          <w:rStyle w:val="CharSectno"/>
        </w:rPr>
        <w:t>14</w:t>
      </w:r>
      <w:r>
        <w:t>.</w:t>
      </w:r>
      <w:r>
        <w:tab/>
        <w:t>Employment of unlicensed driver to transport bulk controlled waste</w:t>
      </w:r>
      <w:bookmarkEnd w:id="18"/>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in Gazette 1 Aug 2014 p. 2793.]</w:t>
      </w:r>
    </w:p>
    <w:p>
      <w:pPr>
        <w:pStyle w:val="Heading5"/>
      </w:pPr>
      <w:bookmarkStart w:id="19" w:name="_Toc394657359"/>
      <w:r>
        <w:rPr>
          <w:rStyle w:val="CharSectno"/>
        </w:rPr>
        <w:t>15</w:t>
      </w:r>
      <w:r>
        <w:t>.</w:t>
      </w:r>
      <w:r>
        <w:tab/>
        <w:t>Notification of employment of licensed drivers</w:t>
      </w:r>
      <w:bookmarkEnd w:id="19"/>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0" w:name="_Toc394657360"/>
      <w:r>
        <w:rPr>
          <w:rStyle w:val="CharSectno"/>
        </w:rPr>
        <w:t>16</w:t>
      </w:r>
      <w:r>
        <w:t>.</w:t>
      </w:r>
      <w:r>
        <w:tab/>
        <w:t>Interstate carriers</w:t>
      </w:r>
      <w:bookmarkEnd w:id="20"/>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in Gazette 1 Aug 2014 p. 2793.]</w:t>
      </w:r>
    </w:p>
    <w:p>
      <w:pPr>
        <w:pStyle w:val="Heading3"/>
      </w:pPr>
      <w:bookmarkStart w:id="21" w:name="_Toc394657361"/>
      <w:r>
        <w:rPr>
          <w:rStyle w:val="CharDivNo"/>
        </w:rPr>
        <w:t>Division 3</w:t>
      </w:r>
      <w:r>
        <w:t> — </w:t>
      </w:r>
      <w:r>
        <w:rPr>
          <w:rStyle w:val="CharDivText"/>
        </w:rPr>
        <w:t>Drivers</w:t>
      </w:r>
      <w:bookmarkEnd w:id="21"/>
    </w:p>
    <w:p>
      <w:pPr>
        <w:pStyle w:val="Heading5"/>
      </w:pPr>
      <w:bookmarkStart w:id="22" w:name="_Toc394657362"/>
      <w:r>
        <w:rPr>
          <w:rStyle w:val="CharSectno"/>
        </w:rPr>
        <w:t>17</w:t>
      </w:r>
      <w:r>
        <w:t>.</w:t>
      </w:r>
      <w:r>
        <w:tab/>
        <w:t>Drivers to be licensed</w:t>
      </w:r>
      <w:bookmarkEnd w:id="22"/>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in Gazette 1 Aug 2014 p. 2794.]</w:t>
      </w:r>
    </w:p>
    <w:p>
      <w:pPr>
        <w:pStyle w:val="Heading5"/>
      </w:pPr>
      <w:bookmarkStart w:id="23" w:name="_Toc394657363"/>
      <w:r>
        <w:rPr>
          <w:rStyle w:val="CharSectno"/>
        </w:rPr>
        <w:t>18</w:t>
      </w:r>
      <w:r>
        <w:t>.</w:t>
      </w:r>
      <w:r>
        <w:tab/>
        <w:t>Refusal of licence</w:t>
      </w:r>
      <w:bookmarkEnd w:id="23"/>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in Gazette 1 Aug 2014 p. 2794.]</w:t>
      </w:r>
    </w:p>
    <w:p>
      <w:pPr>
        <w:pStyle w:val="Heading5"/>
      </w:pPr>
      <w:bookmarkStart w:id="24" w:name="_Toc394657364"/>
      <w:r>
        <w:rPr>
          <w:rStyle w:val="CharSectno"/>
        </w:rPr>
        <w:t>19</w:t>
      </w:r>
      <w:r>
        <w:t>.</w:t>
      </w:r>
      <w:r>
        <w:tab/>
        <w:t>Driver identification card</w:t>
      </w:r>
      <w:bookmarkEnd w:id="24"/>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25" w:name="_Toc394657365"/>
      <w:r>
        <w:rPr>
          <w:rStyle w:val="CharSectno"/>
        </w:rPr>
        <w:t>20</w:t>
      </w:r>
      <w:r>
        <w:t>.</w:t>
      </w:r>
      <w:r>
        <w:tab/>
        <w:t>Recognition of a licence issued in another State or a Territory</w:t>
      </w:r>
      <w:bookmarkEnd w:id="25"/>
    </w:p>
    <w:p>
      <w:pPr>
        <w:pStyle w:val="Subsection"/>
      </w:pPr>
      <w:r>
        <w:tab/>
        <w:t>(1)</w:t>
      </w:r>
      <w:r>
        <w:tab/>
        <w:t>A person who — </w:t>
      </w:r>
    </w:p>
    <w:p>
      <w:pPr>
        <w:pStyle w:val="Indenta"/>
      </w:pPr>
      <w:r>
        <w:tab/>
        <w:t>(a)</w:t>
      </w:r>
      <w:r>
        <w:tab/>
        <w:t>has an interstate licence as a driver to transport a bulk controlled waste;</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26" w:name="_Toc394657366"/>
      <w:r>
        <w:rPr>
          <w:rStyle w:val="CharDivNo"/>
        </w:rPr>
        <w:t>Division 4</w:t>
      </w:r>
      <w:r>
        <w:t> — </w:t>
      </w:r>
      <w:r>
        <w:rPr>
          <w:rStyle w:val="CharDivText"/>
        </w:rPr>
        <w:t>Vehicle or tank</w:t>
      </w:r>
      <w:bookmarkEnd w:id="26"/>
    </w:p>
    <w:p>
      <w:pPr>
        <w:pStyle w:val="Heading5"/>
      </w:pPr>
      <w:bookmarkStart w:id="27" w:name="_Toc394657367"/>
      <w:r>
        <w:rPr>
          <w:rStyle w:val="CharSectno"/>
        </w:rPr>
        <w:t>21</w:t>
      </w:r>
      <w:r>
        <w:t>.</w:t>
      </w:r>
      <w:r>
        <w:tab/>
        <w:t>Vehicles and tanks of carriers to be licensed</w:t>
      </w:r>
      <w:bookmarkEnd w:id="27"/>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in Gazette 1 Aug 2014 p. 2795.]</w:t>
      </w:r>
    </w:p>
    <w:p>
      <w:pPr>
        <w:pStyle w:val="Heading5"/>
      </w:pPr>
      <w:bookmarkStart w:id="28" w:name="_Toc394657368"/>
      <w:r>
        <w:rPr>
          <w:rStyle w:val="CharSectno"/>
        </w:rPr>
        <w:t>22</w:t>
      </w:r>
      <w:r>
        <w:t>.</w:t>
      </w:r>
      <w:r>
        <w:tab/>
        <w:t>Application for licence and inspection of vehicle or tank</w:t>
      </w:r>
      <w:bookmarkEnd w:id="28"/>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29" w:name="_Toc394657369"/>
      <w:r>
        <w:rPr>
          <w:rStyle w:val="CharSectno"/>
        </w:rPr>
        <w:t>23</w:t>
      </w:r>
      <w:r>
        <w:t>.</w:t>
      </w:r>
      <w:r>
        <w:tab/>
        <w:t>Issue of licence</w:t>
      </w:r>
      <w:bookmarkEnd w:id="29"/>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0" w:name="_Toc394657370"/>
      <w:r>
        <w:rPr>
          <w:rStyle w:val="CharSectno"/>
        </w:rPr>
        <w:t>24</w:t>
      </w:r>
      <w:r>
        <w:t>.</w:t>
      </w:r>
      <w:r>
        <w:tab/>
        <w:t>Validity of licence</w:t>
      </w:r>
      <w:bookmarkEnd w:id="30"/>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pPr>
      <w:bookmarkStart w:id="31" w:name="_Toc394657371"/>
      <w:r>
        <w:rPr>
          <w:rStyle w:val="CharDivNo"/>
        </w:rPr>
        <w:t>Division 5</w:t>
      </w:r>
      <w:r>
        <w:t> — </w:t>
      </w:r>
      <w:r>
        <w:rPr>
          <w:rStyle w:val="CharDivText"/>
        </w:rPr>
        <w:t>Assignment of carrier’s business and transfer of licence</w:t>
      </w:r>
      <w:bookmarkEnd w:id="31"/>
    </w:p>
    <w:p>
      <w:pPr>
        <w:pStyle w:val="Footnoteheading"/>
        <w:keepNext/>
      </w:pPr>
      <w:r>
        <w:tab/>
        <w:t>[Heading inserted in Gazette 1 Aug 2014 p. 2795.]</w:t>
      </w:r>
    </w:p>
    <w:p>
      <w:pPr>
        <w:pStyle w:val="Heading5"/>
      </w:pPr>
      <w:bookmarkStart w:id="32" w:name="_Toc394657372"/>
      <w:r>
        <w:rPr>
          <w:rStyle w:val="CharSectno"/>
        </w:rPr>
        <w:t>25A</w:t>
      </w:r>
      <w:r>
        <w:t>.</w:t>
      </w:r>
      <w:r>
        <w:tab/>
        <w:t>Terms used</w:t>
      </w:r>
      <w:bookmarkEnd w:id="32"/>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in Gazette 1 Aug 2014 p. 2795.]</w:t>
      </w:r>
    </w:p>
    <w:p>
      <w:pPr>
        <w:pStyle w:val="Heading5"/>
      </w:pPr>
      <w:bookmarkStart w:id="33" w:name="_Toc394657373"/>
      <w:r>
        <w:rPr>
          <w:rStyle w:val="CharSectno"/>
        </w:rPr>
        <w:t>25B</w:t>
      </w:r>
      <w:r>
        <w:t>.</w:t>
      </w:r>
      <w:r>
        <w:tab/>
        <w:t>Assignment of carrier’s business</w:t>
      </w:r>
      <w:bookmarkEnd w:id="33"/>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in Gazette 1 Aug 2014 p. 2796.]</w:t>
      </w:r>
    </w:p>
    <w:p>
      <w:pPr>
        <w:pStyle w:val="Heading5"/>
      </w:pPr>
      <w:bookmarkStart w:id="34" w:name="_Toc394657374"/>
      <w:r>
        <w:rPr>
          <w:rStyle w:val="CharSectno"/>
        </w:rPr>
        <w:t>25C</w:t>
      </w:r>
      <w:r>
        <w:t>.</w:t>
      </w:r>
      <w:r>
        <w:tab/>
        <w:t>Transfer of licence</w:t>
      </w:r>
      <w:bookmarkEnd w:id="34"/>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in Gazette 1 Aug 2014 p. 2796-7.]</w:t>
      </w:r>
    </w:p>
    <w:p>
      <w:pPr>
        <w:pStyle w:val="Heading5"/>
      </w:pPr>
      <w:bookmarkStart w:id="35" w:name="_Toc394657375"/>
      <w:r>
        <w:rPr>
          <w:rStyle w:val="CharSectno"/>
        </w:rPr>
        <w:t>25D</w:t>
      </w:r>
      <w:r>
        <w:t>.</w:t>
      </w:r>
      <w:r>
        <w:tab/>
        <w:t>Validity of transferred licence</w:t>
      </w:r>
      <w:bookmarkEnd w:id="35"/>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in Gazette 1 Aug 2014 p. 2797.]</w:t>
      </w:r>
    </w:p>
    <w:p>
      <w:pPr>
        <w:pStyle w:val="Heading5"/>
      </w:pPr>
      <w:bookmarkStart w:id="36" w:name="_Toc394657376"/>
      <w:r>
        <w:rPr>
          <w:rStyle w:val="CharSectno"/>
        </w:rPr>
        <w:t>25E</w:t>
      </w:r>
      <w:r>
        <w:t>.</w:t>
      </w:r>
      <w:r>
        <w:tab/>
        <w:t>Transitional</w:t>
      </w:r>
      <w:bookmarkEnd w:id="36"/>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in Gazette 1 Aug 2014 p. 2797.]</w:t>
      </w:r>
    </w:p>
    <w:p>
      <w:pPr>
        <w:pStyle w:val="Heading2"/>
      </w:pPr>
      <w:bookmarkStart w:id="37" w:name="_Toc394657377"/>
      <w:r>
        <w:rPr>
          <w:rStyle w:val="CharPartNo"/>
        </w:rPr>
        <w:t>Part 3</w:t>
      </w:r>
      <w:r>
        <w:t> — </w:t>
      </w:r>
      <w:r>
        <w:rPr>
          <w:rStyle w:val="CharPartText"/>
        </w:rPr>
        <w:t>Transportation and unloading of a controlled waste</w:t>
      </w:r>
      <w:bookmarkEnd w:id="37"/>
    </w:p>
    <w:p>
      <w:pPr>
        <w:pStyle w:val="Footnoteheading"/>
      </w:pPr>
      <w:r>
        <w:tab/>
        <w:t>[Heading amended in Gazette 1 Aug 2014 p. 2798.]</w:t>
      </w:r>
    </w:p>
    <w:p>
      <w:pPr>
        <w:pStyle w:val="Heading3"/>
      </w:pPr>
      <w:bookmarkStart w:id="38" w:name="_Toc394657378"/>
      <w:r>
        <w:rPr>
          <w:rStyle w:val="CharDivNo"/>
        </w:rPr>
        <w:t>Division 1</w:t>
      </w:r>
      <w:r>
        <w:t> — </w:t>
      </w:r>
      <w:r>
        <w:rPr>
          <w:rStyle w:val="CharDivText"/>
        </w:rPr>
        <w:t>Waste holder’s obligations</w:t>
      </w:r>
      <w:bookmarkEnd w:id="38"/>
    </w:p>
    <w:p>
      <w:pPr>
        <w:pStyle w:val="Footnoteheading"/>
      </w:pPr>
      <w:r>
        <w:tab/>
        <w:t>[Heading amended in Gazette 1 Aug 2014 p. 2798.]</w:t>
      </w:r>
    </w:p>
    <w:p>
      <w:pPr>
        <w:pStyle w:val="Heading5"/>
      </w:pPr>
      <w:bookmarkStart w:id="39" w:name="_Toc394657379"/>
      <w:r>
        <w:rPr>
          <w:rStyle w:val="CharSectno"/>
        </w:rPr>
        <w:t>25</w:t>
      </w:r>
      <w:r>
        <w:t>.</w:t>
      </w:r>
      <w:r>
        <w:tab/>
        <w:t>Obligations relating to transportation</w:t>
      </w:r>
      <w:bookmarkEnd w:id="39"/>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in Gazette 1 Aug 2014 p. 2798-9.]</w:t>
      </w:r>
    </w:p>
    <w:p>
      <w:pPr>
        <w:pStyle w:val="Heading5"/>
      </w:pPr>
      <w:bookmarkStart w:id="40" w:name="_Toc394657380"/>
      <w:r>
        <w:rPr>
          <w:rStyle w:val="CharSectno"/>
        </w:rPr>
        <w:t>26</w:t>
      </w:r>
      <w:r>
        <w:t>.</w:t>
      </w:r>
      <w:r>
        <w:tab/>
        <w:t>Notice of controlled waste</w:t>
      </w:r>
      <w:bookmarkEnd w:id="40"/>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in Gazette 1 Aug 2014 p. 2799.]</w:t>
      </w:r>
    </w:p>
    <w:p>
      <w:pPr>
        <w:pStyle w:val="Heading5"/>
      </w:pPr>
      <w:bookmarkStart w:id="41" w:name="_Toc394657381"/>
      <w:r>
        <w:rPr>
          <w:rStyle w:val="CharSectno"/>
        </w:rPr>
        <w:t>27</w:t>
      </w:r>
      <w:r>
        <w:t>.</w:t>
      </w:r>
      <w:r>
        <w:tab/>
        <w:t>Directions to transport controlled waste to waste facility</w:t>
      </w:r>
      <w:bookmarkEnd w:id="41"/>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in Gazette 1 Aug 2014 p. 2800.]</w:t>
      </w:r>
    </w:p>
    <w:p>
      <w:pPr>
        <w:pStyle w:val="Heading3"/>
        <w:keepLines/>
      </w:pPr>
      <w:bookmarkStart w:id="42" w:name="_Toc394657382"/>
      <w:r>
        <w:rPr>
          <w:rStyle w:val="CharDivNo"/>
        </w:rPr>
        <w:t>Division 2</w:t>
      </w:r>
      <w:r>
        <w:t> — </w:t>
      </w:r>
      <w:r>
        <w:rPr>
          <w:rStyle w:val="CharDivText"/>
        </w:rPr>
        <w:t>Carrier’s obligations</w:t>
      </w:r>
      <w:bookmarkEnd w:id="42"/>
    </w:p>
    <w:p>
      <w:pPr>
        <w:pStyle w:val="Heading5"/>
      </w:pPr>
      <w:bookmarkStart w:id="43" w:name="_Toc394657383"/>
      <w:r>
        <w:rPr>
          <w:rStyle w:val="CharSectno"/>
        </w:rPr>
        <w:t>28</w:t>
      </w:r>
      <w:r>
        <w:t>.</w:t>
      </w:r>
      <w:r>
        <w:tab/>
        <w:t>Controlled waste tracking form required to transport controlled waste</w:t>
      </w:r>
      <w:bookmarkEnd w:id="43"/>
    </w:p>
    <w:p>
      <w:pPr>
        <w:pStyle w:val="Subsection"/>
        <w:keepNext/>
        <w:keepLines/>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in Gazette 1 Aug 2014 p. 2800.]</w:t>
      </w:r>
    </w:p>
    <w:p>
      <w:pPr>
        <w:pStyle w:val="Heading5"/>
      </w:pPr>
      <w:bookmarkStart w:id="44" w:name="_Toc394657384"/>
      <w:r>
        <w:rPr>
          <w:rStyle w:val="CharSectno"/>
        </w:rPr>
        <w:t>29</w:t>
      </w:r>
      <w:r>
        <w:t>.</w:t>
      </w:r>
      <w:r>
        <w:tab/>
        <w:t>Obligations of carrier as to the transportation of a controlled waste</w:t>
      </w:r>
      <w:bookmarkEnd w:id="44"/>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in Gazette 1 Aug 2014 p. 2800.]</w:t>
      </w:r>
    </w:p>
    <w:p>
      <w:pPr>
        <w:pStyle w:val="Heading5"/>
      </w:pPr>
      <w:bookmarkStart w:id="45" w:name="_Toc394657385"/>
      <w:r>
        <w:rPr>
          <w:rStyle w:val="CharSectno"/>
        </w:rPr>
        <w:t>30</w:t>
      </w:r>
      <w:r>
        <w:t>.</w:t>
      </w:r>
      <w:r>
        <w:tab/>
        <w:t>Obligations of carrier as to vehicles and tanks used to transport a controlled waste</w:t>
      </w:r>
      <w:bookmarkEnd w:id="45"/>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in Gazette 1 Aug 2014 p. 2801.]</w:t>
      </w:r>
    </w:p>
    <w:p>
      <w:pPr>
        <w:pStyle w:val="Heading5"/>
      </w:pPr>
      <w:bookmarkStart w:id="46" w:name="_Toc394657386"/>
      <w:r>
        <w:rPr>
          <w:rStyle w:val="CharSectno"/>
        </w:rPr>
        <w:t>31A</w:t>
      </w:r>
      <w:r>
        <w:t>.</w:t>
      </w:r>
      <w:r>
        <w:tab/>
        <w:t>Obligations of carrier as to transportation of anything other than controlled waste in licensed vehicle or tank</w:t>
      </w:r>
      <w:bookmarkEnd w:id="46"/>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in Gazette 1 Aug 2014 p. 2801-2.]</w:t>
      </w:r>
    </w:p>
    <w:p>
      <w:pPr>
        <w:pStyle w:val="Heading5"/>
      </w:pPr>
      <w:bookmarkStart w:id="47" w:name="_Toc394657387"/>
      <w:r>
        <w:rPr>
          <w:rStyle w:val="CharSectno"/>
        </w:rPr>
        <w:t>31</w:t>
      </w:r>
      <w:r>
        <w:t>.</w:t>
      </w:r>
      <w:r>
        <w:tab/>
        <w:t>Obligations of carrier as to receipt</w:t>
      </w:r>
      <w:bookmarkEnd w:id="47"/>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in Gazette 1 Aug 2014 p. 2802.]</w:t>
      </w:r>
    </w:p>
    <w:p>
      <w:pPr>
        <w:pStyle w:val="Heading5"/>
      </w:pPr>
      <w:bookmarkStart w:id="48" w:name="_Toc394657388"/>
      <w:r>
        <w:rPr>
          <w:rStyle w:val="CharSectno"/>
        </w:rPr>
        <w:t>32A</w:t>
      </w:r>
      <w:r>
        <w:t>.</w:t>
      </w:r>
      <w:r>
        <w:tab/>
        <w:t>Obligations of carrier as to controlled waste tracking form information</w:t>
      </w:r>
      <w:bookmarkEnd w:id="48"/>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in Gazette 1 Aug 2014 p. 2803.]</w:t>
      </w:r>
    </w:p>
    <w:p>
      <w:pPr>
        <w:pStyle w:val="Heading3"/>
      </w:pPr>
      <w:bookmarkStart w:id="49" w:name="_Toc394657389"/>
      <w:r>
        <w:rPr>
          <w:rStyle w:val="CharDivNo"/>
        </w:rPr>
        <w:t>Division 3</w:t>
      </w:r>
      <w:r>
        <w:t> — </w:t>
      </w:r>
      <w:r>
        <w:rPr>
          <w:rStyle w:val="CharDivText"/>
        </w:rPr>
        <w:t>Driver’s obligations</w:t>
      </w:r>
      <w:bookmarkEnd w:id="49"/>
    </w:p>
    <w:p>
      <w:pPr>
        <w:pStyle w:val="Heading5"/>
      </w:pPr>
      <w:bookmarkStart w:id="50" w:name="_Toc394657390"/>
      <w:r>
        <w:rPr>
          <w:rStyle w:val="CharSectno"/>
        </w:rPr>
        <w:t>32</w:t>
      </w:r>
      <w:r>
        <w:t>.</w:t>
      </w:r>
      <w:r>
        <w:tab/>
        <w:t>Obligations of drivers as to transportation of a controlled waste</w:t>
      </w:r>
      <w:bookmarkEnd w:id="50"/>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in Gazette 1 Aug 2014 p. 2803.]</w:t>
      </w:r>
    </w:p>
    <w:p>
      <w:pPr>
        <w:pStyle w:val="Heading5"/>
      </w:pPr>
      <w:bookmarkStart w:id="51" w:name="_Toc394657391"/>
      <w:r>
        <w:rPr>
          <w:rStyle w:val="CharSectno"/>
        </w:rPr>
        <w:t>33</w:t>
      </w:r>
      <w:r>
        <w:t>.</w:t>
      </w:r>
      <w:r>
        <w:tab/>
        <w:t>Obligations of drivers as to vehicles or tanks used to transport a controlled waste</w:t>
      </w:r>
      <w:bookmarkEnd w:id="51"/>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in Gazette 1 Aug 2014 p. 2803.]</w:t>
      </w:r>
    </w:p>
    <w:p>
      <w:pPr>
        <w:pStyle w:val="Heading5"/>
      </w:pPr>
      <w:bookmarkStart w:id="52" w:name="_Toc394657392"/>
      <w:r>
        <w:rPr>
          <w:rStyle w:val="CharSectno"/>
        </w:rPr>
        <w:t>34</w:t>
      </w:r>
      <w:r>
        <w:t>.</w:t>
      </w:r>
      <w:r>
        <w:tab/>
        <w:t>Obligations of drivers as to transportation of anything other than controlled waste in licensed vehicle or tank</w:t>
      </w:r>
      <w:bookmarkEnd w:id="52"/>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in Gazette 1 Aug 2014 p. 2804.]</w:t>
      </w:r>
    </w:p>
    <w:p>
      <w:pPr>
        <w:pStyle w:val="Heading5"/>
      </w:pPr>
      <w:bookmarkStart w:id="53" w:name="_Toc394657393"/>
      <w:r>
        <w:rPr>
          <w:rStyle w:val="CharSectno"/>
        </w:rPr>
        <w:t>35</w:t>
      </w:r>
      <w:r>
        <w:t>.</w:t>
      </w:r>
      <w:r>
        <w:tab/>
        <w:t>Obligations of driver to provide a receipt</w:t>
      </w:r>
      <w:bookmarkEnd w:id="53"/>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in Gazette 1 Aug 2014 p. 2804.]</w:t>
      </w:r>
    </w:p>
    <w:p>
      <w:pPr>
        <w:pStyle w:val="Heading3"/>
      </w:pPr>
      <w:bookmarkStart w:id="54" w:name="_Toc394657394"/>
      <w:r>
        <w:rPr>
          <w:rStyle w:val="CharDivNo"/>
        </w:rPr>
        <w:t>Division 4</w:t>
      </w:r>
      <w:r>
        <w:t> — </w:t>
      </w:r>
      <w:r>
        <w:rPr>
          <w:rStyle w:val="CharDivText"/>
        </w:rPr>
        <w:t>Controlled waste tracking form and controlled waste tracking number</w:t>
      </w:r>
      <w:bookmarkEnd w:id="54"/>
    </w:p>
    <w:p>
      <w:pPr>
        <w:pStyle w:val="Heading5"/>
      </w:pPr>
      <w:bookmarkStart w:id="55" w:name="_Toc394657395"/>
      <w:r>
        <w:rPr>
          <w:rStyle w:val="CharSectno"/>
        </w:rPr>
        <w:t>36</w:t>
      </w:r>
      <w:r>
        <w:t>.</w:t>
      </w:r>
      <w:r>
        <w:tab/>
        <w:t>Validity of controlled waste tracking form</w:t>
      </w:r>
      <w:bookmarkEnd w:id="55"/>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in Gazette 1 Aug 2014 p. 2804-6.]</w:t>
      </w:r>
    </w:p>
    <w:p>
      <w:pPr>
        <w:pStyle w:val="Heading5"/>
      </w:pPr>
      <w:bookmarkStart w:id="56" w:name="_Toc394657396"/>
      <w:r>
        <w:rPr>
          <w:rStyle w:val="CharSectno"/>
        </w:rPr>
        <w:t>37</w:t>
      </w:r>
      <w:r>
        <w:t>.</w:t>
      </w:r>
      <w:r>
        <w:tab/>
        <w:t>Controlled waste tracking number fee</w:t>
      </w:r>
      <w:bookmarkEnd w:id="56"/>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57" w:name="_Toc394657397"/>
      <w:r>
        <w:rPr>
          <w:rStyle w:val="CharSectno"/>
        </w:rPr>
        <w:t>38</w:t>
      </w:r>
      <w:r>
        <w:t>.</w:t>
      </w:r>
      <w:r>
        <w:tab/>
        <w:t>CEO to ensure each controlled waste tracking form has unique number</w:t>
      </w:r>
      <w:bookmarkEnd w:id="57"/>
    </w:p>
    <w:p>
      <w:pPr>
        <w:pStyle w:val="Subsection"/>
      </w:pPr>
      <w:r>
        <w:tab/>
      </w:r>
      <w:r>
        <w:tab/>
        <w:t>The CEO is to cause each controlled waste tracking form issued by the Department to have a unique number recorded on the form.</w:t>
      </w:r>
    </w:p>
    <w:p>
      <w:pPr>
        <w:pStyle w:val="Footnotesection"/>
      </w:pPr>
      <w:r>
        <w:tab/>
        <w:t>[Regulation 38 inserted in Gazette 1 Aug 2014 p. 2807.]</w:t>
      </w:r>
    </w:p>
    <w:p>
      <w:pPr>
        <w:pStyle w:val="Heading3"/>
      </w:pPr>
      <w:bookmarkStart w:id="58" w:name="_Toc394657398"/>
      <w:r>
        <w:rPr>
          <w:rStyle w:val="CharDivNo"/>
        </w:rPr>
        <w:t>Division 5</w:t>
      </w:r>
      <w:r>
        <w:t> — </w:t>
      </w:r>
      <w:r>
        <w:rPr>
          <w:rStyle w:val="CharDivText"/>
        </w:rPr>
        <w:t>Unloading controlled waste</w:t>
      </w:r>
      <w:bookmarkEnd w:id="58"/>
    </w:p>
    <w:p>
      <w:pPr>
        <w:pStyle w:val="Footnoteheading"/>
      </w:pPr>
      <w:r>
        <w:tab/>
        <w:t>[Heading inserted in Gazette 1 Aug 2014 p. 2807.]</w:t>
      </w:r>
    </w:p>
    <w:p>
      <w:pPr>
        <w:pStyle w:val="Heading5"/>
      </w:pPr>
      <w:bookmarkStart w:id="59" w:name="_Toc394657399"/>
      <w:r>
        <w:rPr>
          <w:rStyle w:val="CharSectno"/>
        </w:rPr>
        <w:t>39</w:t>
      </w:r>
      <w:r>
        <w:t>.</w:t>
      </w:r>
      <w:r>
        <w:tab/>
        <w:t>Obligations as to unloading controlled waste</w:t>
      </w:r>
      <w:bookmarkEnd w:id="59"/>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in Gazette 1 Aug 2014 p. 2807-9.]</w:t>
      </w:r>
    </w:p>
    <w:p>
      <w:pPr>
        <w:pStyle w:val="Heading5"/>
      </w:pPr>
      <w:bookmarkStart w:id="60" w:name="_Toc394657400"/>
      <w:r>
        <w:rPr>
          <w:rStyle w:val="CharSectno"/>
        </w:rPr>
        <w:t>40</w:t>
      </w:r>
      <w:r>
        <w:t>.</w:t>
      </w:r>
      <w:r>
        <w:tab/>
        <w:t>Procedure on unloading a controlled waste</w:t>
      </w:r>
      <w:bookmarkEnd w:id="60"/>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in Gazette 1 Aug 2014 p. 2809-10.]</w:t>
      </w:r>
    </w:p>
    <w:p>
      <w:pPr>
        <w:pStyle w:val="Heading5"/>
      </w:pPr>
      <w:bookmarkStart w:id="61" w:name="_Toc394657401"/>
      <w:r>
        <w:rPr>
          <w:rStyle w:val="CharSectno"/>
        </w:rPr>
        <w:t>41A</w:t>
      </w:r>
      <w:r>
        <w:t>.</w:t>
      </w:r>
      <w:r>
        <w:tab/>
        <w:t>Carrier to provide CEO with copy of controlled waste tracking form</w:t>
      </w:r>
      <w:bookmarkEnd w:id="61"/>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in Gazette 1 Aug 2014 p. 2810.]</w:t>
      </w:r>
    </w:p>
    <w:p>
      <w:pPr>
        <w:pStyle w:val="Heading5"/>
      </w:pPr>
      <w:bookmarkStart w:id="62" w:name="_Toc394657402"/>
      <w:r>
        <w:rPr>
          <w:rStyle w:val="CharSectno"/>
        </w:rPr>
        <w:t>41</w:t>
      </w:r>
      <w:r>
        <w:t>.</w:t>
      </w:r>
      <w:r>
        <w:tab/>
        <w:t>Obligations of occupier of waste facility</w:t>
      </w:r>
      <w:bookmarkEnd w:id="62"/>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in Gazette 1 Aug 2014 p. 2811-13.]</w:t>
      </w:r>
    </w:p>
    <w:p>
      <w:pPr>
        <w:pStyle w:val="Heading3"/>
      </w:pPr>
      <w:bookmarkStart w:id="63" w:name="_Toc394657403"/>
      <w:r>
        <w:rPr>
          <w:rStyle w:val="CharDivNo"/>
        </w:rPr>
        <w:t>Division 6</w:t>
      </w:r>
      <w:r>
        <w:t> — </w:t>
      </w:r>
      <w:r>
        <w:rPr>
          <w:rStyle w:val="CharDivText"/>
        </w:rPr>
        <w:t>Disposal of material containing asbestos</w:t>
      </w:r>
      <w:bookmarkEnd w:id="63"/>
    </w:p>
    <w:p>
      <w:pPr>
        <w:pStyle w:val="Heading5"/>
      </w:pPr>
      <w:bookmarkStart w:id="64" w:name="_Toc394657404"/>
      <w:r>
        <w:rPr>
          <w:rStyle w:val="CharSectno"/>
        </w:rPr>
        <w:t>42</w:t>
      </w:r>
      <w:r>
        <w:t>.</w:t>
      </w:r>
      <w:r>
        <w:tab/>
        <w:t>Terms used</w:t>
      </w:r>
      <w:bookmarkEnd w:id="64"/>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Executive Director, Public Health under the </w:t>
      </w:r>
      <w:r>
        <w:rPr>
          <w:i/>
        </w:rPr>
        <w:t>Health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in Gazette 1 Aug 2014 p. 2813.]</w:t>
      </w:r>
    </w:p>
    <w:p>
      <w:pPr>
        <w:pStyle w:val="Heading5"/>
      </w:pPr>
      <w:bookmarkStart w:id="65" w:name="_Toc394657405"/>
      <w:r>
        <w:rPr>
          <w:rStyle w:val="CharSectno"/>
        </w:rPr>
        <w:t>43</w:t>
      </w:r>
      <w:r>
        <w:t>.</w:t>
      </w:r>
      <w:r>
        <w:tab/>
        <w:t>Disposal of material containing asbestos</w:t>
      </w:r>
      <w:bookmarkEnd w:id="65"/>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in Gazette 1 Aug 2014 p. 2813.]</w:t>
      </w:r>
    </w:p>
    <w:p>
      <w:pPr>
        <w:pStyle w:val="Heading5"/>
      </w:pPr>
      <w:bookmarkStart w:id="66" w:name="_Toc394657406"/>
      <w:r>
        <w:rPr>
          <w:rStyle w:val="CharSectno"/>
        </w:rPr>
        <w:t>44</w:t>
      </w:r>
      <w:r>
        <w:t>.</w:t>
      </w:r>
      <w:r>
        <w:tab/>
        <w:t>Asbestos for disposal to be separated, wrapped and labelled</w:t>
      </w:r>
      <w:bookmarkEnd w:id="66"/>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in Gazette 1 Aug 2014 p. 2814.]</w:t>
      </w:r>
    </w:p>
    <w:p>
      <w:pPr>
        <w:pStyle w:val="Heading5"/>
      </w:pPr>
      <w:bookmarkStart w:id="67" w:name="_Toc394657407"/>
      <w:r>
        <w:rPr>
          <w:rStyle w:val="CharSectno"/>
        </w:rPr>
        <w:t>45</w:t>
      </w:r>
      <w:r>
        <w:t>.</w:t>
      </w:r>
      <w:r>
        <w:tab/>
        <w:t>Duty to notify others of presence of asbestos</w:t>
      </w:r>
      <w:bookmarkEnd w:id="67"/>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in Gazette 1 Aug 2014 p. 2814.]</w:t>
      </w:r>
    </w:p>
    <w:p>
      <w:pPr>
        <w:pStyle w:val="Heading5"/>
      </w:pPr>
      <w:bookmarkStart w:id="68" w:name="_Toc394657408"/>
      <w:r>
        <w:rPr>
          <w:rStyle w:val="CharSectno"/>
        </w:rPr>
        <w:t>46</w:t>
      </w:r>
      <w:r>
        <w:t>.</w:t>
      </w:r>
      <w:r>
        <w:tab/>
        <w:t>CEO may approve place and manner of disposal in special cases</w:t>
      </w:r>
      <w:bookmarkEnd w:id="68"/>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in Gazette 1 Aug 2014 p. 2814.]</w:t>
      </w:r>
    </w:p>
    <w:p>
      <w:pPr>
        <w:pStyle w:val="Heading5"/>
      </w:pPr>
      <w:bookmarkStart w:id="69" w:name="_Toc394657409"/>
      <w:r>
        <w:rPr>
          <w:rStyle w:val="CharSectno"/>
        </w:rPr>
        <w:t>47</w:t>
      </w:r>
      <w:r>
        <w:t>.</w:t>
      </w:r>
      <w:r>
        <w:tab/>
        <w:t>Method of disposal</w:t>
      </w:r>
      <w:bookmarkEnd w:id="69"/>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70" w:name="_Toc394657410"/>
      <w:r>
        <w:rPr>
          <w:rStyle w:val="CharPartNo"/>
        </w:rPr>
        <w:t>Part 4</w:t>
      </w:r>
      <w:r>
        <w:rPr>
          <w:rStyle w:val="CharDivNo"/>
        </w:rPr>
        <w:t> </w:t>
      </w:r>
      <w:r>
        <w:t>—</w:t>
      </w:r>
      <w:r>
        <w:rPr>
          <w:rStyle w:val="CharDivText"/>
        </w:rPr>
        <w:t> </w:t>
      </w:r>
      <w:r>
        <w:rPr>
          <w:rStyle w:val="CharPartText"/>
        </w:rPr>
        <w:t>Miscellaneous</w:t>
      </w:r>
      <w:bookmarkEnd w:id="70"/>
    </w:p>
    <w:p>
      <w:pPr>
        <w:pStyle w:val="Heading5"/>
      </w:pPr>
      <w:bookmarkStart w:id="71" w:name="_Toc394657411"/>
      <w:r>
        <w:rPr>
          <w:rStyle w:val="CharSectno"/>
        </w:rPr>
        <w:t>48</w:t>
      </w:r>
      <w:r>
        <w:t>.</w:t>
      </w:r>
      <w:r>
        <w:tab/>
        <w:t>Responsibility of carrier</w:t>
      </w:r>
      <w:bookmarkEnd w:id="71"/>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72" w:name="_Toc394657412"/>
      <w:r>
        <w:rPr>
          <w:rStyle w:val="CharSectno"/>
        </w:rPr>
        <w:t>49</w:t>
      </w:r>
      <w:r>
        <w:t>.</w:t>
      </w:r>
      <w:r>
        <w:tab/>
        <w:t>Exemptions</w:t>
      </w:r>
      <w:bookmarkEnd w:id="72"/>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pPr>
      <w:r>
        <w:tab/>
        <w:t>(2D)</w:t>
      </w:r>
      <w:r>
        <w:tab/>
        <w:t>If the CEO gives an exemption, the CEO must specify in the notice the period for which the exemption applies.</w:t>
      </w:r>
    </w:p>
    <w:p>
      <w:pPr>
        <w:pStyle w:val="Subsection"/>
      </w:pPr>
      <w:r>
        <w:tab/>
        <w:t>(2E)</w:t>
      </w:r>
      <w:r>
        <w:tab/>
        <w:t>If a condition subject to which an exemption is given is breached, the exemption ceases to have effect.</w:t>
      </w:r>
    </w:p>
    <w:p>
      <w:pPr>
        <w:pStyle w:val="Subsection"/>
      </w:pPr>
      <w:r>
        <w:tab/>
        <w:t>(2)</w:t>
      </w:r>
      <w:r>
        <w:tab/>
        <w:t>The CEO may by further written notice revoke or vary an exemption given under subregulation (1).</w:t>
      </w:r>
    </w:p>
    <w:p>
      <w:pPr>
        <w:pStyle w:val="Footnotesection"/>
      </w:pPr>
      <w:r>
        <w:tab/>
        <w:t>[Regulation 49 amended in Gazette 1 Aug 2014 p. 2815-16.]</w:t>
      </w:r>
    </w:p>
    <w:p>
      <w:pPr>
        <w:pStyle w:val="Heading5"/>
      </w:pPr>
      <w:bookmarkStart w:id="73" w:name="_Toc394657413"/>
      <w:r>
        <w:rPr>
          <w:rStyle w:val="CharSectno"/>
        </w:rPr>
        <w:t>50A</w:t>
      </w:r>
      <w:r>
        <w:t>.</w:t>
      </w:r>
      <w:r>
        <w:tab/>
        <w:t>Application for exemption</w:t>
      </w:r>
      <w:bookmarkEnd w:id="73"/>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in Gazette 1 Aug 2014 p. 2816.]</w:t>
      </w:r>
    </w:p>
    <w:p>
      <w:pPr>
        <w:pStyle w:val="Heading5"/>
      </w:pPr>
      <w:bookmarkStart w:id="74" w:name="_Toc394657414"/>
      <w:r>
        <w:rPr>
          <w:rStyle w:val="CharSectno"/>
        </w:rPr>
        <w:t>50</w:t>
      </w:r>
      <w:r>
        <w:t>.</w:t>
      </w:r>
      <w:r>
        <w:tab/>
        <w:t>Inspection of licences, etc.</w:t>
      </w:r>
      <w:bookmarkEnd w:id="74"/>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75" w:name="_Toc394657415"/>
      <w:r>
        <w:rPr>
          <w:rStyle w:val="CharSectno"/>
        </w:rPr>
        <w:t>51</w:t>
      </w:r>
      <w:r>
        <w:t>.</w:t>
      </w:r>
      <w:r>
        <w:tab/>
        <w:t>Meeting</w:t>
      </w:r>
      <w:bookmarkEnd w:id="75"/>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76" w:name="_Toc394657416"/>
      <w:r>
        <w:rPr>
          <w:rStyle w:val="CharSectno"/>
        </w:rPr>
        <w:t>52</w:t>
      </w:r>
      <w:r>
        <w:t>.</w:t>
      </w:r>
      <w:r>
        <w:tab/>
        <w:t>Appeals</w:t>
      </w:r>
      <w:bookmarkEnd w:id="76"/>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in Gazette 1 Aug 2014 p. 2816.]</w:t>
      </w:r>
    </w:p>
    <w:p>
      <w:pPr>
        <w:pStyle w:val="Heading5"/>
      </w:pPr>
      <w:bookmarkStart w:id="77" w:name="_Toc394657417"/>
      <w:r>
        <w:rPr>
          <w:rStyle w:val="CharSectno"/>
        </w:rPr>
        <w:t>53</w:t>
      </w:r>
      <w:r>
        <w:t>.</w:t>
      </w:r>
      <w:r>
        <w:tab/>
        <w:t>Penalty</w:t>
      </w:r>
      <w:bookmarkEnd w:id="77"/>
    </w:p>
    <w:p>
      <w:pPr>
        <w:pStyle w:val="Subsection"/>
      </w:pPr>
      <w:r>
        <w:tab/>
      </w:r>
      <w:r>
        <w:tab/>
        <w:t>A person who commits an offence against these regulations is liable to a penalty of $5 000.</w:t>
      </w:r>
    </w:p>
    <w:p>
      <w:pPr>
        <w:pStyle w:val="Heading5"/>
      </w:pPr>
      <w:bookmarkStart w:id="78" w:name="_Toc394657418"/>
      <w:r>
        <w:rPr>
          <w:rStyle w:val="CharSectno"/>
        </w:rPr>
        <w:t>54</w:t>
      </w:r>
      <w:r>
        <w:t>.</w:t>
      </w:r>
      <w:r>
        <w:tab/>
        <w:t>Fees</w:t>
      </w:r>
      <w:bookmarkEnd w:id="78"/>
    </w:p>
    <w:p>
      <w:pPr>
        <w:pStyle w:val="Subsection"/>
      </w:pPr>
      <w:r>
        <w:tab/>
      </w:r>
      <w:r>
        <w:tab/>
        <w:t>The fees in Schedule 3 are the prescribed fees payable in respect of the matters specified in that Schedule.</w:t>
      </w:r>
    </w:p>
    <w:p>
      <w:pPr>
        <w:pStyle w:val="Footnotesection"/>
      </w:pPr>
      <w:r>
        <w:tab/>
        <w:t>[Regulation 54 inserted in Gazette 13 Apr 2007 p. 1669.]</w:t>
      </w:r>
    </w:p>
    <w:p>
      <w:pPr>
        <w:pStyle w:val="Ednotesection"/>
      </w:pPr>
      <w:r>
        <w:t>[</w:t>
      </w:r>
      <w:r>
        <w:rPr>
          <w:b/>
        </w:rPr>
        <w:t>55-57.</w:t>
      </w:r>
      <w:r>
        <w:tab/>
        <w:t>Deleted in Gazette 1 Aug 2014 p. 2816.]</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9" w:name="_Toc394657419"/>
      <w:r>
        <w:rPr>
          <w:rStyle w:val="CharSchNo"/>
        </w:rPr>
        <w:t>Schedule 1</w:t>
      </w:r>
      <w:r>
        <w:t xml:space="preserve"> — </w:t>
      </w:r>
      <w:r>
        <w:rPr>
          <w:rStyle w:val="CharSchText"/>
        </w:rPr>
        <w:t>Controlled waste</w:t>
      </w:r>
      <w:bookmarkEnd w:id="79"/>
    </w:p>
    <w:p>
      <w:pPr>
        <w:pStyle w:val="yShoulderClause"/>
      </w:pPr>
      <w:r>
        <w:t>[r. 2]</w:t>
      </w:r>
    </w:p>
    <w:p>
      <w:pPr>
        <w:pStyle w:val="yMiscellaneousBody"/>
        <w:jc w:val="center"/>
        <w:rPr>
          <w:b/>
        </w:rPr>
      </w:pPr>
      <w:r>
        <w:rPr>
          <w:b/>
        </w:rPr>
        <w:t>Controlled waste</w:t>
      </w:r>
    </w:p>
    <w:p>
      <w:pPr>
        <w:pStyle w:val="yNumberedItem"/>
      </w:pPr>
      <w:r>
        <w:tab/>
        <w:t>Acidic solutions or acids in solid form</w:t>
      </w:r>
    </w:p>
    <w:p>
      <w:pPr>
        <w:pStyle w:val="yNumberedItem"/>
      </w:pPr>
      <w:r>
        <w:tab/>
        <w:t>Animal effluent or residues (including abattoir effluent, poultry, and fish processing waste)</w:t>
      </w:r>
    </w:p>
    <w:p>
      <w:pPr>
        <w:pStyle w:val="yNumberedItem"/>
      </w:pPr>
      <w:r>
        <w:tab/>
        <w:t>Antimony; antimony compounds</w:t>
      </w:r>
    </w:p>
    <w:p>
      <w:pPr>
        <w:pStyle w:val="yNumberedItem"/>
      </w:pPr>
      <w:r>
        <w:tab/>
        <w:t>Arsenic; arsenic compounds</w:t>
      </w:r>
    </w:p>
    <w:p>
      <w:pPr>
        <w:pStyle w:val="yNumberedItem"/>
      </w:pPr>
      <w:r>
        <w:tab/>
        <w:t>Asbestos</w:t>
      </w:r>
    </w:p>
    <w:p>
      <w:pPr>
        <w:pStyle w:val="yNumberedItem"/>
      </w:pPr>
      <w:r>
        <w:tab/>
        <w:t>Barium compounds other than barium sulphate</w:t>
      </w:r>
    </w:p>
    <w:p>
      <w:pPr>
        <w:pStyle w:val="yNumberedItem"/>
      </w:pPr>
      <w:r>
        <w:tab/>
        <w:t>Basic solutions or bases in solid form</w:t>
      </w:r>
    </w:p>
    <w:p>
      <w:pPr>
        <w:pStyle w:val="yNumberedItem"/>
      </w:pPr>
      <w:r>
        <w:tab/>
        <w:t>Beryllium; beryllium compounds</w:t>
      </w:r>
    </w:p>
    <w:p>
      <w:pPr>
        <w:pStyle w:val="yNumberedItem"/>
      </w:pPr>
      <w:r>
        <w:tab/>
        <w:t>Boron compounds</w:t>
      </w:r>
    </w:p>
    <w:p>
      <w:pPr>
        <w:pStyle w:val="yNumberedItem"/>
      </w:pPr>
      <w:r>
        <w:tab/>
        <w:t>Cadmium; cadmium compounds</w:t>
      </w:r>
    </w:p>
    <w:p>
      <w:pPr>
        <w:pStyle w:val="yNumberedItem"/>
      </w:pPr>
      <w:r>
        <w:tab/>
        <w:t>Ceramic based fibres with physio</w:t>
      </w:r>
      <w:r>
        <w:noBreakHyphen/>
        <w:t>chemical characteristics similar to those of asbestos</w:t>
      </w:r>
    </w:p>
    <w:p>
      <w:pPr>
        <w:pStyle w:val="yNumberedItem"/>
      </w:pPr>
      <w:r>
        <w:tab/>
        <w:t>Chlorates</w:t>
      </w:r>
    </w:p>
    <w:p>
      <w:pPr>
        <w:pStyle w:val="yNumberedItem"/>
      </w:pPr>
      <w:r>
        <w:tab/>
        <w:t>Clinical waste</w:t>
      </w:r>
    </w:p>
    <w:p>
      <w:pPr>
        <w:pStyle w:val="yNumberedItem"/>
      </w:pPr>
      <w:r>
        <w:tab/>
        <w:t>Cobalt or cobalt compounds</w:t>
      </w:r>
    </w:p>
    <w:p>
      <w:pPr>
        <w:pStyle w:val="yNumberedItem"/>
      </w:pPr>
      <w:r>
        <w:tab/>
        <w:t>Containers or drums that are contaminated with residues of a controlled waste</w:t>
      </w:r>
    </w:p>
    <w:p>
      <w:pPr>
        <w:pStyle w:val="yNumberedItem"/>
      </w:pPr>
      <w:r>
        <w:tab/>
        <w:t>Copper compounds</w:t>
      </w:r>
    </w:p>
    <w:p>
      <w:pPr>
        <w:pStyle w:val="yNumberedItem"/>
      </w:pPr>
      <w:r>
        <w:tab/>
        <w:t>Chromium compounds (hexavalent or trivalent)</w:t>
      </w:r>
    </w:p>
    <w:p>
      <w:pPr>
        <w:pStyle w:val="yNumberedItem"/>
      </w:pPr>
      <w:r>
        <w:tab/>
        <w:t>Cyanides (inorganic)</w:t>
      </w:r>
    </w:p>
    <w:p>
      <w:pPr>
        <w:pStyle w:val="yNumberedItem"/>
      </w:pPr>
      <w:r>
        <w:tab/>
        <w:t>Cyanides (organic) and nitriles</w:t>
      </w:r>
    </w:p>
    <w:p>
      <w:pPr>
        <w:pStyle w:val="yNumberedItem"/>
      </w:pPr>
      <w:r>
        <w:tab/>
        <w:t>Encapsulated, chemically</w:t>
      </w:r>
      <w:r>
        <w:noBreakHyphen/>
        <w:t>fixed, solidified, or polymerised controlled wastes</w:t>
      </w:r>
    </w:p>
    <w:p>
      <w:pPr>
        <w:pStyle w:val="yNumberedItem"/>
      </w:pPr>
      <w:r>
        <w:tab/>
        <w:t>Ethers</w:t>
      </w:r>
    </w:p>
    <w:p>
      <w:pPr>
        <w:pStyle w:val="yNumberedItem"/>
      </w:pPr>
      <w:r>
        <w:tab/>
        <w:t>Filter cake containing controlled wastes</w:t>
      </w:r>
    </w:p>
    <w:p>
      <w:pPr>
        <w:pStyle w:val="yNumberedItem"/>
      </w:pPr>
      <w:r>
        <w:tab/>
        <w:t>Fire debris or fire washwaters</w:t>
      </w:r>
    </w:p>
    <w:p>
      <w:pPr>
        <w:pStyle w:val="yNumberedItem"/>
      </w:pPr>
      <w:r>
        <w:tab/>
        <w:t>Fly ash other than fly ash generated from Australian coal fired power stations</w:t>
      </w:r>
    </w:p>
    <w:p>
      <w:pPr>
        <w:pStyle w:val="yNumberedItem"/>
      </w:pPr>
      <w:r>
        <w:tab/>
        <w:t>Halogenated organic solvents</w:t>
      </w:r>
    </w:p>
    <w:p>
      <w:pPr>
        <w:pStyle w:val="yNumberedItem"/>
      </w:pPr>
      <w:r>
        <w:tab/>
        <w:t>Highly odorous organic chemicals (including mercaptans and acrylates)</w:t>
      </w:r>
    </w:p>
    <w:p>
      <w:pPr>
        <w:pStyle w:val="yNumberedItem"/>
      </w:pPr>
      <w:r>
        <w:tab/>
        <w:t>Inorganic fluorine compounds excluding calcium fluoride</w:t>
      </w:r>
    </w:p>
    <w:p>
      <w:pPr>
        <w:pStyle w:val="yNumberedItem"/>
      </w:pPr>
      <w:r>
        <w:tab/>
        <w:t>Inorganic sulphides</w:t>
      </w:r>
    </w:p>
    <w:p>
      <w:pPr>
        <w:pStyle w:val="yNumberedItem"/>
      </w:pPr>
      <w:r>
        <w:tab/>
        <w:t>Isocyanate compounds</w:t>
      </w:r>
    </w:p>
    <w:p>
      <w:pPr>
        <w:pStyle w:val="yNumberedItem"/>
      </w:pPr>
      <w:r>
        <w:tab/>
        <w:t>Lead; lead compounds</w:t>
      </w:r>
    </w:p>
    <w:p>
      <w:pPr>
        <w:pStyle w:val="yNumberedItem"/>
      </w:pPr>
      <w:r>
        <w:tab/>
        <w:t>Mercury; mercury compounds</w:t>
      </w:r>
    </w:p>
    <w:p>
      <w:pPr>
        <w:pStyle w:val="yNumberedItem"/>
      </w:pPr>
      <w:r>
        <w:tab/>
        <w:t>Metal carbonyls</w:t>
      </w:r>
    </w:p>
    <w:p>
      <w:pPr>
        <w:pStyle w:val="yNumberedItem"/>
      </w:pPr>
      <w:r>
        <w:tab/>
        <w:t>Nickel compounds</w:t>
      </w:r>
    </w:p>
    <w:p>
      <w:pPr>
        <w:pStyle w:val="yNumberedItem"/>
      </w:pPr>
      <w:r>
        <w:tab/>
        <w:t>Non toxic salts</w:t>
      </w:r>
    </w:p>
    <w:p>
      <w:pPr>
        <w:pStyle w:val="yNumberedItem"/>
      </w:pPr>
      <w:r>
        <w:tab/>
        <w:t>Organic phosphorus compounds</w:t>
      </w:r>
    </w:p>
    <w:p>
      <w:pPr>
        <w:pStyle w:val="yNumberedItem"/>
      </w:pPr>
      <w:r>
        <w:tab/>
        <w:t>Organic solvents excluding halogenated solvents</w:t>
      </w:r>
    </w:p>
    <w:p>
      <w:pPr>
        <w:pStyle w:val="yNumberedItem"/>
      </w:pPr>
      <w:r>
        <w:tab/>
        <w:t>Organochlorine pesticides (OCPs)</w:t>
      </w:r>
    </w:p>
    <w:p>
      <w:pPr>
        <w:pStyle w:val="yNumberedItem"/>
      </w:pPr>
      <w:r>
        <w:tab/>
        <w:t>Organohalogen compounds other than substances referred to elsewhere in this Schedule</w:t>
      </w:r>
    </w:p>
    <w:p>
      <w:pPr>
        <w:pStyle w:val="yNumberedItem"/>
      </w:pPr>
      <w:r>
        <w:tab/>
        <w:t>Oxidising agents</w:t>
      </w:r>
    </w:p>
    <w:p>
      <w:pPr>
        <w:pStyle w:val="yNumberedItem"/>
      </w:pPr>
      <w:r>
        <w:tab/>
        <w:t>Perchlorates</w:t>
      </w:r>
    </w:p>
    <w:p>
      <w:pPr>
        <w:pStyle w:val="yNumberedItem"/>
      </w:pPr>
      <w:r>
        <w:tab/>
        <w:t>Phenols; phenol compounds including chlorophenols</w:t>
      </w:r>
    </w:p>
    <w:p>
      <w:pPr>
        <w:pStyle w:val="yNumberedItem"/>
      </w:pPr>
      <w:r>
        <w:tab/>
        <w:t>Phosphorus compounds other than mineral phosphates</w:t>
      </w:r>
    </w:p>
    <w:p>
      <w:pPr>
        <w:pStyle w:val="yNumberedItem"/>
      </w:pPr>
      <w:r>
        <w:tab/>
        <w:t>Polychlorinated Biphenyls (PCBs)</w:t>
      </w:r>
    </w:p>
    <w:p>
      <w:pPr>
        <w:pStyle w:val="yNumberedItem"/>
      </w:pPr>
      <w:r>
        <w:tab/>
        <w:t>Polychlorinated dibenzo</w:t>
      </w:r>
      <w:r>
        <w:noBreakHyphen/>
        <w:t>furan (any congener)</w:t>
      </w:r>
    </w:p>
    <w:p>
      <w:pPr>
        <w:pStyle w:val="yNumberedItem"/>
      </w:pPr>
      <w:r>
        <w:tab/>
        <w:t>Polychlorinated dibenzo</w:t>
      </w:r>
      <w:r>
        <w:noBreakHyphen/>
        <w:t>p</w:t>
      </w:r>
      <w:r>
        <w:noBreakHyphen/>
        <w:t>dioxin (any congener)</w:t>
      </w:r>
    </w:p>
    <w:p>
      <w:pPr>
        <w:pStyle w:val="yNumberedItem"/>
      </w:pPr>
      <w:r>
        <w:tab/>
        <w:t>Reactive chemicals</w:t>
      </w:r>
    </w:p>
    <w:p>
      <w:pPr>
        <w:pStyle w:val="yNumberedItem"/>
      </w:pPr>
      <w:r>
        <w:tab/>
        <w:t>Reducing agents</w:t>
      </w:r>
    </w:p>
    <w:p>
      <w:pPr>
        <w:pStyle w:val="yNumberedItem"/>
      </w:pPr>
      <w:r>
        <w:tab/>
        <w:t>Residues from industrial waste treatment or disposal operations</w:t>
      </w:r>
    </w:p>
    <w:p>
      <w:pPr>
        <w:pStyle w:val="yNumberedItem"/>
      </w:pPr>
      <w:r>
        <w:tab/>
        <w:t>Selenium; selenium compounds</w:t>
      </w:r>
    </w:p>
    <w:p>
      <w:pPr>
        <w:pStyle w:val="yNumberedItem"/>
      </w:pPr>
      <w:r>
        <w:tab/>
        <w:t>Sewage</w:t>
      </w:r>
    </w:p>
    <w:p>
      <w:pPr>
        <w:pStyle w:val="yNumberedItem"/>
      </w:pPr>
      <w:r>
        <w:tab/>
        <w:t>Soils contaminated with a controlled waste</w:t>
      </w:r>
    </w:p>
    <w:p>
      <w:pPr>
        <w:pStyle w:val="yNumberedItem"/>
      </w:pPr>
      <w:r>
        <w:tab/>
        <w:t>Surface active agents (surfactants), containing mainly organic constituents and which may contain metals and inorganic materials</w:t>
      </w:r>
    </w:p>
    <w:p>
      <w:pPr>
        <w:pStyle w:val="yNumberedItem"/>
      </w:pPr>
      <w:r>
        <w:tab/>
        <w:t>Tannery wastes (including leather dust, ash, sludge, or flours)</w:t>
      </w:r>
    </w:p>
    <w:p>
      <w:pPr>
        <w:pStyle w:val="yNumberedItem"/>
      </w:pPr>
      <w:r>
        <w:tab/>
        <w:t>Tellurium; tellurium compounds</w:t>
      </w:r>
    </w:p>
    <w:p>
      <w:pPr>
        <w:pStyle w:val="yNumberedItem"/>
      </w:pPr>
      <w:r>
        <w:tab/>
        <w:t>Thallium; thallium compounds</w:t>
      </w:r>
    </w:p>
    <w:p>
      <w:pPr>
        <w:pStyle w:val="yNumberedItem"/>
      </w:pPr>
      <w:r>
        <w:tab/>
        <w:t>Triethylamine catalysts for setting foundry sands</w:t>
      </w:r>
    </w:p>
    <w:p>
      <w:pPr>
        <w:pStyle w:val="yNumberedItem"/>
      </w:pPr>
      <w:r>
        <w:tab/>
        <w:t>Tyres</w:t>
      </w:r>
    </w:p>
    <w:p>
      <w:pPr>
        <w:pStyle w:val="yNumberedItem"/>
      </w:pPr>
      <w:r>
        <w:tab/>
        <w:t>Vanadium compounds</w:t>
      </w:r>
    </w:p>
    <w:p>
      <w:pPr>
        <w:pStyle w:val="yNumberedItem"/>
      </w:pPr>
      <w:r>
        <w:tab/>
        <w:t>Vegetable and food processing waste</w:t>
      </w:r>
    </w:p>
    <w:p>
      <w:pPr>
        <w:pStyle w:val="yNumberedItem"/>
      </w:pPr>
      <w:r>
        <w:tab/>
        <w:t>Waste chemical substances arising from research and development or teaching activities which substances are not identified or are new or the effects of which on human health or the environment are not known</w:t>
      </w:r>
    </w:p>
    <w:p>
      <w:pPr>
        <w:pStyle w:val="yNumberedItem"/>
      </w:pPr>
      <w:r>
        <w:tab/>
        <w:t>Waste containing peroxides other than hydrogen peroxide</w:t>
      </w:r>
    </w:p>
    <w:p>
      <w:pPr>
        <w:pStyle w:val="yNumberedItem"/>
      </w:pPr>
      <w:r>
        <w:tab/>
        <w:t>Waste from grease traps</w:t>
      </w:r>
    </w:p>
    <w:p>
      <w:pPr>
        <w:pStyle w:val="yNumberedItem"/>
      </w:pPr>
      <w:r>
        <w:tab/>
        <w:t>Waste from heat treatment or tempering operations containing cyanides</w:t>
      </w:r>
    </w:p>
    <w:p>
      <w:pPr>
        <w:pStyle w:val="yNumberedItem"/>
      </w:pPr>
      <w:r>
        <w:tab/>
        <w:t>Waste from the manufacture, formulation, or use of wood</w:t>
      </w:r>
      <w:r>
        <w:noBreakHyphen/>
        <w:t>preserving chemicals</w:t>
      </w:r>
    </w:p>
    <w:p>
      <w:pPr>
        <w:pStyle w:val="yNumberedItem"/>
      </w:pPr>
      <w:r>
        <w:tab/>
        <w:t>Waste from the production, formulation, or use of biocides and phytopharmaceuticals</w:t>
      </w:r>
    </w:p>
    <w:p>
      <w:pPr>
        <w:pStyle w:val="yNumberedItem"/>
      </w:pPr>
      <w:r>
        <w:tab/>
        <w:t>Waste from the production, formulation, or use of inks, dyes, pigments, paints, lacquers, or varnish</w:t>
      </w:r>
    </w:p>
    <w:p>
      <w:pPr>
        <w:pStyle w:val="yNumberedItem"/>
      </w:pPr>
      <w:r>
        <w:tab/>
        <w:t>Waste from the production, formulation, or use of organic solvents</w:t>
      </w:r>
    </w:p>
    <w:p>
      <w:pPr>
        <w:pStyle w:val="yNumberedItem"/>
      </w:pPr>
      <w:r>
        <w:tab/>
        <w:t>Waste from the production, formulation, or use of photographic chemicals or processing material</w:t>
      </w:r>
    </w:p>
    <w:p>
      <w:pPr>
        <w:pStyle w:val="yNumberedItem"/>
      </w:pPr>
      <w:r>
        <w:tab/>
        <w:t>Waste from the production, formulation, or use of resins, latex, plasticisers, glues, or adhesives</w:t>
      </w:r>
    </w:p>
    <w:p>
      <w:pPr>
        <w:pStyle w:val="yNumberedItem"/>
      </w:pPr>
      <w:r>
        <w:tab/>
        <w:t>Waste from the production or preparation of pharmaceutical products</w:t>
      </w:r>
    </w:p>
    <w:p>
      <w:pPr>
        <w:pStyle w:val="yNumberedItem"/>
      </w:pPr>
      <w:r>
        <w:tab/>
        <w:t>Waste mineral oils unfit for their intended use</w:t>
      </w:r>
    </w:p>
    <w:p>
      <w:pPr>
        <w:pStyle w:val="yNumberedItem"/>
      </w:pPr>
      <w:r>
        <w:tab/>
        <w:t>Waste oil and water, or hydrocarbons and water, mixtures or emulsions</w:t>
      </w:r>
    </w:p>
    <w:p>
      <w:pPr>
        <w:pStyle w:val="yNumberedItem"/>
      </w:pPr>
      <w:r>
        <w:tab/>
        <w:t>Waste pharmaceuticals drugs or medicines</w:t>
      </w:r>
    </w:p>
    <w:p>
      <w:pPr>
        <w:pStyle w:val="yNumberedItem"/>
      </w:pPr>
      <w:r>
        <w:tab/>
        <w:t>Waste resulting from surface treatments of metals or plastics</w:t>
      </w:r>
    </w:p>
    <w:p>
      <w:pPr>
        <w:pStyle w:val="yNumberedItem"/>
      </w:pPr>
      <w:r>
        <w:tab/>
        <w:t>Waste tarry residues arising from refining, distillation, or pyrolytic treatment</w:t>
      </w:r>
    </w:p>
    <w:p>
      <w:pPr>
        <w:pStyle w:val="yNumberedItem"/>
      </w:pPr>
      <w:r>
        <w:tab/>
        <w:t>Waste, substances, or articles containing or contaminated by polychlorinated biphenyls (PCBs), polychlorinated napthalenes (PCNs), polychlorinated terphenyls (PCTs), or polybrominated biphenyls (PBBs)</w:t>
      </w:r>
    </w:p>
    <w:p>
      <w:pPr>
        <w:pStyle w:val="yNumberedItem"/>
      </w:pPr>
      <w:r>
        <w:tab/>
        <w:t>Wastes of an explosive nature not subject to any other written law</w:t>
      </w:r>
    </w:p>
    <w:p>
      <w:pPr>
        <w:pStyle w:val="yNumberedItem"/>
      </w:pPr>
      <w:r>
        <w:tab/>
        <w:t>Wool scouring wastes</w:t>
      </w:r>
    </w:p>
    <w:p>
      <w:pPr>
        <w:pStyle w:val="yNumberedItem"/>
      </w:pPr>
      <w:r>
        <w:tab/>
        <w:t>Zinc compounds</w:t>
      </w:r>
    </w:p>
    <w:p>
      <w:pPr>
        <w:pStyle w:val="yFootnotesection"/>
      </w:pPr>
      <w:r>
        <w:tab/>
        <w:t>[Schedule 1 amended in Gazette 1 Aug 2014 p. 2817-18.]</w:t>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yScheduleHeading"/>
      </w:pPr>
      <w:bookmarkStart w:id="80" w:name="_Toc394657420"/>
      <w:r>
        <w:rPr>
          <w:rStyle w:val="CharSchNo"/>
        </w:rPr>
        <w:t>Schedule 2</w:t>
      </w:r>
      <w:r>
        <w:t> — </w:t>
      </w:r>
      <w:r>
        <w:rPr>
          <w:rStyle w:val="CharSchText"/>
        </w:rPr>
        <w:t>Transport information</w:t>
      </w:r>
      <w:bookmarkEnd w:id="80"/>
    </w:p>
    <w:p>
      <w:pPr>
        <w:pStyle w:val="yShoulderClause"/>
      </w:pPr>
      <w:r>
        <w:t>[r. 25, 28, 29, 32, 35, 40, 41A, 41]</w:t>
      </w:r>
    </w:p>
    <w:p>
      <w:pPr>
        <w:pStyle w:val="yFootnoteheading"/>
      </w:pPr>
      <w:r>
        <w:tab/>
        <w:t>[Heading inserted in Gazette 1 Aug 2014 p. 2818.]</w:t>
      </w:r>
    </w:p>
    <w:p>
      <w:pPr>
        <w:pStyle w:val="yHeading3"/>
      </w:pPr>
      <w:bookmarkStart w:id="81" w:name="_Toc394657421"/>
      <w:r>
        <w:rPr>
          <w:rStyle w:val="CharSDivNo"/>
        </w:rPr>
        <w:t>Division 1</w:t>
      </w:r>
      <w:r>
        <w:rPr>
          <w:b w:val="0"/>
        </w:rPr>
        <w:t> — </w:t>
      </w:r>
      <w:r>
        <w:rPr>
          <w:rStyle w:val="CharSDivText"/>
        </w:rPr>
        <w:t>Information to be provided by driver to waste holder</w:t>
      </w:r>
      <w:bookmarkEnd w:id="81"/>
    </w:p>
    <w:p>
      <w:pPr>
        <w:pStyle w:val="yFootnoteheading"/>
      </w:pPr>
      <w:r>
        <w:tab/>
        <w:t>[Heading inserted in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in Gazette 1 Aug 2014 p. 2818.]</w:t>
      </w:r>
    </w:p>
    <w:p>
      <w:pPr>
        <w:pStyle w:val="yHeading3"/>
      </w:pPr>
      <w:bookmarkStart w:id="82" w:name="_Toc394657422"/>
      <w:r>
        <w:rPr>
          <w:rStyle w:val="CharSDivNo"/>
        </w:rPr>
        <w:t>Division 2</w:t>
      </w:r>
      <w:r>
        <w:rPr>
          <w:b w:val="0"/>
        </w:rPr>
        <w:t> — </w:t>
      </w:r>
      <w:r>
        <w:rPr>
          <w:rStyle w:val="CharSDivText"/>
        </w:rPr>
        <w:t>Information to be provided by waste holder</w:t>
      </w:r>
      <w:bookmarkEnd w:id="82"/>
    </w:p>
    <w:p>
      <w:pPr>
        <w:pStyle w:val="yFootnoteheading"/>
      </w:pPr>
      <w:r>
        <w:tab/>
        <w:t>[Heading inserted in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in Gazette 1 Aug 2014 p. 2818.]</w:t>
      </w:r>
    </w:p>
    <w:p>
      <w:pPr>
        <w:pStyle w:val="yHeading3"/>
      </w:pPr>
      <w:bookmarkStart w:id="83" w:name="_Toc394657423"/>
      <w:r>
        <w:rPr>
          <w:rStyle w:val="CharSDivNo"/>
        </w:rPr>
        <w:t>Division 3</w:t>
      </w:r>
      <w:r>
        <w:t> — </w:t>
      </w:r>
      <w:r>
        <w:rPr>
          <w:rStyle w:val="CharSDivText"/>
        </w:rPr>
        <w:t>Information to be recorded on controlled waste tracking form</w:t>
      </w:r>
      <w:bookmarkEnd w:id="83"/>
    </w:p>
    <w:p>
      <w:pPr>
        <w:pStyle w:val="yFootnoteheading"/>
      </w:pPr>
      <w:r>
        <w:tab/>
        <w:t>[Heading inserted in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in Gazette 1 Aug 2014 p. 2819.]</w:t>
      </w:r>
    </w:p>
    <w:p>
      <w:pPr>
        <w:pStyle w:val="yHeading3"/>
      </w:pPr>
      <w:bookmarkStart w:id="84" w:name="_Toc394657424"/>
      <w:r>
        <w:rPr>
          <w:rStyle w:val="CharSDivNo"/>
        </w:rPr>
        <w:t>Division 4</w:t>
      </w:r>
      <w:r>
        <w:rPr>
          <w:b w:val="0"/>
        </w:rPr>
        <w:t> — </w:t>
      </w:r>
      <w:r>
        <w:rPr>
          <w:rStyle w:val="CharSDivText"/>
        </w:rPr>
        <w:t>Information to be recorded by the occupier of waste facility</w:t>
      </w:r>
      <w:bookmarkEnd w:id="84"/>
    </w:p>
    <w:p>
      <w:pPr>
        <w:pStyle w:val="yFootnoteheading"/>
      </w:pPr>
      <w:r>
        <w:tab/>
        <w:t>[Heading inserted in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in Gazette 1 Aug 2014 p. 2819-20.]</w:t>
      </w:r>
    </w:p>
    <w:p>
      <w:pPr>
        <w:pStyle w:val="yScheduleHeading"/>
      </w:pPr>
      <w:bookmarkStart w:id="85" w:name="_Toc394657425"/>
      <w:r>
        <w:rPr>
          <w:rStyle w:val="CharSchNo"/>
        </w:rPr>
        <w:t>Schedule 3</w:t>
      </w:r>
      <w:r>
        <w:rPr>
          <w:rStyle w:val="CharSDivNo"/>
        </w:rPr>
        <w:t> </w:t>
      </w:r>
      <w:r>
        <w:t>—</w:t>
      </w:r>
      <w:r>
        <w:rPr>
          <w:rStyle w:val="CharSDivText"/>
        </w:rPr>
        <w:t> </w:t>
      </w:r>
      <w:r>
        <w:rPr>
          <w:rStyle w:val="CharSchText"/>
        </w:rPr>
        <w:t>Fees</w:t>
      </w:r>
      <w:bookmarkEnd w:id="85"/>
    </w:p>
    <w:p>
      <w:pPr>
        <w:pStyle w:val="yShoulderClause"/>
      </w:pPr>
      <w:r>
        <w:t>[r. 54]</w:t>
      </w:r>
    </w:p>
    <w:p>
      <w:pPr>
        <w:pStyle w:val="yFootnoteheading"/>
        <w:spacing w:after="60"/>
      </w:pPr>
      <w:r>
        <w:tab/>
        <w:t>[Heading inserted in Gazette 1 Aug 2014 p. 2820.]</w:t>
      </w:r>
    </w:p>
    <w:tbl>
      <w:tblPr>
        <w:tblW w:w="6804" w:type="dxa"/>
        <w:tblInd w:w="250" w:type="dxa"/>
        <w:tblLayout w:type="fixed"/>
        <w:tblLook w:val="0000" w:firstRow="0" w:lastRow="0" w:firstColumn="0" w:lastColumn="0" w:noHBand="0" w:noVBand="0"/>
      </w:tblPr>
      <w:tblGrid>
        <w:gridCol w:w="851"/>
        <w:gridCol w:w="4252"/>
        <w:gridCol w:w="1701"/>
      </w:tblGrid>
      <w:tr>
        <w:trPr>
          <w:cantSplit/>
          <w:tblHeader/>
        </w:trPr>
        <w:tc>
          <w:tcPr>
            <w:tcW w:w="851" w:type="dxa"/>
            <w:tcBorders>
              <w:top w:val="single" w:sz="4" w:space="0" w:color="auto"/>
              <w:bottom w:val="single" w:sz="4" w:space="0" w:color="auto"/>
            </w:tcBorders>
          </w:tcPr>
          <w:p>
            <w:pPr>
              <w:pStyle w:val="yTableNAm"/>
            </w:pPr>
            <w:r>
              <w:rPr>
                <w:b/>
              </w:rPr>
              <w:t>Item</w:t>
            </w:r>
          </w:p>
        </w:tc>
        <w:tc>
          <w:tcPr>
            <w:tcW w:w="4252" w:type="dxa"/>
            <w:tcBorders>
              <w:top w:val="single" w:sz="4" w:space="0" w:color="auto"/>
              <w:bottom w:val="single" w:sz="4" w:space="0" w:color="auto"/>
            </w:tcBorders>
          </w:tcPr>
          <w:p>
            <w:pPr>
              <w:pStyle w:val="yTableNAm"/>
              <w:jc w:val="center"/>
            </w:pPr>
            <w:r>
              <w:rPr>
                <w:b/>
              </w:rPr>
              <w:t>Type of fee</w:t>
            </w:r>
          </w:p>
        </w:tc>
        <w:tc>
          <w:tcPr>
            <w:tcW w:w="1701"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851" w:type="dxa"/>
          </w:tcPr>
          <w:p>
            <w:pPr>
              <w:pStyle w:val="yTableNAm"/>
            </w:pPr>
            <w:r>
              <w:t>1.</w:t>
            </w:r>
          </w:p>
        </w:tc>
        <w:tc>
          <w:tcPr>
            <w:tcW w:w="4252" w:type="dxa"/>
          </w:tcPr>
          <w:p>
            <w:pPr>
              <w:pStyle w:val="yTableNAm"/>
            </w:pPr>
            <w:r>
              <w:t>Licence as a carrier (r. 4(1))</w:t>
            </w:r>
          </w:p>
        </w:tc>
        <w:tc>
          <w:tcPr>
            <w:tcW w:w="1701" w:type="dxa"/>
            <w:vAlign w:val="center"/>
          </w:tcPr>
          <w:p>
            <w:pPr>
              <w:pStyle w:val="yTableNAm"/>
              <w:jc w:val="right"/>
            </w:pPr>
            <w:r>
              <w:t>225.00 one year</w:t>
            </w:r>
            <w:r>
              <w:br/>
              <w:t>555.00 3 years</w:t>
            </w:r>
            <w:r>
              <w:br/>
              <w:t>885.00 5 years</w:t>
            </w:r>
          </w:p>
        </w:tc>
      </w:tr>
      <w:tr>
        <w:trPr>
          <w:cantSplit/>
        </w:trPr>
        <w:tc>
          <w:tcPr>
            <w:tcW w:w="851" w:type="dxa"/>
          </w:tcPr>
          <w:p>
            <w:pPr>
              <w:pStyle w:val="yTableNAm"/>
            </w:pPr>
            <w:r>
              <w:t>2.</w:t>
            </w:r>
          </w:p>
        </w:tc>
        <w:tc>
          <w:tcPr>
            <w:tcW w:w="4252" w:type="dxa"/>
          </w:tcPr>
          <w:p>
            <w:pPr>
              <w:pStyle w:val="yTableNAm"/>
            </w:pPr>
            <w:r>
              <w:t>Licence as a driver (r. 4(1), 20(1))</w:t>
            </w:r>
          </w:p>
        </w:tc>
        <w:tc>
          <w:tcPr>
            <w:tcW w:w="1701" w:type="dxa"/>
            <w:vAlign w:val="center"/>
          </w:tcPr>
          <w:p>
            <w:pPr>
              <w:pStyle w:val="yTableNAm"/>
              <w:jc w:val="right"/>
            </w:pPr>
            <w:r>
              <w:t>225.00 one year</w:t>
            </w:r>
            <w:r>
              <w:br/>
              <w:t>345.00 3 years</w:t>
            </w:r>
            <w:r>
              <w:br/>
              <w:t>465.00 5 years</w:t>
            </w:r>
          </w:p>
        </w:tc>
      </w:tr>
      <w:tr>
        <w:trPr>
          <w:cantSplit/>
        </w:trPr>
        <w:tc>
          <w:tcPr>
            <w:tcW w:w="851" w:type="dxa"/>
          </w:tcPr>
          <w:p>
            <w:pPr>
              <w:pStyle w:val="yTableNAm"/>
            </w:pPr>
            <w:r>
              <w:t>3.</w:t>
            </w:r>
          </w:p>
        </w:tc>
        <w:tc>
          <w:tcPr>
            <w:tcW w:w="4252" w:type="dxa"/>
          </w:tcPr>
          <w:p>
            <w:pPr>
              <w:pStyle w:val="yTableNAm"/>
            </w:pPr>
            <w:r>
              <w:t>Licence for a vehicle or tank (r. 4(1))</w:t>
            </w:r>
          </w:p>
        </w:tc>
        <w:tc>
          <w:tcPr>
            <w:tcW w:w="1701" w:type="dxa"/>
            <w:vAlign w:val="center"/>
          </w:tcPr>
          <w:p>
            <w:pPr>
              <w:pStyle w:val="yTableNAm"/>
              <w:jc w:val="right"/>
            </w:pPr>
            <w:r>
              <w:t>225.00 one year</w:t>
            </w:r>
            <w:r>
              <w:br/>
              <w:t>345.00 3 years</w:t>
            </w:r>
            <w:r>
              <w:br/>
              <w:t>465.00 5 years</w:t>
            </w:r>
          </w:p>
        </w:tc>
      </w:tr>
      <w:tr>
        <w:trPr>
          <w:cantSplit/>
        </w:trPr>
        <w:tc>
          <w:tcPr>
            <w:tcW w:w="851" w:type="dxa"/>
          </w:tcPr>
          <w:p>
            <w:pPr>
              <w:pStyle w:val="yTableNAm"/>
            </w:pPr>
            <w:r>
              <w:t>4.</w:t>
            </w:r>
          </w:p>
        </w:tc>
        <w:tc>
          <w:tcPr>
            <w:tcW w:w="4252" w:type="dxa"/>
          </w:tcPr>
          <w:p>
            <w:pPr>
              <w:pStyle w:val="yTableNAm"/>
            </w:pPr>
            <w:r>
              <w:t>Renewal of licence as a carrier (r. 9(1))</w:t>
            </w:r>
          </w:p>
        </w:tc>
        <w:tc>
          <w:tcPr>
            <w:tcW w:w="1701" w:type="dxa"/>
            <w:vAlign w:val="center"/>
          </w:tcPr>
          <w:p>
            <w:pPr>
              <w:pStyle w:val="yTableNAm"/>
              <w:jc w:val="right"/>
            </w:pPr>
            <w:r>
              <w:t>165.00 one year</w:t>
            </w:r>
            <w:r>
              <w:br/>
              <w:t>495.00 3 years</w:t>
            </w:r>
            <w:r>
              <w:br/>
              <w:t>825.00 5 years</w:t>
            </w:r>
          </w:p>
        </w:tc>
      </w:tr>
      <w:tr>
        <w:trPr>
          <w:cantSplit/>
        </w:trPr>
        <w:tc>
          <w:tcPr>
            <w:tcW w:w="851" w:type="dxa"/>
          </w:tcPr>
          <w:p>
            <w:pPr>
              <w:pStyle w:val="yTableNAm"/>
            </w:pPr>
            <w:r>
              <w:t>5.</w:t>
            </w:r>
          </w:p>
        </w:tc>
        <w:tc>
          <w:tcPr>
            <w:tcW w:w="4252" w:type="dxa"/>
          </w:tcPr>
          <w:p>
            <w:pPr>
              <w:pStyle w:val="yTableNAm"/>
            </w:pPr>
            <w:r>
              <w:t>Renewal of licence as a driver (r. 9(1))</w:t>
            </w:r>
          </w:p>
        </w:tc>
        <w:tc>
          <w:tcPr>
            <w:tcW w:w="1701" w:type="dxa"/>
            <w:vAlign w:val="center"/>
          </w:tcPr>
          <w:p>
            <w:pPr>
              <w:pStyle w:val="yTableNAm"/>
              <w:jc w:val="right"/>
            </w:pPr>
            <w:r>
              <w:t>60.00 one year</w:t>
            </w:r>
            <w:r>
              <w:br/>
              <w:t>180.00 3 years</w:t>
            </w:r>
            <w:r>
              <w:br/>
              <w:t>300.00 5 years</w:t>
            </w:r>
          </w:p>
        </w:tc>
      </w:tr>
      <w:tr>
        <w:trPr>
          <w:cantSplit/>
        </w:trPr>
        <w:tc>
          <w:tcPr>
            <w:tcW w:w="851" w:type="dxa"/>
          </w:tcPr>
          <w:p>
            <w:pPr>
              <w:pStyle w:val="yTableNAm"/>
            </w:pPr>
            <w:r>
              <w:t>6.</w:t>
            </w:r>
          </w:p>
        </w:tc>
        <w:tc>
          <w:tcPr>
            <w:tcW w:w="4252" w:type="dxa"/>
          </w:tcPr>
          <w:p>
            <w:pPr>
              <w:pStyle w:val="yTableNAm"/>
            </w:pPr>
            <w:r>
              <w:t>Renewal of licence for a vehicle or tank (r. 9(1))</w:t>
            </w:r>
          </w:p>
        </w:tc>
        <w:tc>
          <w:tcPr>
            <w:tcW w:w="1701" w:type="dxa"/>
            <w:vAlign w:val="center"/>
          </w:tcPr>
          <w:p>
            <w:pPr>
              <w:pStyle w:val="yTableNAm"/>
              <w:jc w:val="right"/>
            </w:pPr>
            <w:r>
              <w:t>60.00 one year</w:t>
            </w:r>
            <w:r>
              <w:br/>
              <w:t>180.00 3 years</w:t>
            </w:r>
            <w:r>
              <w:br/>
              <w:t>300.00 5 years</w:t>
            </w:r>
          </w:p>
        </w:tc>
      </w:tr>
      <w:tr>
        <w:trPr>
          <w:cantSplit/>
        </w:trPr>
        <w:tc>
          <w:tcPr>
            <w:tcW w:w="851" w:type="dxa"/>
          </w:tcPr>
          <w:p>
            <w:pPr>
              <w:pStyle w:val="yTableNAm"/>
            </w:pPr>
            <w:r>
              <w:t>7.</w:t>
            </w:r>
          </w:p>
        </w:tc>
        <w:tc>
          <w:tcPr>
            <w:tcW w:w="4252" w:type="dxa"/>
          </w:tcPr>
          <w:p>
            <w:pPr>
              <w:pStyle w:val="yTableNAm"/>
            </w:pPr>
            <w:r>
              <w:t>Application for a condition of a licence to be changed or removed (r. 6(5))</w:t>
            </w:r>
          </w:p>
        </w:tc>
        <w:tc>
          <w:tcPr>
            <w:tcW w:w="1701" w:type="dxa"/>
          </w:tcPr>
          <w:p>
            <w:pPr>
              <w:pStyle w:val="yTableNAm"/>
              <w:jc w:val="right"/>
            </w:pPr>
            <w:r>
              <w:br/>
              <w:t>105.00</w:t>
            </w:r>
          </w:p>
        </w:tc>
      </w:tr>
      <w:tr>
        <w:trPr>
          <w:cantSplit/>
        </w:trPr>
        <w:tc>
          <w:tcPr>
            <w:tcW w:w="851" w:type="dxa"/>
          </w:tcPr>
          <w:p>
            <w:pPr>
              <w:pStyle w:val="yTableNAm"/>
            </w:pPr>
            <w:r>
              <w:t>8.</w:t>
            </w:r>
          </w:p>
        </w:tc>
        <w:tc>
          <w:tcPr>
            <w:tcW w:w="4252" w:type="dxa"/>
          </w:tcPr>
          <w:p>
            <w:pPr>
              <w:pStyle w:val="yTableNAm"/>
            </w:pPr>
            <w:r>
              <w:t>Application for transfer of licence (r. 25C(2))</w:t>
            </w:r>
          </w:p>
        </w:tc>
        <w:tc>
          <w:tcPr>
            <w:tcW w:w="1701" w:type="dxa"/>
            <w:vAlign w:val="center"/>
          </w:tcPr>
          <w:p>
            <w:pPr>
              <w:pStyle w:val="yTableNAm"/>
              <w:jc w:val="right"/>
            </w:pPr>
            <w:r>
              <w:t>105.00</w:t>
            </w:r>
          </w:p>
        </w:tc>
      </w:tr>
      <w:tr>
        <w:trPr>
          <w:cantSplit/>
        </w:trPr>
        <w:tc>
          <w:tcPr>
            <w:tcW w:w="851" w:type="dxa"/>
          </w:tcPr>
          <w:p>
            <w:pPr>
              <w:pStyle w:val="yTableNAm"/>
            </w:pPr>
            <w:r>
              <w:t>9.</w:t>
            </w:r>
          </w:p>
        </w:tc>
        <w:tc>
          <w:tcPr>
            <w:tcW w:w="4252" w:type="dxa"/>
          </w:tcPr>
          <w:p>
            <w:pPr>
              <w:pStyle w:val="yTableNAm"/>
            </w:pPr>
            <w:r>
              <w:t xml:space="preserve">Controlled waste tracking number (r. 37(1)) — </w:t>
            </w:r>
          </w:p>
        </w:tc>
        <w:tc>
          <w:tcPr>
            <w:tcW w:w="1701" w:type="dxa"/>
            <w:vAlign w:val="center"/>
          </w:tcPr>
          <w:p>
            <w:pPr>
              <w:pStyle w:val="yTableNAm"/>
            </w:pPr>
          </w:p>
        </w:tc>
      </w:tr>
      <w:tr>
        <w:trPr>
          <w:cantSplit/>
        </w:trPr>
        <w:tc>
          <w:tcPr>
            <w:tcW w:w="851" w:type="dxa"/>
          </w:tcPr>
          <w:p>
            <w:pPr>
              <w:pStyle w:val="zyTableNAm"/>
            </w:pPr>
          </w:p>
        </w:tc>
        <w:tc>
          <w:tcPr>
            <w:tcW w:w="4252" w:type="dxa"/>
          </w:tcPr>
          <w:p>
            <w:pPr>
              <w:pStyle w:val="yTableNAm"/>
              <w:ind w:left="579" w:hanging="579"/>
            </w:pPr>
            <w:r>
              <w:t>(a)</w:t>
            </w:r>
            <w:r>
              <w:tab/>
              <w:t>issued electronically on or after 16 April 2014 and on or before 15 April 2015</w:t>
            </w:r>
          </w:p>
        </w:tc>
        <w:tc>
          <w:tcPr>
            <w:tcW w:w="1701" w:type="dxa"/>
            <w:vAlign w:val="center"/>
          </w:tcPr>
          <w:p>
            <w:pPr>
              <w:pStyle w:val="yTableNAm"/>
              <w:jc w:val="right"/>
            </w:pPr>
            <w:r>
              <w:br/>
            </w:r>
            <w:r>
              <w:br/>
              <w:t>39.50</w:t>
            </w:r>
          </w:p>
        </w:tc>
      </w:tr>
      <w:tr>
        <w:trPr>
          <w:cantSplit/>
        </w:trPr>
        <w:tc>
          <w:tcPr>
            <w:tcW w:w="851" w:type="dxa"/>
          </w:tcPr>
          <w:p>
            <w:pPr>
              <w:pStyle w:val="zyTableNAm"/>
            </w:pPr>
          </w:p>
        </w:tc>
        <w:tc>
          <w:tcPr>
            <w:tcW w:w="4252" w:type="dxa"/>
          </w:tcPr>
          <w:p>
            <w:pPr>
              <w:pStyle w:val="yTableNAm"/>
              <w:ind w:left="579" w:hanging="579"/>
            </w:pPr>
            <w:r>
              <w:t>(b)</w:t>
            </w:r>
            <w:r>
              <w:tab/>
              <w:t>issued other than electronically on or after 16 April 2014 and on or before 15 April 2015</w:t>
            </w:r>
          </w:p>
        </w:tc>
        <w:tc>
          <w:tcPr>
            <w:tcW w:w="1701" w:type="dxa"/>
            <w:vAlign w:val="center"/>
          </w:tcPr>
          <w:p>
            <w:pPr>
              <w:pStyle w:val="yTableNAm"/>
              <w:jc w:val="right"/>
            </w:pPr>
            <w:r>
              <w:br/>
            </w:r>
            <w:r>
              <w:br/>
              <w:t>51.50</w:t>
            </w:r>
          </w:p>
        </w:tc>
      </w:tr>
      <w:tr>
        <w:trPr>
          <w:cantSplit/>
        </w:trPr>
        <w:tc>
          <w:tcPr>
            <w:tcW w:w="851" w:type="dxa"/>
          </w:tcPr>
          <w:p>
            <w:pPr>
              <w:pStyle w:val="zyTableNAm"/>
            </w:pPr>
          </w:p>
        </w:tc>
        <w:tc>
          <w:tcPr>
            <w:tcW w:w="4252" w:type="dxa"/>
          </w:tcPr>
          <w:p>
            <w:pPr>
              <w:pStyle w:val="yTableNAm"/>
              <w:ind w:left="579" w:hanging="579"/>
            </w:pPr>
            <w:r>
              <w:t>(c)</w:t>
            </w:r>
            <w:r>
              <w:tab/>
              <w:t>issued electronically on or after 16 April 2015 and on or before 15 April 2016</w:t>
            </w:r>
          </w:p>
        </w:tc>
        <w:tc>
          <w:tcPr>
            <w:tcW w:w="1701" w:type="dxa"/>
            <w:vAlign w:val="center"/>
          </w:tcPr>
          <w:p>
            <w:pPr>
              <w:pStyle w:val="yTableNAm"/>
              <w:jc w:val="right"/>
            </w:pPr>
            <w:r>
              <w:br/>
            </w:r>
            <w:r>
              <w:br/>
              <w:t>41.00</w:t>
            </w:r>
          </w:p>
        </w:tc>
      </w:tr>
      <w:tr>
        <w:trPr>
          <w:cantSplit/>
        </w:trPr>
        <w:tc>
          <w:tcPr>
            <w:tcW w:w="851" w:type="dxa"/>
          </w:tcPr>
          <w:p>
            <w:pPr>
              <w:pStyle w:val="zyTableNAm"/>
            </w:pPr>
          </w:p>
        </w:tc>
        <w:tc>
          <w:tcPr>
            <w:tcW w:w="4252" w:type="dxa"/>
          </w:tcPr>
          <w:p>
            <w:pPr>
              <w:pStyle w:val="yTableNAm"/>
              <w:ind w:left="579" w:hanging="579"/>
            </w:pPr>
            <w:r>
              <w:t>(d)</w:t>
            </w:r>
            <w:r>
              <w:tab/>
              <w:t>issued other than electronically on or after 16 April 2015 and on or before 15 April 2016</w:t>
            </w:r>
          </w:p>
        </w:tc>
        <w:tc>
          <w:tcPr>
            <w:tcW w:w="1701" w:type="dxa"/>
            <w:vAlign w:val="center"/>
          </w:tcPr>
          <w:p>
            <w:pPr>
              <w:pStyle w:val="yTableNAm"/>
              <w:jc w:val="right"/>
            </w:pPr>
            <w:r>
              <w:br/>
            </w:r>
            <w:r>
              <w:br/>
              <w:t>53.50</w:t>
            </w:r>
          </w:p>
        </w:tc>
      </w:tr>
      <w:tr>
        <w:trPr>
          <w:cantSplit/>
        </w:trPr>
        <w:tc>
          <w:tcPr>
            <w:tcW w:w="851" w:type="dxa"/>
          </w:tcPr>
          <w:p>
            <w:pPr>
              <w:pStyle w:val="zyTableNAm"/>
            </w:pPr>
          </w:p>
        </w:tc>
        <w:tc>
          <w:tcPr>
            <w:tcW w:w="4252" w:type="dxa"/>
          </w:tcPr>
          <w:p>
            <w:pPr>
              <w:pStyle w:val="yTableNAm"/>
              <w:ind w:left="579" w:hanging="579"/>
            </w:pPr>
            <w:r>
              <w:t>(e)</w:t>
            </w:r>
            <w:r>
              <w:tab/>
              <w:t>issued electronically on or after 16 April 2016 and on or before 15 April 2017</w:t>
            </w:r>
          </w:p>
        </w:tc>
        <w:tc>
          <w:tcPr>
            <w:tcW w:w="1701" w:type="dxa"/>
            <w:vAlign w:val="center"/>
          </w:tcPr>
          <w:p>
            <w:pPr>
              <w:pStyle w:val="yTableNAm"/>
              <w:jc w:val="right"/>
            </w:pPr>
            <w:r>
              <w:br/>
            </w:r>
            <w:r>
              <w:br/>
              <w:t>42.50</w:t>
            </w:r>
          </w:p>
        </w:tc>
      </w:tr>
      <w:tr>
        <w:trPr>
          <w:cantSplit/>
        </w:trPr>
        <w:tc>
          <w:tcPr>
            <w:tcW w:w="851" w:type="dxa"/>
          </w:tcPr>
          <w:p>
            <w:pPr>
              <w:pStyle w:val="zyTableNAm"/>
            </w:pPr>
          </w:p>
        </w:tc>
        <w:tc>
          <w:tcPr>
            <w:tcW w:w="4252" w:type="dxa"/>
          </w:tcPr>
          <w:p>
            <w:pPr>
              <w:pStyle w:val="yTableNAm"/>
              <w:ind w:left="579" w:hanging="579"/>
            </w:pPr>
            <w:r>
              <w:t>(f)</w:t>
            </w:r>
            <w:r>
              <w:tab/>
              <w:t>issued other than electronically on or after 16 April 2016 and on or before 15 April 2017</w:t>
            </w:r>
          </w:p>
        </w:tc>
        <w:tc>
          <w:tcPr>
            <w:tcW w:w="1701" w:type="dxa"/>
            <w:vAlign w:val="center"/>
          </w:tcPr>
          <w:p>
            <w:pPr>
              <w:pStyle w:val="yTableNAm"/>
              <w:jc w:val="right"/>
            </w:pPr>
            <w:r>
              <w:br/>
            </w:r>
            <w:r>
              <w:br/>
              <w:t>55.50</w:t>
            </w:r>
          </w:p>
        </w:tc>
      </w:tr>
      <w:tr>
        <w:trPr>
          <w:cantSplit/>
        </w:trPr>
        <w:tc>
          <w:tcPr>
            <w:tcW w:w="851" w:type="dxa"/>
          </w:tcPr>
          <w:p>
            <w:pPr>
              <w:pStyle w:val="zyTableNAm"/>
            </w:pPr>
          </w:p>
        </w:tc>
        <w:tc>
          <w:tcPr>
            <w:tcW w:w="4252" w:type="dxa"/>
          </w:tcPr>
          <w:p>
            <w:pPr>
              <w:pStyle w:val="yTableNAm"/>
              <w:ind w:left="579" w:hanging="579"/>
            </w:pPr>
            <w:r>
              <w:t>(g)</w:t>
            </w:r>
            <w:r>
              <w:tab/>
              <w:t>issued electronically on or after 16 April 2017</w:t>
            </w:r>
          </w:p>
        </w:tc>
        <w:tc>
          <w:tcPr>
            <w:tcW w:w="1701" w:type="dxa"/>
            <w:vAlign w:val="center"/>
          </w:tcPr>
          <w:p>
            <w:pPr>
              <w:pStyle w:val="yTableNAm"/>
              <w:jc w:val="right"/>
            </w:pPr>
            <w:r>
              <w:br/>
              <w:t>44.00</w:t>
            </w:r>
          </w:p>
        </w:tc>
      </w:tr>
      <w:tr>
        <w:trPr>
          <w:cantSplit/>
        </w:trPr>
        <w:tc>
          <w:tcPr>
            <w:tcW w:w="851" w:type="dxa"/>
            <w:tcBorders>
              <w:bottom w:val="single" w:sz="4" w:space="0" w:color="auto"/>
            </w:tcBorders>
          </w:tcPr>
          <w:p>
            <w:pPr>
              <w:pStyle w:val="zyTableNAm"/>
            </w:pPr>
          </w:p>
        </w:tc>
        <w:tc>
          <w:tcPr>
            <w:tcW w:w="4252" w:type="dxa"/>
            <w:tcBorders>
              <w:bottom w:val="single" w:sz="4" w:space="0" w:color="auto"/>
            </w:tcBorders>
          </w:tcPr>
          <w:p>
            <w:pPr>
              <w:pStyle w:val="yTableNAm"/>
              <w:ind w:left="579" w:hanging="579"/>
            </w:pPr>
            <w:r>
              <w:t>(h)</w:t>
            </w:r>
            <w:r>
              <w:tab/>
              <w:t>issued other than electronically on or after 16 April 2017</w:t>
            </w:r>
          </w:p>
        </w:tc>
        <w:tc>
          <w:tcPr>
            <w:tcW w:w="1701" w:type="dxa"/>
            <w:tcBorders>
              <w:bottom w:val="single" w:sz="4" w:space="0" w:color="auto"/>
            </w:tcBorders>
            <w:vAlign w:val="center"/>
          </w:tcPr>
          <w:p>
            <w:pPr>
              <w:pStyle w:val="yTableNAm"/>
              <w:jc w:val="right"/>
            </w:pPr>
            <w:r>
              <w:br/>
              <w:t>57.50</w:t>
            </w:r>
          </w:p>
        </w:tc>
      </w:tr>
    </w:tbl>
    <w:p>
      <w:pPr>
        <w:pStyle w:val="yFootnotesection"/>
      </w:pPr>
      <w:r>
        <w:tab/>
        <w:t>[Schedule 3 inserted in Gazette 1 Aug 2014 p. 2820-1.]</w:t>
      </w:r>
    </w:p>
    <w:p>
      <w:pPr>
        <w:tabs>
          <w:tab w:val="left" w:pos="459"/>
        </w:tabs>
        <w:ind w:left="459" w:hanging="459"/>
        <w:sectPr>
          <w:headerReference w:type="even" r:id="rId29"/>
          <w:headerReference w:type="defaul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86" w:name="_Toc394657426"/>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w:t>
      </w:r>
    </w:p>
    <w:p>
      <w:pPr>
        <w:pStyle w:val="nHeading3"/>
      </w:pPr>
      <w:bookmarkStart w:id="87" w:name="_Toc394657427"/>
      <w: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p>
        </w:tc>
      </w:tr>
      <w:tr>
        <w:tc>
          <w:tcPr>
            <w:tcW w:w="3118" w:type="dxa"/>
            <w:tcBorders>
              <w:top w:val="single" w:sz="8" w:space="0" w:color="auto"/>
            </w:tcBorders>
          </w:tcPr>
          <w:p>
            <w:pPr>
              <w:pStyle w:val="nTable"/>
              <w:rPr>
                <w:i/>
                <w:sz w:val="19"/>
              </w:rPr>
            </w:pPr>
            <w:r>
              <w:rPr>
                <w:i/>
                <w:sz w:val="19"/>
              </w:rPr>
              <w:t>Environmental Protection (Controlled Waste) Regulations 2004</w:t>
            </w:r>
          </w:p>
        </w:tc>
        <w:tc>
          <w:tcPr>
            <w:tcW w:w="1276" w:type="dxa"/>
            <w:tcBorders>
              <w:top w:val="single" w:sz="8" w:space="0" w:color="auto"/>
            </w:tcBorders>
          </w:tcPr>
          <w:p>
            <w:pPr>
              <w:pStyle w:val="nTable"/>
              <w:rPr>
                <w:sz w:val="19"/>
              </w:rPr>
            </w:pPr>
            <w:r>
              <w:rPr>
                <w:sz w:val="19"/>
              </w:rPr>
              <w:t>1 Jul 2004 p. 2627</w:t>
            </w:r>
            <w:r>
              <w:rPr>
                <w:sz w:val="19"/>
              </w:rPr>
              <w:noBreakHyphen/>
              <w:t>73</w:t>
            </w:r>
          </w:p>
        </w:tc>
        <w:tc>
          <w:tcPr>
            <w:tcW w:w="2693" w:type="dxa"/>
            <w:tcBorders>
              <w:top w:val="single" w:sz="8" w:space="0" w:color="auto"/>
            </w:tcBorders>
          </w:tcPr>
          <w:p>
            <w:pPr>
              <w:pStyle w:val="nTable"/>
              <w:rPr>
                <w:sz w:val="19"/>
              </w:rPr>
            </w:pPr>
            <w:r>
              <w:rPr>
                <w:sz w:val="19"/>
              </w:rPr>
              <w:t xml:space="preserve">1 Jul 2004 </w:t>
            </w:r>
          </w:p>
        </w:tc>
      </w:tr>
      <w:tr>
        <w:tc>
          <w:tcPr>
            <w:tcW w:w="3118" w:type="dxa"/>
          </w:tcPr>
          <w:p>
            <w:pPr>
              <w:pStyle w:val="nTable"/>
              <w:rPr>
                <w:i/>
                <w:sz w:val="19"/>
              </w:rPr>
            </w:pPr>
            <w:r>
              <w:rPr>
                <w:i/>
                <w:sz w:val="19"/>
              </w:rPr>
              <w:t>Environmental Protection (Controlled Waste) Amendment Regulations 2007</w:t>
            </w:r>
          </w:p>
        </w:tc>
        <w:tc>
          <w:tcPr>
            <w:tcW w:w="1276" w:type="dxa"/>
          </w:tcPr>
          <w:p>
            <w:pPr>
              <w:pStyle w:val="nTable"/>
              <w:rPr>
                <w:sz w:val="19"/>
              </w:rPr>
            </w:pPr>
            <w:r>
              <w:rPr>
                <w:sz w:val="19"/>
              </w:rPr>
              <w:t>13 Apr 2007 p. 1669-71</w:t>
            </w:r>
          </w:p>
        </w:tc>
        <w:tc>
          <w:tcPr>
            <w:tcW w:w="2693" w:type="dxa"/>
          </w:tcPr>
          <w:p>
            <w:pPr>
              <w:pStyle w:val="nTable"/>
              <w:rPr>
                <w:sz w:val="19"/>
              </w:rPr>
            </w:pPr>
            <w:r>
              <w:rPr>
                <w:sz w:val="19"/>
              </w:rPr>
              <w:t>16 Apr 2007 (see r. 2)</w:t>
            </w:r>
          </w:p>
        </w:tc>
      </w:tr>
      <w:tr>
        <w:tc>
          <w:tcPr>
            <w:tcW w:w="3118" w:type="dxa"/>
          </w:tcPr>
          <w:p>
            <w:pPr>
              <w:pStyle w:val="nTable"/>
              <w:rPr>
                <w:iCs/>
                <w:sz w:val="19"/>
              </w:rPr>
            </w:pPr>
            <w:r>
              <w:rPr>
                <w:i/>
                <w:sz w:val="19"/>
              </w:rPr>
              <w:t>Waste Avoidance Resource Recovery Regulations 2008</w:t>
            </w:r>
            <w:r>
              <w:rPr>
                <w:iCs/>
                <w:sz w:val="19"/>
              </w:rPr>
              <w:t xml:space="preserve"> r. 23</w:t>
            </w:r>
          </w:p>
        </w:tc>
        <w:tc>
          <w:tcPr>
            <w:tcW w:w="1276" w:type="dxa"/>
          </w:tcPr>
          <w:p>
            <w:pPr>
              <w:pStyle w:val="nTable"/>
              <w:rPr>
                <w:sz w:val="19"/>
              </w:rPr>
            </w:pPr>
            <w:r>
              <w:rPr>
                <w:sz w:val="19"/>
              </w:rPr>
              <w:t>20 Jun 2008 p. 2665-84</w:t>
            </w:r>
          </w:p>
        </w:tc>
        <w:tc>
          <w:tcPr>
            <w:tcW w:w="2693" w:type="dxa"/>
          </w:tcPr>
          <w:p>
            <w:pPr>
              <w:pStyle w:val="nTable"/>
              <w:rPr>
                <w:sz w:val="19"/>
              </w:rPr>
            </w:pPr>
            <w:r>
              <w:rPr>
                <w:sz w:val="19"/>
              </w:rPr>
              <w:t>1 Jul 2008 (see r. 2(b))</w:t>
            </w:r>
          </w:p>
        </w:tc>
      </w:tr>
      <w:tr>
        <w:tc>
          <w:tcPr>
            <w:tcW w:w="3118" w:type="dxa"/>
          </w:tcPr>
          <w:p>
            <w:pPr>
              <w:pStyle w:val="nTable"/>
              <w:rPr>
                <w:i/>
                <w:sz w:val="19"/>
              </w:rPr>
            </w:pPr>
            <w:r>
              <w:rPr>
                <w:i/>
                <w:sz w:val="19"/>
              </w:rPr>
              <w:t>Environmental Protection (Controlled Waste) Amendment Regulations 2012</w:t>
            </w:r>
          </w:p>
        </w:tc>
        <w:tc>
          <w:tcPr>
            <w:tcW w:w="1276" w:type="dxa"/>
          </w:tcPr>
          <w:p>
            <w:pPr>
              <w:pStyle w:val="nTable"/>
              <w:rPr>
                <w:sz w:val="19"/>
              </w:rPr>
            </w:pPr>
            <w:r>
              <w:rPr>
                <w:sz w:val="19"/>
              </w:rPr>
              <w:t>5 Apr 2012 p. 1599-600</w:t>
            </w:r>
          </w:p>
        </w:tc>
        <w:tc>
          <w:tcPr>
            <w:tcW w:w="2693" w:type="dxa"/>
          </w:tcPr>
          <w:p>
            <w:pPr>
              <w:pStyle w:val="nTable"/>
              <w:rPr>
                <w:sz w:val="19"/>
              </w:rPr>
            </w:pPr>
            <w:r>
              <w:rPr>
                <w:sz w:val="19"/>
              </w:rPr>
              <w:t>r. 1 and 2: 5 Apr 2012 (see r. 2(a));</w:t>
            </w:r>
            <w:r>
              <w:rPr>
                <w:sz w:val="19"/>
              </w:rPr>
              <w:br/>
              <w:t>Regulations other than r. 1 and 2: 6 Apr 2012 (see r. 2(b))</w:t>
            </w:r>
          </w:p>
        </w:tc>
      </w:tr>
      <w:tr>
        <w:tc>
          <w:tcPr>
            <w:tcW w:w="3118" w:type="dxa"/>
          </w:tcPr>
          <w:p>
            <w:pPr>
              <w:pStyle w:val="nTable"/>
              <w:rPr>
                <w:i/>
                <w:sz w:val="19"/>
              </w:rPr>
            </w:pPr>
            <w:r>
              <w:rPr>
                <w:i/>
                <w:sz w:val="19"/>
              </w:rPr>
              <w:t>Environmental Protection (Controlled Waste) Amendment Regulations (No. 2) 2013</w:t>
            </w:r>
          </w:p>
        </w:tc>
        <w:tc>
          <w:tcPr>
            <w:tcW w:w="1276" w:type="dxa"/>
          </w:tcPr>
          <w:p>
            <w:pPr>
              <w:pStyle w:val="nTable"/>
              <w:rPr>
                <w:sz w:val="19"/>
              </w:rPr>
            </w:pPr>
            <w:r>
              <w:rPr>
                <w:sz w:val="19"/>
              </w:rPr>
              <w:t>14 Nov 2013 p. 5039</w:t>
            </w:r>
            <w:r>
              <w:rPr>
                <w:sz w:val="19"/>
              </w:rPr>
              <w:noBreakHyphen/>
              <w:t>40</w:t>
            </w:r>
          </w:p>
        </w:tc>
        <w:tc>
          <w:tcPr>
            <w:tcW w:w="2693" w:type="dxa"/>
          </w:tcPr>
          <w:p>
            <w:pPr>
              <w:pStyle w:val="nTable"/>
              <w:rPr>
                <w:sz w:val="19"/>
              </w:rPr>
            </w:pPr>
            <w:r>
              <w:rPr>
                <w:sz w:val="19"/>
                <w:szCs w:val="19"/>
              </w:rPr>
              <w:t>r. 1 and 2: 14 Nov 2013 (see r. 2(a));</w:t>
            </w:r>
            <w:r>
              <w:rPr>
                <w:sz w:val="19"/>
                <w:szCs w:val="19"/>
              </w:rPr>
              <w:br/>
              <w:t xml:space="preserve">Regulations other than r. 1 and 2: 18 Nov 2013 (see r. 2(b) and </w:t>
            </w:r>
            <w:r>
              <w:rPr>
                <w:i/>
                <w:sz w:val="19"/>
                <w:szCs w:val="19"/>
              </w:rPr>
              <w:t>Gazette</w:t>
            </w:r>
            <w:r>
              <w:rPr>
                <w:sz w:val="19"/>
                <w:szCs w:val="19"/>
              </w:rPr>
              <w:t xml:space="preserve"> 14 Nov 2013 p. 5027)</w:t>
            </w:r>
          </w:p>
        </w:tc>
      </w:tr>
      <w:tr>
        <w:tc>
          <w:tcPr>
            <w:tcW w:w="3118" w:type="dxa"/>
            <w:tcBorders>
              <w:bottom w:val="single" w:sz="8" w:space="0" w:color="auto"/>
            </w:tcBorders>
          </w:tcPr>
          <w:p>
            <w:pPr>
              <w:pStyle w:val="nTable"/>
              <w:rPr>
                <w:i/>
                <w:sz w:val="19"/>
              </w:rPr>
            </w:pPr>
            <w:r>
              <w:rPr>
                <w:i/>
                <w:sz w:val="19"/>
              </w:rPr>
              <w:t>Environmental Protection (Controlled Waste) Amendment Regulations 2014</w:t>
            </w:r>
          </w:p>
        </w:tc>
        <w:tc>
          <w:tcPr>
            <w:tcW w:w="1276" w:type="dxa"/>
            <w:tcBorders>
              <w:bottom w:val="single" w:sz="8" w:space="0" w:color="auto"/>
            </w:tcBorders>
          </w:tcPr>
          <w:p>
            <w:pPr>
              <w:pStyle w:val="nTable"/>
              <w:rPr>
                <w:sz w:val="19"/>
              </w:rPr>
            </w:pPr>
            <w:r>
              <w:rPr>
                <w:sz w:val="19"/>
              </w:rPr>
              <w:t>1 Aug 2014 p. 2787-821</w:t>
            </w:r>
          </w:p>
        </w:tc>
        <w:tc>
          <w:tcPr>
            <w:tcW w:w="2693" w:type="dxa"/>
            <w:tcBorders>
              <w:bottom w:val="single" w:sz="8" w:space="0" w:color="auto"/>
            </w:tcBorders>
          </w:tcPr>
          <w:p>
            <w:pPr>
              <w:pStyle w:val="nTable"/>
              <w:rPr>
                <w:sz w:val="19"/>
                <w:szCs w:val="19"/>
              </w:rPr>
            </w:pPr>
            <w:r>
              <w:rPr>
                <w:sz w:val="19"/>
                <w:szCs w:val="19"/>
              </w:rPr>
              <w:t>r. 1 and 2: 1 Aug 2014 (see r. 2(a));</w:t>
            </w:r>
            <w:r>
              <w:rPr>
                <w:sz w:val="19"/>
                <w:szCs w:val="19"/>
              </w:rPr>
              <w:br/>
              <w:t>Regulations other than r. 1 and 2: 2 Aug 2014 (see r. 2(b))</w:t>
            </w:r>
          </w:p>
        </w:tc>
      </w:tr>
    </w:tbl>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p>
      <w:pPr>
        <w:pStyle w:val="nHeading2"/>
        <w:rPr>
          <w:sz w:val="28"/>
        </w:rPr>
      </w:pPr>
      <w:bookmarkStart w:id="88" w:name="_Toc394657428"/>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apparatus for the treatment of sewage</w:t>
      </w:r>
      <w:r>
        <w:tab/>
        <w:t>2</w:t>
      </w:r>
    </w:p>
    <w:p>
      <w:pPr>
        <w:pStyle w:val="DefinedTerms"/>
      </w:pPr>
      <w:r>
        <w:t>approved</w:t>
      </w:r>
      <w:r>
        <w:tab/>
        <w:t>2</w:t>
      </w:r>
    </w:p>
    <w:p>
      <w:pPr>
        <w:pStyle w:val="DefinedTerms"/>
      </w:pPr>
      <w:r>
        <w:t>asbestos</w:t>
      </w:r>
      <w:r>
        <w:tab/>
        <w:t>42</w:t>
      </w:r>
    </w:p>
    <w:p>
      <w:pPr>
        <w:pStyle w:val="DefinedTerms"/>
      </w:pPr>
      <w:r>
        <w:t>assign</w:t>
      </w:r>
      <w:r>
        <w:tab/>
        <w:t>25A</w:t>
      </w:r>
    </w:p>
    <w:p>
      <w:pPr>
        <w:pStyle w:val="DefinedTerms"/>
      </w:pPr>
      <w:r>
        <w:t>assignee</w:t>
      </w:r>
      <w:r>
        <w:tab/>
        <w:t>25A</w:t>
      </w:r>
    </w:p>
    <w:p>
      <w:pPr>
        <w:pStyle w:val="DefinedTerms"/>
      </w:pPr>
      <w:r>
        <w:t>assignment time</w:t>
      </w:r>
      <w:r>
        <w:tab/>
        <w:t>25A</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consignment day</w:t>
      </w:r>
      <w:r>
        <w:tab/>
        <w:t>36(2)</w:t>
      </w:r>
    </w:p>
    <w:p>
      <w:pPr>
        <w:pStyle w:val="DefinedTerms"/>
      </w:pPr>
      <w:r>
        <w:t>containment type</w:t>
      </w:r>
      <w:r>
        <w:tab/>
        <w:t>49(2C)</w:t>
      </w:r>
    </w:p>
    <w:p>
      <w:pPr>
        <w:pStyle w:val="DefinedTerms"/>
      </w:pPr>
      <w:r>
        <w:t>controlled waste</w:t>
      </w:r>
      <w:r>
        <w:tab/>
        <w:t>2</w:t>
      </w:r>
    </w:p>
    <w:p>
      <w:pPr>
        <w:pStyle w:val="DefinedTerms"/>
      </w:pPr>
      <w:r>
        <w:t>controlled waste tracking form</w:t>
      </w:r>
      <w:r>
        <w:tab/>
        <w:t>2</w:t>
      </w:r>
    </w:p>
    <w:p>
      <w:pPr>
        <w:pStyle w:val="DefinedTerms"/>
      </w:pPr>
      <w:r>
        <w:t>controlled waste tracking form information</w:t>
      </w:r>
      <w:r>
        <w:tab/>
        <w:t>32A(1)</w:t>
      </w:r>
    </w:p>
    <w:p>
      <w:pPr>
        <w:pStyle w:val="DefinedTerms"/>
      </w:pPr>
      <w:r>
        <w:t>controlled waste tracking number</w:t>
      </w:r>
      <w:r>
        <w:tab/>
        <w:t>2</w:t>
      </w:r>
    </w:p>
    <w:p>
      <w:pPr>
        <w:pStyle w:val="DefinedTerms"/>
      </w:pPr>
      <w:r>
        <w:t>corresponding law</w:t>
      </w:r>
      <w:r>
        <w:tab/>
        <w:t>2</w:t>
      </w:r>
    </w:p>
    <w:p>
      <w:pPr>
        <w:pStyle w:val="DefinedTerms"/>
      </w:pPr>
      <w:r>
        <w:t>former holder of the licence</w:t>
      </w:r>
      <w:r>
        <w:tab/>
        <w:t>25E(1)</w:t>
      </w:r>
    </w:p>
    <w:p>
      <w:pPr>
        <w:pStyle w:val="DefinedTerms"/>
      </w:pPr>
      <w:r>
        <w:t>interstate licence</w:t>
      </w:r>
      <w:r>
        <w:tab/>
        <w:t>2</w:t>
      </w:r>
    </w:p>
    <w:p>
      <w:pPr>
        <w:pStyle w:val="DefinedTerms"/>
      </w:pPr>
      <w:r>
        <w:t>licence</w:t>
      </w:r>
      <w:r>
        <w:tab/>
        <w:t>2, 25A</w:t>
      </w:r>
    </w:p>
    <w:p>
      <w:pPr>
        <w:pStyle w:val="DefinedTerms"/>
      </w:pPr>
      <w:r>
        <w:t>material containing asbestos</w:t>
      </w:r>
      <w:r>
        <w:tab/>
        <w:t>42</w:t>
      </w:r>
    </w:p>
    <w:p>
      <w:pPr>
        <w:pStyle w:val="DefinedTerms"/>
      </w:pPr>
      <w:r>
        <w:t>packaged controlled waste</w:t>
      </w:r>
      <w:r>
        <w:tab/>
        <w:t>2</w:t>
      </w:r>
    </w:p>
    <w:p>
      <w:pPr>
        <w:pStyle w:val="DefinedTerms"/>
      </w:pPr>
      <w:r>
        <w:t>relevant controlled waste</w:t>
      </w:r>
      <w:r>
        <w:tab/>
        <w:t>49(2C)</w:t>
      </w:r>
    </w:p>
    <w:p>
      <w:pPr>
        <w:pStyle w:val="DefinedTerms"/>
      </w:pPr>
      <w:r>
        <w:t>sewage</w:t>
      </w:r>
      <w:r>
        <w:tab/>
        <w:t>2</w:t>
      </w:r>
    </w:p>
    <w:p>
      <w:pPr>
        <w:pStyle w:val="DefinedTerms"/>
      </w:pPr>
      <w:r>
        <w:t>solid</w:t>
      </w:r>
      <w:r>
        <w:tab/>
        <w:t>2</w:t>
      </w:r>
    </w:p>
    <w:p>
      <w:pPr>
        <w:pStyle w:val="DefinedTerms"/>
      </w:pPr>
      <w:r>
        <w:t>specified</w:t>
      </w:r>
      <w:r>
        <w:tab/>
        <w:t>49(2C)</w:t>
      </w:r>
    </w:p>
    <w:p>
      <w:pPr>
        <w:pStyle w:val="DefinedTerms"/>
      </w:pPr>
      <w:r>
        <w:t>specified waste</w:t>
      </w:r>
      <w:r>
        <w:tab/>
        <w:t>27(1)</w:t>
      </w:r>
    </w:p>
    <w:p>
      <w:pPr>
        <w:pStyle w:val="DefinedTerms"/>
      </w:pPr>
      <w:r>
        <w:t>tank</w:t>
      </w:r>
      <w:r>
        <w:tab/>
        <w:t>2</w:t>
      </w:r>
    </w:p>
    <w:p>
      <w:pPr>
        <w:pStyle w:val="DefinedTerms"/>
      </w:pPr>
      <w:r>
        <w:t>transit facility</w:t>
      </w:r>
      <w:r>
        <w:tab/>
        <w:t>2</w:t>
      </w:r>
    </w:p>
    <w:p>
      <w:pPr>
        <w:pStyle w:val="DefinedTerms"/>
      </w:pPr>
      <w:r>
        <w:t>type of controlled waste</w:t>
      </w:r>
      <w:r>
        <w:tab/>
        <w:t>36(1A)</w:t>
      </w:r>
    </w:p>
    <w:p>
      <w:pPr>
        <w:pStyle w:val="DefinedTerms"/>
      </w:pPr>
      <w:r>
        <w:t>vehicle</w:t>
      </w:r>
      <w:r>
        <w:tab/>
        <w:t>2</w:t>
      </w:r>
    </w:p>
    <w:p>
      <w:pPr>
        <w:pStyle w:val="DefinedTerms"/>
      </w:pPr>
      <w:r>
        <w:t>waste facility</w:t>
      </w:r>
      <w:r>
        <w:tab/>
        <w:t>2, 42</w:t>
      </w:r>
    </w:p>
    <w:p>
      <w:pPr>
        <w:pStyle w:val="DefinedTerms"/>
      </w:pPr>
      <w:r>
        <w:t>waste holder</w:t>
      </w:r>
      <w:r>
        <w:tab/>
        <w:t>2</w:t>
      </w:r>
    </w:p>
    <w:p/>
    <w:p>
      <w:pPr>
        <w:sectPr>
          <w:headerReference w:type="even" r:id="rId34"/>
          <w:headerReference w:type="default" r:id="rId35"/>
          <w:footerReference w:type="even" r:id="rId36"/>
          <w:footerReference w:type="default" r:id="rId37"/>
          <w:headerReference w:type="first" r:id="rId38"/>
          <w:foot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(Controlled Waste)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(Controlled Waste) Regulations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Controlled waste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Information to be provided by driver to waste holder</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vAlign w:val="bottom"/>
        </w:tcPr>
        <w:p>
          <w:pPr>
            <w:pStyle w:val="HeaderTextRight"/>
          </w:pPr>
          <w:fldSimple w:instr=" styleref CharSchText ">
            <w:r>
              <w:rPr>
                <w:noProof/>
              </w:rPr>
              <w:t>Controlled waste</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Information to be provided by driver to waste holder</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Environmental Protection (Controlled Waste)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Environmental Protection (Controlled Waste)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B380E7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DF6933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3553"/>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433"/>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51207170433" w:val="RemoveTrackChanges"/>
    <w:docVar w:name="WAFER_20151207170433_GUID" w:val="95da1efb-8cda-4d97-b1df-ea88d57fd0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1.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83A57F-36A8-4CD3-A8FC-13CF376ED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11768</Words>
  <Characters>57669</Characters>
  <Application>Microsoft Office Word</Application>
  <DocSecurity>0</DocSecurity>
  <Lines>1647</Lines>
  <Paragraphs>1036</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68401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2004 - 00-f0-01</dc:title>
  <dc:subject/>
  <dc:creator/>
  <cp:keywords/>
  <dc:description/>
  <cp:lastModifiedBy>svcMRProcess</cp:lastModifiedBy>
  <cp:revision>4</cp:revision>
  <cp:lastPrinted>2004-07-05T03:48:00Z</cp:lastPrinted>
  <dcterms:created xsi:type="dcterms:W3CDTF">2018-09-11T08:09:00Z</dcterms:created>
  <dcterms:modified xsi:type="dcterms:W3CDTF">2018-09-11T08:09:00Z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CommencementDate">
    <vt:lpwstr>20140802</vt:lpwstr>
  </property>
  <property fmtid="{D5CDD505-2E9C-101B-9397-08002B2CF9AE}" pid="6" name="AsAtDate">
    <vt:lpwstr>02 Aug 2014</vt:lpwstr>
  </property>
  <property fmtid="{D5CDD505-2E9C-101B-9397-08002B2CF9AE}" pid="7" name="Suffix">
    <vt:lpwstr>00-f0-01</vt:lpwstr>
  </property>
</Properties>
</file>