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Betting Control Regulations 1978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rPr>
          <w:noProof/>
        </w:rPr>
        <w:t>Betting Control Regulations 1978</w:t>
      </w:r>
    </w:p>
    <w:p>
      <w:pPr>
        <w:pStyle w:val="Arrangement"/>
      </w:pPr>
      <w:r>
        <w:t>CONTENTS</w:t>
      </w:r>
    </w:p>
    <w:p>
      <w:pPr>
        <w:pStyle w:val="TOC2"/>
        <w:tabs>
          <w:tab w:val="right" w:leader="dot" w:pos="707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w:t>
      </w:r>
      <w:r>
        <w:rPr>
          <w:b w:val="0"/>
          <w:szCs w:val="30"/>
        </w:rPr>
        <w:t> </w:t>
      </w:r>
      <w:r>
        <w:rPr>
          <w:szCs w:val="30"/>
        </w:rPr>
        <w:t>—</w:t>
      </w:r>
      <w:r>
        <w:rPr>
          <w:b w:val="0"/>
          <w:szCs w:val="30"/>
        </w:rPr>
        <w:t> </w:t>
      </w:r>
      <w:r>
        <w:rPr>
          <w:szCs w:val="30"/>
        </w:rPr>
        <w:t>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_Toc141173760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Transitional provision</w:t>
      </w:r>
      <w:r>
        <w:tab/>
      </w:r>
      <w:r>
        <w:fldChar w:fldCharType="begin"/>
      </w:r>
      <w:r>
        <w:instrText xml:space="preserve"> PAGEREF _Toc141173761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_Toc141173762 \h </w:instrText>
      </w:r>
      <w:r>
        <w:fldChar w:fldCharType="separate"/>
      </w:r>
      <w:r>
        <w:t>2</w:t>
      </w:r>
      <w:r>
        <w:fldChar w:fldCharType="end"/>
      </w:r>
    </w:p>
    <w:p>
      <w:pPr>
        <w:pStyle w:val="TOC2"/>
        <w:tabs>
          <w:tab w:val="right" w:leader="dot" w:pos="7078"/>
        </w:tabs>
        <w:rPr>
          <w:b w:val="0"/>
          <w:sz w:val="24"/>
          <w:szCs w:val="24"/>
        </w:rPr>
      </w:pPr>
      <w:r>
        <w:rPr>
          <w:szCs w:val="30"/>
        </w:rPr>
        <w:t>Part 2</w:t>
      </w:r>
      <w:r>
        <w:rPr>
          <w:b w:val="0"/>
          <w:szCs w:val="30"/>
        </w:rPr>
        <w:t> </w:t>
      </w:r>
      <w:r>
        <w:rPr>
          <w:szCs w:val="30"/>
        </w:rPr>
        <w:t>—</w:t>
      </w:r>
      <w:r>
        <w:rPr>
          <w:b w:val="0"/>
          <w:szCs w:val="30"/>
        </w:rPr>
        <w:t> </w:t>
      </w:r>
      <w:r>
        <w:rPr>
          <w:szCs w:val="30"/>
        </w:rPr>
        <w:t>Licences, fees and commissions</w:t>
      </w:r>
    </w:p>
    <w:p>
      <w:pPr>
        <w:pStyle w:val="TOC8"/>
        <w:rPr>
          <w:sz w:val="24"/>
          <w:szCs w:val="24"/>
        </w:rPr>
      </w:pPr>
      <w:r>
        <w:rPr>
          <w:szCs w:val="24"/>
        </w:rPr>
        <w:t>9</w:t>
      </w:r>
      <w:r>
        <w:rPr>
          <w:snapToGrid w:val="0"/>
          <w:szCs w:val="24"/>
        </w:rPr>
        <w:t>.</w:t>
      </w:r>
      <w:r>
        <w:rPr>
          <w:snapToGrid w:val="0"/>
          <w:szCs w:val="24"/>
        </w:rPr>
        <w:tab/>
        <w:t>Application for licence</w:t>
      </w:r>
      <w:r>
        <w:tab/>
      </w:r>
      <w:r>
        <w:fldChar w:fldCharType="begin"/>
      </w:r>
      <w:r>
        <w:instrText xml:space="preserve"> PAGEREF _Toc141173764 \h </w:instrText>
      </w:r>
      <w:r>
        <w:fldChar w:fldCharType="separate"/>
      </w:r>
      <w:r>
        <w:t>5</w:t>
      </w:r>
      <w:r>
        <w:fldChar w:fldCharType="end"/>
      </w:r>
    </w:p>
    <w:p>
      <w:pPr>
        <w:pStyle w:val="TOC8"/>
        <w:rPr>
          <w:sz w:val="24"/>
          <w:szCs w:val="24"/>
        </w:rPr>
      </w:pPr>
      <w:r>
        <w:rPr>
          <w:szCs w:val="24"/>
        </w:rPr>
        <w:t>9A.</w:t>
      </w:r>
      <w:r>
        <w:rPr>
          <w:szCs w:val="24"/>
        </w:rPr>
        <w:tab/>
        <w:t>Application to conduct a designated sporting event</w:t>
      </w:r>
      <w:r>
        <w:tab/>
      </w:r>
      <w:r>
        <w:fldChar w:fldCharType="begin"/>
      </w:r>
      <w:r>
        <w:instrText xml:space="preserve"> PAGEREF _Toc141173765 \h </w:instrText>
      </w:r>
      <w:r>
        <w:fldChar w:fldCharType="separate"/>
      </w:r>
      <w:r>
        <w:t>5</w:t>
      </w:r>
      <w:r>
        <w:fldChar w:fldCharType="end"/>
      </w:r>
    </w:p>
    <w:p>
      <w:pPr>
        <w:pStyle w:val="TOC8"/>
        <w:rPr>
          <w:sz w:val="24"/>
          <w:szCs w:val="24"/>
        </w:rPr>
      </w:pPr>
      <w:r>
        <w:rPr>
          <w:szCs w:val="24"/>
        </w:rPr>
        <w:t>10.</w:t>
      </w:r>
      <w:r>
        <w:rPr>
          <w:szCs w:val="24"/>
        </w:rPr>
        <w:tab/>
        <w:t>Application for approval</w:t>
      </w:r>
      <w:r>
        <w:tab/>
      </w:r>
      <w:r>
        <w:fldChar w:fldCharType="begin"/>
      </w:r>
      <w:r>
        <w:instrText xml:space="preserve"> PAGEREF _Toc141173766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When a licence may be renewed</w:t>
      </w:r>
      <w:r>
        <w:tab/>
      </w:r>
      <w:r>
        <w:fldChar w:fldCharType="begin"/>
      </w:r>
      <w:r>
        <w:instrText xml:space="preserve"> PAGEREF _Toc141173767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Grant of a licence</w:t>
      </w:r>
      <w:r>
        <w:tab/>
      </w:r>
      <w:r>
        <w:fldChar w:fldCharType="begin"/>
      </w:r>
      <w:r>
        <w:instrText xml:space="preserve"> PAGEREF _Toc141173768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Effect of a licence</w:t>
      </w:r>
      <w:r>
        <w:tab/>
      </w:r>
      <w:r>
        <w:fldChar w:fldCharType="begin"/>
      </w:r>
      <w:r>
        <w:instrText xml:space="preserve"> PAGEREF _Toc141173769 \h </w:instrText>
      </w:r>
      <w:r>
        <w:fldChar w:fldCharType="separate"/>
      </w:r>
      <w:r>
        <w:t>7</w:t>
      </w:r>
      <w:r>
        <w:fldChar w:fldCharType="end"/>
      </w:r>
    </w:p>
    <w:p>
      <w:pPr>
        <w:pStyle w:val="TOC8"/>
        <w:rPr>
          <w:sz w:val="24"/>
          <w:szCs w:val="24"/>
        </w:rPr>
      </w:pPr>
      <w:r>
        <w:rPr>
          <w:szCs w:val="24"/>
        </w:rPr>
        <w:t>16</w:t>
      </w:r>
      <w:r>
        <w:rPr>
          <w:snapToGrid w:val="0"/>
          <w:szCs w:val="24"/>
        </w:rPr>
        <w:t>.</w:t>
      </w:r>
      <w:r>
        <w:rPr>
          <w:snapToGrid w:val="0"/>
          <w:szCs w:val="24"/>
        </w:rPr>
        <w:tab/>
        <w:t>Duplicate licences</w:t>
      </w:r>
      <w:r>
        <w:tab/>
      </w:r>
      <w:r>
        <w:fldChar w:fldCharType="begin"/>
      </w:r>
      <w:r>
        <w:instrText xml:space="preserve"> PAGEREF _Toc141173770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Fees and charges</w:t>
      </w:r>
      <w:r>
        <w:tab/>
      </w:r>
      <w:r>
        <w:fldChar w:fldCharType="begin"/>
      </w:r>
      <w:r>
        <w:instrText xml:space="preserve"> PAGEREF _Toc141173771 \h </w:instrText>
      </w:r>
      <w:r>
        <w:fldChar w:fldCharType="separate"/>
      </w:r>
      <w:r>
        <w:t>9</w:t>
      </w:r>
      <w:r>
        <w:fldChar w:fldCharType="end"/>
      </w:r>
    </w:p>
    <w:p>
      <w:pPr>
        <w:pStyle w:val="TOC8"/>
        <w:rPr>
          <w:sz w:val="24"/>
          <w:szCs w:val="24"/>
        </w:rPr>
      </w:pPr>
      <w:r>
        <w:rPr>
          <w:szCs w:val="24"/>
        </w:rPr>
        <w:t>17A</w:t>
      </w:r>
      <w:r>
        <w:rPr>
          <w:snapToGrid w:val="0"/>
          <w:szCs w:val="24"/>
        </w:rPr>
        <w:t>.</w:t>
      </w:r>
      <w:r>
        <w:rPr>
          <w:snapToGrid w:val="0"/>
          <w:szCs w:val="24"/>
        </w:rPr>
        <w:tab/>
        <w:t>Bookmakers’ annual licence fee</w:t>
      </w:r>
      <w:r>
        <w:tab/>
      </w:r>
      <w:r>
        <w:fldChar w:fldCharType="begin"/>
      </w:r>
      <w:r>
        <w:instrText xml:space="preserve"> PAGEREF _Toc141173772 \h </w:instrText>
      </w:r>
      <w:r>
        <w:fldChar w:fldCharType="separate"/>
      </w:r>
      <w:r>
        <w:t>10</w:t>
      </w:r>
      <w:r>
        <w:fldChar w:fldCharType="end"/>
      </w:r>
    </w:p>
    <w:p>
      <w:pPr>
        <w:pStyle w:val="TOC8"/>
        <w:rPr>
          <w:sz w:val="24"/>
          <w:szCs w:val="24"/>
        </w:rPr>
      </w:pPr>
      <w:r>
        <w:rPr>
          <w:szCs w:val="24"/>
        </w:rPr>
        <w:t>17B</w:t>
      </w:r>
      <w:r>
        <w:rPr>
          <w:snapToGrid w:val="0"/>
          <w:szCs w:val="24"/>
        </w:rPr>
        <w:t>.</w:t>
      </w:r>
      <w:r>
        <w:rPr>
          <w:snapToGrid w:val="0"/>
          <w:szCs w:val="24"/>
        </w:rPr>
        <w:tab/>
        <w:t>On</w:t>
      </w:r>
      <w:r>
        <w:rPr>
          <w:snapToGrid w:val="0"/>
          <w:szCs w:val="24"/>
        </w:rPr>
        <w:noBreakHyphen/>
        <w:t>course totalisator annual licence fee</w:t>
      </w:r>
      <w:r>
        <w:tab/>
      </w:r>
      <w:r>
        <w:fldChar w:fldCharType="begin"/>
      </w:r>
      <w:r>
        <w:instrText xml:space="preserve"> PAGEREF _Toc141173773 \h </w:instrText>
      </w:r>
      <w:r>
        <w:fldChar w:fldCharType="separate"/>
      </w:r>
      <w:r>
        <w:t>12</w:t>
      </w:r>
      <w:r>
        <w:fldChar w:fldCharType="end"/>
      </w:r>
    </w:p>
    <w:p>
      <w:pPr>
        <w:pStyle w:val="TOC8"/>
        <w:rPr>
          <w:sz w:val="24"/>
          <w:szCs w:val="24"/>
        </w:rPr>
      </w:pPr>
      <w:r>
        <w:rPr>
          <w:szCs w:val="24"/>
        </w:rPr>
        <w:t>17C</w:t>
      </w:r>
      <w:r>
        <w:rPr>
          <w:spacing w:val="-2"/>
          <w:szCs w:val="24"/>
        </w:rPr>
        <w:t>.</w:t>
      </w:r>
      <w:r>
        <w:rPr>
          <w:spacing w:val="-2"/>
          <w:szCs w:val="24"/>
        </w:rPr>
        <w:tab/>
      </w:r>
      <w:r>
        <w:rPr>
          <w:szCs w:val="24"/>
        </w:rPr>
        <w:t>Percentage of bets to belong to RWWA</w:t>
      </w:r>
      <w:r>
        <w:tab/>
      </w:r>
      <w:r>
        <w:fldChar w:fldCharType="begin"/>
      </w:r>
      <w:r>
        <w:instrText xml:space="preserve"> PAGEREF _Toc141173774 \h </w:instrText>
      </w:r>
      <w:r>
        <w:fldChar w:fldCharType="separate"/>
      </w:r>
      <w:r>
        <w:t>13</w:t>
      </w:r>
      <w:r>
        <w:fldChar w:fldCharType="end"/>
      </w:r>
    </w:p>
    <w:p>
      <w:pPr>
        <w:pStyle w:val="TOC8"/>
        <w:rPr>
          <w:sz w:val="24"/>
          <w:szCs w:val="24"/>
        </w:rPr>
      </w:pPr>
      <w:r>
        <w:rPr>
          <w:szCs w:val="24"/>
        </w:rPr>
        <w:t>17D.</w:t>
      </w:r>
      <w:r>
        <w:rPr>
          <w:szCs w:val="24"/>
        </w:rPr>
        <w:tab/>
        <w:t>Percentage of bets to belong to racing club</w:t>
      </w:r>
      <w:r>
        <w:tab/>
      </w:r>
      <w:r>
        <w:fldChar w:fldCharType="begin"/>
      </w:r>
      <w:r>
        <w:instrText xml:space="preserve"> PAGEREF _Toc141173775 \h </w:instrText>
      </w:r>
      <w:r>
        <w:fldChar w:fldCharType="separate"/>
      </w:r>
      <w:r>
        <w:t>13</w:t>
      </w:r>
      <w:r>
        <w:fldChar w:fldCharType="end"/>
      </w:r>
    </w:p>
    <w:p>
      <w:pPr>
        <w:pStyle w:val="TOC2"/>
        <w:tabs>
          <w:tab w:val="right" w:leader="dot" w:pos="7078"/>
        </w:tabs>
        <w:rPr>
          <w:b w:val="0"/>
          <w:sz w:val="24"/>
          <w:szCs w:val="24"/>
        </w:rPr>
      </w:pPr>
      <w:r>
        <w:rPr>
          <w:szCs w:val="30"/>
        </w:rPr>
        <w:t>Part 3</w:t>
      </w:r>
      <w:r>
        <w:rPr>
          <w:b w:val="0"/>
          <w:szCs w:val="30"/>
        </w:rPr>
        <w:t> </w:t>
      </w:r>
      <w:r>
        <w:rPr>
          <w:szCs w:val="30"/>
        </w:rPr>
        <w:t>—</w:t>
      </w:r>
      <w:r>
        <w:rPr>
          <w:b w:val="0"/>
          <w:szCs w:val="30"/>
        </w:rPr>
        <w:t> </w:t>
      </w:r>
      <w:r>
        <w:rPr>
          <w:szCs w:val="30"/>
        </w:rPr>
        <w:t>Provisions relating to bookmakers</w:t>
      </w:r>
    </w:p>
    <w:p>
      <w:pPr>
        <w:pStyle w:val="TOC8"/>
        <w:rPr>
          <w:sz w:val="24"/>
          <w:szCs w:val="24"/>
        </w:rPr>
      </w:pPr>
      <w:r>
        <w:rPr>
          <w:szCs w:val="24"/>
        </w:rPr>
        <w:t>17E.</w:t>
      </w:r>
      <w:r>
        <w:rPr>
          <w:szCs w:val="24"/>
        </w:rPr>
        <w:tab/>
        <w:t>Levy which may be retained</w:t>
      </w:r>
      <w:r>
        <w:tab/>
      </w:r>
      <w:r>
        <w:fldChar w:fldCharType="begin"/>
      </w:r>
      <w:r>
        <w:instrText xml:space="preserve"> PAGEREF _Toc141173777 \h </w:instrText>
      </w:r>
      <w:r>
        <w:fldChar w:fldCharType="separate"/>
      </w:r>
      <w:r>
        <w:t>15</w:t>
      </w:r>
      <w:r>
        <w:fldChar w:fldCharType="end"/>
      </w:r>
    </w:p>
    <w:p>
      <w:pPr>
        <w:pStyle w:val="TOC8"/>
        <w:rPr>
          <w:sz w:val="24"/>
          <w:szCs w:val="24"/>
        </w:rPr>
      </w:pPr>
      <w:r>
        <w:rPr>
          <w:szCs w:val="24"/>
        </w:rPr>
        <w:t>18.</w:t>
      </w:r>
      <w:r>
        <w:rPr>
          <w:szCs w:val="24"/>
        </w:rPr>
        <w:tab/>
        <w:t>Security to be given</w:t>
      </w:r>
      <w:r>
        <w:tab/>
      </w:r>
      <w:r>
        <w:fldChar w:fldCharType="begin"/>
      </w:r>
      <w:r>
        <w:instrText xml:space="preserve"> PAGEREF _Toc141173778 \h </w:instrText>
      </w:r>
      <w:r>
        <w:fldChar w:fldCharType="separate"/>
      </w:r>
      <w:r>
        <w:t>15</w:t>
      </w:r>
      <w:r>
        <w:fldChar w:fldCharType="end"/>
      </w:r>
    </w:p>
    <w:p>
      <w:pPr>
        <w:pStyle w:val="TOC8"/>
        <w:rPr>
          <w:sz w:val="24"/>
          <w:szCs w:val="24"/>
        </w:rPr>
      </w:pPr>
      <w:r>
        <w:rPr>
          <w:szCs w:val="24"/>
        </w:rPr>
        <w:t>25</w:t>
      </w:r>
      <w:r>
        <w:rPr>
          <w:snapToGrid w:val="0"/>
          <w:szCs w:val="24"/>
        </w:rPr>
        <w:t>.</w:t>
      </w:r>
      <w:r>
        <w:rPr>
          <w:snapToGrid w:val="0"/>
          <w:szCs w:val="24"/>
        </w:rPr>
        <w:tab/>
        <w:t>Register</w:t>
      </w:r>
      <w:r>
        <w:tab/>
      </w:r>
      <w:r>
        <w:fldChar w:fldCharType="begin"/>
      </w:r>
      <w:r>
        <w:instrText xml:space="preserve"> PAGEREF _Toc141173779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Change of address</w:t>
      </w:r>
      <w:r>
        <w:tab/>
      </w:r>
      <w:r>
        <w:fldChar w:fldCharType="begin"/>
      </w:r>
      <w:r>
        <w:instrText xml:space="preserve"> PAGEREF _Toc141173780 \h </w:instrText>
      </w:r>
      <w:r>
        <w:fldChar w:fldCharType="separate"/>
      </w:r>
      <w:r>
        <w:t>17</w:t>
      </w:r>
      <w:r>
        <w:fldChar w:fldCharType="end"/>
      </w:r>
    </w:p>
    <w:p>
      <w:pPr>
        <w:pStyle w:val="TOC8"/>
        <w:rPr>
          <w:sz w:val="24"/>
          <w:szCs w:val="24"/>
        </w:rPr>
      </w:pPr>
      <w:r>
        <w:rPr>
          <w:szCs w:val="24"/>
        </w:rPr>
        <w:t>28</w:t>
      </w:r>
      <w:r>
        <w:rPr>
          <w:snapToGrid w:val="0"/>
          <w:szCs w:val="24"/>
        </w:rPr>
        <w:t>.</w:t>
      </w:r>
      <w:r>
        <w:rPr>
          <w:snapToGrid w:val="0"/>
          <w:szCs w:val="24"/>
        </w:rPr>
        <w:tab/>
        <w:t>Return of licence</w:t>
      </w:r>
      <w:r>
        <w:tab/>
      </w:r>
      <w:r>
        <w:fldChar w:fldCharType="begin"/>
      </w:r>
      <w:r>
        <w:instrText xml:space="preserve"> PAGEREF _Toc141173781 \h </w:instrText>
      </w:r>
      <w:r>
        <w:fldChar w:fldCharType="separate"/>
      </w:r>
      <w:r>
        <w:t>17</w:t>
      </w:r>
      <w:r>
        <w:fldChar w:fldCharType="end"/>
      </w:r>
    </w:p>
    <w:p>
      <w:pPr>
        <w:pStyle w:val="TOC8"/>
        <w:rPr>
          <w:sz w:val="24"/>
          <w:szCs w:val="24"/>
        </w:rPr>
      </w:pPr>
      <w:r>
        <w:rPr>
          <w:szCs w:val="24"/>
        </w:rPr>
        <w:t>29</w:t>
      </w:r>
      <w:r>
        <w:rPr>
          <w:snapToGrid w:val="0"/>
          <w:szCs w:val="24"/>
        </w:rPr>
        <w:t>.</w:t>
      </w:r>
      <w:r>
        <w:rPr>
          <w:snapToGrid w:val="0"/>
          <w:szCs w:val="24"/>
        </w:rPr>
        <w:tab/>
        <w:t>Production of a licence</w:t>
      </w:r>
      <w:r>
        <w:tab/>
      </w:r>
      <w:r>
        <w:fldChar w:fldCharType="begin"/>
      </w:r>
      <w:r>
        <w:instrText xml:space="preserve"> PAGEREF _Toc141173782 \h </w:instrText>
      </w:r>
      <w:r>
        <w:fldChar w:fldCharType="separate"/>
      </w:r>
      <w:r>
        <w:t>18</w:t>
      </w:r>
      <w:r>
        <w:fldChar w:fldCharType="end"/>
      </w:r>
    </w:p>
    <w:p>
      <w:pPr>
        <w:pStyle w:val="TOC8"/>
        <w:rPr>
          <w:sz w:val="24"/>
          <w:szCs w:val="24"/>
        </w:rPr>
      </w:pPr>
      <w:r>
        <w:rPr>
          <w:szCs w:val="24"/>
        </w:rPr>
        <w:t>30</w:t>
      </w:r>
      <w:r>
        <w:rPr>
          <w:snapToGrid w:val="0"/>
          <w:szCs w:val="24"/>
        </w:rPr>
        <w:t>.</w:t>
      </w:r>
      <w:r>
        <w:rPr>
          <w:snapToGrid w:val="0"/>
          <w:szCs w:val="24"/>
        </w:rPr>
        <w:tab/>
        <w:t>Advertising</w:t>
      </w:r>
      <w:r>
        <w:tab/>
      </w:r>
      <w:r>
        <w:fldChar w:fldCharType="begin"/>
      </w:r>
      <w:r>
        <w:instrText xml:space="preserve"> PAGEREF _Toc141173783 \h </w:instrText>
      </w:r>
      <w:r>
        <w:fldChar w:fldCharType="separate"/>
      </w:r>
      <w:r>
        <w:t>18</w:t>
      </w:r>
      <w:r>
        <w:fldChar w:fldCharType="end"/>
      </w:r>
    </w:p>
    <w:p>
      <w:pPr>
        <w:pStyle w:val="TOC8"/>
        <w:rPr>
          <w:sz w:val="24"/>
          <w:szCs w:val="24"/>
        </w:rPr>
      </w:pPr>
      <w:r>
        <w:rPr>
          <w:szCs w:val="24"/>
        </w:rPr>
        <w:t>36</w:t>
      </w:r>
      <w:r>
        <w:rPr>
          <w:snapToGrid w:val="0"/>
          <w:szCs w:val="24"/>
        </w:rPr>
        <w:t>.</w:t>
      </w:r>
      <w:r>
        <w:rPr>
          <w:snapToGrid w:val="0"/>
          <w:szCs w:val="24"/>
        </w:rPr>
        <w:tab/>
        <w:t>Betting tickets</w:t>
      </w:r>
      <w:r>
        <w:tab/>
      </w:r>
      <w:r>
        <w:fldChar w:fldCharType="begin"/>
      </w:r>
      <w:r>
        <w:instrText xml:space="preserve"> PAGEREF _Toc141173784 \h </w:instrText>
      </w:r>
      <w:r>
        <w:fldChar w:fldCharType="separate"/>
      </w:r>
      <w:r>
        <w:t>19</w:t>
      </w:r>
      <w:r>
        <w:fldChar w:fldCharType="end"/>
      </w:r>
    </w:p>
    <w:p>
      <w:pPr>
        <w:pStyle w:val="TOC8"/>
        <w:rPr>
          <w:sz w:val="24"/>
          <w:szCs w:val="24"/>
        </w:rPr>
      </w:pPr>
      <w:r>
        <w:rPr>
          <w:szCs w:val="24"/>
        </w:rPr>
        <w:t>37</w:t>
      </w:r>
      <w:r>
        <w:rPr>
          <w:snapToGrid w:val="0"/>
          <w:szCs w:val="24"/>
        </w:rPr>
        <w:t>.</w:t>
      </w:r>
      <w:r>
        <w:rPr>
          <w:snapToGrid w:val="0"/>
          <w:szCs w:val="24"/>
        </w:rPr>
        <w:tab/>
        <w:t>The written record of betting transactions</w:t>
      </w:r>
      <w:r>
        <w:tab/>
      </w:r>
      <w:r>
        <w:fldChar w:fldCharType="begin"/>
      </w:r>
      <w:r>
        <w:instrText xml:space="preserve"> PAGEREF _Toc141173785 \h </w:instrText>
      </w:r>
      <w:r>
        <w:fldChar w:fldCharType="separate"/>
      </w:r>
      <w:r>
        <w:t>20</w:t>
      </w:r>
      <w:r>
        <w:fldChar w:fldCharType="end"/>
      </w:r>
    </w:p>
    <w:p>
      <w:pPr>
        <w:pStyle w:val="TOC8"/>
        <w:rPr>
          <w:sz w:val="24"/>
          <w:szCs w:val="24"/>
        </w:rPr>
      </w:pPr>
      <w:r>
        <w:rPr>
          <w:szCs w:val="24"/>
        </w:rPr>
        <w:t>38</w:t>
      </w:r>
      <w:r>
        <w:rPr>
          <w:snapToGrid w:val="0"/>
          <w:szCs w:val="24"/>
        </w:rPr>
        <w:t>.</w:t>
      </w:r>
      <w:r>
        <w:rPr>
          <w:snapToGrid w:val="0"/>
          <w:szCs w:val="24"/>
        </w:rPr>
        <w:tab/>
        <w:t>Supply of books</w:t>
      </w:r>
      <w:r>
        <w:tab/>
      </w:r>
      <w:r>
        <w:fldChar w:fldCharType="begin"/>
      </w:r>
      <w:r>
        <w:instrText xml:space="preserve"> PAGEREF _Toc141173786 \h </w:instrText>
      </w:r>
      <w:r>
        <w:fldChar w:fldCharType="separate"/>
      </w:r>
      <w:r>
        <w:t>22</w:t>
      </w:r>
      <w:r>
        <w:fldChar w:fldCharType="end"/>
      </w:r>
    </w:p>
    <w:p>
      <w:pPr>
        <w:pStyle w:val="TOC8"/>
        <w:rPr>
          <w:sz w:val="24"/>
          <w:szCs w:val="24"/>
        </w:rPr>
      </w:pPr>
      <w:r>
        <w:rPr>
          <w:szCs w:val="24"/>
        </w:rPr>
        <w:t>39</w:t>
      </w:r>
      <w:r>
        <w:rPr>
          <w:snapToGrid w:val="0"/>
          <w:szCs w:val="24"/>
        </w:rPr>
        <w:t>.</w:t>
      </w:r>
      <w:r>
        <w:rPr>
          <w:snapToGrid w:val="0"/>
          <w:szCs w:val="24"/>
        </w:rPr>
        <w:tab/>
        <w:t>Loss of books etc.</w:t>
      </w:r>
      <w:r>
        <w:tab/>
      </w:r>
      <w:r>
        <w:fldChar w:fldCharType="begin"/>
      </w:r>
      <w:r>
        <w:instrText xml:space="preserve"> PAGEREF _Toc141173787 \h </w:instrText>
      </w:r>
      <w:r>
        <w:fldChar w:fldCharType="separate"/>
      </w:r>
      <w:r>
        <w:t>23</w:t>
      </w:r>
      <w:r>
        <w:fldChar w:fldCharType="end"/>
      </w:r>
    </w:p>
    <w:p>
      <w:pPr>
        <w:pStyle w:val="TOC8"/>
        <w:rPr>
          <w:sz w:val="24"/>
          <w:szCs w:val="24"/>
        </w:rPr>
      </w:pPr>
      <w:r>
        <w:rPr>
          <w:szCs w:val="24"/>
        </w:rPr>
        <w:t>43</w:t>
      </w:r>
      <w:r>
        <w:rPr>
          <w:snapToGrid w:val="0"/>
          <w:szCs w:val="24"/>
        </w:rPr>
        <w:t>.</w:t>
      </w:r>
      <w:r>
        <w:rPr>
          <w:snapToGrid w:val="0"/>
          <w:szCs w:val="24"/>
        </w:rPr>
        <w:tab/>
        <w:t>Betting material</w:t>
      </w:r>
      <w:r>
        <w:tab/>
      </w:r>
      <w:r>
        <w:fldChar w:fldCharType="begin"/>
      </w:r>
      <w:r>
        <w:instrText xml:space="preserve"> PAGEREF _Toc141173788 \h </w:instrText>
      </w:r>
      <w:r>
        <w:fldChar w:fldCharType="separate"/>
      </w:r>
      <w:r>
        <w:t>23</w:t>
      </w:r>
      <w:r>
        <w:fldChar w:fldCharType="end"/>
      </w:r>
    </w:p>
    <w:p>
      <w:pPr>
        <w:pStyle w:val="TOC8"/>
        <w:rPr>
          <w:sz w:val="24"/>
          <w:szCs w:val="24"/>
        </w:rPr>
      </w:pPr>
      <w:r>
        <w:rPr>
          <w:szCs w:val="24"/>
        </w:rPr>
        <w:t>48</w:t>
      </w:r>
      <w:r>
        <w:rPr>
          <w:snapToGrid w:val="0"/>
          <w:szCs w:val="24"/>
        </w:rPr>
        <w:t>.</w:t>
      </w:r>
      <w:r>
        <w:rPr>
          <w:snapToGrid w:val="0"/>
          <w:szCs w:val="24"/>
        </w:rPr>
        <w:tab/>
        <w:t>Rules of Betting</w:t>
      </w:r>
      <w:r>
        <w:tab/>
      </w:r>
      <w:r>
        <w:fldChar w:fldCharType="begin"/>
      </w:r>
      <w:r>
        <w:instrText xml:space="preserve"> PAGEREF _Toc141173789 \h </w:instrText>
      </w:r>
      <w:r>
        <w:fldChar w:fldCharType="separate"/>
      </w:r>
      <w:r>
        <w:t>24</w:t>
      </w:r>
      <w:r>
        <w:fldChar w:fldCharType="end"/>
      </w:r>
    </w:p>
    <w:p>
      <w:pPr>
        <w:pStyle w:val="TOC8"/>
        <w:rPr>
          <w:sz w:val="24"/>
          <w:szCs w:val="24"/>
        </w:rPr>
      </w:pPr>
      <w:r>
        <w:rPr>
          <w:szCs w:val="24"/>
        </w:rPr>
        <w:t>48A.</w:t>
      </w:r>
      <w:r>
        <w:rPr>
          <w:szCs w:val="24"/>
        </w:rPr>
        <w:tab/>
        <w:t>Minimum bet obligations</w:t>
      </w:r>
      <w:r>
        <w:tab/>
      </w:r>
      <w:r>
        <w:fldChar w:fldCharType="begin"/>
      </w:r>
      <w:r>
        <w:instrText xml:space="preserve"> PAGEREF _Toc141173790 \h </w:instrText>
      </w:r>
      <w:r>
        <w:fldChar w:fldCharType="separate"/>
      </w:r>
      <w:r>
        <w:t>24</w:t>
      </w:r>
      <w:r>
        <w:fldChar w:fldCharType="end"/>
      </w:r>
    </w:p>
    <w:p>
      <w:pPr>
        <w:pStyle w:val="TOC8"/>
        <w:rPr>
          <w:sz w:val="24"/>
          <w:szCs w:val="24"/>
        </w:rPr>
      </w:pPr>
      <w:r>
        <w:rPr>
          <w:szCs w:val="24"/>
        </w:rPr>
        <w:t>49.</w:t>
      </w:r>
      <w:r>
        <w:rPr>
          <w:szCs w:val="24"/>
        </w:rPr>
        <w:tab/>
        <w:t>Bets on more than one result</w:t>
      </w:r>
      <w:r>
        <w:tab/>
      </w:r>
      <w:r>
        <w:fldChar w:fldCharType="begin"/>
      </w:r>
      <w:r>
        <w:instrText xml:space="preserve"> PAGEREF _Toc141173791 \h </w:instrText>
      </w:r>
      <w:r>
        <w:fldChar w:fldCharType="separate"/>
      </w:r>
      <w:r>
        <w:t>24</w:t>
      </w:r>
      <w:r>
        <w:fldChar w:fldCharType="end"/>
      </w:r>
    </w:p>
    <w:p>
      <w:pPr>
        <w:pStyle w:val="TOC8"/>
        <w:rPr>
          <w:sz w:val="24"/>
          <w:szCs w:val="24"/>
        </w:rPr>
      </w:pPr>
      <w:r>
        <w:rPr>
          <w:szCs w:val="24"/>
        </w:rPr>
        <w:t>50.</w:t>
      </w:r>
      <w:r>
        <w:rPr>
          <w:szCs w:val="24"/>
        </w:rPr>
        <w:tab/>
        <w:t>Permitted bets</w:t>
      </w:r>
      <w:r>
        <w:tab/>
      </w:r>
      <w:r>
        <w:fldChar w:fldCharType="begin"/>
      </w:r>
      <w:r>
        <w:instrText xml:space="preserve"> PAGEREF _Toc141173792 \h </w:instrText>
      </w:r>
      <w:r>
        <w:fldChar w:fldCharType="separate"/>
      </w:r>
      <w:r>
        <w:t>24</w:t>
      </w:r>
      <w:r>
        <w:fldChar w:fldCharType="end"/>
      </w:r>
    </w:p>
    <w:p>
      <w:pPr>
        <w:pStyle w:val="TOC8"/>
        <w:rPr>
          <w:sz w:val="24"/>
          <w:szCs w:val="24"/>
        </w:rPr>
      </w:pPr>
      <w:r>
        <w:rPr>
          <w:szCs w:val="24"/>
        </w:rPr>
        <w:t>51</w:t>
      </w:r>
      <w:r>
        <w:rPr>
          <w:snapToGrid w:val="0"/>
          <w:szCs w:val="24"/>
        </w:rPr>
        <w:t>.</w:t>
      </w:r>
      <w:r>
        <w:rPr>
          <w:snapToGrid w:val="0"/>
          <w:szCs w:val="24"/>
        </w:rPr>
        <w:tab/>
        <w:t>Place betting</w:t>
      </w:r>
      <w:r>
        <w:tab/>
      </w:r>
      <w:r>
        <w:fldChar w:fldCharType="begin"/>
      </w:r>
      <w:r>
        <w:instrText xml:space="preserve"> PAGEREF _Toc141173793 \h </w:instrText>
      </w:r>
      <w:r>
        <w:fldChar w:fldCharType="separate"/>
      </w:r>
      <w:r>
        <w:t>25</w:t>
      </w:r>
      <w:r>
        <w:fldChar w:fldCharType="end"/>
      </w:r>
    </w:p>
    <w:p>
      <w:pPr>
        <w:pStyle w:val="TOC8"/>
        <w:rPr>
          <w:sz w:val="24"/>
          <w:szCs w:val="24"/>
        </w:rPr>
      </w:pPr>
      <w:r>
        <w:rPr>
          <w:szCs w:val="24"/>
        </w:rPr>
        <w:t>52</w:t>
      </w:r>
      <w:r>
        <w:rPr>
          <w:snapToGrid w:val="0"/>
          <w:szCs w:val="24"/>
        </w:rPr>
        <w:t>.</w:t>
      </w:r>
      <w:r>
        <w:rPr>
          <w:snapToGrid w:val="0"/>
          <w:szCs w:val="24"/>
        </w:rPr>
        <w:tab/>
        <w:t>Concession betting</w:t>
      </w:r>
      <w:r>
        <w:tab/>
      </w:r>
      <w:r>
        <w:fldChar w:fldCharType="begin"/>
      </w:r>
      <w:r>
        <w:instrText xml:space="preserve"> PAGEREF _Toc141173794 \h </w:instrText>
      </w:r>
      <w:r>
        <w:fldChar w:fldCharType="separate"/>
      </w:r>
      <w:r>
        <w:t>26</w:t>
      </w:r>
      <w:r>
        <w:fldChar w:fldCharType="end"/>
      </w:r>
    </w:p>
    <w:p>
      <w:pPr>
        <w:pStyle w:val="TOC8"/>
        <w:rPr>
          <w:sz w:val="24"/>
          <w:szCs w:val="24"/>
        </w:rPr>
      </w:pPr>
      <w:r>
        <w:rPr>
          <w:snapToGrid w:val="0"/>
          <w:szCs w:val="24"/>
        </w:rPr>
        <w:t>53.</w:t>
      </w:r>
      <w:r>
        <w:rPr>
          <w:snapToGrid w:val="0"/>
          <w:szCs w:val="24"/>
        </w:rPr>
        <w:tab/>
        <w:t>Doubles other than multiple doubles</w:t>
      </w:r>
      <w:r>
        <w:tab/>
      </w:r>
      <w:r>
        <w:fldChar w:fldCharType="begin"/>
      </w:r>
      <w:r>
        <w:instrText xml:space="preserve"> PAGEREF _Toc141173795 \h </w:instrText>
      </w:r>
      <w:r>
        <w:fldChar w:fldCharType="separate"/>
      </w:r>
      <w:r>
        <w:t>26</w:t>
      </w:r>
      <w:r>
        <w:fldChar w:fldCharType="end"/>
      </w:r>
    </w:p>
    <w:p>
      <w:pPr>
        <w:pStyle w:val="TOC8"/>
        <w:rPr>
          <w:sz w:val="24"/>
          <w:szCs w:val="24"/>
        </w:rPr>
      </w:pPr>
      <w:r>
        <w:rPr>
          <w:snapToGrid w:val="0"/>
          <w:szCs w:val="24"/>
        </w:rPr>
        <w:t>54.</w:t>
      </w:r>
      <w:r>
        <w:rPr>
          <w:snapToGrid w:val="0"/>
          <w:szCs w:val="24"/>
        </w:rPr>
        <w:tab/>
        <w:t>Trebles</w:t>
      </w:r>
      <w:r>
        <w:tab/>
      </w:r>
      <w:r>
        <w:fldChar w:fldCharType="begin"/>
      </w:r>
      <w:r>
        <w:instrText xml:space="preserve"> PAGEREF _Toc141173796 \h </w:instrText>
      </w:r>
      <w:r>
        <w:fldChar w:fldCharType="separate"/>
      </w:r>
      <w:r>
        <w:t>26</w:t>
      </w:r>
      <w:r>
        <w:fldChar w:fldCharType="end"/>
      </w:r>
    </w:p>
    <w:p>
      <w:pPr>
        <w:pStyle w:val="TOC8"/>
        <w:rPr>
          <w:sz w:val="24"/>
          <w:szCs w:val="24"/>
        </w:rPr>
      </w:pPr>
      <w:r>
        <w:rPr>
          <w:szCs w:val="24"/>
        </w:rPr>
        <w:t>55</w:t>
      </w:r>
      <w:r>
        <w:rPr>
          <w:snapToGrid w:val="0"/>
          <w:szCs w:val="24"/>
        </w:rPr>
        <w:t>.</w:t>
      </w:r>
      <w:r>
        <w:rPr>
          <w:snapToGrid w:val="0"/>
          <w:szCs w:val="24"/>
        </w:rPr>
        <w:tab/>
        <w:t>All</w:t>
      </w:r>
      <w:r>
        <w:rPr>
          <w:snapToGrid w:val="0"/>
          <w:szCs w:val="24"/>
        </w:rPr>
        <w:noBreakHyphen/>
        <w:t>up</w:t>
      </w:r>
      <w:r>
        <w:tab/>
      </w:r>
      <w:r>
        <w:fldChar w:fldCharType="begin"/>
      </w:r>
      <w:r>
        <w:instrText xml:space="preserve"> PAGEREF _Toc141173797 \h </w:instrText>
      </w:r>
      <w:r>
        <w:fldChar w:fldCharType="separate"/>
      </w:r>
      <w:r>
        <w:t>26</w:t>
      </w:r>
      <w:r>
        <w:fldChar w:fldCharType="end"/>
      </w:r>
    </w:p>
    <w:p>
      <w:pPr>
        <w:pStyle w:val="TOC8"/>
        <w:rPr>
          <w:sz w:val="24"/>
          <w:szCs w:val="24"/>
        </w:rPr>
      </w:pPr>
      <w:r>
        <w:rPr>
          <w:szCs w:val="24"/>
        </w:rPr>
        <w:t>57</w:t>
      </w:r>
      <w:r>
        <w:rPr>
          <w:snapToGrid w:val="0"/>
          <w:szCs w:val="24"/>
        </w:rPr>
        <w:t>.</w:t>
      </w:r>
      <w:r>
        <w:rPr>
          <w:snapToGrid w:val="0"/>
          <w:szCs w:val="24"/>
        </w:rPr>
        <w:tab/>
        <w:t>Stand</w:t>
      </w:r>
      <w:r>
        <w:tab/>
      </w:r>
      <w:r>
        <w:fldChar w:fldCharType="begin"/>
      </w:r>
      <w:r>
        <w:instrText xml:space="preserve"> PAGEREF _Toc141173798 \h </w:instrText>
      </w:r>
      <w:r>
        <w:fldChar w:fldCharType="separate"/>
      </w:r>
      <w:r>
        <w:t>27</w:t>
      </w:r>
      <w:r>
        <w:fldChar w:fldCharType="end"/>
      </w:r>
    </w:p>
    <w:p>
      <w:pPr>
        <w:pStyle w:val="TOC8"/>
        <w:rPr>
          <w:sz w:val="24"/>
          <w:szCs w:val="24"/>
        </w:rPr>
      </w:pPr>
      <w:r>
        <w:rPr>
          <w:szCs w:val="24"/>
        </w:rPr>
        <w:t>58</w:t>
      </w:r>
      <w:r>
        <w:rPr>
          <w:snapToGrid w:val="0"/>
          <w:szCs w:val="24"/>
        </w:rPr>
        <w:t>.</w:t>
      </w:r>
      <w:r>
        <w:rPr>
          <w:snapToGrid w:val="0"/>
          <w:szCs w:val="24"/>
        </w:rPr>
        <w:tab/>
        <w:t>Use of stand</w:t>
      </w:r>
      <w:r>
        <w:tab/>
      </w:r>
      <w:r>
        <w:fldChar w:fldCharType="begin"/>
      </w:r>
      <w:r>
        <w:instrText xml:space="preserve"> PAGEREF _Toc141173799 \h </w:instrText>
      </w:r>
      <w:r>
        <w:fldChar w:fldCharType="separate"/>
      </w:r>
      <w:r>
        <w:t>27</w:t>
      </w:r>
      <w:r>
        <w:fldChar w:fldCharType="end"/>
      </w:r>
    </w:p>
    <w:p>
      <w:pPr>
        <w:pStyle w:val="TOC8"/>
        <w:rPr>
          <w:sz w:val="24"/>
          <w:szCs w:val="24"/>
        </w:rPr>
      </w:pPr>
      <w:r>
        <w:rPr>
          <w:szCs w:val="24"/>
        </w:rPr>
        <w:t>59.</w:t>
      </w:r>
      <w:r>
        <w:rPr>
          <w:szCs w:val="24"/>
        </w:rPr>
        <w:tab/>
        <w:t>Name of bookmaker to be shown</w:t>
      </w:r>
      <w:r>
        <w:tab/>
      </w:r>
      <w:r>
        <w:fldChar w:fldCharType="begin"/>
      </w:r>
      <w:r>
        <w:instrText xml:space="preserve"> PAGEREF _Toc141173800 \h </w:instrText>
      </w:r>
      <w:r>
        <w:fldChar w:fldCharType="separate"/>
      </w:r>
      <w:r>
        <w:t>27</w:t>
      </w:r>
      <w:r>
        <w:fldChar w:fldCharType="end"/>
      </w:r>
    </w:p>
    <w:p>
      <w:pPr>
        <w:pStyle w:val="TOC8"/>
        <w:rPr>
          <w:sz w:val="24"/>
          <w:szCs w:val="24"/>
        </w:rPr>
      </w:pPr>
      <w:r>
        <w:rPr>
          <w:szCs w:val="24"/>
        </w:rPr>
        <w:t>60</w:t>
      </w:r>
      <w:r>
        <w:rPr>
          <w:snapToGrid w:val="0"/>
          <w:szCs w:val="24"/>
        </w:rPr>
        <w:t>.</w:t>
      </w:r>
      <w:r>
        <w:rPr>
          <w:snapToGrid w:val="0"/>
          <w:szCs w:val="24"/>
        </w:rPr>
        <w:tab/>
        <w:t>Betting boards, etc., to be approved</w:t>
      </w:r>
      <w:r>
        <w:tab/>
      </w:r>
      <w:r>
        <w:fldChar w:fldCharType="begin"/>
      </w:r>
      <w:r>
        <w:instrText xml:space="preserve"> PAGEREF _Toc141173801 \h </w:instrText>
      </w:r>
      <w:r>
        <w:fldChar w:fldCharType="separate"/>
      </w:r>
      <w:r>
        <w:t>28</w:t>
      </w:r>
      <w:r>
        <w:fldChar w:fldCharType="end"/>
      </w:r>
    </w:p>
    <w:p>
      <w:pPr>
        <w:pStyle w:val="TOC8"/>
        <w:rPr>
          <w:sz w:val="24"/>
          <w:szCs w:val="24"/>
        </w:rPr>
      </w:pPr>
      <w:r>
        <w:rPr>
          <w:szCs w:val="24"/>
        </w:rPr>
        <w:t>61</w:t>
      </w:r>
      <w:r>
        <w:rPr>
          <w:snapToGrid w:val="0"/>
          <w:szCs w:val="24"/>
        </w:rPr>
        <w:t>.</w:t>
      </w:r>
      <w:r>
        <w:rPr>
          <w:snapToGrid w:val="0"/>
          <w:szCs w:val="24"/>
        </w:rPr>
        <w:tab/>
        <w:t>Betting boards</w:t>
      </w:r>
      <w:r>
        <w:tab/>
      </w:r>
      <w:r>
        <w:fldChar w:fldCharType="begin"/>
      </w:r>
      <w:r>
        <w:instrText xml:space="preserve"> PAGEREF _Toc141173802 \h </w:instrText>
      </w:r>
      <w:r>
        <w:fldChar w:fldCharType="separate"/>
      </w:r>
      <w:r>
        <w:t>28</w:t>
      </w:r>
      <w:r>
        <w:fldChar w:fldCharType="end"/>
      </w:r>
    </w:p>
    <w:p>
      <w:pPr>
        <w:pStyle w:val="TOC8"/>
        <w:rPr>
          <w:sz w:val="24"/>
          <w:szCs w:val="24"/>
        </w:rPr>
      </w:pPr>
      <w:r>
        <w:rPr>
          <w:szCs w:val="24"/>
        </w:rPr>
        <w:t>62</w:t>
      </w:r>
      <w:r>
        <w:rPr>
          <w:snapToGrid w:val="0"/>
          <w:szCs w:val="24"/>
        </w:rPr>
        <w:t>.</w:t>
      </w:r>
      <w:r>
        <w:rPr>
          <w:snapToGrid w:val="0"/>
          <w:szCs w:val="24"/>
        </w:rPr>
        <w:tab/>
        <w:t>Omissions from betting board, etc.</w:t>
      </w:r>
      <w:r>
        <w:tab/>
      </w:r>
      <w:r>
        <w:fldChar w:fldCharType="begin"/>
      </w:r>
      <w:r>
        <w:instrText xml:space="preserve"> PAGEREF _Toc141173803 \h </w:instrText>
      </w:r>
      <w:r>
        <w:fldChar w:fldCharType="separate"/>
      </w:r>
      <w:r>
        <w:t>29</w:t>
      </w:r>
      <w:r>
        <w:fldChar w:fldCharType="end"/>
      </w:r>
    </w:p>
    <w:p>
      <w:pPr>
        <w:pStyle w:val="TOC8"/>
        <w:rPr>
          <w:sz w:val="24"/>
          <w:szCs w:val="24"/>
        </w:rPr>
      </w:pPr>
      <w:r>
        <w:rPr>
          <w:szCs w:val="24"/>
        </w:rPr>
        <w:t>63</w:t>
      </w:r>
      <w:r>
        <w:rPr>
          <w:snapToGrid w:val="0"/>
          <w:szCs w:val="24"/>
        </w:rPr>
        <w:t>.</w:t>
      </w:r>
      <w:r>
        <w:rPr>
          <w:snapToGrid w:val="0"/>
          <w:szCs w:val="24"/>
        </w:rPr>
        <w:tab/>
        <w:t>Bets with other bookmakers</w:t>
      </w:r>
      <w:r>
        <w:tab/>
      </w:r>
      <w:r>
        <w:fldChar w:fldCharType="begin"/>
      </w:r>
      <w:r>
        <w:instrText xml:space="preserve"> PAGEREF _Toc141173804 \h </w:instrText>
      </w:r>
      <w:r>
        <w:fldChar w:fldCharType="separate"/>
      </w:r>
      <w:r>
        <w:t>30</w:t>
      </w:r>
      <w:r>
        <w:fldChar w:fldCharType="end"/>
      </w:r>
    </w:p>
    <w:p>
      <w:pPr>
        <w:pStyle w:val="TOC8"/>
        <w:rPr>
          <w:sz w:val="24"/>
          <w:szCs w:val="24"/>
        </w:rPr>
      </w:pPr>
      <w:r>
        <w:rPr>
          <w:szCs w:val="24"/>
        </w:rPr>
        <w:t>68</w:t>
      </w:r>
      <w:r>
        <w:rPr>
          <w:snapToGrid w:val="0"/>
          <w:szCs w:val="24"/>
        </w:rPr>
        <w:t>.</w:t>
      </w:r>
      <w:r>
        <w:rPr>
          <w:snapToGrid w:val="0"/>
          <w:szCs w:val="24"/>
        </w:rPr>
        <w:tab/>
        <w:t xml:space="preserve">Cooperation with the </w:t>
      </w:r>
      <w:r>
        <w:rPr>
          <w:szCs w:val="24"/>
        </w:rPr>
        <w:t>Commission</w:t>
      </w:r>
      <w:r>
        <w:rPr>
          <w:snapToGrid w:val="0"/>
          <w:szCs w:val="24"/>
        </w:rPr>
        <w:t xml:space="preserve"> in matters relating to betting disputes</w:t>
      </w:r>
      <w:r>
        <w:tab/>
      </w:r>
      <w:r>
        <w:fldChar w:fldCharType="begin"/>
      </w:r>
      <w:r>
        <w:instrText xml:space="preserve"> PAGEREF _Toc141173805 \h </w:instrText>
      </w:r>
      <w:r>
        <w:fldChar w:fldCharType="separate"/>
      </w:r>
      <w:r>
        <w:t>31</w:t>
      </w:r>
      <w:r>
        <w:fldChar w:fldCharType="end"/>
      </w:r>
    </w:p>
    <w:p>
      <w:pPr>
        <w:pStyle w:val="TOC8"/>
        <w:rPr>
          <w:sz w:val="24"/>
          <w:szCs w:val="24"/>
        </w:rPr>
      </w:pPr>
      <w:r>
        <w:rPr>
          <w:szCs w:val="24"/>
        </w:rPr>
        <w:t>71</w:t>
      </w:r>
      <w:r>
        <w:rPr>
          <w:snapToGrid w:val="0"/>
          <w:szCs w:val="24"/>
        </w:rPr>
        <w:t>.</w:t>
      </w:r>
      <w:r>
        <w:rPr>
          <w:snapToGrid w:val="0"/>
          <w:szCs w:val="24"/>
        </w:rPr>
        <w:tab/>
        <w:t>Telephone betting on sporting events</w:t>
      </w:r>
      <w:r>
        <w:tab/>
      </w:r>
      <w:r>
        <w:fldChar w:fldCharType="begin"/>
      </w:r>
      <w:r>
        <w:instrText xml:space="preserve"> PAGEREF _Toc141173806 \h </w:instrText>
      </w:r>
      <w:r>
        <w:fldChar w:fldCharType="separate"/>
      </w:r>
      <w:r>
        <w:t>31</w:t>
      </w:r>
      <w:r>
        <w:fldChar w:fldCharType="end"/>
      </w:r>
    </w:p>
    <w:p>
      <w:pPr>
        <w:pStyle w:val="TOC8"/>
        <w:rPr>
          <w:sz w:val="24"/>
          <w:szCs w:val="24"/>
        </w:rPr>
      </w:pPr>
      <w:r>
        <w:rPr>
          <w:szCs w:val="24"/>
        </w:rPr>
        <w:t>72</w:t>
      </w:r>
      <w:r>
        <w:rPr>
          <w:snapToGrid w:val="0"/>
          <w:szCs w:val="24"/>
        </w:rPr>
        <w:t>.</w:t>
      </w:r>
      <w:r>
        <w:rPr>
          <w:snapToGrid w:val="0"/>
          <w:szCs w:val="24"/>
        </w:rPr>
        <w:tab/>
        <w:t>Telephone betting on racing</w:t>
      </w:r>
      <w:r>
        <w:tab/>
      </w:r>
      <w:r>
        <w:fldChar w:fldCharType="begin"/>
      </w:r>
      <w:r>
        <w:instrText xml:space="preserve"> PAGEREF _Toc141173807 \h </w:instrText>
      </w:r>
      <w:r>
        <w:fldChar w:fldCharType="separate"/>
      </w:r>
      <w:r>
        <w:t>33</w:t>
      </w:r>
      <w:r>
        <w:fldChar w:fldCharType="end"/>
      </w:r>
    </w:p>
    <w:p>
      <w:pPr>
        <w:pStyle w:val="TOC8"/>
        <w:rPr>
          <w:sz w:val="24"/>
          <w:szCs w:val="24"/>
        </w:rPr>
      </w:pPr>
      <w:r>
        <w:rPr>
          <w:szCs w:val="24"/>
        </w:rPr>
        <w:t>73.</w:t>
      </w:r>
      <w:r>
        <w:rPr>
          <w:szCs w:val="24"/>
        </w:rPr>
        <w:tab/>
        <w:t>Credit betting other than by telephone</w:t>
      </w:r>
      <w:r>
        <w:tab/>
      </w:r>
      <w:r>
        <w:fldChar w:fldCharType="begin"/>
      </w:r>
      <w:r>
        <w:instrText xml:space="preserve"> PAGEREF _Toc141173808 \h </w:instrText>
      </w:r>
      <w:r>
        <w:fldChar w:fldCharType="separate"/>
      </w:r>
      <w:r>
        <w:t>35</w:t>
      </w:r>
      <w:r>
        <w:fldChar w:fldCharType="end"/>
      </w:r>
    </w:p>
    <w:p>
      <w:pPr>
        <w:pStyle w:val="TOC8"/>
        <w:rPr>
          <w:sz w:val="24"/>
          <w:szCs w:val="24"/>
        </w:rPr>
      </w:pPr>
      <w:r>
        <w:rPr>
          <w:szCs w:val="24"/>
        </w:rPr>
        <w:t>74.</w:t>
      </w:r>
      <w:r>
        <w:rPr>
          <w:szCs w:val="24"/>
        </w:rPr>
        <w:tab/>
        <w:t>Internet betting (sporting events)</w:t>
      </w:r>
      <w:r>
        <w:tab/>
      </w:r>
      <w:r>
        <w:fldChar w:fldCharType="begin"/>
      </w:r>
      <w:r>
        <w:instrText xml:space="preserve"> PAGEREF _Toc141173809 \h </w:instrText>
      </w:r>
      <w:r>
        <w:fldChar w:fldCharType="separate"/>
      </w:r>
      <w:r>
        <w:t>35</w:t>
      </w:r>
      <w:r>
        <w:fldChar w:fldCharType="end"/>
      </w:r>
    </w:p>
    <w:p>
      <w:pPr>
        <w:pStyle w:val="TOC8"/>
        <w:rPr>
          <w:sz w:val="24"/>
          <w:szCs w:val="24"/>
        </w:rPr>
      </w:pPr>
      <w:r>
        <w:rPr>
          <w:szCs w:val="24"/>
        </w:rPr>
        <w:t>75.</w:t>
      </w:r>
      <w:r>
        <w:rPr>
          <w:szCs w:val="24"/>
        </w:rPr>
        <w:tab/>
        <w:t>Internet betting (racing)</w:t>
      </w:r>
      <w:r>
        <w:tab/>
      </w:r>
      <w:r>
        <w:fldChar w:fldCharType="begin"/>
      </w:r>
      <w:r>
        <w:instrText xml:space="preserve"> PAGEREF _Toc141173810 \h </w:instrText>
      </w:r>
      <w:r>
        <w:fldChar w:fldCharType="separate"/>
      </w:r>
      <w:r>
        <w:t>35</w:t>
      </w:r>
      <w:r>
        <w:fldChar w:fldCharType="end"/>
      </w:r>
    </w:p>
    <w:p>
      <w:pPr>
        <w:pStyle w:val="TOC8"/>
        <w:rPr>
          <w:sz w:val="24"/>
          <w:szCs w:val="24"/>
        </w:rPr>
      </w:pPr>
      <w:r>
        <w:rPr>
          <w:szCs w:val="24"/>
        </w:rPr>
        <w:t>76.</w:t>
      </w:r>
      <w:r>
        <w:rPr>
          <w:szCs w:val="24"/>
        </w:rPr>
        <w:tab/>
        <w:t>Procedures for internet betting</w:t>
      </w:r>
      <w:r>
        <w:tab/>
      </w:r>
      <w:r>
        <w:fldChar w:fldCharType="begin"/>
      </w:r>
      <w:r>
        <w:instrText xml:space="preserve"> PAGEREF _Toc141173811 \h </w:instrText>
      </w:r>
      <w:r>
        <w:fldChar w:fldCharType="separate"/>
      </w:r>
      <w:r>
        <w:t>36</w:t>
      </w:r>
      <w:r>
        <w:fldChar w:fldCharType="end"/>
      </w:r>
    </w:p>
    <w:p>
      <w:pPr>
        <w:pStyle w:val="TOC8"/>
        <w:rPr>
          <w:sz w:val="24"/>
          <w:szCs w:val="24"/>
        </w:rPr>
      </w:pPr>
      <w:r>
        <w:rPr>
          <w:szCs w:val="24"/>
        </w:rPr>
        <w:t>77.</w:t>
      </w:r>
      <w:r>
        <w:rPr>
          <w:szCs w:val="24"/>
        </w:rPr>
        <w:tab/>
        <w:t>Form of search warrant</w:t>
      </w:r>
      <w:r>
        <w:tab/>
      </w:r>
      <w:r>
        <w:fldChar w:fldCharType="begin"/>
      </w:r>
      <w:r>
        <w:instrText xml:space="preserve"> PAGEREF _Toc141173812 \h </w:instrText>
      </w:r>
      <w:r>
        <w:fldChar w:fldCharType="separate"/>
      </w:r>
      <w:r>
        <w:t>37</w:t>
      </w:r>
      <w:r>
        <w:fldChar w:fldCharType="end"/>
      </w:r>
    </w:p>
    <w:p>
      <w:pPr>
        <w:pStyle w:val="TOC2"/>
        <w:tabs>
          <w:tab w:val="right" w:leader="dot" w:pos="7078"/>
        </w:tabs>
        <w:rPr>
          <w:b w:val="0"/>
          <w:sz w:val="24"/>
          <w:szCs w:val="24"/>
        </w:rPr>
      </w:pPr>
      <w:r>
        <w:rPr>
          <w:szCs w:val="30"/>
        </w:rPr>
        <w:t>Part 4 — General conditions relating to bets made at or through on</w:t>
      </w:r>
      <w:r>
        <w:rPr>
          <w:szCs w:val="30"/>
        </w:rPr>
        <w:noBreakHyphen/>
        <w:t>course totalisators and local on</w:t>
      </w:r>
      <w:r>
        <w:rPr>
          <w:szCs w:val="30"/>
        </w:rPr>
        <w:noBreakHyphen/>
        <w:t>course totalisators</w:t>
      </w:r>
    </w:p>
    <w:p>
      <w:pPr>
        <w:pStyle w:val="TOC4"/>
        <w:tabs>
          <w:tab w:val="right" w:leader="dot" w:pos="7078"/>
        </w:tabs>
        <w:rPr>
          <w:b w:val="0"/>
          <w:sz w:val="24"/>
          <w:szCs w:val="24"/>
        </w:rPr>
      </w:pPr>
      <w:r>
        <w:rPr>
          <w:szCs w:val="26"/>
        </w:rPr>
        <w:t>Division 1 — Preliminary</w:t>
      </w:r>
    </w:p>
    <w:p>
      <w:pPr>
        <w:pStyle w:val="TOC8"/>
        <w:rPr>
          <w:sz w:val="24"/>
          <w:szCs w:val="24"/>
        </w:rPr>
      </w:pPr>
      <w:r>
        <w:rPr>
          <w:szCs w:val="24"/>
        </w:rPr>
        <w:t>78.</w:t>
      </w:r>
      <w:r>
        <w:rPr>
          <w:szCs w:val="24"/>
        </w:rPr>
        <w:tab/>
        <w:t>Interpretation</w:t>
      </w:r>
      <w:r>
        <w:tab/>
      </w:r>
      <w:r>
        <w:fldChar w:fldCharType="begin"/>
      </w:r>
      <w:r>
        <w:instrText xml:space="preserve"> PAGEREF _Toc141173815 \h </w:instrText>
      </w:r>
      <w:r>
        <w:fldChar w:fldCharType="separate"/>
      </w:r>
      <w:r>
        <w:t>38</w:t>
      </w:r>
      <w:r>
        <w:fldChar w:fldCharType="end"/>
      </w:r>
    </w:p>
    <w:p>
      <w:pPr>
        <w:pStyle w:val="TOC4"/>
        <w:tabs>
          <w:tab w:val="right" w:leader="dot" w:pos="7078"/>
        </w:tabs>
        <w:rPr>
          <w:b w:val="0"/>
          <w:sz w:val="24"/>
          <w:szCs w:val="24"/>
        </w:rPr>
      </w:pPr>
      <w:r>
        <w:rPr>
          <w:szCs w:val="26"/>
        </w:rPr>
        <w:t>Division 2 — Betting with on</w:t>
      </w:r>
      <w:r>
        <w:rPr>
          <w:szCs w:val="26"/>
        </w:rPr>
        <w:noBreakHyphen/>
        <w:t>course and local on</w:t>
      </w:r>
      <w:r>
        <w:rPr>
          <w:szCs w:val="26"/>
        </w:rPr>
        <w:noBreakHyphen/>
        <w:t>course totalisators</w:t>
      </w:r>
    </w:p>
    <w:p>
      <w:pPr>
        <w:pStyle w:val="TOC8"/>
        <w:rPr>
          <w:sz w:val="24"/>
          <w:szCs w:val="24"/>
        </w:rPr>
      </w:pPr>
      <w:r>
        <w:rPr>
          <w:szCs w:val="24"/>
        </w:rPr>
        <w:t>79.</w:t>
      </w:r>
      <w:r>
        <w:rPr>
          <w:szCs w:val="24"/>
        </w:rPr>
        <w:tab/>
        <w:t>On</w:t>
      </w:r>
      <w:r>
        <w:rPr>
          <w:szCs w:val="24"/>
        </w:rPr>
        <w:noBreakHyphen/>
        <w:t>course totalisator bets accepted subject to the rules and these regulations</w:t>
      </w:r>
      <w:r>
        <w:tab/>
      </w:r>
      <w:r>
        <w:fldChar w:fldCharType="begin"/>
      </w:r>
      <w:r>
        <w:instrText xml:space="preserve"> PAGEREF _Toc141173817 \h </w:instrText>
      </w:r>
      <w:r>
        <w:fldChar w:fldCharType="separate"/>
      </w:r>
      <w:r>
        <w:t>39</w:t>
      </w:r>
      <w:r>
        <w:fldChar w:fldCharType="end"/>
      </w:r>
    </w:p>
    <w:p>
      <w:pPr>
        <w:pStyle w:val="TOC8"/>
        <w:rPr>
          <w:sz w:val="24"/>
          <w:szCs w:val="24"/>
        </w:rPr>
      </w:pPr>
      <w:r>
        <w:rPr>
          <w:szCs w:val="24"/>
        </w:rPr>
        <w:t>80.</w:t>
      </w:r>
      <w:r>
        <w:rPr>
          <w:szCs w:val="24"/>
        </w:rPr>
        <w:tab/>
        <w:t>Local on</w:t>
      </w:r>
      <w:r>
        <w:rPr>
          <w:szCs w:val="24"/>
        </w:rPr>
        <w:noBreakHyphen/>
        <w:t>course totalisator bets accepted subject to the rules and these regulations</w:t>
      </w:r>
      <w:r>
        <w:tab/>
      </w:r>
      <w:r>
        <w:fldChar w:fldCharType="begin"/>
      </w:r>
      <w:r>
        <w:instrText xml:space="preserve"> PAGEREF _Toc141173818 \h </w:instrText>
      </w:r>
      <w:r>
        <w:fldChar w:fldCharType="separate"/>
      </w:r>
      <w:r>
        <w:t>40</w:t>
      </w:r>
      <w:r>
        <w:fldChar w:fldCharType="end"/>
      </w:r>
    </w:p>
    <w:p>
      <w:pPr>
        <w:pStyle w:val="TOC8"/>
        <w:rPr>
          <w:sz w:val="24"/>
          <w:szCs w:val="24"/>
        </w:rPr>
      </w:pPr>
      <w:r>
        <w:rPr>
          <w:szCs w:val="24"/>
        </w:rPr>
        <w:t>81.</w:t>
      </w:r>
      <w:r>
        <w:rPr>
          <w:szCs w:val="24"/>
        </w:rPr>
        <w:tab/>
        <w:t>All bets to be 50 cents or multiples of 50 cents</w:t>
      </w:r>
      <w:r>
        <w:tab/>
      </w:r>
      <w:r>
        <w:fldChar w:fldCharType="begin"/>
      </w:r>
      <w:r>
        <w:instrText xml:space="preserve"> PAGEREF _Toc141173819 \h </w:instrText>
      </w:r>
      <w:r>
        <w:fldChar w:fldCharType="separate"/>
      </w:r>
      <w:r>
        <w:t>40</w:t>
      </w:r>
      <w:r>
        <w:fldChar w:fldCharType="end"/>
      </w:r>
    </w:p>
    <w:p>
      <w:pPr>
        <w:pStyle w:val="TOC8"/>
        <w:rPr>
          <w:sz w:val="24"/>
          <w:szCs w:val="24"/>
        </w:rPr>
      </w:pPr>
      <w:r>
        <w:rPr>
          <w:szCs w:val="24"/>
        </w:rPr>
        <w:t>82.</w:t>
      </w:r>
      <w:r>
        <w:rPr>
          <w:szCs w:val="24"/>
        </w:rPr>
        <w:tab/>
        <w:t>On</w:t>
      </w:r>
      <w:r>
        <w:rPr>
          <w:szCs w:val="24"/>
        </w:rPr>
        <w:noBreakHyphen/>
        <w:t>course totalisator dividend as declared</w:t>
      </w:r>
      <w:r>
        <w:tab/>
      </w:r>
      <w:r>
        <w:fldChar w:fldCharType="begin"/>
      </w:r>
      <w:r>
        <w:instrText xml:space="preserve"> PAGEREF _Toc141173820 \h </w:instrText>
      </w:r>
      <w:r>
        <w:fldChar w:fldCharType="separate"/>
      </w:r>
      <w:r>
        <w:t>41</w:t>
      </w:r>
      <w:r>
        <w:fldChar w:fldCharType="end"/>
      </w:r>
    </w:p>
    <w:p>
      <w:pPr>
        <w:pStyle w:val="TOC8"/>
        <w:rPr>
          <w:sz w:val="24"/>
          <w:szCs w:val="24"/>
        </w:rPr>
      </w:pPr>
      <w:r>
        <w:rPr>
          <w:szCs w:val="24"/>
        </w:rPr>
        <w:t>83.</w:t>
      </w:r>
      <w:r>
        <w:rPr>
          <w:szCs w:val="24"/>
        </w:rPr>
        <w:tab/>
        <w:t>Local on</w:t>
      </w:r>
      <w:r>
        <w:rPr>
          <w:szCs w:val="24"/>
        </w:rPr>
        <w:noBreakHyphen/>
        <w:t>course totalisator dividend as declared</w:t>
      </w:r>
      <w:r>
        <w:tab/>
      </w:r>
      <w:r>
        <w:fldChar w:fldCharType="begin"/>
      </w:r>
      <w:r>
        <w:instrText xml:space="preserve"> PAGEREF _Toc141173821 \h </w:instrText>
      </w:r>
      <w:r>
        <w:fldChar w:fldCharType="separate"/>
      </w:r>
      <w:r>
        <w:t>42</w:t>
      </w:r>
      <w:r>
        <w:fldChar w:fldCharType="end"/>
      </w:r>
    </w:p>
    <w:p>
      <w:pPr>
        <w:pStyle w:val="TOC8"/>
        <w:rPr>
          <w:sz w:val="24"/>
          <w:szCs w:val="24"/>
        </w:rPr>
      </w:pPr>
      <w:r>
        <w:rPr>
          <w:szCs w:val="24"/>
        </w:rPr>
        <w:t>84.</w:t>
      </w:r>
      <w:r>
        <w:rPr>
          <w:szCs w:val="24"/>
        </w:rPr>
        <w:tab/>
        <w:t>Bets may be refused</w:t>
      </w:r>
      <w:r>
        <w:tab/>
      </w:r>
      <w:r>
        <w:fldChar w:fldCharType="begin"/>
      </w:r>
      <w:r>
        <w:instrText xml:space="preserve"> PAGEREF _Toc141173822 \h </w:instrText>
      </w:r>
      <w:r>
        <w:fldChar w:fldCharType="separate"/>
      </w:r>
      <w:r>
        <w:t>42</w:t>
      </w:r>
      <w:r>
        <w:fldChar w:fldCharType="end"/>
      </w:r>
    </w:p>
    <w:p>
      <w:pPr>
        <w:pStyle w:val="TOC8"/>
        <w:rPr>
          <w:sz w:val="24"/>
          <w:szCs w:val="24"/>
        </w:rPr>
      </w:pPr>
      <w:r>
        <w:rPr>
          <w:szCs w:val="24"/>
        </w:rPr>
        <w:t>85.</w:t>
      </w:r>
      <w:r>
        <w:rPr>
          <w:szCs w:val="24"/>
        </w:rPr>
        <w:tab/>
        <w:t>Only authorised bets to be accepted</w:t>
      </w:r>
      <w:r>
        <w:tab/>
      </w:r>
      <w:r>
        <w:fldChar w:fldCharType="begin"/>
      </w:r>
      <w:r>
        <w:instrText xml:space="preserve"> PAGEREF _Toc141173823 \h </w:instrText>
      </w:r>
      <w:r>
        <w:fldChar w:fldCharType="separate"/>
      </w:r>
      <w:r>
        <w:t>43</w:t>
      </w:r>
      <w:r>
        <w:fldChar w:fldCharType="end"/>
      </w:r>
    </w:p>
    <w:p>
      <w:pPr>
        <w:pStyle w:val="TOC8"/>
        <w:rPr>
          <w:sz w:val="24"/>
          <w:szCs w:val="24"/>
        </w:rPr>
      </w:pPr>
      <w:r>
        <w:rPr>
          <w:szCs w:val="24"/>
        </w:rPr>
        <w:t>86.</w:t>
      </w:r>
      <w:r>
        <w:rPr>
          <w:szCs w:val="24"/>
        </w:rPr>
        <w:tab/>
        <w:t>Hours for opening</w:t>
      </w:r>
      <w:r>
        <w:tab/>
      </w:r>
      <w:r>
        <w:fldChar w:fldCharType="begin"/>
      </w:r>
      <w:r>
        <w:instrText xml:space="preserve"> PAGEREF _Toc141173824 \h </w:instrText>
      </w:r>
      <w:r>
        <w:fldChar w:fldCharType="separate"/>
      </w:r>
      <w:r>
        <w:t>43</w:t>
      </w:r>
      <w:r>
        <w:fldChar w:fldCharType="end"/>
      </w:r>
    </w:p>
    <w:p>
      <w:pPr>
        <w:pStyle w:val="TOC8"/>
        <w:rPr>
          <w:sz w:val="24"/>
          <w:szCs w:val="24"/>
        </w:rPr>
      </w:pPr>
      <w:r>
        <w:rPr>
          <w:szCs w:val="24"/>
        </w:rPr>
        <w:t>87.</w:t>
      </w:r>
      <w:r>
        <w:rPr>
          <w:szCs w:val="24"/>
        </w:rPr>
        <w:tab/>
        <w:t>Bets may be made by various methods</w:t>
      </w:r>
      <w:r>
        <w:tab/>
      </w:r>
      <w:r>
        <w:fldChar w:fldCharType="begin"/>
      </w:r>
      <w:r>
        <w:instrText xml:space="preserve"> PAGEREF _Toc141173825 \h </w:instrText>
      </w:r>
      <w:r>
        <w:fldChar w:fldCharType="separate"/>
      </w:r>
      <w:r>
        <w:t>43</w:t>
      </w:r>
      <w:r>
        <w:fldChar w:fldCharType="end"/>
      </w:r>
    </w:p>
    <w:p>
      <w:pPr>
        <w:pStyle w:val="TOC8"/>
        <w:rPr>
          <w:sz w:val="24"/>
          <w:szCs w:val="24"/>
        </w:rPr>
      </w:pPr>
      <w:r>
        <w:rPr>
          <w:szCs w:val="24"/>
        </w:rPr>
        <w:t>88.</w:t>
      </w:r>
      <w:r>
        <w:rPr>
          <w:szCs w:val="24"/>
        </w:rPr>
        <w:tab/>
        <w:t>On</w:t>
      </w:r>
      <w:r>
        <w:rPr>
          <w:szCs w:val="24"/>
        </w:rPr>
        <w:noBreakHyphen/>
        <w:t>course totalisator bets to be properly marked</w:t>
      </w:r>
      <w:r>
        <w:tab/>
      </w:r>
      <w:r>
        <w:fldChar w:fldCharType="begin"/>
      </w:r>
      <w:r>
        <w:instrText xml:space="preserve"> PAGEREF _Toc141173826 \h </w:instrText>
      </w:r>
      <w:r>
        <w:fldChar w:fldCharType="separate"/>
      </w:r>
      <w:r>
        <w:t>44</w:t>
      </w:r>
      <w:r>
        <w:fldChar w:fldCharType="end"/>
      </w:r>
    </w:p>
    <w:p>
      <w:pPr>
        <w:pStyle w:val="TOC8"/>
        <w:rPr>
          <w:sz w:val="24"/>
          <w:szCs w:val="24"/>
        </w:rPr>
      </w:pPr>
      <w:r>
        <w:rPr>
          <w:szCs w:val="24"/>
        </w:rPr>
        <w:t>89.</w:t>
      </w:r>
      <w:r>
        <w:rPr>
          <w:szCs w:val="24"/>
        </w:rPr>
        <w:tab/>
        <w:t>Local on</w:t>
      </w:r>
      <w:r>
        <w:rPr>
          <w:szCs w:val="24"/>
        </w:rPr>
        <w:noBreakHyphen/>
        <w:t>course totalisator bets to be properly marked</w:t>
      </w:r>
      <w:r>
        <w:tab/>
      </w:r>
      <w:r>
        <w:fldChar w:fldCharType="begin"/>
      </w:r>
      <w:r>
        <w:instrText xml:space="preserve"> PAGEREF _Toc141173827 \h </w:instrText>
      </w:r>
      <w:r>
        <w:fldChar w:fldCharType="separate"/>
      </w:r>
      <w:r>
        <w:t>45</w:t>
      </w:r>
      <w:r>
        <w:fldChar w:fldCharType="end"/>
      </w:r>
    </w:p>
    <w:p>
      <w:pPr>
        <w:pStyle w:val="TOC8"/>
        <w:rPr>
          <w:sz w:val="24"/>
          <w:szCs w:val="24"/>
        </w:rPr>
      </w:pPr>
      <w:r>
        <w:rPr>
          <w:szCs w:val="24"/>
        </w:rPr>
        <w:t>90.</w:t>
      </w:r>
      <w:r>
        <w:rPr>
          <w:szCs w:val="24"/>
        </w:rPr>
        <w:tab/>
        <w:t>Tickets to be properly marked</w:t>
      </w:r>
      <w:r>
        <w:tab/>
      </w:r>
      <w:r>
        <w:fldChar w:fldCharType="begin"/>
      </w:r>
      <w:r>
        <w:instrText xml:space="preserve"> PAGEREF _Toc141173828 \h </w:instrText>
      </w:r>
      <w:r>
        <w:fldChar w:fldCharType="separate"/>
      </w:r>
      <w:r>
        <w:t>45</w:t>
      </w:r>
      <w:r>
        <w:fldChar w:fldCharType="end"/>
      </w:r>
    </w:p>
    <w:p>
      <w:pPr>
        <w:pStyle w:val="TOC8"/>
        <w:rPr>
          <w:sz w:val="24"/>
          <w:szCs w:val="24"/>
        </w:rPr>
      </w:pPr>
      <w:r>
        <w:rPr>
          <w:szCs w:val="24"/>
        </w:rPr>
        <w:t>91.</w:t>
      </w:r>
      <w:r>
        <w:rPr>
          <w:szCs w:val="24"/>
        </w:rPr>
        <w:tab/>
        <w:t>Host racing club to exhibit notices at on</w:t>
      </w:r>
      <w:r>
        <w:rPr>
          <w:szCs w:val="24"/>
        </w:rPr>
        <w:noBreakHyphen/>
        <w:t>course totalisator and local on</w:t>
      </w:r>
      <w:r>
        <w:rPr>
          <w:szCs w:val="24"/>
        </w:rPr>
        <w:noBreakHyphen/>
        <w:t>course totalisator</w:t>
      </w:r>
      <w:r>
        <w:tab/>
      </w:r>
      <w:r>
        <w:fldChar w:fldCharType="begin"/>
      </w:r>
      <w:r>
        <w:instrText xml:space="preserve"> PAGEREF _Toc141173829 \h </w:instrText>
      </w:r>
      <w:r>
        <w:fldChar w:fldCharType="separate"/>
      </w:r>
      <w:r>
        <w:t>46</w:t>
      </w:r>
      <w:r>
        <w:fldChar w:fldCharType="end"/>
      </w:r>
    </w:p>
    <w:p>
      <w:pPr>
        <w:pStyle w:val="TOC8"/>
        <w:rPr>
          <w:sz w:val="24"/>
          <w:szCs w:val="24"/>
        </w:rPr>
      </w:pPr>
      <w:r>
        <w:rPr>
          <w:szCs w:val="24"/>
        </w:rPr>
        <w:t>92.</w:t>
      </w:r>
      <w:r>
        <w:rPr>
          <w:szCs w:val="24"/>
        </w:rPr>
        <w:tab/>
        <w:t>Correction of errors and omissions and the giving of certain refunds</w:t>
      </w:r>
      <w:r>
        <w:tab/>
      </w:r>
      <w:r>
        <w:fldChar w:fldCharType="begin"/>
      </w:r>
      <w:r>
        <w:instrText xml:space="preserve"> PAGEREF _Toc141173830 \h </w:instrText>
      </w:r>
      <w:r>
        <w:fldChar w:fldCharType="separate"/>
      </w:r>
      <w:r>
        <w:t>47</w:t>
      </w:r>
      <w:r>
        <w:fldChar w:fldCharType="end"/>
      </w:r>
    </w:p>
    <w:p>
      <w:pPr>
        <w:pStyle w:val="TOC8"/>
        <w:rPr>
          <w:sz w:val="24"/>
          <w:szCs w:val="24"/>
        </w:rPr>
      </w:pPr>
      <w:r>
        <w:rPr>
          <w:szCs w:val="24"/>
        </w:rPr>
        <w:t>93.</w:t>
      </w:r>
      <w:r>
        <w:rPr>
          <w:szCs w:val="24"/>
        </w:rPr>
        <w:tab/>
        <w:t>Time for payment of dividends or refunds for cash bets</w:t>
      </w:r>
      <w:r>
        <w:tab/>
      </w:r>
      <w:r>
        <w:fldChar w:fldCharType="begin"/>
      </w:r>
      <w:r>
        <w:instrText xml:space="preserve"> PAGEREF _Toc141173831 \h </w:instrText>
      </w:r>
      <w:r>
        <w:fldChar w:fldCharType="separate"/>
      </w:r>
      <w:r>
        <w:t>48</w:t>
      </w:r>
      <w:r>
        <w:fldChar w:fldCharType="end"/>
      </w:r>
    </w:p>
    <w:p>
      <w:pPr>
        <w:pStyle w:val="TOC8"/>
        <w:rPr>
          <w:sz w:val="24"/>
          <w:szCs w:val="24"/>
        </w:rPr>
      </w:pPr>
      <w:r>
        <w:rPr>
          <w:szCs w:val="24"/>
        </w:rPr>
        <w:t>94.</w:t>
      </w:r>
      <w:r>
        <w:rPr>
          <w:szCs w:val="24"/>
        </w:rPr>
        <w:tab/>
        <w:t>Presentation of tickets or claims</w:t>
      </w:r>
      <w:r>
        <w:tab/>
      </w:r>
      <w:r>
        <w:fldChar w:fldCharType="begin"/>
      </w:r>
      <w:r>
        <w:instrText xml:space="preserve"> PAGEREF _Toc141173832 \h </w:instrText>
      </w:r>
      <w:r>
        <w:fldChar w:fldCharType="separate"/>
      </w:r>
      <w:r>
        <w:t>49</w:t>
      </w:r>
      <w:r>
        <w:fldChar w:fldCharType="end"/>
      </w:r>
    </w:p>
    <w:p>
      <w:pPr>
        <w:pStyle w:val="TOC8"/>
        <w:rPr>
          <w:sz w:val="24"/>
          <w:szCs w:val="24"/>
        </w:rPr>
      </w:pPr>
      <w:r>
        <w:rPr>
          <w:szCs w:val="24"/>
        </w:rPr>
        <w:t>95.</w:t>
      </w:r>
      <w:r>
        <w:rPr>
          <w:szCs w:val="24"/>
        </w:rPr>
        <w:tab/>
        <w:t>When refunds of bets are payable</w:t>
      </w:r>
      <w:r>
        <w:tab/>
      </w:r>
      <w:r>
        <w:fldChar w:fldCharType="begin"/>
      </w:r>
      <w:r>
        <w:instrText xml:space="preserve"> PAGEREF _Toc141173833 \h </w:instrText>
      </w:r>
      <w:r>
        <w:fldChar w:fldCharType="separate"/>
      </w:r>
      <w:r>
        <w:t>50</w:t>
      </w:r>
      <w:r>
        <w:fldChar w:fldCharType="end"/>
      </w:r>
    </w:p>
    <w:p>
      <w:pPr>
        <w:pStyle w:val="TOC4"/>
        <w:tabs>
          <w:tab w:val="right" w:leader="dot" w:pos="7078"/>
        </w:tabs>
        <w:rPr>
          <w:b w:val="0"/>
          <w:sz w:val="24"/>
          <w:szCs w:val="24"/>
        </w:rPr>
      </w:pPr>
      <w:r>
        <w:rPr>
          <w:szCs w:val="26"/>
        </w:rPr>
        <w:t>Division 3 — Miscellaneous discipline and offence provisions</w:t>
      </w:r>
    </w:p>
    <w:p>
      <w:pPr>
        <w:pStyle w:val="TOC8"/>
        <w:rPr>
          <w:sz w:val="24"/>
          <w:szCs w:val="24"/>
        </w:rPr>
      </w:pPr>
      <w:r>
        <w:rPr>
          <w:szCs w:val="24"/>
        </w:rPr>
        <w:t>96.</w:t>
      </w:r>
      <w:r>
        <w:rPr>
          <w:szCs w:val="24"/>
        </w:rPr>
        <w:tab/>
        <w:t>Person making bet bound by these regulations, the rules of wagering and instructions</w:t>
      </w:r>
      <w:r>
        <w:tab/>
      </w:r>
      <w:r>
        <w:fldChar w:fldCharType="begin"/>
      </w:r>
      <w:r>
        <w:instrText xml:space="preserve"> PAGEREF _Toc141173835 \h </w:instrText>
      </w:r>
      <w:r>
        <w:fldChar w:fldCharType="separate"/>
      </w:r>
      <w:r>
        <w:t>51</w:t>
      </w:r>
      <w:r>
        <w:fldChar w:fldCharType="end"/>
      </w:r>
    </w:p>
    <w:p>
      <w:pPr>
        <w:pStyle w:val="TOC8"/>
        <w:rPr>
          <w:sz w:val="24"/>
          <w:szCs w:val="24"/>
        </w:rPr>
      </w:pPr>
      <w:r>
        <w:rPr>
          <w:szCs w:val="24"/>
        </w:rPr>
        <w:t>97.</w:t>
      </w:r>
      <w:r>
        <w:rPr>
          <w:szCs w:val="24"/>
        </w:rPr>
        <w:tab/>
        <w:t>Offences relating to making and accepting wagers</w:t>
      </w:r>
      <w:r>
        <w:tab/>
      </w:r>
      <w:r>
        <w:fldChar w:fldCharType="begin"/>
      </w:r>
      <w:r>
        <w:instrText xml:space="preserve"> PAGEREF _Toc141173836 \h </w:instrText>
      </w:r>
      <w:r>
        <w:fldChar w:fldCharType="separate"/>
      </w:r>
      <w:r>
        <w:t>52</w:t>
      </w:r>
      <w:r>
        <w:fldChar w:fldCharType="end"/>
      </w:r>
    </w:p>
    <w:p>
      <w:pPr>
        <w:pStyle w:val="TOC2"/>
        <w:tabs>
          <w:tab w:val="right" w:leader="dot" w:pos="7078"/>
        </w:tabs>
        <w:rPr>
          <w:b w:val="0"/>
          <w:sz w:val="24"/>
          <w:szCs w:val="24"/>
        </w:rPr>
      </w:pPr>
      <w:r>
        <w:rPr>
          <w:szCs w:val="28"/>
        </w:rPr>
        <w:t>Appendix</w:t>
      </w:r>
    </w:p>
    <w:p>
      <w:pPr>
        <w:pStyle w:val="TOC2"/>
        <w:tabs>
          <w:tab w:val="right" w:leader="dot" w:pos="7078"/>
        </w:tabs>
        <w:rPr>
          <w:b w:val="0"/>
          <w:sz w:val="24"/>
          <w:szCs w:val="24"/>
        </w:rPr>
      </w:pPr>
      <w:r>
        <w:rPr>
          <w:szCs w:val="28"/>
        </w:rPr>
        <w:t>Rules of Betting</w:t>
      </w:r>
    </w:p>
    <w:p>
      <w:pPr>
        <w:pStyle w:val="TOC2"/>
        <w:tabs>
          <w:tab w:val="right" w:leader="dot" w:pos="7078"/>
        </w:tabs>
        <w:rPr>
          <w:b w:val="0"/>
          <w:sz w:val="24"/>
          <w:szCs w:val="24"/>
        </w:rPr>
      </w:pPr>
      <w:r>
        <w:rPr>
          <w:sz w:val="22"/>
          <w:szCs w:val="28"/>
        </w:rPr>
        <w:t>Part 1 — Betting under the rules of racing</w:t>
      </w:r>
    </w:p>
    <w:p>
      <w:pPr>
        <w:pStyle w:val="TOC8"/>
        <w:rPr>
          <w:sz w:val="24"/>
          <w:szCs w:val="24"/>
        </w:rPr>
      </w:pPr>
      <w:r>
        <w:rPr>
          <w:szCs w:val="22"/>
        </w:rPr>
        <w:t>1</w:t>
      </w:r>
      <w:r>
        <w:rPr>
          <w:snapToGrid w:val="0"/>
          <w:szCs w:val="22"/>
        </w:rPr>
        <w:t>.</w:t>
      </w:r>
      <w:r>
        <w:rPr>
          <w:snapToGrid w:val="0"/>
          <w:szCs w:val="22"/>
        </w:rPr>
        <w:tab/>
        <w:t>Interpretation</w:t>
      </w:r>
      <w:r>
        <w:tab/>
      </w:r>
      <w:r>
        <w:fldChar w:fldCharType="begin"/>
      </w:r>
      <w:r>
        <w:instrText xml:space="preserve"> PAGEREF _Toc141173840 \h </w:instrText>
      </w:r>
      <w:r>
        <w:fldChar w:fldCharType="separate"/>
      </w:r>
      <w:r>
        <w:t>54</w:t>
      </w:r>
      <w:r>
        <w:fldChar w:fldCharType="end"/>
      </w:r>
    </w:p>
    <w:p>
      <w:pPr>
        <w:pStyle w:val="TOC8"/>
        <w:rPr>
          <w:sz w:val="24"/>
          <w:szCs w:val="24"/>
        </w:rPr>
      </w:pPr>
      <w:r>
        <w:rPr>
          <w:szCs w:val="22"/>
        </w:rPr>
        <w:t>2</w:t>
      </w:r>
      <w:r>
        <w:rPr>
          <w:snapToGrid w:val="0"/>
          <w:szCs w:val="22"/>
        </w:rPr>
        <w:t>.</w:t>
      </w:r>
      <w:r>
        <w:rPr>
          <w:snapToGrid w:val="0"/>
          <w:szCs w:val="22"/>
        </w:rPr>
        <w:tab/>
        <w:t>Bets void in certain circumstances</w:t>
      </w:r>
      <w:r>
        <w:tab/>
      </w:r>
      <w:r>
        <w:fldChar w:fldCharType="begin"/>
      </w:r>
      <w:r>
        <w:instrText xml:space="preserve"> PAGEREF _Toc141173841 \h </w:instrText>
      </w:r>
      <w:r>
        <w:fldChar w:fldCharType="separate"/>
      </w:r>
      <w:r>
        <w:t>55</w:t>
      </w:r>
      <w:r>
        <w:fldChar w:fldCharType="end"/>
      </w:r>
    </w:p>
    <w:p>
      <w:pPr>
        <w:pStyle w:val="TOC8"/>
        <w:rPr>
          <w:sz w:val="24"/>
          <w:szCs w:val="24"/>
        </w:rPr>
      </w:pPr>
      <w:r>
        <w:rPr>
          <w:szCs w:val="22"/>
        </w:rPr>
        <w:t>3</w:t>
      </w:r>
      <w:r>
        <w:rPr>
          <w:snapToGrid w:val="0"/>
          <w:szCs w:val="22"/>
        </w:rPr>
        <w:t>.</w:t>
      </w:r>
      <w:r>
        <w:rPr>
          <w:snapToGrid w:val="0"/>
          <w:szCs w:val="22"/>
        </w:rPr>
        <w:tab/>
        <w:t>When bets are off</w:t>
      </w:r>
      <w:r>
        <w:tab/>
      </w:r>
      <w:r>
        <w:fldChar w:fldCharType="begin"/>
      </w:r>
      <w:r>
        <w:instrText xml:space="preserve"> PAGEREF _Toc141173842 \h </w:instrText>
      </w:r>
      <w:r>
        <w:fldChar w:fldCharType="separate"/>
      </w:r>
      <w:r>
        <w:t>56</w:t>
      </w:r>
      <w:r>
        <w:fldChar w:fldCharType="end"/>
      </w:r>
    </w:p>
    <w:p>
      <w:pPr>
        <w:pStyle w:val="TOC8"/>
        <w:rPr>
          <w:sz w:val="24"/>
          <w:szCs w:val="24"/>
        </w:rPr>
      </w:pPr>
      <w:r>
        <w:rPr>
          <w:szCs w:val="22"/>
        </w:rPr>
        <w:t>4</w:t>
      </w:r>
      <w:r>
        <w:rPr>
          <w:snapToGrid w:val="0"/>
          <w:szCs w:val="22"/>
        </w:rPr>
        <w:t>.</w:t>
      </w:r>
      <w:r>
        <w:rPr>
          <w:snapToGrid w:val="0"/>
          <w:szCs w:val="22"/>
        </w:rPr>
        <w:tab/>
        <w:t>Determination and settlement of bets</w:t>
      </w:r>
      <w:r>
        <w:tab/>
      </w:r>
      <w:r>
        <w:fldChar w:fldCharType="begin"/>
      </w:r>
      <w:r>
        <w:instrText xml:space="preserve"> PAGEREF _Toc141173843 \h </w:instrText>
      </w:r>
      <w:r>
        <w:fldChar w:fldCharType="separate"/>
      </w:r>
      <w:r>
        <w:t>58</w:t>
      </w:r>
      <w:r>
        <w:fldChar w:fldCharType="end"/>
      </w:r>
    </w:p>
    <w:p>
      <w:pPr>
        <w:pStyle w:val="TOC8"/>
        <w:rPr>
          <w:sz w:val="24"/>
          <w:szCs w:val="24"/>
        </w:rPr>
      </w:pPr>
      <w:r>
        <w:rPr>
          <w:szCs w:val="22"/>
        </w:rPr>
        <w:t>5</w:t>
      </w:r>
      <w:r>
        <w:rPr>
          <w:snapToGrid w:val="0"/>
          <w:szCs w:val="22"/>
        </w:rPr>
        <w:t>.</w:t>
      </w:r>
      <w:r>
        <w:rPr>
          <w:snapToGrid w:val="0"/>
          <w:szCs w:val="22"/>
        </w:rPr>
        <w:tab/>
        <w:t>Bets in respect of postponed race or race meeting</w:t>
      </w:r>
      <w:r>
        <w:tab/>
      </w:r>
      <w:r>
        <w:fldChar w:fldCharType="begin"/>
      </w:r>
      <w:r>
        <w:instrText xml:space="preserve"> PAGEREF _Toc141173844 \h </w:instrText>
      </w:r>
      <w:r>
        <w:fldChar w:fldCharType="separate"/>
      </w:r>
      <w:r>
        <w:t>58</w:t>
      </w:r>
      <w:r>
        <w:fldChar w:fldCharType="end"/>
      </w:r>
    </w:p>
    <w:p>
      <w:pPr>
        <w:pStyle w:val="TOC8"/>
        <w:rPr>
          <w:sz w:val="24"/>
          <w:szCs w:val="24"/>
        </w:rPr>
      </w:pPr>
      <w:r>
        <w:rPr>
          <w:szCs w:val="22"/>
        </w:rPr>
        <w:t>6</w:t>
      </w:r>
      <w:r>
        <w:rPr>
          <w:snapToGrid w:val="0"/>
          <w:szCs w:val="22"/>
        </w:rPr>
        <w:t>.</w:t>
      </w:r>
      <w:r>
        <w:rPr>
          <w:snapToGrid w:val="0"/>
          <w:szCs w:val="22"/>
        </w:rPr>
        <w:tab/>
        <w:t>Each way bets</w:t>
      </w:r>
      <w:r>
        <w:tab/>
      </w:r>
      <w:r>
        <w:fldChar w:fldCharType="begin"/>
      </w:r>
      <w:r>
        <w:instrText xml:space="preserve"> PAGEREF _Toc141173845 \h </w:instrText>
      </w:r>
      <w:r>
        <w:fldChar w:fldCharType="separate"/>
      </w:r>
      <w:r>
        <w:t>59</w:t>
      </w:r>
      <w:r>
        <w:fldChar w:fldCharType="end"/>
      </w:r>
    </w:p>
    <w:p>
      <w:pPr>
        <w:pStyle w:val="TOC8"/>
        <w:rPr>
          <w:sz w:val="24"/>
          <w:szCs w:val="24"/>
        </w:rPr>
      </w:pPr>
      <w:r>
        <w:rPr>
          <w:szCs w:val="22"/>
        </w:rPr>
        <w:t>7</w:t>
      </w:r>
      <w:r>
        <w:rPr>
          <w:snapToGrid w:val="0"/>
          <w:szCs w:val="22"/>
        </w:rPr>
        <w:t>.</w:t>
      </w:r>
      <w:r>
        <w:rPr>
          <w:snapToGrid w:val="0"/>
          <w:szCs w:val="22"/>
        </w:rPr>
        <w:tab/>
        <w:t>All bets to be “play or pay” except in certain circumstances</w:t>
      </w:r>
      <w:r>
        <w:tab/>
      </w:r>
      <w:r>
        <w:fldChar w:fldCharType="begin"/>
      </w:r>
      <w:r>
        <w:instrText xml:space="preserve"> PAGEREF _Toc141173846 \h </w:instrText>
      </w:r>
      <w:r>
        <w:fldChar w:fldCharType="separate"/>
      </w:r>
      <w:r>
        <w:t>59</w:t>
      </w:r>
      <w:r>
        <w:fldChar w:fldCharType="end"/>
      </w:r>
    </w:p>
    <w:p>
      <w:pPr>
        <w:pStyle w:val="TOC8"/>
        <w:rPr>
          <w:sz w:val="24"/>
          <w:szCs w:val="24"/>
        </w:rPr>
      </w:pPr>
      <w:r>
        <w:rPr>
          <w:szCs w:val="22"/>
        </w:rPr>
        <w:t>8</w:t>
      </w:r>
      <w:r>
        <w:rPr>
          <w:snapToGrid w:val="0"/>
          <w:szCs w:val="22"/>
        </w:rPr>
        <w:t>.</w:t>
      </w:r>
      <w:r>
        <w:rPr>
          <w:snapToGrid w:val="0"/>
          <w:szCs w:val="22"/>
        </w:rPr>
        <w:tab/>
        <w:t>Provisions as to settlement of bets following a dead heat</w:t>
      </w:r>
      <w:r>
        <w:tab/>
      </w:r>
      <w:r>
        <w:fldChar w:fldCharType="begin"/>
      </w:r>
      <w:r>
        <w:instrText xml:space="preserve"> PAGEREF _Toc141173847 \h </w:instrText>
      </w:r>
      <w:r>
        <w:fldChar w:fldCharType="separate"/>
      </w:r>
      <w:r>
        <w:t>60</w:t>
      </w:r>
      <w:r>
        <w:fldChar w:fldCharType="end"/>
      </w:r>
    </w:p>
    <w:p>
      <w:pPr>
        <w:pStyle w:val="TOC8"/>
        <w:rPr>
          <w:sz w:val="24"/>
          <w:szCs w:val="24"/>
        </w:rPr>
      </w:pPr>
      <w:r>
        <w:rPr>
          <w:szCs w:val="22"/>
        </w:rPr>
        <w:t>9</w:t>
      </w:r>
      <w:r>
        <w:rPr>
          <w:snapToGrid w:val="0"/>
          <w:szCs w:val="22"/>
        </w:rPr>
        <w:t>.</w:t>
      </w:r>
      <w:r>
        <w:rPr>
          <w:snapToGrid w:val="0"/>
          <w:szCs w:val="22"/>
        </w:rPr>
        <w:tab/>
        <w:t>Doubles</w:t>
      </w:r>
      <w:r>
        <w:tab/>
      </w:r>
      <w:r>
        <w:fldChar w:fldCharType="begin"/>
      </w:r>
      <w:r>
        <w:instrText xml:space="preserve"> PAGEREF _Toc141173848 \h </w:instrText>
      </w:r>
      <w:r>
        <w:fldChar w:fldCharType="separate"/>
      </w:r>
      <w:r>
        <w:t>61</w:t>
      </w:r>
      <w:r>
        <w:fldChar w:fldCharType="end"/>
      </w:r>
    </w:p>
    <w:p>
      <w:pPr>
        <w:pStyle w:val="TOC8"/>
        <w:rPr>
          <w:sz w:val="24"/>
          <w:szCs w:val="24"/>
        </w:rPr>
      </w:pPr>
      <w:r>
        <w:rPr>
          <w:szCs w:val="22"/>
        </w:rPr>
        <w:t>10</w:t>
      </w:r>
      <w:r>
        <w:rPr>
          <w:snapToGrid w:val="0"/>
          <w:szCs w:val="22"/>
        </w:rPr>
        <w:t>.</w:t>
      </w:r>
      <w:r>
        <w:rPr>
          <w:snapToGrid w:val="0"/>
          <w:szCs w:val="22"/>
        </w:rPr>
        <w:tab/>
        <w:t>Multiple doubles</w:t>
      </w:r>
      <w:r>
        <w:tab/>
      </w:r>
      <w:r>
        <w:fldChar w:fldCharType="begin"/>
      </w:r>
      <w:r>
        <w:instrText xml:space="preserve"> PAGEREF _Toc141173849 \h </w:instrText>
      </w:r>
      <w:r>
        <w:fldChar w:fldCharType="separate"/>
      </w:r>
      <w:r>
        <w:t>62</w:t>
      </w:r>
      <w:r>
        <w:fldChar w:fldCharType="end"/>
      </w:r>
    </w:p>
    <w:p>
      <w:pPr>
        <w:pStyle w:val="TOC8"/>
        <w:rPr>
          <w:sz w:val="24"/>
          <w:szCs w:val="24"/>
        </w:rPr>
      </w:pPr>
      <w:r>
        <w:rPr>
          <w:szCs w:val="22"/>
        </w:rPr>
        <w:t>11</w:t>
      </w:r>
      <w:r>
        <w:rPr>
          <w:snapToGrid w:val="0"/>
          <w:szCs w:val="22"/>
        </w:rPr>
        <w:t>.</w:t>
      </w:r>
      <w:r>
        <w:rPr>
          <w:snapToGrid w:val="0"/>
          <w:szCs w:val="22"/>
        </w:rPr>
        <w:tab/>
        <w:t>“All up” bets</w:t>
      </w:r>
      <w:r>
        <w:tab/>
      </w:r>
      <w:r>
        <w:fldChar w:fldCharType="begin"/>
      </w:r>
      <w:r>
        <w:instrText xml:space="preserve"> PAGEREF _Toc141173850 \h </w:instrText>
      </w:r>
      <w:r>
        <w:fldChar w:fldCharType="separate"/>
      </w:r>
      <w:r>
        <w:t>63</w:t>
      </w:r>
      <w:r>
        <w:fldChar w:fldCharType="end"/>
      </w:r>
    </w:p>
    <w:p>
      <w:pPr>
        <w:pStyle w:val="TOC8"/>
        <w:rPr>
          <w:sz w:val="24"/>
          <w:szCs w:val="24"/>
        </w:rPr>
      </w:pPr>
      <w:r>
        <w:rPr>
          <w:szCs w:val="22"/>
        </w:rPr>
        <w:t>12</w:t>
      </w:r>
      <w:r>
        <w:rPr>
          <w:snapToGrid w:val="0"/>
          <w:szCs w:val="22"/>
        </w:rPr>
        <w:t>.</w:t>
      </w:r>
      <w:r>
        <w:rPr>
          <w:snapToGrid w:val="0"/>
          <w:szCs w:val="22"/>
        </w:rPr>
        <w:tab/>
        <w:t>Provisions as to races that are re</w:t>
      </w:r>
      <w:r>
        <w:rPr>
          <w:snapToGrid w:val="0"/>
          <w:szCs w:val="22"/>
        </w:rPr>
        <w:noBreakHyphen/>
        <w:t>run</w:t>
      </w:r>
      <w:r>
        <w:tab/>
      </w:r>
      <w:r>
        <w:fldChar w:fldCharType="begin"/>
      </w:r>
      <w:r>
        <w:instrText xml:space="preserve"> PAGEREF _Toc141173851 \h </w:instrText>
      </w:r>
      <w:r>
        <w:fldChar w:fldCharType="separate"/>
      </w:r>
      <w:r>
        <w:t>63</w:t>
      </w:r>
      <w:r>
        <w:fldChar w:fldCharType="end"/>
      </w:r>
    </w:p>
    <w:p>
      <w:pPr>
        <w:pStyle w:val="TOC8"/>
        <w:rPr>
          <w:sz w:val="24"/>
          <w:szCs w:val="24"/>
        </w:rPr>
      </w:pPr>
      <w:r>
        <w:rPr>
          <w:szCs w:val="22"/>
        </w:rPr>
        <w:t>13</w:t>
      </w:r>
      <w:r>
        <w:rPr>
          <w:snapToGrid w:val="0"/>
          <w:szCs w:val="22"/>
        </w:rPr>
        <w:t>.</w:t>
      </w:r>
      <w:r>
        <w:rPr>
          <w:snapToGrid w:val="0"/>
          <w:szCs w:val="22"/>
        </w:rPr>
        <w:tab/>
        <w:t>Provisions as to bets on runners that are entered for 2 or more races on the same day</w:t>
      </w:r>
      <w:r>
        <w:tab/>
      </w:r>
      <w:r>
        <w:fldChar w:fldCharType="begin"/>
      </w:r>
      <w:r>
        <w:instrText xml:space="preserve"> PAGEREF _Toc141173852 \h </w:instrText>
      </w:r>
      <w:r>
        <w:fldChar w:fldCharType="separate"/>
      </w:r>
      <w:r>
        <w:t>64</w:t>
      </w:r>
      <w:r>
        <w:fldChar w:fldCharType="end"/>
      </w:r>
    </w:p>
    <w:p>
      <w:pPr>
        <w:pStyle w:val="TOC8"/>
        <w:rPr>
          <w:sz w:val="24"/>
          <w:szCs w:val="24"/>
        </w:rPr>
      </w:pPr>
      <w:r>
        <w:rPr>
          <w:szCs w:val="22"/>
        </w:rPr>
        <w:t>14</w:t>
      </w:r>
      <w:r>
        <w:rPr>
          <w:snapToGrid w:val="0"/>
          <w:szCs w:val="22"/>
        </w:rPr>
        <w:t>.</w:t>
      </w:r>
      <w:r>
        <w:rPr>
          <w:snapToGrid w:val="0"/>
          <w:szCs w:val="22"/>
        </w:rPr>
        <w:tab/>
        <w:t>Prohibition on betting after race</w:t>
      </w:r>
      <w:r>
        <w:tab/>
      </w:r>
      <w:r>
        <w:fldChar w:fldCharType="begin"/>
      </w:r>
      <w:r>
        <w:instrText xml:space="preserve"> PAGEREF _Toc141173853 \h </w:instrText>
      </w:r>
      <w:r>
        <w:fldChar w:fldCharType="separate"/>
      </w:r>
      <w:r>
        <w:t>64</w:t>
      </w:r>
      <w:r>
        <w:fldChar w:fldCharType="end"/>
      </w:r>
    </w:p>
    <w:p>
      <w:pPr>
        <w:pStyle w:val="TOC8"/>
        <w:rPr>
          <w:sz w:val="24"/>
          <w:szCs w:val="24"/>
        </w:rPr>
      </w:pPr>
      <w:r>
        <w:rPr>
          <w:szCs w:val="22"/>
        </w:rPr>
        <w:t>15</w:t>
      </w:r>
      <w:r>
        <w:rPr>
          <w:snapToGrid w:val="0"/>
          <w:szCs w:val="22"/>
        </w:rPr>
        <w:t>.</w:t>
      </w:r>
      <w:r>
        <w:rPr>
          <w:snapToGrid w:val="0"/>
          <w:szCs w:val="22"/>
        </w:rPr>
        <w:tab/>
        <w:t>Settlement of bets on deaths of parties thereto</w:t>
      </w:r>
      <w:r>
        <w:tab/>
      </w:r>
      <w:r>
        <w:fldChar w:fldCharType="begin"/>
      </w:r>
      <w:r>
        <w:instrText xml:space="preserve"> PAGEREF _Toc141173854 \h </w:instrText>
      </w:r>
      <w:r>
        <w:fldChar w:fldCharType="separate"/>
      </w:r>
      <w:r>
        <w:t>64</w:t>
      </w:r>
      <w:r>
        <w:fldChar w:fldCharType="end"/>
      </w:r>
    </w:p>
    <w:p>
      <w:pPr>
        <w:pStyle w:val="TOC8"/>
        <w:rPr>
          <w:sz w:val="24"/>
          <w:szCs w:val="24"/>
        </w:rPr>
      </w:pPr>
      <w:r>
        <w:rPr>
          <w:szCs w:val="22"/>
        </w:rPr>
        <w:t>16</w:t>
      </w:r>
      <w:r>
        <w:rPr>
          <w:snapToGrid w:val="0"/>
          <w:szCs w:val="22"/>
        </w:rPr>
        <w:t>.</w:t>
      </w:r>
      <w:r>
        <w:rPr>
          <w:snapToGrid w:val="0"/>
          <w:szCs w:val="22"/>
        </w:rPr>
        <w:tab/>
        <w:t>Settlement of bets on suspension or cancellation of licence of a bookmaker</w:t>
      </w:r>
      <w:r>
        <w:tab/>
      </w:r>
      <w:r>
        <w:fldChar w:fldCharType="begin"/>
      </w:r>
      <w:r>
        <w:instrText xml:space="preserve"> PAGEREF _Toc141173855 \h </w:instrText>
      </w:r>
      <w:r>
        <w:fldChar w:fldCharType="separate"/>
      </w:r>
      <w:r>
        <w:t>65</w:t>
      </w:r>
      <w:r>
        <w:fldChar w:fldCharType="end"/>
      </w:r>
    </w:p>
    <w:p>
      <w:pPr>
        <w:pStyle w:val="TOC8"/>
        <w:rPr>
          <w:sz w:val="24"/>
          <w:szCs w:val="24"/>
        </w:rPr>
      </w:pPr>
      <w:r>
        <w:rPr>
          <w:szCs w:val="22"/>
        </w:rPr>
        <w:t>17</w:t>
      </w:r>
      <w:r>
        <w:rPr>
          <w:snapToGrid w:val="0"/>
          <w:szCs w:val="22"/>
        </w:rPr>
        <w:t>.</w:t>
      </w:r>
      <w:r>
        <w:rPr>
          <w:snapToGrid w:val="0"/>
          <w:szCs w:val="22"/>
        </w:rPr>
        <w:tab/>
        <w:t>Settling</w:t>
      </w:r>
      <w:r>
        <w:tab/>
      </w:r>
      <w:r>
        <w:fldChar w:fldCharType="begin"/>
      </w:r>
      <w:r>
        <w:instrText xml:space="preserve"> PAGEREF _Toc141173856 \h </w:instrText>
      </w:r>
      <w:r>
        <w:fldChar w:fldCharType="separate"/>
      </w:r>
      <w:r>
        <w:t>65</w:t>
      </w:r>
      <w:r>
        <w:fldChar w:fldCharType="end"/>
      </w:r>
    </w:p>
    <w:p>
      <w:pPr>
        <w:pStyle w:val="TOC2"/>
        <w:tabs>
          <w:tab w:val="right" w:leader="dot" w:pos="7078"/>
        </w:tabs>
        <w:rPr>
          <w:b w:val="0"/>
          <w:sz w:val="24"/>
          <w:szCs w:val="24"/>
        </w:rPr>
      </w:pPr>
      <w:r>
        <w:rPr>
          <w:sz w:val="22"/>
          <w:szCs w:val="28"/>
        </w:rPr>
        <w:t>Part 2 — Betting on a sporting event, or a contingency, approved under section 4B</w:t>
      </w:r>
    </w:p>
    <w:p>
      <w:pPr>
        <w:pStyle w:val="TOC8"/>
        <w:rPr>
          <w:sz w:val="24"/>
          <w:szCs w:val="24"/>
        </w:rPr>
      </w:pPr>
      <w:r>
        <w:rPr>
          <w:szCs w:val="22"/>
        </w:rPr>
        <w:tab/>
        <w:t>1</w:t>
      </w:r>
      <w:r>
        <w:rPr>
          <w:snapToGrid w:val="0"/>
          <w:szCs w:val="22"/>
        </w:rPr>
        <w:t>.</w:t>
      </w:r>
      <w:r>
        <w:tab/>
      </w:r>
      <w:r>
        <w:fldChar w:fldCharType="begin"/>
      </w:r>
      <w:r>
        <w:instrText xml:space="preserve"> PAGEREF _Toc141173858 \h </w:instrText>
      </w:r>
      <w:r>
        <w:fldChar w:fldCharType="separate"/>
      </w:r>
      <w:r>
        <w:t>65</w:t>
      </w:r>
      <w:r>
        <w:fldChar w:fldCharType="end"/>
      </w:r>
    </w:p>
    <w:p>
      <w:pPr>
        <w:pStyle w:val="TOC8"/>
        <w:rPr>
          <w:sz w:val="24"/>
          <w:szCs w:val="24"/>
        </w:rPr>
      </w:pPr>
      <w:r>
        <w:rPr>
          <w:szCs w:val="22"/>
        </w:rPr>
        <w:tab/>
        <w:t>2</w:t>
      </w:r>
      <w:r>
        <w:rPr>
          <w:snapToGrid w:val="0"/>
          <w:szCs w:val="22"/>
        </w:rPr>
        <w:t>.</w:t>
      </w:r>
      <w:r>
        <w:tab/>
      </w:r>
      <w:r>
        <w:fldChar w:fldCharType="begin"/>
      </w:r>
      <w:r>
        <w:instrText xml:space="preserve"> PAGEREF _Toc141173859 \h </w:instrText>
      </w:r>
      <w:r>
        <w:fldChar w:fldCharType="separate"/>
      </w:r>
      <w:r>
        <w:t>65</w:t>
      </w:r>
      <w:r>
        <w:fldChar w:fldCharType="end"/>
      </w:r>
    </w:p>
    <w:p>
      <w:pPr>
        <w:pStyle w:val="TOC8"/>
        <w:rPr>
          <w:sz w:val="24"/>
          <w:szCs w:val="24"/>
        </w:rPr>
      </w:pPr>
      <w:r>
        <w:rPr>
          <w:szCs w:val="22"/>
        </w:rPr>
        <w:tab/>
        <w:t>3</w:t>
      </w:r>
      <w:r>
        <w:rPr>
          <w:snapToGrid w:val="0"/>
          <w:szCs w:val="22"/>
        </w:rPr>
        <w:t>.</w:t>
      </w:r>
      <w:r>
        <w:tab/>
      </w:r>
      <w:r>
        <w:fldChar w:fldCharType="begin"/>
      </w:r>
      <w:r>
        <w:instrText xml:space="preserve"> PAGEREF _Toc141173860 \h </w:instrText>
      </w:r>
      <w:r>
        <w:fldChar w:fldCharType="separate"/>
      </w:r>
      <w:r>
        <w:t>65</w:t>
      </w:r>
      <w:r>
        <w:fldChar w:fldCharType="end"/>
      </w:r>
    </w:p>
    <w:p>
      <w:pPr>
        <w:pStyle w:val="TOC8"/>
        <w:rPr>
          <w:sz w:val="24"/>
          <w:szCs w:val="24"/>
        </w:rPr>
      </w:pPr>
      <w:r>
        <w:rPr>
          <w:szCs w:val="22"/>
        </w:rPr>
        <w:tab/>
        <w:t>4</w:t>
      </w:r>
      <w:r>
        <w:rPr>
          <w:snapToGrid w:val="0"/>
          <w:szCs w:val="22"/>
        </w:rPr>
        <w:t>.</w:t>
      </w:r>
      <w:r>
        <w:tab/>
      </w:r>
      <w:r>
        <w:fldChar w:fldCharType="begin"/>
      </w:r>
      <w:r>
        <w:instrText xml:space="preserve"> PAGEREF _Toc141173861 \h </w:instrText>
      </w:r>
      <w:r>
        <w:fldChar w:fldCharType="separate"/>
      </w:r>
      <w:r>
        <w:t>66</w:t>
      </w:r>
      <w:r>
        <w:fldChar w:fldCharType="end"/>
      </w:r>
    </w:p>
    <w:p>
      <w:pPr>
        <w:pStyle w:val="TOC8"/>
        <w:rPr>
          <w:sz w:val="24"/>
          <w:szCs w:val="24"/>
        </w:rPr>
      </w:pPr>
      <w:r>
        <w:rPr>
          <w:szCs w:val="22"/>
        </w:rPr>
        <w:tab/>
        <w:t>5</w:t>
      </w:r>
      <w:r>
        <w:rPr>
          <w:snapToGrid w:val="0"/>
          <w:szCs w:val="22"/>
        </w:rPr>
        <w:t>.</w:t>
      </w:r>
      <w:r>
        <w:tab/>
      </w:r>
      <w:r>
        <w:fldChar w:fldCharType="begin"/>
      </w:r>
      <w:r>
        <w:instrText xml:space="preserve"> PAGEREF _Toc141173862 \h </w:instrText>
      </w:r>
      <w:r>
        <w:fldChar w:fldCharType="separate"/>
      </w:r>
      <w:r>
        <w:t>66</w:t>
      </w:r>
      <w:r>
        <w:fldChar w:fldCharType="end"/>
      </w:r>
    </w:p>
    <w:p>
      <w:pPr>
        <w:pStyle w:val="TOC8"/>
        <w:rPr>
          <w:sz w:val="24"/>
          <w:szCs w:val="24"/>
        </w:rPr>
      </w:pPr>
      <w:r>
        <w:rPr>
          <w:szCs w:val="22"/>
        </w:rPr>
        <w:tab/>
        <w:t>6</w:t>
      </w:r>
      <w:r>
        <w:rPr>
          <w:snapToGrid w:val="0"/>
          <w:szCs w:val="22"/>
        </w:rPr>
        <w:t>.</w:t>
      </w:r>
      <w:r>
        <w:tab/>
      </w:r>
      <w:r>
        <w:fldChar w:fldCharType="begin"/>
      </w:r>
      <w:r>
        <w:instrText xml:space="preserve"> PAGEREF _Toc141173863 \h </w:instrText>
      </w:r>
      <w:r>
        <w:fldChar w:fldCharType="separate"/>
      </w:r>
      <w:r>
        <w:t>66</w:t>
      </w:r>
      <w:r>
        <w:fldChar w:fldCharType="end"/>
      </w:r>
    </w:p>
    <w:p>
      <w:pPr>
        <w:pStyle w:val="TOC8"/>
        <w:rPr>
          <w:sz w:val="24"/>
          <w:szCs w:val="24"/>
        </w:rPr>
      </w:pPr>
      <w:r>
        <w:rPr>
          <w:szCs w:val="22"/>
        </w:rPr>
        <w:tab/>
        <w:t>7</w:t>
      </w:r>
      <w:r>
        <w:rPr>
          <w:snapToGrid w:val="0"/>
          <w:szCs w:val="22"/>
        </w:rPr>
        <w:t>.</w:t>
      </w:r>
      <w:r>
        <w:tab/>
      </w:r>
      <w:r>
        <w:fldChar w:fldCharType="begin"/>
      </w:r>
      <w:r>
        <w:instrText xml:space="preserve"> PAGEREF _Toc141173864 \h </w:instrText>
      </w:r>
      <w:r>
        <w:fldChar w:fldCharType="separate"/>
      </w:r>
      <w:r>
        <w:t>67</w:t>
      </w:r>
      <w:r>
        <w:fldChar w:fldCharType="end"/>
      </w:r>
    </w:p>
    <w:p>
      <w:pPr>
        <w:pStyle w:val="TOC8"/>
        <w:rPr>
          <w:sz w:val="24"/>
          <w:szCs w:val="24"/>
        </w:rPr>
      </w:pPr>
      <w:r>
        <w:rPr>
          <w:szCs w:val="22"/>
        </w:rPr>
        <w:tab/>
        <w:t>8</w:t>
      </w:r>
      <w:r>
        <w:rPr>
          <w:snapToGrid w:val="0"/>
          <w:szCs w:val="22"/>
        </w:rPr>
        <w:t>.</w:t>
      </w:r>
      <w:r>
        <w:tab/>
      </w:r>
      <w:r>
        <w:fldChar w:fldCharType="begin"/>
      </w:r>
      <w:r>
        <w:instrText xml:space="preserve"> PAGEREF _Toc141173865 \h </w:instrText>
      </w:r>
      <w:r>
        <w:fldChar w:fldCharType="separate"/>
      </w:r>
      <w:r>
        <w:t>67</w:t>
      </w:r>
      <w:r>
        <w:fldChar w:fldCharType="end"/>
      </w:r>
    </w:p>
    <w:p>
      <w:pPr>
        <w:pStyle w:val="TOC8"/>
        <w:rPr>
          <w:sz w:val="24"/>
          <w:szCs w:val="24"/>
        </w:rPr>
      </w:pPr>
      <w:r>
        <w:rPr>
          <w:szCs w:val="22"/>
        </w:rPr>
        <w:tab/>
        <w:t>9</w:t>
      </w:r>
      <w:r>
        <w:rPr>
          <w:snapToGrid w:val="0"/>
          <w:szCs w:val="22"/>
        </w:rPr>
        <w:t>.</w:t>
      </w:r>
      <w:r>
        <w:tab/>
      </w:r>
      <w:r>
        <w:fldChar w:fldCharType="begin"/>
      </w:r>
      <w:r>
        <w:instrText xml:space="preserve"> PAGEREF _Toc141173866 \h </w:instrText>
      </w:r>
      <w:r>
        <w:fldChar w:fldCharType="separate"/>
      </w:r>
      <w:r>
        <w:t>67</w:t>
      </w:r>
      <w:r>
        <w:fldChar w:fldCharType="end"/>
      </w:r>
    </w:p>
    <w:p>
      <w:pPr>
        <w:pStyle w:val="TOC2"/>
        <w:tabs>
          <w:tab w:val="right" w:leader="dot" w:pos="7078"/>
        </w:tabs>
        <w:rPr>
          <w:b w:val="0"/>
          <w:sz w:val="24"/>
          <w:szCs w:val="24"/>
        </w:rPr>
      </w:pPr>
      <w:r>
        <w:rPr>
          <w:szCs w:val="28"/>
        </w:rPr>
        <w:t>Schedule 1 — Forms</w:t>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_Toc141173869 \h </w:instrText>
      </w:r>
      <w:r>
        <w:fldChar w:fldCharType="separate"/>
      </w:r>
      <w:r>
        <w:t>73</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Betting Control Act 1954</w:t>
      </w:r>
    </w:p>
    <w:p>
      <w:pPr>
        <w:pStyle w:val="NameofActReg"/>
      </w:pPr>
      <w:r>
        <w:t>Betting Control Regulations 1978</w:t>
      </w:r>
    </w:p>
    <w:p>
      <w:pPr>
        <w:pStyle w:val="Heading2"/>
        <w:rPr>
          <w:rStyle w:val="CharPartText"/>
        </w:rPr>
      </w:pPr>
      <w:bookmarkStart w:id="1" w:name="_Toc141162169"/>
      <w:bookmarkStart w:id="2" w:name="_Toc141173759"/>
      <w:bookmarkStart w:id="3" w:name="_Toc495993552"/>
      <w:bookmarkStart w:id="4" w:name="_Toc511525028"/>
      <w:bookmarkStart w:id="5" w:name="_Toc27803391"/>
      <w:bookmarkStart w:id="6" w:name="_Toc133903502"/>
      <w:r>
        <w:rPr>
          <w:rStyle w:val="CharPartNo"/>
        </w:rPr>
        <w:t>Part 1</w:t>
      </w:r>
      <w:r>
        <w:rPr>
          <w:b w:val="0"/>
        </w:rPr>
        <w:t> </w:t>
      </w:r>
      <w:r>
        <w:t>—</w:t>
      </w:r>
      <w:r>
        <w:rPr>
          <w:b w:val="0"/>
        </w:rPr>
        <w:t> </w:t>
      </w:r>
      <w:r>
        <w:rPr>
          <w:rStyle w:val="CharPartText"/>
        </w:rPr>
        <w:t>Preliminary</w:t>
      </w:r>
      <w:bookmarkEnd w:id="1"/>
      <w:bookmarkEnd w:id="2"/>
    </w:p>
    <w:p>
      <w:pPr>
        <w:pStyle w:val="Footnoteheading"/>
      </w:pPr>
      <w:r>
        <w:tab/>
        <w:t>[Heading inserted in Gazette 21 Jul 2006 p. 2671.]</w:t>
      </w:r>
    </w:p>
    <w:p>
      <w:pPr>
        <w:pStyle w:val="Heading5"/>
        <w:spacing w:before="260"/>
        <w:rPr>
          <w:snapToGrid w:val="0"/>
        </w:rPr>
      </w:pPr>
      <w:bookmarkStart w:id="7" w:name="_Toc141173760"/>
      <w:r>
        <w:rPr>
          <w:rStyle w:val="CharSectno"/>
        </w:rPr>
        <w:t>1</w:t>
      </w:r>
      <w:r>
        <w:rPr>
          <w:snapToGrid w:val="0"/>
        </w:rPr>
        <w:t>.</w:t>
      </w:r>
      <w:r>
        <w:rPr>
          <w:snapToGrid w:val="0"/>
        </w:rPr>
        <w:tab/>
        <w:t>Citation</w:t>
      </w:r>
      <w:bookmarkEnd w:id="3"/>
      <w:bookmarkEnd w:id="4"/>
      <w:bookmarkEnd w:id="5"/>
      <w:bookmarkEnd w:id="6"/>
      <w:bookmarkEnd w:id="7"/>
      <w:r>
        <w:rPr>
          <w:snapToGrid w:val="0"/>
        </w:rPr>
        <w:t xml:space="preserve"> </w:t>
      </w:r>
    </w:p>
    <w:p>
      <w:pPr>
        <w:pStyle w:val="Subsection"/>
        <w:spacing w:before="200"/>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spacing w:before="260"/>
        <w:rPr>
          <w:snapToGrid w:val="0"/>
        </w:rPr>
      </w:pPr>
      <w:bookmarkStart w:id="8" w:name="_Toc495993553"/>
      <w:bookmarkStart w:id="9" w:name="_Toc511525029"/>
      <w:bookmarkStart w:id="10" w:name="_Toc27803392"/>
      <w:bookmarkStart w:id="11" w:name="_Toc133903503"/>
      <w:bookmarkStart w:id="12" w:name="_Toc141173761"/>
      <w:r>
        <w:rPr>
          <w:rStyle w:val="CharSectno"/>
        </w:rPr>
        <w:t>2</w:t>
      </w:r>
      <w:r>
        <w:rPr>
          <w:snapToGrid w:val="0"/>
        </w:rPr>
        <w:t>.</w:t>
      </w:r>
      <w:r>
        <w:rPr>
          <w:snapToGrid w:val="0"/>
        </w:rPr>
        <w:tab/>
        <w:t>Transitional provision</w:t>
      </w:r>
      <w:bookmarkEnd w:id="8"/>
      <w:bookmarkEnd w:id="9"/>
      <w:bookmarkEnd w:id="10"/>
      <w:bookmarkEnd w:id="11"/>
      <w:bookmarkEnd w:id="12"/>
      <w:r>
        <w:rPr>
          <w:snapToGrid w:val="0"/>
        </w:rPr>
        <w:t xml:space="preserve"> </w:t>
      </w:r>
    </w:p>
    <w:p>
      <w:pPr>
        <w:pStyle w:val="Subsection"/>
        <w:spacing w:before="200"/>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rPr>
        <w:t xml:space="preserve"> </w:t>
      </w:r>
      <w:r>
        <w:rPr>
          <w:snapToGrid w:val="0"/>
          <w:vertAlign w:val="superscript"/>
        </w:rPr>
        <w:t>1</w:t>
      </w:r>
      <w:r>
        <w:rPr>
          <w:snapToGrid w:val="0"/>
        </w:rPr>
        <w:t xml:space="preserve"> certain responsibilities of the person holding the office of Commissioner of State Taxation were transferred to the Board, where under these regulations any form or activity was approved by the Commissioner of State Taxation that form or activity shall be taken to have been approved by the Commission in the absence of any specific decision by the Commission to the contrary.</w:t>
      </w:r>
    </w:p>
    <w:p>
      <w:pPr>
        <w:pStyle w:val="Footnotesection"/>
      </w:pPr>
      <w:r>
        <w:tab/>
        <w:t xml:space="preserve">[Regulation 2 inserted in Gazette 25 Jun 1996 p. 2975; amended in Gazette 22 Oct 1996 p. 5619; 30 Jan 2004 p. 412.] </w:t>
      </w:r>
    </w:p>
    <w:p>
      <w:pPr>
        <w:pStyle w:val="Heading5"/>
        <w:rPr>
          <w:snapToGrid w:val="0"/>
        </w:rPr>
      </w:pPr>
      <w:bookmarkStart w:id="13" w:name="_Toc495993554"/>
      <w:bookmarkStart w:id="14" w:name="_Toc511525030"/>
      <w:bookmarkStart w:id="15" w:name="_Toc27803393"/>
      <w:bookmarkStart w:id="16" w:name="_Toc133903504"/>
      <w:bookmarkStart w:id="17" w:name="_Toc141173762"/>
      <w:r>
        <w:rPr>
          <w:rStyle w:val="CharSectno"/>
        </w:rPr>
        <w:t>3</w:t>
      </w:r>
      <w:r>
        <w:rPr>
          <w:snapToGrid w:val="0"/>
        </w:rPr>
        <w:t>.</w:t>
      </w:r>
      <w:r>
        <w:rPr>
          <w:snapToGrid w:val="0"/>
        </w:rPr>
        <w:tab/>
        <w:t>Interpretation</w:t>
      </w:r>
      <w:bookmarkEnd w:id="13"/>
      <w:bookmarkEnd w:id="14"/>
      <w:bookmarkEnd w:id="15"/>
      <w:bookmarkEnd w:id="16"/>
      <w:bookmarkEnd w:id="17"/>
      <w:r>
        <w:rPr>
          <w:snapToGrid w:val="0"/>
        </w:rPr>
        <w:t xml:space="preserve"> </w:t>
      </w:r>
    </w:p>
    <w:p>
      <w:pPr>
        <w:pStyle w:val="Subsection"/>
        <w:keepNext/>
        <w:rPr>
          <w:snapToGrid w:val="0"/>
        </w:rPr>
      </w:pPr>
      <w:r>
        <w:rPr>
          <w:snapToGrid w:val="0"/>
        </w:rPr>
        <w:tab/>
        <w:t>(1)</w:t>
      </w:r>
      <w:r>
        <w:rPr>
          <w:snapToGrid w:val="0"/>
        </w:rPr>
        <w:tab/>
        <w:t>In these regulations unless the context requires otherwise — </w:t>
      </w:r>
    </w:p>
    <w:p>
      <w:pPr>
        <w:pStyle w:val="Defstart"/>
      </w:pPr>
      <w:r>
        <w:rPr>
          <w:b/>
        </w:rPr>
        <w:tab/>
        <w:t>“</w:t>
      </w:r>
      <w:r>
        <w:rPr>
          <w:rStyle w:val="CharDefText"/>
        </w:rPr>
        <w:t>concession bet</w:t>
      </w:r>
      <w:r>
        <w:rPr>
          <w:b/>
        </w:rPr>
        <w:t>”</w:t>
      </w:r>
      <w:r>
        <w:t xml:space="preserve"> means a bet to win at special odds, the stake being refunded if the runner concerned is placed second or third, subject to the number of starters;</w:t>
      </w:r>
    </w:p>
    <w:p>
      <w:pPr>
        <w:pStyle w:val="Defstart"/>
      </w:pPr>
      <w:r>
        <w:rPr>
          <w:b/>
        </w:rPr>
        <w:tab/>
        <w:t>“</w:t>
      </w:r>
      <w:r>
        <w:rPr>
          <w:rStyle w:val="CharDefText"/>
        </w:rPr>
        <w:t>country</w:t>
      </w:r>
      <w:r>
        <w:rPr>
          <w:b/>
        </w:rPr>
        <w:t>”</w:t>
      </w:r>
      <w:r>
        <w:t xml:space="preserve"> means any part of the State outside the metropolitan area; </w:t>
      </w:r>
    </w:p>
    <w:p>
      <w:pPr>
        <w:pStyle w:val="Defstart"/>
      </w:pPr>
      <w:r>
        <w:rPr>
          <w:b/>
        </w:rPr>
        <w:tab/>
        <w:t>“</w:t>
      </w:r>
      <w:r>
        <w:rPr>
          <w:rStyle w:val="CharDefText"/>
        </w:rPr>
        <w:t>each way bet</w:t>
      </w:r>
      <w:r>
        <w:rPr>
          <w:b/>
        </w:rPr>
        <w:t>”</w:t>
      </w:r>
      <w:r>
        <w:t xml:space="preserve"> means a bet comprising 2 equal amounts, one amount being for a win and one for a place and both being taken or laid on the same runner or other competitor or contingency at the same time, at stated odds for a win;</w:t>
      </w:r>
    </w:p>
    <w:p>
      <w:pPr>
        <w:pStyle w:val="Defstart"/>
      </w:pPr>
      <w:r>
        <w:rPr>
          <w:b/>
        </w:rPr>
        <w:tab/>
        <w:t>“</w:t>
      </w:r>
      <w:r>
        <w:rPr>
          <w:rStyle w:val="CharDefText"/>
        </w:rPr>
        <w:t>grandstand enclosure</w:t>
      </w:r>
      <w:r>
        <w:rPr>
          <w:b/>
        </w:rPr>
        <w:t>”</w:t>
      </w:r>
      <w:r>
        <w:t xml:space="preserve"> means that portion of a racecourse which is set aside as such by the committee or other authority controlling the racecourse, and commonly known as the “grandstand enclosure”;</w:t>
      </w:r>
    </w:p>
    <w:p>
      <w:pPr>
        <w:pStyle w:val="Defstart"/>
      </w:pPr>
      <w:r>
        <w:tab/>
      </w:r>
      <w:r>
        <w:rPr>
          <w:b/>
        </w:rPr>
        <w:t>“</w:t>
      </w:r>
      <w:r>
        <w:rPr>
          <w:rStyle w:val="CharDefText"/>
        </w:rPr>
        <w:t>internet betting</w:t>
      </w:r>
      <w:r>
        <w:rPr>
          <w:b/>
        </w:rPr>
        <w:t>”</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pPr>
      <w:r>
        <w:rPr>
          <w:b/>
        </w:rPr>
        <w:tab/>
        <w:t>“</w:t>
      </w:r>
      <w:r>
        <w:rPr>
          <w:rStyle w:val="CharDefText"/>
        </w:rPr>
        <w:t>leger</w:t>
      </w:r>
      <w:r>
        <w:rPr>
          <w:b/>
        </w:rPr>
        <w:t>”</w:t>
      </w:r>
      <w:r>
        <w:t xml:space="preserve"> means that portion of a racecourse which is set aside as such by the committee or other authority controlling the racecourse, and commonly known as “the leger”;</w:t>
      </w:r>
    </w:p>
    <w:p>
      <w:pPr>
        <w:pStyle w:val="Defstart"/>
      </w:pPr>
      <w:r>
        <w:rPr>
          <w:b/>
        </w:rPr>
        <w:tab/>
        <w:t>“</w:t>
      </w:r>
      <w:r>
        <w:rPr>
          <w:rStyle w:val="CharDefText"/>
        </w:rPr>
        <w:t>rules of racing</w:t>
      </w:r>
      <w:r>
        <w:rPr>
          <w:b/>
        </w:rPr>
        <w:t>”</w:t>
      </w:r>
      <w:r>
        <w:t xml:space="preserve"> means the rules of racing made under, or continued for the purposes of, the RWWA Act;</w:t>
      </w:r>
    </w:p>
    <w:p>
      <w:pPr>
        <w:pStyle w:val="Defstart"/>
      </w:pPr>
      <w:r>
        <w:rPr>
          <w:b/>
        </w:rPr>
        <w:tab/>
        <w:t>“</w:t>
      </w:r>
      <w:r>
        <w:rPr>
          <w:rStyle w:val="CharDefText"/>
        </w:rPr>
        <w:t>rules of wagering</w:t>
      </w:r>
      <w:r>
        <w:rPr>
          <w:b/>
        </w:rPr>
        <w:t>”</w:t>
      </w:r>
      <w:r>
        <w:t xml:space="preserve"> means the rules of wagering made under, or continued for the purposes of, the RWWA Act;</w:t>
      </w:r>
    </w:p>
    <w:p>
      <w:pPr>
        <w:pStyle w:val="Defstart"/>
      </w:pPr>
      <w:r>
        <w:tab/>
      </w:r>
      <w:r>
        <w:rPr>
          <w:b/>
        </w:rPr>
        <w:t>“</w:t>
      </w:r>
      <w:r>
        <w:rPr>
          <w:rStyle w:val="CharDefText"/>
        </w:rPr>
        <w:t>runner</w:t>
      </w:r>
      <w:r>
        <w:rPr>
          <w:b/>
        </w:rPr>
        <w:t>”</w:t>
      </w:r>
      <w:r>
        <w:t xml:space="preserve"> means —</w:t>
      </w:r>
    </w:p>
    <w:p>
      <w:pPr>
        <w:pStyle w:val="Defpara"/>
      </w:pPr>
      <w:r>
        <w:tab/>
        <w:t>(a)</w:t>
      </w:r>
      <w:r>
        <w:tab/>
        <w:t>in the context of a horse race, a horse running in the race;</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b/>
        </w:rPr>
        <w:t>“</w:t>
      </w:r>
      <w:r>
        <w:rPr>
          <w:rStyle w:val="CharDefText"/>
        </w:rPr>
        <w:t>sporting event</w:t>
      </w:r>
      <w:r>
        <w:rPr>
          <w:b/>
        </w:rPr>
        <w: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 xml:space="preserve">course totalisator bet if — </w:t>
      </w:r>
    </w:p>
    <w:p>
      <w:pPr>
        <w:pStyle w:val="Indenta"/>
      </w:pPr>
      <w:r>
        <w:tab/>
        <w:t>(a)</w:t>
      </w:r>
      <w:r>
        <w:tab/>
        <w:t>the person making the bet is physically present at the racecourse; and</w:t>
      </w:r>
    </w:p>
    <w:p>
      <w:pPr>
        <w:pStyle w:val="Indenta"/>
      </w:pPr>
      <w:r>
        <w:tab/>
        <w:t>(b)</w:t>
      </w:r>
      <w:r>
        <w:tab/>
        <w:t>the bet is placed through a totalisator located on that racecourse; and</w:t>
      </w:r>
    </w:p>
    <w:p>
      <w:pPr>
        <w:pStyle w:val="Indenta"/>
      </w:pPr>
      <w:r>
        <w:tab/>
        <w:t>(c)</w:t>
      </w:r>
      <w:r>
        <w:tab/>
        <w:t>payment for the bet is made at the time the bet is placed, either in cash or from an established RWWA wagering account; and</w:t>
      </w:r>
    </w:p>
    <w:p>
      <w:pPr>
        <w:pStyle w:val="Indenta"/>
      </w:pPr>
      <w:r>
        <w:tab/>
        <w:t>(d)</w:t>
      </w:r>
      <w:r>
        <w:tab/>
        <w:t xml:space="preserve">the bet is placed in person and not by telephone. </w:t>
      </w:r>
    </w:p>
    <w:p>
      <w:pPr>
        <w:pStyle w:val="Footnotesection"/>
      </w:pPr>
      <w:r>
        <w:tab/>
        <w:t>[Regulation 3 amended in Gazette 24 Jun 1988 p. 2003; 14 Feb 1992 p. 857; 10 Jul 1992 p. 3286</w:t>
      </w:r>
      <w:r>
        <w:noBreakHyphen/>
        <w:t xml:space="preserve">7; 21 Jul 1998 p. 3851, 3854, 3855 and 3856; 26 Nov 1999 p. 5908; 30 Jan 2004 p. 403; 21 Jul 2006 p. 2672.] </w:t>
      </w:r>
    </w:p>
    <w:p>
      <w:pPr>
        <w:pStyle w:val="Heading2"/>
      </w:pPr>
      <w:bookmarkStart w:id="18" w:name="_Toc141162173"/>
      <w:bookmarkStart w:id="19" w:name="_Toc141173763"/>
      <w:r>
        <w:rPr>
          <w:rStyle w:val="CharPartNo"/>
        </w:rPr>
        <w:t>Part 2</w:t>
      </w:r>
      <w:r>
        <w:rPr>
          <w:b w:val="0"/>
        </w:rPr>
        <w:t> </w:t>
      </w:r>
      <w:r>
        <w:t>—</w:t>
      </w:r>
      <w:r>
        <w:rPr>
          <w:b w:val="0"/>
        </w:rPr>
        <w:t> </w:t>
      </w:r>
      <w:r>
        <w:rPr>
          <w:rStyle w:val="CharPartText"/>
        </w:rPr>
        <w:t>Licences, fees and commissions</w:t>
      </w:r>
      <w:bookmarkEnd w:id="18"/>
      <w:bookmarkEnd w:id="19"/>
    </w:p>
    <w:p>
      <w:pPr>
        <w:pStyle w:val="Footnoteheading"/>
      </w:pPr>
      <w:r>
        <w:tab/>
        <w:t>[Heading inserted in Gazette 21 Jul 2006 p. 2672.]</w:t>
      </w:r>
    </w:p>
    <w:p>
      <w:pPr>
        <w:pStyle w:val="Ednotesection"/>
      </w:pPr>
      <w:r>
        <w:t>[</w:t>
      </w:r>
      <w:r>
        <w:rPr>
          <w:b/>
        </w:rPr>
        <w:t>3A</w:t>
      </w:r>
      <w:r>
        <w:rPr>
          <w:b/>
        </w:rPr>
        <w:noBreakHyphen/>
        <w:t>8.</w:t>
      </w:r>
      <w:r>
        <w:rPr>
          <w:b/>
        </w:rPr>
        <w:tab/>
      </w:r>
      <w:r>
        <w:t>Repealed in Gazette 30 Jan 2004 p. 403.]</w:t>
      </w:r>
    </w:p>
    <w:p>
      <w:pPr>
        <w:pStyle w:val="Heading5"/>
        <w:rPr>
          <w:snapToGrid w:val="0"/>
        </w:rPr>
      </w:pPr>
      <w:bookmarkStart w:id="20" w:name="_Toc495993560"/>
      <w:bookmarkStart w:id="21" w:name="_Toc511525036"/>
      <w:bookmarkStart w:id="22" w:name="_Toc27803400"/>
      <w:bookmarkStart w:id="23" w:name="_Toc133903505"/>
      <w:bookmarkStart w:id="24" w:name="_Toc141173764"/>
      <w:r>
        <w:rPr>
          <w:rStyle w:val="CharSectno"/>
        </w:rPr>
        <w:t>9</w:t>
      </w:r>
      <w:r>
        <w:rPr>
          <w:snapToGrid w:val="0"/>
        </w:rPr>
        <w:t>.</w:t>
      </w:r>
      <w:r>
        <w:rPr>
          <w:snapToGrid w:val="0"/>
        </w:rPr>
        <w:tab/>
        <w:t>Application for licence</w:t>
      </w:r>
      <w:bookmarkEnd w:id="20"/>
      <w:bookmarkEnd w:id="21"/>
      <w:bookmarkEnd w:id="22"/>
      <w:bookmarkEnd w:id="23"/>
      <w:bookmarkEnd w:id="24"/>
      <w:r>
        <w:rPr>
          <w:snapToGrid w:val="0"/>
        </w:rPr>
        <w:t xml:space="preserve"> </w:t>
      </w:r>
    </w:p>
    <w:p>
      <w:pPr>
        <w:pStyle w:val="Subsection"/>
        <w:spacing w:before="180"/>
        <w:rPr>
          <w:snapToGrid w:val="0"/>
        </w:rPr>
      </w:pPr>
      <w:r>
        <w:rPr>
          <w:snapToGrid w:val="0"/>
        </w:rPr>
        <w:tab/>
        <w:t>(1)</w:t>
      </w:r>
      <w:r>
        <w:rPr>
          <w:snapToGrid w:val="0"/>
        </w:rPr>
        <w:tab/>
        <w:t>A person who desires to make application for a licence shall —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 xml:space="preserve">7; 20 Sep 2002 p. 4698; 30 Jan 2004 p. 404 and 412.] </w:t>
      </w:r>
    </w:p>
    <w:p>
      <w:pPr>
        <w:pStyle w:val="Heading5"/>
      </w:pPr>
      <w:bookmarkStart w:id="25" w:name="_Toc495993561"/>
      <w:bookmarkStart w:id="26" w:name="_Toc511525037"/>
      <w:bookmarkStart w:id="27" w:name="_Toc27803401"/>
      <w:bookmarkStart w:id="28" w:name="_Toc133903506"/>
      <w:bookmarkStart w:id="29" w:name="_Toc141173765"/>
      <w:r>
        <w:rPr>
          <w:rStyle w:val="CharSectno"/>
        </w:rPr>
        <w:t>9A</w:t>
      </w:r>
      <w:r>
        <w:t>.</w:t>
      </w:r>
      <w:r>
        <w:tab/>
        <w:t>Application to conduct a designated sporting event</w:t>
      </w:r>
      <w:bookmarkEnd w:id="25"/>
      <w:bookmarkEnd w:id="26"/>
      <w:bookmarkEnd w:id="27"/>
      <w:bookmarkEnd w:id="28"/>
      <w:bookmarkEnd w:id="29"/>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30" w:name="_Toc27803402"/>
      <w:bookmarkStart w:id="31" w:name="_Toc133903507"/>
      <w:bookmarkStart w:id="32" w:name="_Toc141173766"/>
      <w:bookmarkStart w:id="33" w:name="_Toc495993562"/>
      <w:bookmarkStart w:id="34" w:name="_Toc511525038"/>
      <w:r>
        <w:rPr>
          <w:rStyle w:val="CharSectno"/>
        </w:rPr>
        <w:t>10</w:t>
      </w:r>
      <w:r>
        <w:t>.</w:t>
      </w:r>
      <w:r>
        <w:tab/>
        <w:t>Application for approval</w:t>
      </w:r>
      <w:bookmarkEnd w:id="30"/>
      <w:bookmarkEnd w:id="31"/>
      <w:bookmarkEnd w:id="32"/>
    </w:p>
    <w:p>
      <w:pPr>
        <w:pStyle w:val="Subsection"/>
      </w:pPr>
      <w:r>
        <w:tab/>
      </w:r>
      <w:r>
        <w:tab/>
        <w:t xml:space="preserve">A person who desires to make application for approval under section 11B(4) or 11C(2) of the Act shall —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35" w:name="_Toc27803403"/>
      <w:bookmarkStart w:id="36" w:name="_Toc133903508"/>
      <w:bookmarkStart w:id="37" w:name="_Toc141173767"/>
      <w:r>
        <w:rPr>
          <w:rStyle w:val="CharSectno"/>
        </w:rPr>
        <w:t>11</w:t>
      </w:r>
      <w:r>
        <w:rPr>
          <w:snapToGrid w:val="0"/>
        </w:rPr>
        <w:t>.</w:t>
      </w:r>
      <w:r>
        <w:rPr>
          <w:snapToGrid w:val="0"/>
        </w:rPr>
        <w:tab/>
        <w:t>When a licence may be renewed</w:t>
      </w:r>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 xml:space="preserve">7; 20 Sep 2002 p. 4698.] </w:t>
      </w:r>
    </w:p>
    <w:p>
      <w:pPr>
        <w:pStyle w:val="Heading5"/>
        <w:rPr>
          <w:snapToGrid w:val="0"/>
        </w:rPr>
      </w:pPr>
      <w:bookmarkStart w:id="38" w:name="_Toc495993563"/>
      <w:bookmarkStart w:id="39" w:name="_Toc511525039"/>
      <w:bookmarkStart w:id="40" w:name="_Toc27803404"/>
      <w:bookmarkStart w:id="41" w:name="_Toc133903509"/>
      <w:bookmarkStart w:id="42" w:name="_Toc141173768"/>
      <w:r>
        <w:rPr>
          <w:rStyle w:val="CharSectno"/>
        </w:rPr>
        <w:t>12</w:t>
      </w:r>
      <w:r>
        <w:rPr>
          <w:snapToGrid w:val="0"/>
        </w:rPr>
        <w:t>.</w:t>
      </w:r>
      <w:r>
        <w:rPr>
          <w:snapToGrid w:val="0"/>
        </w:rPr>
        <w:tab/>
        <w:t xml:space="preserve">Grant of a </w:t>
      </w:r>
      <w:bookmarkEnd w:id="38"/>
      <w:r>
        <w:rPr>
          <w:snapToGrid w:val="0"/>
        </w:rPr>
        <w:t>licence</w:t>
      </w:r>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repealed]</w:t>
      </w:r>
    </w:p>
    <w:p>
      <w:pPr>
        <w:pStyle w:val="Footnotesection"/>
      </w:pPr>
      <w:r>
        <w:tab/>
        <w:t>[Regulation 12 amended in Gazette 10 Jul 1992 p. 3286</w:t>
      </w:r>
      <w:r>
        <w:noBreakHyphen/>
        <w:t xml:space="preserve">8; 30 Jan 2004 p. 404 and 412.] </w:t>
      </w:r>
    </w:p>
    <w:p>
      <w:pPr>
        <w:pStyle w:val="Ednotesection"/>
      </w:pPr>
      <w:r>
        <w:t>[</w:t>
      </w:r>
      <w:r>
        <w:rPr>
          <w:b/>
        </w:rPr>
        <w:t>13.</w:t>
      </w:r>
      <w:r>
        <w:tab/>
        <w:t>Repealed in Gazette 20 Sep 2002 p. 4698.]</w:t>
      </w:r>
    </w:p>
    <w:p>
      <w:pPr>
        <w:pStyle w:val="Heading5"/>
        <w:rPr>
          <w:snapToGrid w:val="0"/>
        </w:rPr>
      </w:pPr>
      <w:bookmarkStart w:id="43" w:name="_Toc495993565"/>
      <w:bookmarkStart w:id="44" w:name="_Toc511525041"/>
      <w:bookmarkStart w:id="45" w:name="_Toc27803405"/>
      <w:bookmarkStart w:id="46" w:name="_Toc133903510"/>
      <w:bookmarkStart w:id="47" w:name="_Toc141173769"/>
      <w:r>
        <w:rPr>
          <w:rStyle w:val="CharSectno"/>
        </w:rPr>
        <w:t>14</w:t>
      </w:r>
      <w:r>
        <w:rPr>
          <w:snapToGrid w:val="0"/>
        </w:rPr>
        <w:t>.</w:t>
      </w:r>
      <w:r>
        <w:rPr>
          <w:snapToGrid w:val="0"/>
        </w:rPr>
        <w:tab/>
        <w:t xml:space="preserve">Effect of a </w:t>
      </w:r>
      <w:bookmarkEnd w:id="43"/>
      <w:r>
        <w:rPr>
          <w:snapToGrid w:val="0"/>
        </w:rPr>
        <w:t>licence</w:t>
      </w:r>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 xml:space="preserve">9; 20 Sep 2002 p. 4699; 30 Jan 2004 p. 412.] </w:t>
      </w:r>
    </w:p>
    <w:p>
      <w:pPr>
        <w:pStyle w:val="Ednotesection"/>
      </w:pPr>
      <w:r>
        <w:t>[</w:t>
      </w:r>
      <w:r>
        <w:rPr>
          <w:b/>
        </w:rPr>
        <w:t>15.</w:t>
      </w:r>
      <w:r>
        <w:tab/>
        <w:t xml:space="preserve">Repealed in Gazette 10 Jul 1992 p. 3288.] </w:t>
      </w:r>
    </w:p>
    <w:p>
      <w:pPr>
        <w:pStyle w:val="Heading5"/>
        <w:rPr>
          <w:snapToGrid w:val="0"/>
        </w:rPr>
      </w:pPr>
      <w:bookmarkStart w:id="48" w:name="_Toc495993566"/>
      <w:bookmarkStart w:id="49" w:name="_Toc511525042"/>
      <w:bookmarkStart w:id="50" w:name="_Toc27803406"/>
      <w:bookmarkStart w:id="51" w:name="_Toc133903511"/>
      <w:bookmarkStart w:id="52" w:name="_Toc141173770"/>
      <w:r>
        <w:rPr>
          <w:rStyle w:val="CharSectno"/>
        </w:rPr>
        <w:t>16</w:t>
      </w:r>
      <w:r>
        <w:rPr>
          <w:snapToGrid w:val="0"/>
        </w:rPr>
        <w:t>.</w:t>
      </w:r>
      <w:r>
        <w:rPr>
          <w:snapToGrid w:val="0"/>
        </w:rPr>
        <w:tab/>
        <w:t>Duplicate licences</w:t>
      </w:r>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 xml:space="preserve">[Regulation 16 amended in Gazette 10 Jul 1992 p. 3286 and 3288; 30 Jan 2004 p. 412.] </w:t>
      </w:r>
    </w:p>
    <w:p>
      <w:pPr>
        <w:pStyle w:val="Heading5"/>
        <w:rPr>
          <w:snapToGrid w:val="0"/>
        </w:rPr>
      </w:pPr>
      <w:bookmarkStart w:id="53" w:name="_Toc495993567"/>
      <w:bookmarkStart w:id="54" w:name="_Toc511525043"/>
      <w:bookmarkStart w:id="55" w:name="_Toc27803407"/>
      <w:bookmarkStart w:id="56" w:name="_Toc133903512"/>
      <w:bookmarkStart w:id="57" w:name="_Toc141173771"/>
      <w:r>
        <w:rPr>
          <w:rStyle w:val="CharSectno"/>
        </w:rPr>
        <w:t>17</w:t>
      </w:r>
      <w:r>
        <w:rPr>
          <w:snapToGrid w:val="0"/>
        </w:rPr>
        <w:t>.</w:t>
      </w:r>
      <w:r>
        <w:rPr>
          <w:snapToGrid w:val="0"/>
        </w:rPr>
        <w:tab/>
        <w:t>Fees</w:t>
      </w:r>
      <w:bookmarkEnd w:id="53"/>
      <w:bookmarkEnd w:id="54"/>
      <w:r>
        <w:rPr>
          <w:snapToGrid w:val="0"/>
        </w:rPr>
        <w:t xml:space="preserve"> and charges</w:t>
      </w:r>
      <w:bookmarkEnd w:id="55"/>
      <w:bookmarkEnd w:id="56"/>
      <w:bookmarkEnd w:id="57"/>
    </w:p>
    <w:p>
      <w:pPr>
        <w:pStyle w:val="Subsection"/>
        <w:rPr>
          <w:snapToGrid w:val="0"/>
        </w:rPr>
      </w:pPr>
      <w:r>
        <w:rPr>
          <w:snapToGrid w:val="0"/>
        </w:rPr>
        <w:tab/>
        <w:t>(1)</w:t>
      </w:r>
      <w:r>
        <w:rPr>
          <w:snapToGrid w:val="0"/>
        </w:rPr>
        <w:tab/>
        <w:t>The Commission shall charge the following fees — </w:t>
      </w:r>
    </w:p>
    <w:p>
      <w:pPr>
        <w:pStyle w:val="Indenta"/>
        <w:rPr>
          <w:snapToGrid w:val="0"/>
        </w:rPr>
      </w:pPr>
      <w:r>
        <w:rPr>
          <w:snapToGrid w:val="0"/>
        </w:rPr>
        <w:tab/>
        <w:t>(aa)</w:t>
      </w:r>
      <w:r>
        <w:rPr>
          <w:snapToGrid w:val="0"/>
        </w:rPr>
        <w:tab/>
        <w:t>On the grant of a permit under section 4A</w:t>
      </w:r>
      <w:r>
        <w:rPr>
          <w:snapToGrid w:val="0"/>
        </w:rPr>
        <w:br/>
        <w:t>for a designated sporting event .................................$35;</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telephone betting .......................................................$55;</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internet betting.........................................................$270;</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system.................................................$55;</w:t>
      </w:r>
    </w:p>
    <w:p>
      <w:pPr>
        <w:pStyle w:val="Indenta"/>
        <w:spacing w:before="100"/>
        <w:rPr>
          <w:snapToGrid w:val="0"/>
        </w:rPr>
      </w:pPr>
      <w:r>
        <w:rPr>
          <w:snapToGrid w:val="0"/>
        </w:rPr>
        <w:tab/>
        <w:t>(a)</w:t>
      </w:r>
      <w:r>
        <w:rPr>
          <w:snapToGrid w:val="0"/>
        </w:rPr>
        <w:tab/>
        <w:t>On an application for a bookmaker’s</w:t>
      </w:r>
      <w:r>
        <w:rPr>
          <w:snapToGrid w:val="0"/>
        </w:rPr>
        <w:br/>
        <w:t>licence......................................................................$535;</w:t>
      </w:r>
    </w:p>
    <w:p>
      <w:pPr>
        <w:pStyle w:val="Indenta"/>
        <w:spacing w:before="100"/>
        <w:rPr>
          <w:snapToGrid w:val="0"/>
        </w:rPr>
      </w:pPr>
      <w:r>
        <w:rPr>
          <w:snapToGrid w:val="0"/>
        </w:rPr>
        <w:tab/>
        <w:t>(b)</w:t>
      </w:r>
      <w:r>
        <w:rPr>
          <w:snapToGrid w:val="0"/>
        </w:rPr>
        <w:tab/>
        <w:t>On an application for, or for the renewal</w:t>
      </w:r>
      <w:r>
        <w:rPr>
          <w:snapToGrid w:val="0"/>
        </w:rPr>
        <w:br/>
        <w:t>of, a bookmaker’s employee licence..........................$25;</w:t>
      </w:r>
    </w:p>
    <w:p>
      <w:pPr>
        <w:pStyle w:val="Indenta"/>
        <w:spacing w:before="100"/>
        <w:rPr>
          <w:snapToGrid w:val="0"/>
        </w:rPr>
      </w:pPr>
      <w:r>
        <w:rPr>
          <w:snapToGrid w:val="0"/>
        </w:rPr>
        <w:tab/>
        <w:t>(ba)</w:t>
      </w:r>
      <w:r>
        <w:rPr>
          <w:snapToGrid w:val="0"/>
        </w:rPr>
        <w:tab/>
        <w:t>On an application for a bookmaker’s</w:t>
      </w:r>
      <w:r>
        <w:rPr>
          <w:snapToGrid w:val="0"/>
        </w:rPr>
        <w:br/>
        <w:t>manager licence.......................................................$130;</w:t>
      </w:r>
    </w:p>
    <w:p>
      <w:pPr>
        <w:pStyle w:val="Indenta"/>
        <w:spacing w:before="100"/>
        <w:rPr>
          <w:snapToGrid w:val="0"/>
        </w:rPr>
      </w:pPr>
      <w:r>
        <w:rPr>
          <w:snapToGrid w:val="0"/>
        </w:rPr>
        <w:tab/>
        <w:t>(bb)</w:t>
      </w:r>
      <w:r>
        <w:rPr>
          <w:snapToGrid w:val="0"/>
        </w:rPr>
        <w:tab/>
        <w:t>On an application for the renewal of a</w:t>
      </w:r>
      <w:r>
        <w:rPr>
          <w:snapToGrid w:val="0"/>
        </w:rPr>
        <w:br/>
        <w:t>bookmaker’s manager licence....................................$70;</w:t>
      </w:r>
    </w:p>
    <w:p>
      <w:pPr>
        <w:pStyle w:val="Indenta"/>
        <w:spacing w:before="100"/>
        <w:rPr>
          <w:snapToGrid w:val="0"/>
        </w:rPr>
      </w:pPr>
      <w:r>
        <w:rPr>
          <w:snapToGrid w:val="0"/>
        </w:rPr>
        <w:tab/>
        <w:t>(c)</w:t>
      </w:r>
      <w:r>
        <w:rPr>
          <w:snapToGrid w:val="0"/>
        </w:rPr>
        <w:tab/>
        <w:t>For an appeal to the Commission in</w:t>
      </w:r>
      <w:r>
        <w:rPr>
          <w:snapToGrid w:val="0"/>
        </w:rPr>
        <w:br/>
        <w:t>connection with a betting dispute............................$125;</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page.............................$3.50;</w:t>
      </w:r>
    </w:p>
    <w:p>
      <w:pPr>
        <w:pStyle w:val="Indenta"/>
        <w:spacing w:before="100"/>
        <w:rPr>
          <w:snapToGrid w:val="0"/>
        </w:rPr>
      </w:pPr>
      <w:r>
        <w:rPr>
          <w:snapToGrid w:val="0"/>
        </w:rPr>
        <w:tab/>
        <w:t>(e)</w:t>
      </w:r>
      <w:r>
        <w:rPr>
          <w:snapToGrid w:val="0"/>
        </w:rPr>
        <w:tab/>
        <w:t>On applying for the issue of a duplicate</w:t>
      </w:r>
      <w:r>
        <w:rPr>
          <w:snapToGrid w:val="0"/>
        </w:rPr>
        <w:br/>
        <w:t>licence........................................................................$25;</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............................................$500.</w:t>
      </w:r>
    </w:p>
    <w:p>
      <w:pPr>
        <w:pStyle w:val="Subsection"/>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$80.</w:t>
      </w:r>
    </w:p>
    <w:p>
      <w:pPr>
        <w:pStyle w:val="Subsection"/>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$80.</w:t>
      </w:r>
    </w:p>
    <w:p>
      <w:pPr>
        <w:pStyle w:val="Footnotesection"/>
      </w:pPr>
      <w:r>
        <w:tab/>
        <w:t xml:space="preserve">[Regulation 17 amended in Gazette 14 Jul 1989 p. 2133; 10 Jul 1992 p. 3288; 21 Jul 1998 p. 3852; 2 Oct 2001 p. 5454; 20 Sep 2002 p. 4699; 26 Sep 2003 p. 4226; 30 Jan 2004 p. 404 and 412; 9 Jul 2004 p. 2781; 14 Oct 2005 p. 4559.] </w:t>
      </w:r>
    </w:p>
    <w:p>
      <w:pPr>
        <w:pStyle w:val="Heading5"/>
        <w:rPr>
          <w:snapToGrid w:val="0"/>
        </w:rPr>
      </w:pPr>
      <w:bookmarkStart w:id="58" w:name="_Toc495993568"/>
      <w:bookmarkStart w:id="59" w:name="_Toc511525044"/>
      <w:bookmarkStart w:id="60" w:name="_Toc27803408"/>
      <w:bookmarkStart w:id="61" w:name="_Toc133903513"/>
      <w:bookmarkStart w:id="62" w:name="_Toc141173772"/>
      <w:r>
        <w:rPr>
          <w:rStyle w:val="CharSectno"/>
        </w:rPr>
        <w:t>17A</w:t>
      </w:r>
      <w:r>
        <w:rPr>
          <w:snapToGrid w:val="0"/>
        </w:rPr>
        <w:t>.</w:t>
      </w:r>
      <w:r>
        <w:rPr>
          <w:snapToGrid w:val="0"/>
        </w:rPr>
        <w:tab/>
        <w:t>Bookmakers’ annual licence fee</w:t>
      </w:r>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The bookmakers’ annual licence fee payable under section 13(1) shall be — </w:t>
      </w:r>
    </w:p>
    <w:p>
      <w:pPr>
        <w:pStyle w:val="Indenta"/>
        <w:rPr>
          <w:snapToGrid w:val="0"/>
        </w:rPr>
      </w:pPr>
      <w:r>
        <w:rPr>
          <w:snapToGrid w:val="0"/>
        </w:rPr>
        <w:tab/>
        <w:t>(a)</w:t>
      </w:r>
      <w:r>
        <w:rPr>
          <w:snapToGrid w:val="0"/>
        </w:rPr>
        <w:tab/>
        <w:t>paid, in respect of each assessment year commencing on 1 August and ending on 31 July, at the following rates — </w:t>
      </w:r>
    </w:p>
    <w:p>
      <w:pPr>
        <w:pStyle w:val="Indenti"/>
      </w:pPr>
      <w:r>
        <w:tab/>
        <w:t>(i)</w:t>
      </w:r>
      <w:r>
        <w:tab/>
        <w:t>on total turnover not exceeding</w:t>
      </w:r>
      <w:r>
        <w:br/>
        <w:t>$250 000.......................................................$295;</w:t>
      </w:r>
    </w:p>
    <w:p>
      <w:pPr>
        <w:pStyle w:val="Indenti"/>
      </w:pPr>
      <w:r>
        <w:tab/>
        <w:t>(ii)</w:t>
      </w:r>
      <w:r>
        <w:tab/>
        <w:t xml:space="preserve">on total turnover greater than </w:t>
      </w:r>
      <w:r>
        <w:br/>
        <w:t>$250 000 but not exceeding</w:t>
      </w:r>
      <w:r>
        <w:br/>
        <w:t>$1 000 000....................................................$595; and</w:t>
      </w:r>
    </w:p>
    <w:p>
      <w:pPr>
        <w:pStyle w:val="Indenti"/>
      </w:pPr>
      <w:r>
        <w:tab/>
        <w:t>(iii)</w:t>
      </w:r>
      <w:r>
        <w:tab/>
        <w:t>on total turnover greater than</w:t>
      </w:r>
      <w:r>
        <w:br/>
        <w:t>$1 000 000....................................................$895,</w:t>
      </w:r>
    </w:p>
    <w:p>
      <w:pPr>
        <w:pStyle w:val="Indenta"/>
        <w:rPr>
          <w:snapToGrid w:val="0"/>
        </w:rPr>
      </w:pPr>
      <w:r>
        <w:rPr>
          <w:snapToGrid w:val="0"/>
        </w:rPr>
        <w:tab/>
      </w:r>
      <w:r>
        <w:rPr>
          <w:snapToGrid w:val="0"/>
        </w:rPr>
        <w:tab/>
        <w:t>for that year; 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 xml:space="preserve">[Regulation 17A inserted in Gazette 25 Jun 1996 p. 2975; amended in Gazette 10 Jul 1988 p. 3647; 21 Jul 1998 p. 3852; 26 Sep 2003 p. 4226; 30 Jan 2004 p. 412; 9 Jul 2004 p. 2781; 14 Oct 2005 p. 4559.] </w:t>
      </w:r>
    </w:p>
    <w:p>
      <w:pPr>
        <w:pStyle w:val="Heading5"/>
        <w:rPr>
          <w:snapToGrid w:val="0"/>
        </w:rPr>
      </w:pPr>
      <w:bookmarkStart w:id="63" w:name="_Toc495993569"/>
      <w:bookmarkStart w:id="64" w:name="_Toc511525045"/>
      <w:bookmarkStart w:id="65" w:name="_Toc27803409"/>
      <w:bookmarkStart w:id="66" w:name="_Toc133903514"/>
      <w:bookmarkStart w:id="67" w:name="_Toc141173773"/>
      <w:r>
        <w:rPr>
          <w:rStyle w:val="CharSectno"/>
        </w:rPr>
        <w:t>17B</w:t>
      </w:r>
      <w:r>
        <w:rPr>
          <w:snapToGrid w:val="0"/>
        </w:rPr>
        <w:t>.</w:t>
      </w:r>
      <w:r>
        <w:rPr>
          <w:snapToGrid w:val="0"/>
        </w:rPr>
        <w:tab/>
        <w:t>On</w:t>
      </w:r>
      <w:r>
        <w:rPr>
          <w:snapToGrid w:val="0"/>
        </w:rPr>
        <w:noBreakHyphen/>
        <w:t>course totalisator annual licence fee</w:t>
      </w:r>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 </w:t>
      </w:r>
    </w:p>
    <w:p>
      <w:pPr>
        <w:pStyle w:val="Indenta"/>
        <w:rPr>
          <w:snapToGrid w:val="0"/>
        </w:rPr>
      </w:pPr>
      <w:r>
        <w:rPr>
          <w:snapToGrid w:val="0"/>
        </w:rPr>
        <w:tab/>
        <w:t>(a)</w:t>
      </w:r>
      <w:r>
        <w:rPr>
          <w:snapToGrid w:val="0"/>
        </w:rPr>
        <w:tab/>
        <w:t>paid, in respect of each assessment year commencing on 1 August and ending on 31 July, at the following rates — </w:t>
      </w:r>
    </w:p>
    <w:p>
      <w:pPr>
        <w:pStyle w:val="Indenti"/>
      </w:pPr>
      <w:r>
        <w:tab/>
        <w:t>(i)</w:t>
      </w:r>
      <w:r>
        <w:tab/>
        <w:t>on total turnover not exceeding</w:t>
      </w:r>
      <w:r>
        <w:br/>
        <w:t>$10 000.......................................................no fee;</w:t>
      </w:r>
    </w:p>
    <w:p>
      <w:pPr>
        <w:pStyle w:val="Indenti"/>
      </w:pPr>
      <w:r>
        <w:tab/>
        <w:t>(ii)</w:t>
      </w:r>
      <w:r>
        <w:tab/>
        <w:t xml:space="preserve">on total turnover greater than $10 000 </w:t>
      </w:r>
      <w:r>
        <w:br/>
        <w:t>but not exceeding $120 000...........................$35;</w:t>
      </w:r>
      <w:r>
        <w:br/>
        <w:t>and</w:t>
      </w:r>
    </w:p>
    <w:p>
      <w:pPr>
        <w:pStyle w:val="Indenti"/>
      </w:pPr>
      <w:r>
        <w:tab/>
        <w:t>(iii)</w:t>
      </w:r>
      <w:r>
        <w:tab/>
        <w:t>on total turnover greater than</w:t>
      </w:r>
      <w:r>
        <w:br/>
        <w:t>$120 000...............................................0.030% of</w:t>
      </w:r>
      <w:r>
        <w:br/>
        <w:t xml:space="preserve">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 28 Apr 2006 p. 1659.]</w:t>
      </w:r>
    </w:p>
    <w:p>
      <w:pPr>
        <w:pStyle w:val="Heading5"/>
      </w:pPr>
      <w:bookmarkStart w:id="68" w:name="_Toc495993570"/>
      <w:bookmarkStart w:id="69" w:name="_Toc511525046"/>
      <w:bookmarkStart w:id="70" w:name="_Toc27803410"/>
      <w:bookmarkStart w:id="71" w:name="_Toc133903515"/>
      <w:bookmarkStart w:id="72" w:name="_Toc141173774"/>
      <w:r>
        <w:rPr>
          <w:rStyle w:val="CharSectno"/>
        </w:rPr>
        <w:t>17C</w:t>
      </w:r>
      <w:r>
        <w:rPr>
          <w:spacing w:val="-2"/>
        </w:rPr>
        <w:t>.</w:t>
      </w:r>
      <w:r>
        <w:rPr>
          <w:spacing w:val="-2"/>
        </w:rPr>
        <w:tab/>
      </w:r>
      <w:r>
        <w:t>Percentage of bets to belong to RWWA</w:t>
      </w:r>
      <w:bookmarkEnd w:id="68"/>
      <w:bookmarkEnd w:id="69"/>
      <w:bookmarkEnd w:id="70"/>
      <w:bookmarkEnd w:id="71"/>
      <w:bookmarkEnd w:id="72"/>
    </w:p>
    <w:p>
      <w:pPr>
        <w:pStyle w:val="Subsection"/>
      </w:pPr>
      <w:r>
        <w:tab/>
      </w:r>
      <w:r>
        <w:tab/>
        <w:t>For the purpose of section 17E(1)(a), the amount prescribed as the commission for a bet is — </w:t>
      </w:r>
    </w:p>
    <w:p>
      <w:pPr>
        <w:pStyle w:val="Indenta"/>
      </w:pPr>
      <w:r>
        <w:tab/>
        <w:t>(a)</w:t>
      </w:r>
      <w:r>
        <w:tab/>
        <w:t>where the totalisator is conducted on the system whereby all winning bets, for a win or a place, are deducted before the commission is deducted — </w:t>
      </w:r>
    </w:p>
    <w:p>
      <w:pPr>
        <w:pStyle w:val="Indenti"/>
      </w:pPr>
      <w:r>
        <w:tab/>
        <w:t>(i)</w:t>
      </w:r>
      <w:r>
        <w:tab/>
        <w:t>for a losing bet for a win..............20%; and</w:t>
      </w:r>
    </w:p>
    <w:p>
      <w:pPr>
        <w:pStyle w:val="Indenti"/>
      </w:pPr>
      <w:r>
        <w:tab/>
        <w:t>(ii)</w:t>
      </w:r>
      <w:r>
        <w:tab/>
        <w:t>for a losing bet for a place...........25%;</w:t>
      </w:r>
    </w:p>
    <w:p>
      <w:pPr>
        <w:pStyle w:val="Indenta"/>
      </w:pPr>
      <w:r>
        <w:tab/>
        <w:t>(b)</w:t>
      </w:r>
      <w:r>
        <w:tab/>
        <w:t>for all win bets that are not pooled, 14.5% of those win bets;</w:t>
      </w:r>
    </w:p>
    <w:p>
      <w:pPr>
        <w:pStyle w:val="Indenta"/>
      </w:pPr>
      <w:r>
        <w:tab/>
        <w:t>(ba)</w:t>
      </w:r>
      <w:r>
        <w:tab/>
        <w:t>for all place bets that are not pooled, 14.25% of those place bets;</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 28 Apr 2006 p. 1659; 21 Jul 2006 p. 2672.]</w:t>
      </w:r>
    </w:p>
    <w:p>
      <w:pPr>
        <w:pStyle w:val="Heading5"/>
      </w:pPr>
      <w:bookmarkStart w:id="73" w:name="_Toc495993571"/>
      <w:bookmarkStart w:id="74" w:name="_Toc511525047"/>
      <w:bookmarkStart w:id="75" w:name="_Toc27803411"/>
      <w:bookmarkStart w:id="76" w:name="_Toc133903516"/>
      <w:bookmarkStart w:id="77" w:name="_Toc141173775"/>
      <w:r>
        <w:rPr>
          <w:rStyle w:val="CharSectno"/>
        </w:rPr>
        <w:t>17D</w:t>
      </w:r>
      <w:r>
        <w:t>.</w:t>
      </w:r>
      <w:r>
        <w:tab/>
        <w:t>Percentage of bets to belong to racing club</w:t>
      </w:r>
      <w:bookmarkEnd w:id="73"/>
      <w:bookmarkEnd w:id="74"/>
      <w:bookmarkEnd w:id="75"/>
      <w:bookmarkEnd w:id="76"/>
      <w:bookmarkEnd w:id="77"/>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2"/>
      </w:pPr>
      <w:bookmarkStart w:id="78" w:name="_Toc141162186"/>
      <w:bookmarkStart w:id="79" w:name="_Toc141173776"/>
      <w:bookmarkStart w:id="80" w:name="_Toc495993572"/>
      <w:bookmarkStart w:id="81" w:name="_Toc511525048"/>
      <w:bookmarkStart w:id="82" w:name="_Toc27803412"/>
      <w:bookmarkStart w:id="83" w:name="_Toc133903517"/>
      <w:r>
        <w:rPr>
          <w:rStyle w:val="CharPartNo"/>
        </w:rPr>
        <w:t>Part 3</w:t>
      </w:r>
      <w:r>
        <w:rPr>
          <w:b w:val="0"/>
        </w:rPr>
        <w:t> </w:t>
      </w:r>
      <w:r>
        <w:t>—</w:t>
      </w:r>
      <w:r>
        <w:rPr>
          <w:b w:val="0"/>
        </w:rPr>
        <w:t> </w:t>
      </w:r>
      <w:r>
        <w:rPr>
          <w:rStyle w:val="CharPartText"/>
        </w:rPr>
        <w:t>Provisions relating to bookmakers</w:t>
      </w:r>
      <w:bookmarkEnd w:id="78"/>
      <w:bookmarkEnd w:id="79"/>
    </w:p>
    <w:p>
      <w:pPr>
        <w:pStyle w:val="Footnoteheading"/>
        <w:rPr>
          <w:rStyle w:val="CharSectno"/>
        </w:rPr>
      </w:pPr>
      <w:r>
        <w:tab/>
        <w:t>[Heading inserted in Gazette 21 Jul 2006 p. 2672.]</w:t>
      </w:r>
    </w:p>
    <w:p>
      <w:pPr>
        <w:pStyle w:val="Heading5"/>
      </w:pPr>
      <w:bookmarkStart w:id="84" w:name="_Toc141173777"/>
      <w:r>
        <w:rPr>
          <w:rStyle w:val="CharSectno"/>
        </w:rPr>
        <w:t>17E</w:t>
      </w:r>
      <w:r>
        <w:t>.</w:t>
      </w:r>
      <w:r>
        <w:tab/>
        <w:t>Levy which may be retained</w:t>
      </w:r>
      <w:bookmarkEnd w:id="80"/>
      <w:bookmarkEnd w:id="81"/>
      <w:bookmarkEnd w:id="82"/>
      <w:bookmarkEnd w:id="83"/>
      <w:bookmarkEnd w:id="84"/>
    </w:p>
    <w:p>
      <w:pPr>
        <w:pStyle w:val="Subsection"/>
      </w:pPr>
      <w:r>
        <w:tab/>
      </w:r>
      <w:r>
        <w:tab/>
        <w:t>For the purpose of section 15(5)(a), a racing club may retain out of the sum of bookmakers’ betting levy received by that club in respect of — </w:t>
      </w:r>
    </w:p>
    <w:p>
      <w:pPr>
        <w:pStyle w:val="Indenta"/>
      </w:pPr>
      <w:r>
        <w:tab/>
        <w:t>(a)</w:t>
      </w:r>
      <w:r>
        <w:tab/>
        <w:t>sports betting to which section 4A applies, no percentage;</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85" w:name="_Toc495993573"/>
      <w:bookmarkStart w:id="86" w:name="_Toc511525049"/>
      <w:bookmarkStart w:id="87" w:name="_Toc27803413"/>
      <w:bookmarkStart w:id="88" w:name="_Toc133903518"/>
      <w:bookmarkStart w:id="89" w:name="_Toc141173778"/>
      <w:r>
        <w:rPr>
          <w:rStyle w:val="CharSectno"/>
        </w:rPr>
        <w:t>18</w:t>
      </w:r>
      <w:r>
        <w:t>.</w:t>
      </w:r>
      <w:r>
        <w:tab/>
        <w:t>Security to be given</w:t>
      </w:r>
      <w:bookmarkEnd w:id="85"/>
      <w:bookmarkEnd w:id="86"/>
      <w:bookmarkEnd w:id="87"/>
      <w:bookmarkEnd w:id="88"/>
      <w:bookmarkEnd w:id="89"/>
    </w:p>
    <w:p>
      <w:pPr>
        <w:pStyle w:val="Subsection"/>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p>
      <w:pPr>
        <w:pStyle w:val="MiscellaneousHeading"/>
        <w:rPr>
          <w:b/>
          <w:bCs/>
        </w:rPr>
      </w:pPr>
    </w:p>
    <w:tbl>
      <w:tblPr>
        <w:tblW w:w="0" w:type="auto"/>
        <w:tblInd w:w="71" w:type="dxa"/>
        <w:tblLayout w:type="fixed"/>
        <w:tblCellMar>
          <w:left w:w="71" w:type="dxa"/>
          <w:right w:w="71" w:type="dxa"/>
        </w:tblCellMar>
        <w:tblLook w:val="0000" w:firstRow="0" w:lastRow="0" w:firstColumn="0" w:lastColumn="0" w:noHBand="0" w:noVBand="0"/>
      </w:tblPr>
      <w:tblGrid>
        <w:gridCol w:w="5954"/>
        <w:gridCol w:w="1417"/>
      </w:tblGrid>
      <w:tr>
        <w:tc>
          <w:tcPr>
            <w:tcW w:w="5954" w:type="dxa"/>
          </w:tcPr>
          <w:p>
            <w:pPr>
              <w:pStyle w:val="Table"/>
              <w:tabs>
                <w:tab w:val="right" w:pos="1327"/>
                <w:tab w:val="left" w:pos="1610"/>
                <w:tab w:val="left" w:leader="dot" w:pos="5741"/>
              </w:tabs>
              <w:spacing w:before="80"/>
              <w:ind w:left="1610" w:hanging="1610"/>
              <w:rPr>
                <w:sz w:val="24"/>
              </w:rPr>
            </w:pPr>
            <w:r>
              <w:rPr>
                <w:sz w:val="24"/>
              </w:rPr>
              <w:tab/>
              <w:t>(a)</w:t>
            </w:r>
            <w:r>
              <w:rPr>
                <w:sz w:val="24"/>
              </w:rPr>
              <w:tab/>
              <w:t>for a licence endorsed for metropolitan grandstand enclosure operations with The Western Australian Turf Club......................</w:t>
            </w:r>
          </w:p>
        </w:tc>
        <w:tc>
          <w:tcPr>
            <w:tcW w:w="1417" w:type="dxa"/>
          </w:tcPr>
          <w:p>
            <w:pPr>
              <w:pStyle w:val="Table"/>
              <w:tabs>
                <w:tab w:val="right" w:pos="1327"/>
                <w:tab w:val="left" w:pos="1610"/>
              </w:tabs>
              <w:spacing w:before="8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$100 000</w:t>
            </w:r>
            <w:r>
              <w:rPr>
                <w:sz w:val="24"/>
              </w:rPr>
              <w:t>;</w:t>
            </w:r>
          </w:p>
        </w:tc>
      </w:tr>
      <w:tr>
        <w:tc>
          <w:tcPr>
            <w:tcW w:w="5954" w:type="dxa"/>
          </w:tcPr>
          <w:p>
            <w:pPr>
              <w:pStyle w:val="Table"/>
              <w:keepLines/>
              <w:tabs>
                <w:tab w:val="right" w:pos="1327"/>
                <w:tab w:val="left" w:pos="1610"/>
                <w:tab w:val="left" w:leader="dot" w:pos="5741"/>
              </w:tabs>
              <w:spacing w:before="0"/>
              <w:ind w:left="1610" w:hanging="1610"/>
              <w:rPr>
                <w:sz w:val="24"/>
              </w:rPr>
            </w:pPr>
            <w:r>
              <w:rPr>
                <w:sz w:val="24"/>
              </w:rPr>
              <w:tab/>
              <w:t>(b)</w:t>
            </w:r>
            <w:r>
              <w:rPr>
                <w:sz w:val="24"/>
              </w:rPr>
              <w:tab/>
              <w:t>for a licence endorsed for metropolitan grandstand enclosure operations with the Western Australian Trotting Association.....</w:t>
            </w:r>
          </w:p>
        </w:tc>
        <w:tc>
          <w:tcPr>
            <w:tcW w:w="1417" w:type="dxa"/>
          </w:tcPr>
          <w:p>
            <w:pPr>
              <w:pStyle w:val="Table"/>
              <w:keepLines/>
              <w:tabs>
                <w:tab w:val="right" w:pos="1327"/>
                <w:tab w:val="left" w:pos="1610"/>
              </w:tabs>
              <w:spacing w:before="0"/>
              <w:jc w:val="center"/>
              <w:rPr>
                <w:sz w:val="24"/>
              </w:rPr>
            </w:pPr>
          </w:p>
          <w:p>
            <w:pPr>
              <w:pStyle w:val="Table"/>
              <w:keepLines/>
              <w:tabs>
                <w:tab w:val="right" w:pos="1327"/>
                <w:tab w:val="left" w:pos="1610"/>
              </w:tabs>
              <w:spacing w:before="0"/>
              <w:jc w:val="center"/>
              <w:rPr>
                <w:sz w:val="24"/>
              </w:rPr>
            </w:pPr>
          </w:p>
          <w:p>
            <w:pPr>
              <w:pStyle w:val="Table"/>
              <w:keepLines/>
              <w:tabs>
                <w:tab w:val="right" w:pos="1327"/>
                <w:tab w:val="left" w:pos="1610"/>
              </w:tabs>
              <w:spacing w:before="0"/>
              <w:jc w:val="center"/>
              <w:rPr>
                <w:sz w:val="24"/>
              </w:rPr>
            </w:pPr>
            <w:r>
              <w:t>$40 000</w:t>
            </w:r>
            <w:r>
              <w:rPr>
                <w:sz w:val="24"/>
              </w:rPr>
              <w:t>;</w:t>
            </w:r>
          </w:p>
        </w:tc>
      </w:tr>
      <w:tr>
        <w:tc>
          <w:tcPr>
            <w:tcW w:w="5954" w:type="dxa"/>
          </w:tcPr>
          <w:p>
            <w:pPr>
              <w:pStyle w:val="Table"/>
              <w:tabs>
                <w:tab w:val="right" w:pos="1327"/>
                <w:tab w:val="left" w:pos="1610"/>
                <w:tab w:val="left" w:leader="dot" w:pos="5741"/>
              </w:tabs>
              <w:spacing w:before="0"/>
              <w:ind w:left="1610" w:hanging="1610"/>
              <w:rPr>
                <w:sz w:val="24"/>
              </w:rPr>
            </w:pPr>
            <w:r>
              <w:rPr>
                <w:sz w:val="24"/>
              </w:rPr>
              <w:tab/>
              <w:t>(c)</w:t>
            </w:r>
            <w:r>
              <w:rPr>
                <w:sz w:val="24"/>
              </w:rPr>
              <w:tab/>
              <w:t>for a licence endorsed for metropolitan grandstand enclosure operations with the Western Australian Greyhound Racing Association...................................................</w:t>
            </w:r>
          </w:p>
        </w:tc>
        <w:tc>
          <w:tcPr>
            <w:tcW w:w="1417" w:type="dxa"/>
          </w:tcPr>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$25 000</w:t>
            </w:r>
            <w:r>
              <w:rPr>
                <w:sz w:val="24"/>
              </w:rPr>
              <w:t>;</w:t>
            </w:r>
          </w:p>
        </w:tc>
      </w:tr>
      <w:tr>
        <w:tc>
          <w:tcPr>
            <w:tcW w:w="5954" w:type="dxa"/>
          </w:tcPr>
          <w:p>
            <w:pPr>
              <w:pStyle w:val="Table"/>
              <w:tabs>
                <w:tab w:val="right" w:pos="1327"/>
                <w:tab w:val="left" w:pos="1610"/>
                <w:tab w:val="left" w:leader="dot" w:pos="5741"/>
              </w:tabs>
              <w:spacing w:before="0"/>
              <w:ind w:left="1610" w:hanging="1610"/>
              <w:rPr>
                <w:sz w:val="24"/>
              </w:rPr>
            </w:pPr>
            <w:r>
              <w:rPr>
                <w:sz w:val="24"/>
              </w:rPr>
              <w:tab/>
              <w:t>(d)</w:t>
            </w:r>
            <w:r>
              <w:rPr>
                <w:sz w:val="24"/>
              </w:rPr>
              <w:tab/>
              <w:t>for a licence endorsed for metropolitan leger or country racecourse operations with The Western Australian Turf Club, the Western Australian Trotting Association, or the Western Australian Greyhound Racing Association......................................</w:t>
            </w:r>
          </w:p>
        </w:tc>
        <w:tc>
          <w:tcPr>
            <w:tcW w:w="1417" w:type="dxa"/>
          </w:tcPr>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$25 000</w:t>
            </w:r>
            <w:r>
              <w:rPr>
                <w:sz w:val="24"/>
              </w:rPr>
              <w:t>;</w:t>
            </w:r>
          </w:p>
        </w:tc>
      </w:tr>
      <w:tr>
        <w:tc>
          <w:tcPr>
            <w:tcW w:w="5954" w:type="dxa"/>
          </w:tcPr>
          <w:p>
            <w:pPr>
              <w:pStyle w:val="Table"/>
              <w:keepNext/>
              <w:keepLines/>
              <w:tabs>
                <w:tab w:val="right" w:pos="1327"/>
                <w:tab w:val="left" w:pos="1610"/>
                <w:tab w:val="left" w:leader="dot" w:pos="5741"/>
              </w:tabs>
              <w:spacing w:before="0"/>
              <w:ind w:left="1610" w:hanging="1610"/>
              <w:rPr>
                <w:sz w:val="24"/>
              </w:rPr>
            </w:pPr>
            <w:r>
              <w:rPr>
                <w:sz w:val="24"/>
              </w:rPr>
              <w:tab/>
              <w:t>(e)</w:t>
            </w:r>
            <w:r>
              <w:rPr>
                <w:sz w:val="24"/>
              </w:rPr>
              <w:tab/>
              <w:t>for a licence endorsed to authorise the conduct of sports betting or double event betting, or both.............................................</w:t>
            </w:r>
          </w:p>
        </w:tc>
        <w:tc>
          <w:tcPr>
            <w:tcW w:w="1417" w:type="dxa"/>
          </w:tcPr>
          <w:p>
            <w:pPr>
              <w:pStyle w:val="Table"/>
              <w:keepNext/>
              <w:keepLines/>
              <w:tabs>
                <w:tab w:val="right" w:pos="1327"/>
                <w:tab w:val="left" w:pos="1610"/>
              </w:tabs>
              <w:spacing w:before="0"/>
              <w:jc w:val="center"/>
              <w:rPr>
                <w:sz w:val="24"/>
              </w:rPr>
            </w:pPr>
          </w:p>
          <w:p>
            <w:pPr>
              <w:pStyle w:val="Table"/>
              <w:keepNext/>
              <w:keepLines/>
              <w:tabs>
                <w:tab w:val="right" w:pos="1327"/>
                <w:tab w:val="left" w:pos="1610"/>
              </w:tabs>
              <w:spacing w:before="0"/>
              <w:jc w:val="center"/>
              <w:rPr>
                <w:sz w:val="24"/>
              </w:rPr>
            </w:pPr>
          </w:p>
          <w:p>
            <w:pPr>
              <w:pStyle w:val="Table"/>
              <w:keepNext/>
              <w:keepLines/>
              <w:tabs>
                <w:tab w:val="right" w:pos="1327"/>
                <w:tab w:val="left" w:pos="1610"/>
              </w:tabs>
              <w:spacing w:before="0"/>
              <w:jc w:val="center"/>
              <w:rPr>
                <w:sz w:val="24"/>
              </w:rPr>
            </w:pPr>
            <w:r>
              <w:rPr>
                <w:sz w:val="24"/>
              </w:rP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 xml:space="preserve">Omitted under the Reprints Act 1984 s. 7(4)(e).] </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 xml:space="preserve">4; 30 Jan 2004 p. 412.] </w:t>
      </w:r>
    </w:p>
    <w:p>
      <w:pPr>
        <w:pStyle w:val="Ednotesection"/>
      </w:pPr>
      <w:r>
        <w:t>[</w:t>
      </w:r>
      <w:r>
        <w:rPr>
          <w:b/>
        </w:rPr>
        <w:t>19</w:t>
      </w:r>
      <w:r>
        <w:rPr>
          <w:b/>
        </w:rPr>
        <w:noBreakHyphen/>
        <w:t>24.</w:t>
      </w:r>
      <w:r>
        <w:tab/>
        <w:t>Repealed in Gazette 10 Jul 1992 p. 3289.]</w:t>
      </w:r>
    </w:p>
    <w:p>
      <w:pPr>
        <w:pStyle w:val="Heading5"/>
        <w:rPr>
          <w:snapToGrid w:val="0"/>
        </w:rPr>
      </w:pPr>
      <w:bookmarkStart w:id="90" w:name="_Toc495993574"/>
      <w:bookmarkStart w:id="91" w:name="_Toc511525050"/>
      <w:bookmarkStart w:id="92" w:name="_Toc27803414"/>
      <w:bookmarkStart w:id="93" w:name="_Toc133903519"/>
      <w:bookmarkStart w:id="94" w:name="_Toc141173779"/>
      <w:r>
        <w:rPr>
          <w:rStyle w:val="CharSectno"/>
        </w:rPr>
        <w:t>25</w:t>
      </w:r>
      <w:r>
        <w:rPr>
          <w:snapToGrid w:val="0"/>
        </w:rPr>
        <w:t>.</w:t>
      </w:r>
      <w:r>
        <w:rPr>
          <w:snapToGrid w:val="0"/>
        </w:rPr>
        <w:tab/>
        <w:t>Register</w:t>
      </w:r>
      <w:bookmarkEnd w:id="90"/>
      <w:bookmarkEnd w:id="91"/>
      <w:bookmarkEnd w:id="92"/>
      <w:bookmarkEnd w:id="93"/>
      <w:bookmarkEnd w:id="94"/>
      <w:r>
        <w:rPr>
          <w:snapToGrid w:val="0"/>
        </w:rPr>
        <w:t xml:space="preserve"> </w:t>
      </w:r>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 xml:space="preserve">Repealed in Gazette 10 Jul 1992 p. 3289.] </w:t>
      </w:r>
    </w:p>
    <w:p>
      <w:pPr>
        <w:pStyle w:val="Heading5"/>
        <w:rPr>
          <w:snapToGrid w:val="0"/>
        </w:rPr>
      </w:pPr>
      <w:bookmarkStart w:id="95" w:name="_Toc495993575"/>
      <w:bookmarkStart w:id="96" w:name="_Toc511525051"/>
      <w:bookmarkStart w:id="97" w:name="_Toc27803415"/>
      <w:bookmarkStart w:id="98" w:name="_Toc133903520"/>
      <w:bookmarkStart w:id="99" w:name="_Toc141173780"/>
      <w:r>
        <w:rPr>
          <w:rStyle w:val="CharSectno"/>
        </w:rPr>
        <w:t>27</w:t>
      </w:r>
      <w:r>
        <w:rPr>
          <w:snapToGrid w:val="0"/>
        </w:rPr>
        <w:t>.</w:t>
      </w:r>
      <w:r>
        <w:rPr>
          <w:snapToGrid w:val="0"/>
        </w:rPr>
        <w:tab/>
        <w:t>Change of address</w:t>
      </w:r>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 xml:space="preserve">[Regulation 27 amended in Gazette 24 Jun 1988 p. 2004; 10 Jul 1992 p. 3286 and 3289; 25 Jun 1996 p. 2977; 20 Sep 2002 p. 4700; 30 Jan 2004 p. 412.] </w:t>
      </w:r>
    </w:p>
    <w:p>
      <w:pPr>
        <w:pStyle w:val="Heading5"/>
        <w:rPr>
          <w:snapToGrid w:val="0"/>
        </w:rPr>
      </w:pPr>
      <w:bookmarkStart w:id="100" w:name="_Toc495993576"/>
      <w:bookmarkStart w:id="101" w:name="_Toc511525052"/>
      <w:bookmarkStart w:id="102" w:name="_Toc27803416"/>
      <w:bookmarkStart w:id="103" w:name="_Toc133903521"/>
      <w:bookmarkStart w:id="104" w:name="_Toc141173781"/>
      <w:r>
        <w:rPr>
          <w:rStyle w:val="CharSectno"/>
        </w:rPr>
        <w:t>28</w:t>
      </w:r>
      <w:r>
        <w:rPr>
          <w:snapToGrid w:val="0"/>
        </w:rPr>
        <w:t>.</w:t>
      </w:r>
      <w:r>
        <w:rPr>
          <w:snapToGrid w:val="0"/>
        </w:rPr>
        <w:tab/>
        <w:t xml:space="preserve">Return of </w:t>
      </w:r>
      <w:bookmarkEnd w:id="100"/>
      <w:r>
        <w:rPr>
          <w:snapToGrid w:val="0"/>
        </w:rPr>
        <w:t>licence</w:t>
      </w:r>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 xml:space="preserve">1; 30 Jan 2004 p. 404 and 412.] </w:t>
      </w:r>
    </w:p>
    <w:p>
      <w:pPr>
        <w:pStyle w:val="Heading5"/>
        <w:rPr>
          <w:snapToGrid w:val="0"/>
        </w:rPr>
      </w:pPr>
      <w:bookmarkStart w:id="105" w:name="_Toc495993577"/>
      <w:bookmarkStart w:id="106" w:name="_Toc511525053"/>
      <w:bookmarkStart w:id="107" w:name="_Toc27803417"/>
      <w:bookmarkStart w:id="108" w:name="_Toc133903522"/>
      <w:bookmarkStart w:id="109" w:name="_Toc141173782"/>
      <w:r>
        <w:rPr>
          <w:rStyle w:val="CharSectno"/>
        </w:rPr>
        <w:t>29</w:t>
      </w:r>
      <w:r>
        <w:rPr>
          <w:snapToGrid w:val="0"/>
        </w:rPr>
        <w:t>.</w:t>
      </w:r>
      <w:r>
        <w:rPr>
          <w:snapToGrid w:val="0"/>
        </w:rPr>
        <w:tab/>
        <w:t xml:space="preserve">Production of a </w:t>
      </w:r>
      <w:bookmarkEnd w:id="105"/>
      <w:r>
        <w:rPr>
          <w:snapToGrid w:val="0"/>
        </w:rPr>
        <w:t>licence</w:t>
      </w:r>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 xml:space="preserve">[Regulation 29 amended in Gazette 24 Jun 1988 p. 2004; 10 Jul 1992 p. 3286 and 3289; 20 Sep 2002 p. 4701; 30 Jan 2004 p. 405 and 412.] </w:t>
      </w:r>
    </w:p>
    <w:p>
      <w:pPr>
        <w:pStyle w:val="Heading5"/>
        <w:rPr>
          <w:snapToGrid w:val="0"/>
        </w:rPr>
      </w:pPr>
      <w:bookmarkStart w:id="110" w:name="_Toc495993578"/>
      <w:bookmarkStart w:id="111" w:name="_Toc511525054"/>
      <w:bookmarkStart w:id="112" w:name="_Toc27803418"/>
      <w:bookmarkStart w:id="113" w:name="_Toc133903523"/>
      <w:bookmarkStart w:id="114" w:name="_Toc141173783"/>
      <w:r>
        <w:rPr>
          <w:rStyle w:val="CharSectno"/>
        </w:rPr>
        <w:t>30</w:t>
      </w:r>
      <w:r>
        <w:rPr>
          <w:snapToGrid w:val="0"/>
        </w:rPr>
        <w:t>.</w:t>
      </w:r>
      <w:r>
        <w:rPr>
          <w:snapToGrid w:val="0"/>
        </w:rPr>
        <w:tab/>
        <w:t>Advertising</w:t>
      </w:r>
      <w:bookmarkEnd w:id="110"/>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 xml:space="preserve">[Regulation 30 inserted in Gazette 12 Aug 1983 p. 2918; amended in Gazette 10 Jul 1992 p. 3289; 13 Oct 2000 p. 5726; 20 Sep 2002 p. 4701.] </w:t>
      </w:r>
    </w:p>
    <w:p>
      <w:pPr>
        <w:pStyle w:val="Ednotesection"/>
      </w:pPr>
      <w:r>
        <w:t>[</w:t>
      </w:r>
      <w:r>
        <w:rPr>
          <w:b/>
        </w:rPr>
        <w:t>31</w:t>
      </w:r>
      <w:r>
        <w:rPr>
          <w:b/>
        </w:rPr>
        <w:noBreakHyphen/>
        <w:t>35.</w:t>
      </w:r>
      <w:r>
        <w:tab/>
        <w:t xml:space="preserve">Repealed in Gazette 10 Jul 1992 p. 3289.] </w:t>
      </w:r>
    </w:p>
    <w:p>
      <w:pPr>
        <w:pStyle w:val="Heading5"/>
        <w:rPr>
          <w:snapToGrid w:val="0"/>
        </w:rPr>
      </w:pPr>
      <w:bookmarkStart w:id="115" w:name="_Toc495993579"/>
      <w:bookmarkStart w:id="116" w:name="_Toc511525055"/>
      <w:bookmarkStart w:id="117" w:name="_Toc27803419"/>
      <w:bookmarkStart w:id="118" w:name="_Toc133903524"/>
      <w:bookmarkStart w:id="119" w:name="_Toc141173784"/>
      <w:r>
        <w:rPr>
          <w:rStyle w:val="CharSectno"/>
        </w:rPr>
        <w:t>36</w:t>
      </w:r>
      <w:r>
        <w:rPr>
          <w:snapToGrid w:val="0"/>
        </w:rPr>
        <w:t>.</w:t>
      </w:r>
      <w:r>
        <w:rPr>
          <w:snapToGrid w:val="0"/>
        </w:rPr>
        <w:tab/>
        <w:t>Betting tickets</w:t>
      </w:r>
      <w:bookmarkEnd w:id="115"/>
      <w:bookmarkEnd w:id="116"/>
      <w:bookmarkEnd w:id="117"/>
      <w:bookmarkEnd w:id="118"/>
      <w:bookmarkEnd w:id="119"/>
      <w:r>
        <w:rPr>
          <w:snapToGrid w:val="0"/>
        </w:rPr>
        <w:t xml:space="preserve"> </w:t>
      </w:r>
    </w:p>
    <w:p>
      <w:pPr>
        <w:pStyle w:val="Subsection"/>
        <w:spacing w:before="140"/>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spacing w:before="140"/>
      </w:pPr>
      <w:r>
        <w:tab/>
        <w:t>[(2)</w:t>
      </w:r>
      <w:r>
        <w:tab/>
        <w:t>repealed]</w:t>
      </w:r>
    </w:p>
    <w:p>
      <w:pPr>
        <w:pStyle w:val="Subsection"/>
        <w:spacing w:before="140"/>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spacing w:before="140"/>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spacing w:before="140"/>
        <w:rPr>
          <w:snapToGrid w:val="0"/>
        </w:rPr>
      </w:pPr>
      <w:r>
        <w:rPr>
          <w:snapToGrid w:val="0"/>
        </w:rPr>
        <w:tab/>
        <w:t>(5)</w:t>
      </w:r>
      <w:r>
        <w:rPr>
          <w:snapToGrid w:val="0"/>
        </w:rPr>
        <w:tab/>
        <w:t>Betting tickets shall — </w:t>
      </w:r>
    </w:p>
    <w:p>
      <w:pPr>
        <w:pStyle w:val="Indenta"/>
        <w:rPr>
          <w:snapToGrid w:val="0"/>
        </w:rPr>
      </w:pPr>
      <w:r>
        <w:rPr>
          <w:snapToGrid w:val="0"/>
        </w:rPr>
        <w:tab/>
        <w:t>(a)</w:t>
      </w:r>
      <w:r>
        <w:rPr>
          <w:snapToGrid w:val="0"/>
        </w:rPr>
        <w:tab/>
        <w:t>bear consecutive numbers, and be issued in consecutive order;</w:t>
      </w:r>
    </w:p>
    <w:p>
      <w:pPr>
        <w:pStyle w:val="Indenta"/>
        <w:rPr>
          <w:snapToGrid w:val="0"/>
        </w:rPr>
      </w:pPr>
      <w:r>
        <w:rPr>
          <w:snapToGrid w:val="0"/>
        </w:rPr>
        <w:tab/>
        <w:t>(b)</w:t>
      </w:r>
      <w:r>
        <w:rPr>
          <w:snapToGrid w:val="0"/>
        </w:rPr>
        <w:tab/>
        <w:t>be provided for the use of a bookmaker —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 xml:space="preserve">if the record of betting is to be made using a computer, by that bookmaker in a form, size and colour approved by the Commission;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rPr>
          <w:snapToGrid w:val="0"/>
        </w:rPr>
      </w:pPr>
      <w:r>
        <w:rPr>
          <w:snapToGrid w:val="0"/>
        </w:rPr>
        <w:tab/>
        <w:t>(6)</w:t>
      </w:r>
      <w:r>
        <w:rPr>
          <w:snapToGrid w:val="0"/>
        </w:rPr>
        <w:tab/>
        <w:t>A bookmaker who —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 xml:space="preserve">This regulation applies to a partnership that is a bookmaker as if the partnership were a person, but it applies with the following changes —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 xml:space="preserve">2; 30 Jan 2004 p. 412.] </w:t>
      </w:r>
    </w:p>
    <w:p>
      <w:pPr>
        <w:pStyle w:val="Heading5"/>
        <w:rPr>
          <w:snapToGrid w:val="0"/>
        </w:rPr>
      </w:pPr>
      <w:bookmarkStart w:id="120" w:name="_Toc495993580"/>
      <w:bookmarkStart w:id="121" w:name="_Toc511525056"/>
      <w:bookmarkStart w:id="122" w:name="_Toc27803420"/>
      <w:bookmarkStart w:id="123" w:name="_Toc133903525"/>
      <w:bookmarkStart w:id="124" w:name="_Toc141173785"/>
      <w:r>
        <w:rPr>
          <w:rStyle w:val="CharSectno"/>
        </w:rPr>
        <w:t>37</w:t>
      </w:r>
      <w:r>
        <w:rPr>
          <w:snapToGrid w:val="0"/>
        </w:rPr>
        <w:t>.</w:t>
      </w:r>
      <w:r>
        <w:rPr>
          <w:snapToGrid w:val="0"/>
        </w:rPr>
        <w:tab/>
        <w:t>The written record</w:t>
      </w:r>
      <w:bookmarkEnd w:id="120"/>
      <w:r>
        <w:rPr>
          <w:snapToGrid w:val="0"/>
        </w:rPr>
        <w:t xml:space="preserve"> of betting transactions</w:t>
      </w:r>
      <w:bookmarkEnd w:id="121"/>
      <w:bookmarkEnd w:id="122"/>
      <w:bookmarkEnd w:id="123"/>
      <w:bookmarkEnd w:id="124"/>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 </w:t>
      </w:r>
    </w:p>
    <w:p>
      <w:pPr>
        <w:pStyle w:val="Indenta"/>
        <w:rPr>
          <w:snapToGrid w:val="0"/>
        </w:rPr>
      </w:pPr>
      <w:r>
        <w:rPr>
          <w:snapToGrid w:val="0"/>
        </w:rPr>
        <w:tab/>
        <w:t>(a)</w:t>
      </w:r>
      <w:r>
        <w:rPr>
          <w:snapToGrid w:val="0"/>
        </w:rPr>
        <w:tab/>
        <w:t>the name of the bookmaker;</w:t>
      </w:r>
    </w:p>
    <w:p>
      <w:pPr>
        <w:pStyle w:val="Indenta"/>
        <w:rPr>
          <w:snapToGrid w:val="0"/>
        </w:rPr>
      </w:pPr>
      <w:r>
        <w:rPr>
          <w:snapToGrid w:val="0"/>
        </w:rPr>
        <w:tab/>
        <w:t>(b)</w:t>
      </w:r>
      <w:r>
        <w:rPr>
          <w:snapToGrid w:val="0"/>
        </w:rPr>
        <w:tab/>
        <w:t>the name of the racecourse;</w:t>
      </w:r>
    </w:p>
    <w:p>
      <w:pPr>
        <w:pStyle w:val="Indenta"/>
        <w:rPr>
          <w:snapToGrid w:val="0"/>
        </w:rPr>
      </w:pPr>
      <w:r>
        <w:rPr>
          <w:snapToGrid w:val="0"/>
        </w:rPr>
        <w:tab/>
        <w:t>(c)</w:t>
      </w:r>
      <w:r>
        <w:rPr>
          <w:snapToGrid w:val="0"/>
        </w:rPr>
        <w:tab/>
        <w:t>the date of the meeting;</w:t>
      </w:r>
    </w:p>
    <w:p>
      <w:pPr>
        <w:pStyle w:val="Indenta"/>
        <w:rPr>
          <w:snapToGrid w:val="0"/>
        </w:rPr>
      </w:pPr>
      <w:r>
        <w:rPr>
          <w:snapToGrid w:val="0"/>
        </w:rPr>
        <w:tab/>
        <w:t>(d)</w:t>
      </w:r>
      <w:r>
        <w:rPr>
          <w:snapToGrid w:val="0"/>
        </w:rPr>
        <w:tab/>
        <w:t>where appropriate, the race number;</w:t>
      </w:r>
    </w:p>
    <w:p>
      <w:pPr>
        <w:pStyle w:val="Indenta"/>
        <w:rPr>
          <w:snapToGrid w:val="0"/>
        </w:rPr>
      </w:pPr>
      <w:r>
        <w:rPr>
          <w:snapToGrid w:val="0"/>
        </w:rPr>
        <w:tab/>
        <w:t>(e)</w:t>
      </w:r>
      <w:r>
        <w:rPr>
          <w:snapToGrid w:val="0"/>
        </w:rPr>
        <w:tab/>
        <w:t>the number of the betting ticket;</w:t>
      </w:r>
    </w:p>
    <w:p>
      <w:pPr>
        <w:pStyle w:val="Indenta"/>
        <w:rPr>
          <w:snapToGrid w:val="0"/>
        </w:rPr>
      </w:pPr>
      <w:r>
        <w:rPr>
          <w:snapToGrid w:val="0"/>
        </w:rPr>
        <w:tab/>
        <w:t>(f)</w:t>
      </w:r>
      <w:r>
        <w:rPr>
          <w:snapToGrid w:val="0"/>
        </w:rPr>
        <w:tab/>
        <w:t>the name of the runner, or the nature of the event or contingency, on which the bet is made;</w:t>
      </w:r>
    </w:p>
    <w:p>
      <w:pPr>
        <w:pStyle w:val="Indenta"/>
        <w:rPr>
          <w:snapToGrid w:val="0"/>
        </w:rPr>
      </w:pPr>
      <w:r>
        <w:rPr>
          <w:snapToGrid w:val="0"/>
        </w:rPr>
        <w:tab/>
        <w:t>(g)</w:t>
      </w:r>
      <w:r>
        <w:rPr>
          <w:snapToGrid w:val="0"/>
        </w:rPr>
        <w:tab/>
        <w:t>the kind of bet made, in sufficient detail to identify the bet;</w:t>
      </w:r>
    </w:p>
    <w:p>
      <w:pPr>
        <w:pStyle w:val="Indenta"/>
        <w:rPr>
          <w:snapToGrid w:val="0"/>
        </w:rPr>
      </w:pPr>
      <w:r>
        <w:rPr>
          <w:snapToGrid w:val="0"/>
        </w:rPr>
        <w:tab/>
        <w:t>(h)</w:t>
      </w:r>
      <w:r>
        <w:rPr>
          <w:snapToGrid w:val="0"/>
        </w:rPr>
        <w:tab/>
        <w:t>the amount of the bet and the odds at which it was made;</w:t>
      </w:r>
    </w:p>
    <w:p>
      <w:pPr>
        <w:pStyle w:val="Indenta"/>
        <w:rPr>
          <w:snapToGrid w:val="0"/>
        </w:rPr>
      </w:pPr>
      <w:r>
        <w:rPr>
          <w:snapToGrid w:val="0"/>
        </w:rPr>
        <w:tab/>
        <w:t>(j)</w:t>
      </w:r>
      <w:r>
        <w:rPr>
          <w:snapToGrid w:val="0"/>
        </w:rPr>
        <w:tab/>
        <w:t>where the bet is not made for cash, the name of the person with whom the bet is made;</w:t>
      </w:r>
    </w:p>
    <w:p>
      <w:pPr>
        <w:pStyle w:val="Indenta"/>
        <w:rPr>
          <w:snapToGrid w:val="0"/>
        </w:rPr>
      </w:pPr>
      <w:r>
        <w:rPr>
          <w:snapToGrid w:val="0"/>
        </w:rPr>
        <w:tab/>
        <w:t>(k)</w:t>
      </w:r>
      <w:r>
        <w:rPr>
          <w:snapToGrid w:val="0"/>
        </w:rPr>
        <w:tab/>
        <w:t>where the bet is on a sporting event, such other particulars as are specified in an approval under section 4B approving the conduct of betting; and</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keepNext/>
        <w:rPr>
          <w:snapToGrid w:val="0"/>
        </w:rPr>
      </w:pPr>
      <w:r>
        <w:rPr>
          <w:snapToGrid w:val="0"/>
        </w:rPr>
        <w:tab/>
        <w:t>(2)</w:t>
      </w:r>
      <w:r>
        <w:rPr>
          <w:snapToGrid w:val="0"/>
        </w:rPr>
        <w:tab/>
        <w:t>The details of the amount of the bet may be shown in either of the following ways —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 </w:t>
      </w:r>
    </w:p>
    <w:p>
      <w:pPr>
        <w:pStyle w:val="Indenta"/>
        <w:rPr>
          <w:snapToGrid w:val="0"/>
        </w:rPr>
      </w:pPr>
      <w:r>
        <w:rPr>
          <w:snapToGrid w:val="0"/>
        </w:rPr>
        <w:tab/>
        <w:t>(a)</w:t>
      </w:r>
      <w:r>
        <w:rPr>
          <w:snapToGrid w:val="0"/>
        </w:rPr>
        <w:tab/>
        <w:t>be made using a book of forms provided by the Commission; and</w:t>
      </w:r>
    </w:p>
    <w:p>
      <w:pPr>
        <w:pStyle w:val="Indenta"/>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 </w:t>
      </w:r>
    </w:p>
    <w:p>
      <w:pPr>
        <w:pStyle w:val="Indenta"/>
        <w:rPr>
          <w:snapToGrid w:val="0"/>
        </w:rPr>
      </w:pPr>
      <w:r>
        <w:rPr>
          <w:snapToGrid w:val="0"/>
        </w:rPr>
        <w:tab/>
        <w:t>(a)</w:t>
      </w:r>
      <w:r>
        <w:rPr>
          <w:snapToGrid w:val="0"/>
        </w:rPr>
        <w:tab/>
        <w:t>to facilitate the recording of bets;</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 </w:t>
      </w:r>
    </w:p>
    <w:p>
      <w:pPr>
        <w:pStyle w:val="Indenta"/>
        <w:rPr>
          <w:snapToGrid w:val="0"/>
        </w:rPr>
      </w:pPr>
      <w:r>
        <w:rPr>
          <w:snapToGrid w:val="0"/>
        </w:rPr>
        <w:tab/>
        <w:t>(a)</w:t>
      </w:r>
      <w:r>
        <w:rPr>
          <w:snapToGrid w:val="0"/>
        </w:rPr>
        <w:tab/>
        <w:t>such conditions as to — </w:t>
      </w:r>
    </w:p>
    <w:p>
      <w:pPr>
        <w:pStyle w:val="Indenti"/>
        <w:rPr>
          <w:snapToGrid w:val="0"/>
        </w:rPr>
      </w:pPr>
      <w:r>
        <w:rPr>
          <w:snapToGrid w:val="0"/>
        </w:rPr>
        <w:tab/>
        <w:t>(i)</w:t>
      </w:r>
      <w:r>
        <w:rPr>
          <w:snapToGrid w:val="0"/>
        </w:rPr>
        <w:tab/>
        <w:t>the use of;</w:t>
      </w:r>
    </w:p>
    <w:p>
      <w:pPr>
        <w:pStyle w:val="Indenti"/>
        <w:rPr>
          <w:snapToGrid w:val="0"/>
        </w:rPr>
      </w:pPr>
      <w:r>
        <w:rPr>
          <w:snapToGrid w:val="0"/>
        </w:rPr>
        <w:tab/>
        <w:t>(ii)</w:t>
      </w:r>
      <w:r>
        <w:rPr>
          <w:snapToGrid w:val="0"/>
        </w:rPr>
        <w:tab/>
        <w:t>the time or circumstances of the use of;</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keepNext/>
        <w:rPr>
          <w:snapToGrid w:val="0"/>
        </w:rPr>
      </w:pPr>
      <w:r>
        <w:rPr>
          <w:snapToGrid w:val="0"/>
        </w:rPr>
        <w:tab/>
      </w:r>
      <w:r>
        <w:rPr>
          <w:snapToGrid w:val="0"/>
        </w:rPr>
        <w:tab/>
        <w:t>that computer as the Commission specifies in that approval may be imposed; and</w:t>
      </w:r>
    </w:p>
    <w:p>
      <w:pPr>
        <w:pStyle w:val="Indenta"/>
        <w:rPr>
          <w:snapToGrid w:val="0"/>
        </w:rPr>
      </w:pPr>
      <w:r>
        <w:rPr>
          <w:snapToGrid w:val="0"/>
        </w:rPr>
        <w:tab/>
        <w:t>(b)</w:t>
      </w:r>
      <w:r>
        <w:rPr>
          <w:snapToGrid w:val="0"/>
        </w:rPr>
        <w:tab/>
        <w:t>the Commission, at any time by notice in writing given to the bookmaker, may — </w:t>
      </w:r>
    </w:p>
    <w:p>
      <w:pPr>
        <w:pStyle w:val="Indenti"/>
        <w:rPr>
          <w:snapToGrid w:val="0"/>
        </w:rPr>
      </w:pPr>
      <w:r>
        <w:rPr>
          <w:snapToGrid w:val="0"/>
        </w:rPr>
        <w:tab/>
        <w:t>(i)</w:t>
      </w:r>
      <w:r>
        <w:rPr>
          <w:snapToGrid w:val="0"/>
        </w:rPr>
        <w:tab/>
        <w:t>cancel or vary a condition imposed; or</w:t>
      </w:r>
    </w:p>
    <w:p>
      <w:pPr>
        <w:pStyle w:val="Indenti"/>
        <w:rPr>
          <w:snapToGrid w:val="0"/>
        </w:rPr>
      </w:pPr>
      <w:r>
        <w:rPr>
          <w:snapToGrid w:val="0"/>
        </w:rPr>
        <w:tab/>
        <w:t>(ii)</w:t>
      </w:r>
      <w:r>
        <w:rPr>
          <w:snapToGrid w:val="0"/>
        </w:rPr>
        <w:tab/>
        <w:t>withdraw the approval.</w:t>
      </w:r>
    </w:p>
    <w:p>
      <w:pPr>
        <w:pStyle w:val="Footnotesection"/>
      </w:pPr>
      <w:r>
        <w:tab/>
        <w:t>[Regulation 37 inserted in Gazette 14 Feb 1992 p. 860</w:t>
      </w:r>
      <w:r>
        <w:noBreakHyphen/>
        <w:t xml:space="preserve">1; amended in Gazette 25 Jun 1996 p. 2977; 21 Jul 1998 p. 3853 and 3855; 2 Oct 2001 p. 5455; 30 Jan 2004 p. 412.] </w:t>
      </w:r>
    </w:p>
    <w:p>
      <w:pPr>
        <w:pStyle w:val="Heading5"/>
        <w:rPr>
          <w:snapToGrid w:val="0"/>
        </w:rPr>
      </w:pPr>
      <w:bookmarkStart w:id="125" w:name="_Toc495993581"/>
      <w:bookmarkStart w:id="126" w:name="_Toc511525057"/>
      <w:bookmarkStart w:id="127" w:name="_Toc27803421"/>
      <w:bookmarkStart w:id="128" w:name="_Toc133903526"/>
      <w:bookmarkStart w:id="129" w:name="_Toc141173786"/>
      <w:r>
        <w:rPr>
          <w:rStyle w:val="CharSectno"/>
        </w:rPr>
        <w:t>38</w:t>
      </w:r>
      <w:r>
        <w:rPr>
          <w:snapToGrid w:val="0"/>
        </w:rPr>
        <w:t>.</w:t>
      </w:r>
      <w:r>
        <w:rPr>
          <w:snapToGrid w:val="0"/>
        </w:rPr>
        <w:tab/>
        <w:t>Supply of books</w:t>
      </w:r>
      <w:bookmarkEnd w:id="125"/>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pPr>
      <w:r>
        <w:tab/>
        <w:t xml:space="preserve">[Regulation 38 amended in Gazette 10 Jul 1992 p. 3290; 25 Jun 1996 p. 2977; 30 Jan 2004 p. 412.] </w:t>
      </w:r>
    </w:p>
    <w:p>
      <w:pPr>
        <w:pStyle w:val="Heading5"/>
        <w:rPr>
          <w:snapToGrid w:val="0"/>
        </w:rPr>
      </w:pPr>
      <w:bookmarkStart w:id="130" w:name="_Toc495993582"/>
      <w:bookmarkStart w:id="131" w:name="_Toc511525058"/>
      <w:bookmarkStart w:id="132" w:name="_Toc27803422"/>
      <w:bookmarkStart w:id="133" w:name="_Toc133903527"/>
      <w:bookmarkStart w:id="134" w:name="_Toc141173787"/>
      <w:r>
        <w:rPr>
          <w:rStyle w:val="CharSectno"/>
        </w:rPr>
        <w:t>39</w:t>
      </w:r>
      <w:r>
        <w:rPr>
          <w:snapToGrid w:val="0"/>
        </w:rPr>
        <w:t>.</w:t>
      </w:r>
      <w:r>
        <w:rPr>
          <w:snapToGrid w:val="0"/>
        </w:rPr>
        <w:tab/>
        <w:t>Loss of books etc.</w:t>
      </w:r>
      <w:bookmarkEnd w:id="130"/>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pPr>
      <w:r>
        <w:tab/>
        <w:t xml:space="preserve">[Regulation 39 amended in Gazette 14 Feb 1992 p. 861; 25 Jun 1996 p. 2977; 30 Jan 2004 p. 412.] </w:t>
      </w:r>
    </w:p>
    <w:p>
      <w:pPr>
        <w:pStyle w:val="Ednotesection"/>
      </w:pPr>
      <w:r>
        <w:t>[</w:t>
      </w:r>
      <w:r>
        <w:rPr>
          <w:b/>
        </w:rPr>
        <w:t>40</w:t>
      </w:r>
      <w:r>
        <w:rPr>
          <w:b/>
        </w:rPr>
        <w:noBreakHyphen/>
        <w:t>42.</w:t>
      </w:r>
      <w:r>
        <w:tab/>
        <w:t xml:space="preserve">Repealed in Gazette 10 Jul 1992 p. 3290.] </w:t>
      </w:r>
    </w:p>
    <w:p>
      <w:pPr>
        <w:pStyle w:val="Heading5"/>
        <w:rPr>
          <w:snapToGrid w:val="0"/>
        </w:rPr>
      </w:pPr>
      <w:bookmarkStart w:id="135" w:name="_Toc495993583"/>
      <w:bookmarkStart w:id="136" w:name="_Toc511525059"/>
      <w:bookmarkStart w:id="137" w:name="_Toc27803423"/>
      <w:bookmarkStart w:id="138" w:name="_Toc133903528"/>
      <w:bookmarkStart w:id="139" w:name="_Toc141173788"/>
      <w:r>
        <w:rPr>
          <w:rStyle w:val="CharSectno"/>
        </w:rPr>
        <w:t>43</w:t>
      </w:r>
      <w:r>
        <w:rPr>
          <w:snapToGrid w:val="0"/>
        </w:rPr>
        <w:t>.</w:t>
      </w:r>
      <w:r>
        <w:rPr>
          <w:snapToGrid w:val="0"/>
        </w:rPr>
        <w:tab/>
        <w:t>Betting material</w:t>
      </w:r>
      <w:bookmarkEnd w:id="135"/>
      <w:bookmarkEnd w:id="136"/>
      <w:bookmarkEnd w:id="137"/>
      <w:bookmarkEnd w:id="138"/>
      <w:bookmarkEnd w:id="139"/>
      <w:r>
        <w:rPr>
          <w:snapToGrid w:val="0"/>
        </w:rPr>
        <w:t xml:space="preserve"> </w:t>
      </w:r>
    </w:p>
    <w:p>
      <w:pPr>
        <w:pStyle w:val="Ednotesubsection"/>
        <w:spacing w:before="140"/>
      </w:pPr>
      <w:r>
        <w:tab/>
        <w:t>[(1)</w:t>
      </w:r>
      <w:r>
        <w:tab/>
        <w:t>repealed]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 xml:space="preserve">[Regulation 43 amended in Gazette 10 Jul 1992 p. 3290; 20 Sep 2002 p. 4702; 30 Jan 2004 p. 412.] </w:t>
      </w:r>
    </w:p>
    <w:p>
      <w:pPr>
        <w:pStyle w:val="Ednotesection"/>
      </w:pPr>
      <w:r>
        <w:t>[</w:t>
      </w:r>
      <w:r>
        <w:rPr>
          <w:b/>
        </w:rPr>
        <w:t>44</w:t>
      </w:r>
      <w:r>
        <w:rPr>
          <w:b/>
        </w:rPr>
        <w:noBreakHyphen/>
        <w:t>47.</w:t>
      </w:r>
      <w:r>
        <w:tab/>
        <w:t xml:space="preserve">Repealed in Gazette 10 Jul 1992 p. 3290.] </w:t>
      </w:r>
    </w:p>
    <w:p>
      <w:pPr>
        <w:pStyle w:val="Heading5"/>
        <w:rPr>
          <w:snapToGrid w:val="0"/>
        </w:rPr>
      </w:pPr>
      <w:bookmarkStart w:id="140" w:name="_Toc495993584"/>
      <w:bookmarkStart w:id="141" w:name="_Toc511525060"/>
      <w:bookmarkStart w:id="142" w:name="_Toc27803424"/>
      <w:bookmarkStart w:id="143" w:name="_Toc133903529"/>
      <w:bookmarkStart w:id="144" w:name="_Toc141173789"/>
      <w:r>
        <w:rPr>
          <w:rStyle w:val="CharSectno"/>
        </w:rPr>
        <w:t>48</w:t>
      </w:r>
      <w:r>
        <w:rPr>
          <w:snapToGrid w:val="0"/>
        </w:rPr>
        <w:t>.</w:t>
      </w:r>
      <w:r>
        <w:rPr>
          <w:snapToGrid w:val="0"/>
        </w:rPr>
        <w:tab/>
        <w:t>Rules of Betting</w:t>
      </w:r>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pPr>
      <w:r>
        <w:tab/>
        <w:t>[Regulation 48 amended in Gazette 30 Jan 2004 p. 405.]</w:t>
      </w:r>
    </w:p>
    <w:p>
      <w:pPr>
        <w:pStyle w:val="Heading5"/>
      </w:pPr>
      <w:bookmarkStart w:id="145" w:name="_Toc133903530"/>
      <w:bookmarkStart w:id="146" w:name="_Toc141173790"/>
      <w:bookmarkStart w:id="147" w:name="_Toc495993585"/>
      <w:bookmarkStart w:id="148" w:name="_Toc511525061"/>
      <w:bookmarkStart w:id="149" w:name="_Toc27803425"/>
      <w:r>
        <w:rPr>
          <w:rStyle w:val="CharSectno"/>
        </w:rPr>
        <w:t>48A</w:t>
      </w:r>
      <w:r>
        <w:t>.</w:t>
      </w:r>
      <w:r>
        <w:tab/>
        <w:t>Minimum bet obligations</w:t>
      </w:r>
      <w:bookmarkEnd w:id="145"/>
      <w:bookmarkEnd w:id="146"/>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150" w:name="_Toc133903531"/>
      <w:bookmarkStart w:id="151" w:name="_Toc141173791"/>
      <w:r>
        <w:rPr>
          <w:rStyle w:val="CharSectno"/>
        </w:rPr>
        <w:t>49</w:t>
      </w:r>
      <w:r>
        <w:t>.</w:t>
      </w:r>
      <w:r>
        <w:tab/>
        <w:t>Bets on more than one result</w:t>
      </w:r>
      <w:bookmarkEnd w:id="147"/>
      <w:bookmarkEnd w:id="148"/>
      <w:bookmarkEnd w:id="149"/>
      <w:bookmarkEnd w:id="150"/>
      <w:bookmarkEnd w:id="151"/>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152" w:name="_Toc495993586"/>
      <w:bookmarkStart w:id="153" w:name="_Toc511525062"/>
      <w:bookmarkStart w:id="154" w:name="_Toc27803426"/>
      <w:bookmarkStart w:id="155" w:name="_Toc133903532"/>
      <w:bookmarkStart w:id="156" w:name="_Toc141173792"/>
      <w:r>
        <w:rPr>
          <w:rStyle w:val="CharSectno"/>
        </w:rPr>
        <w:t>50</w:t>
      </w:r>
      <w:r>
        <w:t>.</w:t>
      </w:r>
      <w:r>
        <w:tab/>
        <w:t>Permitted bets</w:t>
      </w:r>
      <w:bookmarkEnd w:id="152"/>
      <w:bookmarkEnd w:id="153"/>
      <w:bookmarkEnd w:id="154"/>
      <w:bookmarkEnd w:id="155"/>
      <w:bookmarkEnd w:id="156"/>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157" w:name="_Toc495993587"/>
      <w:bookmarkStart w:id="158" w:name="_Toc511525063"/>
      <w:bookmarkStart w:id="159" w:name="_Toc27803427"/>
      <w:bookmarkStart w:id="160" w:name="_Toc133903533"/>
      <w:bookmarkStart w:id="161" w:name="_Toc141173793"/>
      <w:r>
        <w:rPr>
          <w:rStyle w:val="CharSectno"/>
        </w:rPr>
        <w:t>51</w:t>
      </w:r>
      <w:r>
        <w:rPr>
          <w:snapToGrid w:val="0"/>
        </w:rPr>
        <w:t>.</w:t>
      </w:r>
      <w:r>
        <w:rPr>
          <w:snapToGrid w:val="0"/>
        </w:rPr>
        <w:tab/>
        <w:t>Place betting</w:t>
      </w:r>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w:t>
      </w:r>
    </w:p>
    <w:p>
      <w:pPr>
        <w:pStyle w:val="Indenta"/>
        <w:rPr>
          <w:snapToGrid w:val="0"/>
        </w:rPr>
      </w:pPr>
      <w:r>
        <w:rPr>
          <w:snapToGrid w:val="0"/>
        </w:rPr>
        <w:tab/>
        <w:t>(b)</w:t>
      </w:r>
      <w:r>
        <w:rPr>
          <w:snapToGrid w:val="0"/>
        </w:rPr>
        <w:tab/>
        <w:t>in the context of a sporting event an approval under section 4B provides otherwise; or</w:t>
      </w:r>
    </w:p>
    <w:p>
      <w:pPr>
        <w:pStyle w:val="Indenta"/>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repealed]</w:t>
      </w:r>
    </w:p>
    <w:p>
      <w:pPr>
        <w:pStyle w:val="Subsection"/>
        <w:spacing w:before="200"/>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 xml:space="preserve">[Regulation 51 amended in Gazette 24 Jun 1988 p. 2005; 14 Sep 1990 p. 4863; 10 Jul 1992 p. 3291; 21 Jul 1998 p. 3854 and 3855; 20 Sep 2002 p. 4702.] </w:t>
      </w:r>
    </w:p>
    <w:p>
      <w:pPr>
        <w:pStyle w:val="Heading5"/>
        <w:spacing w:before="260"/>
        <w:rPr>
          <w:snapToGrid w:val="0"/>
        </w:rPr>
      </w:pPr>
      <w:bookmarkStart w:id="162" w:name="_Toc495993588"/>
      <w:bookmarkStart w:id="163" w:name="_Toc511525064"/>
      <w:bookmarkStart w:id="164" w:name="_Toc27803428"/>
      <w:bookmarkStart w:id="165" w:name="_Toc133903534"/>
      <w:bookmarkStart w:id="166" w:name="_Toc141173794"/>
      <w:r>
        <w:rPr>
          <w:rStyle w:val="CharSectno"/>
        </w:rPr>
        <w:t>52</w:t>
      </w:r>
      <w:r>
        <w:rPr>
          <w:snapToGrid w:val="0"/>
        </w:rPr>
        <w:t>.</w:t>
      </w:r>
      <w:r>
        <w:rPr>
          <w:snapToGrid w:val="0"/>
        </w:rPr>
        <w:tab/>
        <w:t>Concession betting</w:t>
      </w:r>
      <w:bookmarkEnd w:id="162"/>
      <w:bookmarkEnd w:id="163"/>
      <w:bookmarkEnd w:id="164"/>
      <w:bookmarkEnd w:id="165"/>
      <w:bookmarkEnd w:id="166"/>
      <w:r>
        <w:rPr>
          <w:snapToGrid w:val="0"/>
        </w:rPr>
        <w:t xml:space="preserve"> </w:t>
      </w:r>
    </w:p>
    <w:p>
      <w:pPr>
        <w:pStyle w:val="Subsection"/>
        <w:spacing w:before="20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 xml:space="preserve">[Regulation 52 amended in Gazette 24 Jun 1988 p. 2005; 10 Jul 1992 p. 3291.] </w:t>
      </w:r>
    </w:p>
    <w:p>
      <w:pPr>
        <w:pStyle w:val="Heading5"/>
        <w:spacing w:before="260"/>
        <w:rPr>
          <w:snapToGrid w:val="0"/>
        </w:rPr>
      </w:pPr>
      <w:bookmarkStart w:id="167" w:name="_Toc495993589"/>
      <w:bookmarkStart w:id="168" w:name="_Toc511525065"/>
      <w:bookmarkStart w:id="169" w:name="_Toc27803429"/>
      <w:bookmarkStart w:id="170" w:name="_Toc133903535"/>
      <w:bookmarkStart w:id="171" w:name="_Toc141173795"/>
      <w:r>
        <w:rPr>
          <w:snapToGrid w:val="0"/>
        </w:rPr>
        <w:t>53.</w:t>
      </w:r>
      <w:r>
        <w:rPr>
          <w:snapToGrid w:val="0"/>
        </w:rPr>
        <w:tab/>
        <w:t>Doubles other than multiple doubles</w:t>
      </w:r>
      <w:bookmarkEnd w:id="167"/>
      <w:bookmarkEnd w:id="168"/>
      <w:bookmarkEnd w:id="169"/>
      <w:bookmarkEnd w:id="170"/>
      <w:bookmarkEnd w:id="171"/>
      <w:r>
        <w:rPr>
          <w:snapToGrid w:val="0"/>
        </w:rPr>
        <w:t xml:space="preserve"> </w:t>
      </w:r>
    </w:p>
    <w:p>
      <w:pPr>
        <w:pStyle w:val="Subsection"/>
        <w:spacing w:before="20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 xml:space="preserve">[Regulation 53 amended in Gazette 24 Jun 1988 p. 2005; 30 Jan 2004 p. 412.] </w:t>
      </w:r>
    </w:p>
    <w:p>
      <w:pPr>
        <w:pStyle w:val="Heading5"/>
        <w:spacing w:before="260"/>
        <w:rPr>
          <w:snapToGrid w:val="0"/>
        </w:rPr>
      </w:pPr>
      <w:bookmarkStart w:id="172" w:name="_Toc495993590"/>
      <w:bookmarkStart w:id="173" w:name="_Toc511525066"/>
      <w:bookmarkStart w:id="174" w:name="_Toc27803430"/>
      <w:bookmarkStart w:id="175" w:name="_Toc133903536"/>
      <w:bookmarkStart w:id="176" w:name="_Toc141173796"/>
      <w:r>
        <w:rPr>
          <w:snapToGrid w:val="0"/>
        </w:rPr>
        <w:t>54.</w:t>
      </w:r>
      <w:r>
        <w:rPr>
          <w:snapToGrid w:val="0"/>
        </w:rPr>
        <w:tab/>
        <w:t>Trebles</w:t>
      </w:r>
      <w:bookmarkEnd w:id="172"/>
      <w:bookmarkEnd w:id="173"/>
      <w:bookmarkEnd w:id="174"/>
      <w:bookmarkEnd w:id="175"/>
      <w:bookmarkEnd w:id="176"/>
      <w:r>
        <w:rPr>
          <w:snapToGrid w:val="0"/>
        </w:rPr>
        <w:t xml:space="preserve"> </w:t>
      </w:r>
    </w:p>
    <w:p>
      <w:pPr>
        <w:pStyle w:val="Subsection"/>
        <w:spacing w:before="20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 xml:space="preserve">[Regulation 54 amended in Gazette 24 Jun 1988 p. 2005; 30 Jan 2004 p. 412.] </w:t>
      </w:r>
    </w:p>
    <w:p>
      <w:pPr>
        <w:pStyle w:val="Heading5"/>
        <w:spacing w:before="260"/>
        <w:rPr>
          <w:snapToGrid w:val="0"/>
        </w:rPr>
      </w:pPr>
      <w:bookmarkStart w:id="177" w:name="_Toc495993591"/>
      <w:bookmarkStart w:id="178" w:name="_Toc511525067"/>
      <w:bookmarkStart w:id="179" w:name="_Toc27803431"/>
      <w:bookmarkStart w:id="180" w:name="_Toc133903537"/>
      <w:bookmarkStart w:id="181" w:name="_Toc141173797"/>
      <w:r>
        <w:rPr>
          <w:rStyle w:val="CharSectno"/>
        </w:rPr>
        <w:t>55</w:t>
      </w:r>
      <w:r>
        <w:rPr>
          <w:snapToGrid w:val="0"/>
        </w:rPr>
        <w:t>.</w:t>
      </w:r>
      <w:r>
        <w:rPr>
          <w:snapToGrid w:val="0"/>
        </w:rPr>
        <w:tab/>
        <w:t>All</w:t>
      </w:r>
      <w:r>
        <w:rPr>
          <w:snapToGrid w:val="0"/>
        </w:rPr>
        <w:noBreakHyphen/>
        <w:t>up</w:t>
      </w:r>
      <w:bookmarkEnd w:id="177"/>
      <w:bookmarkEnd w:id="178"/>
      <w:bookmarkEnd w:id="179"/>
      <w:bookmarkEnd w:id="180"/>
      <w:bookmarkEnd w:id="181"/>
      <w:r>
        <w:rPr>
          <w:snapToGrid w:val="0"/>
        </w:rPr>
        <w:t xml:space="preserve"> </w:t>
      </w:r>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 xml:space="preserve">[Regulation 55 amended in Gazette 24 Jun 1988 p. 2005.] </w:t>
      </w:r>
    </w:p>
    <w:p>
      <w:pPr>
        <w:pStyle w:val="Ednotesection"/>
      </w:pPr>
      <w:r>
        <w:t>[</w:t>
      </w:r>
      <w:r>
        <w:rPr>
          <w:rStyle w:val="CharSectno"/>
          <w:b/>
        </w:rPr>
        <w:t>56</w:t>
      </w:r>
      <w:r>
        <w:rPr>
          <w:b/>
        </w:rPr>
        <w:t>.</w:t>
      </w:r>
      <w:r>
        <w:tab/>
        <w:t>Repealed in Gazette 13 Oct 2000 p. 5726.]</w:t>
      </w:r>
    </w:p>
    <w:p>
      <w:pPr>
        <w:pStyle w:val="Heading5"/>
        <w:spacing w:before="260"/>
        <w:rPr>
          <w:snapToGrid w:val="0"/>
        </w:rPr>
      </w:pPr>
      <w:bookmarkStart w:id="182" w:name="_Toc495993592"/>
      <w:bookmarkStart w:id="183" w:name="_Toc511525068"/>
      <w:bookmarkStart w:id="184" w:name="_Toc27803432"/>
      <w:bookmarkStart w:id="185" w:name="_Toc133903538"/>
      <w:bookmarkStart w:id="186" w:name="_Toc141173798"/>
      <w:r>
        <w:rPr>
          <w:rStyle w:val="CharSectno"/>
        </w:rPr>
        <w:t>57</w:t>
      </w:r>
      <w:r>
        <w:rPr>
          <w:snapToGrid w:val="0"/>
        </w:rPr>
        <w:t>.</w:t>
      </w:r>
      <w:r>
        <w:rPr>
          <w:snapToGrid w:val="0"/>
        </w:rPr>
        <w:tab/>
        <w:t>Stand</w:t>
      </w:r>
      <w:bookmarkEnd w:id="182"/>
      <w:bookmarkEnd w:id="183"/>
      <w:bookmarkEnd w:id="184"/>
      <w:bookmarkEnd w:id="185"/>
      <w:bookmarkEnd w:id="186"/>
      <w:r>
        <w:rPr>
          <w:snapToGrid w:val="0"/>
        </w:rPr>
        <w:t xml:space="preserve"> </w:t>
      </w:r>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pPr>
      <w:r>
        <w:tab/>
        <w:t xml:space="preserve">[Regulation 57 amended in Gazette 24 Jun 1988 p. 2005; 10 Jul 1992 p. 3291; 21 Jul 1998 p. 3854.] </w:t>
      </w:r>
    </w:p>
    <w:p>
      <w:pPr>
        <w:pStyle w:val="Heading5"/>
        <w:spacing w:before="260"/>
        <w:rPr>
          <w:snapToGrid w:val="0"/>
        </w:rPr>
      </w:pPr>
      <w:bookmarkStart w:id="187" w:name="_Toc495993593"/>
      <w:bookmarkStart w:id="188" w:name="_Toc511525069"/>
      <w:bookmarkStart w:id="189" w:name="_Toc27803433"/>
      <w:bookmarkStart w:id="190" w:name="_Toc133903539"/>
      <w:bookmarkStart w:id="191" w:name="_Toc141173799"/>
      <w:r>
        <w:rPr>
          <w:rStyle w:val="CharSectno"/>
        </w:rPr>
        <w:t>58</w:t>
      </w:r>
      <w:r>
        <w:rPr>
          <w:snapToGrid w:val="0"/>
        </w:rPr>
        <w:t>.</w:t>
      </w:r>
      <w:r>
        <w:rPr>
          <w:snapToGrid w:val="0"/>
        </w:rPr>
        <w:tab/>
        <w:t>Use of stand</w:t>
      </w:r>
      <w:bookmarkEnd w:id="187"/>
      <w:bookmarkEnd w:id="188"/>
      <w:bookmarkEnd w:id="189"/>
      <w:bookmarkEnd w:id="190"/>
      <w:bookmarkEnd w:id="191"/>
      <w:r>
        <w:rPr>
          <w:snapToGrid w:val="0"/>
        </w:rPr>
        <w:t xml:space="preserve"> </w:t>
      </w:r>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 xml:space="preserve">[Regulation 58 amended in Gazette 24 Jun 1988 p. 2005; 10 Jul 1992 p. 3291; 20 Sep 2002 p. 4702.] </w:t>
      </w:r>
    </w:p>
    <w:p>
      <w:pPr>
        <w:pStyle w:val="Heading5"/>
      </w:pPr>
      <w:bookmarkStart w:id="192" w:name="_Toc133903540"/>
      <w:bookmarkStart w:id="193" w:name="_Toc141173800"/>
      <w:bookmarkStart w:id="194" w:name="_Toc495993595"/>
      <w:bookmarkStart w:id="195" w:name="_Toc511525071"/>
      <w:bookmarkStart w:id="196" w:name="_Toc27803435"/>
      <w:r>
        <w:rPr>
          <w:rStyle w:val="CharSectno"/>
        </w:rPr>
        <w:t>59</w:t>
      </w:r>
      <w:r>
        <w:t>.</w:t>
      </w:r>
      <w:r>
        <w:tab/>
        <w:t>Name of bookmaker to be shown</w:t>
      </w:r>
      <w:bookmarkEnd w:id="192"/>
      <w:bookmarkEnd w:id="193"/>
    </w:p>
    <w:p>
      <w:pPr>
        <w:pStyle w:val="Subsection"/>
      </w:pPr>
      <w:r>
        <w:tab/>
        <w:t>(1)</w:t>
      </w:r>
      <w:r>
        <w:tab/>
        <w:t xml:space="preserve">A bookmaker shall not carry on business as a bookmaker at a race meeting unless there is displayed on the betting stand of that bookmaker a tablet or sign showing —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rPr>
          <w:snapToGrid w:val="0"/>
        </w:rPr>
      </w:pPr>
      <w:bookmarkStart w:id="197" w:name="_Toc133903541"/>
      <w:bookmarkStart w:id="198" w:name="_Toc141173801"/>
      <w:r>
        <w:rPr>
          <w:rStyle w:val="CharSectno"/>
        </w:rPr>
        <w:t>60</w:t>
      </w:r>
      <w:r>
        <w:rPr>
          <w:snapToGrid w:val="0"/>
        </w:rPr>
        <w:t>.</w:t>
      </w:r>
      <w:r>
        <w:rPr>
          <w:snapToGrid w:val="0"/>
        </w:rPr>
        <w:tab/>
        <w:t>Betting boards, etc., to be approved</w:t>
      </w:r>
      <w:bookmarkEnd w:id="194"/>
      <w:bookmarkEnd w:id="195"/>
      <w:bookmarkEnd w:id="196"/>
      <w:bookmarkEnd w:id="197"/>
      <w:bookmarkEnd w:id="198"/>
      <w:r>
        <w:rPr>
          <w:snapToGrid w:val="0"/>
        </w:rPr>
        <w:t xml:space="preserve"> </w:t>
      </w:r>
    </w:p>
    <w:p>
      <w:pPr>
        <w:pStyle w:val="Subsection"/>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 xml:space="preserve">[Regulation 60 amended in Gazette 24 Jun 1988 p. 2005; 10 Jul 1992 p. 3291; 21 Jul 1998 p. 3856.] </w:t>
      </w:r>
    </w:p>
    <w:p>
      <w:pPr>
        <w:pStyle w:val="Heading5"/>
        <w:rPr>
          <w:snapToGrid w:val="0"/>
        </w:rPr>
      </w:pPr>
      <w:bookmarkStart w:id="199" w:name="_Toc495993596"/>
      <w:bookmarkStart w:id="200" w:name="_Toc511525072"/>
      <w:bookmarkStart w:id="201" w:name="_Toc27803436"/>
      <w:bookmarkStart w:id="202" w:name="_Toc133903542"/>
      <w:bookmarkStart w:id="203" w:name="_Toc141173802"/>
      <w:r>
        <w:rPr>
          <w:rStyle w:val="CharSectno"/>
        </w:rPr>
        <w:t>61</w:t>
      </w:r>
      <w:r>
        <w:rPr>
          <w:snapToGrid w:val="0"/>
        </w:rPr>
        <w:t>.</w:t>
      </w:r>
      <w:r>
        <w:rPr>
          <w:snapToGrid w:val="0"/>
        </w:rPr>
        <w:tab/>
        <w:t>Betting boards</w:t>
      </w:r>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 xml:space="preserve">[Regulation 61 amended in Gazette 24 Jun 1988 p. 2005; 10 Jul 1992 p. 3292; 21 Jul 1998 p. 3855 and 3856; 20 Sep 2002 p. 4703; 30 Jan 2004 p. 405.] </w:t>
      </w:r>
    </w:p>
    <w:p>
      <w:pPr>
        <w:pStyle w:val="Heading5"/>
        <w:rPr>
          <w:snapToGrid w:val="0"/>
        </w:rPr>
      </w:pPr>
      <w:bookmarkStart w:id="204" w:name="_Toc495993597"/>
      <w:bookmarkStart w:id="205" w:name="_Toc511525073"/>
      <w:bookmarkStart w:id="206" w:name="_Toc27803437"/>
      <w:bookmarkStart w:id="207" w:name="_Toc133903543"/>
      <w:bookmarkStart w:id="208" w:name="_Toc141173803"/>
      <w:r>
        <w:rPr>
          <w:rStyle w:val="CharSectno"/>
        </w:rPr>
        <w:t>62</w:t>
      </w:r>
      <w:r>
        <w:rPr>
          <w:snapToGrid w:val="0"/>
        </w:rPr>
        <w:t>.</w:t>
      </w:r>
      <w:r>
        <w:rPr>
          <w:snapToGrid w:val="0"/>
        </w:rPr>
        <w:tab/>
        <w:t>Omissions from betting board, etc.</w:t>
      </w:r>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r>
      <w:r>
        <w:t>A bookmaker or a manager of a bookmaker who</w:t>
      </w:r>
      <w:r>
        <w:rPr>
          <w:snapToGrid w:val="0"/>
        </w:rPr>
        <w:t> —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spacing w:before="80"/>
        <w:rPr>
          <w:snapToGrid w:val="0"/>
        </w:rPr>
      </w:pPr>
      <w:r>
        <w:rPr>
          <w:snapToGrid w:val="0"/>
        </w:rPr>
        <w:tab/>
      </w:r>
      <w:r>
        <w:rPr>
          <w:snapToGrid w:val="0"/>
        </w:rPr>
        <w:tab/>
        <w:t>commits an offence.</w:t>
      </w:r>
    </w:p>
    <w:p>
      <w:pPr>
        <w:pStyle w:val="Subsection"/>
        <w:spacing w:before="140"/>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 xml:space="preserve">[Regulation 62 amended in Gazette 10 Jul 1992 p. 3292; 21 Jul 1998 p. 3855; 20 Sep 2002 p. 4703.] </w:t>
      </w:r>
    </w:p>
    <w:p>
      <w:pPr>
        <w:pStyle w:val="Heading5"/>
        <w:rPr>
          <w:snapToGrid w:val="0"/>
        </w:rPr>
      </w:pPr>
      <w:bookmarkStart w:id="209" w:name="_Toc495993598"/>
      <w:bookmarkStart w:id="210" w:name="_Toc511525074"/>
      <w:bookmarkStart w:id="211" w:name="_Toc27803438"/>
      <w:bookmarkStart w:id="212" w:name="_Toc133903544"/>
      <w:bookmarkStart w:id="213" w:name="_Toc141173804"/>
      <w:r>
        <w:rPr>
          <w:rStyle w:val="CharSectno"/>
        </w:rPr>
        <w:t>63</w:t>
      </w:r>
      <w:r>
        <w:rPr>
          <w:snapToGrid w:val="0"/>
        </w:rPr>
        <w:t>.</w:t>
      </w:r>
      <w:r>
        <w:rPr>
          <w:snapToGrid w:val="0"/>
        </w:rPr>
        <w:tab/>
        <w:t>Bets with other bookmakers</w:t>
      </w:r>
      <w:bookmarkEnd w:id="209"/>
      <w:bookmarkEnd w:id="210"/>
      <w:bookmarkEnd w:id="211"/>
      <w:bookmarkEnd w:id="212"/>
      <w:bookmarkEnd w:id="213"/>
      <w:r>
        <w:rPr>
          <w:snapToGrid w:val="0"/>
        </w:rPr>
        <w:t xml:space="preserve"> </w:t>
      </w:r>
    </w:p>
    <w:p>
      <w:pPr>
        <w:pStyle w:val="Subsection"/>
        <w:spacing w:before="140"/>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w:t>
      </w:r>
      <w:r>
        <w:tab/>
        <w:t>repealed]</w:t>
      </w:r>
    </w:p>
    <w:p>
      <w:pPr>
        <w:pStyle w:val="Subsection"/>
        <w:rPr>
          <w:snapToGrid w:val="0"/>
        </w:rPr>
      </w:pPr>
      <w:r>
        <w:rPr>
          <w:snapToGrid w:val="0"/>
        </w:rPr>
        <w:tab/>
        <w:t>(3)</w:t>
      </w:r>
      <w:r>
        <w:rPr>
          <w:snapToGrid w:val="0"/>
        </w:rPr>
        <w:tab/>
        <w:t>Where a bookmaker or a person on behalf of a bookmaker backs a runner, or in the context of a sporting event a competitor or contingency, for the purpose of reducing the bookmaker’s liability for bets already accepted by the bookmaker against that particular runner, competitor or contingency, the bet shall be regarded for the purpose of these regulations as a “bet back”.</w:t>
      </w:r>
    </w:p>
    <w:p>
      <w:pPr>
        <w:pStyle w:val="Subsection"/>
        <w:rPr>
          <w:snapToGrid w:val="0"/>
        </w:rPr>
      </w:pPr>
      <w:r>
        <w:rPr>
          <w:snapToGrid w:val="0"/>
        </w:rPr>
        <w:tab/>
        <w:t>(4)</w:t>
      </w:r>
      <w:r>
        <w:rPr>
          <w:snapToGrid w:val="0"/>
        </w:rPr>
        <w:tab/>
        <w:t>Where a bet is made by or on behalf of a bookmaker with another bookmaker — </w:t>
      </w:r>
    </w:p>
    <w:p>
      <w:pPr>
        <w:pStyle w:val="Indenta"/>
        <w:rPr>
          <w:snapToGrid w:val="0"/>
        </w:rPr>
      </w:pPr>
      <w:r>
        <w:rPr>
          <w:snapToGrid w:val="0"/>
        </w:rPr>
        <w:tab/>
        <w:t>(a)</w:t>
      </w:r>
      <w:r>
        <w:rPr>
          <w:snapToGrid w:val="0"/>
        </w:rPr>
        <w:tab/>
        <w:t>the bookmaker receiving the bet shall record the name of the bookmaker making the bet, or on whose behalf the bet is made, alongside the record of the bet whether or not the bet is made in cash; and</w:t>
      </w:r>
    </w:p>
    <w:p>
      <w:pPr>
        <w:pStyle w:val="Indenta"/>
      </w:pPr>
      <w:r>
        <w:tab/>
        <w:t>(b)</w:t>
      </w:r>
      <w:r>
        <w:tab/>
        <w:t xml:space="preserve">if the bet is a “bet back”, the bookmaker who makes the bet or on whose behalf the bet is made shall record — </w:t>
      </w:r>
    </w:p>
    <w:p>
      <w:pPr>
        <w:pStyle w:val="Indenti"/>
      </w:pPr>
      <w:r>
        <w:tab/>
        <w:t>(i)</w:t>
      </w:r>
      <w:r>
        <w:tab/>
        <w:t>the details of the bet;</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Where a bet by way of a “bet back” is made by a bookmaker or by any person on behalf of a bookmaker on any totalisator, the bookmaker who makes the bet or on whose behalf the bet is made shall record the transaction as a “bet back” on the totalisator and shall retain the totalisator ticket or tickets of all losing bets for a period of one month.</w:t>
      </w:r>
    </w:p>
    <w:p>
      <w:pPr>
        <w:pStyle w:val="Subsection"/>
        <w:rPr>
          <w:snapToGrid w:val="0"/>
        </w:rPr>
      </w:pPr>
      <w:r>
        <w:rPr>
          <w:snapToGrid w:val="0"/>
        </w:rPr>
        <w:tab/>
        <w:t>(6)</w:t>
      </w:r>
      <w:r>
        <w:rPr>
          <w:snapToGrid w:val="0"/>
        </w:rPr>
        <w:tab/>
        <w:t>A bookmaker who makes a “bet back” with another bookmaker or the totalisator is not permitted to deduct the amount of the “bet back” from the total of the bets the bookmaker has received for the race or race meeting to which the bet relates or from the total of any other races or race meetings on which the bookmaker has accepted bets.</w:t>
      </w:r>
    </w:p>
    <w:p>
      <w:pPr>
        <w:pStyle w:val="Footnotesection"/>
      </w:pPr>
      <w:r>
        <w:tab/>
        <w:t xml:space="preserve">[Regulation 63 amended in Gazette 24 Jun 1988 p. 2005; 10 Jul 1992 p. 3293; 21 Jul 1998 p. 3855 and 3856; 17 Dec 2002 p. 5924.] </w:t>
      </w:r>
    </w:p>
    <w:p>
      <w:pPr>
        <w:pStyle w:val="Ednotesection"/>
      </w:pPr>
      <w:r>
        <w:t>[</w:t>
      </w:r>
      <w:r>
        <w:rPr>
          <w:b/>
        </w:rPr>
        <w:t>64</w:t>
      </w:r>
      <w:r>
        <w:noBreakHyphen/>
      </w:r>
      <w:r>
        <w:rPr>
          <w:b/>
        </w:rPr>
        <w:t>65.</w:t>
      </w:r>
      <w:r>
        <w:tab/>
        <w:t>Repealed in Gazette 13 Oct 2000 p. 5726.]</w:t>
      </w:r>
    </w:p>
    <w:p>
      <w:pPr>
        <w:pStyle w:val="Ednotesection"/>
      </w:pPr>
      <w:r>
        <w:t>[</w:t>
      </w:r>
      <w:r>
        <w:rPr>
          <w:b/>
        </w:rPr>
        <w:t>66</w:t>
      </w:r>
      <w:r>
        <w:rPr>
          <w:b/>
        </w:rPr>
        <w:noBreakHyphen/>
        <w:t>67.</w:t>
      </w:r>
      <w:r>
        <w:rPr>
          <w:b/>
        </w:rPr>
        <w:tab/>
      </w:r>
      <w:r>
        <w:t xml:space="preserve">Repealed in Gazette 10 Jul 1992 p. 3293.] </w:t>
      </w:r>
    </w:p>
    <w:p>
      <w:pPr>
        <w:pStyle w:val="Heading5"/>
        <w:rPr>
          <w:snapToGrid w:val="0"/>
        </w:rPr>
      </w:pPr>
      <w:bookmarkStart w:id="214" w:name="_Toc495993599"/>
      <w:bookmarkStart w:id="215" w:name="_Toc511525075"/>
      <w:bookmarkStart w:id="216" w:name="_Toc27803439"/>
      <w:bookmarkStart w:id="217" w:name="_Toc133903545"/>
      <w:bookmarkStart w:id="218" w:name="_Toc141173805"/>
      <w:r>
        <w:rPr>
          <w:rStyle w:val="CharSectno"/>
        </w:rPr>
        <w:t>68</w:t>
      </w:r>
      <w:r>
        <w:rPr>
          <w:snapToGrid w:val="0"/>
        </w:rPr>
        <w:t>.</w:t>
      </w:r>
      <w:r>
        <w:rPr>
          <w:snapToGrid w:val="0"/>
        </w:rPr>
        <w:tab/>
        <w:t xml:space="preserve">Cooperation with the </w:t>
      </w:r>
      <w:r>
        <w:t>Commission</w:t>
      </w:r>
      <w:r>
        <w:rPr>
          <w:snapToGrid w:val="0"/>
        </w:rPr>
        <w:t xml:space="preserve"> in matters relating to betting disputes</w:t>
      </w:r>
      <w:bookmarkEnd w:id="214"/>
      <w:bookmarkEnd w:id="215"/>
      <w:bookmarkEnd w:id="216"/>
      <w:bookmarkEnd w:id="217"/>
      <w:bookmarkEnd w:id="218"/>
      <w:r>
        <w:rPr>
          <w:snapToGrid w:val="0"/>
        </w:rPr>
        <w:t xml:space="preserve"> </w:t>
      </w:r>
    </w:p>
    <w:p>
      <w:pPr>
        <w:pStyle w:val="Subsection"/>
        <w:spacing w:before="140"/>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pPr>
      <w:r>
        <w:tab/>
        <w:t>[Regulation 68 amended in Gazette 30 Jan 2004 p. 405; 1 Jul 2004 p. 2625.]</w:t>
      </w:r>
    </w:p>
    <w:p>
      <w:pPr>
        <w:pStyle w:val="Ednotesection"/>
      </w:pPr>
      <w:r>
        <w:t>[</w:t>
      </w:r>
      <w:r>
        <w:rPr>
          <w:b/>
        </w:rPr>
        <w:t>69.</w:t>
      </w:r>
      <w:r>
        <w:tab/>
        <w:t xml:space="preserve">Repealed in Gazette 21 Jul 1998 p. 3854.] </w:t>
      </w:r>
    </w:p>
    <w:p>
      <w:pPr>
        <w:pStyle w:val="Ednotesection"/>
      </w:pPr>
      <w:r>
        <w:t>[</w:t>
      </w:r>
      <w:r>
        <w:rPr>
          <w:b/>
          <w:bCs/>
        </w:rPr>
        <w:t>70.</w:t>
      </w:r>
      <w:r>
        <w:tab/>
        <w:t>Repealed in Gazette 21 Jul 2006 p. 2673.]</w:t>
      </w:r>
    </w:p>
    <w:p>
      <w:pPr>
        <w:pStyle w:val="Heading5"/>
        <w:rPr>
          <w:snapToGrid w:val="0"/>
        </w:rPr>
      </w:pPr>
      <w:bookmarkStart w:id="219" w:name="_Toc495993601"/>
      <w:bookmarkStart w:id="220" w:name="_Toc511525077"/>
      <w:bookmarkStart w:id="221" w:name="_Toc27803441"/>
      <w:bookmarkStart w:id="222" w:name="_Toc133903547"/>
      <w:bookmarkStart w:id="223" w:name="_Toc141173806"/>
      <w:r>
        <w:rPr>
          <w:rStyle w:val="CharSectno"/>
        </w:rPr>
        <w:t>71</w:t>
      </w:r>
      <w:r>
        <w:rPr>
          <w:snapToGrid w:val="0"/>
        </w:rPr>
        <w:t>.</w:t>
      </w:r>
      <w:r>
        <w:rPr>
          <w:snapToGrid w:val="0"/>
        </w:rPr>
        <w:tab/>
        <w:t>Telephone betting on sporting events</w:t>
      </w:r>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 </w:t>
      </w:r>
    </w:p>
    <w:p>
      <w:pPr>
        <w:pStyle w:val="Indenta"/>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 </w:t>
      </w:r>
    </w:p>
    <w:p>
      <w:pPr>
        <w:pStyle w:val="Indenta"/>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keepNext/>
        <w:keepLines/>
        <w:rPr>
          <w:snapToGrid w:val="0"/>
        </w:rPr>
      </w:pPr>
      <w:r>
        <w:rPr>
          <w:snapToGrid w:val="0"/>
        </w:rPr>
        <w:tab/>
        <w:t>(f)</w:t>
      </w:r>
      <w:r>
        <w:rPr>
          <w:snapToGrid w:val="0"/>
        </w:rPr>
        <w:tab/>
        <w:t>tapes, when used to record betting transactions, shall —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together with the duplicate sports betting sheets; and</w:t>
      </w:r>
    </w:p>
    <w:p>
      <w:pPr>
        <w:pStyle w:val="Indenti"/>
        <w:rPr>
          <w:snapToGrid w:val="0"/>
        </w:rPr>
      </w:pPr>
      <w:r>
        <w:rPr>
          <w:snapToGrid w:val="0"/>
        </w:rPr>
        <w:tab/>
        <w:t>(iii)</w:t>
      </w:r>
      <w:r>
        <w:rPr>
          <w:snapToGrid w:val="0"/>
        </w:rPr>
        <w:tab/>
        <w:t xml:space="preserve">be maintained as betting records for inspection or audit by any authorised person;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 xml:space="preserve">[Regulation 71 inserted in Gazette 31 Aug 1993 p. 4677; amended in Gazette 24 Dec 1993 p. 6839; 21 Jul 1998 p. 3854; 20 Sep 2002 p. 4703; 30 Jan 2004 p. 412.] </w:t>
      </w:r>
    </w:p>
    <w:p>
      <w:pPr>
        <w:pStyle w:val="Heading5"/>
        <w:spacing w:before="140"/>
        <w:rPr>
          <w:snapToGrid w:val="0"/>
        </w:rPr>
      </w:pPr>
      <w:bookmarkStart w:id="224" w:name="_Toc495993602"/>
      <w:bookmarkStart w:id="225" w:name="_Toc511525078"/>
      <w:bookmarkStart w:id="226" w:name="_Toc27803442"/>
      <w:bookmarkStart w:id="227" w:name="_Toc133903548"/>
      <w:bookmarkStart w:id="228" w:name="_Toc141173807"/>
      <w:r>
        <w:rPr>
          <w:rStyle w:val="CharSectno"/>
        </w:rPr>
        <w:t>72</w:t>
      </w:r>
      <w:r>
        <w:rPr>
          <w:snapToGrid w:val="0"/>
        </w:rPr>
        <w:t>.</w:t>
      </w:r>
      <w:r>
        <w:rPr>
          <w:snapToGrid w:val="0"/>
        </w:rPr>
        <w:tab/>
        <w:t>Telephone betting on racing</w:t>
      </w:r>
      <w:bookmarkEnd w:id="224"/>
      <w:bookmarkEnd w:id="225"/>
      <w:bookmarkEnd w:id="226"/>
      <w:bookmarkEnd w:id="227"/>
      <w:bookmarkEnd w:id="228"/>
      <w:r>
        <w:rPr>
          <w:snapToGrid w:val="0"/>
        </w:rPr>
        <w:t xml:space="preserve"> </w:t>
      </w:r>
    </w:p>
    <w:p>
      <w:pPr>
        <w:pStyle w:val="Subsection"/>
        <w:spacing w:before="90"/>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 </w:t>
      </w:r>
    </w:p>
    <w:p>
      <w:pPr>
        <w:pStyle w:val="Indenta"/>
        <w:spacing w:before="50"/>
        <w:rPr>
          <w:snapToGrid w:val="0"/>
        </w:rPr>
      </w:pPr>
      <w:r>
        <w:rPr>
          <w:snapToGrid w:val="0"/>
        </w:rPr>
        <w:tab/>
        <w:t>(a)</w:t>
      </w:r>
      <w:r>
        <w:rPr>
          <w:snapToGrid w:val="0"/>
        </w:rPr>
        <w:tab/>
        <w:t>in accordance with the procedures established and approved by the Commission for the conduct of such betting;</w:t>
      </w:r>
    </w:p>
    <w:p>
      <w:pPr>
        <w:pStyle w:val="Indenta"/>
        <w:spacing w:before="50"/>
        <w:rPr>
          <w:snapToGrid w:val="0"/>
        </w:rPr>
      </w:pPr>
      <w:r>
        <w:rPr>
          <w:snapToGrid w:val="0"/>
        </w:rPr>
        <w:tab/>
        <w:t>(b)</w:t>
      </w:r>
      <w:r>
        <w:rPr>
          <w:snapToGrid w:val="0"/>
        </w:rPr>
        <w:tab/>
        <w:t>if the committee or other authority controlling the racecourse so permits;</w:t>
      </w:r>
    </w:p>
    <w:p>
      <w:pPr>
        <w:pStyle w:val="Indenta"/>
        <w:keepNext/>
        <w:keepLines/>
        <w:spacing w:before="50"/>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spacing w:before="50"/>
        <w:rPr>
          <w:snapToGrid w:val="0"/>
        </w:rPr>
      </w:pPr>
      <w:r>
        <w:rPr>
          <w:snapToGrid w:val="0"/>
        </w:rPr>
        <w:tab/>
      </w:r>
      <w:r>
        <w:rPr>
          <w:snapToGrid w:val="0"/>
        </w:rPr>
        <w:tab/>
        <w:t>and not otherwise.</w:t>
      </w:r>
    </w:p>
    <w:p>
      <w:pPr>
        <w:pStyle w:val="Subsection"/>
        <w:spacing w:before="90"/>
        <w:rPr>
          <w:snapToGrid w:val="0"/>
        </w:rPr>
      </w:pPr>
      <w:r>
        <w:rPr>
          <w:snapToGrid w:val="0"/>
        </w:rPr>
        <w:tab/>
        <w:t>(2)</w:t>
      </w:r>
      <w:r>
        <w:rPr>
          <w:snapToGrid w:val="0"/>
        </w:rPr>
        <w:tab/>
        <w:t>For the purposes of subregulation (1) the Commission has established and approved the following procedures — </w:t>
      </w:r>
    </w:p>
    <w:p>
      <w:pPr>
        <w:pStyle w:val="Indenta"/>
        <w:spacing w:before="60"/>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rPr>
          <w:snapToGrid w:val="0"/>
        </w:rPr>
      </w:pPr>
      <w:r>
        <w:rPr>
          <w:snapToGrid w:val="0"/>
        </w:rPr>
        <w:tab/>
        <w:t>(f)</w:t>
      </w:r>
      <w:r>
        <w:rPr>
          <w:snapToGrid w:val="0"/>
        </w:rPr>
        <w:tab/>
        <w:t>tapes, when used to record betting transactions, shall —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 xml:space="preserve">be maintained as betting records for inspection or audit by any authorised person;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spacing w:before="200"/>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 xml:space="preserve">6.] </w:t>
      </w:r>
    </w:p>
    <w:p>
      <w:pPr>
        <w:pStyle w:val="Heading5"/>
        <w:spacing w:before="260"/>
      </w:pPr>
      <w:bookmarkStart w:id="229" w:name="_Toc495993603"/>
      <w:bookmarkStart w:id="230" w:name="_Toc511525079"/>
      <w:bookmarkStart w:id="231" w:name="_Toc27803443"/>
      <w:bookmarkStart w:id="232" w:name="_Toc133903549"/>
      <w:bookmarkStart w:id="233" w:name="_Toc141173808"/>
      <w:r>
        <w:rPr>
          <w:rStyle w:val="CharSectno"/>
        </w:rPr>
        <w:t>73</w:t>
      </w:r>
      <w:r>
        <w:t>.</w:t>
      </w:r>
      <w:r>
        <w:tab/>
        <w:t>Credit betting other than by telephone</w:t>
      </w:r>
      <w:bookmarkEnd w:id="229"/>
      <w:bookmarkEnd w:id="230"/>
      <w:bookmarkEnd w:id="231"/>
      <w:bookmarkEnd w:id="232"/>
      <w:bookmarkEnd w:id="233"/>
    </w:p>
    <w:p>
      <w:pPr>
        <w:pStyle w:val="Subsection"/>
        <w:spacing w:before="200"/>
        <w:rPr>
          <w:spacing w:val="-4"/>
        </w:rPr>
      </w:pPr>
      <w:r>
        <w:tab/>
        <w:t>(1)</w:t>
      </w:r>
      <w:r>
        <w:tab/>
      </w:r>
      <w:r>
        <w:rPr>
          <w:spacing w:val="-4"/>
        </w:rPr>
        <w:t>For the purposes of section 31(1)(b)(iii) where a bet is made on credit the bookmaker may, instead of delivering the betting ticket to the bettor, make the ticket available for collection by the bettor.</w:t>
      </w:r>
    </w:p>
    <w:p>
      <w:pPr>
        <w:pStyle w:val="Subsection"/>
        <w:spacing w:before="200"/>
      </w:pPr>
      <w:r>
        <w:tab/>
        <w:t>(2)</w:t>
      </w:r>
      <w:r>
        <w:tab/>
        <w:t>Subregulation (1) does not apply to a “bet back” within the meaning of regulation 63(3).</w:t>
      </w:r>
    </w:p>
    <w:p>
      <w:pPr>
        <w:pStyle w:val="NotesPerm"/>
        <w:tabs>
          <w:tab w:val="clear" w:pos="879"/>
          <w:tab w:val="left" w:pos="993"/>
        </w:tabs>
        <w:ind w:left="1418" w:hanging="709"/>
      </w:pPr>
      <w:r>
        <w:t>Note:</w:t>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w:t>
      </w:r>
    </w:p>
    <w:p>
      <w:pPr>
        <w:pStyle w:val="Heading5"/>
        <w:spacing w:before="260"/>
      </w:pPr>
      <w:bookmarkStart w:id="234" w:name="_Toc495993604"/>
      <w:bookmarkStart w:id="235" w:name="_Toc511525080"/>
      <w:bookmarkStart w:id="236" w:name="_Toc27803444"/>
      <w:bookmarkStart w:id="237" w:name="_Toc133903550"/>
      <w:bookmarkStart w:id="238" w:name="_Toc141173809"/>
      <w:r>
        <w:rPr>
          <w:rStyle w:val="CharSectno"/>
        </w:rPr>
        <w:t>74</w:t>
      </w:r>
      <w:r>
        <w:t>.</w:t>
      </w:r>
      <w:r>
        <w:tab/>
        <w:t>Internet betting (sporting events)</w:t>
      </w:r>
      <w:bookmarkEnd w:id="234"/>
      <w:bookmarkEnd w:id="235"/>
      <w:bookmarkEnd w:id="236"/>
      <w:bookmarkEnd w:id="237"/>
      <w:bookmarkEnd w:id="238"/>
    </w:p>
    <w:p>
      <w:pPr>
        <w:pStyle w:val="Subsection"/>
        <w:spacing w:before="200"/>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spacing w:before="200"/>
      </w:pPr>
      <w:r>
        <w:tab/>
      </w:r>
      <w:r>
        <w:tab/>
        <w:t>and not otherwise.</w:t>
      </w:r>
    </w:p>
    <w:p>
      <w:pPr>
        <w:pStyle w:val="Footnotesection"/>
        <w:keepLines w:val="0"/>
      </w:pPr>
      <w:r>
        <w:tab/>
        <w:t>[Regulation 74 inserted in Gazette 26 Nov 1999 p. 5909; amended in Gazette 30 Jan 2004 p. 412.]</w:t>
      </w:r>
    </w:p>
    <w:p>
      <w:pPr>
        <w:pStyle w:val="Heading5"/>
      </w:pPr>
      <w:bookmarkStart w:id="239" w:name="_Toc495993605"/>
      <w:bookmarkStart w:id="240" w:name="_Toc511525081"/>
      <w:bookmarkStart w:id="241" w:name="_Toc27803445"/>
      <w:bookmarkStart w:id="242" w:name="_Toc133903551"/>
      <w:bookmarkStart w:id="243" w:name="_Toc141173810"/>
      <w:r>
        <w:rPr>
          <w:rStyle w:val="CharSectno"/>
        </w:rPr>
        <w:t>75</w:t>
      </w:r>
      <w:r>
        <w:t>.</w:t>
      </w:r>
      <w:r>
        <w:tab/>
        <w:t>Internet betting (racing)</w:t>
      </w:r>
      <w:bookmarkEnd w:id="239"/>
      <w:bookmarkEnd w:id="240"/>
      <w:bookmarkEnd w:id="241"/>
      <w:bookmarkEnd w:id="242"/>
      <w:bookmarkEnd w:id="243"/>
    </w:p>
    <w:p>
      <w:pPr>
        <w:pStyle w:val="Subsection"/>
        <w:spacing w:before="140"/>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 xml:space="preserve">if the committee or other authority controlling the racecourse so permits; </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244" w:name="_Toc495993606"/>
      <w:bookmarkStart w:id="245" w:name="_Toc511525082"/>
      <w:bookmarkStart w:id="246" w:name="_Toc27803446"/>
      <w:bookmarkStart w:id="247" w:name="_Toc133903552"/>
      <w:bookmarkStart w:id="248" w:name="_Toc141173811"/>
      <w:r>
        <w:rPr>
          <w:rStyle w:val="CharSectno"/>
        </w:rPr>
        <w:t>76</w:t>
      </w:r>
      <w:r>
        <w:t>.</w:t>
      </w:r>
      <w:r>
        <w:tab/>
        <w:t>Procedures for internet betting</w:t>
      </w:r>
      <w:bookmarkEnd w:id="244"/>
      <w:bookmarkEnd w:id="245"/>
      <w:bookmarkEnd w:id="246"/>
      <w:bookmarkEnd w:id="247"/>
      <w:bookmarkEnd w:id="248"/>
    </w:p>
    <w:p>
      <w:pPr>
        <w:pStyle w:val="Subsection"/>
      </w:pPr>
      <w:r>
        <w:tab/>
        <w:t>(1)</w:t>
      </w:r>
      <w:r>
        <w:tab/>
        <w:t xml:space="preserve">For the purposes of regulations 74 and 75 the </w:t>
      </w:r>
      <w:r>
        <w:rPr>
          <w:snapToGrid w:val="0"/>
        </w:rPr>
        <w:t>Commission</w:t>
      </w:r>
      <w:r>
        <w:t xml:space="preserve"> has established the following procedures —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 xml:space="preserve">notwithstanding section 31(1)(b)(iii), is to be delivered (or not delivered) in a manner, </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249" w:name="_Toc133903553"/>
      <w:bookmarkStart w:id="250" w:name="_Toc141173812"/>
      <w:r>
        <w:rPr>
          <w:rStyle w:val="CharSectno"/>
        </w:rPr>
        <w:t>77</w:t>
      </w:r>
      <w:r>
        <w:t>.</w:t>
      </w:r>
      <w:r>
        <w:tab/>
        <w:t>Form of search warrant</w:t>
      </w:r>
      <w:bookmarkEnd w:id="249"/>
      <w:bookmarkEnd w:id="250"/>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pStyle w:val="Heading2"/>
      </w:pPr>
      <w:bookmarkStart w:id="251" w:name="_Toc141162224"/>
      <w:bookmarkStart w:id="252" w:name="_Toc141173813"/>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251"/>
      <w:bookmarkEnd w:id="252"/>
    </w:p>
    <w:p>
      <w:pPr>
        <w:pStyle w:val="Footnoteheading"/>
      </w:pPr>
      <w:r>
        <w:tab/>
        <w:t>[Heading inserted in Gazette 21 Jul 2006 p. 2673.]</w:t>
      </w:r>
    </w:p>
    <w:p>
      <w:pPr>
        <w:pStyle w:val="Heading3"/>
      </w:pPr>
      <w:bookmarkStart w:id="253" w:name="_Toc141162225"/>
      <w:bookmarkStart w:id="254" w:name="_Toc141173814"/>
      <w:r>
        <w:rPr>
          <w:rStyle w:val="CharDivNo"/>
        </w:rPr>
        <w:t>Division 1</w:t>
      </w:r>
      <w:r>
        <w:t> — </w:t>
      </w:r>
      <w:r>
        <w:rPr>
          <w:rStyle w:val="CharDivText"/>
        </w:rPr>
        <w:t>Preliminary</w:t>
      </w:r>
      <w:bookmarkEnd w:id="253"/>
      <w:bookmarkEnd w:id="254"/>
    </w:p>
    <w:p>
      <w:pPr>
        <w:pStyle w:val="Footnoteheading"/>
      </w:pPr>
      <w:r>
        <w:tab/>
        <w:t>[Heading inserted in Gazette 21 Jul 2006 p. 2673.]</w:t>
      </w:r>
    </w:p>
    <w:p>
      <w:pPr>
        <w:pStyle w:val="Heading5"/>
      </w:pPr>
      <w:bookmarkStart w:id="255" w:name="_Toc141173815"/>
      <w:r>
        <w:rPr>
          <w:rStyle w:val="CharSectno"/>
        </w:rPr>
        <w:t>78</w:t>
      </w:r>
      <w:r>
        <w:t>.</w:t>
      </w:r>
      <w:r>
        <w:tab/>
        <w:t>Interpretation</w:t>
      </w:r>
      <w:bookmarkEnd w:id="255"/>
    </w:p>
    <w:p>
      <w:pPr>
        <w:pStyle w:val="Subsection"/>
      </w:pPr>
      <w:r>
        <w:tab/>
        <w:t>(1)</w:t>
      </w:r>
      <w:r>
        <w:tab/>
        <w:t xml:space="preserve">In this Part — </w:t>
      </w:r>
    </w:p>
    <w:p>
      <w:pPr>
        <w:pStyle w:val="Defstart"/>
      </w:pPr>
      <w:r>
        <w:rPr>
          <w:b/>
        </w:rPr>
        <w:tab/>
        <w:t>“</w:t>
      </w:r>
      <w:r>
        <w:rPr>
          <w:rStyle w:val="CharDefText"/>
        </w:rPr>
        <w:t>Australian Greyhound Racing Rules</w:t>
      </w:r>
      <w:r>
        <w:rPr>
          <w:b/>
        </w:rPr>
        <w:t>”</w:t>
      </w:r>
      <w:r>
        <w:rPr>
          <w:bCs/>
        </w:rPr>
        <w:t>,</w:t>
      </w:r>
      <w:r>
        <w:rPr>
          <w:b/>
        </w:rPr>
        <w:t xml:space="preserve"> “</w:t>
      </w:r>
      <w:r>
        <w:rPr>
          <w:rStyle w:val="CharDefText"/>
        </w:rPr>
        <w:t>Australian Rules of Harness Racing</w:t>
      </w:r>
      <w:r>
        <w:rPr>
          <w:b/>
        </w:rPr>
        <w:t>”</w:t>
      </w:r>
      <w:r>
        <w:rPr>
          <w:bCs/>
        </w:rPr>
        <w:t xml:space="preserve"> and </w:t>
      </w:r>
      <w:r>
        <w:rPr>
          <w:b/>
        </w:rPr>
        <w:t>“</w:t>
      </w:r>
      <w:r>
        <w:rPr>
          <w:rStyle w:val="CharDefText"/>
        </w:rPr>
        <w:t>Australian Rules of Racing</w:t>
      </w:r>
      <w:r>
        <w:rPr>
          <w:b/>
        </w:rPr>
        <w:t xml:space="preserve">” </w:t>
      </w:r>
      <w:r>
        <w:rPr>
          <w:bCs/>
        </w:rPr>
        <w:t>have the meanings given in the RWWA Act;</w:t>
      </w:r>
    </w:p>
    <w:p>
      <w:pPr>
        <w:pStyle w:val="Defstart"/>
        <w:rPr>
          <w:b/>
        </w:rPr>
      </w:pPr>
      <w:r>
        <w:rPr>
          <w:b/>
        </w:rPr>
        <w:tab/>
        <w:t>“</w:t>
      </w:r>
      <w:r>
        <w:rPr>
          <w:rStyle w:val="CharDefText"/>
        </w:rPr>
        <w:t>local on</w:t>
      </w:r>
      <w:r>
        <w:rPr>
          <w:rStyle w:val="CharDefText"/>
        </w:rPr>
        <w:noBreakHyphen/>
        <w:t>course totalisator</w:t>
      </w:r>
      <w:r>
        <w:rPr>
          <w:b/>
        </w:rPr>
        <w:t>”</w:t>
      </w:r>
      <w:r>
        <w:t xml:space="preserve"> means —</w:t>
      </w:r>
      <w:r>
        <w:rPr>
          <w:b/>
        </w:rPr>
        <w:t xml:space="preserve"> </w:t>
      </w:r>
    </w:p>
    <w:p>
      <w:pPr>
        <w:pStyle w:val="Defpara"/>
      </w:pPr>
      <w:r>
        <w:tab/>
        <w:t>(a)</w:t>
      </w:r>
      <w:r>
        <w:tab/>
        <w:t xml:space="preserve">a totalisator operated at a racecourse by the authority conducting the particular race meeting where totalisator betting is conducted independently of RWWA; </w:t>
      </w:r>
    </w:p>
    <w:p>
      <w:pPr>
        <w:pStyle w:val="Defpara"/>
      </w:pPr>
      <w:r>
        <w:tab/>
        <w:t>(b)</w:t>
      </w:r>
      <w:r>
        <w:tab/>
        <w:t>where the context requires, a person representing the authority operating the totalisator in paragraph (a);</w:t>
      </w:r>
    </w:p>
    <w:p>
      <w:pPr>
        <w:pStyle w:val="Defpara"/>
      </w:pPr>
      <w:r>
        <w:tab/>
        <w:t>(c)</w:t>
      </w:r>
      <w:r>
        <w:tab/>
        <w:t>where the context requires, the premises in which the betting for a totalisator in paragraph (a) is conducted;</w:t>
      </w:r>
    </w:p>
    <w:p>
      <w:pPr>
        <w:pStyle w:val="Defstart"/>
      </w:pPr>
      <w:r>
        <w:rPr>
          <w:b/>
        </w:rPr>
        <w:tab/>
        <w:t>“</w:t>
      </w:r>
      <w:r>
        <w:rPr>
          <w:rStyle w:val="CharDefText"/>
        </w:rPr>
        <w:t>on</w:t>
      </w:r>
      <w:r>
        <w:rPr>
          <w:rStyle w:val="CharDefText"/>
        </w:rPr>
        <w:noBreakHyphen/>
        <w:t>course totalisator</w:t>
      </w:r>
      <w:r>
        <w:rPr>
          <w:b/>
        </w:rPr>
        <w:t>”</w:t>
      </w:r>
      <w:r>
        <w:t xml:space="preserve"> means — </w:t>
      </w:r>
    </w:p>
    <w:p>
      <w:pPr>
        <w:pStyle w:val="Defpara"/>
      </w:pPr>
      <w:r>
        <w:tab/>
        <w:t>(a)</w:t>
      </w:r>
      <w:r>
        <w:tab/>
        <w:t>a totalisator operated at a racecourse by the racing club, where bets form a part of the RWWA totalisator scheme under section 58 of the RWWA Act;</w:t>
      </w:r>
    </w:p>
    <w:p>
      <w:pPr>
        <w:pStyle w:val="Defpara"/>
      </w:pPr>
      <w:r>
        <w:tab/>
        <w:t>(b)</w:t>
      </w:r>
      <w:r>
        <w:tab/>
        <w:t>where the context requires, a representative of the racing club operating the totalisator in paragraph (a);</w:t>
      </w:r>
    </w:p>
    <w:p>
      <w:pPr>
        <w:pStyle w:val="Defpara"/>
      </w:pPr>
      <w:r>
        <w:tab/>
        <w:t>(c)</w:t>
      </w:r>
      <w:r>
        <w:tab/>
        <w:t>where the context requires, the premises in which the betting for a totalisator in paragraph (a) is conducted.</w:t>
      </w:r>
    </w:p>
    <w:p>
      <w:pPr>
        <w:pStyle w:val="Subsection"/>
      </w:pPr>
      <w:r>
        <w:tab/>
        <w:t>(2)</w:t>
      </w:r>
      <w:r>
        <w:tab/>
        <w:t>For removal of doubt, a reference in this Part to a bet includes a reference to a wager.</w:t>
      </w:r>
    </w:p>
    <w:p>
      <w:pPr>
        <w:pStyle w:val="Footnotesection"/>
      </w:pPr>
      <w:bookmarkStart w:id="256" w:name="_Toc63486046"/>
      <w:r>
        <w:tab/>
        <w:t>[Regulation 78 inserted in Gazette 21 Jul 2006 p. 2673-4.]</w:t>
      </w:r>
    </w:p>
    <w:p>
      <w:pPr>
        <w:pStyle w:val="Heading3"/>
      </w:pPr>
      <w:bookmarkStart w:id="257" w:name="_Toc141162227"/>
      <w:bookmarkStart w:id="258" w:name="_Toc141173816"/>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257"/>
      <w:bookmarkEnd w:id="258"/>
    </w:p>
    <w:p>
      <w:pPr>
        <w:pStyle w:val="Footnoteheading"/>
      </w:pPr>
      <w:bookmarkStart w:id="259" w:name="_Toc63486048"/>
      <w:bookmarkEnd w:id="256"/>
      <w:r>
        <w:tab/>
        <w:t>[Heading inserted in Gazette 21 Jul 2006 p. 2674.]</w:t>
      </w:r>
    </w:p>
    <w:p>
      <w:pPr>
        <w:pStyle w:val="Heading5"/>
      </w:pPr>
      <w:bookmarkStart w:id="260" w:name="_Toc141173817"/>
      <w:r>
        <w:rPr>
          <w:rStyle w:val="CharSectno"/>
        </w:rPr>
        <w:t>79</w:t>
      </w:r>
      <w:r>
        <w:t>.</w:t>
      </w:r>
      <w:r>
        <w:tab/>
        <w:t>On</w:t>
      </w:r>
      <w:r>
        <w:noBreakHyphen/>
        <w:t>course totalisator bets accepted subject to the rules and these regulations</w:t>
      </w:r>
      <w:bookmarkEnd w:id="259"/>
      <w:bookmarkEnd w:id="260"/>
    </w:p>
    <w:p>
      <w:pPr>
        <w:pStyle w:val="Subsection"/>
      </w:pPr>
      <w:r>
        <w:tab/>
        <w:t>(1)</w:t>
      </w:r>
      <w:r>
        <w:tab/>
        <w:t>Subject to these regulations, regulations made under the RWWA Act and the rules of wagering, a bet made with or through an on</w:t>
      </w:r>
      <w:r>
        <w:noBreakHyphen/>
        <w:t xml:space="preserve">course totalisator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in Gazette 21 Jul 2006 p. 2674-5.]</w:t>
      </w:r>
    </w:p>
    <w:p>
      <w:pPr>
        <w:pStyle w:val="Heading5"/>
      </w:pPr>
      <w:bookmarkStart w:id="261" w:name="_Toc141173818"/>
      <w:r>
        <w:rPr>
          <w:rStyle w:val="CharSectno"/>
        </w:rPr>
        <w:t>80</w:t>
      </w:r>
      <w:r>
        <w:t>.</w:t>
      </w:r>
      <w:r>
        <w:tab/>
        <w:t>Local on</w:t>
      </w:r>
      <w:r>
        <w:noBreakHyphen/>
        <w:t>course totalisator bets accepted subject to the rules and these regulations</w:t>
      </w:r>
      <w:bookmarkEnd w:id="261"/>
    </w:p>
    <w:p>
      <w:pPr>
        <w:pStyle w:val="Subsection"/>
      </w:pPr>
      <w:r>
        <w:tab/>
      </w:r>
      <w:r>
        <w:tab/>
        <w:t>Subject to these regulations and the rules of wagering, a bet made with or through a local on</w:t>
      </w:r>
      <w:r>
        <w:noBreakHyphen/>
        <w:t xml:space="preserve">course totalisator is taken to be accepted subject to —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bookmarkStart w:id="262" w:name="_Toc63486049"/>
      <w:r>
        <w:tab/>
        <w:t>[Regulation 80 inserted in Gazette 21 Jul 2006 p. 2675-6.]</w:t>
      </w:r>
    </w:p>
    <w:p>
      <w:pPr>
        <w:pStyle w:val="Heading5"/>
      </w:pPr>
      <w:bookmarkStart w:id="263" w:name="_Toc141173819"/>
      <w:r>
        <w:rPr>
          <w:rStyle w:val="CharSectno"/>
        </w:rPr>
        <w:t>81</w:t>
      </w:r>
      <w:r>
        <w:t>.</w:t>
      </w:r>
      <w:r>
        <w:tab/>
        <w:t>All bets to be 50 cents or multiples of 50 cents</w:t>
      </w:r>
      <w:bookmarkEnd w:id="262"/>
      <w:bookmarkEnd w:id="263"/>
    </w:p>
    <w:p>
      <w:pPr>
        <w:pStyle w:val="Subsection"/>
      </w:pPr>
      <w:r>
        <w:tab/>
        <w:t>(1)</w:t>
      </w:r>
      <w:r>
        <w:tab/>
        <w:t>The minimum bet that may be made with or through an on</w:t>
      </w:r>
      <w:r>
        <w:noBreakHyphen/>
        <w:t>course totalisator or a local on</w:t>
      </w:r>
      <w:r>
        <w:noBreakHyphen/>
        <w:t>course totalisator is to be a unit of 50 cents and larger bets are to be made in multiples of 50 cents.</w:t>
      </w:r>
    </w:p>
    <w:p>
      <w:pPr>
        <w:pStyle w:val="Subsection"/>
      </w:pPr>
      <w:r>
        <w:tab/>
        <w:t>(2)</w:t>
      </w:r>
      <w:r>
        <w:tab/>
        <w:t>Dividends are to be rounded down if the total dividend payable would not be divisible by 5 cents.</w:t>
      </w:r>
    </w:p>
    <w:p>
      <w:pPr>
        <w:pStyle w:val="Footnotesection"/>
      </w:pPr>
      <w:bookmarkStart w:id="264" w:name="_Toc63486050"/>
      <w:r>
        <w:tab/>
        <w:t>[Regulation 81 inserted in Gazette 21 Jul 2006 p. 2676.]</w:t>
      </w:r>
    </w:p>
    <w:p>
      <w:pPr>
        <w:pStyle w:val="Heading5"/>
      </w:pPr>
      <w:bookmarkStart w:id="265" w:name="_Toc141173820"/>
      <w:r>
        <w:rPr>
          <w:rStyle w:val="CharSectno"/>
        </w:rPr>
        <w:t>82</w:t>
      </w:r>
      <w:r>
        <w:t>.</w:t>
      </w:r>
      <w:r>
        <w:tab/>
        <w:t>On</w:t>
      </w:r>
      <w:r>
        <w:noBreakHyphen/>
        <w:t>course totalisator dividend as declared</w:t>
      </w:r>
      <w:bookmarkEnd w:id="264"/>
      <w:bookmarkEnd w:id="265"/>
    </w:p>
    <w:p>
      <w:pPr>
        <w:pStyle w:val="Subsection"/>
      </w:pPr>
      <w:r>
        <w:tab/>
        <w:t>(1)</w:t>
      </w:r>
      <w:r>
        <w:tab/>
        <w:t>The on</w:t>
      </w:r>
      <w:r>
        <w:noBreakHyphen/>
        <w:t xml:space="preserve">course totalisator dividend for a unit of 50 cents is to be as declared —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tie or draw is not an outcome that can be nominated in the bet, the minimum dividend in respect of a bet for a unit of 50 cents —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at 55 cents.</w:t>
      </w:r>
    </w:p>
    <w:p>
      <w:pPr>
        <w:pStyle w:val="Footnotesection"/>
      </w:pPr>
      <w:r>
        <w:tab/>
        <w:t>[Regulation 82 inserted in Gazette 21 Jul 2006 p. 2676-7.]</w:t>
      </w:r>
    </w:p>
    <w:p>
      <w:pPr>
        <w:pStyle w:val="Heading5"/>
      </w:pPr>
      <w:bookmarkStart w:id="266" w:name="_Toc141173821"/>
      <w:r>
        <w:rPr>
          <w:rStyle w:val="CharSectno"/>
        </w:rPr>
        <w:t>83</w:t>
      </w:r>
      <w:r>
        <w:t>.</w:t>
      </w:r>
      <w:r>
        <w:tab/>
        <w:t>Local on</w:t>
      </w:r>
      <w:r>
        <w:noBreakHyphen/>
        <w:t>course totalisator dividend as declared</w:t>
      </w:r>
      <w:bookmarkEnd w:id="266"/>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 xml:space="preserve">course totalisator is to —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 xml:space="preserve">Except where a race results in a dead heat, and a dead heat is not an outcome that can be nominated in the bet, the minimum dividend in respect of a bet for a unit of 50 cents —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at 55 cents.</w:t>
      </w:r>
    </w:p>
    <w:p>
      <w:pPr>
        <w:pStyle w:val="Footnotesection"/>
      </w:pPr>
      <w:bookmarkStart w:id="267" w:name="_Toc63486051"/>
      <w:r>
        <w:tab/>
        <w:t>[Regulation 83 inserted in Gazette 21 Jul 2006 p. 2677-8.]</w:t>
      </w:r>
    </w:p>
    <w:p>
      <w:pPr>
        <w:pStyle w:val="Heading5"/>
      </w:pPr>
      <w:bookmarkStart w:id="268" w:name="_Toc141173822"/>
      <w:r>
        <w:rPr>
          <w:rStyle w:val="CharSectno"/>
        </w:rPr>
        <w:t>84</w:t>
      </w:r>
      <w:r>
        <w:t>.</w:t>
      </w:r>
      <w:r>
        <w:tab/>
        <w:t>Bets may be refused</w:t>
      </w:r>
      <w:bookmarkEnd w:id="267"/>
      <w:bookmarkEnd w:id="268"/>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iCs/>
        </w:rPr>
        <w:t>Racing and Wagering Western Australia Regulations 2003</w:t>
      </w:r>
      <w:r>
        <w:t>, while that notice is in force, must not be accepted.</w:t>
      </w:r>
    </w:p>
    <w:p>
      <w:pPr>
        <w:pStyle w:val="Footnotesection"/>
      </w:pPr>
      <w:bookmarkStart w:id="269" w:name="_Toc63486052"/>
      <w:r>
        <w:tab/>
        <w:t>[Regulation 84 inserted in Gazette 21 Jul 2006 p. 2678.]</w:t>
      </w:r>
    </w:p>
    <w:p>
      <w:pPr>
        <w:pStyle w:val="Heading5"/>
      </w:pPr>
      <w:bookmarkStart w:id="270" w:name="_Toc141173823"/>
      <w:r>
        <w:rPr>
          <w:rStyle w:val="CharSectno"/>
        </w:rPr>
        <w:t>85</w:t>
      </w:r>
      <w:r>
        <w:t>.</w:t>
      </w:r>
      <w:r>
        <w:tab/>
        <w:t>Only authorised bets to be accepted</w:t>
      </w:r>
      <w:bookmarkEnd w:id="269"/>
      <w:bookmarkEnd w:id="270"/>
    </w:p>
    <w:p>
      <w:pPr>
        <w:pStyle w:val="Subsection"/>
      </w:pPr>
      <w:r>
        <w:tab/>
      </w:r>
      <w:r>
        <w:tab/>
        <w:t>Bets with or through an on</w:t>
      </w:r>
      <w:r>
        <w:noBreakHyphen/>
        <w:t>course totalisator or a local on</w:t>
      </w:r>
      <w:r>
        <w:noBreakHyphen/>
        <w:t xml:space="preserve">course totalisator are to be accepted — </w:t>
      </w:r>
    </w:p>
    <w:p>
      <w:pPr>
        <w:pStyle w:val="Indenta"/>
      </w:pPr>
      <w:r>
        <w:tab/>
        <w:t>(a)</w:t>
      </w:r>
      <w:r>
        <w:tab/>
        <w:t>subject to these regulations and the rules of wagering; and</w:t>
      </w:r>
    </w:p>
    <w:p>
      <w:pPr>
        <w:pStyle w:val="Indenta"/>
      </w:pPr>
      <w:r>
        <w:tab/>
        <w:t>(b)</w:t>
      </w:r>
      <w:r>
        <w:tab/>
        <w:t>only in respect of such race meetings or races, or (where applicable) such sporting events, as RWWA authorises in relation to that on</w:t>
      </w:r>
      <w:r>
        <w:noBreakHyphen/>
        <w:t>course totalisator.</w:t>
      </w:r>
    </w:p>
    <w:p>
      <w:pPr>
        <w:pStyle w:val="Footnotesection"/>
      </w:pPr>
      <w:bookmarkStart w:id="271" w:name="_Toc63486053"/>
      <w:r>
        <w:tab/>
        <w:t>[Regulation 85 inserted in Gazette 21 Jul 2006 p. 2678-9.]</w:t>
      </w:r>
    </w:p>
    <w:p>
      <w:pPr>
        <w:pStyle w:val="Heading5"/>
      </w:pPr>
      <w:bookmarkStart w:id="272" w:name="_Toc141173824"/>
      <w:r>
        <w:rPr>
          <w:rStyle w:val="CharSectno"/>
        </w:rPr>
        <w:t>86</w:t>
      </w:r>
      <w:r>
        <w:t>.</w:t>
      </w:r>
      <w:r>
        <w:tab/>
        <w:t>Hours for opening</w:t>
      </w:r>
      <w:bookmarkEnd w:id="271"/>
      <w:bookmarkEnd w:id="272"/>
    </w:p>
    <w:p>
      <w:pPr>
        <w:pStyle w:val="Subsection"/>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pPr>
      <w:r>
        <w:tab/>
        <w:t>(3)</w:t>
      </w:r>
      <w:r>
        <w:tab/>
        <w:t>A local on</w:t>
      </w:r>
      <w:r>
        <w:noBreakHyphen/>
        <w:t>course totalisator may at any time close that totalisator and decline to accepts bets or bets of a particular kind.</w:t>
      </w:r>
    </w:p>
    <w:p>
      <w:pPr>
        <w:pStyle w:val="Footnotesection"/>
      </w:pPr>
      <w:r>
        <w:tab/>
        <w:t>[Regulation 86 inserted in Gazette 21 Jul 2006 p. 2679.]</w:t>
      </w:r>
    </w:p>
    <w:p>
      <w:pPr>
        <w:pStyle w:val="Heading5"/>
      </w:pPr>
      <w:bookmarkStart w:id="273" w:name="_Toc141173825"/>
      <w:r>
        <w:rPr>
          <w:rStyle w:val="CharSectno"/>
        </w:rPr>
        <w:t>87</w:t>
      </w:r>
      <w:r>
        <w:t>.</w:t>
      </w:r>
      <w:r>
        <w:tab/>
        <w:t>Bets may be made by various methods</w:t>
      </w:r>
      <w:bookmarkEnd w:id="273"/>
    </w:p>
    <w:p>
      <w:pPr>
        <w:pStyle w:val="Subsection"/>
      </w:pPr>
      <w:r>
        <w:tab/>
        <w:t>(1)</w:t>
      </w:r>
      <w:r>
        <w:tab/>
        <w:t>Subject to these regulations and the rules of wagering, bets with or through an on</w:t>
      </w:r>
      <w:r>
        <w:noBreakHyphen/>
        <w:t xml:space="preserve">course totalisator will be accepted from a person at that totalisator — </w:t>
      </w:r>
    </w:p>
    <w:p>
      <w:pPr>
        <w:pStyle w:val="Indenta"/>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 xml:space="preserve">course totalisator may accept a bet where part or full payment for the bet is —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 xml:space="preserve">course totalisator may accept a bet where part or full payment for the bet is —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bookmarkStart w:id="274" w:name="_Toc63486055"/>
      <w:r>
        <w:tab/>
        <w:t>[Regulation 87 inserted in Gazette 21 Jul 2006 p. 2679-80.]</w:t>
      </w:r>
    </w:p>
    <w:p>
      <w:pPr>
        <w:pStyle w:val="Heading5"/>
      </w:pPr>
      <w:bookmarkStart w:id="275" w:name="_Toc141173826"/>
      <w:r>
        <w:rPr>
          <w:rStyle w:val="CharSectno"/>
        </w:rPr>
        <w:t>88</w:t>
      </w:r>
      <w:r>
        <w:t>.</w:t>
      </w:r>
      <w:r>
        <w:tab/>
        <w:t>On</w:t>
      </w:r>
      <w:r>
        <w:noBreakHyphen/>
        <w:t>course totalisator bets to be properly marked</w:t>
      </w:r>
      <w:bookmarkEnd w:id="274"/>
      <w:bookmarkEnd w:id="275"/>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in Gazette 21 Jul 2006 p. 2680.]</w:t>
      </w:r>
    </w:p>
    <w:p>
      <w:pPr>
        <w:pStyle w:val="Heading5"/>
      </w:pPr>
      <w:bookmarkStart w:id="276" w:name="_Toc141173827"/>
      <w:r>
        <w:rPr>
          <w:rStyle w:val="CharSectno"/>
        </w:rPr>
        <w:t>89</w:t>
      </w:r>
      <w:r>
        <w:t>.</w:t>
      </w:r>
      <w:r>
        <w:tab/>
        <w:t>Local on</w:t>
      </w:r>
      <w:r>
        <w:noBreakHyphen/>
        <w:t>course totalisator bets to be properly marked</w:t>
      </w:r>
      <w:bookmarkEnd w:id="276"/>
    </w:p>
    <w:p>
      <w:pPr>
        <w:pStyle w:val="Subsection"/>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pPr>
      <w:r>
        <w:tab/>
        <w:t>(3)</w:t>
      </w:r>
      <w:r>
        <w:tab/>
        <w:t>A local on</w:t>
      </w:r>
      <w:r>
        <w:noBreakHyphen/>
        <w:t>course totalisator is not to accept instructions for alternative bets in the event of the horse or greyhound selected being scratched.</w:t>
      </w:r>
    </w:p>
    <w:p>
      <w:pPr>
        <w:pStyle w:val="Footnotesection"/>
      </w:pPr>
      <w:bookmarkStart w:id="277" w:name="_Toc63486057"/>
      <w:r>
        <w:tab/>
        <w:t>[Regulation 89 inserted in Gazette 21 Jul 2006 p. 2681.]</w:t>
      </w:r>
    </w:p>
    <w:p>
      <w:pPr>
        <w:pStyle w:val="Heading5"/>
      </w:pPr>
      <w:bookmarkStart w:id="278" w:name="_Toc141173828"/>
      <w:r>
        <w:rPr>
          <w:rStyle w:val="CharSectno"/>
        </w:rPr>
        <w:t>90</w:t>
      </w:r>
      <w:r>
        <w:t>.</w:t>
      </w:r>
      <w:r>
        <w:tab/>
        <w:t>Tickets to be properly marked</w:t>
      </w:r>
      <w:bookmarkEnd w:id="277"/>
      <w:bookmarkEnd w:id="278"/>
    </w:p>
    <w:p>
      <w:pPr>
        <w:pStyle w:val="Subsection"/>
      </w:pPr>
      <w:r>
        <w:tab/>
        <w:t>(1)</w:t>
      </w:r>
      <w:r>
        <w:tab/>
        <w:t>Every ticket issued by an on</w:t>
      </w:r>
      <w:r>
        <w:noBreakHyphen/>
        <w:t>course totalisator or local on</w:t>
      </w:r>
      <w:r>
        <w:noBreakHyphen/>
        <w:t xml:space="preserve">course totalisator is to be printed, written, stamped, punched or marked to show the kind of bet and, in the case of a bet on a race or races, other than a favourite numbers bet — </w:t>
      </w:r>
    </w:p>
    <w:p>
      <w:pPr>
        <w:pStyle w:val="Indenta"/>
      </w:pPr>
      <w:r>
        <w:tab/>
        <w:t>(a)</w:t>
      </w:r>
      <w:r>
        <w:tab/>
        <w:t>the designation of the race meeting and the date of the race meeting where the race on which the bet to which the ticket relates is to be run; and</w:t>
      </w:r>
    </w:p>
    <w:p>
      <w:pPr>
        <w:pStyle w:val="Indenta"/>
      </w:pPr>
      <w:r>
        <w:tab/>
        <w:t>(b)</w:t>
      </w:r>
      <w:r>
        <w:tab/>
        <w:t>the number of the race or races in respect of which the ticket is issued; and</w:t>
      </w:r>
    </w:p>
    <w:p>
      <w:pPr>
        <w:pStyle w:val="Indenta"/>
      </w:pPr>
      <w:r>
        <w:tab/>
        <w:t>(c)</w:t>
      </w:r>
      <w:r>
        <w:tab/>
        <w:t xml:space="preserve">the code number that has been allocated by RWWA to the horse or greyhound or horses or greyhounds on which the bet in respect of which the ticket is issued is made, </w:t>
      </w:r>
    </w:p>
    <w:p>
      <w:pPr>
        <w:pStyle w:val="Subsection"/>
      </w:pPr>
      <w:r>
        <w:tab/>
      </w:r>
      <w:r>
        <w:tab/>
        <w:t>together with sufficient details to identify the bet accepted and the amount of the bet expressed in units of 50 cents.</w:t>
      </w:r>
    </w:p>
    <w:p>
      <w:pPr>
        <w:pStyle w:val="Subsection"/>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in Gazette 21 Jul 2006 p. 2681-2.]</w:t>
      </w:r>
    </w:p>
    <w:p>
      <w:pPr>
        <w:pStyle w:val="Heading5"/>
      </w:pPr>
      <w:bookmarkStart w:id="279" w:name="_Toc141173829"/>
      <w:r>
        <w:rPr>
          <w:rStyle w:val="CharSectno"/>
        </w:rPr>
        <w:t>91</w:t>
      </w:r>
      <w:r>
        <w:t>.</w:t>
      </w:r>
      <w:r>
        <w:tab/>
        <w:t>Host racing club to exhibit notices at on</w:t>
      </w:r>
      <w:r>
        <w:noBreakHyphen/>
        <w:t>course totalisator and local on</w:t>
      </w:r>
      <w:r>
        <w:noBreakHyphen/>
        <w:t>course totalisator</w:t>
      </w:r>
      <w:bookmarkEnd w:id="279"/>
    </w:p>
    <w:p>
      <w:pPr>
        <w:pStyle w:val="Subsection"/>
      </w:pPr>
      <w:r>
        <w:tab/>
        <w:t>(1)</w:t>
      </w:r>
      <w:r>
        <w:tab/>
        <w:t>The authority controlling the race meeting (“host club”)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bookmarkStart w:id="280" w:name="_Toc63486059"/>
      <w:r>
        <w:tab/>
        <w:t>[Regulation 91 inserted in Gazette 21 Jul 2006 p. 2682.]</w:t>
      </w:r>
    </w:p>
    <w:p>
      <w:pPr>
        <w:pStyle w:val="Heading5"/>
      </w:pPr>
      <w:bookmarkStart w:id="281" w:name="_Toc141173830"/>
      <w:r>
        <w:rPr>
          <w:rStyle w:val="CharSectno"/>
        </w:rPr>
        <w:t>92</w:t>
      </w:r>
      <w:r>
        <w:t>.</w:t>
      </w:r>
      <w:r>
        <w:tab/>
        <w:t>Correction of errors and omissions and the giving of certain refunds</w:t>
      </w:r>
      <w:bookmarkEnd w:id="280"/>
      <w:bookmarkEnd w:id="281"/>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 xml:space="preserve">course totalisator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(5)</w:t>
      </w:r>
      <w:r>
        <w:tab/>
        <w:t xml:space="preserve">Unless subregulation (1) applies, where a ticket is incomplete as to any of the particulars required to be shown on the ticket, or if —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bookmarkStart w:id="282" w:name="_Toc63486060"/>
      <w:r>
        <w:tab/>
        <w:t>[Regulation 92 inserted in Gazette 21 Jul 2006 p. 2683-4.]</w:t>
      </w:r>
    </w:p>
    <w:p>
      <w:pPr>
        <w:pStyle w:val="Heading5"/>
      </w:pPr>
      <w:bookmarkStart w:id="283" w:name="_Toc141173831"/>
      <w:r>
        <w:rPr>
          <w:rStyle w:val="CharSectno"/>
        </w:rPr>
        <w:t>93</w:t>
      </w:r>
      <w:r>
        <w:t>.</w:t>
      </w:r>
      <w:r>
        <w:tab/>
        <w:t>Time for payment of dividends or refunds for cash bets</w:t>
      </w:r>
      <w:bookmarkEnd w:id="282"/>
      <w:bookmarkEnd w:id="283"/>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bookmarkStart w:id="284" w:name="_Toc63486061"/>
      <w:r>
        <w:tab/>
        <w:t>[Regulation 93 inserted in Gazette 21 Jul 2006 p. 2684-5.]</w:t>
      </w:r>
    </w:p>
    <w:p>
      <w:pPr>
        <w:pStyle w:val="Heading5"/>
      </w:pPr>
      <w:bookmarkStart w:id="285" w:name="_Toc141173832"/>
      <w:r>
        <w:rPr>
          <w:rStyle w:val="CharSectno"/>
        </w:rPr>
        <w:t>94</w:t>
      </w:r>
      <w:r>
        <w:t>.</w:t>
      </w:r>
      <w:r>
        <w:tab/>
        <w:t>Presentation of tickets or claims</w:t>
      </w:r>
      <w:bookmarkEnd w:id="284"/>
      <w:bookmarkEnd w:id="285"/>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 xml:space="preserve">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 xml:space="preserve">course totalisator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bookmarkStart w:id="286" w:name="_Toc63486062"/>
      <w:r>
        <w:tab/>
        <w:t>[Regulation 94 inserted in Gazette 21 Jul 2006 p. 2685-6.]</w:t>
      </w:r>
    </w:p>
    <w:p>
      <w:pPr>
        <w:pStyle w:val="Heading5"/>
      </w:pPr>
      <w:bookmarkStart w:id="287" w:name="_Toc141173833"/>
      <w:r>
        <w:rPr>
          <w:rStyle w:val="CharSectno"/>
        </w:rPr>
        <w:t>95</w:t>
      </w:r>
      <w:r>
        <w:t>.</w:t>
      </w:r>
      <w:r>
        <w:tab/>
        <w:t>When refunds of bets are payable</w:t>
      </w:r>
      <w:bookmarkEnd w:id="286"/>
      <w:bookmarkEnd w:id="287"/>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 xml:space="preserve">course totalisator is to refund all of the amounts of bets made in respect of races that were to be but were not held on that day at that race meeting other than —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pPr>
      <w:r>
        <w:tab/>
        <w:t>[Regulation 95 inserted in Gazette 21 Jul 2006 p. 2686-8.]</w:t>
      </w:r>
    </w:p>
    <w:p>
      <w:pPr>
        <w:pStyle w:val="Heading3"/>
      </w:pPr>
      <w:bookmarkStart w:id="288" w:name="_Toc141162245"/>
      <w:bookmarkStart w:id="289" w:name="_Toc141173834"/>
      <w:r>
        <w:rPr>
          <w:rStyle w:val="CharDivNo"/>
        </w:rPr>
        <w:t>Division 3</w:t>
      </w:r>
      <w:r>
        <w:t> — </w:t>
      </w:r>
      <w:r>
        <w:rPr>
          <w:rStyle w:val="CharDivText"/>
        </w:rPr>
        <w:t>Miscellaneous discipline and offence provisions</w:t>
      </w:r>
      <w:bookmarkEnd w:id="288"/>
      <w:bookmarkEnd w:id="289"/>
    </w:p>
    <w:p>
      <w:pPr>
        <w:pStyle w:val="Footnoteheading"/>
      </w:pPr>
      <w:r>
        <w:tab/>
        <w:t>[Heading inserted in Gazette 21 Jul 2006 p. 2688.]</w:t>
      </w:r>
    </w:p>
    <w:p>
      <w:pPr>
        <w:pStyle w:val="Heading5"/>
      </w:pPr>
      <w:bookmarkStart w:id="290" w:name="_Toc141173835"/>
      <w:r>
        <w:rPr>
          <w:rStyle w:val="CharSectno"/>
        </w:rPr>
        <w:t>96</w:t>
      </w:r>
      <w:r>
        <w:t>.</w:t>
      </w:r>
      <w:r>
        <w:tab/>
        <w:t>Person making bet bound by these regulations, the rules of wagering and instructions</w:t>
      </w:r>
      <w:bookmarkEnd w:id="290"/>
    </w:p>
    <w:p>
      <w:pPr>
        <w:pStyle w:val="Subsection"/>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pPr>
      <w:r>
        <w:tab/>
        <w:t>[Regulation 96 inserted in Gazette 21 Jul 2006 p. 2688.]</w:t>
      </w:r>
    </w:p>
    <w:p>
      <w:pPr>
        <w:pStyle w:val="Heading5"/>
      </w:pPr>
      <w:bookmarkStart w:id="291" w:name="_Toc141173836"/>
      <w:r>
        <w:rPr>
          <w:rStyle w:val="CharSectno"/>
        </w:rPr>
        <w:t>97</w:t>
      </w:r>
      <w:r>
        <w:t>.</w:t>
      </w:r>
      <w:r>
        <w:tab/>
        <w:t>Offences relating to making and accepting wagers</w:t>
      </w:r>
      <w:bookmarkEnd w:id="291"/>
    </w:p>
    <w:p>
      <w:pPr>
        <w:pStyle w:val="Subsection"/>
      </w:pPr>
      <w:r>
        <w:tab/>
        <w:t>(1)</w:t>
      </w:r>
      <w:r>
        <w:tab/>
        <w:t xml:space="preserve">The offences set out in this regulation are committed by a person if that person is — </w:t>
      </w:r>
    </w:p>
    <w:p>
      <w:pPr>
        <w:pStyle w:val="Defpara"/>
      </w:pPr>
      <w:r>
        <w:tab/>
        <w:t>(a)</w:t>
      </w:r>
      <w:r>
        <w:tab/>
        <w:t>a person representing the authority operating a local on</w:t>
      </w:r>
      <w:r>
        <w:rPr>
          <w:rStyle w:val="CharDefText"/>
        </w:rPr>
        <w:noBreakHyphen/>
      </w:r>
      <w:r>
        <w:t>course totalisator; or</w:t>
      </w:r>
    </w:p>
    <w:p>
      <w:pPr>
        <w:pStyle w:val="Defpara"/>
      </w:pPr>
      <w:r>
        <w:tab/>
        <w:t>(b)</w:t>
      </w:r>
      <w:r>
        <w:tab/>
        <w:t>a representative of the racing club operating an on</w:t>
      </w:r>
      <w:r>
        <w:rPr>
          <w:rStyle w:val="CharDefText"/>
        </w:rPr>
        <w:noBreakHyphen/>
      </w:r>
      <w:r>
        <w:t>course totalisator; or</w:t>
      </w:r>
    </w:p>
    <w:p>
      <w:pPr>
        <w:pStyle w:val="Defpara"/>
      </w:pPr>
      <w:r>
        <w:tab/>
        <w:t>(c)</w:t>
      </w:r>
      <w:r>
        <w:tab/>
        <w:t>a person employed or otherwise engaged to assist in the operation of an on</w:t>
      </w:r>
      <w:r>
        <w:rPr>
          <w:rStyle w:val="CharDefText"/>
        </w:rPr>
        <w:noBreakHyphen/>
      </w:r>
      <w:r>
        <w:t>course totalisator or a local on</w:t>
      </w:r>
      <w:r>
        <w:rPr>
          <w:rStyle w:val="CharDefText"/>
        </w:rPr>
        <w:noBreakHyphen/>
      </w:r>
      <w:r>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 xml:space="preserve">A person who accepts a wager contrary to — </w:t>
      </w:r>
    </w:p>
    <w:p>
      <w:pPr>
        <w:pStyle w:val="Indenta"/>
      </w:pPr>
      <w:r>
        <w:tab/>
        <w:t>(a)</w:t>
      </w:r>
      <w:r>
        <w:tab/>
        <w:t xml:space="preserve">a method allowed by regulation 87; or </w:t>
      </w:r>
    </w:p>
    <w:p>
      <w:pPr>
        <w:pStyle w:val="Indenta"/>
      </w:pPr>
      <w:r>
        <w:tab/>
        <w:t>(b)</w:t>
      </w:r>
      <w:r>
        <w:tab/>
        <w:t>in the case of an on</w:t>
      </w:r>
      <w:r>
        <w:rPr>
          <w:rStyle w:val="CharDefText"/>
        </w:rPr>
        <w:noBreakHyphen/>
      </w:r>
      <w:r>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in Gazette 21 Jul 2006 p. 2688-9.]</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292" w:name="_Toc512675332"/>
      <w:bookmarkStart w:id="293" w:name="_Toc512918151"/>
      <w:bookmarkStart w:id="294" w:name="_Toc27803447"/>
      <w:bookmarkStart w:id="295" w:name="_Toc100975099"/>
      <w:bookmarkStart w:id="296" w:name="_Toc100977233"/>
      <w:bookmarkStart w:id="297" w:name="_Toc101081016"/>
      <w:bookmarkStart w:id="298" w:name="_Toc101774531"/>
      <w:bookmarkStart w:id="299" w:name="_Toc101774607"/>
      <w:bookmarkStart w:id="300" w:name="_Toc101774710"/>
      <w:bookmarkStart w:id="301" w:name="_Toc105391559"/>
      <w:bookmarkStart w:id="302" w:name="_Toc116986501"/>
      <w:bookmarkStart w:id="303" w:name="_Toc133903554"/>
      <w:bookmarkStart w:id="304" w:name="_Toc133903648"/>
      <w:bookmarkStart w:id="305" w:name="_Toc133920997"/>
      <w:bookmarkStart w:id="306" w:name="_Toc141162248"/>
      <w:bookmarkStart w:id="307" w:name="_Toc141173837"/>
      <w:r>
        <w:rPr>
          <w:rStyle w:val="CharSchNo"/>
        </w:rPr>
        <w:t>Appendix</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r>
        <w:t xml:space="preserve"> </w:t>
      </w:r>
    </w:p>
    <w:p>
      <w:pPr>
        <w:pStyle w:val="yHeading2"/>
        <w:rPr>
          <w:snapToGrid/>
        </w:rPr>
      </w:pPr>
      <w:bookmarkStart w:id="308" w:name="_Toc27803448"/>
      <w:bookmarkStart w:id="309" w:name="_Toc101774532"/>
      <w:bookmarkStart w:id="310" w:name="_Toc101774608"/>
      <w:bookmarkStart w:id="311" w:name="_Toc101774711"/>
      <w:bookmarkStart w:id="312" w:name="_Toc133903555"/>
      <w:bookmarkStart w:id="313" w:name="_Toc133903649"/>
      <w:bookmarkStart w:id="314" w:name="_Toc133920998"/>
      <w:bookmarkStart w:id="315" w:name="_Toc141162249"/>
      <w:bookmarkStart w:id="316" w:name="_Toc141173838"/>
      <w:r>
        <w:rPr>
          <w:rStyle w:val="CharSchText"/>
        </w:rPr>
        <w:t>Rules of Betting</w:t>
      </w:r>
      <w:bookmarkEnd w:id="308"/>
      <w:bookmarkEnd w:id="309"/>
      <w:bookmarkEnd w:id="310"/>
      <w:bookmarkEnd w:id="311"/>
      <w:bookmarkEnd w:id="312"/>
      <w:bookmarkEnd w:id="313"/>
      <w:bookmarkEnd w:id="314"/>
      <w:bookmarkEnd w:id="315"/>
      <w:bookmarkEnd w:id="316"/>
      <w:r>
        <w:t> </w:t>
      </w:r>
    </w:p>
    <w:p>
      <w:pPr>
        <w:pStyle w:val="yFootnoteheading"/>
      </w:pPr>
      <w:r>
        <w:rPr>
          <w:snapToGrid w:val="0"/>
        </w:rPr>
        <w:tab/>
        <w:t>[Heading inserted in Gazette 14 Sep 1990 p. 4864.]</w:t>
      </w:r>
    </w:p>
    <w:p>
      <w:pPr>
        <w:pStyle w:val="yHeading2"/>
        <w:rPr>
          <w:sz w:val="22"/>
        </w:rPr>
      </w:pPr>
      <w:bookmarkStart w:id="317" w:name="_Toc27803449"/>
      <w:bookmarkStart w:id="318" w:name="_Toc101774533"/>
      <w:bookmarkStart w:id="319" w:name="_Toc101774609"/>
      <w:bookmarkStart w:id="320" w:name="_Toc101774712"/>
      <w:bookmarkStart w:id="321" w:name="_Toc133903556"/>
      <w:bookmarkStart w:id="322" w:name="_Toc133903650"/>
      <w:bookmarkStart w:id="323" w:name="_Toc133920999"/>
      <w:bookmarkStart w:id="324" w:name="_Toc141162250"/>
      <w:bookmarkStart w:id="325" w:name="_Toc141173839"/>
      <w:r>
        <w:rPr>
          <w:rStyle w:val="CharDivNo"/>
          <w:sz w:val="22"/>
        </w:rPr>
        <w:t>Part 1</w:t>
      </w:r>
      <w:r>
        <w:rPr>
          <w:sz w:val="22"/>
        </w:rPr>
        <w:t> — </w:t>
      </w:r>
      <w:r>
        <w:rPr>
          <w:rStyle w:val="CharDivText"/>
          <w:sz w:val="22"/>
        </w:rPr>
        <w:t>Betting under the rules of racing</w:t>
      </w:r>
      <w:bookmarkEnd w:id="317"/>
      <w:bookmarkEnd w:id="318"/>
      <w:bookmarkEnd w:id="319"/>
      <w:bookmarkEnd w:id="320"/>
      <w:bookmarkEnd w:id="321"/>
      <w:bookmarkEnd w:id="322"/>
      <w:bookmarkEnd w:id="323"/>
      <w:bookmarkEnd w:id="324"/>
      <w:bookmarkEnd w:id="325"/>
    </w:p>
    <w:p>
      <w:pPr>
        <w:pStyle w:val="yFootnoteheading"/>
        <w:rPr>
          <w:snapToGrid w:val="0"/>
        </w:rPr>
      </w:pPr>
      <w:r>
        <w:rPr>
          <w:snapToGrid w:val="0"/>
        </w:rPr>
        <w:tab/>
        <w:t>[Heading inserted in Gazette 21 Jul 1998 p. 3856.]</w:t>
      </w:r>
    </w:p>
    <w:p>
      <w:pPr>
        <w:pStyle w:val="yHeading5"/>
        <w:spacing w:before="260"/>
        <w:rPr>
          <w:snapToGrid w:val="0"/>
        </w:rPr>
      </w:pPr>
      <w:bookmarkStart w:id="326" w:name="_Toc511525083"/>
      <w:bookmarkStart w:id="327" w:name="_Toc27803450"/>
      <w:bookmarkStart w:id="328" w:name="_Toc133903557"/>
      <w:bookmarkStart w:id="329" w:name="_Toc141173840"/>
      <w:r>
        <w:rPr>
          <w:rStyle w:val="CharSClsNo"/>
        </w:rPr>
        <w:t>1</w:t>
      </w:r>
      <w:r>
        <w:rPr>
          <w:snapToGrid w:val="0"/>
        </w:rPr>
        <w:t>.</w:t>
      </w:r>
      <w:r>
        <w:rPr>
          <w:snapToGrid w:val="0"/>
        </w:rPr>
        <w:tab/>
        <w:t>Interpretation</w:t>
      </w:r>
      <w:bookmarkEnd w:id="326"/>
      <w:bookmarkEnd w:id="327"/>
      <w:bookmarkEnd w:id="328"/>
      <w:bookmarkEnd w:id="329"/>
      <w:r>
        <w:rPr>
          <w:snapToGrid w:val="0"/>
        </w:rPr>
        <w:t xml:space="preserve"> </w:t>
      </w:r>
    </w:p>
    <w:p>
      <w:pPr>
        <w:pStyle w:val="ySubsection"/>
        <w:spacing w:before="200"/>
        <w:rPr>
          <w:snapToGrid w:val="0"/>
        </w:rPr>
      </w:pPr>
      <w:r>
        <w:rPr>
          <w:snapToGrid w:val="0"/>
        </w:rPr>
        <w:tab/>
        <w:t>(1)</w:t>
      </w:r>
      <w:r>
        <w:rPr>
          <w:snapToGrid w:val="0"/>
        </w:rPr>
        <w:tab/>
        <w:t>In these rules, unless the contrary intention appears — </w:t>
      </w:r>
    </w:p>
    <w:p>
      <w:pPr>
        <w:pStyle w:val="yDefstart"/>
        <w:spacing w:before="120"/>
      </w:pPr>
      <w:r>
        <w:rPr>
          <w:b/>
        </w:rPr>
        <w:tab/>
        <w:t>“</w:t>
      </w:r>
      <w:r>
        <w:rPr>
          <w:rStyle w:val="CharDefText"/>
        </w:rPr>
        <w:t>all up bet</w:t>
      </w:r>
      <w:r>
        <w:rPr>
          <w:b/>
        </w:rPr>
        <w:t>”</w:t>
      </w:r>
      <w:r>
        <w:t xml:space="preserve"> means a bet in which the original stake and any subsequent winnings are wagered on the runners named until the contract is completed;</w:t>
      </w:r>
    </w:p>
    <w:p>
      <w:pPr>
        <w:pStyle w:val="yDefstart"/>
        <w:spacing w:before="120"/>
      </w:pPr>
      <w:r>
        <w:rPr>
          <w:b/>
        </w:rPr>
        <w:tab/>
        <w:t>“</w:t>
      </w:r>
      <w:r>
        <w:rPr>
          <w:rStyle w:val="CharDefText"/>
        </w:rPr>
        <w:t>barrier</w:t>
      </w:r>
      <w:r>
        <w:rPr>
          <w:b/>
        </w:rPr>
        <w:t>”</w:t>
      </w:r>
      <w:r>
        <w:t xml:space="preserve"> includes starting box or starting gate;</w:t>
      </w:r>
    </w:p>
    <w:p>
      <w:pPr>
        <w:pStyle w:val="yDefstart"/>
        <w:spacing w:before="120"/>
      </w:pPr>
      <w:r>
        <w:rPr>
          <w:b/>
        </w:rPr>
        <w:tab/>
        <w:t>“</w:t>
      </w:r>
      <w:r>
        <w:rPr>
          <w:rStyle w:val="CharDefText"/>
        </w:rPr>
        <w:t>betting sheet</w:t>
      </w:r>
      <w:r>
        <w:rPr>
          <w:b/>
        </w:rPr>
        <w:t>”</w:t>
      </w:r>
      <w:r>
        <w:t xml:space="preserve"> means the written record of a bookmaker’s bets on the several runners in a race as required by the Act and regulations;</w:t>
      </w:r>
    </w:p>
    <w:p>
      <w:pPr>
        <w:pStyle w:val="yDefstart"/>
        <w:spacing w:before="120"/>
      </w:pPr>
      <w:r>
        <w:rPr>
          <w:b/>
        </w:rPr>
        <w:tab/>
        <w:t>“</w:t>
      </w:r>
      <w:r>
        <w:rPr>
          <w:rStyle w:val="CharDefText"/>
        </w:rPr>
        <w:t>committee</w:t>
      </w:r>
      <w:r>
        <w:rPr>
          <w:b/>
        </w:rPr>
        <w:t>”</w:t>
      </w:r>
      <w:r>
        <w:t xml:space="preserve"> means the committee of the racing club holding the race meeting;</w:t>
      </w:r>
    </w:p>
    <w:p>
      <w:pPr>
        <w:pStyle w:val="yDefstart"/>
        <w:spacing w:before="120"/>
      </w:pPr>
      <w:r>
        <w:rPr>
          <w:b/>
        </w:rPr>
        <w:tab/>
        <w:t>“</w:t>
      </w:r>
      <w:r>
        <w:rPr>
          <w:rStyle w:val="CharDefText"/>
        </w:rPr>
        <w:t>double</w:t>
      </w:r>
      <w:r>
        <w:rPr>
          <w:b/>
        </w:rPr>
        <w:t>”</w:t>
      </w:r>
      <w:r>
        <w:t xml:space="preserve"> means a bet on the contingency of 2 races;</w:t>
      </w:r>
    </w:p>
    <w:p>
      <w:pPr>
        <w:pStyle w:val="yDefstart"/>
        <w:spacing w:before="120"/>
      </w:pPr>
      <w:r>
        <w:rPr>
          <w:b/>
        </w:rPr>
        <w:tab/>
        <w:t>“</w:t>
      </w:r>
      <w:r>
        <w:rPr>
          <w:rStyle w:val="CharDefText"/>
        </w:rPr>
        <w:t>objection</w:t>
      </w:r>
      <w:r>
        <w:rPr>
          <w:b/>
        </w:rPr>
        <w:t>”</w:t>
      </w:r>
      <w:r>
        <w:t xml:space="preserve"> includes protest;</w:t>
      </w:r>
    </w:p>
    <w:p>
      <w:pPr>
        <w:pStyle w:val="yDefstart"/>
        <w:spacing w:before="120"/>
      </w:pPr>
      <w:r>
        <w:rPr>
          <w:b/>
        </w:rPr>
        <w:tab/>
        <w:t>“</w:t>
      </w:r>
      <w:r>
        <w:rPr>
          <w:rStyle w:val="CharDefText"/>
        </w:rPr>
        <w:t>play or pay</w:t>
      </w:r>
      <w:r>
        <w:rPr>
          <w:b/>
        </w:rPr>
        <w:t>”</w:t>
      </w:r>
      <w:r>
        <w:t xml:space="preserve"> used in relation to a bet, means a bet that holds good whether the runner to which the bet relates runs in the race in respect of which the bet is made or not;</w:t>
      </w:r>
    </w:p>
    <w:p>
      <w:pPr>
        <w:pStyle w:val="yDefstart"/>
        <w:spacing w:before="120"/>
      </w:pPr>
      <w:r>
        <w:rPr>
          <w:b/>
        </w:rPr>
        <w:tab/>
        <w:t>“</w:t>
      </w:r>
      <w:r>
        <w:rPr>
          <w:rStyle w:val="CharDefText"/>
        </w:rPr>
        <w:t>Scale of Deduction Table</w:t>
      </w:r>
      <w:r>
        <w:rPr>
          <w:b/>
        </w:rPr>
        <w:t>”</w:t>
      </w:r>
      <w:r>
        <w:t xml:space="preserve"> means the Table set out at the end of these rules;</w:t>
      </w:r>
    </w:p>
    <w:p>
      <w:pPr>
        <w:pStyle w:val="yDefstart"/>
        <w:spacing w:before="120"/>
      </w:pPr>
      <w:r>
        <w:rPr>
          <w:b/>
        </w:rPr>
        <w:tab/>
        <w:t>“</w:t>
      </w:r>
      <w:r>
        <w:rPr>
          <w:rStyle w:val="CharDefText"/>
        </w:rPr>
        <w:t>treble</w:t>
      </w:r>
      <w:r>
        <w:rPr>
          <w:b/>
        </w:rPr>
        <w:t>”</w:t>
      </w:r>
      <w:r>
        <w:t xml:space="preserve"> means a bet on the contingency of 3 races;</w:t>
      </w:r>
    </w:p>
    <w:p>
      <w:pPr>
        <w:pStyle w:val="yDefstart"/>
        <w:spacing w:before="120"/>
      </w:pPr>
      <w:r>
        <w:rPr>
          <w:b/>
        </w:rPr>
        <w:tab/>
        <w:t>“</w:t>
      </w:r>
      <w:r>
        <w:rPr>
          <w:rStyle w:val="CharDefText"/>
        </w:rPr>
        <w:t>walk</w:t>
      </w:r>
      <w:r>
        <w:rPr>
          <w:rStyle w:val="CharDefText"/>
        </w:rPr>
        <w:noBreakHyphen/>
        <w:t>over</w:t>
      </w:r>
      <w:r>
        <w:rPr>
          <w:b/>
        </w:rPr>
        <w:t>”</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spacing w:before="260"/>
        <w:outlineLvl w:val="9"/>
        <w:rPr>
          <w:snapToGrid w:val="0"/>
        </w:rPr>
      </w:pPr>
      <w:bookmarkStart w:id="330" w:name="_Toc511525084"/>
      <w:bookmarkStart w:id="331" w:name="_Toc27803451"/>
      <w:bookmarkStart w:id="332" w:name="_Toc133903558"/>
      <w:bookmarkStart w:id="333" w:name="_Toc141173841"/>
      <w:r>
        <w:rPr>
          <w:rStyle w:val="CharSClsNo"/>
        </w:rPr>
        <w:t>2</w:t>
      </w:r>
      <w:r>
        <w:rPr>
          <w:snapToGrid w:val="0"/>
        </w:rPr>
        <w:t>.</w:t>
      </w:r>
      <w:r>
        <w:rPr>
          <w:snapToGrid w:val="0"/>
        </w:rPr>
        <w:tab/>
        <w:t>Bets void in certain circumstances</w:t>
      </w:r>
      <w:bookmarkEnd w:id="330"/>
      <w:bookmarkEnd w:id="331"/>
      <w:bookmarkEnd w:id="332"/>
      <w:bookmarkEnd w:id="333"/>
      <w:r>
        <w:rPr>
          <w:snapToGrid w:val="0"/>
        </w:rPr>
        <w:t xml:space="preserve"> </w:t>
      </w:r>
    </w:p>
    <w:p>
      <w:pPr>
        <w:pStyle w:val="ySubsection"/>
        <w:spacing w:before="200"/>
        <w:rPr>
          <w:snapToGrid w:val="0"/>
        </w:rPr>
      </w:pPr>
      <w:r>
        <w:rPr>
          <w:snapToGrid w:val="0"/>
        </w:rPr>
        <w:tab/>
        <w:t>(1)</w:t>
      </w:r>
      <w:r>
        <w:rPr>
          <w:snapToGrid w:val="0"/>
        </w:rPr>
        <w:tab/>
        <w:t>A bet is void — </w:t>
      </w:r>
    </w:p>
    <w:p>
      <w:pPr>
        <w:pStyle w:val="yIndenta"/>
        <w:spacing w:before="100"/>
        <w:rPr>
          <w:snapToGrid w:val="0"/>
        </w:rPr>
      </w:pPr>
      <w:r>
        <w:rPr>
          <w:snapToGrid w:val="0"/>
        </w:rPr>
        <w:tab/>
        <w:t>(a)</w:t>
      </w:r>
      <w:r>
        <w:rPr>
          <w:snapToGrid w:val="0"/>
        </w:rPr>
        <w:tab/>
        <w:t>if, when it is made, it is not possible for the backer to win;</w:t>
      </w:r>
    </w:p>
    <w:p>
      <w:pPr>
        <w:pStyle w:val="yIndenta"/>
        <w:spacing w:before="10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w:t>
      </w:r>
    </w:p>
    <w:p>
      <w:pPr>
        <w:pStyle w:val="yIndenta"/>
        <w:spacing w:before="100"/>
        <w:rPr>
          <w:snapToGrid w:val="0"/>
        </w:rPr>
      </w:pPr>
      <w:r>
        <w:rPr>
          <w:snapToGrid w:val="0"/>
        </w:rPr>
        <w:tab/>
        <w:t>(c)</w:t>
      </w:r>
      <w:r>
        <w:rPr>
          <w:snapToGrid w:val="0"/>
        </w:rPr>
        <w:tab/>
        <w:t>if it is made on a runner in running;</w:t>
      </w:r>
    </w:p>
    <w:p>
      <w:pPr>
        <w:pStyle w:val="yIndenta"/>
        <w:spacing w:before="10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w:t>
      </w:r>
    </w:p>
    <w:p>
      <w:pPr>
        <w:pStyle w:val="yIndenta"/>
        <w:spacing w:before="100"/>
        <w:rPr>
          <w:snapToGrid w:val="0"/>
        </w:rPr>
      </w:pPr>
      <w:r>
        <w:rPr>
          <w:snapToGrid w:val="0"/>
        </w:rPr>
        <w:tab/>
        <w:t>(e)</w:t>
      </w:r>
      <w:r>
        <w:rPr>
          <w:snapToGrid w:val="0"/>
        </w:rPr>
        <w:tab/>
        <w:t>if, being made on a match between 2 runners the match results in a dead heat;</w:t>
      </w:r>
    </w:p>
    <w:p>
      <w:pPr>
        <w:pStyle w:val="yIndenta"/>
        <w:spacing w:before="100"/>
        <w:rPr>
          <w:snapToGrid w:val="0"/>
        </w:rPr>
      </w:pPr>
      <w:r>
        <w:rPr>
          <w:snapToGrid w:val="0"/>
        </w:rPr>
        <w:tab/>
        <w:t>(f)</w:t>
      </w:r>
      <w:r>
        <w:rPr>
          <w:snapToGrid w:val="0"/>
        </w:rPr>
        <w:tab/>
        <w:t>if it is made after the determination of the race to which it relates;</w:t>
      </w:r>
    </w:p>
    <w:p>
      <w:pPr>
        <w:pStyle w:val="yIndenta"/>
        <w:spacing w:before="100"/>
        <w:rPr>
          <w:snapToGrid w:val="0"/>
        </w:rPr>
      </w:pPr>
      <w:r>
        <w:rPr>
          <w:snapToGrid w:val="0"/>
        </w:rPr>
        <w:tab/>
        <w:t>(g)</w:t>
      </w:r>
      <w:r>
        <w:rPr>
          <w:snapToGrid w:val="0"/>
        </w:rPr>
        <w:tab/>
        <w:t>if it is so declared by</w:t>
      </w:r>
      <w:r>
        <w:t xml:space="preserve"> the rules of racing or wagering</w:t>
      </w:r>
      <w:r>
        <w:rPr>
          <w:snapToGrid w:val="0"/>
        </w:rPr>
        <w:t>;</w:t>
      </w:r>
    </w:p>
    <w:p>
      <w:pPr>
        <w:pStyle w:val="yIndenta"/>
        <w:spacing w:before="100"/>
        <w:rPr>
          <w:snapToGrid w:val="0"/>
        </w:rPr>
      </w:pPr>
      <w:r>
        <w:rPr>
          <w:snapToGrid w:val="0"/>
        </w:rPr>
        <w:tab/>
        <w:t>(h)</w:t>
      </w:r>
      <w:r>
        <w:rPr>
          <w:snapToGrid w:val="0"/>
        </w:rPr>
        <w:tab/>
        <w:t>if it is declared to be void by the Commission pursuant to subrule (2); or</w:t>
      </w:r>
    </w:p>
    <w:p>
      <w:pPr>
        <w:pStyle w:val="yIndenta"/>
        <w:spacing w:before="100"/>
        <w:rPr>
          <w:snapToGrid w:val="0"/>
        </w:rPr>
      </w:pPr>
      <w:r>
        <w:rPr>
          <w:snapToGrid w:val="0"/>
        </w:rPr>
        <w:tab/>
        <w:t>(i)</w:t>
      </w:r>
      <w:r>
        <w:rPr>
          <w:snapToGrid w:val="0"/>
        </w:rPr>
        <w:tab/>
        <w:t>if it becomes void in the manner provided in rule 12.</w:t>
      </w:r>
    </w:p>
    <w:p>
      <w:pPr>
        <w:pStyle w:val="ySubsection"/>
        <w:spacing w:before="20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pPr>
      <w:bookmarkStart w:id="334" w:name="_Toc511525085"/>
      <w:bookmarkStart w:id="335" w:name="_Toc27803452"/>
      <w:r>
        <w:tab/>
        <w:t>[Rule 2 amended in Gazette 21 Jul 1998 p. 3855 and 3856; 18 Jan 2002 p. 284; 20 Sep 2002 p. 4704; 30 Jan 2004 p. 406 and 412.]</w:t>
      </w:r>
    </w:p>
    <w:p>
      <w:pPr>
        <w:pStyle w:val="yHeading5"/>
        <w:keepLines w:val="0"/>
        <w:outlineLvl w:val="9"/>
        <w:rPr>
          <w:snapToGrid w:val="0"/>
        </w:rPr>
      </w:pPr>
      <w:bookmarkStart w:id="336" w:name="_Toc133903559"/>
      <w:bookmarkStart w:id="337" w:name="_Toc141173842"/>
      <w:r>
        <w:rPr>
          <w:rStyle w:val="CharSClsNo"/>
        </w:rPr>
        <w:t>3</w:t>
      </w:r>
      <w:r>
        <w:rPr>
          <w:snapToGrid w:val="0"/>
        </w:rPr>
        <w:t>.</w:t>
      </w:r>
      <w:r>
        <w:rPr>
          <w:snapToGrid w:val="0"/>
        </w:rPr>
        <w:tab/>
        <w:t>When bets are off</w:t>
      </w:r>
      <w:bookmarkEnd w:id="334"/>
      <w:bookmarkEnd w:id="335"/>
      <w:bookmarkEnd w:id="336"/>
      <w:bookmarkEnd w:id="337"/>
      <w:r>
        <w:rPr>
          <w:snapToGrid w:val="0"/>
        </w:rPr>
        <w:t xml:space="preserve"> </w:t>
      </w:r>
    </w:p>
    <w:p>
      <w:pPr>
        <w:pStyle w:val="ySubsection"/>
        <w:keepNext/>
        <w:rPr>
          <w:snapToGrid w:val="0"/>
        </w:rPr>
      </w:pPr>
      <w:r>
        <w:rPr>
          <w:snapToGrid w:val="0"/>
        </w:rPr>
        <w:tab/>
        <w:t>(1)</w:t>
      </w:r>
      <w:r>
        <w:rPr>
          <w:snapToGrid w:val="0"/>
        </w:rPr>
        <w:tab/>
        <w:t>No bet can be declared off except by mutual consent or as hereinafter provided, that is to say — </w:t>
      </w:r>
    </w:p>
    <w:p>
      <w:pPr>
        <w:pStyle w:val="yIndenta"/>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spacing w:before="70"/>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spacing w:before="70"/>
        <w:rPr>
          <w:snapToGrid w:val="0"/>
        </w:rPr>
      </w:pPr>
      <w:r>
        <w:rPr>
          <w:snapToGrid w:val="0"/>
        </w:rPr>
        <w:tab/>
        <w:t>(c)</w:t>
      </w:r>
      <w:r>
        <w:rPr>
          <w:snapToGrid w:val="0"/>
        </w:rPr>
        <w:tab/>
        <w:t>all wagers with any person who after the making of the wagers has been declared a defaulter, are off;</w:t>
      </w:r>
    </w:p>
    <w:p>
      <w:pPr>
        <w:pStyle w:val="yIndenta"/>
        <w:spacing w:before="70"/>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Subsection"/>
      </w:pPr>
      <w:r>
        <w:tab/>
        <w:t>(1a)</w:t>
      </w:r>
      <w:r>
        <w:tab/>
        <w:t>In the event of the stewards permitting or ordering a runner to be withdrawn from a race either after the time for scratching or after the starters have been semaphored for the race or after declaring it a non</w:t>
      </w:r>
      <w:r>
        <w:noBreakHyphen/>
        <w:t>starter, bets made prior to the withdrawal shall be settled in accordance with the Scale of Deduction Table.</w:t>
      </w:r>
    </w:p>
    <w:p>
      <w:pPr>
        <w:pStyle w:val="ySubsection"/>
      </w:pPr>
      <w:r>
        <w:tab/>
        <w:t>(1b)</w:t>
      </w:r>
      <w:r>
        <w:tab/>
        <w:t>With regard to all successful win only, each way, place only, concession, multiples, doubles and trebles, bets are to be paid the face value of the ticket less the number of cents in the dollar deduction applicable on the scale of deductions in the Scale of Deduction Table for the dividends of the runner at the time of its withdrawal.</w:t>
      </w:r>
    </w:p>
    <w:p>
      <w:pPr>
        <w:pStyle w:val="ySubsection"/>
      </w:pPr>
      <w:r>
        <w:tab/>
        <w:t>(1c)</w:t>
      </w:r>
      <w:r>
        <w:tab/>
        <w:t>Where 2 or more withdrawals occur simultaneously during betting, successful bets made prior to the time of withdrawal are to be paid the face value of the ticket less a deduction determined by adding together the rates of deduction applicable to each of the runners withdrawn.</w:t>
      </w:r>
    </w:p>
    <w:p>
      <w:pPr>
        <w:pStyle w:val="ySubsection"/>
      </w:pPr>
      <w:r>
        <w:tab/>
        <w:t>(1d)</w:t>
      </w:r>
      <w:r>
        <w:tab/>
        <w:t xml:space="preserve">Where withdrawals occur at different times during betting on a race, successful bets placed prior to the last withdrawal are to be paid the face value of the ticket, less deductions determined as follows — </w:t>
      </w:r>
    </w:p>
    <w:p>
      <w:pPr>
        <w:pStyle w:val="yIndenta"/>
      </w:pPr>
      <w:r>
        <w:tab/>
        <w:t>(a)</w:t>
      </w:r>
      <w:r>
        <w:tab/>
        <w:t>for bets placed prior to the first withdrawal, the rate of deduction is to be determined by adding together the rates of deduction applicable to the dividends of all withdrawn runners;</w:t>
      </w:r>
    </w:p>
    <w:p>
      <w:pPr>
        <w:pStyle w:val="yIndenta"/>
      </w:pPr>
      <w:r>
        <w:tab/>
        <w:t>(b)</w:t>
      </w:r>
      <w:r>
        <w:tab/>
        <w:t>for bets placed after the time of the first withdrawal, and prior to the time of the second withdrawal, the rate of deduction is to be determined by the deduction applicable on the scale of deductions in the Scale of Deduction Table to the dividends of the second withdrawal.</w:t>
      </w:r>
    </w:p>
    <w:p>
      <w:pPr>
        <w:pStyle w:val="ySubsection"/>
      </w:pPr>
      <w:r>
        <w:tab/>
        <w:t>(1e)</w:t>
      </w:r>
      <w:r>
        <w:tab/>
        <w:t xml:space="preserve">Despite subrules (1c) and (1d) — </w:t>
      </w:r>
    </w:p>
    <w:p>
      <w:pPr>
        <w:pStyle w:val="yIndenta"/>
      </w:pPr>
      <w:r>
        <w:tab/>
        <w:t>(a)</w:t>
      </w:r>
      <w:r>
        <w:tab/>
        <w:t>in circumstances they deem appropriate, and when there is sufficient time, the stewards may declare off all bets on the remaining runners and order that betting on the race be re</w:t>
      </w:r>
      <w:r>
        <w:noBreakHyphen/>
        <w:t>opened, or they may order all bets be paid at totalisator dividends;</w:t>
      </w:r>
    </w:p>
    <w:p>
      <w:pPr>
        <w:pStyle w:val="yIndenta"/>
      </w:pPr>
      <w:r>
        <w:tab/>
        <w:t>(b)</w:t>
      </w:r>
      <w:r>
        <w:tab/>
        <w:t>except in the case of a dead heat, no order is to be made the effect of which would oblige a backer to receive less than his or her stake.</w:t>
      </w:r>
    </w:p>
    <w:p>
      <w:pPr>
        <w:pStyle w:val="ySubsection"/>
      </w:pPr>
      <w:r>
        <w:tab/>
        <w:t>(1f)</w:t>
      </w:r>
      <w:r>
        <w:tab/>
        <w:t>Where the runner ordered or permitted to be withdrawn, or declared a non</w:t>
      </w:r>
      <w:r>
        <w:noBreakHyphen/>
        <w:t xml:space="preserve">starter is shorter than the range of dividends set out in the Scale of Deduction Table, the stewards may — </w:t>
      </w:r>
    </w:p>
    <w:p>
      <w:pPr>
        <w:pStyle w:val="yIndenta"/>
      </w:pPr>
      <w:r>
        <w:tab/>
        <w:t>(a)</w:t>
      </w:r>
      <w:r>
        <w:tab/>
        <w:t>if there is sufficient time, declare off all bets made on the remaining runners and order that betting on the race be re</w:t>
      </w:r>
      <w:r>
        <w:noBreakHyphen/>
        <w:t>opened; or</w:t>
      </w:r>
    </w:p>
    <w:p>
      <w:pPr>
        <w:pStyle w:val="yIndenta"/>
      </w:pPr>
      <w:r>
        <w:tab/>
        <w:t>(b)</w:t>
      </w:r>
      <w:r>
        <w:tab/>
        <w:t>if there is insufficient time to re</w:t>
      </w:r>
      <w:r>
        <w:noBreakHyphen/>
        <w:t>open betting, declare a deduction assessed from the Scale of Deduction Table.</w:t>
      </w:r>
    </w:p>
    <w:p>
      <w:pPr>
        <w:pStyle w:val="ySubsection"/>
        <w:keepNext/>
        <w:keepLines/>
        <w:rPr>
          <w:snapToGrid w:val="0"/>
        </w:rPr>
      </w:pPr>
      <w:r>
        <w:rPr>
          <w:snapToGrid w:val="0"/>
        </w:rPr>
        <w:tab/>
        <w:t>(2)</w:t>
      </w:r>
      <w:r>
        <w:rPr>
          <w:snapToGrid w:val="0"/>
        </w:rPr>
        <w:tab/>
        <w:t>No provision of</w:t>
      </w:r>
      <w:r>
        <w:t xml:space="preserve"> subrules (1a) to (1f)</w:t>
      </w:r>
      <w:r>
        <w:rPr>
          <w:snapToGrid w:val="0"/>
        </w:rPr>
        <w:t> — </w:t>
      </w:r>
    </w:p>
    <w:p>
      <w:pPr>
        <w:pStyle w:val="yIndenta"/>
        <w:spacing w:before="60"/>
        <w:rPr>
          <w:snapToGrid w:val="0"/>
        </w:rPr>
      </w:pPr>
      <w:r>
        <w:rPr>
          <w:snapToGrid w:val="0"/>
        </w:rPr>
        <w:tab/>
        <w:t>(a)</w:t>
      </w:r>
      <w:r>
        <w:rPr>
          <w:snapToGrid w:val="0"/>
        </w:rPr>
        <w:tab/>
        <w:t>affects the discretion of the stewards to declare all bets off in special circumstances or direct that all bets be paid at totalisator odds; or</w:t>
      </w:r>
    </w:p>
    <w:p>
      <w:pPr>
        <w:pStyle w:val="yIndenta"/>
        <w:spacing w:before="60"/>
        <w:rPr>
          <w:snapToGrid w:val="0"/>
        </w:rPr>
      </w:pPr>
      <w:r>
        <w:rPr>
          <w:snapToGrid w:val="0"/>
        </w:rPr>
        <w:tab/>
        <w:t>(b)</w:t>
      </w:r>
      <w:r>
        <w:rPr>
          <w:snapToGrid w:val="0"/>
        </w:rPr>
        <w:tab/>
        <w:t>prevents a bookmaker from laying odds against a runner in a race after the stewards order or permit the withdrawal from that race of any other runner.</w:t>
      </w:r>
    </w:p>
    <w:p>
      <w:pPr>
        <w:pStyle w:val="ySubsection"/>
        <w:rPr>
          <w:snapToGrid w:val="0"/>
        </w:rPr>
      </w:pPr>
      <w:r>
        <w:rPr>
          <w:snapToGrid w:val="0"/>
        </w:rPr>
        <w:tab/>
        <w:t>(3)</w:t>
      </w:r>
      <w:r>
        <w:rPr>
          <w:snapToGrid w:val="0"/>
        </w:rPr>
        <w:tab/>
        <w:t xml:space="preserve">The provisions of </w:t>
      </w:r>
      <w:r>
        <w:t xml:space="preserve">subrules (1a) to (1f) </w:t>
      </w:r>
      <w:r>
        <w:rPr>
          <w:snapToGrid w:val="0"/>
        </w:rPr>
        <w:t>do not apply to bets made before the day of the race.</w:t>
      </w:r>
    </w:p>
    <w:p>
      <w:pPr>
        <w:pStyle w:val="yFootnotesection"/>
      </w:pPr>
      <w:bookmarkStart w:id="338" w:name="_Toc511525086"/>
      <w:bookmarkStart w:id="339" w:name="_Toc27803453"/>
      <w:r>
        <w:tab/>
        <w:t>[Rule 3 amended in Gazette 21 Jul 1998 p. 3855; 20 Sep 2002 p. 4704; 30 Jan 2004 p. 407</w:t>
      </w:r>
      <w:r>
        <w:noBreakHyphen/>
        <w:t>8 and 412.]</w:t>
      </w:r>
    </w:p>
    <w:p>
      <w:pPr>
        <w:pStyle w:val="yHeading5"/>
        <w:outlineLvl w:val="9"/>
        <w:rPr>
          <w:snapToGrid w:val="0"/>
        </w:rPr>
      </w:pPr>
      <w:bookmarkStart w:id="340" w:name="_Toc133903560"/>
      <w:bookmarkStart w:id="341" w:name="_Toc141173843"/>
      <w:r>
        <w:rPr>
          <w:rStyle w:val="CharSClsNo"/>
        </w:rPr>
        <w:t>4</w:t>
      </w:r>
      <w:r>
        <w:rPr>
          <w:snapToGrid w:val="0"/>
        </w:rPr>
        <w:t>.</w:t>
      </w:r>
      <w:r>
        <w:rPr>
          <w:snapToGrid w:val="0"/>
        </w:rPr>
        <w:tab/>
        <w:t>Determination and settlement of bets</w:t>
      </w:r>
      <w:bookmarkEnd w:id="338"/>
      <w:bookmarkEnd w:id="339"/>
      <w:bookmarkEnd w:id="340"/>
      <w:bookmarkEnd w:id="341"/>
      <w:r>
        <w:rPr>
          <w:snapToGrid w:val="0"/>
        </w:rPr>
        <w:t xml:space="preserve"> </w:t>
      </w:r>
    </w:p>
    <w:p>
      <w:pPr>
        <w:pStyle w:val="ySubsection"/>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rPr>
          <w:snapToGrid w:val="0"/>
        </w:rPr>
      </w:pPr>
      <w:r>
        <w:rPr>
          <w:snapToGrid w:val="0"/>
        </w:rPr>
        <w:tab/>
        <w:t>(2)</w:t>
      </w:r>
      <w:r>
        <w:rPr>
          <w:snapToGrid w:val="0"/>
        </w:rPr>
        <w:tab/>
        <w:t>Settlement of bets shall be made in accordance with the provisions of these rules.</w:t>
      </w:r>
    </w:p>
    <w:p>
      <w:pPr>
        <w:pStyle w:val="ySubsection"/>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pPr>
      <w:bookmarkStart w:id="342" w:name="_Toc511525087"/>
      <w:bookmarkStart w:id="343" w:name="_Toc27803454"/>
      <w:r>
        <w:tab/>
        <w:t>[Rule 4 amended in Gazette 21 Jul 1998 p 3856 and 3857; 18 Jan 2002 p. 284; 20 Sep 2002 p. 4704; 30 Jan 2004 p. 408.]</w:t>
      </w:r>
    </w:p>
    <w:p>
      <w:pPr>
        <w:pStyle w:val="yHeading5"/>
        <w:outlineLvl w:val="9"/>
        <w:rPr>
          <w:snapToGrid w:val="0"/>
        </w:rPr>
      </w:pPr>
      <w:bookmarkStart w:id="344" w:name="_Toc133903561"/>
      <w:bookmarkStart w:id="345" w:name="_Toc141173844"/>
      <w:r>
        <w:rPr>
          <w:rStyle w:val="CharSClsNo"/>
        </w:rPr>
        <w:t>5</w:t>
      </w:r>
      <w:r>
        <w:rPr>
          <w:snapToGrid w:val="0"/>
        </w:rPr>
        <w:t>.</w:t>
      </w:r>
      <w:r>
        <w:rPr>
          <w:snapToGrid w:val="0"/>
        </w:rPr>
        <w:tab/>
        <w:t>Bets in respect of postponed race or race meeting</w:t>
      </w:r>
      <w:bookmarkEnd w:id="342"/>
      <w:bookmarkEnd w:id="343"/>
      <w:bookmarkEnd w:id="344"/>
      <w:bookmarkEnd w:id="345"/>
      <w:r>
        <w:rPr>
          <w:snapToGrid w:val="0"/>
        </w:rPr>
        <w:t xml:space="preserve"> </w:t>
      </w:r>
    </w:p>
    <w:p>
      <w:pPr>
        <w:pStyle w:val="ySubsection"/>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outlineLvl w:val="9"/>
        <w:rPr>
          <w:snapToGrid w:val="0"/>
        </w:rPr>
      </w:pPr>
      <w:bookmarkStart w:id="346" w:name="_Toc511525088"/>
      <w:bookmarkStart w:id="347" w:name="_Toc27803455"/>
      <w:bookmarkStart w:id="348" w:name="_Toc133903562"/>
      <w:bookmarkStart w:id="349" w:name="_Toc141173845"/>
      <w:r>
        <w:rPr>
          <w:rStyle w:val="CharSClsNo"/>
        </w:rPr>
        <w:t>6</w:t>
      </w:r>
      <w:r>
        <w:rPr>
          <w:snapToGrid w:val="0"/>
        </w:rPr>
        <w:t>.</w:t>
      </w:r>
      <w:r>
        <w:rPr>
          <w:snapToGrid w:val="0"/>
        </w:rPr>
        <w:tab/>
        <w:t>Each way bets</w:t>
      </w:r>
      <w:bookmarkEnd w:id="346"/>
      <w:bookmarkEnd w:id="347"/>
      <w:bookmarkEnd w:id="348"/>
      <w:bookmarkEnd w:id="349"/>
      <w:r>
        <w:rPr>
          <w:snapToGrid w:val="0"/>
        </w:rPr>
        <w:t xml:space="preserve"> </w:t>
      </w:r>
    </w:p>
    <w:p>
      <w:pPr>
        <w:pStyle w:val="ySubsection"/>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outlineLvl w:val="9"/>
        <w:rPr>
          <w:snapToGrid w:val="0"/>
        </w:rPr>
      </w:pPr>
      <w:bookmarkStart w:id="350" w:name="_Toc511525089"/>
      <w:bookmarkStart w:id="351" w:name="_Toc27803456"/>
      <w:bookmarkStart w:id="352" w:name="_Toc133903563"/>
      <w:bookmarkStart w:id="353" w:name="_Toc141173846"/>
      <w:r>
        <w:rPr>
          <w:rStyle w:val="CharSClsNo"/>
        </w:rPr>
        <w:t>7</w:t>
      </w:r>
      <w:r>
        <w:rPr>
          <w:snapToGrid w:val="0"/>
        </w:rPr>
        <w:t>.</w:t>
      </w:r>
      <w:r>
        <w:rPr>
          <w:snapToGrid w:val="0"/>
        </w:rPr>
        <w:tab/>
        <w:t>All bets to be “play or pay” except in certain circumstances</w:t>
      </w:r>
      <w:bookmarkEnd w:id="350"/>
      <w:bookmarkEnd w:id="351"/>
      <w:bookmarkEnd w:id="352"/>
      <w:bookmarkEnd w:id="353"/>
      <w:r>
        <w:rPr>
          <w:snapToGrid w:val="0"/>
        </w:rPr>
        <w:t xml:space="preserve"> </w:t>
      </w:r>
    </w:p>
    <w:p>
      <w:pPr>
        <w:pStyle w:val="ySubsection"/>
        <w:rPr>
          <w:snapToGrid w:val="0"/>
        </w:rPr>
      </w:pPr>
      <w:r>
        <w:rPr>
          <w:snapToGrid w:val="0"/>
        </w:rPr>
        <w:tab/>
      </w:r>
      <w:r>
        <w:rPr>
          <w:snapToGrid w:val="0"/>
        </w:rPr>
        <w:tab/>
        <w:t>All bets shall be play or pay, unless the parties thereto mutually agree to the contrary, with the following exceptions — </w:t>
      </w:r>
    </w:p>
    <w:p>
      <w:pPr>
        <w:pStyle w:val="yIndenta"/>
        <w:rPr>
          <w:snapToGrid w:val="0"/>
        </w:rPr>
      </w:pPr>
      <w:r>
        <w:rPr>
          <w:snapToGrid w:val="0"/>
        </w:rPr>
        <w:tab/>
        <w:t>(a)</w:t>
      </w:r>
      <w:r>
        <w:rPr>
          <w:snapToGrid w:val="0"/>
        </w:rPr>
        <w:tab/>
        <w:t>bets made on the day of the race to which they relate;</w:t>
      </w:r>
    </w:p>
    <w:p>
      <w:pPr>
        <w:pStyle w:val="yIndenta"/>
        <w:rPr>
          <w:snapToGrid w:val="0"/>
        </w:rPr>
      </w:pPr>
      <w:r>
        <w:rPr>
          <w:snapToGrid w:val="0"/>
        </w:rPr>
        <w:tab/>
        <w:t>(b)</w:t>
      </w:r>
      <w:r>
        <w:rPr>
          <w:snapToGrid w:val="0"/>
        </w:rPr>
        <w:tab/>
        <w:t>bets on matches;</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w:t>
      </w:r>
    </w:p>
    <w:p>
      <w:pPr>
        <w:pStyle w:val="yIndenta"/>
        <w:rPr>
          <w:snapToGrid w:val="0"/>
        </w:rPr>
      </w:pPr>
      <w:r>
        <w:rPr>
          <w:snapToGrid w:val="0"/>
        </w:rPr>
        <w:tab/>
        <w:t>(d)</w:t>
      </w:r>
      <w:r>
        <w:rPr>
          <w:snapToGrid w:val="0"/>
        </w:rPr>
        <w:tab/>
        <w:t>bets that are declared off by the stewards;</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outlineLvl w:val="9"/>
        <w:rPr>
          <w:snapToGrid w:val="0"/>
        </w:rPr>
      </w:pPr>
      <w:bookmarkStart w:id="354" w:name="_Toc511525090"/>
      <w:bookmarkStart w:id="355" w:name="_Toc27803457"/>
      <w:bookmarkStart w:id="356" w:name="_Toc133903564"/>
      <w:bookmarkStart w:id="357" w:name="_Toc141173847"/>
      <w:r>
        <w:rPr>
          <w:rStyle w:val="CharSClsNo"/>
        </w:rPr>
        <w:t>8</w:t>
      </w:r>
      <w:r>
        <w:rPr>
          <w:snapToGrid w:val="0"/>
        </w:rPr>
        <w:t>.</w:t>
      </w:r>
      <w:r>
        <w:rPr>
          <w:snapToGrid w:val="0"/>
        </w:rPr>
        <w:tab/>
        <w:t>Provisions as to settlement of bets following a dead heat</w:t>
      </w:r>
      <w:bookmarkEnd w:id="354"/>
      <w:bookmarkEnd w:id="355"/>
      <w:bookmarkEnd w:id="356"/>
      <w:bookmarkEnd w:id="357"/>
      <w:r>
        <w:rPr>
          <w:snapToGrid w:val="0"/>
        </w:rPr>
        <w:t xml:space="preserve"> </w:t>
      </w:r>
    </w:p>
    <w:p>
      <w:pPr>
        <w:pStyle w:val="ySubsection"/>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keepNext/>
        <w:keepLines/>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outlineLvl w:val="9"/>
        <w:rPr>
          <w:snapToGrid w:val="0"/>
        </w:rPr>
      </w:pPr>
      <w:bookmarkStart w:id="358" w:name="_Toc511525091"/>
      <w:bookmarkStart w:id="359" w:name="_Toc27803458"/>
      <w:bookmarkStart w:id="360" w:name="_Toc133903565"/>
      <w:bookmarkStart w:id="361" w:name="_Toc141173848"/>
      <w:r>
        <w:rPr>
          <w:rStyle w:val="CharSClsNo"/>
        </w:rPr>
        <w:t>9</w:t>
      </w:r>
      <w:r>
        <w:rPr>
          <w:snapToGrid w:val="0"/>
        </w:rPr>
        <w:t>.</w:t>
      </w:r>
      <w:r>
        <w:rPr>
          <w:snapToGrid w:val="0"/>
        </w:rPr>
        <w:tab/>
        <w:t>Doubles</w:t>
      </w:r>
      <w:bookmarkEnd w:id="358"/>
      <w:bookmarkEnd w:id="359"/>
      <w:bookmarkEnd w:id="360"/>
      <w:bookmarkEnd w:id="361"/>
      <w:r>
        <w:rPr>
          <w:snapToGrid w:val="0"/>
        </w:rPr>
        <w:t xml:space="preserve"> </w:t>
      </w:r>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 </w:t>
      </w:r>
    </w:p>
    <w:p>
      <w:pPr>
        <w:pStyle w:val="yIndenti0"/>
        <w:rPr>
          <w:snapToGrid w:val="0"/>
        </w:rPr>
      </w:pPr>
      <w:r>
        <w:rPr>
          <w:snapToGrid w:val="0"/>
        </w:rPr>
        <w:tab/>
        <w:t>(i)</w:t>
      </w:r>
      <w:r>
        <w:rPr>
          <w:snapToGrid w:val="0"/>
        </w:rPr>
        <w:tab/>
        <w:t>the runner chosen for the first race does not run in that race;</w:t>
      </w:r>
    </w:p>
    <w:p>
      <w:pPr>
        <w:pStyle w:val="yIndenti0"/>
        <w:rPr>
          <w:snapToGrid w:val="0"/>
        </w:rPr>
      </w:pPr>
      <w:r>
        <w:rPr>
          <w:snapToGrid w:val="0"/>
        </w:rPr>
        <w:tab/>
        <w:t>(ii)</w:t>
      </w:r>
      <w:r>
        <w:rPr>
          <w:snapToGrid w:val="0"/>
        </w:rPr>
        <w:tab/>
        <w:t>the runner chosen for the second race is scratched not later than the time of scratching for the first race;</w:t>
      </w:r>
    </w:p>
    <w:p>
      <w:pPr>
        <w:pStyle w:val="yIndenti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bookmarkStart w:id="362" w:name="_Toc511525092"/>
      <w:bookmarkStart w:id="363" w:name="_Toc27803459"/>
      <w:r>
        <w:tab/>
        <w:t>[Rule 9 amended in Gazette 21 Jul 1998 p. 3855 and 3856; 30 Jan 2004 p. 408.]</w:t>
      </w:r>
    </w:p>
    <w:p>
      <w:pPr>
        <w:pStyle w:val="yHeading5"/>
        <w:outlineLvl w:val="9"/>
        <w:rPr>
          <w:snapToGrid w:val="0"/>
        </w:rPr>
      </w:pPr>
      <w:bookmarkStart w:id="364" w:name="_Toc133903566"/>
      <w:bookmarkStart w:id="365" w:name="_Toc141173849"/>
      <w:r>
        <w:rPr>
          <w:rStyle w:val="CharSClsNo"/>
        </w:rPr>
        <w:t>10</w:t>
      </w:r>
      <w:r>
        <w:rPr>
          <w:snapToGrid w:val="0"/>
        </w:rPr>
        <w:t>.</w:t>
      </w:r>
      <w:r>
        <w:rPr>
          <w:snapToGrid w:val="0"/>
        </w:rPr>
        <w:tab/>
        <w:t>Multiple doubles</w:t>
      </w:r>
      <w:bookmarkEnd w:id="362"/>
      <w:bookmarkEnd w:id="363"/>
      <w:bookmarkEnd w:id="364"/>
      <w:bookmarkEnd w:id="365"/>
      <w:r>
        <w:rPr>
          <w:snapToGrid w:val="0"/>
        </w:rPr>
        <w:t xml:space="preserve"> </w:t>
      </w:r>
    </w:p>
    <w:p>
      <w:pPr>
        <w:pStyle w:val="ySubsection"/>
        <w:rPr>
          <w:snapToGrid w:val="0"/>
        </w:rPr>
      </w:pPr>
      <w:r>
        <w:rPr>
          <w:snapToGrid w:val="0"/>
        </w:rPr>
        <w:tab/>
        <w:t>(1)</w:t>
      </w:r>
      <w:r>
        <w:rPr>
          <w:snapToGrid w:val="0"/>
        </w:rPr>
        <w:tab/>
        <w:t>The following provisions apply to bets of the kind commonly known as multiple doubles, namely — </w:t>
      </w:r>
    </w:p>
    <w:p>
      <w:pPr>
        <w:pStyle w:val="yIndenta"/>
        <w:rPr>
          <w:snapToGrid w:val="0"/>
        </w:rPr>
      </w:pPr>
      <w:r>
        <w:rPr>
          <w:snapToGrid w:val="0"/>
        </w:rPr>
        <w:tab/>
        <w:t>(a)</w:t>
      </w:r>
      <w:r>
        <w:rPr>
          <w:snapToGrid w:val="0"/>
        </w:rPr>
        <w:tab/>
        <w:t>bets are determined when a race to which the double relates is lost;</w:t>
      </w:r>
    </w:p>
    <w:p>
      <w:pPr>
        <w:pStyle w:val="yIndenta"/>
        <w:spacing w:before="10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b/>
          <w:snapToGrid w:val="0"/>
        </w:rPr>
        <w:t>“</w:t>
      </w:r>
      <w:r>
        <w:rPr>
          <w:rStyle w:val="CharDefText"/>
        </w:rPr>
        <w:t>multiple double</w:t>
      </w:r>
      <w:r>
        <w:rPr>
          <w:b/>
          <w:snapToGrid w:val="0"/>
        </w:rPr>
        <w:t>”</w:t>
      </w:r>
      <w:r>
        <w:rPr>
          <w:snapToGrid w:val="0"/>
        </w:rPr>
        <w:t xml:space="preserve"> means a double on 2 races scheduled at the time the bet is made to be run on the same day.</w:t>
      </w:r>
    </w:p>
    <w:p>
      <w:pPr>
        <w:pStyle w:val="yFootnotesection"/>
      </w:pPr>
      <w:bookmarkStart w:id="366" w:name="_Toc511525093"/>
      <w:bookmarkStart w:id="367" w:name="_Toc27803460"/>
      <w:r>
        <w:tab/>
        <w:t>[Rule 10 amended in Gazette 21 Jul 1998 p. 3856; 30 Jan 2004 p. 408.]</w:t>
      </w:r>
    </w:p>
    <w:p>
      <w:pPr>
        <w:pStyle w:val="yHeading5"/>
        <w:outlineLvl w:val="9"/>
        <w:rPr>
          <w:snapToGrid w:val="0"/>
        </w:rPr>
      </w:pPr>
      <w:bookmarkStart w:id="368" w:name="_Toc133903567"/>
      <w:bookmarkStart w:id="369" w:name="_Toc141173850"/>
      <w:r>
        <w:rPr>
          <w:rStyle w:val="CharSClsNo"/>
        </w:rPr>
        <w:t>11</w:t>
      </w:r>
      <w:r>
        <w:rPr>
          <w:snapToGrid w:val="0"/>
        </w:rPr>
        <w:t>.</w:t>
      </w:r>
      <w:r>
        <w:rPr>
          <w:snapToGrid w:val="0"/>
        </w:rPr>
        <w:tab/>
        <w:t>“All up” bets</w:t>
      </w:r>
      <w:bookmarkEnd w:id="366"/>
      <w:bookmarkEnd w:id="367"/>
      <w:bookmarkEnd w:id="368"/>
      <w:bookmarkEnd w:id="369"/>
      <w:r>
        <w:rPr>
          <w:snapToGrid w:val="0"/>
        </w:rPr>
        <w:t xml:space="preserve"> </w:t>
      </w:r>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outlineLvl w:val="9"/>
        <w:rPr>
          <w:snapToGrid w:val="0"/>
        </w:rPr>
      </w:pPr>
      <w:bookmarkStart w:id="370" w:name="_Toc511525094"/>
      <w:bookmarkStart w:id="371" w:name="_Toc27803461"/>
      <w:bookmarkStart w:id="372" w:name="_Toc133903568"/>
      <w:bookmarkStart w:id="373" w:name="_Toc141173851"/>
      <w:r>
        <w:rPr>
          <w:rStyle w:val="CharSClsNo"/>
        </w:rPr>
        <w:t>12</w:t>
      </w:r>
      <w:r>
        <w:rPr>
          <w:snapToGrid w:val="0"/>
        </w:rPr>
        <w:t>.</w:t>
      </w:r>
      <w:r>
        <w:rPr>
          <w:snapToGrid w:val="0"/>
        </w:rPr>
        <w:tab/>
        <w:t>Provisions as to races that are re</w:t>
      </w:r>
      <w:r>
        <w:rPr>
          <w:snapToGrid w:val="0"/>
        </w:rPr>
        <w:noBreakHyphen/>
        <w:t>run</w:t>
      </w:r>
      <w:bookmarkEnd w:id="370"/>
      <w:bookmarkEnd w:id="371"/>
      <w:bookmarkEnd w:id="372"/>
      <w:bookmarkEnd w:id="373"/>
      <w:r>
        <w:rPr>
          <w:snapToGrid w:val="0"/>
        </w:rPr>
        <w:t xml:space="preserve"> </w:t>
      </w:r>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r>
      <w:r>
        <w:tab/>
        <w:t>[Rule 12 amended in Gazette 21 Jul 1998 p 3855.]</w:t>
      </w:r>
    </w:p>
    <w:p>
      <w:pPr>
        <w:pStyle w:val="yHeading5"/>
        <w:outlineLvl w:val="9"/>
        <w:rPr>
          <w:snapToGrid w:val="0"/>
        </w:rPr>
      </w:pPr>
      <w:bookmarkStart w:id="374" w:name="_Toc511525095"/>
      <w:bookmarkStart w:id="375" w:name="_Toc27803462"/>
      <w:bookmarkStart w:id="376" w:name="_Toc133903569"/>
      <w:bookmarkStart w:id="377" w:name="_Toc141173852"/>
      <w:r>
        <w:rPr>
          <w:rStyle w:val="CharSClsNo"/>
        </w:rPr>
        <w:t>13</w:t>
      </w:r>
      <w:r>
        <w:rPr>
          <w:snapToGrid w:val="0"/>
        </w:rPr>
        <w:t>.</w:t>
      </w:r>
      <w:r>
        <w:rPr>
          <w:snapToGrid w:val="0"/>
        </w:rPr>
        <w:tab/>
        <w:t>Provisions as to bets on runners that are entered for 2 or more races on the same day</w:t>
      </w:r>
      <w:bookmarkEnd w:id="374"/>
      <w:bookmarkEnd w:id="375"/>
      <w:bookmarkEnd w:id="376"/>
      <w:bookmarkEnd w:id="377"/>
      <w:r>
        <w:rPr>
          <w:snapToGrid w:val="0"/>
        </w:rPr>
        <w:t xml:space="preserve"> </w:t>
      </w:r>
    </w:p>
    <w:p>
      <w:pPr>
        <w:pStyle w:val="ySubsection"/>
        <w:keepNext/>
        <w:keepLines/>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spacing w:before="200"/>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spacing w:before="200"/>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outlineLvl w:val="9"/>
        <w:rPr>
          <w:snapToGrid w:val="0"/>
        </w:rPr>
      </w:pPr>
      <w:bookmarkStart w:id="378" w:name="_Toc511525096"/>
      <w:bookmarkStart w:id="379" w:name="_Toc27803463"/>
      <w:bookmarkStart w:id="380" w:name="_Toc133903570"/>
      <w:bookmarkStart w:id="381" w:name="_Toc141173853"/>
      <w:r>
        <w:rPr>
          <w:rStyle w:val="CharSClsNo"/>
        </w:rPr>
        <w:t>14</w:t>
      </w:r>
      <w:r>
        <w:rPr>
          <w:snapToGrid w:val="0"/>
        </w:rPr>
        <w:t>.</w:t>
      </w:r>
      <w:r>
        <w:rPr>
          <w:snapToGrid w:val="0"/>
        </w:rPr>
        <w:tab/>
        <w:t>Prohibition on betting after race</w:t>
      </w:r>
      <w:bookmarkEnd w:id="378"/>
      <w:bookmarkEnd w:id="379"/>
      <w:bookmarkEnd w:id="380"/>
      <w:bookmarkEnd w:id="381"/>
      <w:r>
        <w:rPr>
          <w:snapToGrid w:val="0"/>
        </w:rPr>
        <w:t xml:space="preserve"> </w:t>
      </w:r>
    </w:p>
    <w:p>
      <w:pPr>
        <w:pStyle w:val="ySubsection"/>
        <w:spacing w:before="200"/>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spacing w:before="200"/>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bookmarkStart w:id="382" w:name="_Toc511525097"/>
      <w:bookmarkStart w:id="383" w:name="_Toc27803464"/>
      <w:r>
        <w:tab/>
        <w:t>[Rule 14 amended in Gazette21 Jul 1998 p. 3855; 30 Jan 2004 p. 408.]</w:t>
      </w:r>
    </w:p>
    <w:p>
      <w:pPr>
        <w:pStyle w:val="yHeading5"/>
        <w:spacing w:before="260"/>
        <w:outlineLvl w:val="9"/>
        <w:rPr>
          <w:snapToGrid w:val="0"/>
        </w:rPr>
      </w:pPr>
      <w:bookmarkStart w:id="384" w:name="_Toc133903571"/>
      <w:bookmarkStart w:id="385" w:name="_Toc141173854"/>
      <w:r>
        <w:rPr>
          <w:rStyle w:val="CharSClsNo"/>
        </w:rPr>
        <w:t>15</w:t>
      </w:r>
      <w:r>
        <w:rPr>
          <w:snapToGrid w:val="0"/>
        </w:rPr>
        <w:t>.</w:t>
      </w:r>
      <w:r>
        <w:rPr>
          <w:snapToGrid w:val="0"/>
        </w:rPr>
        <w:tab/>
        <w:t>Settlement of bets on deaths of parties thereto</w:t>
      </w:r>
      <w:bookmarkEnd w:id="382"/>
      <w:bookmarkEnd w:id="383"/>
      <w:bookmarkEnd w:id="384"/>
      <w:bookmarkEnd w:id="385"/>
      <w:r>
        <w:rPr>
          <w:snapToGrid w:val="0"/>
        </w:rPr>
        <w:t xml:space="preserve"> </w:t>
      </w:r>
    </w:p>
    <w:p>
      <w:pPr>
        <w:pStyle w:val="ySubsection"/>
        <w:spacing w:before="200"/>
        <w:rPr>
          <w:snapToGrid w:val="0"/>
        </w:rPr>
      </w:pPr>
      <w:r>
        <w:rPr>
          <w:snapToGrid w:val="0"/>
        </w:rPr>
        <w:tab/>
      </w:r>
      <w:r>
        <w:rPr>
          <w:snapToGrid w:val="0"/>
        </w:rPr>
        <w:tab/>
        <w:t>The death of either party to a bet shall not invalidate the bet.</w:t>
      </w:r>
    </w:p>
    <w:p>
      <w:pPr>
        <w:pStyle w:val="yHeading5"/>
        <w:spacing w:before="260"/>
        <w:outlineLvl w:val="9"/>
        <w:rPr>
          <w:snapToGrid w:val="0"/>
        </w:rPr>
      </w:pPr>
      <w:bookmarkStart w:id="386" w:name="_Toc511525098"/>
      <w:bookmarkStart w:id="387" w:name="_Toc27803465"/>
      <w:bookmarkStart w:id="388" w:name="_Toc133903572"/>
      <w:bookmarkStart w:id="389" w:name="_Toc141173855"/>
      <w:r>
        <w:rPr>
          <w:rStyle w:val="CharSClsNo"/>
        </w:rPr>
        <w:t>16</w:t>
      </w:r>
      <w:r>
        <w:rPr>
          <w:snapToGrid w:val="0"/>
        </w:rPr>
        <w:t>.</w:t>
      </w:r>
      <w:r>
        <w:rPr>
          <w:snapToGrid w:val="0"/>
        </w:rPr>
        <w:tab/>
        <w:t>Settlement of bets on suspension or cancellation of licence of a bookmaker</w:t>
      </w:r>
      <w:bookmarkEnd w:id="386"/>
      <w:bookmarkEnd w:id="387"/>
      <w:bookmarkEnd w:id="388"/>
      <w:bookmarkEnd w:id="389"/>
      <w:r>
        <w:rPr>
          <w:snapToGrid w:val="0"/>
        </w:rPr>
        <w:t xml:space="preserve"> </w:t>
      </w:r>
    </w:p>
    <w:p>
      <w:pPr>
        <w:pStyle w:val="ySubsection"/>
        <w:spacing w:before="200"/>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bookmarkStart w:id="390" w:name="_Toc511525099"/>
      <w:bookmarkStart w:id="391" w:name="_Toc27803466"/>
      <w:r>
        <w:tab/>
        <w:t>[Rule 16 amended in Gazette 20 Sep 2002 p. 4704; 30 Jan 2004 p. 412.]</w:t>
      </w:r>
    </w:p>
    <w:p>
      <w:pPr>
        <w:pStyle w:val="yHeading5"/>
        <w:outlineLvl w:val="9"/>
        <w:rPr>
          <w:snapToGrid w:val="0"/>
        </w:rPr>
      </w:pPr>
      <w:bookmarkStart w:id="392" w:name="_Toc133903573"/>
      <w:bookmarkStart w:id="393" w:name="_Toc141173856"/>
      <w:r>
        <w:rPr>
          <w:rStyle w:val="CharSClsNo"/>
        </w:rPr>
        <w:t>17</w:t>
      </w:r>
      <w:r>
        <w:rPr>
          <w:snapToGrid w:val="0"/>
        </w:rPr>
        <w:t>.</w:t>
      </w:r>
      <w:r>
        <w:rPr>
          <w:snapToGrid w:val="0"/>
        </w:rPr>
        <w:tab/>
        <w:t>Settling</w:t>
      </w:r>
      <w:bookmarkEnd w:id="390"/>
      <w:bookmarkEnd w:id="391"/>
      <w:bookmarkEnd w:id="392"/>
      <w:bookmarkEnd w:id="393"/>
      <w:r>
        <w:rPr>
          <w:snapToGrid w:val="0"/>
        </w:rPr>
        <w:t xml:space="preserve"> </w:t>
      </w:r>
    </w:p>
    <w:p>
      <w:pPr>
        <w:pStyle w:val="ySubsection"/>
      </w:pPr>
      <w:r>
        <w:rPr>
          <w:snapToGrid w:val="0"/>
        </w:rPr>
        <w:tab/>
      </w:r>
      <w:r>
        <w:rPr>
          <w:snapToGrid w:val="0"/>
        </w:rPr>
        <w:tab/>
        <w:t>Settling in terms of these rules shall not be disturbed except in cases of fraud.</w:t>
      </w:r>
    </w:p>
    <w:p>
      <w:pPr>
        <w:pStyle w:val="yHeading2"/>
        <w:ind w:left="567" w:right="567"/>
        <w:rPr>
          <w:sz w:val="22"/>
        </w:rPr>
      </w:pPr>
      <w:bookmarkStart w:id="394" w:name="_Toc27803467"/>
      <w:bookmarkStart w:id="395" w:name="_Toc133903574"/>
      <w:bookmarkStart w:id="396" w:name="_Toc133903668"/>
      <w:bookmarkStart w:id="397" w:name="_Toc133921017"/>
      <w:bookmarkStart w:id="398" w:name="_Toc141162268"/>
      <w:bookmarkStart w:id="399" w:name="_Toc141173857"/>
      <w:r>
        <w:rPr>
          <w:rStyle w:val="CharDivNo"/>
          <w:sz w:val="22"/>
        </w:rPr>
        <w:t>Part 2</w:t>
      </w:r>
      <w:r>
        <w:rPr>
          <w:sz w:val="22"/>
        </w:rPr>
        <w:t> — </w:t>
      </w:r>
      <w:r>
        <w:rPr>
          <w:rStyle w:val="CharDivText"/>
          <w:sz w:val="22"/>
        </w:rPr>
        <w:t>Betting on a sporting event, or a contingency, approved under section 4B</w:t>
      </w:r>
      <w:bookmarkEnd w:id="394"/>
      <w:bookmarkEnd w:id="395"/>
      <w:bookmarkEnd w:id="396"/>
      <w:bookmarkEnd w:id="397"/>
      <w:bookmarkEnd w:id="398"/>
      <w:bookmarkEnd w:id="399"/>
      <w:r>
        <w:rPr>
          <w:sz w:val="22"/>
        </w:rPr>
        <w:t xml:space="preserve"> </w:t>
      </w:r>
    </w:p>
    <w:p>
      <w:pPr>
        <w:pStyle w:val="yFootnoteheading"/>
        <w:tabs>
          <w:tab w:val="clear" w:pos="879"/>
          <w:tab w:val="left" w:pos="720"/>
        </w:tabs>
        <w:rPr>
          <w:snapToGrid w:val="0"/>
        </w:rPr>
      </w:pPr>
      <w:r>
        <w:rPr>
          <w:snapToGrid w:val="0"/>
        </w:rPr>
        <w:tab/>
        <w:t xml:space="preserve">[Heading inserted in Gazette 10 Jul 1992 p. 3294.] </w:t>
      </w:r>
    </w:p>
    <w:p>
      <w:pPr>
        <w:pStyle w:val="yHeading5"/>
        <w:rPr>
          <w:snapToGrid w:val="0"/>
        </w:rPr>
      </w:pPr>
      <w:bookmarkStart w:id="400" w:name="_Toc133903575"/>
      <w:bookmarkStart w:id="401" w:name="_Toc133903669"/>
      <w:bookmarkStart w:id="402" w:name="_Toc141173858"/>
      <w:r>
        <w:rPr>
          <w:rStyle w:val="CharSClsNo"/>
        </w:rPr>
        <w:t>1</w:t>
      </w:r>
      <w:r>
        <w:rPr>
          <w:snapToGrid w:val="0"/>
        </w:rPr>
        <w:t>.</w:t>
      </w:r>
      <w:bookmarkEnd w:id="400"/>
      <w:bookmarkEnd w:id="401"/>
      <w:bookmarkEnd w:id="402"/>
    </w:p>
    <w:p>
      <w:pPr>
        <w:pStyle w:val="ySubsection"/>
        <w:rPr>
          <w:snapToGrid w:val="0"/>
        </w:rPr>
      </w:pPr>
      <w:r>
        <w:rPr>
          <w:snapToGrid w:val="0"/>
        </w:rPr>
        <w:tab/>
      </w:r>
      <w:r>
        <w:rPr>
          <w:snapToGrid w:val="0"/>
        </w:rPr>
        <w:tab/>
        <w:t>Bets shall be determined on the official results as declared by the controlling authority responsible for conducting the sporting event to which the bets relate.</w:t>
      </w:r>
    </w:p>
    <w:p>
      <w:pPr>
        <w:pStyle w:val="yFootnotesection"/>
      </w:pPr>
      <w:r>
        <w:tab/>
        <w:t>[Rule 1 inserted in Gazette 10 Jul 1992 p. 3294.]</w:t>
      </w:r>
    </w:p>
    <w:p>
      <w:pPr>
        <w:pStyle w:val="yHeading5"/>
        <w:rPr>
          <w:snapToGrid w:val="0"/>
        </w:rPr>
      </w:pPr>
      <w:bookmarkStart w:id="403" w:name="_Toc133903576"/>
      <w:bookmarkStart w:id="404" w:name="_Toc133903670"/>
      <w:bookmarkStart w:id="405" w:name="_Toc141173859"/>
      <w:r>
        <w:rPr>
          <w:rStyle w:val="CharSClsNo"/>
        </w:rPr>
        <w:t>2</w:t>
      </w:r>
      <w:r>
        <w:rPr>
          <w:snapToGrid w:val="0"/>
        </w:rPr>
        <w:t>.</w:t>
      </w:r>
      <w:bookmarkEnd w:id="403"/>
      <w:bookmarkEnd w:id="404"/>
      <w:bookmarkEnd w:id="405"/>
    </w:p>
    <w:p>
      <w:pPr>
        <w:pStyle w:val="ySubsection"/>
        <w:rPr>
          <w:snapToGrid w:val="0"/>
        </w:rPr>
      </w:pPr>
      <w:r>
        <w:rPr>
          <w:snapToGrid w:val="0"/>
        </w:rPr>
        <w:tab/>
      </w:r>
      <w:r>
        <w:rPr>
          <w:snapToGrid w:val="0"/>
        </w:rPr>
        <w:tab/>
        <w:t>Any outcome not covered by these rules shall be determined by the stewards acting at the race meeting where the bet was laid.</w:t>
      </w:r>
    </w:p>
    <w:p>
      <w:pPr>
        <w:pStyle w:val="yFootnotesection"/>
      </w:pPr>
      <w:r>
        <w:tab/>
        <w:t>[Rule 2 inserted in Gazette 10 Jul 1992 p. 3294.]</w:t>
      </w:r>
    </w:p>
    <w:p>
      <w:pPr>
        <w:pStyle w:val="yHeading5"/>
        <w:rPr>
          <w:snapToGrid w:val="0"/>
        </w:rPr>
      </w:pPr>
      <w:bookmarkStart w:id="406" w:name="_Toc133903577"/>
      <w:bookmarkStart w:id="407" w:name="_Toc133903671"/>
      <w:bookmarkStart w:id="408" w:name="_Toc141173860"/>
      <w:r>
        <w:rPr>
          <w:rStyle w:val="CharSClsNo"/>
        </w:rPr>
        <w:t>3</w:t>
      </w:r>
      <w:r>
        <w:rPr>
          <w:snapToGrid w:val="0"/>
        </w:rPr>
        <w:t>.</w:t>
      </w:r>
      <w:bookmarkEnd w:id="406"/>
      <w:bookmarkEnd w:id="407"/>
      <w:bookmarkEnd w:id="408"/>
    </w:p>
    <w:p>
      <w:pPr>
        <w:pStyle w:val="ySubsection"/>
        <w:rPr>
          <w:snapToGrid w:val="0"/>
        </w:rPr>
      </w:pPr>
      <w:r>
        <w:rPr>
          <w:snapToGrid w:val="0"/>
        </w:rPr>
        <w:tab/>
      </w:r>
      <w:r>
        <w:rPr>
          <w:snapToGrid w:val="0"/>
        </w:rPr>
        <w:tab/>
        <w:t>Where betting on the outcome of a sporting contingency involves a points margin, such a points margin shall be declared to half a point in every case.</w:t>
      </w:r>
    </w:p>
    <w:p>
      <w:pPr>
        <w:pStyle w:val="yFootnotesection"/>
      </w:pPr>
      <w:r>
        <w:tab/>
        <w:t>[Rule 3 inserted in Gazette 10 Jul 1992 p. 3294.]</w:t>
      </w:r>
    </w:p>
    <w:p>
      <w:pPr>
        <w:pStyle w:val="yHeading5"/>
        <w:rPr>
          <w:snapToGrid w:val="0"/>
        </w:rPr>
      </w:pPr>
      <w:bookmarkStart w:id="409" w:name="_Toc133903578"/>
      <w:bookmarkStart w:id="410" w:name="_Toc133903672"/>
      <w:bookmarkStart w:id="411" w:name="_Toc141173861"/>
      <w:r>
        <w:rPr>
          <w:rStyle w:val="CharSClsNo"/>
        </w:rPr>
        <w:t>4</w:t>
      </w:r>
      <w:r>
        <w:rPr>
          <w:snapToGrid w:val="0"/>
        </w:rPr>
        <w:t>.</w:t>
      </w:r>
      <w:bookmarkEnd w:id="409"/>
      <w:bookmarkEnd w:id="410"/>
      <w:bookmarkEnd w:id="411"/>
    </w:p>
    <w:p>
      <w:pPr>
        <w:pStyle w:val="ySubsection"/>
        <w:rPr>
          <w:snapToGrid w:val="0"/>
        </w:rPr>
      </w:pPr>
      <w:r>
        <w:rPr>
          <w:snapToGrid w:val="0"/>
        </w:rPr>
        <w:tab/>
      </w:r>
      <w:r>
        <w:rPr>
          <w:snapToGrid w:val="0"/>
        </w:rPr>
        <w:tab/>
        <w:t>Where a sporting event or contingency results in a tie, draw or dead heat, and odds are offered for that tie, draw or dead heat, any bet for a win is lost.</w:t>
      </w:r>
    </w:p>
    <w:p>
      <w:pPr>
        <w:pStyle w:val="yFootnotesection"/>
      </w:pPr>
      <w:r>
        <w:tab/>
        <w:t>[Rule 4 inserted in Gazette 10 Jul 1992 p. 3294.]</w:t>
      </w:r>
    </w:p>
    <w:p>
      <w:pPr>
        <w:pStyle w:val="yHeading5"/>
        <w:rPr>
          <w:snapToGrid w:val="0"/>
        </w:rPr>
      </w:pPr>
      <w:bookmarkStart w:id="412" w:name="_Toc133903579"/>
      <w:bookmarkStart w:id="413" w:name="_Toc133903673"/>
      <w:bookmarkStart w:id="414" w:name="_Toc141173862"/>
      <w:r>
        <w:rPr>
          <w:rStyle w:val="CharSClsNo"/>
        </w:rPr>
        <w:t>5</w:t>
      </w:r>
      <w:r>
        <w:rPr>
          <w:snapToGrid w:val="0"/>
        </w:rPr>
        <w:t>.</w:t>
      </w:r>
      <w:bookmarkEnd w:id="412"/>
      <w:bookmarkEnd w:id="413"/>
      <w:bookmarkEnd w:id="414"/>
    </w:p>
    <w:p>
      <w:pPr>
        <w:pStyle w:val="ySubsection"/>
        <w:rPr>
          <w:snapToGrid w:val="0"/>
        </w:rPr>
      </w:pPr>
      <w:r>
        <w:rPr>
          <w:snapToGrid w:val="0"/>
        </w:rPr>
        <w:tab/>
      </w:r>
      <w:r>
        <w:rPr>
          <w:snapToGrid w:val="0"/>
        </w:rPr>
        <w:tab/>
        <w:t>If no odds are offered for a tie, draw or dead heat and the event or contingency results in a tie, draw or dead heat between 2 teams or 2 competitors, then any bet for a win shall be determined in the following manner — </w:t>
      </w:r>
    </w:p>
    <w:p>
      <w:pPr>
        <w:pStyle w:val="yIndenta"/>
        <w:rPr>
          <w:snapToGrid w:val="0"/>
        </w:rPr>
      </w:pPr>
      <w:r>
        <w:rPr>
          <w:snapToGrid w:val="0"/>
        </w:rPr>
        <w:tab/>
        <w:t>(i)</w:t>
      </w:r>
      <w:r>
        <w:rPr>
          <w:snapToGrid w:val="0"/>
        </w:rPr>
        <w:tab/>
        <w:t>half of the amount wagered shall be regarded as “won” at the agreed odds; and</w:t>
      </w:r>
    </w:p>
    <w:p>
      <w:pPr>
        <w:pStyle w:val="yIndenta"/>
        <w:rPr>
          <w:snapToGrid w:val="0"/>
        </w:rPr>
      </w:pPr>
      <w:r>
        <w:rPr>
          <w:snapToGrid w:val="0"/>
        </w:rPr>
        <w:tab/>
        <w:t>(ii)</w:t>
      </w:r>
      <w:r>
        <w:rPr>
          <w:snapToGrid w:val="0"/>
        </w:rPr>
        <w:tab/>
        <w:t>half of the amount wagered shall be lost.</w:t>
      </w:r>
    </w:p>
    <w:p>
      <w:pPr>
        <w:pStyle w:val="yFootnotesection"/>
      </w:pPr>
      <w:r>
        <w:tab/>
        <w:t>[Rule 5 inserted in Gazette 10 Jul 1992 p. 3294.]</w:t>
      </w:r>
    </w:p>
    <w:p>
      <w:pPr>
        <w:pStyle w:val="yHeading5"/>
        <w:rPr>
          <w:snapToGrid w:val="0"/>
        </w:rPr>
      </w:pPr>
      <w:bookmarkStart w:id="415" w:name="_Toc133903580"/>
      <w:bookmarkStart w:id="416" w:name="_Toc133903674"/>
      <w:bookmarkStart w:id="417" w:name="_Toc141173863"/>
      <w:r>
        <w:rPr>
          <w:rStyle w:val="CharSClsNo"/>
        </w:rPr>
        <w:t>6</w:t>
      </w:r>
      <w:r>
        <w:rPr>
          <w:snapToGrid w:val="0"/>
        </w:rPr>
        <w:t>.</w:t>
      </w:r>
      <w:bookmarkEnd w:id="415"/>
      <w:bookmarkEnd w:id="416"/>
      <w:bookmarkEnd w:id="417"/>
    </w:p>
    <w:p>
      <w:pPr>
        <w:pStyle w:val="ySubsection"/>
        <w:rPr>
          <w:snapToGrid w:val="0"/>
        </w:rPr>
      </w:pPr>
      <w:r>
        <w:rPr>
          <w:snapToGrid w:val="0"/>
        </w:rPr>
        <w:tab/>
      </w:r>
      <w:r>
        <w:rPr>
          <w:snapToGrid w:val="0"/>
        </w:rPr>
        <w:tab/>
        <w:t>In bets involving more than one contingency of, or relating to, the same sporting event — </w:t>
      </w:r>
    </w:p>
    <w:p>
      <w:pPr>
        <w:pStyle w:val="yIndenta"/>
        <w:rPr>
          <w:snapToGrid w:val="0"/>
        </w:rPr>
      </w:pPr>
      <w:r>
        <w:rPr>
          <w:snapToGrid w:val="0"/>
        </w:rPr>
        <w:tab/>
        <w:t>(a)</w:t>
      </w:r>
      <w:r>
        <w:rPr>
          <w:snapToGrid w:val="0"/>
        </w:rPr>
        <w:tab/>
        <w:t>if the first contingency is not decided in the backer’s favour, the bet is lost;</w:t>
      </w:r>
    </w:p>
    <w:p>
      <w:pPr>
        <w:pStyle w:val="yIndenta"/>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w:t>
      </w:r>
    </w:p>
    <w:p>
      <w:pPr>
        <w:pStyle w:val="yIndenta"/>
        <w:rPr>
          <w:snapToGrid w:val="0"/>
        </w:rPr>
      </w:pPr>
      <w:r>
        <w:rPr>
          <w:snapToGrid w:val="0"/>
        </w:rPr>
        <w:tab/>
        <w:t>(c)</w:t>
      </w:r>
      <w:r>
        <w:rPr>
          <w:snapToGrid w:val="0"/>
        </w:rPr>
        <w:tab/>
        <w:t>where the bet covers 2 contingencies and both are tied, the backer shall receive one fourth of the amount receivable had the bet been a winning bet;</w:t>
      </w:r>
    </w:p>
    <w:p>
      <w:pPr>
        <w:pStyle w:val="yIndent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w:t>
      </w:r>
    </w:p>
    <w:p>
      <w:pPr>
        <w:pStyle w:val="yIndent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Indent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pPr>
      <w:r>
        <w:tab/>
        <w:t>[Rule 6 inserted in Gazette 10 Jul 1992 p. 3294.]</w:t>
      </w:r>
    </w:p>
    <w:p>
      <w:pPr>
        <w:pStyle w:val="yHeading5"/>
        <w:rPr>
          <w:snapToGrid w:val="0"/>
        </w:rPr>
      </w:pPr>
      <w:bookmarkStart w:id="418" w:name="_Toc133903581"/>
      <w:bookmarkStart w:id="419" w:name="_Toc133903675"/>
      <w:bookmarkStart w:id="420" w:name="_Toc141173864"/>
      <w:r>
        <w:rPr>
          <w:rStyle w:val="CharSClsNo"/>
        </w:rPr>
        <w:t>7</w:t>
      </w:r>
      <w:r>
        <w:rPr>
          <w:snapToGrid w:val="0"/>
        </w:rPr>
        <w:t>.</w:t>
      </w:r>
      <w:bookmarkEnd w:id="418"/>
      <w:bookmarkEnd w:id="419"/>
      <w:bookmarkEnd w:id="420"/>
    </w:p>
    <w:p>
      <w:pPr>
        <w:pStyle w:val="ySubsection"/>
        <w:rPr>
          <w:snapToGrid w:val="0"/>
        </w:rPr>
      </w:pPr>
      <w:r>
        <w:rPr>
          <w:snapToGrid w:val="0"/>
        </w:rPr>
        <w:tab/>
      </w:r>
      <w:r>
        <w:rPr>
          <w:snapToGrid w:val="0"/>
        </w:rPr>
        <w:tab/>
        <w:t>Where a sporting event is abandoned, all bets are to be refunded except those laid in respect of contingencies that have been decided totally or in part.</w:t>
      </w:r>
    </w:p>
    <w:p>
      <w:pPr>
        <w:pStyle w:val="yFootnotesection"/>
      </w:pPr>
      <w:r>
        <w:tab/>
        <w:t>[Rule 7 inserted in Gazette 10 Jul 1992 p. 3295.]</w:t>
      </w:r>
    </w:p>
    <w:p>
      <w:pPr>
        <w:pStyle w:val="yHeading5"/>
        <w:rPr>
          <w:snapToGrid w:val="0"/>
        </w:rPr>
      </w:pPr>
      <w:bookmarkStart w:id="421" w:name="_Toc133903582"/>
      <w:bookmarkStart w:id="422" w:name="_Toc133903676"/>
      <w:bookmarkStart w:id="423" w:name="_Toc141173865"/>
      <w:r>
        <w:rPr>
          <w:rStyle w:val="CharSClsNo"/>
        </w:rPr>
        <w:t>8</w:t>
      </w:r>
      <w:r>
        <w:rPr>
          <w:snapToGrid w:val="0"/>
        </w:rPr>
        <w:t>.</w:t>
      </w:r>
      <w:bookmarkEnd w:id="421"/>
      <w:bookmarkEnd w:id="422"/>
      <w:bookmarkEnd w:id="423"/>
    </w:p>
    <w:p>
      <w:pPr>
        <w:pStyle w:val="ySubsection"/>
        <w:rPr>
          <w:snapToGrid w:val="0"/>
        </w:rPr>
      </w:pPr>
      <w:r>
        <w:rPr>
          <w:snapToGrid w:val="0"/>
        </w:rPr>
        <w:tab/>
      </w:r>
      <w:r>
        <w:rPr>
          <w:snapToGrid w:val="0"/>
        </w:rPr>
        <w:tab/>
        <w:t>Where a sporting event is postponed to a later date, all bets on the event or contingent on the event shall stand.</w:t>
      </w:r>
    </w:p>
    <w:p>
      <w:pPr>
        <w:pStyle w:val="yFootnotesection"/>
      </w:pPr>
      <w:r>
        <w:tab/>
        <w:t>[Rule 8 inserted in Gazette 10 Jul 1992 p. 3295.]</w:t>
      </w:r>
    </w:p>
    <w:p>
      <w:pPr>
        <w:pStyle w:val="yHeading5"/>
        <w:rPr>
          <w:snapToGrid w:val="0"/>
        </w:rPr>
      </w:pPr>
      <w:bookmarkStart w:id="424" w:name="_Toc133903583"/>
      <w:bookmarkStart w:id="425" w:name="_Toc133903677"/>
      <w:bookmarkStart w:id="426" w:name="_Toc141173866"/>
      <w:r>
        <w:rPr>
          <w:rStyle w:val="CharSClsNo"/>
        </w:rPr>
        <w:t>9</w:t>
      </w:r>
      <w:r>
        <w:rPr>
          <w:snapToGrid w:val="0"/>
        </w:rPr>
        <w:t>.</w:t>
      </w:r>
      <w:bookmarkEnd w:id="424"/>
      <w:bookmarkEnd w:id="425"/>
      <w:bookmarkEnd w:id="426"/>
    </w:p>
    <w:p>
      <w:pPr>
        <w:pStyle w:val="ySubsection"/>
        <w:rPr>
          <w:snapToGrid w:val="0"/>
        </w:rPr>
      </w:pPr>
      <w:r>
        <w:rPr>
          <w:snapToGrid w:val="0"/>
        </w:rPr>
        <w:tab/>
      </w:r>
      <w:r>
        <w:rPr>
          <w:snapToGrid w:val="0"/>
        </w:rPr>
        <w:tab/>
        <w:t>All bets in relation to sporting contingencies shall be “play or pay”, unless the parties mutually agree to the contrary.</w:t>
      </w:r>
    </w:p>
    <w:p>
      <w:pPr>
        <w:pStyle w:val="yFootnotesection"/>
      </w:pPr>
      <w:r>
        <w:tab/>
        <w:t>[Rule 9 inserted in Gazette 10 Jul 1992 p. 3295; amended in Gazette 30 Jan 2004 p. 408</w:t>
      </w:r>
      <w:r>
        <w:noBreakHyphen/>
        <w:t>11.]</w:t>
      </w:r>
    </w:p>
    <w:p>
      <w:pPr>
        <w:pStyle w:val="yMiscellaneousHeading"/>
        <w:rPr>
          <w:b/>
        </w:rPr>
      </w:pPr>
      <w:r>
        <w:rPr>
          <w:b/>
        </w:rPr>
        <w:t>Scale of Deduction Table</w:t>
      </w:r>
    </w:p>
    <w:p>
      <w:pPr>
        <w:pStyle w:val="yMiscellaneousBody"/>
        <w:spacing w:after="160"/>
      </w:pPr>
      <w:r>
        <w:t>This Table is to be used to determine the rate % of deduction in respect of win, place, concession, double and treble bets. Rate % of deduction (cents in $) from the face value of the ticket.</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
              <w:jc w:val="center"/>
              <w:rPr>
                <w:b/>
              </w:rPr>
            </w:pPr>
            <w:r>
              <w:rPr>
                <w:b/>
              </w:rPr>
              <w:t>Dividend of Withdrawn Runner (for bet of $1)</w:t>
            </w:r>
          </w:p>
        </w:tc>
        <w:tc>
          <w:tcPr>
            <w:tcW w:w="1418" w:type="dxa"/>
            <w:tcBorders>
              <w:top w:val="single" w:sz="4" w:space="0" w:color="auto"/>
              <w:bottom w:val="single" w:sz="4" w:space="0" w:color="auto"/>
            </w:tcBorders>
          </w:tcPr>
          <w:p>
            <w:pPr>
              <w:pStyle w:val="yTable"/>
              <w:jc w:val="center"/>
              <w:rPr>
                <w:b/>
              </w:rPr>
            </w:pPr>
            <w:r>
              <w:rPr>
                <w:b/>
              </w:rPr>
              <w:t xml:space="preserve">Win </w:t>
            </w:r>
            <w:r>
              <w:rPr>
                <w:b/>
              </w:rPr>
              <w:br/>
              <w:t>Doubles</w:t>
            </w:r>
            <w:r>
              <w:rPr>
                <w:b/>
              </w:rPr>
              <w:br/>
              <w:t>Treble Deduction</w:t>
            </w:r>
          </w:p>
          <w:p>
            <w:pPr>
              <w:pStyle w:val="yTable"/>
              <w:jc w:val="center"/>
              <w:rPr>
                <w:b/>
              </w:rPr>
            </w:pPr>
          </w:p>
          <w:p>
            <w:pPr>
              <w:pStyle w:val="yTable"/>
              <w:jc w:val="center"/>
              <w:rPr>
                <w:b/>
              </w:rPr>
            </w:pPr>
            <w:r>
              <w:rPr>
                <w:b/>
              </w:rPr>
              <w:t>Cents</w:t>
            </w:r>
          </w:p>
        </w:tc>
        <w:tc>
          <w:tcPr>
            <w:tcW w:w="1417" w:type="dxa"/>
            <w:tcBorders>
              <w:top w:val="single" w:sz="4" w:space="0" w:color="auto"/>
              <w:bottom w:val="single" w:sz="4" w:space="0" w:color="auto"/>
            </w:tcBorders>
          </w:tcPr>
          <w:p>
            <w:pPr>
              <w:pStyle w:val="yTable"/>
              <w:jc w:val="center"/>
              <w:rPr>
                <w:b/>
              </w:rPr>
            </w:pPr>
            <w:r>
              <w:rPr>
                <w:b/>
              </w:rPr>
              <w:t>Place Deduction where 8 or more Runners</w:t>
            </w:r>
          </w:p>
          <w:p>
            <w:pPr>
              <w:pStyle w:val="yTable"/>
              <w:spacing w:before="120"/>
              <w:jc w:val="center"/>
              <w:rPr>
                <w:b/>
              </w:rPr>
            </w:pPr>
            <w:r>
              <w:rPr>
                <w:b/>
              </w:rPr>
              <w:t>Cents</w:t>
            </w:r>
          </w:p>
        </w:tc>
        <w:tc>
          <w:tcPr>
            <w:tcW w:w="1418" w:type="dxa"/>
            <w:tcBorders>
              <w:top w:val="single" w:sz="4" w:space="0" w:color="auto"/>
              <w:bottom w:val="single" w:sz="4" w:space="0" w:color="auto"/>
            </w:tcBorders>
          </w:tcPr>
          <w:p>
            <w:pPr>
              <w:pStyle w:val="yTable"/>
              <w:jc w:val="center"/>
              <w:rPr>
                <w:b/>
              </w:rPr>
            </w:pPr>
            <w:r>
              <w:rPr>
                <w:b/>
              </w:rPr>
              <w:t>Place Deduction where less than 8 Runners</w:t>
            </w:r>
          </w:p>
          <w:p>
            <w:pPr>
              <w:pStyle w:val="yTable"/>
              <w:spacing w:before="120"/>
              <w:jc w:val="center"/>
              <w:rPr>
                <w:b/>
              </w:rPr>
            </w:pPr>
            <w:r>
              <w:rPr>
                <w:b/>
              </w:rPr>
              <w:t>Cents</w:t>
            </w:r>
          </w:p>
        </w:tc>
        <w:tc>
          <w:tcPr>
            <w:tcW w:w="1418" w:type="dxa"/>
            <w:tcBorders>
              <w:top w:val="single" w:sz="4" w:space="0" w:color="auto"/>
              <w:bottom w:val="single" w:sz="4" w:space="0" w:color="auto"/>
            </w:tcBorders>
          </w:tcPr>
          <w:p>
            <w:pPr>
              <w:pStyle w:val="yTable"/>
              <w:jc w:val="center"/>
              <w:rPr>
                <w:b/>
              </w:rPr>
            </w:pPr>
            <w:r>
              <w:rPr>
                <w:b/>
              </w:rPr>
              <w:t>Concession Deduction</w:t>
            </w:r>
            <w:r>
              <w:rPr>
                <w:b/>
              </w:rPr>
              <w:br/>
            </w:r>
            <w:r>
              <w:rPr>
                <w:b/>
              </w:rPr>
              <w:br/>
            </w:r>
          </w:p>
          <w:p>
            <w:pPr>
              <w:pStyle w:val="yTable"/>
              <w:jc w:val="center"/>
              <w:rPr>
                <w:b/>
              </w:rPr>
            </w:pPr>
          </w:p>
          <w:p>
            <w:pPr>
              <w:pStyle w:val="yTable"/>
              <w:jc w:val="center"/>
              <w:rPr>
                <w:b/>
              </w:rPr>
            </w:pPr>
            <w:r>
              <w:rPr>
                <w:b/>
              </w:rPr>
              <w:t>Cents</w:t>
            </w:r>
          </w:p>
        </w:tc>
      </w:tr>
      <w:tr>
        <w:tc>
          <w:tcPr>
            <w:tcW w:w="1417" w:type="dxa"/>
          </w:tcPr>
          <w:p>
            <w:pPr>
              <w:pStyle w:val="yTable"/>
              <w:jc w:val="center"/>
            </w:pPr>
          </w:p>
        </w:tc>
        <w:tc>
          <w:tcPr>
            <w:tcW w:w="1418" w:type="dxa"/>
          </w:tcPr>
          <w:p>
            <w:pPr>
              <w:pStyle w:val="yTable"/>
              <w:jc w:val="center"/>
            </w:pPr>
          </w:p>
        </w:tc>
        <w:tc>
          <w:tcPr>
            <w:tcW w:w="1417" w:type="dxa"/>
          </w:tcPr>
          <w:p>
            <w:pPr>
              <w:pStyle w:val="yTable"/>
              <w:jc w:val="center"/>
            </w:pPr>
          </w:p>
        </w:tc>
        <w:tc>
          <w:tcPr>
            <w:tcW w:w="1418" w:type="dxa"/>
          </w:tcPr>
          <w:p>
            <w:pPr>
              <w:pStyle w:val="yTable"/>
              <w:jc w:val="center"/>
            </w:pPr>
          </w:p>
        </w:tc>
        <w:tc>
          <w:tcPr>
            <w:tcW w:w="1418" w:type="dxa"/>
          </w:tcPr>
          <w:p>
            <w:pPr>
              <w:pStyle w:val="yTable"/>
              <w:jc w:val="center"/>
            </w:pPr>
          </w:p>
        </w:tc>
      </w:tr>
      <w:tr>
        <w:tc>
          <w:tcPr>
            <w:tcW w:w="1417" w:type="dxa"/>
          </w:tcPr>
          <w:p>
            <w:pPr>
              <w:pStyle w:val="yTable"/>
              <w:jc w:val="center"/>
            </w:pPr>
            <w:r>
              <w:t>1.05</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1.06</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1.07</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1.08</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1.09</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1.10</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1.12</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1.14</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1.16</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1.18</w:t>
            </w:r>
          </w:p>
        </w:tc>
        <w:tc>
          <w:tcPr>
            <w:tcW w:w="1418" w:type="dxa"/>
          </w:tcPr>
          <w:p>
            <w:pPr>
              <w:pStyle w:val="yTable"/>
              <w:jc w:val="center"/>
            </w:pPr>
            <w:r>
              <w:t>79</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1.20</w:t>
            </w:r>
          </w:p>
        </w:tc>
        <w:tc>
          <w:tcPr>
            <w:tcW w:w="1418" w:type="dxa"/>
          </w:tcPr>
          <w:p>
            <w:pPr>
              <w:pStyle w:val="yTable"/>
              <w:jc w:val="center"/>
            </w:pPr>
            <w:r>
              <w:t>78</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1.22</w:t>
            </w:r>
          </w:p>
        </w:tc>
        <w:tc>
          <w:tcPr>
            <w:tcW w:w="1418" w:type="dxa"/>
          </w:tcPr>
          <w:p>
            <w:pPr>
              <w:pStyle w:val="yTable"/>
              <w:jc w:val="center"/>
            </w:pPr>
            <w:r>
              <w:t>77</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1.24</w:t>
            </w:r>
          </w:p>
        </w:tc>
        <w:tc>
          <w:tcPr>
            <w:tcW w:w="1418" w:type="dxa"/>
          </w:tcPr>
          <w:p>
            <w:pPr>
              <w:pStyle w:val="yTable"/>
              <w:jc w:val="center"/>
            </w:pPr>
            <w:r>
              <w:t>75</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1.26</w:t>
            </w:r>
          </w:p>
        </w:tc>
        <w:tc>
          <w:tcPr>
            <w:tcW w:w="1418" w:type="dxa"/>
          </w:tcPr>
          <w:p>
            <w:pPr>
              <w:pStyle w:val="yTable"/>
              <w:jc w:val="center"/>
            </w:pPr>
            <w:r>
              <w:t>74</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1.28</w:t>
            </w:r>
          </w:p>
        </w:tc>
        <w:tc>
          <w:tcPr>
            <w:tcW w:w="1418" w:type="dxa"/>
          </w:tcPr>
          <w:p>
            <w:pPr>
              <w:pStyle w:val="yTable"/>
              <w:jc w:val="center"/>
            </w:pPr>
            <w:r>
              <w:t>73</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1.30</w:t>
            </w:r>
          </w:p>
        </w:tc>
        <w:tc>
          <w:tcPr>
            <w:tcW w:w="1418" w:type="dxa"/>
          </w:tcPr>
          <w:p>
            <w:pPr>
              <w:pStyle w:val="yTable"/>
              <w:jc w:val="center"/>
            </w:pPr>
            <w:r>
              <w:t>72</w:t>
            </w:r>
          </w:p>
        </w:tc>
        <w:tc>
          <w:tcPr>
            <w:tcW w:w="1417" w:type="dxa"/>
          </w:tcPr>
          <w:p>
            <w:pPr>
              <w:pStyle w:val="yTable"/>
              <w:jc w:val="center"/>
            </w:pPr>
            <w:r>
              <w:t>29</w:t>
            </w:r>
          </w:p>
        </w:tc>
        <w:tc>
          <w:tcPr>
            <w:tcW w:w="1418" w:type="dxa"/>
          </w:tcPr>
          <w:p>
            <w:pPr>
              <w:pStyle w:val="yTable"/>
              <w:jc w:val="center"/>
            </w:pPr>
            <w:r>
              <w:t>42</w:t>
            </w:r>
          </w:p>
        </w:tc>
        <w:tc>
          <w:tcPr>
            <w:tcW w:w="1418" w:type="dxa"/>
          </w:tcPr>
          <w:p>
            <w:pPr>
              <w:pStyle w:val="yTable"/>
              <w:jc w:val="center"/>
            </w:pPr>
            <w:r>
              <w:t>67</w:t>
            </w:r>
          </w:p>
        </w:tc>
      </w:tr>
      <w:tr>
        <w:tc>
          <w:tcPr>
            <w:tcW w:w="1417" w:type="dxa"/>
          </w:tcPr>
          <w:p>
            <w:pPr>
              <w:pStyle w:val="yTable"/>
              <w:jc w:val="center"/>
            </w:pPr>
            <w:r>
              <w:t>1.35</w:t>
            </w:r>
          </w:p>
        </w:tc>
        <w:tc>
          <w:tcPr>
            <w:tcW w:w="1418" w:type="dxa"/>
          </w:tcPr>
          <w:p>
            <w:pPr>
              <w:pStyle w:val="yTable"/>
              <w:jc w:val="center"/>
            </w:pPr>
            <w:r>
              <w:t>69</w:t>
            </w:r>
          </w:p>
        </w:tc>
        <w:tc>
          <w:tcPr>
            <w:tcW w:w="1417" w:type="dxa"/>
          </w:tcPr>
          <w:p>
            <w:pPr>
              <w:pStyle w:val="yTable"/>
              <w:jc w:val="center"/>
            </w:pPr>
            <w:r>
              <w:t>29</w:t>
            </w:r>
          </w:p>
        </w:tc>
        <w:tc>
          <w:tcPr>
            <w:tcW w:w="1418" w:type="dxa"/>
          </w:tcPr>
          <w:p>
            <w:pPr>
              <w:pStyle w:val="yTable"/>
              <w:jc w:val="center"/>
            </w:pPr>
            <w:r>
              <w:t>42</w:t>
            </w:r>
          </w:p>
        </w:tc>
        <w:tc>
          <w:tcPr>
            <w:tcW w:w="1418" w:type="dxa"/>
          </w:tcPr>
          <w:p>
            <w:pPr>
              <w:pStyle w:val="yTable"/>
              <w:jc w:val="center"/>
            </w:pPr>
            <w:r>
              <w:t>64</w:t>
            </w:r>
          </w:p>
        </w:tc>
      </w:tr>
      <w:tr>
        <w:tc>
          <w:tcPr>
            <w:tcW w:w="1417" w:type="dxa"/>
          </w:tcPr>
          <w:p>
            <w:pPr>
              <w:pStyle w:val="yTable"/>
              <w:jc w:val="center"/>
            </w:pPr>
            <w:r>
              <w:t>1.40</w:t>
            </w:r>
          </w:p>
        </w:tc>
        <w:tc>
          <w:tcPr>
            <w:tcW w:w="1418" w:type="dxa"/>
          </w:tcPr>
          <w:p>
            <w:pPr>
              <w:pStyle w:val="yTable"/>
              <w:jc w:val="center"/>
            </w:pPr>
            <w:r>
              <w:t>67</w:t>
            </w:r>
          </w:p>
        </w:tc>
        <w:tc>
          <w:tcPr>
            <w:tcW w:w="1417" w:type="dxa"/>
          </w:tcPr>
          <w:p>
            <w:pPr>
              <w:pStyle w:val="yTable"/>
              <w:jc w:val="center"/>
            </w:pPr>
            <w:r>
              <w:t>28</w:t>
            </w:r>
          </w:p>
        </w:tc>
        <w:tc>
          <w:tcPr>
            <w:tcW w:w="1418" w:type="dxa"/>
          </w:tcPr>
          <w:p>
            <w:pPr>
              <w:pStyle w:val="yTable"/>
              <w:jc w:val="center"/>
            </w:pPr>
            <w:r>
              <w:t>41</w:t>
            </w:r>
          </w:p>
        </w:tc>
        <w:tc>
          <w:tcPr>
            <w:tcW w:w="1418" w:type="dxa"/>
          </w:tcPr>
          <w:p>
            <w:pPr>
              <w:pStyle w:val="yTable"/>
              <w:jc w:val="center"/>
            </w:pPr>
            <w:r>
              <w:t>62</w:t>
            </w:r>
          </w:p>
        </w:tc>
      </w:tr>
      <w:tr>
        <w:tc>
          <w:tcPr>
            <w:tcW w:w="1417" w:type="dxa"/>
          </w:tcPr>
          <w:p>
            <w:pPr>
              <w:pStyle w:val="yTable"/>
              <w:jc w:val="center"/>
            </w:pPr>
            <w:r>
              <w:t>1.45</w:t>
            </w:r>
          </w:p>
        </w:tc>
        <w:tc>
          <w:tcPr>
            <w:tcW w:w="1418" w:type="dxa"/>
          </w:tcPr>
          <w:p>
            <w:pPr>
              <w:pStyle w:val="yTable"/>
              <w:jc w:val="center"/>
            </w:pPr>
            <w:r>
              <w:t>64</w:t>
            </w:r>
          </w:p>
        </w:tc>
        <w:tc>
          <w:tcPr>
            <w:tcW w:w="1417" w:type="dxa"/>
          </w:tcPr>
          <w:p>
            <w:pPr>
              <w:pStyle w:val="yTable"/>
              <w:jc w:val="center"/>
            </w:pPr>
            <w:r>
              <w:t>28</w:t>
            </w:r>
          </w:p>
        </w:tc>
        <w:tc>
          <w:tcPr>
            <w:tcW w:w="1418" w:type="dxa"/>
          </w:tcPr>
          <w:p>
            <w:pPr>
              <w:pStyle w:val="yTable"/>
              <w:jc w:val="center"/>
            </w:pPr>
            <w:r>
              <w:t>41</w:t>
            </w:r>
          </w:p>
        </w:tc>
        <w:tc>
          <w:tcPr>
            <w:tcW w:w="1418" w:type="dxa"/>
          </w:tcPr>
          <w:p>
            <w:pPr>
              <w:pStyle w:val="yTable"/>
              <w:jc w:val="center"/>
            </w:pPr>
            <w:r>
              <w:t>59</w:t>
            </w:r>
          </w:p>
        </w:tc>
      </w:tr>
      <w:tr>
        <w:tc>
          <w:tcPr>
            <w:tcW w:w="1417" w:type="dxa"/>
          </w:tcPr>
          <w:p>
            <w:pPr>
              <w:pStyle w:val="yTable"/>
              <w:jc w:val="center"/>
            </w:pPr>
            <w:r>
              <w:t>1.50</w:t>
            </w:r>
          </w:p>
        </w:tc>
        <w:tc>
          <w:tcPr>
            <w:tcW w:w="1418" w:type="dxa"/>
          </w:tcPr>
          <w:p>
            <w:pPr>
              <w:pStyle w:val="yTable"/>
              <w:jc w:val="center"/>
            </w:pPr>
            <w:r>
              <w:t>62</w:t>
            </w:r>
          </w:p>
        </w:tc>
        <w:tc>
          <w:tcPr>
            <w:tcW w:w="1417" w:type="dxa"/>
          </w:tcPr>
          <w:p>
            <w:pPr>
              <w:pStyle w:val="yTable"/>
              <w:jc w:val="center"/>
            </w:pPr>
            <w:r>
              <w:t>28</w:t>
            </w:r>
          </w:p>
        </w:tc>
        <w:tc>
          <w:tcPr>
            <w:tcW w:w="1418" w:type="dxa"/>
          </w:tcPr>
          <w:p>
            <w:pPr>
              <w:pStyle w:val="yTable"/>
              <w:jc w:val="center"/>
            </w:pPr>
            <w:r>
              <w:t>40</w:t>
            </w:r>
          </w:p>
        </w:tc>
        <w:tc>
          <w:tcPr>
            <w:tcW w:w="1418" w:type="dxa"/>
          </w:tcPr>
          <w:p>
            <w:pPr>
              <w:pStyle w:val="yTable"/>
              <w:jc w:val="center"/>
            </w:pPr>
            <w:r>
              <w:t>57</w:t>
            </w:r>
          </w:p>
        </w:tc>
      </w:tr>
      <w:tr>
        <w:tc>
          <w:tcPr>
            <w:tcW w:w="1417" w:type="dxa"/>
          </w:tcPr>
          <w:p>
            <w:pPr>
              <w:pStyle w:val="yTable"/>
              <w:jc w:val="center"/>
            </w:pPr>
            <w:r>
              <w:t>1.55</w:t>
            </w:r>
          </w:p>
        </w:tc>
        <w:tc>
          <w:tcPr>
            <w:tcW w:w="1418" w:type="dxa"/>
          </w:tcPr>
          <w:p>
            <w:pPr>
              <w:pStyle w:val="yTable"/>
              <w:jc w:val="center"/>
            </w:pPr>
            <w:r>
              <w:t>60</w:t>
            </w:r>
          </w:p>
        </w:tc>
        <w:tc>
          <w:tcPr>
            <w:tcW w:w="1417" w:type="dxa"/>
          </w:tcPr>
          <w:p>
            <w:pPr>
              <w:pStyle w:val="yTable"/>
              <w:jc w:val="center"/>
            </w:pPr>
            <w:r>
              <w:t>27</w:t>
            </w:r>
          </w:p>
        </w:tc>
        <w:tc>
          <w:tcPr>
            <w:tcW w:w="1418" w:type="dxa"/>
          </w:tcPr>
          <w:p>
            <w:pPr>
              <w:pStyle w:val="yTable"/>
              <w:jc w:val="center"/>
            </w:pPr>
            <w:r>
              <w:t>39</w:t>
            </w:r>
          </w:p>
        </w:tc>
        <w:tc>
          <w:tcPr>
            <w:tcW w:w="1418" w:type="dxa"/>
          </w:tcPr>
          <w:p>
            <w:pPr>
              <w:pStyle w:val="yTable"/>
              <w:jc w:val="center"/>
            </w:pPr>
            <w:r>
              <w:t>55</w:t>
            </w:r>
          </w:p>
        </w:tc>
      </w:tr>
      <w:tr>
        <w:tc>
          <w:tcPr>
            <w:tcW w:w="1417" w:type="dxa"/>
          </w:tcPr>
          <w:p>
            <w:pPr>
              <w:pStyle w:val="yTable"/>
              <w:jc w:val="center"/>
            </w:pPr>
            <w:r>
              <w:t>1.60</w:t>
            </w:r>
          </w:p>
        </w:tc>
        <w:tc>
          <w:tcPr>
            <w:tcW w:w="1418" w:type="dxa"/>
          </w:tcPr>
          <w:p>
            <w:pPr>
              <w:pStyle w:val="yTable"/>
              <w:jc w:val="center"/>
            </w:pPr>
            <w:r>
              <w:t>58</w:t>
            </w:r>
          </w:p>
        </w:tc>
        <w:tc>
          <w:tcPr>
            <w:tcW w:w="1417" w:type="dxa"/>
          </w:tcPr>
          <w:p>
            <w:pPr>
              <w:pStyle w:val="yTable"/>
              <w:jc w:val="center"/>
            </w:pPr>
            <w:r>
              <w:t>27</w:t>
            </w:r>
          </w:p>
        </w:tc>
        <w:tc>
          <w:tcPr>
            <w:tcW w:w="1418" w:type="dxa"/>
          </w:tcPr>
          <w:p>
            <w:pPr>
              <w:pStyle w:val="yTable"/>
              <w:jc w:val="center"/>
            </w:pPr>
            <w:r>
              <w:t>39</w:t>
            </w:r>
          </w:p>
        </w:tc>
        <w:tc>
          <w:tcPr>
            <w:tcW w:w="1418" w:type="dxa"/>
          </w:tcPr>
          <w:p>
            <w:pPr>
              <w:pStyle w:val="yTable"/>
              <w:jc w:val="center"/>
            </w:pPr>
            <w:r>
              <w:t>53</w:t>
            </w:r>
          </w:p>
        </w:tc>
      </w:tr>
      <w:tr>
        <w:tc>
          <w:tcPr>
            <w:tcW w:w="1417" w:type="dxa"/>
          </w:tcPr>
          <w:p>
            <w:pPr>
              <w:pStyle w:val="yTable"/>
              <w:jc w:val="center"/>
            </w:pPr>
            <w:r>
              <w:t>1.65</w:t>
            </w:r>
          </w:p>
        </w:tc>
        <w:tc>
          <w:tcPr>
            <w:tcW w:w="1418" w:type="dxa"/>
          </w:tcPr>
          <w:p>
            <w:pPr>
              <w:pStyle w:val="yTable"/>
              <w:jc w:val="center"/>
            </w:pPr>
            <w:r>
              <w:t>57</w:t>
            </w:r>
          </w:p>
        </w:tc>
        <w:tc>
          <w:tcPr>
            <w:tcW w:w="1417" w:type="dxa"/>
          </w:tcPr>
          <w:p>
            <w:pPr>
              <w:pStyle w:val="yTable"/>
              <w:jc w:val="center"/>
            </w:pPr>
            <w:r>
              <w:t>27</w:t>
            </w:r>
          </w:p>
        </w:tc>
        <w:tc>
          <w:tcPr>
            <w:tcW w:w="1418" w:type="dxa"/>
          </w:tcPr>
          <w:p>
            <w:pPr>
              <w:pStyle w:val="yTable"/>
              <w:jc w:val="center"/>
            </w:pPr>
            <w:r>
              <w:t>38</w:t>
            </w:r>
          </w:p>
        </w:tc>
        <w:tc>
          <w:tcPr>
            <w:tcW w:w="1418" w:type="dxa"/>
          </w:tcPr>
          <w:p>
            <w:pPr>
              <w:pStyle w:val="yTable"/>
              <w:jc w:val="center"/>
            </w:pPr>
            <w:r>
              <w:t>53</w:t>
            </w:r>
          </w:p>
        </w:tc>
      </w:tr>
      <w:tr>
        <w:tc>
          <w:tcPr>
            <w:tcW w:w="1417" w:type="dxa"/>
          </w:tcPr>
          <w:p>
            <w:pPr>
              <w:pStyle w:val="yTable"/>
              <w:jc w:val="center"/>
            </w:pPr>
            <w:r>
              <w:t>1.70</w:t>
            </w:r>
          </w:p>
        </w:tc>
        <w:tc>
          <w:tcPr>
            <w:tcW w:w="1418" w:type="dxa"/>
          </w:tcPr>
          <w:p>
            <w:pPr>
              <w:pStyle w:val="yTable"/>
              <w:jc w:val="center"/>
            </w:pPr>
            <w:r>
              <w:t>55</w:t>
            </w:r>
          </w:p>
        </w:tc>
        <w:tc>
          <w:tcPr>
            <w:tcW w:w="1417" w:type="dxa"/>
          </w:tcPr>
          <w:p>
            <w:pPr>
              <w:pStyle w:val="yTable"/>
              <w:jc w:val="center"/>
            </w:pPr>
            <w:r>
              <w:t>27</w:t>
            </w:r>
          </w:p>
        </w:tc>
        <w:tc>
          <w:tcPr>
            <w:tcW w:w="1418" w:type="dxa"/>
          </w:tcPr>
          <w:p>
            <w:pPr>
              <w:pStyle w:val="yTable"/>
              <w:jc w:val="center"/>
            </w:pPr>
            <w:r>
              <w:t>38</w:t>
            </w:r>
          </w:p>
        </w:tc>
        <w:tc>
          <w:tcPr>
            <w:tcW w:w="1418" w:type="dxa"/>
          </w:tcPr>
          <w:p>
            <w:pPr>
              <w:pStyle w:val="yTable"/>
              <w:jc w:val="center"/>
            </w:pPr>
            <w:r>
              <w:t>51</w:t>
            </w:r>
          </w:p>
        </w:tc>
      </w:tr>
      <w:tr>
        <w:tc>
          <w:tcPr>
            <w:tcW w:w="1417" w:type="dxa"/>
          </w:tcPr>
          <w:p>
            <w:pPr>
              <w:pStyle w:val="yTable"/>
              <w:jc w:val="center"/>
            </w:pPr>
            <w:r>
              <w:t>1.75</w:t>
            </w:r>
          </w:p>
        </w:tc>
        <w:tc>
          <w:tcPr>
            <w:tcW w:w="1418" w:type="dxa"/>
          </w:tcPr>
          <w:p>
            <w:pPr>
              <w:pStyle w:val="yTable"/>
              <w:jc w:val="center"/>
            </w:pPr>
            <w:r>
              <w:t>53</w:t>
            </w:r>
          </w:p>
        </w:tc>
        <w:tc>
          <w:tcPr>
            <w:tcW w:w="1417" w:type="dxa"/>
          </w:tcPr>
          <w:p>
            <w:pPr>
              <w:pStyle w:val="yTable"/>
              <w:jc w:val="center"/>
            </w:pPr>
            <w:r>
              <w:t>26</w:t>
            </w:r>
          </w:p>
        </w:tc>
        <w:tc>
          <w:tcPr>
            <w:tcW w:w="1418" w:type="dxa"/>
          </w:tcPr>
          <w:p>
            <w:pPr>
              <w:pStyle w:val="yTable"/>
              <w:jc w:val="center"/>
            </w:pPr>
            <w:r>
              <w:t>37</w:t>
            </w:r>
          </w:p>
        </w:tc>
        <w:tc>
          <w:tcPr>
            <w:tcW w:w="1418" w:type="dxa"/>
          </w:tcPr>
          <w:p>
            <w:pPr>
              <w:pStyle w:val="yTable"/>
              <w:jc w:val="center"/>
            </w:pPr>
            <w:r>
              <w:t>49</w:t>
            </w:r>
          </w:p>
        </w:tc>
      </w:tr>
      <w:tr>
        <w:tc>
          <w:tcPr>
            <w:tcW w:w="1417" w:type="dxa"/>
          </w:tcPr>
          <w:p>
            <w:pPr>
              <w:pStyle w:val="yTable"/>
              <w:jc w:val="center"/>
            </w:pPr>
            <w:r>
              <w:t>1.80</w:t>
            </w:r>
          </w:p>
        </w:tc>
        <w:tc>
          <w:tcPr>
            <w:tcW w:w="1418" w:type="dxa"/>
          </w:tcPr>
          <w:p>
            <w:pPr>
              <w:pStyle w:val="yTable"/>
              <w:jc w:val="center"/>
            </w:pPr>
            <w:r>
              <w:t>52</w:t>
            </w:r>
          </w:p>
        </w:tc>
        <w:tc>
          <w:tcPr>
            <w:tcW w:w="1417" w:type="dxa"/>
          </w:tcPr>
          <w:p>
            <w:pPr>
              <w:pStyle w:val="yTable"/>
              <w:jc w:val="center"/>
            </w:pPr>
            <w:r>
              <w:t>26</w:t>
            </w:r>
          </w:p>
        </w:tc>
        <w:tc>
          <w:tcPr>
            <w:tcW w:w="1418" w:type="dxa"/>
          </w:tcPr>
          <w:p>
            <w:pPr>
              <w:pStyle w:val="yTable"/>
              <w:jc w:val="center"/>
            </w:pPr>
            <w:r>
              <w:t>37</w:t>
            </w:r>
          </w:p>
        </w:tc>
        <w:tc>
          <w:tcPr>
            <w:tcW w:w="1418" w:type="dxa"/>
          </w:tcPr>
          <w:p>
            <w:pPr>
              <w:pStyle w:val="yTable"/>
              <w:jc w:val="center"/>
            </w:pPr>
            <w:r>
              <w:t>48</w:t>
            </w:r>
          </w:p>
        </w:tc>
      </w:tr>
      <w:tr>
        <w:tc>
          <w:tcPr>
            <w:tcW w:w="1417" w:type="dxa"/>
          </w:tcPr>
          <w:p>
            <w:pPr>
              <w:pStyle w:val="yTable"/>
              <w:jc w:val="center"/>
            </w:pPr>
            <w:r>
              <w:t>1.85</w:t>
            </w:r>
          </w:p>
        </w:tc>
        <w:tc>
          <w:tcPr>
            <w:tcW w:w="1418" w:type="dxa"/>
          </w:tcPr>
          <w:p>
            <w:pPr>
              <w:pStyle w:val="yTable"/>
              <w:jc w:val="center"/>
            </w:pPr>
            <w:r>
              <w:t>51</w:t>
            </w:r>
          </w:p>
        </w:tc>
        <w:tc>
          <w:tcPr>
            <w:tcW w:w="1417" w:type="dxa"/>
          </w:tcPr>
          <w:p>
            <w:pPr>
              <w:pStyle w:val="yTable"/>
              <w:jc w:val="center"/>
            </w:pPr>
            <w:r>
              <w:t>26</w:t>
            </w:r>
          </w:p>
        </w:tc>
        <w:tc>
          <w:tcPr>
            <w:tcW w:w="1418" w:type="dxa"/>
          </w:tcPr>
          <w:p>
            <w:pPr>
              <w:pStyle w:val="yTable"/>
              <w:jc w:val="center"/>
            </w:pPr>
            <w:r>
              <w:t>36</w:t>
            </w:r>
          </w:p>
        </w:tc>
        <w:tc>
          <w:tcPr>
            <w:tcW w:w="1418" w:type="dxa"/>
          </w:tcPr>
          <w:p>
            <w:pPr>
              <w:pStyle w:val="yTable"/>
              <w:jc w:val="center"/>
            </w:pPr>
            <w:r>
              <w:t>47</w:t>
            </w:r>
          </w:p>
        </w:tc>
      </w:tr>
      <w:tr>
        <w:tc>
          <w:tcPr>
            <w:tcW w:w="1417" w:type="dxa"/>
          </w:tcPr>
          <w:p>
            <w:pPr>
              <w:pStyle w:val="yTable"/>
              <w:jc w:val="center"/>
            </w:pPr>
            <w:r>
              <w:t>1.90</w:t>
            </w:r>
          </w:p>
        </w:tc>
        <w:tc>
          <w:tcPr>
            <w:tcW w:w="1418" w:type="dxa"/>
          </w:tcPr>
          <w:p>
            <w:pPr>
              <w:pStyle w:val="yTable"/>
              <w:jc w:val="center"/>
            </w:pPr>
            <w:r>
              <w:t>49</w:t>
            </w:r>
          </w:p>
        </w:tc>
        <w:tc>
          <w:tcPr>
            <w:tcW w:w="1417" w:type="dxa"/>
          </w:tcPr>
          <w:p>
            <w:pPr>
              <w:pStyle w:val="yTable"/>
              <w:jc w:val="center"/>
            </w:pPr>
            <w:r>
              <w:t>25</w:t>
            </w:r>
          </w:p>
        </w:tc>
        <w:tc>
          <w:tcPr>
            <w:tcW w:w="1418" w:type="dxa"/>
          </w:tcPr>
          <w:p>
            <w:pPr>
              <w:pStyle w:val="yTable"/>
              <w:jc w:val="center"/>
            </w:pPr>
            <w:r>
              <w:t>36</w:t>
            </w:r>
          </w:p>
        </w:tc>
        <w:tc>
          <w:tcPr>
            <w:tcW w:w="1418" w:type="dxa"/>
          </w:tcPr>
          <w:p>
            <w:pPr>
              <w:pStyle w:val="yTable"/>
              <w:jc w:val="center"/>
            </w:pPr>
            <w:r>
              <w:t>45</w:t>
            </w:r>
          </w:p>
        </w:tc>
      </w:tr>
      <w:tr>
        <w:tc>
          <w:tcPr>
            <w:tcW w:w="1417" w:type="dxa"/>
          </w:tcPr>
          <w:p>
            <w:pPr>
              <w:pStyle w:val="yTable"/>
              <w:jc w:val="center"/>
            </w:pPr>
            <w:r>
              <w:t>1.95</w:t>
            </w:r>
          </w:p>
        </w:tc>
        <w:tc>
          <w:tcPr>
            <w:tcW w:w="1418" w:type="dxa"/>
          </w:tcPr>
          <w:p>
            <w:pPr>
              <w:pStyle w:val="yTable"/>
              <w:jc w:val="center"/>
            </w:pPr>
            <w:r>
              <w:t>48</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44</w:t>
            </w:r>
          </w:p>
        </w:tc>
      </w:tr>
      <w:tr>
        <w:tc>
          <w:tcPr>
            <w:tcW w:w="1417" w:type="dxa"/>
          </w:tcPr>
          <w:p>
            <w:pPr>
              <w:pStyle w:val="yTable"/>
              <w:jc w:val="center"/>
            </w:pPr>
            <w:r>
              <w:t>2.00</w:t>
            </w:r>
          </w:p>
        </w:tc>
        <w:tc>
          <w:tcPr>
            <w:tcW w:w="1418" w:type="dxa"/>
          </w:tcPr>
          <w:p>
            <w:pPr>
              <w:pStyle w:val="yTable"/>
              <w:jc w:val="center"/>
            </w:pPr>
            <w:r>
              <w:t>47</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43</w:t>
            </w:r>
          </w:p>
        </w:tc>
      </w:tr>
      <w:tr>
        <w:tc>
          <w:tcPr>
            <w:tcW w:w="1417" w:type="dxa"/>
          </w:tcPr>
          <w:p>
            <w:pPr>
              <w:pStyle w:val="yTable"/>
              <w:jc w:val="center"/>
            </w:pPr>
            <w:r>
              <w:t>2.05</w:t>
            </w:r>
          </w:p>
        </w:tc>
        <w:tc>
          <w:tcPr>
            <w:tcW w:w="1418" w:type="dxa"/>
          </w:tcPr>
          <w:p>
            <w:pPr>
              <w:pStyle w:val="yTable"/>
              <w:jc w:val="center"/>
            </w:pPr>
            <w:r>
              <w:t>46</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42</w:t>
            </w:r>
          </w:p>
        </w:tc>
      </w:tr>
      <w:tr>
        <w:tc>
          <w:tcPr>
            <w:tcW w:w="1417" w:type="dxa"/>
          </w:tcPr>
          <w:p>
            <w:pPr>
              <w:pStyle w:val="yTable"/>
              <w:jc w:val="center"/>
            </w:pPr>
            <w:r>
              <w:t>2.10</w:t>
            </w:r>
          </w:p>
        </w:tc>
        <w:tc>
          <w:tcPr>
            <w:tcW w:w="1418" w:type="dxa"/>
          </w:tcPr>
          <w:p>
            <w:pPr>
              <w:pStyle w:val="yTable"/>
              <w:jc w:val="center"/>
            </w:pPr>
            <w:r>
              <w:t>45</w:t>
            </w:r>
          </w:p>
        </w:tc>
        <w:tc>
          <w:tcPr>
            <w:tcW w:w="1417" w:type="dxa"/>
          </w:tcPr>
          <w:p>
            <w:pPr>
              <w:pStyle w:val="yTable"/>
              <w:jc w:val="center"/>
            </w:pPr>
            <w:r>
              <w:t>24</w:t>
            </w:r>
          </w:p>
        </w:tc>
        <w:tc>
          <w:tcPr>
            <w:tcW w:w="1418" w:type="dxa"/>
          </w:tcPr>
          <w:p>
            <w:pPr>
              <w:pStyle w:val="yTable"/>
              <w:jc w:val="center"/>
            </w:pPr>
            <w:r>
              <w:t>34</w:t>
            </w:r>
          </w:p>
        </w:tc>
        <w:tc>
          <w:tcPr>
            <w:tcW w:w="1418" w:type="dxa"/>
          </w:tcPr>
          <w:p>
            <w:pPr>
              <w:pStyle w:val="yTable"/>
              <w:jc w:val="center"/>
            </w:pPr>
            <w:r>
              <w:t>41</w:t>
            </w:r>
          </w:p>
        </w:tc>
      </w:tr>
      <w:tr>
        <w:tc>
          <w:tcPr>
            <w:tcW w:w="1417" w:type="dxa"/>
          </w:tcPr>
          <w:p>
            <w:pPr>
              <w:pStyle w:val="yTable"/>
              <w:jc w:val="center"/>
            </w:pPr>
            <w:r>
              <w:t>2.15</w:t>
            </w:r>
          </w:p>
        </w:tc>
        <w:tc>
          <w:tcPr>
            <w:tcW w:w="1418" w:type="dxa"/>
          </w:tcPr>
          <w:p>
            <w:pPr>
              <w:pStyle w:val="yTable"/>
              <w:jc w:val="center"/>
            </w:pPr>
            <w:r>
              <w:t>43</w:t>
            </w:r>
          </w:p>
        </w:tc>
        <w:tc>
          <w:tcPr>
            <w:tcW w:w="1417" w:type="dxa"/>
          </w:tcPr>
          <w:p>
            <w:pPr>
              <w:pStyle w:val="yTable"/>
              <w:jc w:val="center"/>
            </w:pPr>
            <w:r>
              <w:t>24</w:t>
            </w:r>
          </w:p>
        </w:tc>
        <w:tc>
          <w:tcPr>
            <w:tcW w:w="1418" w:type="dxa"/>
          </w:tcPr>
          <w:p>
            <w:pPr>
              <w:pStyle w:val="yTable"/>
              <w:jc w:val="center"/>
            </w:pPr>
            <w:r>
              <w:t>34</w:t>
            </w:r>
          </w:p>
        </w:tc>
        <w:tc>
          <w:tcPr>
            <w:tcW w:w="1418" w:type="dxa"/>
          </w:tcPr>
          <w:p>
            <w:pPr>
              <w:pStyle w:val="yTable"/>
              <w:jc w:val="center"/>
            </w:pPr>
            <w:r>
              <w:t>40</w:t>
            </w:r>
          </w:p>
        </w:tc>
      </w:tr>
      <w:tr>
        <w:tc>
          <w:tcPr>
            <w:tcW w:w="1417" w:type="dxa"/>
          </w:tcPr>
          <w:p>
            <w:pPr>
              <w:pStyle w:val="yTable"/>
              <w:jc w:val="center"/>
            </w:pPr>
            <w:r>
              <w:t>2.20</w:t>
            </w:r>
          </w:p>
        </w:tc>
        <w:tc>
          <w:tcPr>
            <w:tcW w:w="1418" w:type="dxa"/>
          </w:tcPr>
          <w:p>
            <w:pPr>
              <w:pStyle w:val="yTable"/>
              <w:jc w:val="center"/>
            </w:pPr>
            <w:r>
              <w:t>42</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2.25</w:t>
            </w:r>
          </w:p>
        </w:tc>
        <w:tc>
          <w:tcPr>
            <w:tcW w:w="1418" w:type="dxa"/>
          </w:tcPr>
          <w:p>
            <w:pPr>
              <w:pStyle w:val="yTable"/>
              <w:jc w:val="center"/>
            </w:pPr>
            <w:r>
              <w:t>42</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2.30</w:t>
            </w:r>
          </w:p>
        </w:tc>
        <w:tc>
          <w:tcPr>
            <w:tcW w:w="1418" w:type="dxa"/>
          </w:tcPr>
          <w:p>
            <w:pPr>
              <w:pStyle w:val="yTable"/>
              <w:jc w:val="center"/>
            </w:pPr>
            <w:r>
              <w:t>41</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2.35</w:t>
            </w:r>
          </w:p>
        </w:tc>
        <w:tc>
          <w:tcPr>
            <w:tcW w:w="1418" w:type="dxa"/>
          </w:tcPr>
          <w:p>
            <w:pPr>
              <w:pStyle w:val="yTable"/>
              <w:jc w:val="center"/>
            </w:pPr>
            <w:r>
              <w:t>40</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38</w:t>
            </w:r>
          </w:p>
        </w:tc>
      </w:tr>
      <w:tr>
        <w:tc>
          <w:tcPr>
            <w:tcW w:w="1417" w:type="dxa"/>
          </w:tcPr>
          <w:p>
            <w:pPr>
              <w:pStyle w:val="yTable"/>
              <w:jc w:val="center"/>
            </w:pPr>
            <w:r>
              <w:t>2.40</w:t>
            </w:r>
          </w:p>
        </w:tc>
        <w:tc>
          <w:tcPr>
            <w:tcW w:w="1418" w:type="dxa"/>
          </w:tcPr>
          <w:p>
            <w:pPr>
              <w:pStyle w:val="yTable"/>
              <w:jc w:val="center"/>
            </w:pPr>
            <w:r>
              <w:t>39</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37</w:t>
            </w:r>
          </w:p>
        </w:tc>
      </w:tr>
      <w:tr>
        <w:tc>
          <w:tcPr>
            <w:tcW w:w="1417" w:type="dxa"/>
          </w:tcPr>
          <w:p>
            <w:pPr>
              <w:pStyle w:val="yTable"/>
              <w:jc w:val="center"/>
            </w:pPr>
            <w:r>
              <w:t>2.45</w:t>
            </w:r>
          </w:p>
        </w:tc>
        <w:tc>
          <w:tcPr>
            <w:tcW w:w="1418" w:type="dxa"/>
          </w:tcPr>
          <w:p>
            <w:pPr>
              <w:pStyle w:val="yTable"/>
              <w:jc w:val="center"/>
            </w:pPr>
            <w:r>
              <w:t>38</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36</w:t>
            </w:r>
          </w:p>
        </w:tc>
      </w:tr>
      <w:tr>
        <w:tc>
          <w:tcPr>
            <w:tcW w:w="1417" w:type="dxa"/>
          </w:tcPr>
          <w:p>
            <w:pPr>
              <w:pStyle w:val="yTable"/>
              <w:jc w:val="center"/>
            </w:pPr>
            <w:r>
              <w:t>2.50</w:t>
            </w:r>
          </w:p>
        </w:tc>
        <w:tc>
          <w:tcPr>
            <w:tcW w:w="1418" w:type="dxa"/>
          </w:tcPr>
          <w:p>
            <w:pPr>
              <w:pStyle w:val="yTable"/>
              <w:jc w:val="center"/>
            </w:pPr>
            <w:r>
              <w:t>37</w:t>
            </w:r>
          </w:p>
        </w:tc>
        <w:tc>
          <w:tcPr>
            <w:tcW w:w="1417" w:type="dxa"/>
          </w:tcPr>
          <w:p>
            <w:pPr>
              <w:pStyle w:val="yTable"/>
              <w:jc w:val="center"/>
            </w:pPr>
            <w:r>
              <w:t>23</w:t>
            </w:r>
          </w:p>
        </w:tc>
        <w:tc>
          <w:tcPr>
            <w:tcW w:w="1418" w:type="dxa"/>
          </w:tcPr>
          <w:p>
            <w:pPr>
              <w:pStyle w:val="yTable"/>
              <w:jc w:val="center"/>
            </w:pPr>
            <w:r>
              <w:t>31</w:t>
            </w:r>
          </w:p>
        </w:tc>
        <w:tc>
          <w:tcPr>
            <w:tcW w:w="1418" w:type="dxa"/>
          </w:tcPr>
          <w:p>
            <w:pPr>
              <w:pStyle w:val="yTable"/>
              <w:jc w:val="center"/>
            </w:pPr>
            <w:r>
              <w:t>35</w:t>
            </w:r>
          </w:p>
        </w:tc>
      </w:tr>
      <w:tr>
        <w:tc>
          <w:tcPr>
            <w:tcW w:w="1417" w:type="dxa"/>
          </w:tcPr>
          <w:p>
            <w:pPr>
              <w:pStyle w:val="yTable"/>
              <w:jc w:val="center"/>
            </w:pPr>
            <w:r>
              <w:t>2.60</w:t>
            </w:r>
          </w:p>
        </w:tc>
        <w:tc>
          <w:tcPr>
            <w:tcW w:w="1418" w:type="dxa"/>
          </w:tcPr>
          <w:p>
            <w:pPr>
              <w:pStyle w:val="yTable"/>
              <w:jc w:val="center"/>
            </w:pPr>
            <w:r>
              <w:t>36</w:t>
            </w:r>
          </w:p>
        </w:tc>
        <w:tc>
          <w:tcPr>
            <w:tcW w:w="1417" w:type="dxa"/>
          </w:tcPr>
          <w:p>
            <w:pPr>
              <w:pStyle w:val="yTable"/>
              <w:jc w:val="center"/>
            </w:pPr>
            <w:r>
              <w:t>22</w:t>
            </w:r>
          </w:p>
        </w:tc>
        <w:tc>
          <w:tcPr>
            <w:tcW w:w="1418" w:type="dxa"/>
          </w:tcPr>
          <w:p>
            <w:pPr>
              <w:pStyle w:val="yTable"/>
              <w:jc w:val="center"/>
            </w:pPr>
            <w:r>
              <w:t>30</w:t>
            </w:r>
          </w:p>
        </w:tc>
        <w:tc>
          <w:tcPr>
            <w:tcW w:w="1418" w:type="dxa"/>
          </w:tcPr>
          <w:p>
            <w:pPr>
              <w:pStyle w:val="yTable"/>
              <w:jc w:val="center"/>
            </w:pPr>
            <w:r>
              <w:t>34</w:t>
            </w:r>
          </w:p>
        </w:tc>
      </w:tr>
      <w:tr>
        <w:tc>
          <w:tcPr>
            <w:tcW w:w="1417" w:type="dxa"/>
          </w:tcPr>
          <w:p>
            <w:pPr>
              <w:pStyle w:val="yTable"/>
              <w:jc w:val="center"/>
            </w:pPr>
            <w:r>
              <w:t>2.70</w:t>
            </w:r>
          </w:p>
        </w:tc>
        <w:tc>
          <w:tcPr>
            <w:tcW w:w="1418" w:type="dxa"/>
          </w:tcPr>
          <w:p>
            <w:pPr>
              <w:pStyle w:val="yTable"/>
              <w:jc w:val="center"/>
            </w:pPr>
            <w:r>
              <w:t>35</w:t>
            </w:r>
          </w:p>
        </w:tc>
        <w:tc>
          <w:tcPr>
            <w:tcW w:w="1417" w:type="dxa"/>
          </w:tcPr>
          <w:p>
            <w:pPr>
              <w:pStyle w:val="yTable"/>
              <w:jc w:val="center"/>
            </w:pPr>
            <w:r>
              <w:t>22</w:t>
            </w:r>
          </w:p>
        </w:tc>
        <w:tc>
          <w:tcPr>
            <w:tcW w:w="1418" w:type="dxa"/>
          </w:tcPr>
          <w:p>
            <w:pPr>
              <w:pStyle w:val="yTable"/>
              <w:jc w:val="center"/>
            </w:pPr>
            <w:r>
              <w:t>30</w:t>
            </w:r>
          </w:p>
        </w:tc>
        <w:tc>
          <w:tcPr>
            <w:tcW w:w="1418" w:type="dxa"/>
          </w:tcPr>
          <w:p>
            <w:pPr>
              <w:pStyle w:val="yTable"/>
              <w:jc w:val="center"/>
            </w:pPr>
            <w:r>
              <w:t>33</w:t>
            </w:r>
          </w:p>
        </w:tc>
      </w:tr>
      <w:tr>
        <w:tc>
          <w:tcPr>
            <w:tcW w:w="1417" w:type="dxa"/>
          </w:tcPr>
          <w:p>
            <w:pPr>
              <w:pStyle w:val="yTable"/>
              <w:jc w:val="center"/>
            </w:pPr>
            <w:r>
              <w:t>2.80</w:t>
            </w:r>
          </w:p>
        </w:tc>
        <w:tc>
          <w:tcPr>
            <w:tcW w:w="1418" w:type="dxa"/>
          </w:tcPr>
          <w:p>
            <w:pPr>
              <w:pStyle w:val="yTable"/>
              <w:jc w:val="center"/>
            </w:pPr>
            <w:r>
              <w:t>33</w:t>
            </w:r>
          </w:p>
        </w:tc>
        <w:tc>
          <w:tcPr>
            <w:tcW w:w="1417" w:type="dxa"/>
          </w:tcPr>
          <w:p>
            <w:pPr>
              <w:pStyle w:val="yTable"/>
              <w:jc w:val="center"/>
            </w:pPr>
            <w:r>
              <w:t>21</w:t>
            </w:r>
          </w:p>
        </w:tc>
        <w:tc>
          <w:tcPr>
            <w:tcW w:w="1418" w:type="dxa"/>
          </w:tcPr>
          <w:p>
            <w:pPr>
              <w:pStyle w:val="yTable"/>
              <w:jc w:val="center"/>
            </w:pPr>
            <w:r>
              <w:t>29</w:t>
            </w:r>
          </w:p>
        </w:tc>
        <w:tc>
          <w:tcPr>
            <w:tcW w:w="1418" w:type="dxa"/>
          </w:tcPr>
          <w:p>
            <w:pPr>
              <w:pStyle w:val="yTable"/>
              <w:jc w:val="center"/>
            </w:pPr>
            <w:r>
              <w:t>31</w:t>
            </w:r>
          </w:p>
        </w:tc>
      </w:tr>
      <w:tr>
        <w:tc>
          <w:tcPr>
            <w:tcW w:w="1417" w:type="dxa"/>
          </w:tcPr>
          <w:p>
            <w:pPr>
              <w:pStyle w:val="yTable"/>
              <w:jc w:val="center"/>
            </w:pPr>
            <w:r>
              <w:t>2.90</w:t>
            </w:r>
          </w:p>
        </w:tc>
        <w:tc>
          <w:tcPr>
            <w:tcW w:w="1418" w:type="dxa"/>
          </w:tcPr>
          <w:p>
            <w:pPr>
              <w:pStyle w:val="yTable"/>
              <w:jc w:val="center"/>
            </w:pPr>
            <w:r>
              <w:t>32</w:t>
            </w:r>
          </w:p>
        </w:tc>
        <w:tc>
          <w:tcPr>
            <w:tcW w:w="1417" w:type="dxa"/>
          </w:tcPr>
          <w:p>
            <w:pPr>
              <w:pStyle w:val="yTable"/>
              <w:jc w:val="center"/>
            </w:pPr>
            <w:r>
              <w:t>21</w:t>
            </w:r>
          </w:p>
        </w:tc>
        <w:tc>
          <w:tcPr>
            <w:tcW w:w="1418" w:type="dxa"/>
          </w:tcPr>
          <w:p>
            <w:pPr>
              <w:pStyle w:val="yTable"/>
              <w:jc w:val="center"/>
            </w:pPr>
            <w:r>
              <w:t>29</w:t>
            </w:r>
          </w:p>
        </w:tc>
        <w:tc>
          <w:tcPr>
            <w:tcW w:w="1418" w:type="dxa"/>
          </w:tcPr>
          <w:p>
            <w:pPr>
              <w:pStyle w:val="yTable"/>
              <w:jc w:val="center"/>
            </w:pPr>
            <w:r>
              <w:t>30</w:t>
            </w:r>
          </w:p>
        </w:tc>
      </w:tr>
      <w:tr>
        <w:tc>
          <w:tcPr>
            <w:tcW w:w="1417" w:type="dxa"/>
          </w:tcPr>
          <w:p>
            <w:pPr>
              <w:pStyle w:val="yTable"/>
              <w:jc w:val="center"/>
            </w:pPr>
            <w:r>
              <w:t>3.00</w:t>
            </w:r>
          </w:p>
        </w:tc>
        <w:tc>
          <w:tcPr>
            <w:tcW w:w="1418" w:type="dxa"/>
          </w:tcPr>
          <w:p>
            <w:pPr>
              <w:pStyle w:val="yTable"/>
              <w:jc w:val="center"/>
            </w:pPr>
            <w:r>
              <w:t>31</w:t>
            </w:r>
          </w:p>
        </w:tc>
        <w:tc>
          <w:tcPr>
            <w:tcW w:w="1417" w:type="dxa"/>
          </w:tcPr>
          <w:p>
            <w:pPr>
              <w:pStyle w:val="yTable"/>
              <w:jc w:val="center"/>
            </w:pPr>
            <w:r>
              <w:t>21</w:t>
            </w:r>
          </w:p>
        </w:tc>
        <w:tc>
          <w:tcPr>
            <w:tcW w:w="1418" w:type="dxa"/>
          </w:tcPr>
          <w:p>
            <w:pPr>
              <w:pStyle w:val="yTable"/>
              <w:jc w:val="center"/>
            </w:pPr>
            <w:r>
              <w:t>28</w:t>
            </w:r>
          </w:p>
        </w:tc>
        <w:tc>
          <w:tcPr>
            <w:tcW w:w="1418" w:type="dxa"/>
          </w:tcPr>
          <w:p>
            <w:pPr>
              <w:pStyle w:val="yTable"/>
              <w:jc w:val="center"/>
            </w:pPr>
            <w:r>
              <w:t>29</w:t>
            </w:r>
          </w:p>
        </w:tc>
      </w:tr>
      <w:tr>
        <w:tc>
          <w:tcPr>
            <w:tcW w:w="1417" w:type="dxa"/>
          </w:tcPr>
          <w:p>
            <w:pPr>
              <w:pStyle w:val="yTable"/>
              <w:jc w:val="center"/>
            </w:pPr>
            <w:r>
              <w:t>3.10</w:t>
            </w:r>
          </w:p>
        </w:tc>
        <w:tc>
          <w:tcPr>
            <w:tcW w:w="1418" w:type="dxa"/>
          </w:tcPr>
          <w:p>
            <w:pPr>
              <w:pStyle w:val="yTable"/>
              <w:jc w:val="center"/>
            </w:pPr>
            <w:r>
              <w:t>30</w:t>
            </w:r>
          </w:p>
        </w:tc>
        <w:tc>
          <w:tcPr>
            <w:tcW w:w="1417" w:type="dxa"/>
          </w:tcPr>
          <w:p>
            <w:pPr>
              <w:pStyle w:val="yTable"/>
              <w:jc w:val="center"/>
            </w:pPr>
            <w:r>
              <w:t>20</w:t>
            </w:r>
          </w:p>
        </w:tc>
        <w:tc>
          <w:tcPr>
            <w:tcW w:w="1418" w:type="dxa"/>
          </w:tcPr>
          <w:p>
            <w:pPr>
              <w:pStyle w:val="yTable"/>
              <w:jc w:val="center"/>
            </w:pPr>
            <w:r>
              <w:t>27</w:t>
            </w:r>
          </w:p>
        </w:tc>
        <w:tc>
          <w:tcPr>
            <w:tcW w:w="1418" w:type="dxa"/>
          </w:tcPr>
          <w:p>
            <w:pPr>
              <w:pStyle w:val="yTable"/>
              <w:jc w:val="center"/>
            </w:pPr>
            <w:r>
              <w:t>28</w:t>
            </w:r>
          </w:p>
        </w:tc>
      </w:tr>
      <w:tr>
        <w:tc>
          <w:tcPr>
            <w:tcW w:w="1417" w:type="dxa"/>
          </w:tcPr>
          <w:p>
            <w:pPr>
              <w:pStyle w:val="yTable"/>
              <w:jc w:val="center"/>
            </w:pPr>
            <w:r>
              <w:t>3.20</w:t>
            </w:r>
          </w:p>
        </w:tc>
        <w:tc>
          <w:tcPr>
            <w:tcW w:w="1418" w:type="dxa"/>
          </w:tcPr>
          <w:p>
            <w:pPr>
              <w:pStyle w:val="yTable"/>
              <w:jc w:val="center"/>
            </w:pPr>
            <w:r>
              <w:t>29</w:t>
            </w:r>
          </w:p>
        </w:tc>
        <w:tc>
          <w:tcPr>
            <w:tcW w:w="1417" w:type="dxa"/>
          </w:tcPr>
          <w:p>
            <w:pPr>
              <w:pStyle w:val="yTable"/>
              <w:jc w:val="center"/>
            </w:pPr>
            <w:r>
              <w:t>20</w:t>
            </w:r>
          </w:p>
        </w:tc>
        <w:tc>
          <w:tcPr>
            <w:tcW w:w="1418" w:type="dxa"/>
          </w:tcPr>
          <w:p>
            <w:pPr>
              <w:pStyle w:val="yTable"/>
              <w:jc w:val="center"/>
            </w:pPr>
            <w:r>
              <w:t>27</w:t>
            </w:r>
          </w:p>
        </w:tc>
        <w:tc>
          <w:tcPr>
            <w:tcW w:w="1418" w:type="dxa"/>
          </w:tcPr>
          <w:p>
            <w:pPr>
              <w:pStyle w:val="yTable"/>
              <w:jc w:val="center"/>
            </w:pPr>
            <w:r>
              <w:t>27</w:t>
            </w:r>
          </w:p>
        </w:tc>
      </w:tr>
      <w:tr>
        <w:tc>
          <w:tcPr>
            <w:tcW w:w="1417" w:type="dxa"/>
          </w:tcPr>
          <w:p>
            <w:pPr>
              <w:pStyle w:val="yTable"/>
              <w:jc w:val="center"/>
            </w:pPr>
            <w:r>
              <w:t>3.30</w:t>
            </w:r>
          </w:p>
        </w:tc>
        <w:tc>
          <w:tcPr>
            <w:tcW w:w="1418" w:type="dxa"/>
          </w:tcPr>
          <w:p>
            <w:pPr>
              <w:pStyle w:val="yTable"/>
              <w:jc w:val="center"/>
            </w:pPr>
            <w:r>
              <w:t>28</w:t>
            </w:r>
          </w:p>
        </w:tc>
        <w:tc>
          <w:tcPr>
            <w:tcW w:w="1417" w:type="dxa"/>
          </w:tcPr>
          <w:p>
            <w:pPr>
              <w:pStyle w:val="yTable"/>
              <w:jc w:val="center"/>
            </w:pPr>
            <w:r>
              <w:t>20</w:t>
            </w:r>
          </w:p>
        </w:tc>
        <w:tc>
          <w:tcPr>
            <w:tcW w:w="1418" w:type="dxa"/>
          </w:tcPr>
          <w:p>
            <w:pPr>
              <w:pStyle w:val="yTable"/>
              <w:jc w:val="center"/>
            </w:pPr>
            <w:r>
              <w:t>26</w:t>
            </w:r>
          </w:p>
        </w:tc>
        <w:tc>
          <w:tcPr>
            <w:tcW w:w="1418" w:type="dxa"/>
          </w:tcPr>
          <w:p>
            <w:pPr>
              <w:pStyle w:val="yTable"/>
              <w:jc w:val="center"/>
            </w:pPr>
            <w:r>
              <w:t>26</w:t>
            </w:r>
          </w:p>
        </w:tc>
      </w:tr>
      <w:tr>
        <w:tc>
          <w:tcPr>
            <w:tcW w:w="1417" w:type="dxa"/>
          </w:tcPr>
          <w:p>
            <w:pPr>
              <w:pStyle w:val="yTable"/>
              <w:jc w:val="center"/>
            </w:pPr>
            <w:r>
              <w:t>3.40</w:t>
            </w:r>
          </w:p>
        </w:tc>
        <w:tc>
          <w:tcPr>
            <w:tcW w:w="1418" w:type="dxa"/>
          </w:tcPr>
          <w:p>
            <w:pPr>
              <w:pStyle w:val="yTable"/>
              <w:jc w:val="center"/>
            </w:pPr>
            <w:r>
              <w:t>27</w:t>
            </w:r>
          </w:p>
        </w:tc>
        <w:tc>
          <w:tcPr>
            <w:tcW w:w="1417" w:type="dxa"/>
          </w:tcPr>
          <w:p>
            <w:pPr>
              <w:pStyle w:val="yTable"/>
              <w:jc w:val="center"/>
            </w:pPr>
            <w:r>
              <w:t>19</w:t>
            </w:r>
          </w:p>
        </w:tc>
        <w:tc>
          <w:tcPr>
            <w:tcW w:w="1418" w:type="dxa"/>
          </w:tcPr>
          <w:p>
            <w:pPr>
              <w:pStyle w:val="yTable"/>
              <w:jc w:val="center"/>
            </w:pPr>
            <w:r>
              <w:t>26</w:t>
            </w:r>
          </w:p>
        </w:tc>
        <w:tc>
          <w:tcPr>
            <w:tcW w:w="1418" w:type="dxa"/>
          </w:tcPr>
          <w:p>
            <w:pPr>
              <w:pStyle w:val="yTable"/>
              <w:jc w:val="center"/>
            </w:pPr>
            <w:r>
              <w:t>25</w:t>
            </w:r>
          </w:p>
        </w:tc>
      </w:tr>
      <w:tr>
        <w:tc>
          <w:tcPr>
            <w:tcW w:w="1417" w:type="dxa"/>
          </w:tcPr>
          <w:p>
            <w:pPr>
              <w:pStyle w:val="yTable"/>
              <w:jc w:val="center"/>
            </w:pPr>
            <w:r>
              <w:t>3.50</w:t>
            </w:r>
          </w:p>
        </w:tc>
        <w:tc>
          <w:tcPr>
            <w:tcW w:w="1418" w:type="dxa"/>
          </w:tcPr>
          <w:p>
            <w:pPr>
              <w:pStyle w:val="yTable"/>
              <w:jc w:val="center"/>
            </w:pPr>
            <w:r>
              <w:t>27</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25</w:t>
            </w:r>
          </w:p>
        </w:tc>
      </w:tr>
      <w:tr>
        <w:tc>
          <w:tcPr>
            <w:tcW w:w="1417" w:type="dxa"/>
          </w:tcPr>
          <w:p>
            <w:pPr>
              <w:pStyle w:val="yTable"/>
              <w:jc w:val="center"/>
            </w:pPr>
            <w:r>
              <w:t>3.60</w:t>
            </w:r>
          </w:p>
        </w:tc>
        <w:tc>
          <w:tcPr>
            <w:tcW w:w="1418" w:type="dxa"/>
          </w:tcPr>
          <w:p>
            <w:pPr>
              <w:pStyle w:val="yTable"/>
              <w:jc w:val="center"/>
            </w:pPr>
            <w:r>
              <w:t>26</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24</w:t>
            </w:r>
          </w:p>
        </w:tc>
      </w:tr>
      <w:tr>
        <w:tc>
          <w:tcPr>
            <w:tcW w:w="1417" w:type="dxa"/>
          </w:tcPr>
          <w:p>
            <w:pPr>
              <w:pStyle w:val="yTable"/>
              <w:jc w:val="center"/>
            </w:pPr>
            <w:r>
              <w:t>3.70</w:t>
            </w:r>
          </w:p>
        </w:tc>
        <w:tc>
          <w:tcPr>
            <w:tcW w:w="1418" w:type="dxa"/>
          </w:tcPr>
          <w:p>
            <w:pPr>
              <w:pStyle w:val="yTable"/>
              <w:jc w:val="center"/>
            </w:pPr>
            <w:r>
              <w:t>25</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24</w:t>
            </w:r>
          </w:p>
        </w:tc>
      </w:tr>
      <w:tr>
        <w:tc>
          <w:tcPr>
            <w:tcW w:w="1417" w:type="dxa"/>
          </w:tcPr>
          <w:p>
            <w:pPr>
              <w:pStyle w:val="yTable"/>
              <w:jc w:val="center"/>
            </w:pPr>
            <w:r>
              <w:t>3.80</w:t>
            </w:r>
          </w:p>
        </w:tc>
        <w:tc>
          <w:tcPr>
            <w:tcW w:w="1418" w:type="dxa"/>
          </w:tcPr>
          <w:p>
            <w:pPr>
              <w:pStyle w:val="yTable"/>
              <w:jc w:val="center"/>
            </w:pPr>
            <w:r>
              <w:t>25</w:t>
            </w:r>
          </w:p>
        </w:tc>
        <w:tc>
          <w:tcPr>
            <w:tcW w:w="1417" w:type="dxa"/>
          </w:tcPr>
          <w:p>
            <w:pPr>
              <w:pStyle w:val="yTable"/>
              <w:jc w:val="center"/>
            </w:pPr>
            <w:r>
              <w:t>18</w:t>
            </w:r>
          </w:p>
        </w:tc>
        <w:tc>
          <w:tcPr>
            <w:tcW w:w="1418" w:type="dxa"/>
          </w:tcPr>
          <w:p>
            <w:pPr>
              <w:pStyle w:val="yTable"/>
              <w:jc w:val="center"/>
            </w:pPr>
            <w:r>
              <w:t>24</w:t>
            </w:r>
          </w:p>
        </w:tc>
        <w:tc>
          <w:tcPr>
            <w:tcW w:w="1418" w:type="dxa"/>
          </w:tcPr>
          <w:p>
            <w:pPr>
              <w:pStyle w:val="yTable"/>
              <w:jc w:val="center"/>
            </w:pPr>
            <w:r>
              <w:t>24</w:t>
            </w:r>
          </w:p>
        </w:tc>
      </w:tr>
      <w:tr>
        <w:tc>
          <w:tcPr>
            <w:tcW w:w="1417" w:type="dxa"/>
          </w:tcPr>
          <w:p>
            <w:pPr>
              <w:pStyle w:val="yTable"/>
              <w:jc w:val="center"/>
            </w:pPr>
            <w:r>
              <w:t>3.90</w:t>
            </w:r>
          </w:p>
        </w:tc>
        <w:tc>
          <w:tcPr>
            <w:tcW w:w="1418" w:type="dxa"/>
          </w:tcPr>
          <w:p>
            <w:pPr>
              <w:pStyle w:val="yTable"/>
              <w:jc w:val="center"/>
            </w:pPr>
            <w:r>
              <w:t>24</w:t>
            </w:r>
          </w:p>
        </w:tc>
        <w:tc>
          <w:tcPr>
            <w:tcW w:w="1417" w:type="dxa"/>
          </w:tcPr>
          <w:p>
            <w:pPr>
              <w:pStyle w:val="yTable"/>
              <w:jc w:val="center"/>
            </w:pPr>
            <w:r>
              <w:t>18</w:t>
            </w:r>
          </w:p>
        </w:tc>
        <w:tc>
          <w:tcPr>
            <w:tcW w:w="1418" w:type="dxa"/>
          </w:tcPr>
          <w:p>
            <w:pPr>
              <w:pStyle w:val="yTable"/>
              <w:jc w:val="center"/>
            </w:pPr>
            <w:r>
              <w:t>24</w:t>
            </w:r>
          </w:p>
        </w:tc>
        <w:tc>
          <w:tcPr>
            <w:tcW w:w="1418" w:type="dxa"/>
          </w:tcPr>
          <w:p>
            <w:pPr>
              <w:pStyle w:val="yTable"/>
              <w:jc w:val="center"/>
            </w:pPr>
            <w:r>
              <w:t>23</w:t>
            </w:r>
          </w:p>
        </w:tc>
      </w:tr>
      <w:tr>
        <w:tc>
          <w:tcPr>
            <w:tcW w:w="1417" w:type="dxa"/>
          </w:tcPr>
          <w:p>
            <w:pPr>
              <w:pStyle w:val="yTable"/>
              <w:jc w:val="center"/>
            </w:pPr>
            <w:r>
              <w:t>4.00</w:t>
            </w:r>
          </w:p>
        </w:tc>
        <w:tc>
          <w:tcPr>
            <w:tcW w:w="1418" w:type="dxa"/>
          </w:tcPr>
          <w:p>
            <w:pPr>
              <w:pStyle w:val="yTable"/>
              <w:jc w:val="center"/>
            </w:pPr>
            <w:r>
              <w:t>23</w:t>
            </w:r>
          </w:p>
        </w:tc>
        <w:tc>
          <w:tcPr>
            <w:tcW w:w="1417" w:type="dxa"/>
          </w:tcPr>
          <w:p>
            <w:pPr>
              <w:pStyle w:val="yTable"/>
              <w:jc w:val="center"/>
            </w:pPr>
            <w:r>
              <w:t>18</w:t>
            </w:r>
          </w:p>
        </w:tc>
        <w:tc>
          <w:tcPr>
            <w:tcW w:w="1418" w:type="dxa"/>
          </w:tcPr>
          <w:p>
            <w:pPr>
              <w:pStyle w:val="yTable"/>
              <w:jc w:val="center"/>
            </w:pPr>
            <w:r>
              <w:t>23</w:t>
            </w:r>
          </w:p>
        </w:tc>
        <w:tc>
          <w:tcPr>
            <w:tcW w:w="1418" w:type="dxa"/>
          </w:tcPr>
          <w:p>
            <w:pPr>
              <w:pStyle w:val="yTable"/>
              <w:jc w:val="center"/>
            </w:pPr>
            <w:r>
              <w:t>22</w:t>
            </w:r>
          </w:p>
        </w:tc>
      </w:tr>
      <w:tr>
        <w:tc>
          <w:tcPr>
            <w:tcW w:w="1417" w:type="dxa"/>
          </w:tcPr>
          <w:p>
            <w:pPr>
              <w:pStyle w:val="yTable"/>
              <w:jc w:val="center"/>
            </w:pPr>
            <w:r>
              <w:t>4.20</w:t>
            </w:r>
          </w:p>
        </w:tc>
        <w:tc>
          <w:tcPr>
            <w:tcW w:w="1418" w:type="dxa"/>
          </w:tcPr>
          <w:p>
            <w:pPr>
              <w:pStyle w:val="yTable"/>
              <w:jc w:val="center"/>
            </w:pPr>
            <w:r>
              <w:t>22</w:t>
            </w:r>
          </w:p>
        </w:tc>
        <w:tc>
          <w:tcPr>
            <w:tcW w:w="1417" w:type="dxa"/>
          </w:tcPr>
          <w:p>
            <w:pPr>
              <w:pStyle w:val="yTable"/>
              <w:jc w:val="center"/>
            </w:pPr>
            <w:r>
              <w:t>17</w:t>
            </w:r>
          </w:p>
        </w:tc>
        <w:tc>
          <w:tcPr>
            <w:tcW w:w="1418" w:type="dxa"/>
          </w:tcPr>
          <w:p>
            <w:pPr>
              <w:pStyle w:val="yTable"/>
              <w:jc w:val="center"/>
            </w:pPr>
            <w:r>
              <w:t>23</w:t>
            </w:r>
          </w:p>
        </w:tc>
        <w:tc>
          <w:tcPr>
            <w:tcW w:w="1418" w:type="dxa"/>
          </w:tcPr>
          <w:p>
            <w:pPr>
              <w:pStyle w:val="yTable"/>
              <w:jc w:val="center"/>
            </w:pPr>
            <w:r>
              <w:t>21</w:t>
            </w:r>
          </w:p>
        </w:tc>
      </w:tr>
      <w:tr>
        <w:tc>
          <w:tcPr>
            <w:tcW w:w="1417" w:type="dxa"/>
          </w:tcPr>
          <w:p>
            <w:pPr>
              <w:pStyle w:val="yTable"/>
              <w:jc w:val="center"/>
            </w:pPr>
            <w:r>
              <w:t>4.40</w:t>
            </w:r>
          </w:p>
        </w:tc>
        <w:tc>
          <w:tcPr>
            <w:tcW w:w="1418" w:type="dxa"/>
          </w:tcPr>
          <w:p>
            <w:pPr>
              <w:pStyle w:val="yTable"/>
              <w:jc w:val="center"/>
            </w:pPr>
            <w:r>
              <w:t>21</w:t>
            </w:r>
          </w:p>
        </w:tc>
        <w:tc>
          <w:tcPr>
            <w:tcW w:w="1417" w:type="dxa"/>
          </w:tcPr>
          <w:p>
            <w:pPr>
              <w:pStyle w:val="yTable"/>
              <w:jc w:val="center"/>
            </w:pPr>
            <w:r>
              <w:t>17</w:t>
            </w:r>
          </w:p>
        </w:tc>
        <w:tc>
          <w:tcPr>
            <w:tcW w:w="1418" w:type="dxa"/>
          </w:tcPr>
          <w:p>
            <w:pPr>
              <w:pStyle w:val="yTable"/>
              <w:jc w:val="center"/>
            </w:pPr>
            <w:r>
              <w:t>22</w:t>
            </w:r>
          </w:p>
        </w:tc>
        <w:tc>
          <w:tcPr>
            <w:tcW w:w="1418" w:type="dxa"/>
          </w:tcPr>
          <w:p>
            <w:pPr>
              <w:pStyle w:val="yTable"/>
              <w:jc w:val="center"/>
            </w:pPr>
            <w:r>
              <w:t>20</w:t>
            </w:r>
          </w:p>
        </w:tc>
      </w:tr>
      <w:tr>
        <w:tc>
          <w:tcPr>
            <w:tcW w:w="1417" w:type="dxa"/>
          </w:tcPr>
          <w:p>
            <w:pPr>
              <w:pStyle w:val="yTable"/>
              <w:jc w:val="center"/>
            </w:pPr>
            <w:r>
              <w:t>4.60</w:t>
            </w:r>
          </w:p>
        </w:tc>
        <w:tc>
          <w:tcPr>
            <w:tcW w:w="1418" w:type="dxa"/>
          </w:tcPr>
          <w:p>
            <w:pPr>
              <w:pStyle w:val="yTable"/>
              <w:jc w:val="center"/>
            </w:pPr>
            <w:r>
              <w:t>20</w:t>
            </w:r>
          </w:p>
        </w:tc>
        <w:tc>
          <w:tcPr>
            <w:tcW w:w="1417" w:type="dxa"/>
          </w:tcPr>
          <w:p>
            <w:pPr>
              <w:pStyle w:val="yTable"/>
              <w:jc w:val="center"/>
            </w:pPr>
            <w:r>
              <w:t>16</w:t>
            </w:r>
          </w:p>
        </w:tc>
        <w:tc>
          <w:tcPr>
            <w:tcW w:w="1418" w:type="dxa"/>
          </w:tcPr>
          <w:p>
            <w:pPr>
              <w:pStyle w:val="yTable"/>
              <w:jc w:val="center"/>
            </w:pPr>
            <w:r>
              <w:t>21</w:t>
            </w:r>
          </w:p>
        </w:tc>
        <w:tc>
          <w:tcPr>
            <w:tcW w:w="1418" w:type="dxa"/>
          </w:tcPr>
          <w:p>
            <w:pPr>
              <w:pStyle w:val="yTable"/>
              <w:jc w:val="center"/>
            </w:pPr>
            <w:r>
              <w:t>19</w:t>
            </w:r>
          </w:p>
        </w:tc>
      </w:tr>
      <w:tr>
        <w:tc>
          <w:tcPr>
            <w:tcW w:w="1417" w:type="dxa"/>
          </w:tcPr>
          <w:p>
            <w:pPr>
              <w:pStyle w:val="yTable"/>
              <w:jc w:val="center"/>
            </w:pPr>
            <w:r>
              <w:t>4.80</w:t>
            </w:r>
          </w:p>
        </w:tc>
        <w:tc>
          <w:tcPr>
            <w:tcW w:w="1418" w:type="dxa"/>
          </w:tcPr>
          <w:p>
            <w:pPr>
              <w:pStyle w:val="yTable"/>
              <w:jc w:val="center"/>
            </w:pPr>
            <w:r>
              <w:t>19</w:t>
            </w:r>
          </w:p>
        </w:tc>
        <w:tc>
          <w:tcPr>
            <w:tcW w:w="1417" w:type="dxa"/>
          </w:tcPr>
          <w:p>
            <w:pPr>
              <w:pStyle w:val="yTable"/>
              <w:jc w:val="center"/>
            </w:pPr>
            <w:r>
              <w:t>16</w:t>
            </w:r>
          </w:p>
        </w:tc>
        <w:tc>
          <w:tcPr>
            <w:tcW w:w="1418" w:type="dxa"/>
          </w:tcPr>
          <w:p>
            <w:pPr>
              <w:pStyle w:val="yTable"/>
              <w:jc w:val="center"/>
            </w:pPr>
            <w:r>
              <w:t>21</w:t>
            </w:r>
          </w:p>
        </w:tc>
        <w:tc>
          <w:tcPr>
            <w:tcW w:w="1418" w:type="dxa"/>
          </w:tcPr>
          <w:p>
            <w:pPr>
              <w:pStyle w:val="yTable"/>
              <w:jc w:val="center"/>
            </w:pPr>
            <w:r>
              <w:t>18</w:t>
            </w:r>
          </w:p>
        </w:tc>
      </w:tr>
      <w:tr>
        <w:tc>
          <w:tcPr>
            <w:tcW w:w="1417" w:type="dxa"/>
          </w:tcPr>
          <w:p>
            <w:pPr>
              <w:pStyle w:val="yTable"/>
              <w:jc w:val="center"/>
            </w:pPr>
            <w:r>
              <w:t>5.00</w:t>
            </w:r>
          </w:p>
        </w:tc>
        <w:tc>
          <w:tcPr>
            <w:tcW w:w="1418" w:type="dxa"/>
          </w:tcPr>
          <w:p>
            <w:pPr>
              <w:pStyle w:val="yTable"/>
              <w:jc w:val="center"/>
            </w:pPr>
            <w:r>
              <w:t>19</w:t>
            </w:r>
          </w:p>
        </w:tc>
        <w:tc>
          <w:tcPr>
            <w:tcW w:w="1417" w:type="dxa"/>
          </w:tcPr>
          <w:p>
            <w:pPr>
              <w:pStyle w:val="yTable"/>
              <w:jc w:val="center"/>
            </w:pPr>
            <w:r>
              <w:t>16</w:t>
            </w:r>
          </w:p>
        </w:tc>
        <w:tc>
          <w:tcPr>
            <w:tcW w:w="1418" w:type="dxa"/>
          </w:tcPr>
          <w:p>
            <w:pPr>
              <w:pStyle w:val="yTable"/>
              <w:jc w:val="center"/>
            </w:pPr>
            <w:r>
              <w:t>20</w:t>
            </w:r>
          </w:p>
        </w:tc>
        <w:tc>
          <w:tcPr>
            <w:tcW w:w="1418" w:type="dxa"/>
          </w:tcPr>
          <w:p>
            <w:pPr>
              <w:pStyle w:val="yTable"/>
              <w:jc w:val="center"/>
            </w:pPr>
            <w:r>
              <w:t>18</w:t>
            </w:r>
          </w:p>
        </w:tc>
      </w:tr>
      <w:tr>
        <w:tc>
          <w:tcPr>
            <w:tcW w:w="1417" w:type="dxa"/>
          </w:tcPr>
          <w:p>
            <w:pPr>
              <w:pStyle w:val="yTable"/>
              <w:jc w:val="center"/>
            </w:pPr>
            <w:r>
              <w:t>5.50</w:t>
            </w:r>
          </w:p>
        </w:tc>
        <w:tc>
          <w:tcPr>
            <w:tcW w:w="1418" w:type="dxa"/>
          </w:tcPr>
          <w:p>
            <w:pPr>
              <w:pStyle w:val="yTable"/>
              <w:jc w:val="center"/>
            </w:pPr>
            <w:r>
              <w:t>17</w:t>
            </w:r>
          </w:p>
        </w:tc>
        <w:tc>
          <w:tcPr>
            <w:tcW w:w="1417" w:type="dxa"/>
          </w:tcPr>
          <w:p>
            <w:pPr>
              <w:pStyle w:val="yTable"/>
              <w:jc w:val="center"/>
            </w:pPr>
            <w:r>
              <w:t>15</w:t>
            </w:r>
          </w:p>
        </w:tc>
        <w:tc>
          <w:tcPr>
            <w:tcW w:w="1418" w:type="dxa"/>
          </w:tcPr>
          <w:p>
            <w:pPr>
              <w:pStyle w:val="yTable"/>
              <w:jc w:val="center"/>
            </w:pPr>
            <w:r>
              <w:t>19</w:t>
            </w:r>
          </w:p>
        </w:tc>
        <w:tc>
          <w:tcPr>
            <w:tcW w:w="1418" w:type="dxa"/>
          </w:tcPr>
          <w:p>
            <w:pPr>
              <w:pStyle w:val="yTable"/>
              <w:jc w:val="center"/>
            </w:pPr>
            <w:r>
              <w:t>17</w:t>
            </w:r>
          </w:p>
        </w:tc>
      </w:tr>
      <w:tr>
        <w:tc>
          <w:tcPr>
            <w:tcW w:w="1417" w:type="dxa"/>
          </w:tcPr>
          <w:p>
            <w:pPr>
              <w:pStyle w:val="yTable"/>
              <w:jc w:val="center"/>
            </w:pPr>
            <w:r>
              <w:t>6.00</w:t>
            </w:r>
          </w:p>
        </w:tc>
        <w:tc>
          <w:tcPr>
            <w:tcW w:w="1418" w:type="dxa"/>
          </w:tcPr>
          <w:p>
            <w:pPr>
              <w:pStyle w:val="yTable"/>
              <w:jc w:val="center"/>
            </w:pPr>
            <w:r>
              <w:t>16</w:t>
            </w:r>
          </w:p>
        </w:tc>
        <w:tc>
          <w:tcPr>
            <w:tcW w:w="1417" w:type="dxa"/>
          </w:tcPr>
          <w:p>
            <w:pPr>
              <w:pStyle w:val="yTable"/>
              <w:jc w:val="center"/>
            </w:pPr>
            <w:r>
              <w:t>14</w:t>
            </w:r>
          </w:p>
        </w:tc>
        <w:tc>
          <w:tcPr>
            <w:tcW w:w="1418" w:type="dxa"/>
          </w:tcPr>
          <w:p>
            <w:pPr>
              <w:pStyle w:val="yTable"/>
              <w:jc w:val="center"/>
            </w:pPr>
            <w:r>
              <w:t>18</w:t>
            </w:r>
          </w:p>
        </w:tc>
        <w:tc>
          <w:tcPr>
            <w:tcW w:w="1418" w:type="dxa"/>
          </w:tcPr>
          <w:p>
            <w:pPr>
              <w:pStyle w:val="yTable"/>
              <w:jc w:val="center"/>
            </w:pPr>
            <w:r>
              <w:t>16</w:t>
            </w:r>
          </w:p>
        </w:tc>
      </w:tr>
      <w:tr>
        <w:tc>
          <w:tcPr>
            <w:tcW w:w="1417" w:type="dxa"/>
          </w:tcPr>
          <w:p>
            <w:pPr>
              <w:pStyle w:val="yTable"/>
              <w:jc w:val="center"/>
            </w:pPr>
            <w:r>
              <w:t>6.50</w:t>
            </w:r>
          </w:p>
        </w:tc>
        <w:tc>
          <w:tcPr>
            <w:tcW w:w="1418" w:type="dxa"/>
          </w:tcPr>
          <w:p>
            <w:pPr>
              <w:pStyle w:val="yTable"/>
              <w:jc w:val="center"/>
            </w:pPr>
            <w:r>
              <w:t>14</w:t>
            </w:r>
          </w:p>
        </w:tc>
        <w:tc>
          <w:tcPr>
            <w:tcW w:w="1417" w:type="dxa"/>
          </w:tcPr>
          <w:p>
            <w:pPr>
              <w:pStyle w:val="yTable"/>
              <w:jc w:val="center"/>
            </w:pPr>
            <w:r>
              <w:t>13</w:t>
            </w:r>
          </w:p>
        </w:tc>
        <w:tc>
          <w:tcPr>
            <w:tcW w:w="1418" w:type="dxa"/>
          </w:tcPr>
          <w:p>
            <w:pPr>
              <w:pStyle w:val="yTable"/>
              <w:jc w:val="center"/>
            </w:pPr>
            <w:r>
              <w:t>16</w:t>
            </w:r>
          </w:p>
        </w:tc>
        <w:tc>
          <w:tcPr>
            <w:tcW w:w="1418" w:type="dxa"/>
          </w:tcPr>
          <w:p>
            <w:pPr>
              <w:pStyle w:val="yTable"/>
              <w:jc w:val="center"/>
            </w:pPr>
            <w:r>
              <w:t>14</w:t>
            </w:r>
          </w:p>
        </w:tc>
      </w:tr>
      <w:tr>
        <w:tc>
          <w:tcPr>
            <w:tcW w:w="1417" w:type="dxa"/>
          </w:tcPr>
          <w:p>
            <w:pPr>
              <w:pStyle w:val="yTable"/>
              <w:jc w:val="center"/>
            </w:pPr>
            <w:r>
              <w:t>7.00</w:t>
            </w:r>
          </w:p>
        </w:tc>
        <w:tc>
          <w:tcPr>
            <w:tcW w:w="1418" w:type="dxa"/>
          </w:tcPr>
          <w:p>
            <w:pPr>
              <w:pStyle w:val="yTable"/>
              <w:jc w:val="center"/>
            </w:pPr>
            <w:r>
              <w:t>13</w:t>
            </w:r>
          </w:p>
        </w:tc>
        <w:tc>
          <w:tcPr>
            <w:tcW w:w="1417" w:type="dxa"/>
          </w:tcPr>
          <w:p>
            <w:pPr>
              <w:pStyle w:val="yTable"/>
              <w:jc w:val="center"/>
            </w:pPr>
            <w:r>
              <w:t>12</w:t>
            </w:r>
          </w:p>
        </w:tc>
        <w:tc>
          <w:tcPr>
            <w:tcW w:w="1418" w:type="dxa"/>
          </w:tcPr>
          <w:p>
            <w:pPr>
              <w:pStyle w:val="yTable"/>
              <w:jc w:val="center"/>
            </w:pPr>
            <w:r>
              <w:t>16</w:t>
            </w:r>
          </w:p>
        </w:tc>
        <w:tc>
          <w:tcPr>
            <w:tcW w:w="1418" w:type="dxa"/>
          </w:tcPr>
          <w:p>
            <w:pPr>
              <w:pStyle w:val="yTable"/>
              <w:jc w:val="center"/>
            </w:pPr>
            <w:r>
              <w:t>13</w:t>
            </w:r>
          </w:p>
        </w:tc>
      </w:tr>
      <w:tr>
        <w:tc>
          <w:tcPr>
            <w:tcW w:w="1417" w:type="dxa"/>
          </w:tcPr>
          <w:p>
            <w:pPr>
              <w:pStyle w:val="yTable"/>
              <w:jc w:val="center"/>
            </w:pPr>
            <w:r>
              <w:t>7.50</w:t>
            </w:r>
          </w:p>
        </w:tc>
        <w:tc>
          <w:tcPr>
            <w:tcW w:w="1418" w:type="dxa"/>
          </w:tcPr>
          <w:p>
            <w:pPr>
              <w:pStyle w:val="yTable"/>
              <w:jc w:val="center"/>
            </w:pPr>
            <w:r>
              <w:t>12</w:t>
            </w:r>
          </w:p>
        </w:tc>
        <w:tc>
          <w:tcPr>
            <w:tcW w:w="1417" w:type="dxa"/>
          </w:tcPr>
          <w:p>
            <w:pPr>
              <w:pStyle w:val="yTable"/>
              <w:jc w:val="center"/>
            </w:pPr>
            <w:r>
              <w:t>12</w:t>
            </w:r>
          </w:p>
        </w:tc>
        <w:tc>
          <w:tcPr>
            <w:tcW w:w="1418" w:type="dxa"/>
          </w:tcPr>
          <w:p>
            <w:pPr>
              <w:pStyle w:val="yTable"/>
              <w:jc w:val="center"/>
            </w:pPr>
            <w:r>
              <w:t>15</w:t>
            </w:r>
          </w:p>
        </w:tc>
        <w:tc>
          <w:tcPr>
            <w:tcW w:w="1418" w:type="dxa"/>
          </w:tcPr>
          <w:p>
            <w:pPr>
              <w:pStyle w:val="yTable"/>
              <w:jc w:val="center"/>
            </w:pPr>
            <w:r>
              <w:t>12</w:t>
            </w:r>
          </w:p>
        </w:tc>
      </w:tr>
      <w:tr>
        <w:tc>
          <w:tcPr>
            <w:tcW w:w="1417" w:type="dxa"/>
          </w:tcPr>
          <w:p>
            <w:pPr>
              <w:pStyle w:val="yTable"/>
              <w:jc w:val="center"/>
            </w:pPr>
            <w:r>
              <w:t>8.00</w:t>
            </w:r>
          </w:p>
        </w:tc>
        <w:tc>
          <w:tcPr>
            <w:tcW w:w="1418" w:type="dxa"/>
          </w:tcPr>
          <w:p>
            <w:pPr>
              <w:pStyle w:val="yTable"/>
              <w:jc w:val="center"/>
            </w:pPr>
            <w:r>
              <w:t>12</w:t>
            </w:r>
          </w:p>
        </w:tc>
        <w:tc>
          <w:tcPr>
            <w:tcW w:w="1417" w:type="dxa"/>
          </w:tcPr>
          <w:p>
            <w:pPr>
              <w:pStyle w:val="yTable"/>
              <w:jc w:val="center"/>
            </w:pPr>
            <w:r>
              <w:t>11</w:t>
            </w:r>
          </w:p>
        </w:tc>
        <w:tc>
          <w:tcPr>
            <w:tcW w:w="1418" w:type="dxa"/>
          </w:tcPr>
          <w:p>
            <w:pPr>
              <w:pStyle w:val="yTable"/>
              <w:jc w:val="center"/>
            </w:pPr>
            <w:r>
              <w:t>14</w:t>
            </w:r>
          </w:p>
        </w:tc>
        <w:tc>
          <w:tcPr>
            <w:tcW w:w="1418" w:type="dxa"/>
          </w:tcPr>
          <w:p>
            <w:pPr>
              <w:pStyle w:val="yTable"/>
              <w:jc w:val="center"/>
            </w:pPr>
            <w:r>
              <w:t>12</w:t>
            </w:r>
          </w:p>
        </w:tc>
      </w:tr>
      <w:tr>
        <w:tc>
          <w:tcPr>
            <w:tcW w:w="1417" w:type="dxa"/>
          </w:tcPr>
          <w:p>
            <w:pPr>
              <w:pStyle w:val="yTable"/>
              <w:jc w:val="center"/>
            </w:pPr>
            <w:r>
              <w:t>8.50</w:t>
            </w:r>
          </w:p>
        </w:tc>
        <w:tc>
          <w:tcPr>
            <w:tcW w:w="1418" w:type="dxa"/>
          </w:tcPr>
          <w:p>
            <w:pPr>
              <w:pStyle w:val="yTable"/>
              <w:jc w:val="center"/>
            </w:pPr>
            <w:r>
              <w:t>11</w:t>
            </w:r>
          </w:p>
        </w:tc>
        <w:tc>
          <w:tcPr>
            <w:tcW w:w="1417" w:type="dxa"/>
          </w:tcPr>
          <w:p>
            <w:pPr>
              <w:pStyle w:val="yTable"/>
              <w:jc w:val="center"/>
            </w:pPr>
            <w:r>
              <w:t>11</w:t>
            </w:r>
          </w:p>
        </w:tc>
        <w:tc>
          <w:tcPr>
            <w:tcW w:w="1418" w:type="dxa"/>
          </w:tcPr>
          <w:p>
            <w:pPr>
              <w:pStyle w:val="yTable"/>
              <w:jc w:val="center"/>
            </w:pPr>
            <w:r>
              <w:t>13</w:t>
            </w:r>
          </w:p>
        </w:tc>
        <w:tc>
          <w:tcPr>
            <w:tcW w:w="1418" w:type="dxa"/>
          </w:tcPr>
          <w:p>
            <w:pPr>
              <w:pStyle w:val="yTable"/>
              <w:jc w:val="center"/>
            </w:pPr>
            <w:r>
              <w:t>11</w:t>
            </w:r>
          </w:p>
        </w:tc>
      </w:tr>
      <w:tr>
        <w:tc>
          <w:tcPr>
            <w:tcW w:w="1417" w:type="dxa"/>
          </w:tcPr>
          <w:p>
            <w:pPr>
              <w:pStyle w:val="yTable"/>
              <w:jc w:val="center"/>
            </w:pPr>
            <w:r>
              <w:t>9.00</w:t>
            </w:r>
          </w:p>
        </w:tc>
        <w:tc>
          <w:tcPr>
            <w:tcW w:w="1418" w:type="dxa"/>
          </w:tcPr>
          <w:p>
            <w:pPr>
              <w:pStyle w:val="yTable"/>
              <w:jc w:val="center"/>
            </w:pPr>
            <w:r>
              <w:t>10</w:t>
            </w:r>
          </w:p>
        </w:tc>
        <w:tc>
          <w:tcPr>
            <w:tcW w:w="1417" w:type="dxa"/>
          </w:tcPr>
          <w:p>
            <w:pPr>
              <w:pStyle w:val="yTable"/>
              <w:jc w:val="center"/>
            </w:pPr>
            <w:r>
              <w:t>10</w:t>
            </w:r>
          </w:p>
        </w:tc>
        <w:tc>
          <w:tcPr>
            <w:tcW w:w="1418" w:type="dxa"/>
          </w:tcPr>
          <w:p>
            <w:pPr>
              <w:pStyle w:val="yTable"/>
              <w:jc w:val="center"/>
            </w:pPr>
            <w:r>
              <w:t>13</w:t>
            </w:r>
          </w:p>
        </w:tc>
        <w:tc>
          <w:tcPr>
            <w:tcW w:w="1418" w:type="dxa"/>
          </w:tcPr>
          <w:p>
            <w:pPr>
              <w:pStyle w:val="yTable"/>
              <w:jc w:val="center"/>
            </w:pPr>
            <w:r>
              <w:t>10</w:t>
            </w:r>
          </w:p>
        </w:tc>
      </w:tr>
      <w:tr>
        <w:tc>
          <w:tcPr>
            <w:tcW w:w="1417" w:type="dxa"/>
          </w:tcPr>
          <w:p>
            <w:pPr>
              <w:pStyle w:val="yTable"/>
              <w:jc w:val="center"/>
            </w:pPr>
            <w:r>
              <w:t>9.50</w:t>
            </w:r>
          </w:p>
        </w:tc>
        <w:tc>
          <w:tcPr>
            <w:tcW w:w="1418" w:type="dxa"/>
          </w:tcPr>
          <w:p>
            <w:pPr>
              <w:pStyle w:val="yTable"/>
              <w:jc w:val="center"/>
            </w:pPr>
            <w:r>
              <w:t>10</w:t>
            </w:r>
          </w:p>
        </w:tc>
        <w:tc>
          <w:tcPr>
            <w:tcW w:w="1417" w:type="dxa"/>
          </w:tcPr>
          <w:p>
            <w:pPr>
              <w:pStyle w:val="yTable"/>
              <w:jc w:val="center"/>
            </w:pPr>
            <w:r>
              <w:t>10</w:t>
            </w:r>
          </w:p>
        </w:tc>
        <w:tc>
          <w:tcPr>
            <w:tcW w:w="1418" w:type="dxa"/>
          </w:tcPr>
          <w:p>
            <w:pPr>
              <w:pStyle w:val="yTable"/>
              <w:jc w:val="center"/>
            </w:pPr>
            <w:r>
              <w:t>12</w:t>
            </w:r>
          </w:p>
        </w:tc>
        <w:tc>
          <w:tcPr>
            <w:tcW w:w="1418" w:type="dxa"/>
          </w:tcPr>
          <w:p>
            <w:pPr>
              <w:pStyle w:val="yTable"/>
              <w:jc w:val="center"/>
            </w:pPr>
            <w:r>
              <w:t>10</w:t>
            </w:r>
          </w:p>
        </w:tc>
      </w:tr>
      <w:tr>
        <w:tc>
          <w:tcPr>
            <w:tcW w:w="1417" w:type="dxa"/>
          </w:tcPr>
          <w:p>
            <w:pPr>
              <w:pStyle w:val="yTable"/>
              <w:jc w:val="center"/>
            </w:pPr>
            <w:r>
              <w:t>10.00</w:t>
            </w:r>
          </w:p>
        </w:tc>
        <w:tc>
          <w:tcPr>
            <w:tcW w:w="1418" w:type="dxa"/>
          </w:tcPr>
          <w:p>
            <w:pPr>
              <w:pStyle w:val="yTable"/>
              <w:jc w:val="center"/>
            </w:pPr>
            <w:r>
              <w:t>9</w:t>
            </w:r>
          </w:p>
        </w:tc>
        <w:tc>
          <w:tcPr>
            <w:tcW w:w="1417" w:type="dxa"/>
          </w:tcPr>
          <w:p>
            <w:pPr>
              <w:pStyle w:val="yTable"/>
              <w:jc w:val="center"/>
            </w:pPr>
            <w:r>
              <w:t>10</w:t>
            </w:r>
          </w:p>
        </w:tc>
        <w:tc>
          <w:tcPr>
            <w:tcW w:w="1418" w:type="dxa"/>
          </w:tcPr>
          <w:p>
            <w:pPr>
              <w:pStyle w:val="yTable"/>
              <w:jc w:val="center"/>
            </w:pPr>
            <w:r>
              <w:t>12</w:t>
            </w:r>
          </w:p>
        </w:tc>
        <w:tc>
          <w:tcPr>
            <w:tcW w:w="1418" w:type="dxa"/>
          </w:tcPr>
          <w:p>
            <w:pPr>
              <w:pStyle w:val="yTable"/>
              <w:jc w:val="center"/>
            </w:pPr>
            <w:r>
              <w:t>9</w:t>
            </w:r>
          </w:p>
        </w:tc>
      </w:tr>
      <w:tr>
        <w:tc>
          <w:tcPr>
            <w:tcW w:w="1417" w:type="dxa"/>
          </w:tcPr>
          <w:p>
            <w:pPr>
              <w:pStyle w:val="yTable"/>
              <w:jc w:val="center"/>
            </w:pPr>
            <w:r>
              <w:t>11.00</w:t>
            </w:r>
          </w:p>
        </w:tc>
        <w:tc>
          <w:tcPr>
            <w:tcW w:w="1418" w:type="dxa"/>
          </w:tcPr>
          <w:p>
            <w:pPr>
              <w:pStyle w:val="yTable"/>
              <w:jc w:val="center"/>
            </w:pPr>
            <w:r>
              <w:t>8</w:t>
            </w:r>
          </w:p>
        </w:tc>
        <w:tc>
          <w:tcPr>
            <w:tcW w:w="1417" w:type="dxa"/>
          </w:tcPr>
          <w:p>
            <w:pPr>
              <w:pStyle w:val="yTable"/>
              <w:jc w:val="center"/>
            </w:pPr>
            <w:r>
              <w:t>9</w:t>
            </w:r>
          </w:p>
        </w:tc>
        <w:tc>
          <w:tcPr>
            <w:tcW w:w="1418" w:type="dxa"/>
          </w:tcPr>
          <w:p>
            <w:pPr>
              <w:pStyle w:val="yTable"/>
              <w:jc w:val="center"/>
            </w:pPr>
            <w:r>
              <w:t>11</w:t>
            </w:r>
          </w:p>
        </w:tc>
        <w:tc>
          <w:tcPr>
            <w:tcW w:w="1418" w:type="dxa"/>
          </w:tcPr>
          <w:p>
            <w:pPr>
              <w:pStyle w:val="yTable"/>
              <w:jc w:val="center"/>
            </w:pPr>
            <w:r>
              <w:t>8</w:t>
            </w:r>
          </w:p>
        </w:tc>
      </w:tr>
      <w:tr>
        <w:tc>
          <w:tcPr>
            <w:tcW w:w="1417" w:type="dxa"/>
          </w:tcPr>
          <w:p>
            <w:pPr>
              <w:pStyle w:val="yTable"/>
              <w:jc w:val="center"/>
            </w:pPr>
            <w:r>
              <w:t>12.00</w:t>
            </w:r>
          </w:p>
        </w:tc>
        <w:tc>
          <w:tcPr>
            <w:tcW w:w="1418" w:type="dxa"/>
          </w:tcPr>
          <w:p>
            <w:pPr>
              <w:pStyle w:val="yTable"/>
              <w:jc w:val="center"/>
            </w:pPr>
            <w:r>
              <w:t>8</w:t>
            </w:r>
          </w:p>
        </w:tc>
        <w:tc>
          <w:tcPr>
            <w:tcW w:w="1417" w:type="dxa"/>
          </w:tcPr>
          <w:p>
            <w:pPr>
              <w:pStyle w:val="yTable"/>
              <w:jc w:val="center"/>
            </w:pPr>
            <w:r>
              <w:t>8</w:t>
            </w:r>
          </w:p>
        </w:tc>
        <w:tc>
          <w:tcPr>
            <w:tcW w:w="1418" w:type="dxa"/>
          </w:tcPr>
          <w:p>
            <w:pPr>
              <w:pStyle w:val="yTable"/>
              <w:jc w:val="center"/>
            </w:pPr>
            <w:r>
              <w:t>10</w:t>
            </w:r>
          </w:p>
        </w:tc>
        <w:tc>
          <w:tcPr>
            <w:tcW w:w="1418" w:type="dxa"/>
          </w:tcPr>
          <w:p>
            <w:pPr>
              <w:pStyle w:val="yTable"/>
              <w:jc w:val="center"/>
            </w:pPr>
            <w:r>
              <w:t>8</w:t>
            </w:r>
          </w:p>
        </w:tc>
      </w:tr>
      <w:tr>
        <w:tc>
          <w:tcPr>
            <w:tcW w:w="1417" w:type="dxa"/>
          </w:tcPr>
          <w:p>
            <w:pPr>
              <w:pStyle w:val="yTable"/>
              <w:jc w:val="center"/>
            </w:pPr>
            <w:r>
              <w:t>13.00</w:t>
            </w:r>
          </w:p>
        </w:tc>
        <w:tc>
          <w:tcPr>
            <w:tcW w:w="1418" w:type="dxa"/>
          </w:tcPr>
          <w:p>
            <w:pPr>
              <w:pStyle w:val="yTable"/>
              <w:jc w:val="center"/>
            </w:pPr>
            <w:r>
              <w:t>7</w:t>
            </w:r>
          </w:p>
        </w:tc>
        <w:tc>
          <w:tcPr>
            <w:tcW w:w="1417" w:type="dxa"/>
          </w:tcPr>
          <w:p>
            <w:pPr>
              <w:pStyle w:val="yTable"/>
              <w:jc w:val="center"/>
            </w:pPr>
            <w:r>
              <w:t>8</w:t>
            </w:r>
          </w:p>
        </w:tc>
        <w:tc>
          <w:tcPr>
            <w:tcW w:w="1418" w:type="dxa"/>
          </w:tcPr>
          <w:p>
            <w:pPr>
              <w:pStyle w:val="yTable"/>
              <w:jc w:val="center"/>
            </w:pPr>
            <w:r>
              <w:t>9</w:t>
            </w:r>
          </w:p>
        </w:tc>
        <w:tc>
          <w:tcPr>
            <w:tcW w:w="1418" w:type="dxa"/>
          </w:tcPr>
          <w:p>
            <w:pPr>
              <w:pStyle w:val="yTable"/>
              <w:jc w:val="center"/>
            </w:pPr>
            <w:r>
              <w:t>7</w:t>
            </w:r>
          </w:p>
        </w:tc>
      </w:tr>
      <w:tr>
        <w:tc>
          <w:tcPr>
            <w:tcW w:w="1417" w:type="dxa"/>
          </w:tcPr>
          <w:p>
            <w:pPr>
              <w:pStyle w:val="yTable"/>
              <w:jc w:val="center"/>
            </w:pPr>
            <w:r>
              <w:t>14.00</w:t>
            </w:r>
          </w:p>
        </w:tc>
        <w:tc>
          <w:tcPr>
            <w:tcW w:w="1418" w:type="dxa"/>
          </w:tcPr>
          <w:p>
            <w:pPr>
              <w:pStyle w:val="yTable"/>
              <w:jc w:val="center"/>
            </w:pPr>
            <w:r>
              <w:t>7</w:t>
            </w:r>
          </w:p>
        </w:tc>
        <w:tc>
          <w:tcPr>
            <w:tcW w:w="1417" w:type="dxa"/>
          </w:tcPr>
          <w:p>
            <w:pPr>
              <w:pStyle w:val="yTable"/>
              <w:jc w:val="center"/>
            </w:pPr>
            <w:r>
              <w:t>7</w:t>
            </w:r>
          </w:p>
        </w:tc>
        <w:tc>
          <w:tcPr>
            <w:tcW w:w="1418" w:type="dxa"/>
          </w:tcPr>
          <w:p>
            <w:pPr>
              <w:pStyle w:val="yTable"/>
              <w:jc w:val="center"/>
            </w:pPr>
            <w:r>
              <w:t>9</w:t>
            </w:r>
          </w:p>
        </w:tc>
        <w:tc>
          <w:tcPr>
            <w:tcW w:w="1418" w:type="dxa"/>
          </w:tcPr>
          <w:p>
            <w:pPr>
              <w:pStyle w:val="yTable"/>
              <w:jc w:val="center"/>
            </w:pPr>
            <w:r>
              <w:t>7</w:t>
            </w:r>
          </w:p>
        </w:tc>
      </w:tr>
      <w:tr>
        <w:tc>
          <w:tcPr>
            <w:tcW w:w="1417" w:type="dxa"/>
          </w:tcPr>
          <w:p>
            <w:pPr>
              <w:pStyle w:val="yTable"/>
              <w:jc w:val="center"/>
            </w:pPr>
            <w:r>
              <w:t>15.00</w:t>
            </w:r>
          </w:p>
        </w:tc>
        <w:tc>
          <w:tcPr>
            <w:tcW w:w="1418" w:type="dxa"/>
          </w:tcPr>
          <w:p>
            <w:pPr>
              <w:pStyle w:val="yTable"/>
              <w:jc w:val="center"/>
            </w:pPr>
            <w:r>
              <w:t>6</w:t>
            </w:r>
          </w:p>
        </w:tc>
        <w:tc>
          <w:tcPr>
            <w:tcW w:w="1417" w:type="dxa"/>
          </w:tcPr>
          <w:p>
            <w:pPr>
              <w:pStyle w:val="yTable"/>
              <w:jc w:val="center"/>
            </w:pPr>
            <w:r>
              <w:t>7</w:t>
            </w:r>
          </w:p>
        </w:tc>
        <w:tc>
          <w:tcPr>
            <w:tcW w:w="1418" w:type="dxa"/>
          </w:tcPr>
          <w:p>
            <w:pPr>
              <w:pStyle w:val="yTable"/>
              <w:jc w:val="center"/>
            </w:pPr>
            <w:r>
              <w:t>8</w:t>
            </w:r>
          </w:p>
        </w:tc>
        <w:tc>
          <w:tcPr>
            <w:tcW w:w="1418" w:type="dxa"/>
          </w:tcPr>
          <w:p>
            <w:pPr>
              <w:pStyle w:val="yTable"/>
              <w:jc w:val="center"/>
            </w:pPr>
            <w:r>
              <w:t>6</w:t>
            </w:r>
          </w:p>
        </w:tc>
      </w:tr>
      <w:tr>
        <w:tc>
          <w:tcPr>
            <w:tcW w:w="1417" w:type="dxa"/>
          </w:tcPr>
          <w:p>
            <w:pPr>
              <w:pStyle w:val="yTable"/>
              <w:jc w:val="center"/>
            </w:pPr>
            <w:r>
              <w:t>16.00</w:t>
            </w:r>
          </w:p>
        </w:tc>
        <w:tc>
          <w:tcPr>
            <w:tcW w:w="1418" w:type="dxa"/>
          </w:tcPr>
          <w:p>
            <w:pPr>
              <w:pStyle w:val="yTable"/>
              <w:jc w:val="center"/>
            </w:pPr>
            <w:r>
              <w:t>6</w:t>
            </w:r>
          </w:p>
        </w:tc>
        <w:tc>
          <w:tcPr>
            <w:tcW w:w="1417" w:type="dxa"/>
          </w:tcPr>
          <w:p>
            <w:pPr>
              <w:pStyle w:val="yTable"/>
              <w:jc w:val="center"/>
            </w:pPr>
            <w:r>
              <w:t>7</w:t>
            </w:r>
          </w:p>
        </w:tc>
        <w:tc>
          <w:tcPr>
            <w:tcW w:w="1418" w:type="dxa"/>
          </w:tcPr>
          <w:p>
            <w:pPr>
              <w:pStyle w:val="yTable"/>
              <w:jc w:val="center"/>
            </w:pPr>
            <w:r>
              <w:t>8</w:t>
            </w:r>
          </w:p>
        </w:tc>
        <w:tc>
          <w:tcPr>
            <w:tcW w:w="1418" w:type="dxa"/>
          </w:tcPr>
          <w:p>
            <w:pPr>
              <w:pStyle w:val="yTable"/>
              <w:jc w:val="center"/>
            </w:pPr>
            <w:r>
              <w:t>6</w:t>
            </w:r>
          </w:p>
        </w:tc>
      </w:tr>
      <w:tr>
        <w:tc>
          <w:tcPr>
            <w:tcW w:w="1417" w:type="dxa"/>
          </w:tcPr>
          <w:p>
            <w:pPr>
              <w:pStyle w:val="yTable"/>
              <w:jc w:val="center"/>
            </w:pPr>
            <w:r>
              <w:t>17.00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18.00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19.00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20.00</w:t>
            </w:r>
          </w:p>
        </w:tc>
        <w:tc>
          <w:tcPr>
            <w:tcW w:w="1418" w:type="dxa"/>
          </w:tcPr>
          <w:p>
            <w:pPr>
              <w:pStyle w:val="yTable"/>
              <w:jc w:val="center"/>
            </w:pPr>
            <w:r>
              <w:t>5</w:t>
            </w:r>
          </w:p>
        </w:tc>
        <w:tc>
          <w:tcPr>
            <w:tcW w:w="1417" w:type="dxa"/>
          </w:tcPr>
          <w:p>
            <w:pPr>
              <w:pStyle w:val="yTable"/>
              <w:jc w:val="center"/>
            </w:pPr>
            <w:r>
              <w:t>5</w:t>
            </w:r>
          </w:p>
        </w:tc>
        <w:tc>
          <w:tcPr>
            <w:tcW w:w="1418" w:type="dxa"/>
          </w:tcPr>
          <w:p>
            <w:pPr>
              <w:pStyle w:val="yTable"/>
              <w:jc w:val="center"/>
            </w:pPr>
            <w:r>
              <w:t>6</w:t>
            </w:r>
          </w:p>
        </w:tc>
        <w:tc>
          <w:tcPr>
            <w:tcW w:w="1418" w:type="dxa"/>
          </w:tcPr>
          <w:p>
            <w:pPr>
              <w:pStyle w:val="yTable"/>
              <w:jc w:val="center"/>
            </w:pPr>
            <w:r>
              <w:t>5</w:t>
            </w:r>
          </w:p>
        </w:tc>
      </w:tr>
      <w:tr>
        <w:tc>
          <w:tcPr>
            <w:tcW w:w="1417" w:type="dxa"/>
          </w:tcPr>
          <w:p>
            <w:pPr>
              <w:pStyle w:val="yTable"/>
              <w:jc w:val="center"/>
            </w:pPr>
            <w:r>
              <w:t>21.00</w:t>
            </w:r>
          </w:p>
        </w:tc>
        <w:tc>
          <w:tcPr>
            <w:tcW w:w="1418" w:type="dxa"/>
          </w:tcPr>
          <w:p>
            <w:pPr>
              <w:pStyle w:val="yTable"/>
              <w:jc w:val="center"/>
            </w:pPr>
            <w:r>
              <w:t>4</w:t>
            </w:r>
          </w:p>
        </w:tc>
        <w:tc>
          <w:tcPr>
            <w:tcW w:w="1417" w:type="dxa"/>
          </w:tcPr>
          <w:p>
            <w:pPr>
              <w:pStyle w:val="yTable"/>
              <w:jc w:val="center"/>
            </w:pPr>
            <w:r>
              <w:t>5</w:t>
            </w:r>
          </w:p>
        </w:tc>
        <w:tc>
          <w:tcPr>
            <w:tcW w:w="1418" w:type="dxa"/>
          </w:tcPr>
          <w:p>
            <w:pPr>
              <w:pStyle w:val="yTable"/>
              <w:jc w:val="center"/>
            </w:pPr>
            <w:r>
              <w:t>6</w:t>
            </w:r>
          </w:p>
        </w:tc>
        <w:tc>
          <w:tcPr>
            <w:tcW w:w="1418" w:type="dxa"/>
          </w:tcPr>
          <w:p>
            <w:pPr>
              <w:pStyle w:val="yTable"/>
              <w:jc w:val="center"/>
            </w:pPr>
            <w:r>
              <w:t>4</w:t>
            </w:r>
          </w:p>
        </w:tc>
      </w:tr>
      <w:tr>
        <w:tc>
          <w:tcPr>
            <w:tcW w:w="1417" w:type="dxa"/>
          </w:tcPr>
          <w:p>
            <w:pPr>
              <w:pStyle w:val="yTable"/>
              <w:jc w:val="center"/>
            </w:pPr>
            <w:r>
              <w:t>26.00</w:t>
            </w:r>
          </w:p>
        </w:tc>
        <w:tc>
          <w:tcPr>
            <w:tcW w:w="1418" w:type="dxa"/>
          </w:tcPr>
          <w:p>
            <w:pPr>
              <w:pStyle w:val="yTable"/>
              <w:jc w:val="center"/>
            </w:pPr>
            <w:r>
              <w:t>3</w:t>
            </w:r>
          </w:p>
        </w:tc>
        <w:tc>
          <w:tcPr>
            <w:tcW w:w="1417" w:type="dxa"/>
          </w:tcPr>
          <w:p>
            <w:pPr>
              <w:pStyle w:val="yTable"/>
              <w:jc w:val="center"/>
            </w:pPr>
            <w:r>
              <w:t>4</w:t>
            </w:r>
          </w:p>
        </w:tc>
        <w:tc>
          <w:tcPr>
            <w:tcW w:w="1418" w:type="dxa"/>
          </w:tcPr>
          <w:p>
            <w:pPr>
              <w:pStyle w:val="yTable"/>
              <w:jc w:val="center"/>
            </w:pPr>
            <w:r>
              <w:t>5</w:t>
            </w:r>
          </w:p>
        </w:tc>
        <w:tc>
          <w:tcPr>
            <w:tcW w:w="1418" w:type="dxa"/>
          </w:tcPr>
          <w:p>
            <w:pPr>
              <w:pStyle w:val="yTable"/>
              <w:jc w:val="center"/>
            </w:pPr>
            <w:r>
              <w:t>3</w:t>
            </w:r>
          </w:p>
        </w:tc>
      </w:tr>
      <w:tr>
        <w:tc>
          <w:tcPr>
            <w:tcW w:w="1417" w:type="dxa"/>
          </w:tcPr>
          <w:p>
            <w:pPr>
              <w:pStyle w:val="yTable"/>
              <w:jc w:val="center"/>
            </w:pPr>
            <w:r>
              <w:t>31.00</w:t>
            </w:r>
          </w:p>
        </w:tc>
        <w:tc>
          <w:tcPr>
            <w:tcW w:w="1418" w:type="dxa"/>
          </w:tcPr>
          <w:p>
            <w:pPr>
              <w:pStyle w:val="yTable"/>
              <w:jc w:val="center"/>
            </w:pPr>
            <w:r>
              <w:t>3</w:t>
            </w:r>
          </w:p>
        </w:tc>
        <w:tc>
          <w:tcPr>
            <w:tcW w:w="1417" w:type="dxa"/>
          </w:tcPr>
          <w:p>
            <w:pPr>
              <w:pStyle w:val="yTable"/>
              <w:jc w:val="center"/>
            </w:pPr>
            <w:r>
              <w:t>3</w:t>
            </w:r>
          </w:p>
        </w:tc>
        <w:tc>
          <w:tcPr>
            <w:tcW w:w="1418" w:type="dxa"/>
          </w:tcPr>
          <w:p>
            <w:pPr>
              <w:pStyle w:val="yTable"/>
              <w:jc w:val="center"/>
            </w:pPr>
            <w:r>
              <w:t>4</w:t>
            </w:r>
          </w:p>
        </w:tc>
        <w:tc>
          <w:tcPr>
            <w:tcW w:w="1418" w:type="dxa"/>
          </w:tcPr>
          <w:p>
            <w:pPr>
              <w:pStyle w:val="yTable"/>
              <w:jc w:val="center"/>
            </w:pPr>
            <w:r>
              <w:t>3</w:t>
            </w:r>
          </w:p>
        </w:tc>
      </w:tr>
      <w:tr>
        <w:tc>
          <w:tcPr>
            <w:tcW w:w="1417" w:type="dxa"/>
          </w:tcPr>
          <w:p>
            <w:pPr>
              <w:pStyle w:val="yTable"/>
              <w:jc w:val="center"/>
            </w:pPr>
            <w:r>
              <w:t>41.00</w:t>
            </w:r>
          </w:p>
        </w:tc>
        <w:tc>
          <w:tcPr>
            <w:tcW w:w="1418" w:type="dxa"/>
          </w:tcPr>
          <w:p>
            <w:pPr>
              <w:pStyle w:val="yTable"/>
              <w:jc w:val="center"/>
            </w:pPr>
            <w:r>
              <w:t>2</w:t>
            </w:r>
          </w:p>
        </w:tc>
        <w:tc>
          <w:tcPr>
            <w:tcW w:w="1417" w:type="dxa"/>
          </w:tcPr>
          <w:p>
            <w:pPr>
              <w:pStyle w:val="yTable"/>
              <w:jc w:val="center"/>
            </w:pPr>
            <w:r>
              <w:t>3</w:t>
            </w:r>
          </w:p>
        </w:tc>
        <w:tc>
          <w:tcPr>
            <w:tcW w:w="1418" w:type="dxa"/>
          </w:tcPr>
          <w:p>
            <w:pPr>
              <w:pStyle w:val="yTable"/>
              <w:jc w:val="center"/>
            </w:pPr>
            <w:r>
              <w:t>3</w:t>
            </w:r>
          </w:p>
        </w:tc>
        <w:tc>
          <w:tcPr>
            <w:tcW w:w="1418" w:type="dxa"/>
          </w:tcPr>
          <w:p>
            <w:pPr>
              <w:pStyle w:val="yTable"/>
              <w:jc w:val="center"/>
            </w:pPr>
            <w:r>
              <w:t>2</w:t>
            </w:r>
          </w:p>
        </w:tc>
      </w:tr>
      <w:tr>
        <w:tc>
          <w:tcPr>
            <w:tcW w:w="1417" w:type="dxa"/>
            <w:tcBorders>
              <w:bottom w:val="single" w:sz="4" w:space="0" w:color="auto"/>
            </w:tcBorders>
          </w:tcPr>
          <w:p>
            <w:pPr>
              <w:pStyle w:val="yTable"/>
              <w:jc w:val="center"/>
            </w:pPr>
            <w:r>
              <w:t>51.00</w:t>
            </w:r>
          </w:p>
        </w:tc>
        <w:tc>
          <w:tcPr>
            <w:tcW w:w="1418" w:type="dxa"/>
            <w:tcBorders>
              <w:bottom w:val="single" w:sz="4" w:space="0" w:color="auto"/>
            </w:tcBorders>
          </w:tcPr>
          <w:p>
            <w:pPr>
              <w:pStyle w:val="yTable"/>
              <w:jc w:val="center"/>
            </w:pPr>
            <w:r>
              <w:t>2</w:t>
            </w:r>
          </w:p>
        </w:tc>
        <w:tc>
          <w:tcPr>
            <w:tcW w:w="1417" w:type="dxa"/>
            <w:tcBorders>
              <w:bottom w:val="single" w:sz="4" w:space="0" w:color="auto"/>
            </w:tcBorders>
          </w:tcPr>
          <w:p>
            <w:pPr>
              <w:pStyle w:val="yTable"/>
              <w:jc w:val="center"/>
            </w:pPr>
            <w:r>
              <w:t>2</w:t>
            </w:r>
          </w:p>
        </w:tc>
        <w:tc>
          <w:tcPr>
            <w:tcW w:w="1418" w:type="dxa"/>
            <w:tcBorders>
              <w:bottom w:val="single" w:sz="4" w:space="0" w:color="auto"/>
            </w:tcBorders>
          </w:tcPr>
          <w:p>
            <w:pPr>
              <w:pStyle w:val="yTable"/>
              <w:jc w:val="center"/>
            </w:pPr>
            <w:r>
              <w:t>2</w:t>
            </w:r>
          </w:p>
        </w:tc>
        <w:tc>
          <w:tcPr>
            <w:tcW w:w="1418" w:type="dxa"/>
            <w:tcBorders>
              <w:bottom w:val="single" w:sz="4" w:space="0" w:color="auto"/>
            </w:tcBorders>
          </w:tcPr>
          <w:p>
            <w:pPr>
              <w:pStyle w:val="yTable"/>
              <w:jc w:val="center"/>
            </w:pPr>
            <w:r>
              <w:t>2</w:t>
            </w:r>
          </w:p>
        </w:tc>
      </w:tr>
    </w:tbl>
    <w:p>
      <w:pPr>
        <w:pStyle w:val="yScheduleHeading"/>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bookmarkStart w:id="427" w:name="_Toc116986522"/>
      <w:bookmarkStart w:id="428" w:name="_Toc133903584"/>
      <w:bookmarkStart w:id="429" w:name="_Toc133903678"/>
    </w:p>
    <w:p>
      <w:pPr>
        <w:pStyle w:val="yScheduleHeading"/>
      </w:pPr>
      <w:bookmarkStart w:id="430" w:name="_Toc133921027"/>
      <w:bookmarkStart w:id="431" w:name="_Toc141162278"/>
      <w:bookmarkStart w:id="432" w:name="_Toc141173867"/>
      <w:r>
        <w:rPr>
          <w:rStyle w:val="CharSchNo"/>
        </w:rPr>
        <w:t>Schedule 1</w:t>
      </w:r>
      <w:r>
        <w:t> — </w:t>
      </w:r>
      <w:r>
        <w:rPr>
          <w:rStyle w:val="CharSchText"/>
        </w:rPr>
        <w:t>Forms</w:t>
      </w:r>
      <w:bookmarkEnd w:id="427"/>
      <w:bookmarkEnd w:id="428"/>
      <w:bookmarkEnd w:id="429"/>
      <w:bookmarkEnd w:id="430"/>
      <w:bookmarkEnd w:id="431"/>
      <w:bookmarkEnd w:id="432"/>
    </w:p>
    <w:p>
      <w:pPr>
        <w:pStyle w:val="yFootnoteheading"/>
      </w:pPr>
      <w:r>
        <w:tab/>
        <w:t>[Heading inserted in Gazette 30 Jan 2004 p. 411.]</w:t>
      </w:r>
    </w:p>
    <w:p>
      <w:pPr>
        <w:pStyle w:val="yShoulderClause"/>
      </w:pPr>
      <w:r>
        <w:t>[r. 77]</w:t>
      </w:r>
    </w:p>
    <w:p>
      <w:pPr>
        <w:pStyle w:val="yTable"/>
        <w:tabs>
          <w:tab w:val="right" w:leader="dot" w:pos="7088"/>
        </w:tabs>
        <w:spacing w:before="0"/>
        <w:jc w:val="center"/>
        <w:rPr>
          <w:b/>
          <w:snapToGrid w:val="0"/>
        </w:rPr>
      </w:pPr>
      <w:r>
        <w:rPr>
          <w:b/>
          <w:snapToGrid w:val="0"/>
        </w:rPr>
        <w:t>Form 1</w:t>
      </w:r>
    </w:p>
    <w:p>
      <w:pPr>
        <w:pStyle w:val="yTable"/>
        <w:tabs>
          <w:tab w:val="right" w:leader="dot" w:pos="7088"/>
        </w:tabs>
        <w:jc w:val="center"/>
        <w:rPr>
          <w:i/>
          <w:snapToGrid w:val="0"/>
        </w:rPr>
      </w:pPr>
      <w:r>
        <w:rPr>
          <w:i/>
          <w:snapToGrid w:val="0"/>
        </w:rPr>
        <w:t>Betting Control Act 1954</w:t>
      </w:r>
    </w:p>
    <w:p>
      <w:pPr>
        <w:pStyle w:val="yTable"/>
        <w:tabs>
          <w:tab w:val="right" w:leader="dot" w:pos="7088"/>
        </w:tabs>
        <w:jc w:val="right"/>
        <w:rPr>
          <w:snapToGrid w:val="0"/>
        </w:rPr>
      </w:pPr>
      <w:r>
        <w:rPr>
          <w:snapToGrid w:val="0"/>
        </w:rPr>
        <w:t>[s. 28A]</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being a JUSTICE OF THE PEACE and being satisfied upon complaint by [insert name of complainant] that there is reason to suspect that unlawful betting within the meaning of section 28A of the </w:t>
      </w:r>
      <w:r>
        <w:rPr>
          <w:i/>
          <w:snapToGrid w:val="0"/>
        </w:rPr>
        <w:t>Betting Control Act 1954</w:t>
      </w:r>
      <w:r>
        <w:rPr>
          <w:snapToGrid w:val="0"/>
        </w:rPr>
        <w:t xml:space="preserve"> is or is about to be carried on at (1)..............................</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GRANT to (2)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 xml:space="preserve">Signature of Justice of the </w:t>
      </w:r>
    </w:p>
    <w:p>
      <w:pPr>
        <w:pStyle w:val="yTable"/>
        <w:tabs>
          <w:tab w:val="right" w:leader="dot" w:pos="7088"/>
        </w:tabs>
        <w:spacing w:before="0"/>
        <w:ind w:left="4253"/>
        <w:jc w:val="right"/>
        <w:rPr>
          <w:snapToGrid w:val="0"/>
        </w:rPr>
      </w:pPr>
      <w:r>
        <w:rPr>
          <w:snapToGrid w:val="0"/>
        </w:rPr>
        <w:t xml:space="preserve">Peace granting the warrant. </w:t>
      </w:r>
    </w:p>
    <w:p>
      <w:pPr>
        <w:pStyle w:val="yTable"/>
        <w:tabs>
          <w:tab w:val="left" w:pos="426"/>
          <w:tab w:val="right" w:leader="dot" w:pos="7088"/>
        </w:tabs>
        <w:spacing w:before="0"/>
        <w:ind w:left="425" w:hanging="425"/>
        <w:rPr>
          <w:snapToGrid w:val="0"/>
        </w:rPr>
      </w:pPr>
      <w:r>
        <w:rPr>
          <w:snapToGrid w:val="0"/>
        </w:rPr>
        <w:t>(1)</w:t>
      </w:r>
      <w:r>
        <w:rPr>
          <w:snapToGrid w:val="0"/>
        </w:rPr>
        <w:tab/>
        <w:t>Insert particulars of place.</w:t>
      </w:r>
    </w:p>
    <w:p>
      <w:pPr>
        <w:pStyle w:val="yTable"/>
        <w:tabs>
          <w:tab w:val="left" w:pos="426"/>
          <w:tab w:val="right" w:leader="dot" w:pos="7088"/>
        </w:tabs>
        <w:ind w:left="426" w:hanging="426"/>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in Gazette 30 Jan 2004 p. 411.]</w:t>
      </w:r>
    </w:p>
    <w:p>
      <w:pPr>
        <w:sectPr>
          <w:headerReference w:type="even" r:id="rId29"/>
          <w:pgSz w:w="11906" w:h="16838" w:code="9"/>
          <w:pgMar w:top="2381" w:right="2409" w:bottom="3543" w:left="2409" w:header="720" w:footer="3380" w:gutter="0"/>
          <w:cols w:space="720"/>
          <w:noEndnote/>
          <w:docGrid w:linePitch="326"/>
        </w:sectPr>
      </w:pPr>
    </w:p>
    <w:p>
      <w:pPr>
        <w:pStyle w:val="nHeading2"/>
      </w:pPr>
      <w:bookmarkStart w:id="433" w:name="_Toc77066848"/>
      <w:bookmarkStart w:id="434" w:name="_Toc91479281"/>
      <w:bookmarkStart w:id="435" w:name="_Toc92427346"/>
      <w:bookmarkStart w:id="436" w:name="_Toc100974800"/>
      <w:bookmarkStart w:id="437" w:name="_Toc100975120"/>
      <w:bookmarkStart w:id="438" w:name="_Toc100977254"/>
      <w:bookmarkStart w:id="439" w:name="_Toc101064678"/>
      <w:bookmarkStart w:id="440" w:name="_Toc101081038"/>
      <w:bookmarkStart w:id="441" w:name="_Toc101774553"/>
      <w:bookmarkStart w:id="442" w:name="_Toc101774629"/>
      <w:bookmarkStart w:id="443" w:name="_Toc101774732"/>
      <w:bookmarkStart w:id="444" w:name="_Toc105391581"/>
      <w:bookmarkStart w:id="445" w:name="_Toc105577865"/>
      <w:bookmarkStart w:id="446" w:name="_Toc116984351"/>
      <w:bookmarkStart w:id="447" w:name="_Toc116986523"/>
      <w:bookmarkStart w:id="448" w:name="_Toc123708475"/>
      <w:bookmarkStart w:id="449" w:name="_Toc133903585"/>
      <w:bookmarkStart w:id="450" w:name="_Toc133903679"/>
      <w:bookmarkStart w:id="451" w:name="_Toc133921028"/>
      <w:bookmarkStart w:id="452" w:name="_Toc141162279"/>
      <w:bookmarkStart w:id="453" w:name="_Toc141173868"/>
      <w:r>
        <w:t>Notes</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Regulations 1978</w:t>
      </w:r>
      <w:r>
        <w:rPr>
          <w:snapToGrid w:val="0"/>
        </w:rPr>
        <w:t xml:space="preserve"> and includes the amendments made by the other written laws referred to in the following table.  The table also contains information about any reprint.</w:t>
      </w:r>
    </w:p>
    <w:p>
      <w:pPr>
        <w:pStyle w:val="nHeading3"/>
      </w:pPr>
      <w:bookmarkStart w:id="454" w:name="_Toc133903586"/>
      <w:bookmarkStart w:id="455" w:name="_Toc141173869"/>
      <w:r>
        <w:t>Compilation table</w:t>
      </w:r>
      <w:bookmarkEnd w:id="454"/>
      <w:bookmarkEnd w:id="455"/>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Betting Control Regulations 1978</w:t>
            </w:r>
          </w:p>
        </w:tc>
        <w:tc>
          <w:tcPr>
            <w:tcW w:w="1276" w:type="dxa"/>
          </w:tcPr>
          <w:p>
            <w:pPr>
              <w:pStyle w:val="nTable"/>
              <w:spacing w:after="40"/>
              <w:rPr>
                <w:sz w:val="19"/>
              </w:rPr>
            </w:pPr>
            <w:r>
              <w:rPr>
                <w:sz w:val="19"/>
              </w:rPr>
              <w:t>22 Jun 1978 p. 1991</w:t>
            </w:r>
            <w:r>
              <w:rPr>
                <w:sz w:val="19"/>
              </w:rPr>
              <w:noBreakHyphen/>
              <w:t>2014</w:t>
            </w:r>
          </w:p>
        </w:tc>
        <w:tc>
          <w:tcPr>
            <w:tcW w:w="2693" w:type="dxa"/>
          </w:tcPr>
          <w:p>
            <w:pPr>
              <w:pStyle w:val="nTable"/>
              <w:spacing w:after="40"/>
              <w:rPr>
                <w:sz w:val="19"/>
              </w:rPr>
            </w:pPr>
            <w:r>
              <w:rPr>
                <w:sz w:val="19"/>
              </w:rPr>
              <w:t>22 Jun 1978</w:t>
            </w:r>
          </w:p>
        </w:tc>
      </w:tr>
      <w:tr>
        <w:trPr>
          <w:cantSplit/>
        </w:trPr>
        <w:tc>
          <w:tcPr>
            <w:tcW w:w="3119" w:type="dxa"/>
          </w:tcPr>
          <w:p>
            <w:pPr>
              <w:pStyle w:val="nTable"/>
              <w:spacing w:after="40"/>
              <w:ind w:right="113"/>
              <w:rPr>
                <w:i/>
                <w:sz w:val="19"/>
              </w:rPr>
            </w:pPr>
            <w:r>
              <w:rPr>
                <w:i/>
                <w:sz w:val="19"/>
              </w:rPr>
              <w:t>Betting Control Amendment Regulations 1983</w:t>
            </w:r>
          </w:p>
        </w:tc>
        <w:tc>
          <w:tcPr>
            <w:tcW w:w="1276" w:type="dxa"/>
          </w:tcPr>
          <w:p>
            <w:pPr>
              <w:pStyle w:val="nTable"/>
              <w:spacing w:after="40"/>
              <w:rPr>
                <w:sz w:val="19"/>
              </w:rPr>
            </w:pPr>
            <w:r>
              <w:rPr>
                <w:sz w:val="19"/>
              </w:rPr>
              <w:t>12 Aug 1983 p. 2918</w:t>
            </w:r>
          </w:p>
        </w:tc>
        <w:tc>
          <w:tcPr>
            <w:tcW w:w="2693" w:type="dxa"/>
          </w:tcPr>
          <w:p>
            <w:pPr>
              <w:pStyle w:val="nTable"/>
              <w:spacing w:after="40"/>
              <w:rPr>
                <w:sz w:val="19"/>
              </w:rPr>
            </w:pPr>
            <w:r>
              <w:rPr>
                <w:sz w:val="19"/>
              </w:rPr>
              <w:t>12 Aug 1983</w:t>
            </w:r>
          </w:p>
        </w:tc>
      </w:tr>
      <w:tr>
        <w:trPr>
          <w:cantSplit/>
        </w:trPr>
        <w:tc>
          <w:tcPr>
            <w:tcW w:w="3119" w:type="dxa"/>
          </w:tcPr>
          <w:p>
            <w:pPr>
              <w:pStyle w:val="nTable"/>
              <w:spacing w:after="40"/>
              <w:ind w:right="113"/>
              <w:rPr>
                <w:i/>
                <w:sz w:val="19"/>
              </w:rPr>
            </w:pPr>
            <w:r>
              <w:rPr>
                <w:i/>
                <w:sz w:val="19"/>
              </w:rPr>
              <w:t>Betting Control Amendment Regulations 1988</w:t>
            </w:r>
          </w:p>
        </w:tc>
        <w:tc>
          <w:tcPr>
            <w:tcW w:w="1276" w:type="dxa"/>
          </w:tcPr>
          <w:p>
            <w:pPr>
              <w:pStyle w:val="nTable"/>
              <w:spacing w:after="40"/>
              <w:rPr>
                <w:sz w:val="19"/>
              </w:rPr>
            </w:pPr>
            <w:r>
              <w:rPr>
                <w:sz w:val="19"/>
              </w:rPr>
              <w:t>4 Mar 1988 p. 667</w:t>
            </w:r>
            <w:r>
              <w:rPr>
                <w:sz w:val="19"/>
              </w:rPr>
              <w:noBreakHyphen/>
              <w:t>8</w:t>
            </w:r>
          </w:p>
        </w:tc>
        <w:tc>
          <w:tcPr>
            <w:tcW w:w="2693" w:type="dxa"/>
          </w:tcPr>
          <w:p>
            <w:pPr>
              <w:pStyle w:val="nTable"/>
              <w:spacing w:after="40"/>
              <w:rPr>
                <w:sz w:val="19"/>
              </w:rPr>
            </w:pPr>
            <w:r>
              <w:rPr>
                <w:sz w:val="19"/>
              </w:rPr>
              <w:t>4 Mar 1988 (see r. 2)</w:t>
            </w:r>
          </w:p>
        </w:tc>
      </w:tr>
      <w:tr>
        <w:trPr>
          <w:cantSplit/>
        </w:trPr>
        <w:tc>
          <w:tcPr>
            <w:tcW w:w="3119" w:type="dxa"/>
          </w:tcPr>
          <w:p>
            <w:pPr>
              <w:pStyle w:val="nTable"/>
              <w:spacing w:after="40"/>
              <w:ind w:right="113"/>
              <w:rPr>
                <w:i/>
                <w:sz w:val="19"/>
              </w:rPr>
            </w:pPr>
            <w:r>
              <w:rPr>
                <w:i/>
                <w:sz w:val="19"/>
              </w:rPr>
              <w:t>Betting Control Amendment Regulations (No. 2) 1988</w:t>
            </w:r>
          </w:p>
        </w:tc>
        <w:tc>
          <w:tcPr>
            <w:tcW w:w="1276" w:type="dxa"/>
          </w:tcPr>
          <w:p>
            <w:pPr>
              <w:pStyle w:val="nTable"/>
              <w:spacing w:after="40"/>
              <w:rPr>
                <w:sz w:val="19"/>
              </w:rPr>
            </w:pPr>
            <w:r>
              <w:rPr>
                <w:sz w:val="19"/>
              </w:rPr>
              <w:t>24 Jun 1988 p. 2003</w:t>
            </w:r>
            <w:r>
              <w:rPr>
                <w:sz w:val="19"/>
              </w:rPr>
              <w:noBreakHyphen/>
              <w:t>5</w:t>
            </w:r>
          </w:p>
        </w:tc>
        <w:tc>
          <w:tcPr>
            <w:tcW w:w="2693" w:type="dxa"/>
          </w:tcPr>
          <w:p>
            <w:pPr>
              <w:pStyle w:val="nTable"/>
              <w:spacing w:after="40"/>
              <w:rPr>
                <w:sz w:val="19"/>
              </w:rPr>
            </w:pPr>
            <w:r>
              <w:rPr>
                <w:sz w:val="19"/>
              </w:rPr>
              <w:t>24 Jun 1988</w:t>
            </w:r>
          </w:p>
        </w:tc>
      </w:tr>
      <w:tr>
        <w:trPr>
          <w:cantSplit/>
        </w:trPr>
        <w:tc>
          <w:tcPr>
            <w:tcW w:w="3119" w:type="dxa"/>
          </w:tcPr>
          <w:p>
            <w:pPr>
              <w:pStyle w:val="nTable"/>
              <w:spacing w:after="40"/>
              <w:ind w:right="113"/>
              <w:rPr>
                <w:i/>
                <w:sz w:val="19"/>
              </w:rPr>
            </w:pPr>
            <w:r>
              <w:rPr>
                <w:i/>
                <w:sz w:val="19"/>
              </w:rPr>
              <w:t>Betting Control (Amendment) Regulations 1989</w:t>
            </w:r>
          </w:p>
        </w:tc>
        <w:tc>
          <w:tcPr>
            <w:tcW w:w="1276" w:type="dxa"/>
          </w:tcPr>
          <w:p>
            <w:pPr>
              <w:pStyle w:val="nTable"/>
              <w:spacing w:after="40"/>
              <w:rPr>
                <w:sz w:val="19"/>
              </w:rPr>
            </w:pPr>
            <w:r>
              <w:rPr>
                <w:sz w:val="19"/>
              </w:rPr>
              <w:t>14 Jul 1989 p. 2133</w:t>
            </w:r>
          </w:p>
        </w:tc>
        <w:tc>
          <w:tcPr>
            <w:tcW w:w="2693" w:type="dxa"/>
          </w:tcPr>
          <w:p>
            <w:pPr>
              <w:pStyle w:val="nTable"/>
              <w:spacing w:after="40"/>
              <w:rPr>
                <w:sz w:val="19"/>
              </w:rPr>
            </w:pPr>
            <w:r>
              <w:rPr>
                <w:sz w:val="19"/>
              </w:rPr>
              <w:t>14 Jul 1989</w:t>
            </w:r>
          </w:p>
        </w:tc>
      </w:tr>
      <w:tr>
        <w:trPr>
          <w:cantSplit/>
        </w:trPr>
        <w:tc>
          <w:tcPr>
            <w:tcW w:w="3119" w:type="dxa"/>
          </w:tcPr>
          <w:p>
            <w:pPr>
              <w:pStyle w:val="nTable"/>
              <w:spacing w:after="40"/>
              <w:ind w:right="113"/>
              <w:rPr>
                <w:i/>
                <w:sz w:val="19"/>
              </w:rPr>
            </w:pPr>
            <w:r>
              <w:rPr>
                <w:i/>
                <w:sz w:val="19"/>
              </w:rPr>
              <w:t>Betting Control Amendment Regulations 1990</w:t>
            </w:r>
          </w:p>
        </w:tc>
        <w:tc>
          <w:tcPr>
            <w:tcW w:w="1276" w:type="dxa"/>
          </w:tcPr>
          <w:p>
            <w:pPr>
              <w:pStyle w:val="nTable"/>
              <w:spacing w:after="40"/>
              <w:rPr>
                <w:sz w:val="19"/>
              </w:rPr>
            </w:pPr>
            <w:r>
              <w:rPr>
                <w:sz w:val="19"/>
              </w:rPr>
              <w:t>14 Sep 1990 p. 4863</w:t>
            </w:r>
            <w:r>
              <w:rPr>
                <w:sz w:val="19"/>
              </w:rPr>
              <w:noBreakHyphen/>
              <w:t>4</w:t>
            </w:r>
          </w:p>
        </w:tc>
        <w:tc>
          <w:tcPr>
            <w:tcW w:w="2693" w:type="dxa"/>
          </w:tcPr>
          <w:p>
            <w:pPr>
              <w:pStyle w:val="nTable"/>
              <w:spacing w:after="40"/>
              <w:rPr>
                <w:sz w:val="19"/>
              </w:rPr>
            </w:pPr>
            <w:r>
              <w:rPr>
                <w:sz w:val="19"/>
              </w:rPr>
              <w:t>14 Sep 1990</w:t>
            </w:r>
          </w:p>
        </w:tc>
      </w:tr>
      <w:tr>
        <w:trPr>
          <w:cantSplit/>
        </w:trPr>
        <w:tc>
          <w:tcPr>
            <w:tcW w:w="3119" w:type="dxa"/>
          </w:tcPr>
          <w:p>
            <w:pPr>
              <w:pStyle w:val="nTable"/>
              <w:spacing w:after="40"/>
              <w:ind w:right="113"/>
              <w:rPr>
                <w:i/>
                <w:sz w:val="19"/>
              </w:rPr>
            </w:pPr>
            <w:r>
              <w:rPr>
                <w:i/>
                <w:sz w:val="19"/>
              </w:rPr>
              <w:t>Betting Control Amendment Regulations 1991</w:t>
            </w:r>
          </w:p>
        </w:tc>
        <w:tc>
          <w:tcPr>
            <w:tcW w:w="1276" w:type="dxa"/>
          </w:tcPr>
          <w:p>
            <w:pPr>
              <w:pStyle w:val="nTable"/>
              <w:spacing w:after="40"/>
              <w:rPr>
                <w:sz w:val="19"/>
              </w:rPr>
            </w:pPr>
            <w:r>
              <w:rPr>
                <w:sz w:val="19"/>
              </w:rPr>
              <w:t>14 Feb 1992 p. 857</w:t>
            </w:r>
            <w:r>
              <w:rPr>
                <w:sz w:val="19"/>
              </w:rPr>
              <w:noBreakHyphen/>
              <w:t>62</w:t>
            </w:r>
          </w:p>
        </w:tc>
        <w:tc>
          <w:tcPr>
            <w:tcW w:w="2693" w:type="dxa"/>
          </w:tcPr>
          <w:p>
            <w:pPr>
              <w:pStyle w:val="nTable"/>
              <w:spacing w:after="40"/>
              <w:rPr>
                <w:sz w:val="19"/>
              </w:rPr>
            </w:pPr>
            <w:r>
              <w:rPr>
                <w:sz w:val="19"/>
              </w:rPr>
              <w:t>14 Feb 1992</w:t>
            </w:r>
          </w:p>
        </w:tc>
      </w:tr>
      <w:tr>
        <w:trPr>
          <w:cantSplit/>
        </w:trPr>
        <w:tc>
          <w:tcPr>
            <w:tcW w:w="3119" w:type="dxa"/>
          </w:tcPr>
          <w:p>
            <w:pPr>
              <w:pStyle w:val="nTable"/>
              <w:spacing w:after="40"/>
              <w:ind w:right="113"/>
              <w:rPr>
                <w:i/>
                <w:sz w:val="19"/>
              </w:rPr>
            </w:pPr>
            <w:r>
              <w:rPr>
                <w:i/>
                <w:sz w:val="19"/>
              </w:rPr>
              <w:t>Betting Control Amendment Regulations 1992</w:t>
            </w:r>
          </w:p>
        </w:tc>
        <w:tc>
          <w:tcPr>
            <w:tcW w:w="1276" w:type="dxa"/>
          </w:tcPr>
          <w:p>
            <w:pPr>
              <w:pStyle w:val="nTable"/>
              <w:spacing w:after="40"/>
              <w:rPr>
                <w:sz w:val="19"/>
              </w:rPr>
            </w:pPr>
            <w:r>
              <w:rPr>
                <w:sz w:val="19"/>
              </w:rPr>
              <w:t>10 Jul 1992 p. 3286</w:t>
            </w:r>
            <w:r>
              <w:rPr>
                <w:sz w:val="19"/>
              </w:rPr>
              <w:noBreakHyphen/>
              <w:t>95</w:t>
            </w:r>
          </w:p>
        </w:tc>
        <w:tc>
          <w:tcPr>
            <w:tcW w:w="2693" w:type="dxa"/>
          </w:tcPr>
          <w:p>
            <w:pPr>
              <w:pStyle w:val="nTable"/>
              <w:spacing w:after="40"/>
              <w:rPr>
                <w:sz w:val="19"/>
              </w:rPr>
            </w:pPr>
            <w:r>
              <w:rPr>
                <w:sz w:val="19"/>
              </w:rPr>
              <w:t>10 Jul 1992</w:t>
            </w:r>
          </w:p>
        </w:tc>
      </w:tr>
      <w:tr>
        <w:trPr>
          <w:cantSplit/>
        </w:trPr>
        <w:tc>
          <w:tcPr>
            <w:tcW w:w="3119" w:type="dxa"/>
          </w:tcPr>
          <w:p>
            <w:pPr>
              <w:pStyle w:val="nTable"/>
              <w:spacing w:after="40"/>
              <w:ind w:right="113"/>
              <w:rPr>
                <w:i/>
                <w:sz w:val="19"/>
              </w:rPr>
            </w:pPr>
            <w:r>
              <w:rPr>
                <w:i/>
                <w:sz w:val="19"/>
              </w:rPr>
              <w:t>Betting Control Amendment Regulations (No. 2) 1992</w:t>
            </w:r>
          </w:p>
        </w:tc>
        <w:tc>
          <w:tcPr>
            <w:tcW w:w="1276" w:type="dxa"/>
          </w:tcPr>
          <w:p>
            <w:pPr>
              <w:pStyle w:val="nTable"/>
              <w:spacing w:after="40"/>
              <w:rPr>
                <w:sz w:val="19"/>
              </w:rPr>
            </w:pPr>
            <w:r>
              <w:rPr>
                <w:sz w:val="19"/>
              </w:rPr>
              <w:t>31 Jul 1992 p. 3796</w:t>
            </w:r>
          </w:p>
        </w:tc>
        <w:tc>
          <w:tcPr>
            <w:tcW w:w="2693" w:type="dxa"/>
          </w:tcPr>
          <w:p>
            <w:pPr>
              <w:pStyle w:val="nTable"/>
              <w:spacing w:after="40"/>
              <w:rPr>
                <w:sz w:val="19"/>
              </w:rPr>
            </w:pPr>
            <w:r>
              <w:rPr>
                <w:sz w:val="19"/>
              </w:rPr>
              <w:t>31 Jul 1992</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20 Aug 1992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1993</w:t>
            </w:r>
          </w:p>
        </w:tc>
        <w:tc>
          <w:tcPr>
            <w:tcW w:w="1276" w:type="dxa"/>
          </w:tcPr>
          <w:p>
            <w:pPr>
              <w:pStyle w:val="nTable"/>
              <w:spacing w:after="40"/>
              <w:rPr>
                <w:sz w:val="19"/>
              </w:rPr>
            </w:pPr>
            <w:r>
              <w:rPr>
                <w:sz w:val="19"/>
              </w:rPr>
              <w:t>31 Aug 1993 p. 4677 (correction 10 Sep 1993 p. 4975)</w:t>
            </w:r>
          </w:p>
        </w:tc>
        <w:tc>
          <w:tcPr>
            <w:tcW w:w="2693" w:type="dxa"/>
          </w:tcPr>
          <w:p>
            <w:pPr>
              <w:pStyle w:val="nTable"/>
              <w:spacing w:after="40"/>
              <w:rPr>
                <w:sz w:val="19"/>
              </w:rPr>
            </w:pPr>
            <w:r>
              <w:rPr>
                <w:sz w:val="19"/>
              </w:rPr>
              <w:t>31 Aug 1993</w:t>
            </w:r>
          </w:p>
        </w:tc>
      </w:tr>
      <w:tr>
        <w:trPr>
          <w:cantSplit/>
        </w:trPr>
        <w:tc>
          <w:tcPr>
            <w:tcW w:w="3119" w:type="dxa"/>
          </w:tcPr>
          <w:p>
            <w:pPr>
              <w:pStyle w:val="nTable"/>
              <w:spacing w:after="40"/>
              <w:ind w:right="113"/>
              <w:rPr>
                <w:sz w:val="19"/>
              </w:rPr>
            </w:pPr>
            <w:r>
              <w:rPr>
                <w:i/>
                <w:sz w:val="19"/>
              </w:rPr>
              <w:t>Betting Control Amendment Regulations (No. 2) 1993</w:t>
            </w:r>
          </w:p>
        </w:tc>
        <w:tc>
          <w:tcPr>
            <w:tcW w:w="1276" w:type="dxa"/>
          </w:tcPr>
          <w:p>
            <w:pPr>
              <w:pStyle w:val="nTable"/>
              <w:spacing w:after="40"/>
              <w:rPr>
                <w:sz w:val="19"/>
              </w:rPr>
            </w:pPr>
            <w:r>
              <w:rPr>
                <w:sz w:val="19"/>
              </w:rPr>
              <w:t>24 Dec 1993 p. 6839</w:t>
            </w:r>
            <w:r>
              <w:rPr>
                <w:sz w:val="19"/>
              </w:rPr>
              <w:noBreakHyphen/>
              <w:t>40</w:t>
            </w:r>
          </w:p>
        </w:tc>
        <w:tc>
          <w:tcPr>
            <w:tcW w:w="2693" w:type="dxa"/>
          </w:tcPr>
          <w:p>
            <w:pPr>
              <w:pStyle w:val="nTable"/>
              <w:spacing w:after="40"/>
              <w:rPr>
                <w:sz w:val="19"/>
              </w:rPr>
            </w:pPr>
            <w:r>
              <w:rPr>
                <w:sz w:val="19"/>
              </w:rPr>
              <w:t>24 Dec 1993</w:t>
            </w:r>
          </w:p>
        </w:tc>
      </w:tr>
      <w:tr>
        <w:trPr>
          <w:cantSplit/>
        </w:trPr>
        <w:tc>
          <w:tcPr>
            <w:tcW w:w="3119" w:type="dxa"/>
          </w:tcPr>
          <w:p>
            <w:pPr>
              <w:pStyle w:val="nTable"/>
              <w:spacing w:after="40"/>
              <w:ind w:right="113"/>
              <w:rPr>
                <w:sz w:val="19"/>
              </w:rPr>
            </w:pPr>
            <w:r>
              <w:rPr>
                <w:i/>
                <w:sz w:val="19"/>
              </w:rPr>
              <w:t>Betting Control Amendment Regulations 1994</w:t>
            </w:r>
          </w:p>
        </w:tc>
        <w:tc>
          <w:tcPr>
            <w:tcW w:w="1276" w:type="dxa"/>
          </w:tcPr>
          <w:p>
            <w:pPr>
              <w:pStyle w:val="nTable"/>
              <w:spacing w:after="40"/>
              <w:rPr>
                <w:sz w:val="19"/>
              </w:rPr>
            </w:pPr>
            <w:r>
              <w:rPr>
                <w:sz w:val="19"/>
              </w:rPr>
              <w:t>2 Dec 1994 p. 6383</w:t>
            </w:r>
          </w:p>
        </w:tc>
        <w:tc>
          <w:tcPr>
            <w:tcW w:w="2693" w:type="dxa"/>
          </w:tcPr>
          <w:p>
            <w:pPr>
              <w:pStyle w:val="nTable"/>
              <w:spacing w:after="40"/>
              <w:rPr>
                <w:sz w:val="19"/>
              </w:rPr>
            </w:pPr>
            <w:r>
              <w:rPr>
                <w:sz w:val="19"/>
              </w:rPr>
              <w:t>2 Dec 1994</w:t>
            </w:r>
          </w:p>
        </w:tc>
      </w:tr>
      <w:tr>
        <w:trPr>
          <w:cantSplit/>
        </w:trPr>
        <w:tc>
          <w:tcPr>
            <w:tcW w:w="3119" w:type="dxa"/>
          </w:tcPr>
          <w:p>
            <w:pPr>
              <w:pStyle w:val="nTable"/>
              <w:spacing w:after="40"/>
              <w:ind w:right="113"/>
              <w:rPr>
                <w:sz w:val="19"/>
              </w:rPr>
            </w:pPr>
            <w:r>
              <w:rPr>
                <w:i/>
                <w:sz w:val="19"/>
              </w:rPr>
              <w:t>Betting Control Amendment Regulations 1996</w:t>
            </w:r>
          </w:p>
        </w:tc>
        <w:tc>
          <w:tcPr>
            <w:tcW w:w="1276" w:type="dxa"/>
          </w:tcPr>
          <w:p>
            <w:pPr>
              <w:pStyle w:val="nTable"/>
              <w:spacing w:after="40"/>
              <w:rPr>
                <w:sz w:val="19"/>
              </w:rPr>
            </w:pPr>
            <w:r>
              <w:rPr>
                <w:sz w:val="19"/>
              </w:rPr>
              <w:t>25 Jun 1996 p. 2974</w:t>
            </w:r>
            <w:r>
              <w:rPr>
                <w:sz w:val="19"/>
              </w:rPr>
              <w:noBreakHyphen/>
              <w:t>8</w:t>
            </w:r>
          </w:p>
        </w:tc>
        <w:tc>
          <w:tcPr>
            <w:tcW w:w="2693" w:type="dxa"/>
          </w:tcPr>
          <w:p>
            <w:pPr>
              <w:pStyle w:val="nTable"/>
              <w:spacing w:after="40"/>
              <w:rPr>
                <w:sz w:val="19"/>
              </w:rPr>
            </w:pPr>
            <w:r>
              <w:rPr>
                <w:sz w:val="19"/>
              </w:rPr>
              <w:t xml:space="preserve">28 Jun 1996 (see r. 2 and </w:t>
            </w:r>
            <w:r>
              <w:rPr>
                <w:i/>
                <w:sz w:val="19"/>
              </w:rPr>
              <w:t>Gazette</w:t>
            </w:r>
            <w:r>
              <w:rPr>
                <w:sz w:val="19"/>
              </w:rPr>
              <w:t xml:space="preserve"> 25 Jun 1996 p. 2901)</w:t>
            </w:r>
          </w:p>
        </w:tc>
      </w:tr>
      <w:tr>
        <w:trPr>
          <w:cantSplit/>
        </w:trPr>
        <w:tc>
          <w:tcPr>
            <w:tcW w:w="3119" w:type="dxa"/>
          </w:tcPr>
          <w:p>
            <w:pPr>
              <w:pStyle w:val="nTable"/>
              <w:spacing w:after="40"/>
              <w:ind w:right="113"/>
              <w:rPr>
                <w:sz w:val="19"/>
              </w:rPr>
            </w:pPr>
            <w:r>
              <w:rPr>
                <w:i/>
                <w:sz w:val="19"/>
              </w:rPr>
              <w:t>Betting Control Amendment Regulations (No. 2) 1996</w:t>
            </w:r>
          </w:p>
        </w:tc>
        <w:tc>
          <w:tcPr>
            <w:tcW w:w="1276" w:type="dxa"/>
          </w:tcPr>
          <w:p>
            <w:pPr>
              <w:pStyle w:val="nTable"/>
              <w:spacing w:after="40"/>
              <w:rPr>
                <w:sz w:val="19"/>
              </w:rPr>
            </w:pPr>
            <w:r>
              <w:rPr>
                <w:sz w:val="19"/>
              </w:rPr>
              <w:t>22 Oct 1996 p. 5619</w:t>
            </w:r>
          </w:p>
        </w:tc>
        <w:tc>
          <w:tcPr>
            <w:tcW w:w="2693" w:type="dxa"/>
          </w:tcPr>
          <w:p>
            <w:pPr>
              <w:pStyle w:val="nTable"/>
              <w:spacing w:after="40"/>
              <w:rPr>
                <w:sz w:val="19"/>
              </w:rPr>
            </w:pPr>
            <w:r>
              <w:rPr>
                <w:sz w:val="19"/>
              </w:rPr>
              <w:t>22 Oct 1996</w:t>
            </w:r>
          </w:p>
        </w:tc>
      </w:tr>
      <w:tr>
        <w:trPr>
          <w:cantSplit/>
        </w:trPr>
        <w:tc>
          <w:tcPr>
            <w:tcW w:w="3119" w:type="dxa"/>
          </w:tcPr>
          <w:p>
            <w:pPr>
              <w:pStyle w:val="nTable"/>
              <w:spacing w:after="40"/>
              <w:ind w:right="113"/>
              <w:rPr>
                <w:sz w:val="19"/>
              </w:rPr>
            </w:pPr>
            <w:r>
              <w:rPr>
                <w:i/>
                <w:sz w:val="19"/>
              </w:rPr>
              <w:t>Betting Control Amendment Regulations 1997</w:t>
            </w:r>
          </w:p>
        </w:tc>
        <w:tc>
          <w:tcPr>
            <w:tcW w:w="1276" w:type="dxa"/>
          </w:tcPr>
          <w:p>
            <w:pPr>
              <w:pStyle w:val="nTable"/>
              <w:spacing w:after="40"/>
              <w:rPr>
                <w:sz w:val="19"/>
              </w:rPr>
            </w:pPr>
            <w:r>
              <w:rPr>
                <w:sz w:val="19"/>
              </w:rPr>
              <w:t>4 Mar 1997</w:t>
            </w:r>
            <w:r>
              <w:rPr>
                <w:sz w:val="19"/>
              </w:rPr>
              <w:br/>
              <w:t>p. 1395</w:t>
            </w:r>
          </w:p>
        </w:tc>
        <w:tc>
          <w:tcPr>
            <w:tcW w:w="2693" w:type="dxa"/>
          </w:tcPr>
          <w:p>
            <w:pPr>
              <w:pStyle w:val="nTable"/>
              <w:spacing w:after="40"/>
              <w:rPr>
                <w:sz w:val="19"/>
              </w:rPr>
            </w:pPr>
            <w:r>
              <w:rPr>
                <w:sz w:val="19"/>
              </w:rPr>
              <w:t>4 Mar 1997</w:t>
            </w:r>
          </w:p>
        </w:tc>
      </w:tr>
      <w:tr>
        <w:trPr>
          <w:cantSplit/>
        </w:trPr>
        <w:tc>
          <w:tcPr>
            <w:tcW w:w="3119" w:type="dxa"/>
          </w:tcPr>
          <w:p>
            <w:pPr>
              <w:pStyle w:val="nTable"/>
              <w:keepNext/>
              <w:spacing w:after="40"/>
              <w:ind w:right="113"/>
              <w:rPr>
                <w:sz w:val="19"/>
              </w:rPr>
            </w:pPr>
            <w:r>
              <w:rPr>
                <w:i/>
                <w:sz w:val="19"/>
              </w:rPr>
              <w:t>Betting Control Amendment Regulations (No. 2) 1997</w:t>
            </w:r>
          </w:p>
        </w:tc>
        <w:tc>
          <w:tcPr>
            <w:tcW w:w="1276" w:type="dxa"/>
          </w:tcPr>
          <w:p>
            <w:pPr>
              <w:pStyle w:val="nTable"/>
              <w:keepNext/>
              <w:spacing w:after="40"/>
              <w:rPr>
                <w:sz w:val="19"/>
              </w:rPr>
            </w:pPr>
            <w:r>
              <w:rPr>
                <w:sz w:val="19"/>
              </w:rPr>
              <w:t>4 Mar 1997 p. 1396 (as amended 24 Jun 1997 p. 3014)</w:t>
            </w:r>
          </w:p>
        </w:tc>
        <w:tc>
          <w:tcPr>
            <w:tcW w:w="2693" w:type="dxa"/>
          </w:tcPr>
          <w:p>
            <w:pPr>
              <w:pStyle w:val="nTable"/>
              <w:keepNext/>
              <w:spacing w:after="40"/>
              <w:rPr>
                <w:sz w:val="19"/>
              </w:rPr>
            </w:pPr>
            <w:r>
              <w:rPr>
                <w:sz w:val="19"/>
              </w:rPr>
              <w:t>1 Aug 1997 (see r. 2)</w:t>
            </w:r>
          </w:p>
        </w:tc>
      </w:tr>
      <w:tr>
        <w:trPr>
          <w:cantSplit/>
        </w:trPr>
        <w:tc>
          <w:tcPr>
            <w:tcW w:w="3119" w:type="dxa"/>
          </w:tcPr>
          <w:p>
            <w:pPr>
              <w:pStyle w:val="nTable"/>
              <w:spacing w:after="40"/>
              <w:ind w:right="113"/>
              <w:rPr>
                <w:sz w:val="19"/>
              </w:rPr>
            </w:pPr>
            <w:r>
              <w:rPr>
                <w:i/>
                <w:sz w:val="19"/>
              </w:rPr>
              <w:t>Betting Control Amendment Regulations (No. 3) 1997</w:t>
            </w:r>
          </w:p>
        </w:tc>
        <w:tc>
          <w:tcPr>
            <w:tcW w:w="1276" w:type="dxa"/>
          </w:tcPr>
          <w:p>
            <w:pPr>
              <w:pStyle w:val="nTable"/>
              <w:spacing w:after="40"/>
              <w:rPr>
                <w:sz w:val="19"/>
              </w:rPr>
            </w:pPr>
            <w:r>
              <w:rPr>
                <w:sz w:val="19"/>
              </w:rPr>
              <w:t>24 Jun 1997 p. 3014</w:t>
            </w:r>
          </w:p>
        </w:tc>
        <w:tc>
          <w:tcPr>
            <w:tcW w:w="2693" w:type="dxa"/>
          </w:tcPr>
          <w:p>
            <w:pPr>
              <w:pStyle w:val="nTable"/>
              <w:spacing w:after="40"/>
              <w:rPr>
                <w:sz w:val="19"/>
              </w:rPr>
            </w:pPr>
            <w:r>
              <w:rPr>
                <w:sz w:val="19"/>
              </w:rPr>
              <w:t>24 Jun 1997</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30 Sep 1997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1998</w:t>
            </w:r>
          </w:p>
        </w:tc>
        <w:tc>
          <w:tcPr>
            <w:tcW w:w="1276" w:type="dxa"/>
          </w:tcPr>
          <w:p>
            <w:pPr>
              <w:pStyle w:val="nTable"/>
              <w:spacing w:after="40"/>
              <w:rPr>
                <w:sz w:val="19"/>
              </w:rPr>
            </w:pPr>
            <w:r>
              <w:rPr>
                <w:sz w:val="19"/>
              </w:rPr>
              <w:t>13 Mar 1998 p. 1394</w:t>
            </w:r>
          </w:p>
        </w:tc>
        <w:tc>
          <w:tcPr>
            <w:tcW w:w="2693" w:type="dxa"/>
          </w:tcPr>
          <w:p>
            <w:pPr>
              <w:pStyle w:val="nTable"/>
              <w:spacing w:after="40"/>
              <w:rPr>
                <w:sz w:val="19"/>
              </w:rPr>
            </w:pPr>
            <w:r>
              <w:rPr>
                <w:sz w:val="19"/>
              </w:rPr>
              <w:t>13 Mar 1998</w:t>
            </w:r>
          </w:p>
        </w:tc>
      </w:tr>
      <w:tr>
        <w:trPr>
          <w:cantSplit/>
        </w:trPr>
        <w:tc>
          <w:tcPr>
            <w:tcW w:w="3119" w:type="dxa"/>
          </w:tcPr>
          <w:p>
            <w:pPr>
              <w:pStyle w:val="nTable"/>
              <w:spacing w:after="40"/>
              <w:ind w:right="113"/>
              <w:rPr>
                <w:i/>
                <w:sz w:val="19"/>
              </w:rPr>
            </w:pPr>
            <w:r>
              <w:rPr>
                <w:i/>
                <w:sz w:val="19"/>
              </w:rPr>
              <w:t>Betting Control Amendment Regulations (No. 3) 1998</w:t>
            </w:r>
          </w:p>
        </w:tc>
        <w:tc>
          <w:tcPr>
            <w:tcW w:w="1276" w:type="dxa"/>
          </w:tcPr>
          <w:p>
            <w:pPr>
              <w:pStyle w:val="nTable"/>
              <w:spacing w:after="40"/>
              <w:rPr>
                <w:sz w:val="19"/>
              </w:rPr>
            </w:pPr>
            <w:r>
              <w:rPr>
                <w:sz w:val="19"/>
              </w:rPr>
              <w:t>10 Jul 1998 p. 3647</w:t>
            </w:r>
          </w:p>
        </w:tc>
        <w:tc>
          <w:tcPr>
            <w:tcW w:w="2693" w:type="dxa"/>
          </w:tcPr>
          <w:p>
            <w:pPr>
              <w:pStyle w:val="nTable"/>
              <w:spacing w:after="40"/>
              <w:rPr>
                <w:sz w:val="19"/>
              </w:rPr>
            </w:pPr>
            <w:r>
              <w:rPr>
                <w:sz w:val="19"/>
              </w:rPr>
              <w:t>1 Aug 1998 (see r. 2)</w:t>
            </w:r>
          </w:p>
        </w:tc>
      </w:tr>
      <w:tr>
        <w:trPr>
          <w:cantSplit/>
        </w:trPr>
        <w:tc>
          <w:tcPr>
            <w:tcW w:w="3119" w:type="dxa"/>
          </w:tcPr>
          <w:p>
            <w:pPr>
              <w:pStyle w:val="nTable"/>
              <w:spacing w:after="40"/>
              <w:ind w:right="113"/>
              <w:rPr>
                <w:i/>
                <w:sz w:val="19"/>
              </w:rPr>
            </w:pPr>
            <w:r>
              <w:rPr>
                <w:i/>
                <w:sz w:val="19"/>
              </w:rPr>
              <w:t>Betting Control Amendment Regulations (No. 2) 1998</w:t>
            </w:r>
          </w:p>
        </w:tc>
        <w:tc>
          <w:tcPr>
            <w:tcW w:w="1276" w:type="dxa"/>
          </w:tcPr>
          <w:p>
            <w:pPr>
              <w:pStyle w:val="nTable"/>
              <w:spacing w:after="40"/>
              <w:rPr>
                <w:sz w:val="19"/>
              </w:rPr>
            </w:pPr>
            <w:r>
              <w:rPr>
                <w:sz w:val="19"/>
              </w:rPr>
              <w:t>21 Jul 1998 p. 3850</w:t>
            </w:r>
            <w:r>
              <w:rPr>
                <w:sz w:val="19"/>
              </w:rPr>
              <w:noBreakHyphen/>
              <w:t>60</w:t>
            </w:r>
          </w:p>
        </w:tc>
        <w:tc>
          <w:tcPr>
            <w:tcW w:w="2693" w:type="dxa"/>
          </w:tcPr>
          <w:p>
            <w:pPr>
              <w:pStyle w:val="nTable"/>
              <w:spacing w:after="40"/>
              <w:rPr>
                <w:sz w:val="19"/>
              </w:rPr>
            </w:pPr>
            <w:r>
              <w:rPr>
                <w:sz w:val="19"/>
              </w:rPr>
              <w:t>1 Aug 1998 (see r. 2 and </w:t>
            </w:r>
            <w:r>
              <w:rPr>
                <w:i/>
                <w:sz w:val="19"/>
              </w:rPr>
              <w:t xml:space="preserve">Gazette </w:t>
            </w:r>
            <w:r>
              <w:rPr>
                <w:sz w:val="19"/>
              </w:rPr>
              <w:t>21 Jul 1998 p. 3825)</w:t>
            </w:r>
          </w:p>
        </w:tc>
      </w:tr>
      <w:tr>
        <w:trPr>
          <w:cantSplit/>
        </w:trPr>
        <w:tc>
          <w:tcPr>
            <w:tcW w:w="3119" w:type="dxa"/>
          </w:tcPr>
          <w:p>
            <w:pPr>
              <w:pStyle w:val="nTable"/>
              <w:spacing w:after="40"/>
              <w:ind w:right="113"/>
              <w:rPr>
                <w:i/>
                <w:sz w:val="19"/>
              </w:rPr>
            </w:pPr>
            <w:r>
              <w:rPr>
                <w:i/>
                <w:sz w:val="19"/>
              </w:rPr>
              <w:t>Betting Control Amendment Regulations (No. 3) 1999</w:t>
            </w:r>
          </w:p>
        </w:tc>
        <w:tc>
          <w:tcPr>
            <w:tcW w:w="1276" w:type="dxa"/>
          </w:tcPr>
          <w:p>
            <w:pPr>
              <w:pStyle w:val="nTable"/>
              <w:spacing w:after="40"/>
              <w:rPr>
                <w:sz w:val="19"/>
              </w:rPr>
            </w:pPr>
            <w:r>
              <w:rPr>
                <w:sz w:val="19"/>
              </w:rPr>
              <w:t>26 Nov 1999 p. 5908</w:t>
            </w:r>
            <w:r>
              <w:rPr>
                <w:sz w:val="19"/>
              </w:rPr>
              <w:noBreakHyphen/>
              <w:t>10</w:t>
            </w:r>
          </w:p>
        </w:tc>
        <w:tc>
          <w:tcPr>
            <w:tcW w:w="2693" w:type="dxa"/>
          </w:tcPr>
          <w:p>
            <w:pPr>
              <w:pStyle w:val="nTable"/>
              <w:spacing w:after="40"/>
              <w:rPr>
                <w:sz w:val="19"/>
              </w:rPr>
            </w:pPr>
            <w:r>
              <w:rPr>
                <w:sz w:val="19"/>
              </w:rPr>
              <w:t>26 Nov 1999</w:t>
            </w:r>
          </w:p>
        </w:tc>
      </w:tr>
      <w:tr>
        <w:trPr>
          <w:cantSplit/>
        </w:trPr>
        <w:tc>
          <w:tcPr>
            <w:tcW w:w="3119" w:type="dxa"/>
          </w:tcPr>
          <w:p>
            <w:pPr>
              <w:pStyle w:val="nTable"/>
              <w:spacing w:after="40"/>
              <w:ind w:right="113"/>
              <w:rPr>
                <w:i/>
                <w:sz w:val="19"/>
              </w:rPr>
            </w:pPr>
            <w:r>
              <w:rPr>
                <w:i/>
                <w:sz w:val="19"/>
              </w:rPr>
              <w:t xml:space="preserve">Betting Control Amendment Regulations 2000 </w:t>
            </w:r>
          </w:p>
        </w:tc>
        <w:tc>
          <w:tcPr>
            <w:tcW w:w="1276" w:type="dxa"/>
          </w:tcPr>
          <w:p>
            <w:pPr>
              <w:pStyle w:val="nTable"/>
              <w:spacing w:after="40"/>
              <w:rPr>
                <w:sz w:val="19"/>
              </w:rPr>
            </w:pPr>
            <w:r>
              <w:rPr>
                <w:sz w:val="19"/>
              </w:rPr>
              <w:t>13 Oct 2000 p. 5726</w:t>
            </w:r>
            <w:r>
              <w:rPr>
                <w:sz w:val="19"/>
              </w:rPr>
              <w:noBreakHyphen/>
              <w:t>7</w:t>
            </w:r>
          </w:p>
        </w:tc>
        <w:tc>
          <w:tcPr>
            <w:tcW w:w="2693" w:type="dxa"/>
          </w:tcPr>
          <w:p>
            <w:pPr>
              <w:pStyle w:val="nTable"/>
              <w:spacing w:after="40"/>
              <w:rPr>
                <w:sz w:val="19"/>
              </w:rPr>
            </w:pPr>
            <w:r>
              <w:rPr>
                <w:sz w:val="19"/>
              </w:rPr>
              <w:t xml:space="preserve">13 Oct 2000 </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6 Apr 2001 </w:t>
            </w:r>
            <w:r>
              <w:rPr>
                <w:sz w:val="19"/>
              </w:rPr>
              <w:t>(includes amendments listed above)</w:t>
            </w:r>
          </w:p>
        </w:tc>
      </w:tr>
      <w:tr>
        <w:trPr>
          <w:cantSplit/>
        </w:trPr>
        <w:tc>
          <w:tcPr>
            <w:tcW w:w="3119" w:type="dxa"/>
          </w:tcPr>
          <w:p>
            <w:pPr>
              <w:pStyle w:val="nTable"/>
              <w:spacing w:after="40"/>
              <w:ind w:right="113"/>
              <w:rPr>
                <w:i/>
                <w:sz w:val="19"/>
              </w:rPr>
            </w:pPr>
            <w:r>
              <w:rPr>
                <w:i/>
                <w:sz w:val="19"/>
              </w:rPr>
              <w:t>Betting Control Amendment Regulations 2001</w:t>
            </w:r>
          </w:p>
        </w:tc>
        <w:tc>
          <w:tcPr>
            <w:tcW w:w="1276" w:type="dxa"/>
          </w:tcPr>
          <w:p>
            <w:pPr>
              <w:pStyle w:val="nTable"/>
              <w:spacing w:after="40"/>
              <w:rPr>
                <w:sz w:val="19"/>
              </w:rPr>
            </w:pPr>
            <w:r>
              <w:rPr>
                <w:sz w:val="19"/>
              </w:rPr>
              <w:t>11 Sep 2001 p. 5001</w:t>
            </w:r>
          </w:p>
        </w:tc>
        <w:tc>
          <w:tcPr>
            <w:tcW w:w="2693" w:type="dxa"/>
          </w:tcPr>
          <w:p>
            <w:pPr>
              <w:pStyle w:val="nTable"/>
              <w:spacing w:after="40"/>
              <w:rPr>
                <w:sz w:val="19"/>
              </w:rPr>
            </w:pPr>
            <w:r>
              <w:rPr>
                <w:sz w:val="19"/>
              </w:rPr>
              <w:t>11 Sep 2001</w:t>
            </w:r>
          </w:p>
        </w:tc>
      </w:tr>
      <w:tr>
        <w:trPr>
          <w:cantSplit/>
        </w:trPr>
        <w:tc>
          <w:tcPr>
            <w:tcW w:w="3119" w:type="dxa"/>
          </w:tcPr>
          <w:p>
            <w:pPr>
              <w:pStyle w:val="nTable"/>
              <w:spacing w:after="40"/>
              <w:ind w:right="113"/>
              <w:rPr>
                <w:i/>
                <w:sz w:val="19"/>
              </w:rPr>
            </w:pPr>
            <w:r>
              <w:rPr>
                <w:i/>
                <w:sz w:val="19"/>
              </w:rPr>
              <w:t>Betting Control Amendment Regulations (No. 2) 2001</w:t>
            </w:r>
          </w:p>
        </w:tc>
        <w:tc>
          <w:tcPr>
            <w:tcW w:w="1276" w:type="dxa"/>
          </w:tcPr>
          <w:p>
            <w:pPr>
              <w:pStyle w:val="nTable"/>
              <w:spacing w:after="40"/>
              <w:rPr>
                <w:sz w:val="19"/>
              </w:rPr>
            </w:pPr>
            <w:r>
              <w:rPr>
                <w:sz w:val="19"/>
              </w:rPr>
              <w:t>2 Oct 2001 p. 5454</w:t>
            </w:r>
            <w:r>
              <w:rPr>
                <w:sz w:val="19"/>
              </w:rPr>
              <w:noBreakHyphen/>
              <w:t>5</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Betting Control Amendment Regulations (No. 3) 2001</w:t>
            </w:r>
          </w:p>
        </w:tc>
        <w:tc>
          <w:tcPr>
            <w:tcW w:w="1276" w:type="dxa"/>
          </w:tcPr>
          <w:p>
            <w:pPr>
              <w:pStyle w:val="nTable"/>
              <w:spacing w:after="40"/>
              <w:rPr>
                <w:sz w:val="19"/>
              </w:rPr>
            </w:pPr>
            <w:r>
              <w:rPr>
                <w:sz w:val="19"/>
              </w:rPr>
              <w:t>18 Jan 2002 p. 284</w:t>
            </w:r>
          </w:p>
        </w:tc>
        <w:tc>
          <w:tcPr>
            <w:tcW w:w="2693" w:type="dxa"/>
          </w:tcPr>
          <w:p>
            <w:pPr>
              <w:pStyle w:val="nTable"/>
              <w:spacing w:after="40"/>
              <w:rPr>
                <w:sz w:val="19"/>
              </w:rPr>
            </w:pPr>
            <w:r>
              <w:rPr>
                <w:sz w:val="19"/>
              </w:rPr>
              <w:t>21 Jan 2002 (see r. 2)</w:t>
            </w:r>
          </w:p>
        </w:tc>
      </w:tr>
      <w:tr>
        <w:trPr>
          <w:cantSplit/>
        </w:trPr>
        <w:tc>
          <w:tcPr>
            <w:tcW w:w="3119" w:type="dxa"/>
          </w:tcPr>
          <w:p>
            <w:pPr>
              <w:pStyle w:val="nTable"/>
              <w:spacing w:after="40"/>
              <w:ind w:right="113"/>
              <w:rPr>
                <w:i/>
                <w:sz w:val="19"/>
              </w:rPr>
            </w:pPr>
            <w:r>
              <w:rPr>
                <w:i/>
                <w:sz w:val="19"/>
              </w:rPr>
              <w:t>Betting Control Amendment Regulations 2002</w:t>
            </w:r>
          </w:p>
        </w:tc>
        <w:tc>
          <w:tcPr>
            <w:tcW w:w="1276" w:type="dxa"/>
          </w:tcPr>
          <w:p>
            <w:pPr>
              <w:pStyle w:val="nTable"/>
              <w:spacing w:after="40"/>
              <w:rPr>
                <w:sz w:val="19"/>
              </w:rPr>
            </w:pPr>
            <w:r>
              <w:rPr>
                <w:sz w:val="19"/>
              </w:rPr>
              <w:t>20 Sep 2002 p. 4697</w:t>
            </w:r>
            <w:r>
              <w:rPr>
                <w:sz w:val="19"/>
              </w:rPr>
              <w:noBreakHyphen/>
              <w:t>704</w:t>
            </w:r>
          </w:p>
        </w:tc>
        <w:tc>
          <w:tcPr>
            <w:tcW w:w="2693" w:type="dxa"/>
          </w:tcPr>
          <w:p>
            <w:pPr>
              <w:pStyle w:val="nTable"/>
              <w:spacing w:after="40"/>
              <w:rPr>
                <w:sz w:val="19"/>
              </w:rPr>
            </w:pPr>
            <w:r>
              <w:rPr>
                <w:sz w:val="19"/>
              </w:rPr>
              <w:t xml:space="preserve">21 Sep 2002 (see r. 2 and </w:t>
            </w:r>
            <w:r>
              <w:rPr>
                <w:i/>
                <w:sz w:val="19"/>
              </w:rPr>
              <w:t>Gazette</w:t>
            </w:r>
            <w:r>
              <w:rPr>
                <w:sz w:val="19"/>
              </w:rPr>
              <w:t xml:space="preserve"> 20 Sep 2002 p. 4693)</w:t>
            </w:r>
          </w:p>
        </w:tc>
      </w:tr>
      <w:tr>
        <w:trPr>
          <w:cantSplit/>
        </w:trPr>
        <w:tc>
          <w:tcPr>
            <w:tcW w:w="3119" w:type="dxa"/>
          </w:tcPr>
          <w:p>
            <w:pPr>
              <w:pStyle w:val="nTable"/>
              <w:spacing w:after="40"/>
              <w:ind w:right="113"/>
              <w:rPr>
                <w:i/>
                <w:sz w:val="19"/>
              </w:rPr>
            </w:pPr>
            <w:r>
              <w:rPr>
                <w:i/>
                <w:sz w:val="19"/>
              </w:rPr>
              <w:t>Betting Control Amendment Regulations (No. 2) 2002</w:t>
            </w:r>
          </w:p>
        </w:tc>
        <w:tc>
          <w:tcPr>
            <w:tcW w:w="1276" w:type="dxa"/>
          </w:tcPr>
          <w:p>
            <w:pPr>
              <w:pStyle w:val="nTable"/>
              <w:spacing w:after="40"/>
              <w:rPr>
                <w:sz w:val="19"/>
              </w:rPr>
            </w:pPr>
            <w:r>
              <w:rPr>
                <w:sz w:val="19"/>
              </w:rPr>
              <w:t>17 Dec 2002 p. 5923</w:t>
            </w:r>
            <w:r>
              <w:rPr>
                <w:sz w:val="19"/>
              </w:rPr>
              <w:noBreakHyphen/>
              <w:t>4</w:t>
            </w:r>
          </w:p>
        </w:tc>
        <w:tc>
          <w:tcPr>
            <w:tcW w:w="2693" w:type="dxa"/>
          </w:tcPr>
          <w:p>
            <w:pPr>
              <w:pStyle w:val="nTable"/>
              <w:spacing w:after="40"/>
              <w:rPr>
                <w:sz w:val="19"/>
              </w:rPr>
            </w:pPr>
            <w:r>
              <w:rPr>
                <w:sz w:val="19"/>
              </w:rPr>
              <w:t>17 Dec 2002</w:t>
            </w:r>
          </w:p>
        </w:tc>
      </w:tr>
      <w:tr>
        <w:trPr>
          <w:cantSplit/>
        </w:trPr>
        <w:tc>
          <w:tcPr>
            <w:tcW w:w="3119" w:type="dxa"/>
          </w:tcPr>
          <w:p>
            <w:pPr>
              <w:pStyle w:val="nTable"/>
              <w:spacing w:after="40"/>
              <w:ind w:right="113"/>
              <w:rPr>
                <w:i/>
                <w:sz w:val="19"/>
              </w:rPr>
            </w:pPr>
            <w:r>
              <w:rPr>
                <w:i/>
                <w:sz w:val="19"/>
              </w:rPr>
              <w:t>Betting Control Amendment Regulations 2003</w:t>
            </w:r>
          </w:p>
        </w:tc>
        <w:tc>
          <w:tcPr>
            <w:tcW w:w="1276" w:type="dxa"/>
          </w:tcPr>
          <w:p>
            <w:pPr>
              <w:pStyle w:val="nTable"/>
              <w:spacing w:after="40"/>
              <w:rPr>
                <w:sz w:val="19"/>
              </w:rPr>
            </w:pPr>
            <w:r>
              <w:rPr>
                <w:sz w:val="19"/>
              </w:rPr>
              <w:t>25 Mar 2003 p. 921</w:t>
            </w:r>
            <w:r>
              <w:rPr>
                <w:sz w:val="19"/>
              </w:rPr>
              <w:noBreakHyphen/>
              <w:t>2</w:t>
            </w:r>
          </w:p>
        </w:tc>
        <w:tc>
          <w:tcPr>
            <w:tcW w:w="2693" w:type="dxa"/>
          </w:tcPr>
          <w:p>
            <w:pPr>
              <w:pStyle w:val="nTable"/>
              <w:spacing w:after="40"/>
              <w:rPr>
                <w:sz w:val="19"/>
              </w:rPr>
            </w:pPr>
            <w:r>
              <w:rPr>
                <w:sz w:val="19"/>
              </w:rPr>
              <w:t>1 Apr 2003 (see r. 2)</w:t>
            </w:r>
          </w:p>
        </w:tc>
      </w:tr>
      <w:tr>
        <w:trPr>
          <w:cantSplit/>
        </w:trPr>
        <w:tc>
          <w:tcPr>
            <w:tcW w:w="3119" w:type="dxa"/>
          </w:tcPr>
          <w:p>
            <w:pPr>
              <w:pStyle w:val="nTable"/>
              <w:spacing w:after="40"/>
              <w:ind w:right="113"/>
              <w:rPr>
                <w:i/>
                <w:sz w:val="19"/>
              </w:rPr>
            </w:pPr>
            <w:r>
              <w:rPr>
                <w:i/>
                <w:sz w:val="19"/>
              </w:rPr>
              <w:t>Betting Control Amendment Regulations (No. 2) 2003</w:t>
            </w:r>
          </w:p>
        </w:tc>
        <w:tc>
          <w:tcPr>
            <w:tcW w:w="1276" w:type="dxa"/>
          </w:tcPr>
          <w:p>
            <w:pPr>
              <w:pStyle w:val="nTable"/>
              <w:spacing w:after="40"/>
              <w:rPr>
                <w:sz w:val="19"/>
              </w:rPr>
            </w:pPr>
            <w:r>
              <w:rPr>
                <w:sz w:val="19"/>
              </w:rPr>
              <w:t>20 Jun 2003 p. 2250</w:t>
            </w:r>
            <w:r>
              <w:rPr>
                <w:sz w:val="19"/>
              </w:rPr>
              <w:noBreakHyphen/>
              <w:t>1</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Betting Control Amendment Regulations (No. 3) 2003</w:t>
            </w:r>
          </w:p>
        </w:tc>
        <w:tc>
          <w:tcPr>
            <w:tcW w:w="1276" w:type="dxa"/>
          </w:tcPr>
          <w:p>
            <w:pPr>
              <w:pStyle w:val="nTable"/>
              <w:spacing w:after="40"/>
              <w:rPr>
                <w:sz w:val="19"/>
              </w:rPr>
            </w:pPr>
            <w:r>
              <w:rPr>
                <w:sz w:val="19"/>
              </w:rPr>
              <w:t>26 Sep 2003 p. 4225</w:t>
            </w:r>
            <w:r>
              <w:rPr>
                <w:sz w:val="19"/>
              </w:rPr>
              <w:noBreakHyphen/>
              <w:t>6</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ind w:right="113"/>
              <w:rPr>
                <w:i/>
                <w:sz w:val="19"/>
              </w:rPr>
            </w:pPr>
            <w:r>
              <w:rPr>
                <w:i/>
                <w:sz w:val="19"/>
              </w:rPr>
              <w:t>Betting Control Amendment Regulations (No. 4) 2003</w:t>
            </w:r>
          </w:p>
        </w:tc>
        <w:tc>
          <w:tcPr>
            <w:tcW w:w="1276" w:type="dxa"/>
          </w:tcPr>
          <w:p>
            <w:pPr>
              <w:pStyle w:val="nTable"/>
              <w:spacing w:after="40"/>
              <w:rPr>
                <w:sz w:val="19"/>
              </w:rPr>
            </w:pPr>
            <w:r>
              <w:rPr>
                <w:sz w:val="19"/>
              </w:rPr>
              <w:t>11 Nov 2003 p. 4673</w:t>
            </w:r>
            <w:r>
              <w:rPr>
                <w:sz w:val="19"/>
              </w:rPr>
              <w:noBreakHyphen/>
              <w:t>4</w:t>
            </w:r>
          </w:p>
        </w:tc>
        <w:tc>
          <w:tcPr>
            <w:tcW w:w="2693" w:type="dxa"/>
          </w:tcPr>
          <w:p>
            <w:pPr>
              <w:pStyle w:val="nTable"/>
              <w:spacing w:after="40"/>
              <w:rPr>
                <w:sz w:val="19"/>
              </w:rPr>
            </w:pPr>
            <w:r>
              <w:rPr>
                <w:sz w:val="19"/>
              </w:rPr>
              <w:t>11 Nov 2003</w:t>
            </w:r>
          </w:p>
        </w:tc>
      </w:tr>
      <w:tr>
        <w:trPr>
          <w:cantSplit/>
        </w:trPr>
        <w:tc>
          <w:tcPr>
            <w:tcW w:w="3119" w:type="dxa"/>
          </w:tcPr>
          <w:p>
            <w:pPr>
              <w:pStyle w:val="nTable"/>
              <w:spacing w:after="40"/>
              <w:ind w:right="113"/>
              <w:rPr>
                <w:i/>
                <w:sz w:val="19"/>
              </w:rPr>
            </w:pPr>
            <w:r>
              <w:rPr>
                <w:i/>
                <w:sz w:val="19"/>
              </w:rPr>
              <w:t>Betting Control Amendment Regulations 2004</w:t>
            </w:r>
          </w:p>
        </w:tc>
        <w:tc>
          <w:tcPr>
            <w:tcW w:w="1276" w:type="dxa"/>
          </w:tcPr>
          <w:p>
            <w:pPr>
              <w:pStyle w:val="nTable"/>
              <w:spacing w:after="40"/>
              <w:rPr>
                <w:sz w:val="19"/>
              </w:rPr>
            </w:pPr>
            <w:r>
              <w:rPr>
                <w:sz w:val="19"/>
              </w:rPr>
              <w:t>30 Jan 2004 p. 403</w:t>
            </w:r>
            <w:r>
              <w:rPr>
                <w:sz w:val="19"/>
              </w:rPr>
              <w:noBreakHyphen/>
              <w:t>12</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Betting Control Amendment Regulations (No. 2) 2004</w:t>
            </w:r>
          </w:p>
        </w:tc>
        <w:tc>
          <w:tcPr>
            <w:tcW w:w="1276" w:type="dxa"/>
          </w:tcPr>
          <w:p>
            <w:pPr>
              <w:pStyle w:val="nTable"/>
              <w:spacing w:after="40"/>
              <w:rPr>
                <w:sz w:val="19"/>
              </w:rPr>
            </w:pPr>
            <w:r>
              <w:rPr>
                <w:sz w:val="19"/>
              </w:rPr>
              <w:t>1 Jul 2004 p. 2625</w:t>
            </w:r>
            <w:r>
              <w:rPr>
                <w:sz w:val="19"/>
              </w:rPr>
              <w:noBreakHyphen/>
              <w:t>6</w:t>
            </w:r>
          </w:p>
        </w:tc>
        <w:tc>
          <w:tcPr>
            <w:tcW w:w="2693" w:type="dxa"/>
          </w:tcPr>
          <w:p>
            <w:pPr>
              <w:pStyle w:val="nTable"/>
              <w:spacing w:after="40"/>
              <w:rPr>
                <w:sz w:val="19"/>
              </w:rPr>
            </w:pPr>
            <w:r>
              <w:rPr>
                <w:sz w:val="19"/>
              </w:rPr>
              <w:t>1 Jul 2004</w:t>
            </w:r>
          </w:p>
        </w:tc>
      </w:tr>
      <w:tr>
        <w:trPr>
          <w:cantSplit/>
        </w:trPr>
        <w:tc>
          <w:tcPr>
            <w:tcW w:w="3119" w:type="dxa"/>
          </w:tcPr>
          <w:p>
            <w:pPr>
              <w:pStyle w:val="nTable"/>
              <w:spacing w:after="40"/>
              <w:ind w:right="113"/>
              <w:rPr>
                <w:i/>
                <w:sz w:val="19"/>
              </w:rPr>
            </w:pPr>
            <w:r>
              <w:rPr>
                <w:i/>
                <w:sz w:val="19"/>
              </w:rPr>
              <w:t>Betting Control Amendment Regulations (No. 3) 2004</w:t>
            </w:r>
            <w:r>
              <w:rPr>
                <w:sz w:val="19"/>
              </w:rPr>
              <w:t xml:space="preserve"> </w:t>
            </w:r>
          </w:p>
        </w:tc>
        <w:tc>
          <w:tcPr>
            <w:tcW w:w="1276" w:type="dxa"/>
          </w:tcPr>
          <w:p>
            <w:pPr>
              <w:pStyle w:val="nTable"/>
              <w:spacing w:after="40"/>
              <w:rPr>
                <w:sz w:val="19"/>
              </w:rPr>
            </w:pPr>
            <w:r>
              <w:rPr>
                <w:sz w:val="19"/>
              </w:rPr>
              <w:t>9 Jul 2004 p. 2780</w:t>
            </w:r>
            <w:r>
              <w:rPr>
                <w:sz w:val="19"/>
              </w:rPr>
              <w:noBreakHyphen/>
              <w:t>1</w:t>
            </w:r>
          </w:p>
        </w:tc>
        <w:tc>
          <w:tcPr>
            <w:tcW w:w="2693" w:type="dxa"/>
          </w:tcPr>
          <w:p>
            <w:pPr>
              <w:pStyle w:val="nTable"/>
              <w:spacing w:after="40"/>
              <w:rPr>
                <w:sz w:val="19"/>
              </w:rPr>
            </w:pPr>
            <w:r>
              <w:rPr>
                <w:sz w:val="19"/>
              </w:rPr>
              <w:t>1 Jan 2005 (see r. 2)</w:t>
            </w:r>
          </w:p>
        </w:tc>
      </w:tr>
      <w:tr>
        <w:trPr>
          <w:cantSplit/>
        </w:trPr>
        <w:tc>
          <w:tcPr>
            <w:tcW w:w="7088" w:type="dxa"/>
            <w:gridSpan w:val="3"/>
          </w:tcPr>
          <w:p>
            <w:pPr>
              <w:pStyle w:val="nTable"/>
              <w:spacing w:after="40"/>
              <w:rPr>
                <w:sz w:val="19"/>
              </w:rPr>
            </w:pPr>
            <w:r>
              <w:rPr>
                <w:b/>
                <w:sz w:val="19"/>
              </w:rPr>
              <w:t xml:space="preserve">Reprint 4: The </w:t>
            </w:r>
            <w:r>
              <w:rPr>
                <w:b/>
                <w:i/>
                <w:sz w:val="19"/>
              </w:rPr>
              <w:t xml:space="preserve">Betting Control Regulations 1978 </w:t>
            </w:r>
            <w:r>
              <w:rPr>
                <w:b/>
                <w:sz w:val="19"/>
              </w:rPr>
              <w:t>as at 6 May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2) 2005</w:t>
            </w:r>
          </w:p>
        </w:tc>
        <w:tc>
          <w:tcPr>
            <w:tcW w:w="1276" w:type="dxa"/>
          </w:tcPr>
          <w:p>
            <w:pPr>
              <w:pStyle w:val="nTable"/>
              <w:spacing w:after="40"/>
              <w:rPr>
                <w:sz w:val="19"/>
              </w:rPr>
            </w:pPr>
            <w:r>
              <w:rPr>
                <w:sz w:val="19"/>
              </w:rPr>
              <w:t>14 Oct 2005 p. 4558-9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Betting Control Amendment Regulations (No. 2) 2006</w:t>
            </w:r>
          </w:p>
        </w:tc>
        <w:tc>
          <w:tcPr>
            <w:tcW w:w="1276" w:type="dxa"/>
          </w:tcPr>
          <w:p>
            <w:pPr>
              <w:pStyle w:val="nTable"/>
              <w:spacing w:after="40"/>
              <w:rPr>
                <w:sz w:val="19"/>
              </w:rPr>
            </w:pPr>
            <w:r>
              <w:rPr>
                <w:sz w:val="19"/>
              </w:rPr>
              <w:t>28 Apr 2006 p. 1659</w:t>
            </w:r>
          </w:p>
        </w:tc>
        <w:tc>
          <w:tcPr>
            <w:tcW w:w="2693" w:type="dxa"/>
          </w:tcPr>
          <w:p>
            <w:pPr>
              <w:pStyle w:val="nTable"/>
              <w:spacing w:after="40"/>
              <w:rPr>
                <w:sz w:val="19"/>
              </w:rPr>
            </w:pPr>
            <w:r>
              <w:rPr>
                <w:sz w:val="19"/>
              </w:rPr>
              <w:t>28 Apr 2006</w:t>
            </w:r>
          </w:p>
        </w:tc>
      </w:tr>
      <w:tr>
        <w:trPr>
          <w:cantSplit/>
        </w:trPr>
        <w:tc>
          <w:tcPr>
            <w:tcW w:w="3119" w:type="dxa"/>
            <w:tcBorders>
              <w:bottom w:val="single" w:sz="4" w:space="0" w:color="auto"/>
            </w:tcBorders>
          </w:tcPr>
          <w:p>
            <w:pPr>
              <w:pStyle w:val="nTable"/>
              <w:spacing w:after="40"/>
              <w:ind w:right="113"/>
              <w:rPr>
                <w:i/>
                <w:sz w:val="19"/>
              </w:rPr>
            </w:pPr>
            <w:r>
              <w:rPr>
                <w:i/>
                <w:sz w:val="19"/>
              </w:rPr>
              <w:t>Betting Control Amendment Regulations 2006</w:t>
            </w:r>
          </w:p>
        </w:tc>
        <w:tc>
          <w:tcPr>
            <w:tcW w:w="1276" w:type="dxa"/>
            <w:tcBorders>
              <w:bottom w:val="single" w:sz="4" w:space="0" w:color="auto"/>
            </w:tcBorders>
          </w:tcPr>
          <w:p>
            <w:pPr>
              <w:pStyle w:val="nTable"/>
              <w:spacing w:after="40"/>
              <w:rPr>
                <w:sz w:val="19"/>
              </w:rPr>
            </w:pPr>
            <w:r>
              <w:rPr>
                <w:sz w:val="19"/>
              </w:rPr>
              <w:t>21 Jul 2006 p. 2669-89</w:t>
            </w:r>
          </w:p>
        </w:tc>
        <w:tc>
          <w:tcPr>
            <w:tcW w:w="2693" w:type="dxa"/>
            <w:tcBorders>
              <w:bottom w:val="single" w:sz="4" w:space="0" w:color="auto"/>
            </w:tcBorders>
          </w:tcPr>
          <w:p>
            <w:pPr>
              <w:pStyle w:val="nTable"/>
              <w:spacing w:after="40"/>
              <w:rPr>
                <w:sz w:val="19"/>
              </w:rPr>
            </w:pPr>
            <w:r>
              <w:rPr>
                <w:sz w:val="19"/>
              </w:rPr>
              <w:t>21 Jul 2006</w:t>
            </w:r>
          </w:p>
        </w:tc>
      </w:tr>
    </w:tbl>
    <w:p>
      <w:pPr>
        <w:pStyle w:val="nSubsection"/>
        <w:tabs>
          <w:tab w:val="clear" w:pos="454"/>
          <w:tab w:val="left" w:pos="567"/>
        </w:tabs>
        <w:spacing w:before="120"/>
        <w:ind w:left="567" w:hanging="567"/>
        <w:rPr>
          <w:spacing w:val="-2"/>
        </w:rPr>
      </w:pPr>
      <w:r>
        <w:rPr>
          <w:snapToGrid w:val="0"/>
          <w:vertAlign w:val="superscript"/>
        </w:rPr>
        <w:t>2</w:t>
      </w:r>
      <w:r>
        <w:rPr>
          <w:color w:val="FF0000"/>
          <w:spacing w:val="-2"/>
        </w:rPr>
        <w:tab/>
      </w:r>
      <w:r>
        <w:rPr>
          <w:spacing w:val="-2"/>
        </w:rPr>
        <w:t xml:space="preserve">Expired on 30 Jan 2005 (see </w:t>
      </w:r>
      <w:r>
        <w:rPr>
          <w:i/>
          <w:spacing w:val="-2"/>
        </w:rPr>
        <w:t>Racing and Gambling Legislation Amendment and Repeal Act 2003</w:t>
      </w:r>
      <w:r>
        <w:rPr>
          <w:spacing w:val="-2"/>
        </w:rPr>
        <w:t xml:space="preserve"> s. 48 &amp; 120).</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headerReference w:type="first" r:id="rId3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r>
              <w:rPr>
                <w:noProof/>
              </w:rPr>
              <w:cr/>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zyDefitem"/>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fldSimple w:instr=" styleref CharSchText ">
            <w:r>
              <w:rPr>
                <w:noProof/>
              </w:rPr>
              <w:t>Rules of Betting</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fldSimple w:instr=" styleref CharSchno ">
            <w:r>
              <w:rPr>
                <w:noProof/>
              </w:rPr>
              <w:t>Appendix</w:t>
            </w:r>
          </w:fldSimple>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zyDefitem"/>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E655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3A83F2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936E824"/>
    <w:lvl w:ilvl="0">
      <w:start w:val="1"/>
      <w:numFmt w:val="decimal"/>
      <w:pStyle w:val="ListNumber3"/>
      <w:lvlText w:val="%1."/>
      <w:lvlJc w:val="left"/>
      <w:pPr>
        <w:tabs>
          <w:tab w:val="num" w:pos="926"/>
        </w:tabs>
        <w:ind w:left="926" w:hanging="360"/>
      </w:pPr>
    </w:lvl>
  </w:abstractNum>
  <w:abstractNum w:abstractNumId="3">
    <w:nsid w:val="FFFFFF7F"/>
    <w:multiLevelType w:val="singleLevel"/>
    <w:tmpl w:val="251AE1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D8220D0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CDADD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8A0F75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50278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0148BFE"/>
    <w:lvl w:ilvl="0">
      <w:start w:val="1"/>
      <w:numFmt w:val="decimal"/>
      <w:pStyle w:val="ListNumber"/>
      <w:lvlText w:val="%1."/>
      <w:lvlJc w:val="left"/>
      <w:pPr>
        <w:tabs>
          <w:tab w:val="num" w:pos="360"/>
        </w:tabs>
        <w:ind w:left="360" w:hanging="360"/>
      </w:pPr>
    </w:lvl>
  </w:abstractNum>
  <w:abstractNum w:abstractNumId="9">
    <w:nsid w:val="FFFFFF89"/>
    <w:multiLevelType w:val="singleLevel"/>
    <w:tmpl w:val="F7808E2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8ADA39F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4F46BEE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6E2F1A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BC8F25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ShoulderClause">
    <w:name w:val="zyShoulderClause"/>
    <w:basedOn w:val="yShoulderClause"/>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ShoulderClause">
    <w:name w:val="zyShoulderClause"/>
    <w:basedOn w:val="yShoulderClause"/>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81</Pages>
  <Words>20266</Words>
  <Characters>93431</Characters>
  <Application>Microsoft Office Word</Application>
  <DocSecurity>0</DocSecurity>
  <Lines>3013</Lines>
  <Paragraphs>1894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111803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1978 - 04-e0-03</dc:title>
  <dc:subject/>
  <dc:creator/>
  <cp:keywords/>
  <dc:description/>
  <cp:lastModifiedBy>svcMRProcess</cp:lastModifiedBy>
  <cp:revision>4</cp:revision>
  <cp:lastPrinted>2005-06-01T04:18:00Z</cp:lastPrinted>
  <dcterms:created xsi:type="dcterms:W3CDTF">2020-02-22T13:31:00Z</dcterms:created>
  <dcterms:modified xsi:type="dcterms:W3CDTF">2020-02-22T13:31:00Z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CommencementDate">
    <vt:lpwstr>20060721</vt:lpwstr>
  </property>
  <property fmtid="{D5CDD505-2E9C-101B-9397-08002B2CF9AE}" pid="4" name="DocumentType">
    <vt:lpwstr>Reg</vt:lpwstr>
  </property>
  <property fmtid="{D5CDD505-2E9C-101B-9397-08002B2CF9AE}" pid="5" name="OwlsUID">
    <vt:i4>4296</vt:i4>
  </property>
  <property fmtid="{D5CDD505-2E9C-101B-9397-08002B2CF9AE}" pid="6" name="AsAtDate">
    <vt:lpwstr>21 Jul 2006</vt:lpwstr>
  </property>
  <property fmtid="{D5CDD505-2E9C-101B-9397-08002B2CF9AE}" pid="7" name="Suffix">
    <vt:lpwstr>04-e0-03</vt:lpwstr>
  </property>
</Properties>
</file>