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4" name="Picture 2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Energy Operators (Powers) Act 1979</w:t>
      </w:r>
    </w:p>
    <w:p>
      <w:pPr>
        <w:pStyle w:val="NameofActRegPage1"/>
        <w:spacing w:before="1960" w:after="4200"/>
        <w:ind w:left="284" w:right="292"/>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Energy Operators (Regional Power Corporation) (Charges) By-laws 2006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Energy Operators (Regional Power Corporation) (Charges) By-laws 2006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tab/>
        <w:t>Citation</w:t>
      </w:r>
      <w:r>
        <w:tab/>
      </w:r>
      <w:r>
        <w:fldChar w:fldCharType="begin"/>
      </w:r>
      <w:r>
        <w:instrText xml:space="preserve"> PAGEREF _Toc396402177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_Toc396402178 \h </w:instrText>
      </w:r>
      <w:r>
        <w:fldChar w:fldCharType="separate"/>
      </w:r>
      <w:r>
        <w:t>1</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_Toc396402179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snapToGrid w:val="0"/>
        </w:rPr>
        <w:t>Electricity charges</w:t>
      </w:r>
      <w:r>
        <w:tab/>
      </w:r>
      <w:r>
        <w:fldChar w:fldCharType="begin"/>
      </w:r>
      <w:r>
        <w:instrText xml:space="preserve"> PAGEREF _Toc396402180 \h </w:instrText>
      </w:r>
      <w:r>
        <w:fldChar w:fldCharType="separate"/>
      </w:r>
      <w:r>
        <w:t>2</w:t>
      </w:r>
      <w:r>
        <w:fldChar w:fldCharType="end"/>
      </w:r>
    </w:p>
    <w:p>
      <w:pPr>
        <w:pStyle w:val="TOC8"/>
        <w:rPr>
          <w:rFonts w:asciiTheme="minorHAnsi" w:eastAsiaTheme="minorEastAsia" w:hAnsiTheme="minorHAnsi" w:cstheme="minorBidi"/>
          <w:szCs w:val="22"/>
        </w:rPr>
      </w:pPr>
      <w:r>
        <w:t>5.</w:t>
      </w:r>
      <w:r>
        <w:tab/>
        <w:t>Application of residential tariffs</w:t>
      </w:r>
      <w:r>
        <w:tab/>
      </w:r>
      <w:r>
        <w:fldChar w:fldCharType="begin"/>
      </w:r>
      <w:r>
        <w:instrText xml:space="preserve"> PAGEREF _Toc396402181 \h </w:instrText>
      </w:r>
      <w:r>
        <w:fldChar w:fldCharType="separate"/>
      </w:r>
      <w:r>
        <w:t>2</w:t>
      </w:r>
      <w:r>
        <w:fldChar w:fldCharType="end"/>
      </w:r>
    </w:p>
    <w:p>
      <w:pPr>
        <w:pStyle w:val="TOC8"/>
        <w:rPr>
          <w:rFonts w:asciiTheme="minorHAnsi" w:eastAsiaTheme="minorEastAsia" w:hAnsiTheme="minorHAnsi" w:cstheme="minorBidi"/>
          <w:szCs w:val="22"/>
        </w:rPr>
      </w:pPr>
      <w:r>
        <w:t>6.</w:t>
      </w:r>
      <w:r>
        <w:tab/>
        <w:t>Meter rental</w:t>
      </w:r>
      <w:r>
        <w:tab/>
      </w:r>
      <w:r>
        <w:fldChar w:fldCharType="begin"/>
      </w:r>
      <w:r>
        <w:instrText xml:space="preserve"> PAGEREF _Toc396402182 \h </w:instrText>
      </w:r>
      <w:r>
        <w:fldChar w:fldCharType="separate"/>
      </w:r>
      <w:r>
        <w:t>3</w:t>
      </w:r>
      <w:r>
        <w:fldChar w:fldCharType="end"/>
      </w:r>
    </w:p>
    <w:p>
      <w:pPr>
        <w:pStyle w:val="TOC8"/>
        <w:rPr>
          <w:rFonts w:asciiTheme="minorHAnsi" w:eastAsiaTheme="minorEastAsia" w:hAnsiTheme="minorHAnsi" w:cstheme="minorBidi"/>
          <w:szCs w:val="22"/>
        </w:rPr>
      </w:pPr>
      <w:r>
        <w:t>7.</w:t>
      </w:r>
      <w:r>
        <w:tab/>
        <w:t>Fees</w:t>
      </w:r>
      <w:r>
        <w:tab/>
      </w:r>
      <w:r>
        <w:fldChar w:fldCharType="begin"/>
      </w:r>
      <w:r>
        <w:instrText xml:space="preserve"> PAGEREF _Toc396402183 \h </w:instrText>
      </w:r>
      <w:r>
        <w:fldChar w:fldCharType="separate"/>
      </w:r>
      <w:r>
        <w:t>3</w:t>
      </w:r>
      <w:r>
        <w:fldChar w:fldCharType="end"/>
      </w:r>
    </w:p>
    <w:p>
      <w:pPr>
        <w:pStyle w:val="TOC8"/>
        <w:rPr>
          <w:rFonts w:asciiTheme="minorHAnsi" w:eastAsiaTheme="minorEastAsia" w:hAnsiTheme="minorHAnsi" w:cstheme="minorBidi"/>
          <w:szCs w:val="22"/>
        </w:rPr>
      </w:pPr>
      <w:r>
        <w:t>8.</w:t>
      </w:r>
      <w:r>
        <w:tab/>
        <w:t>Payment</w:t>
      </w:r>
      <w:r>
        <w:tab/>
      </w:r>
      <w:r>
        <w:fldChar w:fldCharType="begin"/>
      </w:r>
      <w:r>
        <w:instrText xml:space="preserve"> PAGEREF _Toc396402184 \h </w:instrText>
      </w:r>
      <w:r>
        <w:fldChar w:fldCharType="separate"/>
      </w:r>
      <w:r>
        <w:t>3</w:t>
      </w:r>
      <w:r>
        <w:fldChar w:fldCharType="end"/>
      </w:r>
    </w:p>
    <w:p>
      <w:pPr>
        <w:pStyle w:val="TOC8"/>
        <w:rPr>
          <w:rFonts w:asciiTheme="minorHAnsi" w:eastAsiaTheme="minorEastAsia" w:hAnsiTheme="minorHAnsi" w:cstheme="minorBidi"/>
          <w:szCs w:val="22"/>
        </w:rPr>
      </w:pPr>
      <w:r>
        <w:t>10.</w:t>
      </w:r>
      <w:r>
        <w:tab/>
        <w:t>Calculation of charges</w:t>
      </w:r>
      <w:r>
        <w:tab/>
      </w:r>
      <w:r>
        <w:fldChar w:fldCharType="begin"/>
      </w:r>
      <w:r>
        <w:instrText xml:space="preserve"> PAGEREF _Toc396402185 \h </w:instrText>
      </w:r>
      <w:r>
        <w:fldChar w:fldCharType="separate"/>
      </w:r>
      <w:r>
        <w:t>4</w:t>
      </w:r>
      <w:r>
        <w:fldChar w:fldCharType="end"/>
      </w:r>
    </w:p>
    <w:p>
      <w:pPr>
        <w:pStyle w:val="TOC8"/>
        <w:rPr>
          <w:rFonts w:asciiTheme="minorHAnsi" w:eastAsiaTheme="minorEastAsia" w:hAnsiTheme="minorHAnsi" w:cstheme="minorBidi"/>
          <w:szCs w:val="22"/>
        </w:rPr>
      </w:pPr>
      <w:r>
        <w:t>11.</w:t>
      </w:r>
      <w:r>
        <w:tab/>
        <w:t>Changes in rates</w:t>
      </w:r>
      <w:r>
        <w:tab/>
      </w:r>
      <w:r>
        <w:fldChar w:fldCharType="begin"/>
      </w:r>
      <w:r>
        <w:instrText xml:space="preserve"> PAGEREF _Toc396402186 \h </w:instrText>
      </w:r>
      <w:r>
        <w:fldChar w:fldCharType="separate"/>
      </w:r>
      <w:r>
        <w:t>4</w:t>
      </w:r>
      <w:r>
        <w:fldChar w:fldCharType="end"/>
      </w:r>
    </w:p>
    <w:p>
      <w:pPr>
        <w:pStyle w:val="TOC8"/>
        <w:rPr>
          <w:rFonts w:asciiTheme="minorHAnsi" w:eastAsiaTheme="minorEastAsia" w:hAnsiTheme="minorHAnsi" w:cstheme="minorBidi"/>
          <w:szCs w:val="22"/>
        </w:rPr>
      </w:pPr>
      <w:r>
        <w:t>12.</w:t>
      </w:r>
      <w:r>
        <w:tab/>
        <w:t>Prescribed rate of interest for s. 62(16) of the Act</w:t>
      </w:r>
      <w:r>
        <w:tab/>
      </w:r>
      <w:r>
        <w:fldChar w:fldCharType="begin"/>
      </w:r>
      <w:r>
        <w:instrText xml:space="preserve"> PAGEREF _Toc396402187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Schedule 1 — Supply charges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_Toc396402189 \h </w:instrText>
      </w:r>
      <w:r>
        <w:fldChar w:fldCharType="separate"/>
      </w:r>
      <w:r>
        <w:t>6</w:t>
      </w:r>
      <w:r>
        <w:fldChar w:fldCharType="end"/>
      </w:r>
    </w:p>
    <w:p>
      <w:pPr>
        <w:pStyle w:val="TOC8"/>
        <w:rPr>
          <w:rFonts w:asciiTheme="minorHAnsi" w:eastAsiaTheme="minorEastAsia" w:hAnsiTheme="minorHAnsi" w:cstheme="minorBidi"/>
          <w:szCs w:val="22"/>
        </w:rPr>
      </w:pPr>
      <w:r>
        <w:t>2.</w:t>
      </w:r>
      <w:r>
        <w:tab/>
        <w:t>Tariff L2 (general supply — low/medium voltage tariff)</w:t>
      </w:r>
      <w:r>
        <w:tab/>
      </w:r>
      <w:r>
        <w:fldChar w:fldCharType="begin"/>
      </w:r>
      <w:r>
        <w:instrText xml:space="preserve"> PAGEREF _Toc396402190 \h </w:instrText>
      </w:r>
      <w:r>
        <w:fldChar w:fldCharType="separate"/>
      </w:r>
      <w:r>
        <w:t>6</w:t>
      </w:r>
      <w:r>
        <w:fldChar w:fldCharType="end"/>
      </w:r>
    </w:p>
    <w:p>
      <w:pPr>
        <w:pStyle w:val="TOC8"/>
        <w:rPr>
          <w:rFonts w:asciiTheme="minorHAnsi" w:eastAsiaTheme="minorEastAsia" w:hAnsiTheme="minorHAnsi" w:cstheme="minorBidi"/>
          <w:szCs w:val="22"/>
        </w:rPr>
      </w:pPr>
      <w:r>
        <w:t>3.</w:t>
      </w:r>
      <w:r>
        <w:tab/>
        <w:t>Tariff L4 (general supply — low/medium voltage tariff)</w:t>
      </w:r>
      <w:r>
        <w:tab/>
      </w:r>
      <w:r>
        <w:fldChar w:fldCharType="begin"/>
      </w:r>
      <w:r>
        <w:instrText xml:space="preserve"> PAGEREF _Toc396402191 \h </w:instrText>
      </w:r>
      <w:r>
        <w:fldChar w:fldCharType="separate"/>
      </w:r>
      <w:r>
        <w:t>6</w:t>
      </w:r>
      <w:r>
        <w:fldChar w:fldCharType="end"/>
      </w:r>
    </w:p>
    <w:p>
      <w:pPr>
        <w:pStyle w:val="TOC8"/>
        <w:rPr>
          <w:rFonts w:asciiTheme="minorHAnsi" w:eastAsiaTheme="minorEastAsia" w:hAnsiTheme="minorHAnsi" w:cstheme="minorBidi"/>
          <w:szCs w:val="22"/>
        </w:rPr>
      </w:pPr>
      <w:r>
        <w:t>4.</w:t>
      </w:r>
      <w:r>
        <w:tab/>
        <w:t>Tariff M2 (general supply — high voltage tariff)</w:t>
      </w:r>
      <w:r>
        <w:tab/>
      </w:r>
      <w:r>
        <w:fldChar w:fldCharType="begin"/>
      </w:r>
      <w:r>
        <w:instrText xml:space="preserve"> PAGEREF _Toc396402192 \h </w:instrText>
      </w:r>
      <w:r>
        <w:fldChar w:fldCharType="separate"/>
      </w:r>
      <w:r>
        <w:t>7</w:t>
      </w:r>
      <w:r>
        <w:fldChar w:fldCharType="end"/>
      </w:r>
    </w:p>
    <w:p>
      <w:pPr>
        <w:pStyle w:val="TOC8"/>
        <w:rPr>
          <w:rFonts w:asciiTheme="minorHAnsi" w:eastAsiaTheme="minorEastAsia" w:hAnsiTheme="minorHAnsi" w:cstheme="minorBidi"/>
          <w:szCs w:val="22"/>
        </w:rPr>
      </w:pPr>
      <w:r>
        <w:t>5.</w:t>
      </w:r>
      <w:r>
        <w:tab/>
        <w:t>Tariff N2 (regional non</w:t>
      </w:r>
      <w:r>
        <w:noBreakHyphen/>
        <w:t>integrated systems — cost of supply tariff)</w:t>
      </w:r>
      <w:r>
        <w:tab/>
      </w:r>
      <w:r>
        <w:fldChar w:fldCharType="begin"/>
      </w:r>
      <w:r>
        <w:instrText xml:space="preserve"> PAGEREF _Toc396402193 \h </w:instrText>
      </w:r>
      <w:r>
        <w:fldChar w:fldCharType="separate"/>
      </w:r>
      <w:r>
        <w:t>7</w:t>
      </w:r>
      <w:r>
        <w:fldChar w:fldCharType="end"/>
      </w:r>
    </w:p>
    <w:p>
      <w:pPr>
        <w:pStyle w:val="TOC8"/>
        <w:rPr>
          <w:rFonts w:asciiTheme="minorHAnsi" w:eastAsiaTheme="minorEastAsia" w:hAnsiTheme="minorHAnsi" w:cstheme="minorBidi"/>
          <w:szCs w:val="22"/>
        </w:rPr>
      </w:pPr>
      <w:r>
        <w:t>6.</w:t>
      </w:r>
      <w:r>
        <w:tab/>
        <w:t>Tariff P2 (North West interconnected system — cost of supply tariff)</w:t>
      </w:r>
      <w:r>
        <w:tab/>
      </w:r>
      <w:r>
        <w:fldChar w:fldCharType="begin"/>
      </w:r>
      <w:r>
        <w:instrText xml:space="preserve"> PAGEREF _Toc396402194 \h </w:instrText>
      </w:r>
      <w:r>
        <w:fldChar w:fldCharType="separate"/>
      </w:r>
      <w:r>
        <w:t>8</w:t>
      </w:r>
      <w:r>
        <w:fldChar w:fldCharType="end"/>
      </w:r>
    </w:p>
    <w:p>
      <w:pPr>
        <w:pStyle w:val="TOC8"/>
        <w:rPr>
          <w:rFonts w:asciiTheme="minorHAnsi" w:eastAsiaTheme="minorEastAsia" w:hAnsiTheme="minorHAnsi" w:cstheme="minorBidi"/>
          <w:szCs w:val="22"/>
        </w:rPr>
      </w:pPr>
      <w:r>
        <w:t>7.</w:t>
      </w:r>
      <w:r>
        <w:tab/>
        <w:t>Tariff A2 (residential tariff)</w:t>
      </w:r>
      <w:r>
        <w:tab/>
      </w:r>
      <w:r>
        <w:fldChar w:fldCharType="begin"/>
      </w:r>
      <w:r>
        <w:instrText xml:space="preserve"> PAGEREF _Toc396402195 \h </w:instrText>
      </w:r>
      <w:r>
        <w:fldChar w:fldCharType="separate"/>
      </w:r>
      <w:r>
        <w:t>8</w:t>
      </w:r>
      <w:r>
        <w:fldChar w:fldCharType="end"/>
      </w:r>
    </w:p>
    <w:p>
      <w:pPr>
        <w:pStyle w:val="TOC8"/>
        <w:rPr>
          <w:rFonts w:asciiTheme="minorHAnsi" w:eastAsiaTheme="minorEastAsia" w:hAnsiTheme="minorHAnsi" w:cstheme="minorBidi"/>
          <w:szCs w:val="22"/>
        </w:rPr>
      </w:pPr>
      <w:r>
        <w:t>8.</w:t>
      </w:r>
      <w:r>
        <w:tab/>
        <w:t>Tariff C2 (special community service tariff)</w:t>
      </w:r>
      <w:r>
        <w:tab/>
      </w:r>
      <w:r>
        <w:fldChar w:fldCharType="begin"/>
      </w:r>
      <w:r>
        <w:instrText xml:space="preserve"> PAGEREF _Toc396402196 \h </w:instrText>
      </w:r>
      <w:r>
        <w:fldChar w:fldCharType="separate"/>
      </w:r>
      <w:r>
        <w:t>9</w:t>
      </w:r>
      <w:r>
        <w:fldChar w:fldCharType="end"/>
      </w:r>
    </w:p>
    <w:p>
      <w:pPr>
        <w:pStyle w:val="TOC8"/>
        <w:rPr>
          <w:rFonts w:asciiTheme="minorHAnsi" w:eastAsiaTheme="minorEastAsia" w:hAnsiTheme="minorHAnsi" w:cstheme="minorBidi"/>
          <w:szCs w:val="22"/>
        </w:rPr>
      </w:pPr>
      <w:r>
        <w:t>9.</w:t>
      </w:r>
      <w:r>
        <w:tab/>
        <w:t>Tariff D2 (special tariff for certain premises)</w:t>
      </w:r>
      <w:r>
        <w:tab/>
      </w:r>
      <w:r>
        <w:fldChar w:fldCharType="begin"/>
      </w:r>
      <w:r>
        <w:instrText xml:space="preserve"> PAGEREF _Toc396402197 \h </w:instrText>
      </w:r>
      <w:r>
        <w:fldChar w:fldCharType="separate"/>
      </w:r>
      <w:r>
        <w:t>9</w:t>
      </w:r>
      <w:r>
        <w:fldChar w:fldCharType="end"/>
      </w:r>
    </w:p>
    <w:p>
      <w:pPr>
        <w:pStyle w:val="TOC8"/>
        <w:rPr>
          <w:rFonts w:asciiTheme="minorHAnsi" w:eastAsiaTheme="minorEastAsia" w:hAnsiTheme="minorHAnsi" w:cstheme="minorBidi"/>
          <w:szCs w:val="22"/>
        </w:rPr>
      </w:pPr>
      <w:r>
        <w:t>10.</w:t>
      </w:r>
      <w:r>
        <w:tab/>
        <w:t>Tariff K2 (general supply with residential tariff)</w:t>
      </w:r>
      <w:r>
        <w:tab/>
      </w:r>
      <w:r>
        <w:fldChar w:fldCharType="begin"/>
      </w:r>
      <w:r>
        <w:instrText xml:space="preserve"> PAGEREF _Toc396402198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rPr>
      </w:pPr>
      <w:r>
        <w:t>Schedule 2 — Unmetered supply</w:t>
      </w:r>
    </w:p>
    <w:p>
      <w:pPr>
        <w:pStyle w:val="TOC4"/>
        <w:tabs>
          <w:tab w:val="right" w:leader="dot" w:pos="7086"/>
        </w:tabs>
        <w:rPr>
          <w:rFonts w:asciiTheme="minorHAnsi" w:eastAsiaTheme="minorEastAsia" w:hAnsiTheme="minorHAnsi" w:cstheme="minorBidi"/>
          <w:b w:val="0"/>
          <w:szCs w:val="22"/>
        </w:rPr>
      </w:pPr>
      <w:r>
        <w:t>Division 1 — Street lighting</w:t>
      </w:r>
    </w:p>
    <w:p>
      <w:pPr>
        <w:pStyle w:val="TOC4"/>
        <w:tabs>
          <w:tab w:val="right" w:leader="dot" w:pos="7086"/>
        </w:tabs>
        <w:rPr>
          <w:rFonts w:asciiTheme="minorHAnsi" w:eastAsiaTheme="minorEastAsia" w:hAnsiTheme="minorHAnsi" w:cstheme="minorBidi"/>
          <w:b w:val="0"/>
          <w:szCs w:val="22"/>
        </w:rPr>
      </w:pPr>
      <w:r>
        <w:t>Division 2 — Miscellaneous</w:t>
      </w:r>
    </w:p>
    <w:p>
      <w:pPr>
        <w:pStyle w:val="TOC8"/>
        <w:rPr>
          <w:rFonts w:asciiTheme="minorHAnsi" w:eastAsiaTheme="minorEastAsia" w:hAnsiTheme="minorHAnsi" w:cstheme="minorBidi"/>
          <w:szCs w:val="22"/>
        </w:rPr>
      </w:pPr>
      <w:r>
        <w:t>1.</w:t>
      </w:r>
      <w:r>
        <w:tab/>
        <w:t>Traffic light installations</w:t>
      </w:r>
      <w:r>
        <w:tab/>
      </w:r>
      <w:r>
        <w:fldChar w:fldCharType="begin"/>
      </w:r>
      <w:r>
        <w:instrText xml:space="preserve"> PAGEREF _Toc396402202 \h </w:instrText>
      </w:r>
      <w:r>
        <w:fldChar w:fldCharType="separate"/>
      </w:r>
      <w:r>
        <w:t>13</w:t>
      </w:r>
      <w:r>
        <w:fldChar w:fldCharType="end"/>
      </w:r>
    </w:p>
    <w:p>
      <w:pPr>
        <w:pStyle w:val="TOC8"/>
        <w:rPr>
          <w:rFonts w:asciiTheme="minorHAnsi" w:eastAsiaTheme="minorEastAsia" w:hAnsiTheme="minorHAnsi" w:cstheme="minorBidi"/>
          <w:szCs w:val="22"/>
        </w:rPr>
      </w:pPr>
      <w:r>
        <w:t>2.</w:t>
      </w:r>
      <w:r>
        <w:tab/>
        <w:t>Public telephone facility</w:t>
      </w:r>
      <w:r>
        <w:tab/>
      </w:r>
      <w:r>
        <w:fldChar w:fldCharType="begin"/>
      </w:r>
      <w:r>
        <w:instrText xml:space="preserve"> PAGEREF _Toc396402203 \h </w:instrText>
      </w:r>
      <w:r>
        <w:fldChar w:fldCharType="separate"/>
      </w:r>
      <w:r>
        <w:t>13</w:t>
      </w:r>
      <w:r>
        <w:fldChar w:fldCharType="end"/>
      </w:r>
    </w:p>
    <w:p>
      <w:pPr>
        <w:pStyle w:val="TOC8"/>
        <w:rPr>
          <w:rFonts w:asciiTheme="minorHAnsi" w:eastAsiaTheme="minorEastAsia" w:hAnsiTheme="minorHAnsi" w:cstheme="minorBidi"/>
          <w:szCs w:val="22"/>
        </w:rPr>
      </w:pPr>
      <w:r>
        <w:t>3.</w:t>
      </w:r>
      <w:r>
        <w:tab/>
        <w:t>Railway crossing</w:t>
      </w:r>
      <w:r>
        <w:tab/>
      </w:r>
      <w:r>
        <w:fldChar w:fldCharType="begin"/>
      </w:r>
      <w:r>
        <w:instrText xml:space="preserve"> PAGEREF _Toc396402204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rPr>
      </w:pPr>
      <w:r>
        <w:t>Schedule 3 — Meter rentals</w:t>
      </w:r>
    </w:p>
    <w:p>
      <w:pPr>
        <w:pStyle w:val="TOC2"/>
        <w:tabs>
          <w:tab w:val="right" w:leader="dot" w:pos="7086"/>
        </w:tabs>
        <w:rPr>
          <w:rFonts w:asciiTheme="minorHAnsi" w:eastAsiaTheme="minorEastAsia" w:hAnsiTheme="minorHAnsi" w:cstheme="minorBidi"/>
          <w:b w:val="0"/>
          <w:sz w:val="22"/>
          <w:szCs w:val="22"/>
        </w:rPr>
      </w:pPr>
      <w:r>
        <w:t>Schedule 4 — Fees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_Toc396402208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pPr>
      <w:r>
        <w:t>Energy Operators (Powers) Act 1979</w:t>
      </w:r>
    </w:p>
    <w:p>
      <w:pPr>
        <w:pStyle w:val="NameofActReg"/>
      </w:pPr>
      <w:r>
        <w:t>Energy Operators (Regional Power Corporation) (Charges) By</w:t>
      </w:r>
      <w:r>
        <w:noBreakHyphen/>
        <w:t>laws 2006</w:t>
      </w:r>
    </w:p>
    <w:p>
      <w:pPr>
        <w:pStyle w:val="Heading5"/>
      </w:pPr>
      <w:bookmarkStart w:id="1" w:name="_Toc396402177"/>
      <w:r>
        <w:rPr>
          <w:rStyle w:val="CharSectno"/>
        </w:rPr>
        <w:t>1</w:t>
      </w:r>
      <w:r>
        <w:t>.</w:t>
      </w:r>
      <w:r>
        <w:tab/>
        <w:t>Citation</w:t>
      </w:r>
      <w:bookmarkEnd w:id="1"/>
    </w:p>
    <w:p>
      <w:pPr>
        <w:pStyle w:val="Subsection"/>
        <w:rPr>
          <w:i/>
        </w:rPr>
      </w:pPr>
      <w:r>
        <w:tab/>
      </w:r>
      <w:r>
        <w:tab/>
      </w:r>
      <w:r>
        <w:rPr>
          <w:spacing w:val="-2"/>
        </w:rPr>
        <w:t>These</w:t>
      </w:r>
      <w:r>
        <w:t xml:space="preserve"> </w:t>
      </w:r>
      <w:r>
        <w:rPr>
          <w:spacing w:val="-2"/>
        </w:rPr>
        <w:t>by</w:t>
      </w:r>
      <w:r>
        <w:rPr>
          <w:spacing w:val="-2"/>
        </w:rPr>
        <w:noBreakHyphen/>
        <w:t>laws</w:t>
      </w:r>
      <w:r>
        <w:t xml:space="preserve"> are the </w:t>
      </w:r>
      <w:r>
        <w:rPr>
          <w:i/>
        </w:rPr>
        <w:t>Energy Operators (Regional Power Corporation) (Charges) By</w:t>
      </w:r>
      <w:r>
        <w:rPr>
          <w:i/>
        </w:rPr>
        <w:noBreakHyphen/>
        <w:t>laws 2006</w:t>
      </w:r>
      <w:r>
        <w:rPr>
          <w:vertAlign w:val="superscript"/>
        </w:rPr>
        <w:t> 1</w:t>
      </w:r>
      <w:r>
        <w:t>.</w:t>
      </w:r>
    </w:p>
    <w:p>
      <w:pPr>
        <w:pStyle w:val="Heading5"/>
        <w:rPr>
          <w:spacing w:val="-2"/>
        </w:rPr>
      </w:pPr>
      <w:bookmarkStart w:id="2" w:name="_Toc396402178"/>
      <w:r>
        <w:rPr>
          <w:rStyle w:val="CharSectno"/>
        </w:rPr>
        <w:t>2</w:t>
      </w:r>
      <w:r>
        <w:rPr>
          <w:spacing w:val="-2"/>
        </w:rPr>
        <w:t>.</w:t>
      </w:r>
      <w:r>
        <w:rPr>
          <w:spacing w:val="-2"/>
        </w:rPr>
        <w:tab/>
        <w:t>Commencement</w:t>
      </w:r>
      <w:bookmarkEnd w:id="2"/>
    </w:p>
    <w:p>
      <w:pPr>
        <w:pStyle w:val="Subsection"/>
        <w:rPr>
          <w:rFonts w:ascii="Times" w:hAnsi="Times"/>
        </w:rPr>
      </w:pPr>
      <w:r>
        <w:rPr>
          <w:spacing w:val="-2"/>
        </w:rPr>
        <w:tab/>
      </w:r>
      <w:r>
        <w:rPr>
          <w:spacing w:val="-2"/>
        </w:rPr>
        <w:tab/>
        <w:t>These by</w:t>
      </w:r>
      <w:r>
        <w:rPr>
          <w:spacing w:val="-2"/>
        </w:rPr>
        <w:noBreakHyphen/>
        <w:t>laws come into operation on 1 April 2006</w:t>
      </w:r>
      <w:r>
        <w:rPr>
          <w:rFonts w:ascii="Times" w:hAnsi="Times"/>
        </w:rPr>
        <w:t>.</w:t>
      </w:r>
    </w:p>
    <w:p>
      <w:pPr>
        <w:pStyle w:val="Heading5"/>
        <w:rPr>
          <w:snapToGrid w:val="0"/>
        </w:rPr>
      </w:pPr>
      <w:bookmarkStart w:id="3" w:name="_Toc396402179"/>
      <w:r>
        <w:rPr>
          <w:rStyle w:val="CharSectno"/>
        </w:rPr>
        <w:t>3</w:t>
      </w:r>
      <w:r>
        <w:t>.</w:t>
      </w:r>
      <w:r>
        <w:tab/>
      </w:r>
      <w:r>
        <w:rPr>
          <w:snapToGrid w:val="0"/>
        </w:rPr>
        <w:t>Terms used</w:t>
      </w:r>
      <w:bookmarkEnd w:id="3"/>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4(1)(d);</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rStyle w:val="CharDefText"/>
        </w:rPr>
        <w:tab/>
        <w:t>RBA cash rate</w:t>
      </w:r>
      <w:r>
        <w:t xml:space="preserve"> means the percentage (or maximum percentage) specified by the Reserve Bank of </w:t>
      </w:r>
      <w:smartTag w:uri="urn:schemas-microsoft-com:office:smarttags" w:element="place">
        <w:smartTag w:uri="urn:schemas-microsoft-com:office:smarttags" w:element="country-region">
          <w:r>
            <w:t>Australia</w:t>
          </w:r>
        </w:smartTag>
      </w:smartTag>
      <w:r>
        <w:t xml:space="preserve"> as the Cash Rate Target;</w:t>
      </w:r>
    </w:p>
    <w:p>
      <w:pPr>
        <w:pStyle w:val="Defstart"/>
      </w:pPr>
      <w:r>
        <w:rPr>
          <w:b/>
        </w:rPr>
        <w:tab/>
      </w:r>
      <w:r>
        <w:rPr>
          <w:rStyle w:val="CharDefText"/>
        </w:rPr>
        <w:t>residential tarif</w:t>
      </w:r>
      <w:r>
        <w:rPr>
          <w:rStyle w:val="CharDefText"/>
          <w:rFonts w:ascii="Times" w:hAnsi="Times"/>
          <w:spacing w:val="40"/>
        </w:rPr>
        <w:t>f</w:t>
      </w:r>
      <w:r>
        <w:t xml:space="preserve"> means Tariff A2;</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in Gazette 30 Mar 2009 p. 1000; 29 Jun 2012 p. 2900; 22 Aug 2014 p. 3017.]</w:t>
      </w:r>
    </w:p>
    <w:p>
      <w:pPr>
        <w:pStyle w:val="Ednotesection"/>
      </w:pPr>
      <w:r>
        <w:t>[</w:t>
      </w:r>
      <w:r>
        <w:rPr>
          <w:b/>
        </w:rPr>
        <w:t>4A.</w:t>
      </w:r>
      <w:r>
        <w:tab/>
        <w:t>Deleted in Gazette 22 Aug 2014 p. 3017.]</w:t>
      </w:r>
    </w:p>
    <w:p>
      <w:pPr>
        <w:pStyle w:val="Heading5"/>
        <w:rPr>
          <w:snapToGrid w:val="0"/>
        </w:rPr>
      </w:pPr>
      <w:bookmarkStart w:id="4" w:name="_Toc396402180"/>
      <w:r>
        <w:rPr>
          <w:rStyle w:val="CharSectno"/>
        </w:rPr>
        <w:t>4</w:t>
      </w:r>
      <w:r>
        <w:t>.</w:t>
      </w:r>
      <w:r>
        <w:tab/>
      </w:r>
      <w:r>
        <w:rPr>
          <w:snapToGrid w:val="0"/>
        </w:rPr>
        <w:t>Electricity charges</w:t>
      </w:r>
      <w:bookmarkEnd w:id="4"/>
    </w:p>
    <w:p>
      <w:pPr>
        <w:pStyle w:val="Subsection"/>
        <w:rPr>
          <w:snapToGrid w:val="0"/>
        </w:rPr>
      </w:pPr>
      <w:r>
        <w:rPr>
          <w:snapToGrid w:val="0"/>
        </w:rPr>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1.</w:t>
      </w:r>
    </w:p>
    <w:p>
      <w:pPr>
        <w:pStyle w:val="Subsection"/>
      </w:pPr>
      <w:r>
        <w:tab/>
        <w:t>(2)</w:t>
      </w:r>
      <w:r>
        <w:tab/>
        <w:t>The charges to be paid by consumers for the unmetered supply of street lighting by the corporation are those specified in Schedule 2 Division 1.</w:t>
      </w:r>
    </w:p>
    <w:p>
      <w:pPr>
        <w:pStyle w:val="Subsection"/>
      </w:pPr>
      <w:r>
        <w:tab/>
        <w:t>(3)</w:t>
      </w:r>
      <w:r>
        <w:tab/>
        <w:t>The charges to be paid by consumers for the unmetered supply of electricity except street lighting by the corporation are those specified in, or calculated in accordance with, Schedule 2 Division 2.</w:t>
      </w:r>
    </w:p>
    <w:p>
      <w:pPr>
        <w:pStyle w:val="Footnotesection"/>
      </w:pPr>
      <w:r>
        <w:tab/>
        <w:t>[By</w:t>
      </w:r>
      <w:r>
        <w:noBreakHyphen/>
        <w:t>law 4 amended in Gazette 30 Aug 2013 p. 4093-4.]</w:t>
      </w:r>
    </w:p>
    <w:p>
      <w:pPr>
        <w:pStyle w:val="Heading5"/>
      </w:pPr>
      <w:bookmarkStart w:id="5" w:name="_Toc396402181"/>
      <w:r>
        <w:rPr>
          <w:rStyle w:val="CharSectno"/>
        </w:rPr>
        <w:t>5</w:t>
      </w:r>
      <w:r>
        <w:t>.</w:t>
      </w:r>
      <w:r>
        <w:tab/>
        <w:t>Application of residential tariffs</w:t>
      </w:r>
      <w:bookmarkEnd w:id="5"/>
    </w:p>
    <w:p>
      <w:pPr>
        <w:pStyle w:val="Subsection"/>
        <w:rPr>
          <w:snapToGrid w:val="0"/>
        </w:rPr>
      </w:pPr>
      <w:r>
        <w:rPr>
          <w:snapToGrid w:val="0"/>
        </w:rPr>
        <w:tab/>
        <w:t>(1)</w:t>
      </w:r>
      <w:r>
        <w:rPr>
          <w:snapToGrid w:val="0"/>
        </w:rPr>
        <w:tab/>
        <w:t>A consumer is entitled to be supplied on the basis of the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the residential tariff may be applied if the premises or any part of the premises is independently supplied and separately metered solely for the purpose of a residential supply.</w:t>
      </w:r>
    </w:p>
    <w:p>
      <w:pPr>
        <w:pStyle w:val="Heading5"/>
      </w:pPr>
      <w:bookmarkStart w:id="6" w:name="_Toc396402182"/>
      <w:r>
        <w:rPr>
          <w:rStyle w:val="CharSectno"/>
        </w:rPr>
        <w:t>6</w:t>
      </w:r>
      <w:r>
        <w:t>.</w:t>
      </w:r>
      <w:r>
        <w:tab/>
        <w:t>Meter rental</w:t>
      </w:r>
      <w:bookmarkEnd w:id="6"/>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the residential tariff.</w:t>
      </w:r>
    </w:p>
    <w:p>
      <w:pPr>
        <w:pStyle w:val="Heading5"/>
      </w:pPr>
      <w:bookmarkStart w:id="7" w:name="_Toc396402183"/>
      <w:r>
        <w:rPr>
          <w:rStyle w:val="CharSectno"/>
        </w:rPr>
        <w:t>7</w:t>
      </w:r>
      <w:r>
        <w:t>.</w:t>
      </w:r>
      <w:r>
        <w:tab/>
        <w:t>Fees</w:t>
      </w:r>
      <w:bookmarkEnd w:id="7"/>
    </w:p>
    <w:p>
      <w:pPr>
        <w:pStyle w:val="Subsection"/>
        <w:spacing w:before="140"/>
        <w:rPr>
          <w:snapToGrid w:val="0"/>
        </w:rPr>
      </w:pPr>
      <w:r>
        <w:rPr>
          <w:snapToGrid w:val="0"/>
        </w:rPr>
        <w:tab/>
      </w:r>
      <w:r>
        <w:rPr>
          <w:snapToGrid w:val="0"/>
        </w:rPr>
        <w:tab/>
        <w:t>The fees specified in Schedule 4 are payable in respect of the matters specified in that Schedule.</w:t>
      </w:r>
    </w:p>
    <w:p>
      <w:pPr>
        <w:pStyle w:val="Heading5"/>
      </w:pPr>
      <w:bookmarkStart w:id="8" w:name="_Toc396402184"/>
      <w:r>
        <w:rPr>
          <w:rStyle w:val="CharSectno"/>
        </w:rPr>
        <w:t>8</w:t>
      </w:r>
      <w:r>
        <w:t>.</w:t>
      </w:r>
      <w:r>
        <w:tab/>
        <w:t>Payment</w:t>
      </w:r>
      <w:bookmarkEnd w:id="8"/>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in Gazette 30 Mar 2009 p. 1000.]</w:t>
      </w:r>
    </w:p>
    <w:p>
      <w:pPr>
        <w:pStyle w:val="Ednotesection"/>
      </w:pPr>
      <w:r>
        <w:t>[</w:t>
      </w:r>
      <w:r>
        <w:rPr>
          <w:b/>
        </w:rPr>
        <w:t>9.</w:t>
      </w:r>
      <w:r>
        <w:tab/>
        <w:t>Deleted in Gazette 21 Sep 2012 p. 4423.]</w:t>
      </w:r>
    </w:p>
    <w:p>
      <w:pPr>
        <w:pStyle w:val="Heading5"/>
      </w:pPr>
      <w:bookmarkStart w:id="9" w:name="_Toc396402185"/>
      <w:r>
        <w:rPr>
          <w:rStyle w:val="CharSectno"/>
        </w:rPr>
        <w:t>10</w:t>
      </w:r>
      <w:r>
        <w:t>.</w:t>
      </w:r>
      <w:r>
        <w:tab/>
        <w:t>Calculation of charges</w:t>
      </w:r>
      <w:bookmarkEnd w:id="9"/>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Ednotesubsection"/>
      </w:pPr>
      <w:r>
        <w:tab/>
        <w:t>[(2)</w:t>
      </w:r>
      <w:r>
        <w:tab/>
        <w:t>deleted]</w:t>
      </w:r>
    </w:p>
    <w:p>
      <w:pPr>
        <w:pStyle w:val="Subsection"/>
        <w:rPr>
          <w:snapToGrid w:val="0"/>
        </w:rPr>
      </w:pPr>
      <w:r>
        <w:rPr>
          <w:snapToGrid w:val="0"/>
        </w:rPr>
        <w:tab/>
        <w:t>(3)</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Footnotesection"/>
      </w:pPr>
      <w:r>
        <w:tab/>
        <w:t>[By-law 10 amended in Gazette 27 Jun 2014 p. 2320.]</w:t>
      </w:r>
    </w:p>
    <w:p>
      <w:pPr>
        <w:pStyle w:val="Heading5"/>
      </w:pPr>
      <w:bookmarkStart w:id="10" w:name="_Toc396402186"/>
      <w:r>
        <w:rPr>
          <w:rStyle w:val="CharSectno"/>
        </w:rPr>
        <w:t>11</w:t>
      </w:r>
      <w:r>
        <w:t>.</w:t>
      </w:r>
      <w:r>
        <w:tab/>
        <w:t>Changes in rates</w:t>
      </w:r>
      <w:bookmarkEnd w:id="10"/>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11" w:name="_Toc396402187"/>
      <w:r>
        <w:rPr>
          <w:rStyle w:val="CharSectno"/>
        </w:rPr>
        <w:t>12</w:t>
      </w:r>
      <w:r>
        <w:t>.</w:t>
      </w:r>
      <w:r>
        <w:tab/>
        <w:t>Prescribed rate of interest for s. 62(16) of the Act</w:t>
      </w:r>
      <w:bookmarkEnd w:id="11"/>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in Gazette 30 Mar 2009 p. 1000</w:t>
      </w:r>
      <w:r>
        <w:noBreakHyphen/>
        <w:t>1.]</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12" w:name="_Toc396400709"/>
      <w:bookmarkStart w:id="13" w:name="_Toc396400886"/>
      <w:bookmarkStart w:id="14" w:name="_Toc396400958"/>
      <w:bookmarkStart w:id="15" w:name="_Toc396401676"/>
      <w:bookmarkStart w:id="16" w:name="_Toc396402188"/>
      <w:bookmarkStart w:id="17" w:name="_Toc391911856"/>
      <w:r>
        <w:rPr>
          <w:rStyle w:val="CharSchNo"/>
        </w:rPr>
        <w:t>Schedule 1</w:t>
      </w:r>
      <w:r>
        <w:rPr>
          <w:rStyle w:val="CharSDivNo"/>
        </w:rPr>
        <w:t> </w:t>
      </w:r>
      <w:r>
        <w:t>—</w:t>
      </w:r>
      <w:r>
        <w:rPr>
          <w:rStyle w:val="CharSDivText"/>
        </w:rPr>
        <w:t> </w:t>
      </w:r>
      <w:r>
        <w:rPr>
          <w:rStyle w:val="CharSchText"/>
        </w:rPr>
        <w:t>Supply charges</w:t>
      </w:r>
      <w:bookmarkEnd w:id="12"/>
      <w:bookmarkEnd w:id="13"/>
      <w:bookmarkEnd w:id="14"/>
      <w:bookmarkEnd w:id="15"/>
      <w:bookmarkEnd w:id="16"/>
    </w:p>
    <w:p>
      <w:pPr>
        <w:pStyle w:val="yShoulderClause"/>
      </w:pPr>
      <w:r>
        <w:t>[bl. 3, 4(1) and 10(1)]</w:t>
      </w:r>
    </w:p>
    <w:p>
      <w:pPr>
        <w:pStyle w:val="yFootnoteheading"/>
      </w:pPr>
      <w:r>
        <w:tab/>
        <w:t>[Heading inserted in Gazette 22 Aug 2014 p. 3018.]</w:t>
      </w:r>
    </w:p>
    <w:p>
      <w:pPr>
        <w:pStyle w:val="yHeading5"/>
      </w:pPr>
      <w:bookmarkStart w:id="18" w:name="_Toc396402189"/>
      <w:r>
        <w:rPr>
          <w:rStyle w:val="CharSClsNo"/>
        </w:rPr>
        <w:t>1</w:t>
      </w:r>
      <w:r>
        <w:t>.</w:t>
      </w:r>
      <w:r>
        <w:tab/>
        <w:t>Terms used</w:t>
      </w:r>
      <w:bookmarkEnd w:id="18"/>
    </w:p>
    <w:p>
      <w:pPr>
        <w:pStyle w:val="ySubsection"/>
      </w:pPr>
      <w:r>
        <w:tab/>
      </w:r>
      <w:r>
        <w:tab/>
        <w:t xml:space="preserve">In this Schedule — </w:t>
      </w:r>
    </w:p>
    <w:p>
      <w:pPr>
        <w:pStyle w:val="yDefstart"/>
      </w:pPr>
      <w:r>
        <w:tab/>
      </w:r>
      <w:r>
        <w:rPr>
          <w:b/>
          <w:i/>
        </w:rPr>
        <w:t>North West interconnected system</w:t>
      </w:r>
      <w:r>
        <w:t xml:space="preserve"> has the meaning given in the </w:t>
      </w:r>
      <w:r>
        <w:rPr>
          <w:i/>
        </w:rPr>
        <w:t>Electricity Transmission and Distribution Systems (Access) Act 1994</w:t>
      </w:r>
      <w:r>
        <w:t xml:space="preserve"> section 3;</w:t>
      </w:r>
    </w:p>
    <w:p>
      <w:pPr>
        <w:pStyle w:val="yDefstart"/>
      </w:pPr>
      <w:r>
        <w:tab/>
      </w:r>
      <w:r>
        <w:rPr>
          <w:b/>
          <w:i/>
        </w:rPr>
        <w:t>regional non</w:t>
      </w:r>
      <w:r>
        <w:rPr>
          <w:b/>
          <w:i/>
        </w:rPr>
        <w:noBreakHyphen/>
        <w:t>integrated system</w:t>
      </w:r>
      <w:r>
        <w:t xml:space="preserve"> means any electrical system of or conducted by the corporation from which electricity is supplied to consumers, other than the South West interconnected system and the North West interconnected system;</w:t>
      </w:r>
    </w:p>
    <w:p>
      <w:pPr>
        <w:pStyle w:val="yDefstart"/>
      </w:pPr>
      <w:r>
        <w:tab/>
      </w:r>
      <w:r>
        <w:rPr>
          <w:b/>
          <w:i/>
        </w:rPr>
        <w:t>South West interconnected system</w:t>
      </w:r>
      <w:r>
        <w:t xml:space="preserve"> has the meaning given in the </w:t>
      </w:r>
      <w:r>
        <w:rPr>
          <w:i/>
        </w:rPr>
        <w:t>Electricity Industry Act 2004</w:t>
      </w:r>
      <w:r>
        <w:t xml:space="preserve"> section 3.</w:t>
      </w:r>
    </w:p>
    <w:p>
      <w:pPr>
        <w:pStyle w:val="yFootnotesection"/>
      </w:pPr>
      <w:r>
        <w:tab/>
        <w:t>[Clause 1 inserted in Gazette 22 Aug 2014 p. 3018.]</w:t>
      </w:r>
    </w:p>
    <w:p>
      <w:pPr>
        <w:pStyle w:val="yHeading5"/>
      </w:pPr>
      <w:bookmarkStart w:id="19" w:name="_Toc396402190"/>
      <w:r>
        <w:rPr>
          <w:rStyle w:val="CharSClsNo"/>
        </w:rPr>
        <w:t>2</w:t>
      </w:r>
      <w:r>
        <w:t>.</w:t>
      </w:r>
      <w:r>
        <w:tab/>
        <w:t>Tariff L2 (general supply — low/medium voltage tariff)</w:t>
      </w:r>
      <w:bookmarkEnd w:id="19"/>
    </w:p>
    <w:p>
      <w:pPr>
        <w:pStyle w:val="ySubsection"/>
      </w:pPr>
      <w:r>
        <w:tab/>
        <w:t>(1)</w:t>
      </w:r>
      <w:r>
        <w:tab/>
        <w:t>Tariff L2 is available for low/medium voltage supply.</w:t>
      </w:r>
    </w:p>
    <w:p>
      <w:pPr>
        <w:pStyle w:val="ySubsection"/>
      </w:pPr>
      <w:r>
        <w:tab/>
        <w:t>(2)</w:t>
      </w:r>
      <w:r>
        <w:tab/>
        <w:t xml:space="preserve">Tariff L2 comprises — </w:t>
      </w:r>
    </w:p>
    <w:p>
      <w:pPr>
        <w:pStyle w:val="yIndenta"/>
      </w:pPr>
      <w:r>
        <w:tab/>
        <w:t>(a)</w:t>
      </w:r>
      <w:r>
        <w:tab/>
        <w:t>a fixed charge at the rate of 42.8472 cents per day; and</w:t>
      </w:r>
    </w:p>
    <w:p>
      <w:pPr>
        <w:pStyle w:val="yIndenta"/>
      </w:pPr>
      <w:r>
        <w:tab/>
        <w:t>(b)</w:t>
      </w:r>
      <w:r>
        <w:tab/>
        <w:t xml:space="preserve">a charge for metered consumption at the rate of — </w:t>
      </w:r>
    </w:p>
    <w:p>
      <w:pPr>
        <w:pStyle w:val="yIndenti0"/>
      </w:pPr>
      <w:r>
        <w:tab/>
        <w:t>(i)</w:t>
      </w:r>
      <w:r>
        <w:tab/>
        <w:t>28.1603 cents per unit for the first 1 650 units per day; and</w:t>
      </w:r>
    </w:p>
    <w:p>
      <w:pPr>
        <w:pStyle w:val="yIndenti0"/>
      </w:pPr>
      <w:r>
        <w:tab/>
        <w:t>(ii)</w:t>
      </w:r>
      <w:r>
        <w:tab/>
        <w:t>25.4102 cents per unit for all units exceeding 1 650 units per day.</w:t>
      </w:r>
    </w:p>
    <w:p>
      <w:pPr>
        <w:pStyle w:val="ySubsection"/>
      </w:pPr>
      <w:r>
        <w:tab/>
        <w:t>(3)</w:t>
      </w:r>
      <w:r>
        <w:tab/>
        <w:t>Tariff L2 is available subject to the condition that the consumer satisfies the corporation that the amount of electricity supplied to the consumer’s premises will be less than 50 megawatt hours per annum.</w:t>
      </w:r>
    </w:p>
    <w:p>
      <w:pPr>
        <w:pStyle w:val="yFootnotesection"/>
      </w:pPr>
      <w:r>
        <w:tab/>
        <w:t>[Clause 2 inserted in Gazette 22 Aug 2014 p. 3018.]</w:t>
      </w:r>
    </w:p>
    <w:p>
      <w:pPr>
        <w:pStyle w:val="yHeading5"/>
      </w:pPr>
      <w:bookmarkStart w:id="20" w:name="_Toc396402191"/>
      <w:r>
        <w:rPr>
          <w:rStyle w:val="CharSClsNo"/>
        </w:rPr>
        <w:t>3</w:t>
      </w:r>
      <w:r>
        <w:t>.</w:t>
      </w:r>
      <w:r>
        <w:tab/>
        <w:t>Tariff L4 (general supply — low/medium voltage tariff)</w:t>
      </w:r>
      <w:bookmarkEnd w:id="20"/>
    </w:p>
    <w:p>
      <w:pPr>
        <w:pStyle w:val="ySubsection"/>
      </w:pPr>
      <w:r>
        <w:tab/>
        <w:t>(1)</w:t>
      </w:r>
      <w:r>
        <w:tab/>
        <w:t>Tariff L4 is available for low/medium voltage supply.</w:t>
      </w:r>
    </w:p>
    <w:p>
      <w:pPr>
        <w:pStyle w:val="ySubsection"/>
      </w:pPr>
      <w:r>
        <w:tab/>
        <w:t>(2)</w:t>
      </w:r>
      <w:r>
        <w:tab/>
        <w:t xml:space="preserve">Tariff L4 comprises — </w:t>
      </w:r>
    </w:p>
    <w:p>
      <w:pPr>
        <w:pStyle w:val="yIndenta"/>
      </w:pPr>
      <w:r>
        <w:tab/>
        <w:t>(a)</w:t>
      </w:r>
      <w:r>
        <w:tab/>
        <w:t>a fixed charge at the rate of 54.9960 cents per day; and</w:t>
      </w:r>
    </w:p>
    <w:p>
      <w:pPr>
        <w:pStyle w:val="yIndenta"/>
      </w:pPr>
      <w:r>
        <w:tab/>
        <w:t>(b)</w:t>
      </w:r>
      <w:r>
        <w:tab/>
        <w:t xml:space="preserve">a charge for metered consumption at the rate of — </w:t>
      </w:r>
    </w:p>
    <w:p>
      <w:pPr>
        <w:pStyle w:val="yIndenti0"/>
      </w:pPr>
      <w:r>
        <w:tab/>
        <w:t>(i)</w:t>
      </w:r>
      <w:r>
        <w:tab/>
        <w:t>36.1369 cents per unit for the first 1 650 units per day; and</w:t>
      </w:r>
    </w:p>
    <w:p>
      <w:pPr>
        <w:pStyle w:val="yIndenti0"/>
      </w:pPr>
      <w:r>
        <w:tab/>
        <w:t>(ii)</w:t>
      </w:r>
      <w:r>
        <w:tab/>
        <w:t>32.6175 cents per unit for all units exceeding 1 650 units per day.</w:t>
      </w:r>
    </w:p>
    <w:p>
      <w:pPr>
        <w:pStyle w:val="ySubsection"/>
      </w:pPr>
      <w:r>
        <w:tab/>
        <w:t>(3)</w:t>
      </w:r>
      <w:r>
        <w:tab/>
        <w:t>Tariff L4 is available subject to the condition that the consumer satisfies the corporation that the amount of electricity supplied to the consumer’s premises will be 50 megawatt hours or more per annum.</w:t>
      </w:r>
    </w:p>
    <w:p>
      <w:pPr>
        <w:pStyle w:val="yFootnotesection"/>
      </w:pPr>
      <w:r>
        <w:tab/>
        <w:t>[Clause 3 inserted in Gazette 22 Aug 2014 p. 3018</w:t>
      </w:r>
      <w:r>
        <w:noBreakHyphen/>
        <w:t>19.]</w:t>
      </w:r>
    </w:p>
    <w:p>
      <w:pPr>
        <w:pStyle w:val="yHeading5"/>
      </w:pPr>
      <w:bookmarkStart w:id="21" w:name="_Toc396402192"/>
      <w:r>
        <w:rPr>
          <w:rStyle w:val="CharSClsNo"/>
        </w:rPr>
        <w:t>4</w:t>
      </w:r>
      <w:r>
        <w:t>.</w:t>
      </w:r>
      <w:r>
        <w:tab/>
        <w:t>Tariff M2 (general supply — high voltage tariff)</w:t>
      </w:r>
      <w:bookmarkEnd w:id="21"/>
    </w:p>
    <w:p>
      <w:pPr>
        <w:pStyle w:val="ySubsection"/>
      </w:pPr>
      <w:r>
        <w:tab/>
        <w:t>(1)</w:t>
      </w:r>
      <w:r>
        <w:tab/>
        <w:t>Tariff M2 is available for consumers supplied at 6.6 kV, 11 kV, 22 kV or 33 kV or such higher voltage as the corporation may approve.</w:t>
      </w:r>
    </w:p>
    <w:p>
      <w:pPr>
        <w:pStyle w:val="ySubsection"/>
      </w:pPr>
      <w:r>
        <w:tab/>
        <w:t>(2)</w:t>
      </w:r>
      <w:r>
        <w:tab/>
        <w:t xml:space="preserve">Tariff M2 comprises — </w:t>
      </w:r>
    </w:p>
    <w:p>
      <w:pPr>
        <w:pStyle w:val="yIndenta"/>
      </w:pPr>
      <w:r>
        <w:tab/>
        <w:t>(a)</w:t>
      </w:r>
      <w:r>
        <w:tab/>
        <w:t>a fixed charge at the rate of 61.7368 cents per day; and</w:t>
      </w:r>
    </w:p>
    <w:p>
      <w:pPr>
        <w:pStyle w:val="yIndenta"/>
      </w:pPr>
      <w:r>
        <w:tab/>
        <w:t>(b)</w:t>
      </w:r>
      <w:r>
        <w:tab/>
        <w:t xml:space="preserve">a charge for metered consumption at the rate of — </w:t>
      </w:r>
    </w:p>
    <w:p>
      <w:pPr>
        <w:pStyle w:val="yIndenti0"/>
      </w:pPr>
      <w:r>
        <w:tab/>
        <w:t>(i)</w:t>
      </w:r>
      <w:r>
        <w:tab/>
        <w:t>39.1929 cents per unit for the first 1 650 units per day; and</w:t>
      </w:r>
    </w:p>
    <w:p>
      <w:pPr>
        <w:pStyle w:val="yIndenti0"/>
      </w:pPr>
      <w:r>
        <w:tab/>
        <w:t>(ii)</w:t>
      </w:r>
      <w:r>
        <w:tab/>
        <w:t>35.1999 cents per unit for all units exceeding 1 650 units per day.</w:t>
      </w:r>
    </w:p>
    <w:p>
      <w:pPr>
        <w:pStyle w:val="yFootnotesection"/>
      </w:pPr>
      <w:r>
        <w:tab/>
        <w:t>[Clause 4 inserted in Gazette 22 Aug 2014 p. 3019.]</w:t>
      </w:r>
    </w:p>
    <w:p>
      <w:pPr>
        <w:pStyle w:val="yHeading5"/>
      </w:pPr>
      <w:bookmarkStart w:id="22" w:name="_Toc396402193"/>
      <w:r>
        <w:rPr>
          <w:rStyle w:val="CharSClsNo"/>
        </w:rPr>
        <w:t>5</w:t>
      </w:r>
      <w:r>
        <w:t>.</w:t>
      </w:r>
      <w:r>
        <w:tab/>
        <w:t>Tariff N2 (regional non</w:t>
      </w:r>
      <w:r>
        <w:noBreakHyphen/>
        <w:t>integrated systems — cost of supply tariff)</w:t>
      </w:r>
      <w:bookmarkEnd w:id="22"/>
    </w:p>
    <w:p>
      <w:pPr>
        <w:pStyle w:val="ySubsection"/>
      </w:pPr>
      <w:r>
        <w:tab/>
        <w:t>(1)</w:t>
      </w:r>
      <w:r>
        <w:tab/>
        <w:t>Tariff N2 applies to electricity supplied from a regional non</w:t>
      </w:r>
      <w:r>
        <w:noBreakHyphen/>
        <w:t xml:space="preserve">integrated system to Commonwealth, State or foreign government departments, instrumentalities, agencies or trading concerns except for local governments, regional local governments or other bodies corporate not prohibited by the </w:t>
      </w:r>
      <w:r>
        <w:rPr>
          <w:i/>
        </w:rPr>
        <w:t>Local Government Act 1995</w:t>
      </w:r>
      <w:r>
        <w:t xml:space="preserve"> section 3.60.</w:t>
      </w:r>
    </w:p>
    <w:p>
      <w:pPr>
        <w:pStyle w:val="ySubsection"/>
      </w:pPr>
      <w:r>
        <w:tab/>
        <w:t>(2)</w:t>
      </w:r>
      <w:r>
        <w:tab/>
        <w:t xml:space="preserve">Tariff N2 comprises — </w:t>
      </w:r>
    </w:p>
    <w:p>
      <w:pPr>
        <w:pStyle w:val="yIndenta"/>
      </w:pPr>
      <w:r>
        <w:tab/>
        <w:t>(a)</w:t>
      </w:r>
      <w:r>
        <w:tab/>
        <w:t>a fixed charge at the rate of 626.0430 cents per day; and</w:t>
      </w:r>
    </w:p>
    <w:p>
      <w:pPr>
        <w:pStyle w:val="yIndenta"/>
      </w:pPr>
      <w:r>
        <w:tab/>
        <w:t>(b)</w:t>
      </w:r>
      <w:r>
        <w:tab/>
        <w:t>a charge for metered consumption at the rate of 57.9480 cents per unit.</w:t>
      </w:r>
    </w:p>
    <w:p>
      <w:pPr>
        <w:pStyle w:val="yFootnotesection"/>
      </w:pPr>
      <w:r>
        <w:tab/>
        <w:t>[Clause 5 inserted in Gazette 22 Aug 2014 p. 3019.]</w:t>
      </w:r>
    </w:p>
    <w:p>
      <w:pPr>
        <w:pStyle w:val="yHeading5"/>
      </w:pPr>
      <w:bookmarkStart w:id="23" w:name="_Toc396402194"/>
      <w:r>
        <w:rPr>
          <w:rStyle w:val="CharSClsNo"/>
        </w:rPr>
        <w:t>6</w:t>
      </w:r>
      <w:r>
        <w:t>.</w:t>
      </w:r>
      <w:r>
        <w:tab/>
        <w:t>Tariff P2 (</w:t>
      </w:r>
      <w:smartTag w:uri="urn:schemas-microsoft-com:office:smarttags" w:element="place">
        <w:smartTag w:uri="urn:schemas-microsoft-com:office:smarttags" w:element="State">
          <w:r>
            <w:t>North West</w:t>
          </w:r>
        </w:smartTag>
      </w:smartTag>
      <w:r>
        <w:t xml:space="preserve"> interconnected system — cost of supply tariff)</w:t>
      </w:r>
      <w:bookmarkEnd w:id="23"/>
    </w:p>
    <w:p>
      <w:pPr>
        <w:pStyle w:val="ySubsection"/>
      </w:pPr>
      <w:r>
        <w:tab/>
        <w:t>(1)</w:t>
      </w:r>
      <w:r>
        <w:tab/>
        <w:t xml:space="preserve">Tariff P2 applies to electricity supplied from the </w:t>
      </w:r>
      <w:smartTag w:uri="urn:schemas-microsoft-com:office:smarttags" w:element="place">
        <w:smartTag w:uri="urn:schemas-microsoft-com:office:smarttags" w:element="State">
          <w:r>
            <w:t>North West</w:t>
          </w:r>
        </w:smartTag>
      </w:smartTag>
      <w:r>
        <w:t xml:space="preserve"> interconnected system to Commonwealth, State or foreign government departments, instrumentalities, agencies or trading concerns except for local governments, regional local governments or other bodies corporate not prohibited by the </w:t>
      </w:r>
      <w:r>
        <w:rPr>
          <w:i/>
        </w:rPr>
        <w:t>Local Government Act 1995</w:t>
      </w:r>
      <w:r>
        <w:t xml:space="preserve"> section 3.60.</w:t>
      </w:r>
    </w:p>
    <w:p>
      <w:pPr>
        <w:pStyle w:val="ySubsection"/>
      </w:pPr>
      <w:r>
        <w:tab/>
        <w:t>(2)</w:t>
      </w:r>
      <w:r>
        <w:tab/>
        <w:t xml:space="preserve">Tariff P2 comprises — </w:t>
      </w:r>
    </w:p>
    <w:p>
      <w:pPr>
        <w:pStyle w:val="yIndenta"/>
      </w:pPr>
      <w:r>
        <w:tab/>
        <w:t>(a)</w:t>
      </w:r>
      <w:r>
        <w:tab/>
        <w:t>a fixed charge at the rate of 626.0430 cents per day; and</w:t>
      </w:r>
    </w:p>
    <w:p>
      <w:pPr>
        <w:pStyle w:val="yIndenta"/>
      </w:pPr>
      <w:r>
        <w:tab/>
        <w:t>(b)</w:t>
      </w:r>
      <w:r>
        <w:tab/>
        <w:t>a charge for metered consumption at the rate of 42.9550 cents per unit.</w:t>
      </w:r>
    </w:p>
    <w:p>
      <w:pPr>
        <w:pStyle w:val="yFootnotesection"/>
      </w:pPr>
      <w:r>
        <w:tab/>
        <w:t>[Clause 6 inserted in Gazette 22 Aug 2014 p. 3019.]</w:t>
      </w:r>
    </w:p>
    <w:p>
      <w:pPr>
        <w:pStyle w:val="yHeading5"/>
      </w:pPr>
      <w:bookmarkStart w:id="24" w:name="_Toc396402195"/>
      <w:r>
        <w:rPr>
          <w:rStyle w:val="CharSClsNo"/>
        </w:rPr>
        <w:t>7</w:t>
      </w:r>
      <w:r>
        <w:t>.</w:t>
      </w:r>
      <w:r>
        <w:tab/>
        <w:t>Tariff A2 (residential tariff)</w:t>
      </w:r>
      <w:bookmarkEnd w:id="24"/>
    </w:p>
    <w:p>
      <w:pPr>
        <w:pStyle w:val="ySubsection"/>
      </w:pPr>
      <w:r>
        <w:tab/>
        <w:t>(1)</w:t>
      </w:r>
      <w:r>
        <w:tab/>
        <w:t>Tariff A2 is available for residential use only.</w:t>
      </w:r>
    </w:p>
    <w:p>
      <w:pPr>
        <w:pStyle w:val="ySubsection"/>
      </w:pPr>
      <w:r>
        <w:tab/>
        <w:t>(2)</w:t>
      </w:r>
      <w:r>
        <w:tab/>
        <w:t xml:space="preserve">Tariff A2 comprises — </w:t>
      </w:r>
    </w:p>
    <w:p>
      <w:pPr>
        <w:pStyle w:val="yIndenta"/>
      </w:pPr>
      <w:r>
        <w:tab/>
        <w:t>(a)</w:t>
      </w:r>
      <w:r>
        <w:tab/>
        <w:t xml:space="preserve">a fixed charge at the rate of 45.1516 cents per day or, for multiple dwellings supplied through one metered supply point, a fixed charge at the rate of — </w:t>
      </w:r>
    </w:p>
    <w:p>
      <w:pPr>
        <w:pStyle w:val="yIndenti0"/>
      </w:pPr>
      <w:r>
        <w:tab/>
        <w:t>(i)</w:t>
      </w:r>
      <w:r>
        <w:tab/>
        <w:t>45.1516 cents per day for the first dwelling; and</w:t>
      </w:r>
    </w:p>
    <w:p>
      <w:pPr>
        <w:pStyle w:val="yIndenti0"/>
      </w:pPr>
      <w:r>
        <w:tab/>
        <w:t>(ii)</w:t>
      </w:r>
      <w:r>
        <w:tab/>
        <w:t>35.0581 cents per day for each additional dwelling;</w:t>
      </w:r>
    </w:p>
    <w:p>
      <w:pPr>
        <w:pStyle w:val="yIndenta"/>
      </w:pPr>
      <w:r>
        <w:tab/>
      </w:r>
      <w:r>
        <w:tab/>
        <w:t>and</w:t>
      </w:r>
    </w:p>
    <w:p>
      <w:pPr>
        <w:pStyle w:val="yIndenta"/>
      </w:pPr>
      <w:r>
        <w:tab/>
        <w:t>(b)</w:t>
      </w:r>
      <w:r>
        <w:tab/>
        <w:t>a charge for metered consumption at the rate of 24.5961 cents per unit.</w:t>
      </w:r>
    </w:p>
    <w:p>
      <w:pPr>
        <w:pStyle w:val="yFootnotesection"/>
      </w:pPr>
      <w:r>
        <w:tab/>
        <w:t>[Clause 7 inserted in Gazette 22 Aug 2014 p. 3019</w:t>
      </w:r>
      <w:r>
        <w:noBreakHyphen/>
        <w:t>20.]</w:t>
      </w:r>
    </w:p>
    <w:p>
      <w:pPr>
        <w:pStyle w:val="yHeading5"/>
      </w:pPr>
      <w:bookmarkStart w:id="25" w:name="_Toc396402196"/>
      <w:r>
        <w:rPr>
          <w:rStyle w:val="CharSClsNo"/>
        </w:rPr>
        <w:t>8</w:t>
      </w:r>
      <w:r>
        <w:t>.</w:t>
      </w:r>
      <w:r>
        <w:tab/>
        <w:t>Tariff C2 (special community service tariff)</w:t>
      </w:r>
      <w:bookmarkEnd w:id="25"/>
    </w:p>
    <w:p>
      <w:pPr>
        <w:pStyle w:val="ySubsection"/>
      </w:pPr>
      <w:r>
        <w:tab/>
        <w:t>(1)</w:t>
      </w:r>
      <w:r>
        <w:tab/>
        <w:t>Tariff C2 is available for small voluntary and charitable organisations, subject to the conditions listed in subclause (3).</w:t>
      </w:r>
    </w:p>
    <w:p>
      <w:pPr>
        <w:pStyle w:val="ySubsection"/>
      </w:pPr>
      <w:r>
        <w:tab/>
        <w:t>(2)</w:t>
      </w:r>
      <w:r>
        <w:tab/>
        <w:t xml:space="preserve">Tariff C2 comprises — </w:t>
      </w:r>
    </w:p>
    <w:p>
      <w:pPr>
        <w:pStyle w:val="yIndenta"/>
      </w:pPr>
      <w:r>
        <w:tab/>
        <w:t>(a)</w:t>
      </w:r>
      <w:r>
        <w:tab/>
        <w:t>a fixed charge at the rate of 40.7568 cents per day; and</w:t>
      </w:r>
    </w:p>
    <w:p>
      <w:pPr>
        <w:pStyle w:val="yIndenta"/>
      </w:pPr>
      <w:r>
        <w:tab/>
        <w:t>(b)</w:t>
      </w:r>
      <w:r>
        <w:tab/>
        <w:t xml:space="preserve">a charge for metered consumption at the rate of — </w:t>
      </w:r>
    </w:p>
    <w:p>
      <w:pPr>
        <w:pStyle w:val="yIndenti0"/>
      </w:pPr>
      <w:r>
        <w:tab/>
        <w:t>(i)</w:t>
      </w:r>
      <w:r>
        <w:tab/>
        <w:t>22.2159 cents per unit for the first 20 units per day; and</w:t>
      </w:r>
    </w:p>
    <w:p>
      <w:pPr>
        <w:pStyle w:val="yIndenti0"/>
      </w:pPr>
      <w:r>
        <w:tab/>
        <w:t>(ii)</w:t>
      </w:r>
      <w:r>
        <w:tab/>
        <w:t>27.8344 cents for the next 1 630 units per day; and</w:t>
      </w:r>
    </w:p>
    <w:p>
      <w:pPr>
        <w:pStyle w:val="yIndenti0"/>
      </w:pPr>
      <w:r>
        <w:tab/>
        <w:t>(iii)</w:t>
      </w:r>
      <w:r>
        <w:tab/>
        <w:t>25.1162 cents per unit for all units exceeding 1 650 units per day.</w:t>
      </w:r>
    </w:p>
    <w:p>
      <w:pPr>
        <w:pStyle w:val="ySubsection"/>
      </w:pPr>
      <w:r>
        <w:tab/>
        <w:t>(3)</w:t>
      </w:r>
      <w:r>
        <w:tab/>
        <w:t xml:space="preserve">Tariff C2 is available subject to the following conditions — </w:t>
      </w:r>
    </w:p>
    <w:p>
      <w:pPr>
        <w:pStyle w:val="yIndenta"/>
      </w:pPr>
      <w:r>
        <w:tab/>
        <w:t>(a)</w:t>
      </w:r>
      <w:r>
        <w:tab/>
        <w:t>the consumer must be a direct customer of the corporation;</w:t>
      </w:r>
    </w:p>
    <w:p>
      <w:pPr>
        <w:pStyle w:val="yIndenta"/>
      </w:pPr>
      <w:r>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rPr>
        <w:t>Income Tax Assessment Act 1997</w:t>
      </w:r>
      <w:r>
        <w:t xml:space="preserve"> (Commonwealth)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organisation mentioned in paragraph (e).</w:t>
      </w:r>
    </w:p>
    <w:p>
      <w:pPr>
        <w:pStyle w:val="ySubsection"/>
      </w:pPr>
      <w:r>
        <w:tab/>
        <w:t>(4)</w:t>
      </w:r>
      <w:r>
        <w:tab/>
        <w:t>A consumer seeking supply under Tariff C2 must make an application to the corporation in writing accompanied by evidence which clearly demonstrates that the consumer meets all the conditions listed in subclause (3).</w:t>
      </w:r>
    </w:p>
    <w:p>
      <w:pPr>
        <w:pStyle w:val="yFootnotesection"/>
      </w:pPr>
      <w:r>
        <w:tab/>
        <w:t>[Clause 8 inserted in Gazette 22 Aug 2014 p. 3020.]</w:t>
      </w:r>
    </w:p>
    <w:p>
      <w:pPr>
        <w:pStyle w:val="yHeading5"/>
      </w:pPr>
      <w:bookmarkStart w:id="26" w:name="_Toc396402197"/>
      <w:r>
        <w:rPr>
          <w:rStyle w:val="CharSClsNo"/>
        </w:rPr>
        <w:t>9</w:t>
      </w:r>
      <w:r>
        <w:t>.</w:t>
      </w:r>
      <w:r>
        <w:tab/>
        <w:t>Tariff D2 (special tariff for certain premises)</w:t>
      </w:r>
      <w:bookmarkEnd w:id="26"/>
    </w:p>
    <w:p>
      <w:pPr>
        <w:pStyle w:val="ySubsection"/>
      </w:pPr>
      <w:r>
        <w:tab/>
        <w:t>(1)</w:t>
      </w:r>
      <w:r>
        <w:tab/>
        <w:t>Tariff D2 is available for premises wholly used by a charitable or benevolent organisation for providing residential accommodation other than for commercial gain, being premises for which Tariff A2 is not available.</w:t>
      </w:r>
    </w:p>
    <w:p>
      <w:pPr>
        <w:pStyle w:val="ySubsection"/>
      </w:pPr>
      <w:r>
        <w:tab/>
        <w:t>(2)</w:t>
      </w:r>
      <w:r>
        <w:tab/>
        <w:t xml:space="preserve">Tariff D2 comprises — </w:t>
      </w:r>
    </w:p>
    <w:p>
      <w:pPr>
        <w:pStyle w:val="yIndenta"/>
      </w:pPr>
      <w:r>
        <w:tab/>
        <w:t>(a)</w:t>
      </w:r>
      <w:r>
        <w:tab/>
        <w:t>a fixed charge at the rate of 37.9691 cents per day; and</w:t>
      </w:r>
    </w:p>
    <w:p>
      <w:pPr>
        <w:pStyle w:val="yIndenta"/>
      </w:pPr>
      <w:r>
        <w:tab/>
        <w:t>(b)</w:t>
      </w:r>
      <w:r>
        <w:tab/>
        <w:t>if under subclause (3) there is deemed to be more than one equivalent domestic residence in the premises, a charge of 29.4813 cents per day for each equivalent domestic residence except the first that is deemed to be in the premises; and</w:t>
      </w:r>
    </w:p>
    <w:p>
      <w:pPr>
        <w:pStyle w:val="yIndenta"/>
      </w:pPr>
      <w:r>
        <w:tab/>
        <w:t>(c)</w:t>
      </w:r>
      <w:r>
        <w:tab/>
        <w:t>a charge for metered consumption at the rate of 20.6963 cents per unit.</w:t>
      </w:r>
    </w:p>
    <w:p>
      <w:pPr>
        <w:pStyle w:val="ySubsection"/>
      </w:pPr>
      <w:r>
        <w:tab/>
        <w:t>(3)</w:t>
      </w:r>
      <w: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r>
        <w:tab/>
        <w:t>[Clause 9 inserted in Gazette 22 Aug 2014 p. 3021.]</w:t>
      </w:r>
    </w:p>
    <w:p>
      <w:pPr>
        <w:pStyle w:val="yHeading5"/>
      </w:pPr>
      <w:bookmarkStart w:id="27" w:name="_Toc396402198"/>
      <w:r>
        <w:rPr>
          <w:rStyle w:val="CharSClsNo"/>
        </w:rPr>
        <w:t>10</w:t>
      </w:r>
      <w:r>
        <w:t>.</w:t>
      </w:r>
      <w:r>
        <w:tab/>
        <w:t xml:space="preserve">Tariff </w:t>
      </w:r>
      <w:smartTag w:uri="urn:schemas-microsoft-com:office:smarttags" w:element="place">
        <w:r>
          <w:t>K2</w:t>
        </w:r>
      </w:smartTag>
      <w:r>
        <w:t xml:space="preserve"> (general supply with residential tariff)</w:t>
      </w:r>
      <w:bookmarkEnd w:id="27"/>
    </w:p>
    <w:p>
      <w:pPr>
        <w:pStyle w:val="ySubsection"/>
      </w:pPr>
      <w:r>
        <w:tab/>
        <w:t>(1)</w:t>
      </w:r>
      <w:r>
        <w:tab/>
        <w:t xml:space="preserve">Tariff </w:t>
      </w:r>
      <w:smartTag w:uri="urn:schemas-microsoft-com:office:smarttags" w:element="place">
        <w:r>
          <w:t>K2</w:t>
        </w:r>
      </w:smartTag>
      <w:r>
        <w:t xml:space="preserve"> is available for premises where the circuit wiring is not separate and the electricity is used partly for general purposes and partly for residential purposes.</w:t>
      </w:r>
    </w:p>
    <w:p>
      <w:pPr>
        <w:pStyle w:val="ySubsection"/>
      </w:pPr>
      <w:r>
        <w:tab/>
        <w:t>(2)</w:t>
      </w:r>
      <w:r>
        <w:tab/>
        <w:t xml:space="preserve">Tariff </w:t>
      </w:r>
      <w:smartTag w:uri="urn:schemas-microsoft-com:office:smarttags" w:element="place">
        <w:r>
          <w:t>K2</w:t>
        </w:r>
      </w:smartTag>
      <w:r>
        <w:t xml:space="preserve"> comprises — </w:t>
      </w:r>
    </w:p>
    <w:p>
      <w:pPr>
        <w:pStyle w:val="yIndenta"/>
      </w:pPr>
      <w:r>
        <w:tab/>
        <w:t>(a)</w:t>
      </w:r>
      <w:r>
        <w:tab/>
        <w:t>a fixed charge at the rate of 45.1516 cents per day; and</w:t>
      </w:r>
    </w:p>
    <w:p>
      <w:pPr>
        <w:pStyle w:val="yIndenta"/>
      </w:pPr>
      <w:r>
        <w:tab/>
        <w:t>(b)</w:t>
      </w:r>
      <w:r>
        <w:tab/>
        <w:t xml:space="preserve">a charge for metered consumption at the rate of — </w:t>
      </w:r>
    </w:p>
    <w:p>
      <w:pPr>
        <w:pStyle w:val="yIndenti0"/>
      </w:pPr>
      <w:r>
        <w:tab/>
        <w:t>(i)</w:t>
      </w:r>
      <w:r>
        <w:tab/>
        <w:t>24.5961 cents per unit for the first 20 units per day; and</w:t>
      </w:r>
    </w:p>
    <w:p>
      <w:pPr>
        <w:pStyle w:val="yIndenti0"/>
      </w:pPr>
      <w:r>
        <w:tab/>
        <w:t>(ii)</w:t>
      </w:r>
      <w:r>
        <w:tab/>
        <w:t>28.1603 cents per unit for the next 1 630 units per day; and</w:t>
      </w:r>
    </w:p>
    <w:p>
      <w:pPr>
        <w:pStyle w:val="yIndenti0"/>
      </w:pPr>
      <w:r>
        <w:tab/>
        <w:t>(iii)</w:t>
      </w:r>
      <w:r>
        <w:tab/>
        <w:t>25.4102 cents per unit for all units exceeding 1 650 units per day.</w:t>
      </w:r>
    </w:p>
    <w:p>
      <w:pPr>
        <w:pStyle w:val="yFootnotesection"/>
      </w:pPr>
      <w:r>
        <w:tab/>
        <w:t>[Clause 10 inserted in Gazette 22 Aug 2014 p. 3021.]</w:t>
      </w:r>
    </w:p>
    <w:bookmarkEnd w:id="17"/>
    <w:p>
      <w:pPr>
        <w:pStyle w:val="yEdnoteschedule"/>
      </w:pPr>
      <w:r>
        <w:t>[Schedule 2A deleted in Gazette 22 Aug 2014 p. 3021.]</w:t>
      </w:r>
    </w:p>
    <w:p>
      <w:pPr>
        <w:sectPr>
          <w:headerReference w:type="even" r:id="rId26"/>
          <w:headerReference w:type="default" r:id="rId27"/>
          <w:endnotePr>
            <w:numFmt w:val="decimal"/>
          </w:endnotePr>
          <w:pgSz w:w="11906" w:h="16838" w:code="9"/>
          <w:pgMar w:top="2381" w:right="2410" w:bottom="3544" w:left="2410" w:header="720" w:footer="3380" w:gutter="0"/>
          <w:cols w:space="720"/>
          <w:docGrid w:linePitch="326"/>
        </w:sectPr>
      </w:pPr>
    </w:p>
    <w:p>
      <w:pPr>
        <w:pStyle w:val="yScheduleHeading"/>
      </w:pPr>
      <w:bookmarkStart w:id="28" w:name="_Toc391911870"/>
      <w:bookmarkStart w:id="29" w:name="_Toc396400720"/>
      <w:bookmarkStart w:id="30" w:name="_Toc396400897"/>
      <w:bookmarkStart w:id="31" w:name="_Toc396400969"/>
      <w:bookmarkStart w:id="32" w:name="_Toc396401687"/>
      <w:bookmarkStart w:id="33" w:name="_Toc396402199"/>
      <w:r>
        <w:rPr>
          <w:rStyle w:val="CharSchNo"/>
        </w:rPr>
        <w:t>Schedule 2</w:t>
      </w:r>
      <w:r>
        <w:t> — </w:t>
      </w:r>
      <w:r>
        <w:rPr>
          <w:rStyle w:val="CharSchText"/>
        </w:rPr>
        <w:t>Unmetered supply</w:t>
      </w:r>
      <w:bookmarkEnd w:id="28"/>
      <w:bookmarkEnd w:id="29"/>
      <w:bookmarkEnd w:id="30"/>
      <w:bookmarkEnd w:id="31"/>
      <w:bookmarkEnd w:id="32"/>
      <w:bookmarkEnd w:id="33"/>
    </w:p>
    <w:p>
      <w:pPr>
        <w:pStyle w:val="yShoulderClause"/>
      </w:pPr>
      <w:r>
        <w:rPr>
          <w:szCs w:val="22"/>
        </w:rPr>
        <w:t>[bl. 4(2) and (3)]</w:t>
      </w:r>
    </w:p>
    <w:p>
      <w:pPr>
        <w:pStyle w:val="yFootnoteheading"/>
        <w:spacing w:after="120"/>
      </w:pPr>
      <w:r>
        <w:tab/>
        <w:t>[Heading inserted in Gazette 30 Aug 2013 p. 4095-6.]</w:t>
      </w:r>
    </w:p>
    <w:p>
      <w:pPr>
        <w:pStyle w:val="yHeading3"/>
      </w:pPr>
      <w:bookmarkStart w:id="34" w:name="_Toc396400721"/>
      <w:bookmarkStart w:id="35" w:name="_Toc396400898"/>
      <w:bookmarkStart w:id="36" w:name="_Toc396400970"/>
      <w:bookmarkStart w:id="37" w:name="_Toc396401688"/>
      <w:bookmarkStart w:id="38" w:name="_Toc396402200"/>
      <w:bookmarkStart w:id="39" w:name="_Toc391911871"/>
      <w:r>
        <w:rPr>
          <w:rStyle w:val="CharSDivNo"/>
        </w:rPr>
        <w:t>Division 1</w:t>
      </w:r>
      <w:r>
        <w:t> — </w:t>
      </w:r>
      <w:r>
        <w:rPr>
          <w:rStyle w:val="CharSDivText"/>
        </w:rPr>
        <w:t>Street lighting</w:t>
      </w:r>
      <w:bookmarkEnd w:id="34"/>
      <w:bookmarkEnd w:id="35"/>
      <w:bookmarkEnd w:id="36"/>
      <w:bookmarkEnd w:id="37"/>
      <w:bookmarkEnd w:id="38"/>
    </w:p>
    <w:p>
      <w:pPr>
        <w:pStyle w:val="yFootnoteheading"/>
        <w:spacing w:after="120"/>
      </w:pPr>
      <w:r>
        <w:tab/>
        <w:t>[Heading inserted in Gazette 22 Aug 2014 p. 3021.]</w:t>
      </w:r>
    </w:p>
    <w:tbl>
      <w:tblPr>
        <w:tblW w:w="6946" w:type="dxa"/>
        <w:tblInd w:w="212" w:type="dxa"/>
        <w:tblLayout w:type="fixed"/>
        <w:tblCellMar>
          <w:left w:w="70" w:type="dxa"/>
          <w:right w:w="70" w:type="dxa"/>
        </w:tblCellMar>
        <w:tblLook w:val="0000" w:firstRow="0" w:lastRow="0" w:firstColumn="0" w:lastColumn="0" w:noHBand="0" w:noVBand="0"/>
      </w:tblPr>
      <w:tblGrid>
        <w:gridCol w:w="567"/>
        <w:gridCol w:w="851"/>
        <w:gridCol w:w="992"/>
        <w:gridCol w:w="1512"/>
        <w:gridCol w:w="1512"/>
        <w:gridCol w:w="1512"/>
      </w:tblGrid>
      <w:tr>
        <w:trPr>
          <w:cantSplit/>
          <w:tblHeader/>
        </w:trPr>
        <w:tc>
          <w:tcPr>
            <w:tcW w:w="567" w:type="dxa"/>
            <w:tcBorders>
              <w:top w:val="single" w:sz="4" w:space="0" w:color="auto"/>
              <w:bottom w:val="single" w:sz="4" w:space="0" w:color="auto"/>
            </w:tcBorders>
          </w:tcPr>
          <w:p>
            <w:pPr>
              <w:pStyle w:val="yTableNAm"/>
            </w:pPr>
            <w:r>
              <w:rPr>
                <w:b/>
                <w:bCs/>
                <w:sz w:val="16"/>
                <w:szCs w:val="16"/>
              </w:rPr>
              <w:t>Item</w:t>
            </w:r>
          </w:p>
        </w:tc>
        <w:tc>
          <w:tcPr>
            <w:tcW w:w="851" w:type="dxa"/>
            <w:tcBorders>
              <w:top w:val="single" w:sz="4" w:space="0" w:color="auto"/>
              <w:bottom w:val="single" w:sz="4" w:space="0" w:color="auto"/>
            </w:tcBorders>
          </w:tcPr>
          <w:p>
            <w:pPr>
              <w:pStyle w:val="yTableNAm"/>
            </w:pPr>
            <w:r>
              <w:rPr>
                <w:b/>
                <w:bCs/>
                <w:sz w:val="16"/>
                <w:szCs w:val="16"/>
              </w:rPr>
              <w:t>Wattage</w:t>
            </w:r>
          </w:p>
        </w:tc>
        <w:tc>
          <w:tcPr>
            <w:tcW w:w="992" w:type="dxa"/>
            <w:tcBorders>
              <w:top w:val="single" w:sz="4" w:space="0" w:color="auto"/>
              <w:bottom w:val="single" w:sz="4" w:space="0" w:color="auto"/>
            </w:tcBorders>
          </w:tcPr>
          <w:p>
            <w:pPr>
              <w:pStyle w:val="yTableNAm"/>
            </w:pPr>
            <w:r>
              <w:rPr>
                <w:b/>
                <w:bCs/>
                <w:sz w:val="16"/>
                <w:szCs w:val="16"/>
              </w:rPr>
              <w:t>Type</w:t>
            </w:r>
          </w:p>
        </w:tc>
        <w:tc>
          <w:tcPr>
            <w:tcW w:w="1512" w:type="dxa"/>
            <w:tcBorders>
              <w:top w:val="single" w:sz="4" w:space="0" w:color="auto"/>
              <w:bottom w:val="single" w:sz="4" w:space="0" w:color="auto"/>
            </w:tcBorders>
          </w:tcPr>
          <w:p>
            <w:pPr>
              <w:pStyle w:val="yTableNAm"/>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tcPr>
          <w:p>
            <w:pPr>
              <w:pStyle w:val="yTableNAm"/>
            </w:pPr>
            <w:r>
              <w:rPr>
                <w:b/>
                <w:bCs/>
                <w:spacing w:val="-8"/>
                <w:sz w:val="16"/>
                <w:szCs w:val="16"/>
              </w:rPr>
              <w:t>1.15 a.m. Switch</w:t>
            </w:r>
            <w:r>
              <w:rPr>
                <w:b/>
                <w:bCs/>
                <w:spacing w:val="-8"/>
                <w:sz w:val="16"/>
                <w:szCs w:val="16"/>
              </w:rPr>
              <w:noBreakHyphen/>
              <w:t>off Cents per day</w:t>
            </w:r>
          </w:p>
        </w:tc>
        <w:tc>
          <w:tcPr>
            <w:tcW w:w="1512" w:type="dxa"/>
            <w:tcBorders>
              <w:top w:val="single" w:sz="4" w:space="0" w:color="auto"/>
              <w:bottom w:val="single" w:sz="4" w:space="0" w:color="auto"/>
            </w:tcBorders>
          </w:tcPr>
          <w:p>
            <w:pPr>
              <w:pStyle w:val="yTableNAm"/>
            </w:pPr>
            <w:r>
              <w:rPr>
                <w:b/>
                <w:bCs/>
                <w:spacing w:val="-8"/>
                <w:sz w:val="16"/>
                <w:szCs w:val="16"/>
              </w:rPr>
              <w:t>Dawn Switch</w:t>
            </w:r>
            <w:r>
              <w:rPr>
                <w:b/>
                <w:bCs/>
                <w:spacing w:val="-8"/>
                <w:sz w:val="16"/>
                <w:szCs w:val="16"/>
              </w:rPr>
              <w:noBreakHyphen/>
              <w:t>off Cents per day</w:t>
            </w:r>
          </w:p>
        </w:tc>
      </w:tr>
      <w:tr>
        <w:trPr>
          <w:cantSplit/>
        </w:trPr>
        <w:tc>
          <w:tcPr>
            <w:tcW w:w="6946" w:type="dxa"/>
            <w:gridSpan w:val="6"/>
          </w:tcPr>
          <w:p>
            <w:pPr>
              <w:pStyle w:val="yTableNAm"/>
            </w:pPr>
            <w:r>
              <w:rPr>
                <w:b/>
                <w:i/>
                <w:iCs/>
                <w:sz w:val="16"/>
                <w:szCs w:val="16"/>
              </w:rPr>
              <w:t>Street lighting on current offer and for existing services</w:t>
            </w:r>
          </w:p>
        </w:tc>
      </w:tr>
      <w:tr>
        <w:trPr>
          <w:cantSplit/>
        </w:trPr>
        <w:tc>
          <w:tcPr>
            <w:tcW w:w="567" w:type="dxa"/>
          </w:tcPr>
          <w:p>
            <w:pPr>
              <w:pStyle w:val="yTableNAm"/>
            </w:pPr>
            <w:r>
              <w:rPr>
                <w:sz w:val="16"/>
                <w:szCs w:val="16"/>
              </w:rPr>
              <w:t>Z.01</w:t>
            </w:r>
          </w:p>
        </w:tc>
        <w:tc>
          <w:tcPr>
            <w:tcW w:w="851" w:type="dxa"/>
          </w:tcPr>
          <w:p>
            <w:pPr>
              <w:pStyle w:val="yTableNAm"/>
            </w:pPr>
            <w:r>
              <w:rPr>
                <w:sz w:val="16"/>
                <w:szCs w:val="16"/>
              </w:rPr>
              <w:t>50</w:t>
            </w:r>
          </w:p>
        </w:tc>
        <w:tc>
          <w:tcPr>
            <w:tcW w:w="992" w:type="dxa"/>
          </w:tcPr>
          <w:p>
            <w:pPr>
              <w:pStyle w:val="yTableNAm"/>
            </w:pPr>
            <w:r>
              <w:rPr>
                <w:sz w:val="16"/>
                <w:szCs w:val="16"/>
              </w:rPr>
              <w:t>Mercury Vapour</w:t>
            </w:r>
          </w:p>
        </w:tc>
        <w:tc>
          <w:tcPr>
            <w:tcW w:w="1512" w:type="dxa"/>
          </w:tcPr>
          <w:p>
            <w:pPr>
              <w:pStyle w:val="yTableNAm"/>
            </w:pPr>
            <w:r>
              <w:rPr>
                <w:sz w:val="16"/>
                <w:szCs w:val="16"/>
              </w:rPr>
              <w:t>32.8071</w:t>
            </w:r>
          </w:p>
        </w:tc>
        <w:tc>
          <w:tcPr>
            <w:tcW w:w="1512" w:type="dxa"/>
          </w:tcPr>
          <w:p>
            <w:pPr>
              <w:pStyle w:val="yTableNAm"/>
            </w:pPr>
            <w:r>
              <w:rPr>
                <w:sz w:val="16"/>
                <w:szCs w:val="16"/>
              </w:rPr>
              <w:t>33.5096</w:t>
            </w:r>
          </w:p>
        </w:tc>
        <w:tc>
          <w:tcPr>
            <w:tcW w:w="1512" w:type="dxa"/>
          </w:tcPr>
          <w:p>
            <w:pPr>
              <w:pStyle w:val="yTableNAm"/>
            </w:pPr>
            <w:r>
              <w:rPr>
                <w:sz w:val="16"/>
                <w:szCs w:val="16"/>
              </w:rPr>
              <w:t>36.0480</w:t>
            </w:r>
          </w:p>
        </w:tc>
      </w:tr>
      <w:tr>
        <w:trPr>
          <w:cantSplit/>
        </w:trPr>
        <w:tc>
          <w:tcPr>
            <w:tcW w:w="567" w:type="dxa"/>
          </w:tcPr>
          <w:p>
            <w:pPr>
              <w:pStyle w:val="yTableNAm"/>
            </w:pPr>
            <w:r>
              <w:rPr>
                <w:sz w:val="16"/>
                <w:szCs w:val="16"/>
              </w:rPr>
              <w:t>Z.02</w:t>
            </w:r>
          </w:p>
        </w:tc>
        <w:tc>
          <w:tcPr>
            <w:tcW w:w="851" w:type="dxa"/>
          </w:tcPr>
          <w:p>
            <w:pPr>
              <w:pStyle w:val="yTableNAm"/>
            </w:pPr>
            <w:r>
              <w:rPr>
                <w:sz w:val="16"/>
                <w:szCs w:val="16"/>
              </w:rPr>
              <w:t>80</w:t>
            </w:r>
          </w:p>
        </w:tc>
        <w:tc>
          <w:tcPr>
            <w:tcW w:w="992" w:type="dxa"/>
          </w:tcPr>
          <w:p>
            <w:pPr>
              <w:pStyle w:val="yTableNAm"/>
            </w:pPr>
            <w:r>
              <w:rPr>
                <w:sz w:val="16"/>
                <w:szCs w:val="16"/>
              </w:rPr>
              <w:t>Mercury Vapour</w:t>
            </w:r>
          </w:p>
        </w:tc>
        <w:tc>
          <w:tcPr>
            <w:tcW w:w="1512" w:type="dxa"/>
          </w:tcPr>
          <w:p>
            <w:pPr>
              <w:pStyle w:val="yTableNAm"/>
            </w:pPr>
            <w:r>
              <w:rPr>
                <w:sz w:val="16"/>
                <w:szCs w:val="16"/>
              </w:rPr>
              <w:t>38.6341</w:t>
            </w:r>
          </w:p>
        </w:tc>
        <w:tc>
          <w:tcPr>
            <w:tcW w:w="1512" w:type="dxa"/>
          </w:tcPr>
          <w:p>
            <w:pPr>
              <w:pStyle w:val="yTableNAm"/>
            </w:pPr>
            <w:r>
              <w:rPr>
                <w:sz w:val="16"/>
                <w:szCs w:val="16"/>
              </w:rPr>
              <w:t>39.4963</w:t>
            </w:r>
          </w:p>
        </w:tc>
        <w:tc>
          <w:tcPr>
            <w:tcW w:w="1512" w:type="dxa"/>
          </w:tcPr>
          <w:p>
            <w:pPr>
              <w:pStyle w:val="yTableNAm"/>
            </w:pPr>
            <w:r>
              <w:rPr>
                <w:sz w:val="16"/>
                <w:szCs w:val="16"/>
              </w:rPr>
              <w:t>43.4555</w:t>
            </w:r>
          </w:p>
        </w:tc>
      </w:tr>
      <w:tr>
        <w:trPr>
          <w:cantSplit/>
        </w:trPr>
        <w:tc>
          <w:tcPr>
            <w:tcW w:w="567" w:type="dxa"/>
          </w:tcPr>
          <w:p>
            <w:pPr>
              <w:pStyle w:val="yTableNAm"/>
            </w:pPr>
            <w:r>
              <w:rPr>
                <w:sz w:val="16"/>
                <w:szCs w:val="16"/>
              </w:rPr>
              <w:t>Z.03</w:t>
            </w:r>
          </w:p>
        </w:tc>
        <w:tc>
          <w:tcPr>
            <w:tcW w:w="851" w:type="dxa"/>
          </w:tcPr>
          <w:p>
            <w:pPr>
              <w:pStyle w:val="yTableNAm"/>
            </w:pPr>
            <w:r>
              <w:rPr>
                <w:sz w:val="16"/>
                <w:szCs w:val="16"/>
              </w:rPr>
              <w:t>125</w:t>
            </w:r>
          </w:p>
        </w:tc>
        <w:tc>
          <w:tcPr>
            <w:tcW w:w="992" w:type="dxa"/>
          </w:tcPr>
          <w:p>
            <w:pPr>
              <w:pStyle w:val="yTableNAm"/>
            </w:pPr>
            <w:r>
              <w:rPr>
                <w:sz w:val="16"/>
                <w:szCs w:val="16"/>
              </w:rPr>
              <w:t>Mercury Vapour</w:t>
            </w:r>
          </w:p>
        </w:tc>
        <w:tc>
          <w:tcPr>
            <w:tcW w:w="1512" w:type="dxa"/>
          </w:tcPr>
          <w:p>
            <w:pPr>
              <w:pStyle w:val="yTableNAm"/>
            </w:pPr>
            <w:r>
              <w:rPr>
                <w:sz w:val="16"/>
                <w:szCs w:val="16"/>
              </w:rPr>
              <w:t>47.7819</w:t>
            </w:r>
          </w:p>
        </w:tc>
        <w:tc>
          <w:tcPr>
            <w:tcW w:w="1512" w:type="dxa"/>
          </w:tcPr>
          <w:p>
            <w:pPr>
              <w:pStyle w:val="yTableNAm"/>
            </w:pPr>
            <w:r>
              <w:rPr>
                <w:sz w:val="16"/>
                <w:szCs w:val="16"/>
              </w:rPr>
              <w:t>49.3305</w:t>
            </w:r>
          </w:p>
        </w:tc>
        <w:tc>
          <w:tcPr>
            <w:tcW w:w="1512" w:type="dxa"/>
          </w:tcPr>
          <w:p>
            <w:pPr>
              <w:pStyle w:val="yTableNAm"/>
            </w:pPr>
            <w:r>
              <w:rPr>
                <w:sz w:val="16"/>
                <w:szCs w:val="16"/>
              </w:rPr>
              <w:t>54.9181</w:t>
            </w:r>
          </w:p>
        </w:tc>
      </w:tr>
      <w:tr>
        <w:trPr>
          <w:cantSplit/>
        </w:trPr>
        <w:tc>
          <w:tcPr>
            <w:tcW w:w="567" w:type="dxa"/>
          </w:tcPr>
          <w:p>
            <w:pPr>
              <w:pStyle w:val="yTableNAm"/>
            </w:pPr>
            <w:r>
              <w:rPr>
                <w:sz w:val="16"/>
                <w:szCs w:val="16"/>
              </w:rPr>
              <w:t>Z.04</w:t>
            </w:r>
          </w:p>
        </w:tc>
        <w:tc>
          <w:tcPr>
            <w:tcW w:w="851" w:type="dxa"/>
          </w:tcPr>
          <w:p>
            <w:pPr>
              <w:pStyle w:val="yTableNAm"/>
            </w:pPr>
            <w:r>
              <w:rPr>
                <w:sz w:val="16"/>
                <w:szCs w:val="16"/>
              </w:rPr>
              <w:t>140</w:t>
            </w:r>
          </w:p>
        </w:tc>
        <w:tc>
          <w:tcPr>
            <w:tcW w:w="992" w:type="dxa"/>
          </w:tcPr>
          <w:p>
            <w:pPr>
              <w:pStyle w:val="yTableNAm"/>
            </w:pPr>
            <w:r>
              <w:rPr>
                <w:sz w:val="16"/>
                <w:szCs w:val="16"/>
              </w:rPr>
              <w:t>Low Pressure Sodium</w:t>
            </w:r>
          </w:p>
        </w:tc>
        <w:tc>
          <w:tcPr>
            <w:tcW w:w="1512" w:type="dxa"/>
          </w:tcPr>
          <w:p>
            <w:pPr>
              <w:pStyle w:val="yTableNAm"/>
            </w:pPr>
            <w:r>
              <w:rPr>
                <w:sz w:val="16"/>
                <w:szCs w:val="16"/>
              </w:rPr>
              <w:t>48.8994</w:t>
            </w:r>
          </w:p>
        </w:tc>
        <w:tc>
          <w:tcPr>
            <w:tcW w:w="1512" w:type="dxa"/>
          </w:tcPr>
          <w:p>
            <w:pPr>
              <w:pStyle w:val="yTableNAm"/>
            </w:pPr>
            <w:r>
              <w:rPr>
                <w:sz w:val="16"/>
                <w:szCs w:val="16"/>
              </w:rPr>
              <w:t>50.4959</w:t>
            </w:r>
          </w:p>
        </w:tc>
        <w:tc>
          <w:tcPr>
            <w:tcW w:w="1512" w:type="dxa"/>
          </w:tcPr>
          <w:p>
            <w:pPr>
              <w:pStyle w:val="yTableNAm"/>
            </w:pPr>
            <w:r>
              <w:rPr>
                <w:sz w:val="16"/>
                <w:szCs w:val="16"/>
              </w:rPr>
              <w:t>56.9137</w:t>
            </w:r>
          </w:p>
        </w:tc>
      </w:tr>
      <w:tr>
        <w:trPr>
          <w:cantSplit/>
        </w:trPr>
        <w:tc>
          <w:tcPr>
            <w:tcW w:w="567" w:type="dxa"/>
          </w:tcPr>
          <w:p>
            <w:pPr>
              <w:pStyle w:val="yTableNAm"/>
            </w:pPr>
            <w:r>
              <w:rPr>
                <w:sz w:val="16"/>
                <w:szCs w:val="16"/>
              </w:rPr>
              <w:t>Z.07</w:t>
            </w:r>
          </w:p>
        </w:tc>
        <w:tc>
          <w:tcPr>
            <w:tcW w:w="851" w:type="dxa"/>
          </w:tcPr>
          <w:p>
            <w:pPr>
              <w:pStyle w:val="yTableNAm"/>
            </w:pPr>
            <w:r>
              <w:rPr>
                <w:sz w:val="16"/>
                <w:szCs w:val="16"/>
              </w:rPr>
              <w:t>250</w:t>
            </w:r>
          </w:p>
        </w:tc>
        <w:tc>
          <w:tcPr>
            <w:tcW w:w="992" w:type="dxa"/>
          </w:tcPr>
          <w:p>
            <w:pPr>
              <w:pStyle w:val="yTableNAm"/>
            </w:pPr>
            <w:r>
              <w:rPr>
                <w:sz w:val="16"/>
                <w:szCs w:val="16"/>
              </w:rPr>
              <w:t>Mercury Vapour</w:t>
            </w:r>
          </w:p>
        </w:tc>
        <w:tc>
          <w:tcPr>
            <w:tcW w:w="1512" w:type="dxa"/>
          </w:tcPr>
          <w:p>
            <w:pPr>
              <w:pStyle w:val="yTableNAm"/>
            </w:pPr>
            <w:r>
              <w:rPr>
                <w:sz w:val="16"/>
                <w:szCs w:val="16"/>
              </w:rPr>
              <w:t>59.2924</w:t>
            </w:r>
          </w:p>
        </w:tc>
        <w:tc>
          <w:tcPr>
            <w:tcW w:w="1512" w:type="dxa"/>
          </w:tcPr>
          <w:p>
            <w:pPr>
              <w:pStyle w:val="yTableNAm"/>
            </w:pPr>
            <w:r>
              <w:rPr>
                <w:sz w:val="16"/>
                <w:szCs w:val="16"/>
              </w:rPr>
              <w:t>62.3096</w:t>
            </w:r>
          </w:p>
        </w:tc>
        <w:tc>
          <w:tcPr>
            <w:tcW w:w="1512" w:type="dxa"/>
          </w:tcPr>
          <w:p>
            <w:pPr>
              <w:pStyle w:val="yTableNAm"/>
            </w:pPr>
            <w:r>
              <w:rPr>
                <w:sz w:val="16"/>
                <w:szCs w:val="16"/>
              </w:rPr>
              <w:t>73.5646</w:t>
            </w:r>
          </w:p>
        </w:tc>
      </w:tr>
      <w:tr>
        <w:trPr>
          <w:cantSplit/>
        </w:trPr>
        <w:tc>
          <w:tcPr>
            <w:tcW w:w="567" w:type="dxa"/>
          </w:tcPr>
          <w:p>
            <w:pPr>
              <w:pStyle w:val="yTableNAm"/>
            </w:pPr>
            <w:r>
              <w:rPr>
                <w:sz w:val="16"/>
                <w:szCs w:val="16"/>
              </w:rPr>
              <w:t>Z.10</w:t>
            </w:r>
          </w:p>
        </w:tc>
        <w:tc>
          <w:tcPr>
            <w:tcW w:w="851" w:type="dxa"/>
          </w:tcPr>
          <w:p>
            <w:pPr>
              <w:pStyle w:val="yTableNAm"/>
            </w:pPr>
            <w:r>
              <w:rPr>
                <w:sz w:val="16"/>
                <w:szCs w:val="16"/>
              </w:rPr>
              <w:t>400</w:t>
            </w:r>
          </w:p>
        </w:tc>
        <w:tc>
          <w:tcPr>
            <w:tcW w:w="992" w:type="dxa"/>
          </w:tcPr>
          <w:p>
            <w:pPr>
              <w:pStyle w:val="yTableNAm"/>
            </w:pPr>
            <w:r>
              <w:rPr>
                <w:sz w:val="16"/>
                <w:szCs w:val="16"/>
              </w:rPr>
              <w:t>Mercury Vapour</w:t>
            </w:r>
          </w:p>
        </w:tc>
        <w:tc>
          <w:tcPr>
            <w:tcW w:w="1512" w:type="dxa"/>
          </w:tcPr>
          <w:p>
            <w:pPr>
              <w:pStyle w:val="yTableNAm"/>
            </w:pPr>
            <w:r>
              <w:rPr>
                <w:sz w:val="16"/>
                <w:szCs w:val="16"/>
              </w:rPr>
              <w:t>87.8369</w:t>
            </w:r>
          </w:p>
        </w:tc>
        <w:tc>
          <w:tcPr>
            <w:tcW w:w="1512" w:type="dxa"/>
          </w:tcPr>
          <w:p>
            <w:pPr>
              <w:pStyle w:val="yTableNAm"/>
            </w:pPr>
            <w:r>
              <w:rPr>
                <w:sz w:val="16"/>
                <w:szCs w:val="16"/>
              </w:rPr>
              <w:t>92.4347</w:t>
            </w:r>
          </w:p>
        </w:tc>
        <w:tc>
          <w:tcPr>
            <w:tcW w:w="1512" w:type="dxa"/>
          </w:tcPr>
          <w:p>
            <w:pPr>
              <w:pStyle w:val="yTableNAm"/>
            </w:pPr>
            <w:r>
              <w:rPr>
                <w:sz w:val="16"/>
                <w:szCs w:val="16"/>
              </w:rPr>
              <w:t>109.9956</w:t>
            </w:r>
          </w:p>
        </w:tc>
      </w:tr>
      <w:tr>
        <w:trPr>
          <w:cantSplit/>
        </w:trPr>
        <w:tc>
          <w:tcPr>
            <w:tcW w:w="567" w:type="dxa"/>
          </w:tcPr>
          <w:p>
            <w:pPr>
              <w:pStyle w:val="yTableNAm"/>
            </w:pPr>
            <w:r>
              <w:rPr>
                <w:sz w:val="16"/>
                <w:szCs w:val="16"/>
              </w:rPr>
              <w:t>Z.13</w:t>
            </w:r>
          </w:p>
        </w:tc>
        <w:tc>
          <w:tcPr>
            <w:tcW w:w="851" w:type="dxa"/>
          </w:tcPr>
          <w:p>
            <w:pPr>
              <w:pStyle w:val="yTableNAm"/>
            </w:pPr>
            <w:r>
              <w:rPr>
                <w:sz w:val="16"/>
                <w:szCs w:val="16"/>
              </w:rPr>
              <w:t>150</w:t>
            </w:r>
          </w:p>
        </w:tc>
        <w:tc>
          <w:tcPr>
            <w:tcW w:w="992" w:type="dxa"/>
          </w:tcPr>
          <w:p>
            <w:pPr>
              <w:pStyle w:val="yTableNAm"/>
            </w:pPr>
            <w:r>
              <w:rPr>
                <w:sz w:val="16"/>
                <w:szCs w:val="16"/>
              </w:rPr>
              <w:t>High Pressure Sodium</w:t>
            </w:r>
          </w:p>
        </w:tc>
        <w:tc>
          <w:tcPr>
            <w:tcW w:w="1512" w:type="dxa"/>
          </w:tcPr>
          <w:p>
            <w:pPr>
              <w:pStyle w:val="yTableNAm"/>
            </w:pPr>
            <w:r>
              <w:rPr>
                <w:sz w:val="16"/>
                <w:szCs w:val="16"/>
              </w:rPr>
              <w:t>45.2595</w:t>
            </w:r>
          </w:p>
        </w:tc>
        <w:tc>
          <w:tcPr>
            <w:tcW w:w="1512" w:type="dxa"/>
          </w:tcPr>
          <w:p>
            <w:pPr>
              <w:pStyle w:val="yTableNAm"/>
            </w:pPr>
            <w:r>
              <w:rPr>
                <w:sz w:val="16"/>
                <w:szCs w:val="16"/>
              </w:rPr>
              <w:t>46.9198</w:t>
            </w:r>
          </w:p>
        </w:tc>
        <w:tc>
          <w:tcPr>
            <w:tcW w:w="1512" w:type="dxa"/>
          </w:tcPr>
          <w:p>
            <w:pPr>
              <w:pStyle w:val="yTableNAm"/>
            </w:pPr>
            <w:r>
              <w:rPr>
                <w:sz w:val="16"/>
                <w:szCs w:val="16"/>
              </w:rPr>
              <w:t>56.2111</w:t>
            </w:r>
          </w:p>
        </w:tc>
      </w:tr>
      <w:tr>
        <w:trPr>
          <w:cantSplit/>
        </w:trPr>
        <w:tc>
          <w:tcPr>
            <w:tcW w:w="567" w:type="dxa"/>
          </w:tcPr>
          <w:p>
            <w:pPr>
              <w:pStyle w:val="yTableNAm"/>
            </w:pPr>
            <w:r>
              <w:rPr>
                <w:sz w:val="16"/>
                <w:szCs w:val="16"/>
              </w:rPr>
              <w:t>Z.15</w:t>
            </w:r>
          </w:p>
        </w:tc>
        <w:tc>
          <w:tcPr>
            <w:tcW w:w="851" w:type="dxa"/>
          </w:tcPr>
          <w:p>
            <w:pPr>
              <w:pStyle w:val="yTableNAm"/>
            </w:pPr>
            <w:r>
              <w:rPr>
                <w:sz w:val="16"/>
                <w:szCs w:val="16"/>
              </w:rPr>
              <w:t>250</w:t>
            </w:r>
          </w:p>
        </w:tc>
        <w:tc>
          <w:tcPr>
            <w:tcW w:w="992" w:type="dxa"/>
          </w:tcPr>
          <w:p>
            <w:pPr>
              <w:pStyle w:val="yTableNAm"/>
            </w:pPr>
            <w:r>
              <w:rPr>
                <w:sz w:val="16"/>
                <w:szCs w:val="16"/>
              </w:rPr>
              <w:t>High Pressure Sodium</w:t>
            </w:r>
          </w:p>
        </w:tc>
        <w:tc>
          <w:tcPr>
            <w:tcW w:w="1512" w:type="dxa"/>
          </w:tcPr>
          <w:p>
            <w:pPr>
              <w:pStyle w:val="yTableNAm"/>
            </w:pPr>
            <w:r>
              <w:rPr>
                <w:sz w:val="16"/>
                <w:szCs w:val="16"/>
              </w:rPr>
              <w:t>67.0989</w:t>
            </w:r>
          </w:p>
        </w:tc>
        <w:tc>
          <w:tcPr>
            <w:tcW w:w="1512" w:type="dxa"/>
          </w:tcPr>
          <w:p>
            <w:pPr>
              <w:pStyle w:val="yTableNAm"/>
            </w:pPr>
            <w:r>
              <w:rPr>
                <w:sz w:val="16"/>
                <w:szCs w:val="16"/>
              </w:rPr>
              <w:t>70.6751</w:t>
            </w:r>
          </w:p>
        </w:tc>
        <w:tc>
          <w:tcPr>
            <w:tcW w:w="1512" w:type="dxa"/>
          </w:tcPr>
          <w:p>
            <w:pPr>
              <w:pStyle w:val="yTableNAm"/>
            </w:pPr>
            <w:r>
              <w:rPr>
                <w:sz w:val="16"/>
                <w:szCs w:val="16"/>
              </w:rPr>
              <w:t>84.4683</w:t>
            </w:r>
          </w:p>
        </w:tc>
      </w:tr>
      <w:tr>
        <w:trPr>
          <w:cantSplit/>
        </w:trPr>
        <w:tc>
          <w:tcPr>
            <w:tcW w:w="567" w:type="dxa"/>
          </w:tcPr>
          <w:p>
            <w:pPr>
              <w:pStyle w:val="yTableNAm"/>
            </w:pPr>
            <w:r>
              <w:rPr>
                <w:sz w:val="16"/>
                <w:szCs w:val="16"/>
              </w:rPr>
              <w:t>Z.18</w:t>
            </w:r>
          </w:p>
        </w:tc>
        <w:tc>
          <w:tcPr>
            <w:tcW w:w="851" w:type="dxa"/>
          </w:tcPr>
          <w:p>
            <w:pPr>
              <w:pStyle w:val="yTableNAm"/>
            </w:pPr>
            <w:r>
              <w:rPr>
                <w:sz w:val="16"/>
                <w:szCs w:val="16"/>
              </w:rPr>
              <w:t>per kW</w:t>
            </w:r>
          </w:p>
        </w:tc>
        <w:tc>
          <w:tcPr>
            <w:tcW w:w="992" w:type="dxa"/>
          </w:tcPr>
          <w:p>
            <w:pPr>
              <w:pStyle w:val="yTableNAm"/>
            </w:pPr>
            <w:r>
              <w:rPr>
                <w:sz w:val="16"/>
                <w:szCs w:val="16"/>
              </w:rPr>
              <w:t>Auxiliary Lighting in Public Places</w:t>
            </w:r>
          </w:p>
        </w:tc>
        <w:tc>
          <w:tcPr>
            <w:tcW w:w="1512" w:type="dxa"/>
          </w:tcPr>
          <w:p>
            <w:pPr>
              <w:pStyle w:val="yTableNAm"/>
            </w:pPr>
            <w:r>
              <w:rPr>
                <w:sz w:val="16"/>
                <w:szCs w:val="16"/>
              </w:rPr>
              <w:t>Not applicable</w:t>
            </w:r>
          </w:p>
        </w:tc>
        <w:tc>
          <w:tcPr>
            <w:tcW w:w="1512" w:type="dxa"/>
          </w:tcPr>
          <w:p>
            <w:pPr>
              <w:pStyle w:val="yTableNAm"/>
            </w:pPr>
            <w:r>
              <w:rPr>
                <w:sz w:val="16"/>
                <w:szCs w:val="16"/>
              </w:rPr>
              <w:t>Not applicable</w:t>
            </w:r>
          </w:p>
        </w:tc>
        <w:tc>
          <w:tcPr>
            <w:tcW w:w="1512" w:type="dxa"/>
          </w:tcPr>
          <w:p>
            <w:pPr>
              <w:pStyle w:val="yTableNAm"/>
            </w:pPr>
            <w:r>
              <w:rPr>
                <w:sz w:val="16"/>
                <w:szCs w:val="16"/>
              </w:rPr>
              <w:t>244.9436</w:t>
            </w:r>
          </w:p>
        </w:tc>
      </w:tr>
      <w:tr>
        <w:trPr>
          <w:cantSplit/>
        </w:trPr>
        <w:tc>
          <w:tcPr>
            <w:tcW w:w="567" w:type="dxa"/>
          </w:tcPr>
          <w:p>
            <w:pPr>
              <w:pStyle w:val="yTableNAm"/>
              <w:rPr>
                <w:sz w:val="16"/>
                <w:szCs w:val="16"/>
              </w:rPr>
            </w:pPr>
            <w:r>
              <w:rPr>
                <w:sz w:val="16"/>
                <w:szCs w:val="16"/>
              </w:rPr>
              <w:t>Z.59</w:t>
            </w:r>
          </w:p>
        </w:tc>
        <w:tc>
          <w:tcPr>
            <w:tcW w:w="851" w:type="dxa"/>
          </w:tcPr>
          <w:p>
            <w:pPr>
              <w:pStyle w:val="yTableNAm"/>
              <w:rPr>
                <w:sz w:val="16"/>
                <w:szCs w:val="16"/>
              </w:rPr>
            </w:pPr>
            <w:r>
              <w:rPr>
                <w:sz w:val="16"/>
                <w:szCs w:val="16"/>
              </w:rPr>
              <w:t>66</w:t>
            </w:r>
          </w:p>
        </w:tc>
        <w:tc>
          <w:tcPr>
            <w:tcW w:w="992" w:type="dxa"/>
          </w:tcPr>
          <w:p>
            <w:pPr>
              <w:pStyle w:val="yTableNAm"/>
              <w:rPr>
                <w:sz w:val="16"/>
                <w:szCs w:val="16"/>
              </w:rPr>
            </w:pPr>
            <w:r>
              <w:rPr>
                <w:sz w:val="16"/>
                <w:szCs w:val="16"/>
              </w:rPr>
              <w:t>LED</w:t>
            </w:r>
          </w:p>
        </w:tc>
        <w:tc>
          <w:tcPr>
            <w:tcW w:w="1512" w:type="dxa"/>
          </w:tcPr>
          <w:p>
            <w:pPr>
              <w:pStyle w:val="yTableNAm"/>
              <w:rPr>
                <w:sz w:val="16"/>
                <w:szCs w:val="16"/>
              </w:rPr>
            </w:pPr>
            <w:r>
              <w:rPr>
                <w:sz w:val="16"/>
                <w:szCs w:val="16"/>
              </w:rPr>
              <w:t>33.3484</w:t>
            </w:r>
          </w:p>
        </w:tc>
        <w:tc>
          <w:tcPr>
            <w:tcW w:w="1512" w:type="dxa"/>
          </w:tcPr>
          <w:p>
            <w:pPr>
              <w:pStyle w:val="yTableNAm"/>
              <w:rPr>
                <w:sz w:val="16"/>
                <w:szCs w:val="16"/>
              </w:rPr>
            </w:pPr>
            <w:r>
              <w:rPr>
                <w:sz w:val="16"/>
                <w:szCs w:val="16"/>
              </w:rPr>
              <w:t>34.3324</w:t>
            </w:r>
          </w:p>
        </w:tc>
        <w:tc>
          <w:tcPr>
            <w:tcW w:w="1512" w:type="dxa"/>
          </w:tcPr>
          <w:p>
            <w:pPr>
              <w:pStyle w:val="yTableNAm"/>
              <w:rPr>
                <w:sz w:val="16"/>
                <w:szCs w:val="16"/>
              </w:rPr>
            </w:pPr>
            <w:r>
              <w:rPr>
                <w:sz w:val="16"/>
                <w:szCs w:val="16"/>
              </w:rPr>
              <w:t>37.1439</w:t>
            </w:r>
          </w:p>
        </w:tc>
      </w:tr>
      <w:tr>
        <w:trPr>
          <w:cantSplit/>
        </w:trPr>
        <w:tc>
          <w:tcPr>
            <w:tcW w:w="567" w:type="dxa"/>
          </w:tcPr>
          <w:p>
            <w:pPr>
              <w:pStyle w:val="yTableNAm"/>
              <w:rPr>
                <w:sz w:val="16"/>
                <w:szCs w:val="16"/>
              </w:rPr>
            </w:pPr>
            <w:r>
              <w:rPr>
                <w:sz w:val="16"/>
                <w:szCs w:val="16"/>
              </w:rPr>
              <w:t>Z.60</w:t>
            </w:r>
          </w:p>
        </w:tc>
        <w:tc>
          <w:tcPr>
            <w:tcW w:w="851" w:type="dxa"/>
          </w:tcPr>
          <w:p>
            <w:pPr>
              <w:pStyle w:val="yTableNAm"/>
              <w:rPr>
                <w:sz w:val="16"/>
                <w:szCs w:val="16"/>
              </w:rPr>
            </w:pPr>
            <w:r>
              <w:rPr>
                <w:sz w:val="16"/>
                <w:szCs w:val="16"/>
              </w:rPr>
              <w:t>132</w:t>
            </w:r>
          </w:p>
        </w:tc>
        <w:tc>
          <w:tcPr>
            <w:tcW w:w="992" w:type="dxa"/>
          </w:tcPr>
          <w:p>
            <w:pPr>
              <w:pStyle w:val="yTableNAm"/>
              <w:rPr>
                <w:sz w:val="16"/>
                <w:szCs w:val="16"/>
              </w:rPr>
            </w:pPr>
            <w:r>
              <w:rPr>
                <w:sz w:val="16"/>
                <w:szCs w:val="16"/>
              </w:rPr>
              <w:t>LED</w:t>
            </w:r>
          </w:p>
        </w:tc>
        <w:tc>
          <w:tcPr>
            <w:tcW w:w="1512" w:type="dxa"/>
          </w:tcPr>
          <w:p>
            <w:pPr>
              <w:pStyle w:val="yTableNAm"/>
              <w:rPr>
                <w:sz w:val="16"/>
                <w:szCs w:val="16"/>
              </w:rPr>
            </w:pPr>
            <w:r>
              <w:rPr>
                <w:sz w:val="16"/>
                <w:szCs w:val="16"/>
              </w:rPr>
              <w:t>44.5166</w:t>
            </w:r>
          </w:p>
        </w:tc>
        <w:tc>
          <w:tcPr>
            <w:tcW w:w="1512" w:type="dxa"/>
          </w:tcPr>
          <w:p>
            <w:pPr>
              <w:pStyle w:val="yTableNAm"/>
              <w:rPr>
                <w:sz w:val="16"/>
                <w:szCs w:val="16"/>
              </w:rPr>
            </w:pPr>
            <w:r>
              <w:rPr>
                <w:sz w:val="16"/>
                <w:szCs w:val="16"/>
              </w:rPr>
              <w:t>46.6324</w:t>
            </w:r>
          </w:p>
        </w:tc>
        <w:tc>
          <w:tcPr>
            <w:tcW w:w="1512" w:type="dxa"/>
          </w:tcPr>
          <w:p>
            <w:pPr>
              <w:pStyle w:val="yTableNAm"/>
              <w:rPr>
                <w:sz w:val="16"/>
                <w:szCs w:val="16"/>
              </w:rPr>
            </w:pPr>
            <w:r>
              <w:rPr>
                <w:sz w:val="16"/>
                <w:szCs w:val="16"/>
              </w:rPr>
              <w:t>56.5562</w:t>
            </w:r>
          </w:p>
        </w:tc>
      </w:tr>
      <w:tr>
        <w:trPr>
          <w:cantSplit/>
        </w:trPr>
        <w:tc>
          <w:tcPr>
            <w:tcW w:w="567" w:type="dxa"/>
          </w:tcPr>
          <w:p>
            <w:pPr>
              <w:pStyle w:val="yTableNAm"/>
              <w:rPr>
                <w:sz w:val="16"/>
                <w:szCs w:val="16"/>
              </w:rPr>
            </w:pPr>
            <w:r>
              <w:rPr>
                <w:sz w:val="16"/>
                <w:szCs w:val="16"/>
              </w:rPr>
              <w:t>Z.61</w:t>
            </w:r>
          </w:p>
        </w:tc>
        <w:tc>
          <w:tcPr>
            <w:tcW w:w="851" w:type="dxa"/>
          </w:tcPr>
          <w:p>
            <w:pPr>
              <w:pStyle w:val="yTableNAm"/>
              <w:rPr>
                <w:sz w:val="16"/>
                <w:szCs w:val="16"/>
              </w:rPr>
            </w:pPr>
            <w:r>
              <w:rPr>
                <w:sz w:val="16"/>
                <w:szCs w:val="16"/>
              </w:rPr>
              <w:t>198</w:t>
            </w:r>
          </w:p>
        </w:tc>
        <w:tc>
          <w:tcPr>
            <w:tcW w:w="992" w:type="dxa"/>
          </w:tcPr>
          <w:p>
            <w:pPr>
              <w:pStyle w:val="yTableNAm"/>
              <w:rPr>
                <w:sz w:val="16"/>
                <w:szCs w:val="16"/>
              </w:rPr>
            </w:pPr>
            <w:r>
              <w:rPr>
                <w:sz w:val="16"/>
                <w:szCs w:val="16"/>
              </w:rPr>
              <w:t>LED</w:t>
            </w:r>
          </w:p>
        </w:tc>
        <w:tc>
          <w:tcPr>
            <w:tcW w:w="1512" w:type="dxa"/>
          </w:tcPr>
          <w:p>
            <w:pPr>
              <w:pStyle w:val="yTableNAm"/>
              <w:rPr>
                <w:sz w:val="16"/>
                <w:szCs w:val="16"/>
              </w:rPr>
            </w:pPr>
            <w:r>
              <w:rPr>
                <w:sz w:val="16"/>
                <w:szCs w:val="16"/>
              </w:rPr>
              <w:t>48.5135</w:t>
            </w:r>
          </w:p>
        </w:tc>
        <w:tc>
          <w:tcPr>
            <w:tcW w:w="1512" w:type="dxa"/>
          </w:tcPr>
          <w:p>
            <w:pPr>
              <w:pStyle w:val="yTableNAm"/>
              <w:rPr>
                <w:sz w:val="16"/>
                <w:szCs w:val="16"/>
              </w:rPr>
            </w:pPr>
            <w:r>
              <w:rPr>
                <w:sz w:val="16"/>
                <w:szCs w:val="16"/>
              </w:rPr>
              <w:t>51.9567</w:t>
            </w:r>
          </w:p>
        </w:tc>
        <w:tc>
          <w:tcPr>
            <w:tcW w:w="1512" w:type="dxa"/>
          </w:tcPr>
          <w:p>
            <w:pPr>
              <w:pStyle w:val="yTableNAm"/>
              <w:rPr>
                <w:sz w:val="16"/>
                <w:szCs w:val="16"/>
              </w:rPr>
            </w:pPr>
            <w:r>
              <w:rPr>
                <w:sz w:val="16"/>
                <w:szCs w:val="16"/>
              </w:rPr>
              <w:t>67.4898</w:t>
            </w:r>
          </w:p>
        </w:tc>
      </w:tr>
      <w:tr>
        <w:trPr>
          <w:cantSplit/>
        </w:trPr>
        <w:tc>
          <w:tcPr>
            <w:tcW w:w="6946" w:type="dxa"/>
            <w:gridSpan w:val="6"/>
          </w:tcPr>
          <w:p>
            <w:pPr>
              <w:pStyle w:val="yTableNAm"/>
            </w:pPr>
            <w:r>
              <w:rPr>
                <w:b/>
                <w:i/>
                <w:iCs/>
                <w:sz w:val="16"/>
                <w:szCs w:val="16"/>
              </w:rPr>
              <w:t>Street lighting for existing services only</w:t>
            </w:r>
          </w:p>
        </w:tc>
      </w:tr>
      <w:tr>
        <w:trPr>
          <w:cantSplit/>
        </w:trPr>
        <w:tc>
          <w:tcPr>
            <w:tcW w:w="567" w:type="dxa"/>
          </w:tcPr>
          <w:p>
            <w:pPr>
              <w:pStyle w:val="yTableNAm"/>
            </w:pPr>
            <w:r>
              <w:rPr>
                <w:sz w:val="16"/>
                <w:szCs w:val="16"/>
              </w:rPr>
              <w:t>Z.05</w:t>
            </w:r>
          </w:p>
        </w:tc>
        <w:tc>
          <w:tcPr>
            <w:tcW w:w="851" w:type="dxa"/>
          </w:tcPr>
          <w:p>
            <w:pPr>
              <w:pStyle w:val="yTableNAm"/>
            </w:pPr>
            <w:r>
              <w:rPr>
                <w:sz w:val="16"/>
                <w:szCs w:val="16"/>
              </w:rPr>
              <w:t>250</w:t>
            </w:r>
          </w:p>
        </w:tc>
        <w:tc>
          <w:tcPr>
            <w:tcW w:w="992" w:type="dxa"/>
          </w:tcPr>
          <w:p>
            <w:pPr>
              <w:pStyle w:val="yTableNAm"/>
            </w:pPr>
            <w:r>
              <w:rPr>
                <w:sz w:val="16"/>
                <w:szCs w:val="16"/>
              </w:rPr>
              <w:t>Mercury Vapour</w:t>
            </w:r>
          </w:p>
        </w:tc>
        <w:tc>
          <w:tcPr>
            <w:tcW w:w="1512" w:type="dxa"/>
          </w:tcPr>
          <w:p>
            <w:pPr>
              <w:pStyle w:val="yTableNAm"/>
            </w:pPr>
            <w:r>
              <w:rPr>
                <w:sz w:val="16"/>
                <w:szCs w:val="16"/>
              </w:rPr>
              <w:t>76.8374</w:t>
            </w:r>
          </w:p>
        </w:tc>
        <w:tc>
          <w:tcPr>
            <w:tcW w:w="1512" w:type="dxa"/>
          </w:tcPr>
          <w:p>
            <w:pPr>
              <w:pStyle w:val="yTableNAm"/>
            </w:pPr>
            <w:r>
              <w:rPr>
                <w:sz w:val="16"/>
                <w:szCs w:val="16"/>
              </w:rPr>
              <w:t>79.8387</w:t>
            </w:r>
          </w:p>
        </w:tc>
        <w:tc>
          <w:tcPr>
            <w:tcW w:w="1512" w:type="dxa"/>
          </w:tcPr>
          <w:p>
            <w:pPr>
              <w:pStyle w:val="yTableNAm"/>
            </w:pPr>
            <w:r>
              <w:rPr>
                <w:sz w:val="16"/>
                <w:szCs w:val="16"/>
              </w:rPr>
              <w:t>91.1096</w:t>
            </w:r>
          </w:p>
        </w:tc>
      </w:tr>
      <w:tr>
        <w:trPr>
          <w:cantSplit/>
        </w:trPr>
        <w:tc>
          <w:tcPr>
            <w:tcW w:w="567" w:type="dxa"/>
          </w:tcPr>
          <w:p>
            <w:pPr>
              <w:pStyle w:val="yTableNAm"/>
            </w:pPr>
            <w:r>
              <w:rPr>
                <w:sz w:val="16"/>
                <w:szCs w:val="16"/>
              </w:rPr>
              <w:t>Z.06</w:t>
            </w:r>
          </w:p>
        </w:tc>
        <w:tc>
          <w:tcPr>
            <w:tcW w:w="851" w:type="dxa"/>
          </w:tcPr>
          <w:p>
            <w:pPr>
              <w:pStyle w:val="yTableNAm"/>
            </w:pPr>
            <w:r>
              <w:rPr>
                <w:sz w:val="16"/>
                <w:szCs w:val="16"/>
              </w:rPr>
              <w:t>400</w:t>
            </w:r>
          </w:p>
        </w:tc>
        <w:tc>
          <w:tcPr>
            <w:tcW w:w="992" w:type="dxa"/>
          </w:tcPr>
          <w:p>
            <w:pPr>
              <w:pStyle w:val="yTableNAm"/>
            </w:pPr>
            <w:r>
              <w:rPr>
                <w:sz w:val="16"/>
                <w:szCs w:val="16"/>
              </w:rPr>
              <w:t>Mercury Vapour</w:t>
            </w:r>
          </w:p>
        </w:tc>
        <w:tc>
          <w:tcPr>
            <w:tcW w:w="1512" w:type="dxa"/>
          </w:tcPr>
          <w:p>
            <w:pPr>
              <w:pStyle w:val="yTableNAm"/>
            </w:pPr>
            <w:r>
              <w:rPr>
                <w:sz w:val="16"/>
                <w:szCs w:val="16"/>
              </w:rPr>
              <w:t>105.3979</w:t>
            </w:r>
          </w:p>
        </w:tc>
        <w:tc>
          <w:tcPr>
            <w:tcW w:w="1512" w:type="dxa"/>
          </w:tcPr>
          <w:p>
            <w:pPr>
              <w:pStyle w:val="yTableNAm"/>
            </w:pPr>
            <w:r>
              <w:rPr>
                <w:sz w:val="16"/>
                <w:szCs w:val="16"/>
              </w:rPr>
              <w:t>109.9956</w:t>
            </w:r>
          </w:p>
        </w:tc>
        <w:tc>
          <w:tcPr>
            <w:tcW w:w="1512" w:type="dxa"/>
          </w:tcPr>
          <w:p>
            <w:pPr>
              <w:pStyle w:val="yTableNAm"/>
            </w:pPr>
            <w:r>
              <w:rPr>
                <w:sz w:val="16"/>
                <w:szCs w:val="16"/>
              </w:rPr>
              <w:t>127.4768</w:t>
            </w:r>
          </w:p>
        </w:tc>
      </w:tr>
      <w:tr>
        <w:trPr>
          <w:cantSplit/>
        </w:trPr>
        <w:tc>
          <w:tcPr>
            <w:tcW w:w="567" w:type="dxa"/>
          </w:tcPr>
          <w:p>
            <w:pPr>
              <w:pStyle w:val="yTableNAm"/>
            </w:pPr>
            <w:r>
              <w:rPr>
                <w:sz w:val="16"/>
                <w:szCs w:val="16"/>
              </w:rPr>
              <w:t>Z.08</w:t>
            </w:r>
          </w:p>
        </w:tc>
        <w:tc>
          <w:tcPr>
            <w:tcW w:w="851" w:type="dxa"/>
          </w:tcPr>
          <w:p>
            <w:pPr>
              <w:pStyle w:val="yTableNAm"/>
            </w:pPr>
            <w:r>
              <w:rPr>
                <w:sz w:val="16"/>
                <w:szCs w:val="16"/>
              </w:rPr>
              <w:t>250</w:t>
            </w:r>
          </w:p>
        </w:tc>
        <w:tc>
          <w:tcPr>
            <w:tcW w:w="992" w:type="dxa"/>
          </w:tcPr>
          <w:p>
            <w:pPr>
              <w:pStyle w:val="yTableNAm"/>
            </w:pPr>
            <w:r>
              <w:rPr>
                <w:sz w:val="16"/>
                <w:szCs w:val="16"/>
              </w:rPr>
              <w:t xml:space="preserve">Mercury Vapour </w:t>
            </w:r>
            <w:r>
              <w:rPr>
                <w:sz w:val="16"/>
                <w:szCs w:val="16"/>
              </w:rPr>
              <w:br/>
              <w:t>50% E.C. cost</w:t>
            </w:r>
          </w:p>
        </w:tc>
        <w:tc>
          <w:tcPr>
            <w:tcW w:w="1512" w:type="dxa"/>
          </w:tcPr>
          <w:p>
            <w:pPr>
              <w:pStyle w:val="yTableNAm"/>
            </w:pPr>
            <w:r>
              <w:rPr>
                <w:sz w:val="16"/>
                <w:szCs w:val="16"/>
              </w:rPr>
              <w:t>68.0568</w:t>
            </w:r>
          </w:p>
        </w:tc>
        <w:tc>
          <w:tcPr>
            <w:tcW w:w="1512" w:type="dxa"/>
          </w:tcPr>
          <w:p>
            <w:pPr>
              <w:pStyle w:val="yTableNAm"/>
            </w:pPr>
            <w:r>
              <w:rPr>
                <w:sz w:val="16"/>
                <w:szCs w:val="16"/>
              </w:rPr>
              <w:t>71.0263</w:t>
            </w:r>
          </w:p>
        </w:tc>
        <w:tc>
          <w:tcPr>
            <w:tcW w:w="1512" w:type="dxa"/>
          </w:tcPr>
          <w:p>
            <w:pPr>
              <w:pStyle w:val="yTableNAm"/>
            </w:pPr>
            <w:r>
              <w:rPr>
                <w:sz w:val="16"/>
                <w:szCs w:val="16"/>
              </w:rPr>
              <w:t>82.3292</w:t>
            </w:r>
          </w:p>
        </w:tc>
      </w:tr>
      <w:tr>
        <w:trPr>
          <w:cantSplit/>
        </w:trPr>
        <w:tc>
          <w:tcPr>
            <w:tcW w:w="567" w:type="dxa"/>
          </w:tcPr>
          <w:p>
            <w:pPr>
              <w:pStyle w:val="yTableNAm"/>
            </w:pPr>
            <w:r>
              <w:rPr>
                <w:sz w:val="16"/>
                <w:szCs w:val="16"/>
              </w:rPr>
              <w:t>Z.09</w:t>
            </w:r>
          </w:p>
        </w:tc>
        <w:tc>
          <w:tcPr>
            <w:tcW w:w="851" w:type="dxa"/>
          </w:tcPr>
          <w:p>
            <w:pPr>
              <w:pStyle w:val="yTableNAm"/>
            </w:pPr>
            <w:r>
              <w:rPr>
                <w:sz w:val="16"/>
                <w:szCs w:val="16"/>
              </w:rPr>
              <w:t>250</w:t>
            </w:r>
          </w:p>
        </w:tc>
        <w:tc>
          <w:tcPr>
            <w:tcW w:w="992" w:type="dxa"/>
          </w:tcPr>
          <w:p>
            <w:pPr>
              <w:pStyle w:val="yTableNAm"/>
            </w:pPr>
            <w:r>
              <w:rPr>
                <w:sz w:val="16"/>
                <w:szCs w:val="16"/>
              </w:rPr>
              <w:t>Mercury Vapour</w:t>
            </w:r>
            <w:r>
              <w:rPr>
                <w:sz w:val="16"/>
                <w:szCs w:val="16"/>
              </w:rPr>
              <w:br/>
              <w:t>100% E.C. cost</w:t>
            </w:r>
          </w:p>
        </w:tc>
        <w:tc>
          <w:tcPr>
            <w:tcW w:w="1512" w:type="dxa"/>
          </w:tcPr>
          <w:p>
            <w:pPr>
              <w:pStyle w:val="yTableNAm"/>
            </w:pPr>
            <w:r>
              <w:rPr>
                <w:sz w:val="16"/>
                <w:szCs w:val="16"/>
              </w:rPr>
              <w:t>76.8374</w:t>
            </w:r>
          </w:p>
        </w:tc>
        <w:tc>
          <w:tcPr>
            <w:tcW w:w="1512" w:type="dxa"/>
          </w:tcPr>
          <w:p>
            <w:pPr>
              <w:pStyle w:val="yTableNAm"/>
            </w:pPr>
            <w:r>
              <w:rPr>
                <w:sz w:val="16"/>
                <w:szCs w:val="16"/>
              </w:rPr>
              <w:t>79.8387</w:t>
            </w:r>
          </w:p>
        </w:tc>
        <w:tc>
          <w:tcPr>
            <w:tcW w:w="1512" w:type="dxa"/>
          </w:tcPr>
          <w:p>
            <w:pPr>
              <w:pStyle w:val="yTableNAm"/>
            </w:pPr>
            <w:r>
              <w:rPr>
                <w:sz w:val="16"/>
                <w:szCs w:val="16"/>
              </w:rPr>
              <w:t>91.1096</w:t>
            </w:r>
          </w:p>
        </w:tc>
      </w:tr>
      <w:tr>
        <w:trPr>
          <w:cantSplit/>
        </w:trPr>
        <w:tc>
          <w:tcPr>
            <w:tcW w:w="567" w:type="dxa"/>
          </w:tcPr>
          <w:p>
            <w:pPr>
              <w:pStyle w:val="yTableNAm"/>
            </w:pPr>
            <w:r>
              <w:rPr>
                <w:sz w:val="16"/>
                <w:szCs w:val="16"/>
              </w:rPr>
              <w:t>Z.11</w:t>
            </w:r>
          </w:p>
        </w:tc>
        <w:tc>
          <w:tcPr>
            <w:tcW w:w="851" w:type="dxa"/>
          </w:tcPr>
          <w:p>
            <w:pPr>
              <w:pStyle w:val="yTableNAm"/>
            </w:pPr>
            <w:r>
              <w:rPr>
                <w:sz w:val="16"/>
                <w:szCs w:val="16"/>
              </w:rPr>
              <w:t>400</w:t>
            </w:r>
          </w:p>
        </w:tc>
        <w:tc>
          <w:tcPr>
            <w:tcW w:w="992" w:type="dxa"/>
          </w:tcPr>
          <w:p>
            <w:pPr>
              <w:pStyle w:val="yTableNAm"/>
            </w:pPr>
            <w:r>
              <w:rPr>
                <w:sz w:val="16"/>
                <w:szCs w:val="16"/>
              </w:rPr>
              <w:t xml:space="preserve">Mercury Vapour </w:t>
            </w:r>
            <w:r>
              <w:rPr>
                <w:sz w:val="16"/>
                <w:szCs w:val="16"/>
              </w:rPr>
              <w:br/>
              <w:t>50% E.C. cost</w:t>
            </w:r>
          </w:p>
        </w:tc>
        <w:tc>
          <w:tcPr>
            <w:tcW w:w="1512" w:type="dxa"/>
          </w:tcPr>
          <w:p>
            <w:pPr>
              <w:pStyle w:val="yTableNAm"/>
            </w:pPr>
            <w:r>
              <w:rPr>
                <w:sz w:val="16"/>
                <w:szCs w:val="16"/>
              </w:rPr>
              <w:t>96.6174</w:t>
            </w:r>
          </w:p>
        </w:tc>
        <w:tc>
          <w:tcPr>
            <w:tcW w:w="1512" w:type="dxa"/>
          </w:tcPr>
          <w:p>
            <w:pPr>
              <w:pStyle w:val="yTableNAm"/>
            </w:pPr>
            <w:r>
              <w:rPr>
                <w:sz w:val="16"/>
                <w:szCs w:val="16"/>
              </w:rPr>
              <w:t>101.2312</w:t>
            </w:r>
          </w:p>
        </w:tc>
        <w:tc>
          <w:tcPr>
            <w:tcW w:w="1512" w:type="dxa"/>
          </w:tcPr>
          <w:p>
            <w:pPr>
              <w:pStyle w:val="yTableNAm"/>
            </w:pPr>
            <w:r>
              <w:rPr>
                <w:sz w:val="16"/>
                <w:szCs w:val="16"/>
              </w:rPr>
              <w:t>118.7283</w:t>
            </w:r>
          </w:p>
        </w:tc>
      </w:tr>
      <w:tr>
        <w:trPr>
          <w:cantSplit/>
        </w:trPr>
        <w:tc>
          <w:tcPr>
            <w:tcW w:w="567" w:type="dxa"/>
          </w:tcPr>
          <w:p>
            <w:pPr>
              <w:pStyle w:val="yTableNAm"/>
            </w:pPr>
            <w:r>
              <w:rPr>
                <w:sz w:val="16"/>
                <w:szCs w:val="16"/>
              </w:rPr>
              <w:t>Z.12</w:t>
            </w:r>
          </w:p>
        </w:tc>
        <w:tc>
          <w:tcPr>
            <w:tcW w:w="851" w:type="dxa"/>
          </w:tcPr>
          <w:p>
            <w:pPr>
              <w:pStyle w:val="yTableNAm"/>
            </w:pPr>
            <w:r>
              <w:rPr>
                <w:sz w:val="16"/>
                <w:szCs w:val="16"/>
              </w:rPr>
              <w:t>400</w:t>
            </w:r>
          </w:p>
        </w:tc>
        <w:tc>
          <w:tcPr>
            <w:tcW w:w="992" w:type="dxa"/>
          </w:tcPr>
          <w:p>
            <w:pPr>
              <w:pStyle w:val="yTableNAm"/>
            </w:pPr>
            <w:r>
              <w:rPr>
                <w:sz w:val="16"/>
                <w:szCs w:val="16"/>
              </w:rPr>
              <w:t xml:space="preserve">Mercury Vapour </w:t>
            </w:r>
            <w:r>
              <w:rPr>
                <w:sz w:val="16"/>
                <w:szCs w:val="16"/>
              </w:rPr>
              <w:br/>
              <w:t>100% E.C. cost</w:t>
            </w:r>
          </w:p>
        </w:tc>
        <w:tc>
          <w:tcPr>
            <w:tcW w:w="1512" w:type="dxa"/>
          </w:tcPr>
          <w:p>
            <w:pPr>
              <w:pStyle w:val="yTableNAm"/>
            </w:pPr>
            <w:r>
              <w:rPr>
                <w:sz w:val="16"/>
                <w:szCs w:val="16"/>
              </w:rPr>
              <w:t>105.3979</w:t>
            </w:r>
          </w:p>
        </w:tc>
        <w:tc>
          <w:tcPr>
            <w:tcW w:w="1512" w:type="dxa"/>
          </w:tcPr>
          <w:p>
            <w:pPr>
              <w:pStyle w:val="yTableNAm"/>
            </w:pPr>
            <w:r>
              <w:rPr>
                <w:sz w:val="16"/>
                <w:szCs w:val="16"/>
              </w:rPr>
              <w:t>109.9956</w:t>
            </w:r>
          </w:p>
        </w:tc>
        <w:tc>
          <w:tcPr>
            <w:tcW w:w="1512" w:type="dxa"/>
          </w:tcPr>
          <w:p>
            <w:pPr>
              <w:pStyle w:val="yTableNAm"/>
            </w:pPr>
            <w:r>
              <w:rPr>
                <w:sz w:val="16"/>
                <w:szCs w:val="16"/>
              </w:rPr>
              <w:t>127.4768</w:t>
            </w:r>
          </w:p>
        </w:tc>
      </w:tr>
      <w:tr>
        <w:trPr>
          <w:cantSplit/>
        </w:trPr>
        <w:tc>
          <w:tcPr>
            <w:tcW w:w="567" w:type="dxa"/>
          </w:tcPr>
          <w:p>
            <w:pPr>
              <w:pStyle w:val="yTableNAm"/>
            </w:pPr>
            <w:r>
              <w:rPr>
                <w:sz w:val="16"/>
                <w:szCs w:val="16"/>
              </w:rPr>
              <w:t>Z.14</w:t>
            </w:r>
          </w:p>
        </w:tc>
        <w:tc>
          <w:tcPr>
            <w:tcW w:w="851" w:type="dxa"/>
          </w:tcPr>
          <w:p>
            <w:pPr>
              <w:pStyle w:val="yTableNAm"/>
            </w:pPr>
            <w:r>
              <w:rPr>
                <w:sz w:val="16"/>
                <w:szCs w:val="16"/>
              </w:rPr>
              <w:t>150</w:t>
            </w:r>
          </w:p>
        </w:tc>
        <w:tc>
          <w:tcPr>
            <w:tcW w:w="992" w:type="dxa"/>
          </w:tcPr>
          <w:p>
            <w:pPr>
              <w:pStyle w:val="yTableNAm"/>
            </w:pPr>
            <w:r>
              <w:rPr>
                <w:sz w:val="16"/>
                <w:szCs w:val="16"/>
              </w:rPr>
              <w:t>High Pressure Sodium</w:t>
            </w:r>
          </w:p>
        </w:tc>
        <w:tc>
          <w:tcPr>
            <w:tcW w:w="1512" w:type="dxa"/>
          </w:tcPr>
          <w:p>
            <w:pPr>
              <w:pStyle w:val="yTableNAm"/>
            </w:pPr>
            <w:r>
              <w:rPr>
                <w:sz w:val="16"/>
                <w:szCs w:val="16"/>
              </w:rPr>
              <w:t>69.8288</w:t>
            </w:r>
          </w:p>
        </w:tc>
        <w:tc>
          <w:tcPr>
            <w:tcW w:w="1512" w:type="dxa"/>
          </w:tcPr>
          <w:p>
            <w:pPr>
              <w:pStyle w:val="yTableNAm"/>
            </w:pPr>
            <w:r>
              <w:rPr>
                <w:sz w:val="16"/>
                <w:szCs w:val="16"/>
              </w:rPr>
              <w:t>71.4572</w:t>
            </w:r>
          </w:p>
        </w:tc>
        <w:tc>
          <w:tcPr>
            <w:tcW w:w="1512" w:type="dxa"/>
          </w:tcPr>
          <w:p>
            <w:pPr>
              <w:pStyle w:val="yTableNAm"/>
            </w:pPr>
            <w:r>
              <w:rPr>
                <w:sz w:val="16"/>
                <w:szCs w:val="16"/>
              </w:rPr>
              <w:t>80.7166</w:t>
            </w:r>
          </w:p>
        </w:tc>
      </w:tr>
      <w:tr>
        <w:trPr>
          <w:cantSplit/>
        </w:trPr>
        <w:tc>
          <w:tcPr>
            <w:tcW w:w="567" w:type="dxa"/>
          </w:tcPr>
          <w:p>
            <w:pPr>
              <w:pStyle w:val="yTableNAm"/>
            </w:pPr>
            <w:r>
              <w:rPr>
                <w:sz w:val="16"/>
                <w:szCs w:val="16"/>
              </w:rPr>
              <w:t>Z.16</w:t>
            </w:r>
          </w:p>
        </w:tc>
        <w:tc>
          <w:tcPr>
            <w:tcW w:w="851" w:type="dxa"/>
          </w:tcPr>
          <w:p>
            <w:pPr>
              <w:pStyle w:val="yTableNAm"/>
            </w:pPr>
            <w:r>
              <w:rPr>
                <w:sz w:val="16"/>
                <w:szCs w:val="16"/>
              </w:rPr>
              <w:t>250</w:t>
            </w:r>
          </w:p>
        </w:tc>
        <w:tc>
          <w:tcPr>
            <w:tcW w:w="992" w:type="dxa"/>
          </w:tcPr>
          <w:p>
            <w:pPr>
              <w:pStyle w:val="yTableNAm"/>
            </w:pPr>
            <w:r>
              <w:rPr>
                <w:sz w:val="16"/>
                <w:szCs w:val="16"/>
              </w:rPr>
              <w:t>High Pressure Sodium</w:t>
            </w:r>
            <w:r>
              <w:rPr>
                <w:sz w:val="16"/>
                <w:szCs w:val="16"/>
              </w:rPr>
              <w:br/>
              <w:t>50% E.C. cost</w:t>
            </w:r>
          </w:p>
        </w:tc>
        <w:tc>
          <w:tcPr>
            <w:tcW w:w="1512" w:type="dxa"/>
          </w:tcPr>
          <w:p>
            <w:pPr>
              <w:pStyle w:val="yTableNAm"/>
            </w:pPr>
            <w:r>
              <w:rPr>
                <w:sz w:val="16"/>
                <w:szCs w:val="16"/>
              </w:rPr>
              <w:t>80.2377</w:t>
            </w:r>
          </w:p>
        </w:tc>
        <w:tc>
          <w:tcPr>
            <w:tcW w:w="1512" w:type="dxa"/>
          </w:tcPr>
          <w:p>
            <w:pPr>
              <w:pStyle w:val="yTableNAm"/>
            </w:pPr>
            <w:r>
              <w:rPr>
                <w:sz w:val="16"/>
                <w:szCs w:val="16"/>
              </w:rPr>
              <w:t>83.8457</w:t>
            </w:r>
          </w:p>
        </w:tc>
        <w:tc>
          <w:tcPr>
            <w:tcW w:w="1512" w:type="dxa"/>
          </w:tcPr>
          <w:p>
            <w:pPr>
              <w:pStyle w:val="yTableNAm"/>
            </w:pPr>
            <w:r>
              <w:rPr>
                <w:sz w:val="16"/>
                <w:szCs w:val="16"/>
              </w:rPr>
              <w:t>97.6072</w:t>
            </w:r>
          </w:p>
        </w:tc>
      </w:tr>
      <w:tr>
        <w:trPr>
          <w:cantSplit/>
        </w:trPr>
        <w:tc>
          <w:tcPr>
            <w:tcW w:w="567" w:type="dxa"/>
          </w:tcPr>
          <w:p>
            <w:pPr>
              <w:pStyle w:val="yTableNAm"/>
            </w:pPr>
            <w:r>
              <w:rPr>
                <w:sz w:val="16"/>
                <w:szCs w:val="16"/>
              </w:rPr>
              <w:t>Z.17</w:t>
            </w:r>
          </w:p>
        </w:tc>
        <w:tc>
          <w:tcPr>
            <w:tcW w:w="851" w:type="dxa"/>
          </w:tcPr>
          <w:p>
            <w:pPr>
              <w:pStyle w:val="yTableNAm"/>
            </w:pPr>
            <w:r>
              <w:rPr>
                <w:sz w:val="16"/>
                <w:szCs w:val="16"/>
              </w:rPr>
              <w:t>250</w:t>
            </w:r>
          </w:p>
        </w:tc>
        <w:tc>
          <w:tcPr>
            <w:tcW w:w="992" w:type="dxa"/>
          </w:tcPr>
          <w:p>
            <w:pPr>
              <w:pStyle w:val="yTableNAm"/>
            </w:pPr>
            <w:r>
              <w:rPr>
                <w:sz w:val="16"/>
                <w:szCs w:val="16"/>
              </w:rPr>
              <w:t xml:space="preserve">High Pressure Sodium </w:t>
            </w:r>
            <w:r>
              <w:rPr>
                <w:sz w:val="16"/>
                <w:szCs w:val="16"/>
              </w:rPr>
              <w:br/>
              <w:t>100% E.C. cost</w:t>
            </w:r>
          </w:p>
        </w:tc>
        <w:tc>
          <w:tcPr>
            <w:tcW w:w="1512" w:type="dxa"/>
          </w:tcPr>
          <w:p>
            <w:pPr>
              <w:pStyle w:val="yTableNAm"/>
            </w:pPr>
            <w:r>
              <w:rPr>
                <w:sz w:val="16"/>
                <w:szCs w:val="16"/>
              </w:rPr>
              <w:t>93.3446</w:t>
            </w:r>
          </w:p>
        </w:tc>
        <w:tc>
          <w:tcPr>
            <w:tcW w:w="1512" w:type="dxa"/>
          </w:tcPr>
          <w:p>
            <w:pPr>
              <w:pStyle w:val="yTableNAm"/>
            </w:pPr>
            <w:r>
              <w:rPr>
                <w:sz w:val="16"/>
                <w:szCs w:val="16"/>
              </w:rPr>
              <w:t>97.0005</w:t>
            </w:r>
          </w:p>
        </w:tc>
        <w:tc>
          <w:tcPr>
            <w:tcW w:w="1512" w:type="dxa"/>
          </w:tcPr>
          <w:p>
            <w:pPr>
              <w:pStyle w:val="yTableNAm"/>
            </w:pPr>
            <w:r>
              <w:rPr>
                <w:sz w:val="16"/>
                <w:szCs w:val="16"/>
              </w:rPr>
              <w:t>110.7778</w:t>
            </w:r>
          </w:p>
        </w:tc>
      </w:tr>
      <w:tr>
        <w:trPr>
          <w:cantSplit/>
        </w:trPr>
        <w:tc>
          <w:tcPr>
            <w:tcW w:w="567" w:type="dxa"/>
          </w:tcPr>
          <w:p>
            <w:pPr>
              <w:pStyle w:val="yTableNAm"/>
            </w:pPr>
            <w:r>
              <w:rPr>
                <w:sz w:val="16"/>
                <w:szCs w:val="16"/>
              </w:rPr>
              <w:t>Z.51</w:t>
            </w:r>
          </w:p>
        </w:tc>
        <w:tc>
          <w:tcPr>
            <w:tcW w:w="851" w:type="dxa"/>
          </w:tcPr>
          <w:p>
            <w:pPr>
              <w:pStyle w:val="yTableNAm"/>
            </w:pPr>
            <w:r>
              <w:rPr>
                <w:sz w:val="16"/>
                <w:szCs w:val="16"/>
              </w:rPr>
              <w:t>60</w:t>
            </w:r>
          </w:p>
        </w:tc>
        <w:tc>
          <w:tcPr>
            <w:tcW w:w="992" w:type="dxa"/>
          </w:tcPr>
          <w:p>
            <w:pPr>
              <w:pStyle w:val="yTableNAm"/>
            </w:pPr>
            <w:r>
              <w:rPr>
                <w:sz w:val="16"/>
                <w:szCs w:val="16"/>
              </w:rPr>
              <w:t>Incandescent</w:t>
            </w:r>
          </w:p>
        </w:tc>
        <w:tc>
          <w:tcPr>
            <w:tcW w:w="1512" w:type="dxa"/>
          </w:tcPr>
          <w:p>
            <w:pPr>
              <w:pStyle w:val="yTableNAm"/>
            </w:pPr>
            <w:r>
              <w:rPr>
                <w:sz w:val="16"/>
                <w:szCs w:val="16"/>
              </w:rPr>
              <w:t>32.8072</w:t>
            </w:r>
          </w:p>
        </w:tc>
        <w:tc>
          <w:tcPr>
            <w:tcW w:w="1512" w:type="dxa"/>
          </w:tcPr>
          <w:p>
            <w:pPr>
              <w:pStyle w:val="yTableNAm"/>
            </w:pPr>
            <w:r>
              <w:rPr>
                <w:sz w:val="16"/>
                <w:szCs w:val="16"/>
              </w:rPr>
              <w:t>33.5095</w:t>
            </w:r>
          </w:p>
        </w:tc>
        <w:tc>
          <w:tcPr>
            <w:tcW w:w="1512" w:type="dxa"/>
          </w:tcPr>
          <w:p>
            <w:pPr>
              <w:pStyle w:val="yTableNAm"/>
            </w:pPr>
            <w:r>
              <w:rPr>
                <w:sz w:val="16"/>
                <w:szCs w:val="16"/>
              </w:rPr>
              <w:t>36.0479</w:t>
            </w:r>
          </w:p>
        </w:tc>
      </w:tr>
      <w:tr>
        <w:trPr>
          <w:cantSplit/>
        </w:trPr>
        <w:tc>
          <w:tcPr>
            <w:tcW w:w="567" w:type="dxa"/>
          </w:tcPr>
          <w:p>
            <w:pPr>
              <w:pStyle w:val="yTableNAm"/>
            </w:pPr>
            <w:r>
              <w:rPr>
                <w:sz w:val="16"/>
                <w:szCs w:val="16"/>
              </w:rPr>
              <w:t>Z.52</w:t>
            </w:r>
          </w:p>
        </w:tc>
        <w:tc>
          <w:tcPr>
            <w:tcW w:w="851" w:type="dxa"/>
          </w:tcPr>
          <w:p>
            <w:pPr>
              <w:pStyle w:val="yTableNAm"/>
            </w:pPr>
            <w:r>
              <w:rPr>
                <w:sz w:val="16"/>
                <w:szCs w:val="16"/>
              </w:rPr>
              <w:t>100</w:t>
            </w:r>
          </w:p>
        </w:tc>
        <w:tc>
          <w:tcPr>
            <w:tcW w:w="992" w:type="dxa"/>
          </w:tcPr>
          <w:p>
            <w:pPr>
              <w:pStyle w:val="yTableNAm"/>
            </w:pPr>
            <w:r>
              <w:rPr>
                <w:sz w:val="16"/>
                <w:szCs w:val="16"/>
              </w:rPr>
              <w:t>Incandescent</w:t>
            </w:r>
          </w:p>
        </w:tc>
        <w:tc>
          <w:tcPr>
            <w:tcW w:w="1512" w:type="dxa"/>
          </w:tcPr>
          <w:p>
            <w:pPr>
              <w:pStyle w:val="yTableNAm"/>
            </w:pPr>
            <w:r>
              <w:rPr>
                <w:sz w:val="16"/>
                <w:szCs w:val="16"/>
              </w:rPr>
              <w:t>32.8071</w:t>
            </w:r>
          </w:p>
        </w:tc>
        <w:tc>
          <w:tcPr>
            <w:tcW w:w="1512" w:type="dxa"/>
          </w:tcPr>
          <w:p>
            <w:pPr>
              <w:pStyle w:val="yTableNAm"/>
            </w:pPr>
            <w:r>
              <w:rPr>
                <w:sz w:val="16"/>
                <w:szCs w:val="16"/>
              </w:rPr>
              <w:t>33.5095</w:t>
            </w:r>
          </w:p>
        </w:tc>
        <w:tc>
          <w:tcPr>
            <w:tcW w:w="1512" w:type="dxa"/>
          </w:tcPr>
          <w:p>
            <w:pPr>
              <w:pStyle w:val="yTableNAm"/>
            </w:pPr>
            <w:r>
              <w:rPr>
                <w:sz w:val="16"/>
                <w:szCs w:val="16"/>
              </w:rPr>
              <w:t>36.0478</w:t>
            </w:r>
          </w:p>
        </w:tc>
      </w:tr>
      <w:tr>
        <w:trPr>
          <w:cantSplit/>
        </w:trPr>
        <w:tc>
          <w:tcPr>
            <w:tcW w:w="567" w:type="dxa"/>
          </w:tcPr>
          <w:p>
            <w:pPr>
              <w:pStyle w:val="yTableNAm"/>
            </w:pPr>
            <w:r>
              <w:rPr>
                <w:sz w:val="16"/>
                <w:szCs w:val="16"/>
              </w:rPr>
              <w:t>Z.53</w:t>
            </w:r>
          </w:p>
        </w:tc>
        <w:tc>
          <w:tcPr>
            <w:tcW w:w="851" w:type="dxa"/>
          </w:tcPr>
          <w:p>
            <w:pPr>
              <w:pStyle w:val="yTableNAm"/>
            </w:pPr>
            <w:r>
              <w:rPr>
                <w:sz w:val="16"/>
                <w:szCs w:val="16"/>
              </w:rPr>
              <w:t>200</w:t>
            </w:r>
          </w:p>
        </w:tc>
        <w:tc>
          <w:tcPr>
            <w:tcW w:w="992" w:type="dxa"/>
          </w:tcPr>
          <w:p>
            <w:pPr>
              <w:pStyle w:val="yTableNAm"/>
            </w:pPr>
            <w:r>
              <w:rPr>
                <w:sz w:val="16"/>
                <w:szCs w:val="16"/>
              </w:rPr>
              <w:t>Incandescent</w:t>
            </w:r>
          </w:p>
        </w:tc>
        <w:tc>
          <w:tcPr>
            <w:tcW w:w="1512" w:type="dxa"/>
          </w:tcPr>
          <w:p>
            <w:pPr>
              <w:pStyle w:val="yTableNAm"/>
            </w:pPr>
            <w:r>
              <w:rPr>
                <w:sz w:val="16"/>
                <w:szCs w:val="16"/>
              </w:rPr>
              <w:t>38.6342</w:t>
            </w:r>
          </w:p>
        </w:tc>
        <w:tc>
          <w:tcPr>
            <w:tcW w:w="1512" w:type="dxa"/>
          </w:tcPr>
          <w:p>
            <w:pPr>
              <w:pStyle w:val="yTableNAm"/>
            </w:pPr>
            <w:r>
              <w:rPr>
                <w:sz w:val="16"/>
                <w:szCs w:val="16"/>
              </w:rPr>
              <w:t>39.4963</w:t>
            </w:r>
          </w:p>
        </w:tc>
        <w:tc>
          <w:tcPr>
            <w:tcW w:w="1512" w:type="dxa"/>
          </w:tcPr>
          <w:p>
            <w:pPr>
              <w:pStyle w:val="yTableNAm"/>
            </w:pPr>
            <w:r>
              <w:rPr>
                <w:sz w:val="16"/>
                <w:szCs w:val="16"/>
              </w:rPr>
              <w:t>43.4555</w:t>
            </w:r>
          </w:p>
        </w:tc>
      </w:tr>
      <w:tr>
        <w:trPr>
          <w:cantSplit/>
        </w:trPr>
        <w:tc>
          <w:tcPr>
            <w:tcW w:w="567" w:type="dxa"/>
          </w:tcPr>
          <w:p>
            <w:pPr>
              <w:pStyle w:val="yTableNAm"/>
            </w:pPr>
            <w:r>
              <w:rPr>
                <w:sz w:val="16"/>
                <w:szCs w:val="16"/>
              </w:rPr>
              <w:t>Z.54</w:t>
            </w:r>
          </w:p>
        </w:tc>
        <w:tc>
          <w:tcPr>
            <w:tcW w:w="851" w:type="dxa"/>
          </w:tcPr>
          <w:p>
            <w:pPr>
              <w:pStyle w:val="yTableNAm"/>
            </w:pPr>
            <w:r>
              <w:rPr>
                <w:sz w:val="16"/>
                <w:szCs w:val="16"/>
              </w:rPr>
              <w:t>300</w:t>
            </w:r>
          </w:p>
        </w:tc>
        <w:tc>
          <w:tcPr>
            <w:tcW w:w="992" w:type="dxa"/>
          </w:tcPr>
          <w:p>
            <w:pPr>
              <w:pStyle w:val="yTableNAm"/>
            </w:pPr>
            <w:r>
              <w:rPr>
                <w:sz w:val="16"/>
                <w:szCs w:val="16"/>
              </w:rPr>
              <w:t>Incandescent</w:t>
            </w:r>
          </w:p>
        </w:tc>
        <w:tc>
          <w:tcPr>
            <w:tcW w:w="1512" w:type="dxa"/>
          </w:tcPr>
          <w:p>
            <w:pPr>
              <w:pStyle w:val="yTableNAm"/>
            </w:pPr>
            <w:r>
              <w:rPr>
                <w:sz w:val="16"/>
                <w:szCs w:val="16"/>
              </w:rPr>
              <w:t>47.7819</w:t>
            </w:r>
          </w:p>
        </w:tc>
        <w:tc>
          <w:tcPr>
            <w:tcW w:w="1512" w:type="dxa"/>
          </w:tcPr>
          <w:p>
            <w:pPr>
              <w:pStyle w:val="yTableNAm"/>
            </w:pPr>
            <w:r>
              <w:rPr>
                <w:sz w:val="16"/>
                <w:szCs w:val="16"/>
              </w:rPr>
              <w:t>49.3304</w:t>
            </w:r>
          </w:p>
        </w:tc>
        <w:tc>
          <w:tcPr>
            <w:tcW w:w="1512" w:type="dxa"/>
          </w:tcPr>
          <w:p>
            <w:pPr>
              <w:pStyle w:val="yTableNAm"/>
            </w:pPr>
            <w:r>
              <w:rPr>
                <w:sz w:val="16"/>
                <w:szCs w:val="16"/>
              </w:rPr>
              <w:t>54.9179</w:t>
            </w:r>
          </w:p>
        </w:tc>
      </w:tr>
      <w:tr>
        <w:trPr>
          <w:cantSplit/>
        </w:trPr>
        <w:tc>
          <w:tcPr>
            <w:tcW w:w="567" w:type="dxa"/>
          </w:tcPr>
          <w:p>
            <w:pPr>
              <w:pStyle w:val="yTableNAm"/>
            </w:pPr>
            <w:r>
              <w:rPr>
                <w:sz w:val="16"/>
                <w:szCs w:val="16"/>
              </w:rPr>
              <w:t>Z.55</w:t>
            </w:r>
          </w:p>
        </w:tc>
        <w:tc>
          <w:tcPr>
            <w:tcW w:w="851" w:type="dxa"/>
          </w:tcPr>
          <w:p>
            <w:pPr>
              <w:pStyle w:val="yTableNAm"/>
            </w:pPr>
            <w:r>
              <w:rPr>
                <w:sz w:val="16"/>
                <w:szCs w:val="16"/>
              </w:rPr>
              <w:t>500</w:t>
            </w:r>
          </w:p>
        </w:tc>
        <w:tc>
          <w:tcPr>
            <w:tcW w:w="992" w:type="dxa"/>
          </w:tcPr>
          <w:p>
            <w:pPr>
              <w:pStyle w:val="yTableNAm"/>
            </w:pPr>
            <w:r>
              <w:rPr>
                <w:sz w:val="16"/>
                <w:szCs w:val="16"/>
              </w:rPr>
              <w:t>Incandescent</w:t>
            </w:r>
          </w:p>
        </w:tc>
        <w:tc>
          <w:tcPr>
            <w:tcW w:w="1512" w:type="dxa"/>
          </w:tcPr>
          <w:p>
            <w:pPr>
              <w:pStyle w:val="yTableNAm"/>
            </w:pPr>
            <w:r>
              <w:rPr>
                <w:sz w:val="16"/>
                <w:szCs w:val="16"/>
              </w:rPr>
              <w:t>76.8373</w:t>
            </w:r>
          </w:p>
        </w:tc>
        <w:tc>
          <w:tcPr>
            <w:tcW w:w="1512" w:type="dxa"/>
          </w:tcPr>
          <w:p>
            <w:pPr>
              <w:pStyle w:val="yTableNAm"/>
            </w:pPr>
            <w:r>
              <w:rPr>
                <w:sz w:val="16"/>
                <w:szCs w:val="16"/>
              </w:rPr>
              <w:t>79.8386</w:t>
            </w:r>
          </w:p>
        </w:tc>
        <w:tc>
          <w:tcPr>
            <w:tcW w:w="1512" w:type="dxa"/>
          </w:tcPr>
          <w:p>
            <w:pPr>
              <w:pStyle w:val="yTableNAm"/>
            </w:pPr>
            <w:r>
              <w:rPr>
                <w:sz w:val="16"/>
                <w:szCs w:val="16"/>
              </w:rPr>
              <w:t>91.1095</w:t>
            </w:r>
          </w:p>
        </w:tc>
      </w:tr>
      <w:tr>
        <w:trPr>
          <w:cantSplit/>
        </w:trPr>
        <w:tc>
          <w:tcPr>
            <w:tcW w:w="567" w:type="dxa"/>
          </w:tcPr>
          <w:p>
            <w:pPr>
              <w:pStyle w:val="yTableNAm"/>
            </w:pPr>
            <w:r>
              <w:rPr>
                <w:sz w:val="16"/>
                <w:szCs w:val="16"/>
              </w:rPr>
              <w:t>Z.56</w:t>
            </w:r>
          </w:p>
        </w:tc>
        <w:tc>
          <w:tcPr>
            <w:tcW w:w="851" w:type="dxa"/>
          </w:tcPr>
          <w:p>
            <w:pPr>
              <w:pStyle w:val="yTableNAm"/>
            </w:pPr>
            <w:r>
              <w:rPr>
                <w:sz w:val="16"/>
                <w:szCs w:val="16"/>
              </w:rPr>
              <w:t>40</w:t>
            </w:r>
          </w:p>
        </w:tc>
        <w:tc>
          <w:tcPr>
            <w:tcW w:w="992" w:type="dxa"/>
          </w:tcPr>
          <w:p>
            <w:pPr>
              <w:pStyle w:val="yTableNAm"/>
            </w:pPr>
            <w:r>
              <w:rPr>
                <w:sz w:val="16"/>
                <w:szCs w:val="16"/>
              </w:rPr>
              <w:t>Fluorescent</w:t>
            </w:r>
          </w:p>
        </w:tc>
        <w:tc>
          <w:tcPr>
            <w:tcW w:w="1512" w:type="dxa"/>
          </w:tcPr>
          <w:p>
            <w:pPr>
              <w:pStyle w:val="yTableNAm"/>
            </w:pPr>
            <w:r>
              <w:rPr>
                <w:sz w:val="16"/>
                <w:szCs w:val="16"/>
              </w:rPr>
              <w:t>32.8071</w:t>
            </w:r>
          </w:p>
        </w:tc>
        <w:tc>
          <w:tcPr>
            <w:tcW w:w="1512" w:type="dxa"/>
          </w:tcPr>
          <w:p>
            <w:pPr>
              <w:pStyle w:val="yTableNAm"/>
            </w:pPr>
            <w:r>
              <w:rPr>
                <w:sz w:val="16"/>
                <w:szCs w:val="16"/>
              </w:rPr>
              <w:t>33.5095</w:t>
            </w:r>
          </w:p>
        </w:tc>
        <w:tc>
          <w:tcPr>
            <w:tcW w:w="1512" w:type="dxa"/>
          </w:tcPr>
          <w:p>
            <w:pPr>
              <w:pStyle w:val="yTableNAm"/>
            </w:pPr>
            <w:r>
              <w:rPr>
                <w:sz w:val="16"/>
                <w:szCs w:val="16"/>
              </w:rPr>
              <w:t>36.0479</w:t>
            </w:r>
          </w:p>
        </w:tc>
      </w:tr>
      <w:tr>
        <w:trPr>
          <w:cantSplit/>
        </w:trPr>
        <w:tc>
          <w:tcPr>
            <w:tcW w:w="567" w:type="dxa"/>
          </w:tcPr>
          <w:p>
            <w:pPr>
              <w:pStyle w:val="yTableNAm"/>
            </w:pPr>
            <w:r>
              <w:rPr>
                <w:sz w:val="16"/>
                <w:szCs w:val="16"/>
              </w:rPr>
              <w:t>Z.57</w:t>
            </w:r>
          </w:p>
        </w:tc>
        <w:tc>
          <w:tcPr>
            <w:tcW w:w="851" w:type="dxa"/>
          </w:tcPr>
          <w:p>
            <w:pPr>
              <w:pStyle w:val="yTableNAm"/>
            </w:pPr>
            <w:r>
              <w:rPr>
                <w:sz w:val="16"/>
                <w:szCs w:val="16"/>
              </w:rPr>
              <w:t>80</w:t>
            </w:r>
          </w:p>
        </w:tc>
        <w:tc>
          <w:tcPr>
            <w:tcW w:w="992" w:type="dxa"/>
          </w:tcPr>
          <w:p>
            <w:pPr>
              <w:pStyle w:val="yTableNAm"/>
            </w:pPr>
            <w:r>
              <w:rPr>
                <w:sz w:val="16"/>
                <w:szCs w:val="16"/>
              </w:rPr>
              <w:t>Fluorescent</w:t>
            </w:r>
          </w:p>
        </w:tc>
        <w:tc>
          <w:tcPr>
            <w:tcW w:w="1512" w:type="dxa"/>
          </w:tcPr>
          <w:p>
            <w:pPr>
              <w:pStyle w:val="yTableNAm"/>
            </w:pPr>
            <w:r>
              <w:rPr>
                <w:sz w:val="16"/>
                <w:szCs w:val="16"/>
              </w:rPr>
              <w:t>38.6341</w:t>
            </w:r>
          </w:p>
        </w:tc>
        <w:tc>
          <w:tcPr>
            <w:tcW w:w="1512" w:type="dxa"/>
          </w:tcPr>
          <w:p>
            <w:pPr>
              <w:pStyle w:val="yTableNAm"/>
            </w:pPr>
            <w:r>
              <w:rPr>
                <w:sz w:val="16"/>
                <w:szCs w:val="16"/>
              </w:rPr>
              <w:t>39.4963</w:t>
            </w:r>
          </w:p>
        </w:tc>
        <w:tc>
          <w:tcPr>
            <w:tcW w:w="1512" w:type="dxa"/>
          </w:tcPr>
          <w:p>
            <w:pPr>
              <w:pStyle w:val="yTableNAm"/>
            </w:pPr>
            <w:r>
              <w:rPr>
                <w:sz w:val="16"/>
                <w:szCs w:val="16"/>
              </w:rPr>
              <w:t>43.4555</w:t>
            </w:r>
          </w:p>
        </w:tc>
      </w:tr>
      <w:tr>
        <w:trPr>
          <w:cantSplit/>
        </w:trPr>
        <w:tc>
          <w:tcPr>
            <w:tcW w:w="567" w:type="dxa"/>
            <w:tcBorders>
              <w:bottom w:val="single" w:sz="4" w:space="0" w:color="auto"/>
            </w:tcBorders>
          </w:tcPr>
          <w:p>
            <w:pPr>
              <w:pStyle w:val="yTableNAm"/>
            </w:pPr>
            <w:r>
              <w:rPr>
                <w:sz w:val="16"/>
                <w:szCs w:val="16"/>
              </w:rPr>
              <w:t>Z.58</w:t>
            </w:r>
          </w:p>
        </w:tc>
        <w:tc>
          <w:tcPr>
            <w:tcW w:w="851" w:type="dxa"/>
            <w:tcBorders>
              <w:bottom w:val="single" w:sz="4" w:space="0" w:color="auto"/>
            </w:tcBorders>
          </w:tcPr>
          <w:p>
            <w:pPr>
              <w:pStyle w:val="yTableNAm"/>
            </w:pPr>
            <w:r>
              <w:rPr>
                <w:sz w:val="16"/>
                <w:szCs w:val="16"/>
              </w:rPr>
              <w:t>160</w:t>
            </w:r>
          </w:p>
        </w:tc>
        <w:tc>
          <w:tcPr>
            <w:tcW w:w="992" w:type="dxa"/>
            <w:tcBorders>
              <w:bottom w:val="single" w:sz="4" w:space="0" w:color="auto"/>
            </w:tcBorders>
          </w:tcPr>
          <w:p>
            <w:pPr>
              <w:pStyle w:val="yTableNAm"/>
            </w:pPr>
            <w:r>
              <w:rPr>
                <w:sz w:val="16"/>
                <w:szCs w:val="16"/>
              </w:rPr>
              <w:t>Fluorescent</w:t>
            </w:r>
          </w:p>
        </w:tc>
        <w:tc>
          <w:tcPr>
            <w:tcW w:w="1512" w:type="dxa"/>
            <w:tcBorders>
              <w:bottom w:val="single" w:sz="4" w:space="0" w:color="auto"/>
            </w:tcBorders>
          </w:tcPr>
          <w:p>
            <w:pPr>
              <w:pStyle w:val="yTableNAm"/>
            </w:pPr>
            <w:r>
              <w:rPr>
                <w:sz w:val="16"/>
                <w:szCs w:val="16"/>
              </w:rPr>
              <w:t>54.0401</w:t>
            </w:r>
          </w:p>
        </w:tc>
        <w:tc>
          <w:tcPr>
            <w:tcW w:w="1512" w:type="dxa"/>
            <w:tcBorders>
              <w:bottom w:val="single" w:sz="4" w:space="0" w:color="auto"/>
            </w:tcBorders>
          </w:tcPr>
          <w:p>
            <w:pPr>
              <w:pStyle w:val="yTableNAm"/>
            </w:pPr>
            <w:r>
              <w:rPr>
                <w:sz w:val="16"/>
                <w:szCs w:val="16"/>
              </w:rPr>
              <w:t>54.7902</w:t>
            </w:r>
          </w:p>
        </w:tc>
        <w:tc>
          <w:tcPr>
            <w:tcW w:w="1512" w:type="dxa"/>
            <w:tcBorders>
              <w:bottom w:val="single" w:sz="4" w:space="0" w:color="auto"/>
            </w:tcBorders>
          </w:tcPr>
          <w:p>
            <w:pPr>
              <w:pStyle w:val="yTableNAm"/>
            </w:pPr>
            <w:r>
              <w:rPr>
                <w:sz w:val="16"/>
                <w:szCs w:val="16"/>
              </w:rPr>
              <w:t>63.5707</w:t>
            </w:r>
          </w:p>
        </w:tc>
      </w:tr>
    </w:tbl>
    <w:p>
      <w:pPr>
        <w:pStyle w:val="yFootnotesection"/>
      </w:pPr>
      <w:r>
        <w:tab/>
        <w:t>[Division 1 inserted in Gazette 22 Aug 2014 p. 3021</w:t>
      </w:r>
      <w:r>
        <w:noBreakHyphen/>
        <w:t>3.]</w:t>
      </w:r>
    </w:p>
    <w:bookmarkEnd w:id="39"/>
    <w:p>
      <w:pPr>
        <w:sectPr>
          <w:headerReference w:type="even" r:id="rId28"/>
          <w:headerReference w:type="default" r:id="rId29"/>
          <w:endnotePr>
            <w:numFmt w:val="decimal"/>
          </w:endnotePr>
          <w:pgSz w:w="11906" w:h="16838" w:code="9"/>
          <w:pgMar w:top="2376" w:right="2405" w:bottom="3542" w:left="2405" w:header="706" w:footer="3380" w:gutter="0"/>
          <w:cols w:space="720"/>
          <w:noEndnote/>
          <w:docGrid w:linePitch="326"/>
        </w:sectPr>
      </w:pPr>
    </w:p>
    <w:p>
      <w:pPr>
        <w:pStyle w:val="yHeading3"/>
      </w:pPr>
      <w:bookmarkStart w:id="40" w:name="_Toc396400722"/>
      <w:bookmarkStart w:id="41" w:name="_Toc396400899"/>
      <w:bookmarkStart w:id="42" w:name="_Toc396400971"/>
      <w:bookmarkStart w:id="43" w:name="_Toc396401689"/>
      <w:bookmarkStart w:id="44" w:name="_Toc396402201"/>
      <w:bookmarkStart w:id="45" w:name="_Toc391911872"/>
      <w:r>
        <w:rPr>
          <w:rStyle w:val="CharSDivNo"/>
        </w:rPr>
        <w:t>Division 2</w:t>
      </w:r>
      <w:r>
        <w:t> — </w:t>
      </w:r>
      <w:r>
        <w:rPr>
          <w:rStyle w:val="CharSDivText"/>
        </w:rPr>
        <w:t>Miscellaneous</w:t>
      </w:r>
      <w:bookmarkEnd w:id="40"/>
      <w:bookmarkEnd w:id="41"/>
      <w:bookmarkEnd w:id="42"/>
      <w:bookmarkEnd w:id="43"/>
      <w:bookmarkEnd w:id="44"/>
    </w:p>
    <w:p>
      <w:pPr>
        <w:pStyle w:val="yFootnoteheading"/>
        <w:spacing w:after="120"/>
      </w:pPr>
      <w:r>
        <w:tab/>
        <w:t>[Heading inserted in Gazette 22 Aug 2014 p. 3023.]</w:t>
      </w:r>
    </w:p>
    <w:p>
      <w:pPr>
        <w:pStyle w:val="yHeading5"/>
      </w:pPr>
      <w:bookmarkStart w:id="46" w:name="_Toc396402202"/>
      <w:r>
        <w:rPr>
          <w:rStyle w:val="CharSClsNo"/>
        </w:rPr>
        <w:t>1</w:t>
      </w:r>
      <w:r>
        <w:t>.</w:t>
      </w:r>
      <w:r>
        <w:tab/>
        <w:t>Traffic light installations</w:t>
      </w:r>
      <w:bookmarkEnd w:id="46"/>
    </w:p>
    <w:p>
      <w:pPr>
        <w:pStyle w:val="ySubsection"/>
      </w:pPr>
      <w:r>
        <w:tab/>
      </w:r>
      <w:r>
        <w:tab/>
        <w:t>Supply of electricity to traffic light installations comprises a charge of $5.6889 per day per kW of installed wattage.</w:t>
      </w:r>
    </w:p>
    <w:p>
      <w:pPr>
        <w:pStyle w:val="yFootnotesection"/>
      </w:pPr>
      <w:r>
        <w:tab/>
        <w:t>[Clause 1 inserted in Gazette 22 Aug 2014 p. 3023.]</w:t>
      </w:r>
    </w:p>
    <w:p>
      <w:pPr>
        <w:pStyle w:val="yHeading5"/>
      </w:pPr>
      <w:bookmarkStart w:id="47" w:name="_Toc396402203"/>
      <w:r>
        <w:rPr>
          <w:rStyle w:val="CharSClsNo"/>
        </w:rPr>
        <w:t>2</w:t>
      </w:r>
      <w:r>
        <w:t>.</w:t>
      </w:r>
      <w:r>
        <w:tab/>
        <w:t>Public telephone facility</w:t>
      </w:r>
      <w:bookmarkEnd w:id="47"/>
    </w:p>
    <w:p>
      <w:pPr>
        <w:pStyle w:val="ySubsection"/>
      </w:pPr>
      <w:r>
        <w:tab/>
      </w:r>
      <w:r>
        <w:tab/>
        <w:t>Supply of electricity to a standard public telephone facility where supply is not independently metered comprises a charge of 49.4971 cents per day.</w:t>
      </w:r>
    </w:p>
    <w:p>
      <w:pPr>
        <w:pStyle w:val="yFootnotesection"/>
      </w:pPr>
      <w:r>
        <w:tab/>
        <w:t>[Clause 2 inserted in Gazette 22 Aug 2014 p. 3023.]</w:t>
      </w:r>
    </w:p>
    <w:p>
      <w:pPr>
        <w:pStyle w:val="yHeading5"/>
      </w:pPr>
      <w:bookmarkStart w:id="48" w:name="_Toc396402204"/>
      <w:r>
        <w:rPr>
          <w:rStyle w:val="CharSClsNo"/>
        </w:rPr>
        <w:t>3</w:t>
      </w:r>
      <w:r>
        <w:t>.</w:t>
      </w:r>
      <w:r>
        <w:tab/>
        <w:t>Railway crossing</w:t>
      </w:r>
      <w:bookmarkEnd w:id="48"/>
    </w:p>
    <w:p>
      <w:pPr>
        <w:pStyle w:val="ySubsection"/>
      </w:pPr>
      <w:r>
        <w:tab/>
      </w:r>
      <w:r>
        <w:tab/>
        <w:t>Supply of electricity to standard railway crossing lights comprises a charge of 63.2540 cents per day.</w:t>
      </w:r>
    </w:p>
    <w:p>
      <w:pPr>
        <w:pStyle w:val="yFootnotesection"/>
      </w:pPr>
      <w:r>
        <w:tab/>
        <w:t>[Clause 3 inserted in Gazette 22 Aug 2014 p. 3023.]</w:t>
      </w:r>
    </w:p>
    <w:bookmarkEnd w:id="45"/>
    <w:p>
      <w:pPr>
        <w:sectPr>
          <w:headerReference w:type="even" r:id="rId30"/>
          <w:headerReference w:type="default" r:id="rId31"/>
          <w:endnotePr>
            <w:numFmt w:val="decimal"/>
          </w:endnotePr>
          <w:pgSz w:w="11906" w:h="16838" w:code="9"/>
          <w:pgMar w:top="2376" w:right="2405" w:bottom="3542" w:left="2405" w:header="706" w:footer="3380" w:gutter="0"/>
          <w:cols w:space="720"/>
          <w:noEndnote/>
          <w:docGrid w:linePitch="326"/>
        </w:sectPr>
      </w:pPr>
    </w:p>
    <w:p>
      <w:pPr>
        <w:pStyle w:val="yScheduleHeading"/>
      </w:pPr>
      <w:bookmarkStart w:id="49" w:name="_Toc391911876"/>
      <w:bookmarkStart w:id="50" w:name="_Toc396400726"/>
      <w:bookmarkStart w:id="51" w:name="_Toc396400903"/>
      <w:bookmarkStart w:id="52" w:name="_Toc396400975"/>
      <w:bookmarkStart w:id="53" w:name="_Toc396401693"/>
      <w:bookmarkStart w:id="54" w:name="_Toc396402205"/>
      <w:r>
        <w:rPr>
          <w:rStyle w:val="CharSchNo"/>
        </w:rPr>
        <w:t>Schedule 3</w:t>
      </w:r>
      <w:r>
        <w:rPr>
          <w:rStyle w:val="CharSDivNo"/>
        </w:rPr>
        <w:t> </w:t>
      </w:r>
      <w:r>
        <w:t>—</w:t>
      </w:r>
      <w:r>
        <w:rPr>
          <w:rStyle w:val="CharSDivText"/>
        </w:rPr>
        <w:t> </w:t>
      </w:r>
      <w:r>
        <w:rPr>
          <w:rStyle w:val="CharSchText"/>
        </w:rPr>
        <w:t>Meter rentals</w:t>
      </w:r>
      <w:bookmarkEnd w:id="49"/>
      <w:bookmarkEnd w:id="50"/>
      <w:bookmarkEnd w:id="51"/>
      <w:bookmarkEnd w:id="52"/>
      <w:bookmarkEnd w:id="53"/>
      <w:bookmarkEnd w:id="54"/>
    </w:p>
    <w:p>
      <w:pPr>
        <w:pStyle w:val="yShoulderClause"/>
        <w:spacing w:after="60"/>
      </w:pPr>
      <w: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55" w:name="_Toc391911877"/>
      <w:bookmarkStart w:id="56" w:name="_Toc396400727"/>
      <w:bookmarkStart w:id="57" w:name="_Toc396400904"/>
      <w:bookmarkStart w:id="58" w:name="_Toc396400976"/>
      <w:bookmarkStart w:id="59" w:name="_Toc396401694"/>
      <w:bookmarkStart w:id="60" w:name="_Toc396402206"/>
      <w:r>
        <w:rPr>
          <w:rStyle w:val="CharSchNo"/>
        </w:rPr>
        <w:t>Schedule 4</w:t>
      </w:r>
      <w:r>
        <w:t> — </w:t>
      </w:r>
      <w:r>
        <w:rPr>
          <w:rStyle w:val="CharSchText"/>
        </w:rPr>
        <w:t>Fees</w:t>
      </w:r>
      <w:bookmarkEnd w:id="55"/>
      <w:bookmarkEnd w:id="56"/>
      <w:bookmarkEnd w:id="57"/>
      <w:bookmarkEnd w:id="58"/>
      <w:bookmarkEnd w:id="59"/>
      <w:bookmarkEnd w:id="60"/>
    </w:p>
    <w:p>
      <w:pPr>
        <w:pStyle w:val="yShoulderClause"/>
      </w:pPr>
      <w:r>
        <w:rPr>
          <w:szCs w:val="22"/>
        </w:rPr>
        <w:t>[bl. 7]</w:t>
      </w:r>
    </w:p>
    <w:p>
      <w:pPr>
        <w:pStyle w:val="yFootnoteheading"/>
        <w:spacing w:after="120"/>
      </w:pPr>
      <w:r>
        <w:tab/>
        <w:t>[Heading inserted in Gazette 26 Mar 2010 p. 1187; amended in Gazette 22 Aug 2014 p. 3023.]</w:t>
      </w:r>
    </w:p>
    <w:tbl>
      <w:tblPr>
        <w:tblW w:w="0" w:type="auto"/>
        <w:tblInd w:w="284" w:type="dxa"/>
        <w:tblLayout w:type="fixed"/>
        <w:tblCellMar>
          <w:left w:w="142" w:type="dxa"/>
          <w:right w:w="142" w:type="dxa"/>
        </w:tblCellMar>
        <w:tblLook w:val="0000" w:firstRow="0" w:lastRow="0" w:firstColumn="0" w:lastColumn="0" w:noHBand="0" w:noVBand="0"/>
      </w:tblPr>
      <w:tblGrid>
        <w:gridCol w:w="709"/>
        <w:gridCol w:w="4678"/>
        <w:gridCol w:w="1559"/>
      </w:tblGrid>
      <w:tr>
        <w:trPr>
          <w:cantSplit/>
          <w:tblHeader/>
        </w:trPr>
        <w:tc>
          <w:tcPr>
            <w:tcW w:w="709" w:type="dxa"/>
            <w:tcBorders>
              <w:top w:val="single" w:sz="4" w:space="0" w:color="auto"/>
              <w:bottom w:val="single" w:sz="4" w:space="0" w:color="auto"/>
            </w:tcBorders>
          </w:tcPr>
          <w:p>
            <w:pPr>
              <w:pStyle w:val="yTableNAm"/>
            </w:pPr>
          </w:p>
        </w:tc>
        <w:tc>
          <w:tcPr>
            <w:tcW w:w="4678" w:type="dxa"/>
            <w:tcBorders>
              <w:top w:val="single" w:sz="4" w:space="0" w:color="auto"/>
              <w:bottom w:val="single" w:sz="4" w:space="0" w:color="auto"/>
            </w:tcBorders>
          </w:tcPr>
          <w:p>
            <w:pPr>
              <w:pStyle w:val="yTableNAm"/>
              <w:rPr>
                <w:b/>
                <w:iCs/>
              </w:rPr>
            </w:pPr>
            <w:r>
              <w:rPr>
                <w:b/>
                <w:iCs/>
              </w:rPr>
              <w:t>Description of fee</w:t>
            </w:r>
          </w:p>
        </w:tc>
        <w:tc>
          <w:tcPr>
            <w:tcW w:w="1559" w:type="dxa"/>
            <w:tcBorders>
              <w:top w:val="single" w:sz="4" w:space="0" w:color="auto"/>
              <w:bottom w:val="single" w:sz="4" w:space="0" w:color="auto"/>
            </w:tcBorders>
          </w:tcPr>
          <w:p>
            <w:pPr>
              <w:pStyle w:val="yTableNAm"/>
              <w:rPr>
                <w:b/>
                <w:iCs/>
              </w:rPr>
            </w:pPr>
            <w:r>
              <w:rPr>
                <w:b/>
                <w:iCs/>
              </w:rPr>
              <w:t>Amount</w:t>
            </w:r>
          </w:p>
        </w:tc>
      </w:tr>
      <w:tr>
        <w:tc>
          <w:tcPr>
            <w:tcW w:w="709" w:type="dxa"/>
            <w:tcBorders>
              <w:top w:val="single" w:sz="4" w:space="0" w:color="auto"/>
            </w:tcBorders>
          </w:tcPr>
          <w:p>
            <w:pPr>
              <w:pStyle w:val="yTableNAm"/>
            </w:pPr>
            <w:r>
              <w:t>1.</w:t>
            </w:r>
          </w:p>
        </w:tc>
        <w:tc>
          <w:tcPr>
            <w:tcW w:w="4678" w:type="dxa"/>
            <w:tcBorders>
              <w:top w:val="single" w:sz="4" w:space="0" w:color="auto"/>
            </w:tcBorders>
          </w:tcPr>
          <w:p>
            <w:pPr>
              <w:pStyle w:val="yTableNAm"/>
              <w:tabs>
                <w:tab w:val="right" w:leader="dot" w:pos="4536"/>
              </w:tabs>
              <w:rPr>
                <w:b/>
                <w:iCs/>
              </w:rPr>
            </w:pPr>
            <w:r>
              <w:t>Non</w:t>
            </w:r>
            <w:r>
              <w:noBreakHyphen/>
              <w:t xml:space="preserve">refundable account establishment fee payable on the establishment or transfer of an account </w:t>
            </w:r>
            <w:r>
              <w:tab/>
            </w:r>
          </w:p>
        </w:tc>
        <w:tc>
          <w:tcPr>
            <w:tcW w:w="1559" w:type="dxa"/>
            <w:tcBorders>
              <w:top w:val="single" w:sz="4" w:space="0" w:color="auto"/>
            </w:tcBorders>
          </w:tcPr>
          <w:p>
            <w:pPr>
              <w:pStyle w:val="yTableNAm"/>
              <w:rPr>
                <w:bCs/>
                <w:iCs/>
              </w:rPr>
            </w:pPr>
            <w:r>
              <w:rPr>
                <w:bCs/>
                <w:iCs/>
              </w:rPr>
              <w:br/>
            </w:r>
            <w:r>
              <w:rPr>
                <w:bCs/>
                <w:iCs/>
              </w:rPr>
              <w:br/>
              <w:t>$33.80</w:t>
            </w:r>
          </w:p>
        </w:tc>
      </w:tr>
      <w:tr>
        <w:tc>
          <w:tcPr>
            <w:tcW w:w="709" w:type="dxa"/>
          </w:tcPr>
          <w:p>
            <w:pPr>
              <w:pStyle w:val="yTableNAm"/>
            </w:pPr>
            <w:r>
              <w:t>2.</w:t>
            </w:r>
          </w:p>
        </w:tc>
        <w:tc>
          <w:tcPr>
            <w:tcW w:w="4678" w:type="dxa"/>
          </w:tcPr>
          <w:p>
            <w:pPr>
              <w:pStyle w:val="yTableNAm"/>
            </w:pPr>
            <w:r>
              <w:t>Three phase residential installation — </w:t>
            </w:r>
          </w:p>
          <w:p>
            <w:pPr>
              <w:pStyle w:val="yTableNAm"/>
              <w:tabs>
                <w:tab w:val="clear" w:pos="567"/>
                <w:tab w:val="left" w:pos="207"/>
                <w:tab w:val="left" w:pos="708"/>
                <w:tab w:val="right" w:pos="934"/>
                <w:tab w:val="right" w:leader="dot" w:pos="4536"/>
              </w:tabs>
              <w:ind w:left="686" w:hanging="686"/>
            </w:pPr>
            <w:r>
              <w:tab/>
              <w:t>(a)</w:t>
            </w:r>
            <w:r>
              <w:tab/>
            </w:r>
            <w:r>
              <w:rPr>
                <w:iCs/>
              </w:rPr>
              <w:t>new</w:t>
            </w:r>
            <w:r>
              <w:t xml:space="preserve"> installation or replacement of single phase meter </w:t>
            </w:r>
            <w:r>
              <w:tab/>
            </w:r>
          </w:p>
          <w:p>
            <w:pPr>
              <w:pStyle w:val="yTableNAm"/>
              <w:tabs>
                <w:tab w:val="clear" w:pos="567"/>
                <w:tab w:val="left" w:pos="207"/>
                <w:tab w:val="left" w:pos="708"/>
                <w:tab w:val="right" w:pos="934"/>
                <w:tab w:val="right" w:leader="dot" w:pos="4536"/>
              </w:tabs>
              <w:ind w:left="686" w:hanging="686"/>
              <w:rPr>
                <w:b/>
                <w:iCs/>
              </w:rPr>
            </w:pPr>
            <w:r>
              <w:tab/>
              <w:t>(b)</w:t>
            </w:r>
            <w:r>
              <w:tab/>
              <w:t xml:space="preserve">installation of subsidiary three phase meter (each installation) </w:t>
            </w:r>
            <w:r>
              <w:tab/>
            </w:r>
          </w:p>
        </w:tc>
        <w:tc>
          <w:tcPr>
            <w:tcW w:w="1559" w:type="dxa"/>
          </w:tcPr>
          <w:p>
            <w:pPr>
              <w:pStyle w:val="yTableNAm"/>
              <w:rPr>
                <w:bCs/>
                <w:iCs/>
              </w:rPr>
            </w:pPr>
          </w:p>
          <w:p>
            <w:pPr>
              <w:pStyle w:val="yTableNAm"/>
              <w:rPr>
                <w:bCs/>
                <w:iCs/>
              </w:rPr>
            </w:pPr>
            <w:r>
              <w:rPr>
                <w:bCs/>
                <w:iCs/>
              </w:rPr>
              <w:br/>
              <w:t>$276.00</w:t>
            </w:r>
          </w:p>
          <w:p>
            <w:pPr>
              <w:pStyle w:val="yTableNAm"/>
              <w:rPr>
                <w:bCs/>
                <w:iCs/>
              </w:rPr>
            </w:pPr>
            <w:r>
              <w:rPr>
                <w:bCs/>
                <w:iCs/>
                <w:sz w:val="24"/>
              </w:rPr>
              <w:br/>
            </w:r>
            <w:r>
              <w:rPr>
                <w:bCs/>
                <w:iCs/>
              </w:rPr>
              <w:t>$148.50</w:t>
            </w:r>
          </w:p>
        </w:tc>
      </w:tr>
      <w:tr>
        <w:tc>
          <w:tcPr>
            <w:tcW w:w="709" w:type="dxa"/>
          </w:tcPr>
          <w:p>
            <w:pPr>
              <w:pStyle w:val="yTableNAm"/>
            </w:pPr>
            <w:r>
              <w:t>3.</w:t>
            </w:r>
          </w:p>
        </w:tc>
        <w:tc>
          <w:tcPr>
            <w:tcW w:w="4678" w:type="dxa"/>
          </w:tcPr>
          <w:p>
            <w:pPr>
              <w:pStyle w:val="yTableNAm"/>
              <w:tabs>
                <w:tab w:val="right" w:leader="dot" w:pos="4536"/>
              </w:tabs>
              <w:rPr>
                <w:b/>
                <w:iCs/>
              </w:rPr>
            </w:pPr>
            <w:r>
              <w:t>Non</w:t>
            </w:r>
            <w:r>
              <w:noBreakHyphen/>
              <w:t>refundable reconnection fee where supply has been terminated for non</w:t>
            </w:r>
            <w:r>
              <w:noBreakHyphen/>
              <w:t>payment of charges or for any other lawful reason</w:t>
            </w:r>
            <w:r>
              <w:tab/>
            </w:r>
          </w:p>
        </w:tc>
        <w:tc>
          <w:tcPr>
            <w:tcW w:w="1559" w:type="dxa"/>
          </w:tcPr>
          <w:p>
            <w:pPr>
              <w:pStyle w:val="yTableNAm"/>
              <w:rPr>
                <w:bCs/>
                <w:iCs/>
              </w:rPr>
            </w:pPr>
            <w:r>
              <w:rPr>
                <w:bCs/>
                <w:iCs/>
              </w:rPr>
              <w:br/>
            </w:r>
            <w:r>
              <w:rPr>
                <w:bCs/>
                <w:iCs/>
              </w:rPr>
              <w:br/>
              <w:t>$31.10</w:t>
            </w:r>
          </w:p>
        </w:tc>
      </w:tr>
      <w:tr>
        <w:tc>
          <w:tcPr>
            <w:tcW w:w="5387" w:type="dxa"/>
            <w:gridSpan w:val="2"/>
          </w:tcPr>
          <w:p>
            <w:pPr>
              <w:pStyle w:val="yTableNAm"/>
              <w:rPr>
                <w:i/>
              </w:rPr>
            </w:pPr>
            <w:r>
              <w:rPr>
                <w:i/>
              </w:rPr>
              <w:t>[4.</w:t>
            </w:r>
            <w:r>
              <w:rPr>
                <w:i/>
              </w:rPr>
              <w:tab/>
              <w:t>Deleted]</w:t>
            </w:r>
          </w:p>
        </w:tc>
        <w:tc>
          <w:tcPr>
            <w:tcW w:w="1559" w:type="dxa"/>
          </w:tcPr>
          <w:p>
            <w:pPr>
              <w:pStyle w:val="yTableNAm"/>
              <w:rPr>
                <w:bCs/>
                <w:iCs/>
              </w:rPr>
            </w:pPr>
          </w:p>
        </w:tc>
      </w:tr>
      <w:tr>
        <w:tc>
          <w:tcPr>
            <w:tcW w:w="709" w:type="dxa"/>
          </w:tcPr>
          <w:p>
            <w:pPr>
              <w:pStyle w:val="yTableNAm"/>
            </w:pPr>
            <w:r>
              <w:t>5.</w:t>
            </w:r>
          </w:p>
        </w:tc>
        <w:tc>
          <w:tcPr>
            <w:tcW w:w="4678" w:type="dxa"/>
          </w:tcPr>
          <w:p>
            <w:pPr>
              <w:pStyle w:val="yTableNAm"/>
            </w:pPr>
            <w:r>
              <w:t>Temporary supply connection — </w:t>
            </w:r>
          </w:p>
          <w:p>
            <w:pPr>
              <w:pStyle w:val="yTableNAm"/>
              <w:tabs>
                <w:tab w:val="clear" w:pos="567"/>
                <w:tab w:val="left" w:pos="207"/>
              </w:tabs>
              <w:ind w:left="687" w:hanging="687"/>
            </w:pPr>
            <w:r>
              <w:tab/>
              <w:t>(a)</w:t>
            </w:r>
            <w:r>
              <w:tab/>
              <w:t>single phase (overhead) ............................</w:t>
            </w:r>
          </w:p>
          <w:p>
            <w:pPr>
              <w:pStyle w:val="yTableNAm"/>
              <w:tabs>
                <w:tab w:val="clear" w:pos="567"/>
                <w:tab w:val="left" w:pos="207"/>
              </w:tabs>
              <w:ind w:left="687" w:hanging="687"/>
              <w:rPr>
                <w:b/>
                <w:iCs/>
              </w:rPr>
            </w:pPr>
            <w:r>
              <w:tab/>
              <w:t>(b)</w:t>
            </w:r>
            <w:r>
              <w:tab/>
              <w:t>three phase (overhead) .............................</w:t>
            </w:r>
          </w:p>
        </w:tc>
        <w:tc>
          <w:tcPr>
            <w:tcW w:w="1559" w:type="dxa"/>
          </w:tcPr>
          <w:p>
            <w:pPr>
              <w:pStyle w:val="yTableNAm"/>
              <w:rPr>
                <w:bCs/>
                <w:iCs/>
              </w:rPr>
            </w:pPr>
          </w:p>
          <w:p>
            <w:pPr>
              <w:pStyle w:val="yTableNAm"/>
              <w:rPr>
                <w:bCs/>
                <w:iCs/>
              </w:rPr>
            </w:pPr>
            <w:r>
              <w:t>$721.00</w:t>
            </w:r>
          </w:p>
          <w:p>
            <w:pPr>
              <w:pStyle w:val="yTableNAm"/>
              <w:rPr>
                <w:bCs/>
                <w:iCs/>
              </w:rPr>
            </w:pPr>
            <w:r>
              <w:t>$721.00</w:t>
            </w:r>
          </w:p>
        </w:tc>
      </w:tr>
      <w:tr>
        <w:tc>
          <w:tcPr>
            <w:tcW w:w="709" w:type="dxa"/>
          </w:tcPr>
          <w:p>
            <w:pPr>
              <w:pStyle w:val="yTableNAm"/>
            </w:pPr>
            <w:r>
              <w:t>6.</w:t>
            </w:r>
          </w:p>
        </w:tc>
        <w:tc>
          <w:tcPr>
            <w:tcW w:w="4678" w:type="dxa"/>
          </w:tcPr>
          <w:p>
            <w:pPr>
              <w:pStyle w:val="yTableNAm"/>
            </w:pPr>
            <w:r>
              <w:t>Meter testing — </w:t>
            </w:r>
          </w:p>
          <w:p>
            <w:pPr>
              <w:pStyle w:val="yTableNAm"/>
              <w:tabs>
                <w:tab w:val="clear" w:pos="567"/>
                <w:tab w:val="left" w:pos="207"/>
              </w:tabs>
              <w:ind w:left="687" w:hanging="687"/>
            </w:pPr>
            <w:r>
              <w:tab/>
              <w:t>(a)</w:t>
            </w:r>
            <w:r>
              <w:tab/>
              <w:t>standard meter testing fee .........................</w:t>
            </w:r>
          </w:p>
          <w:p>
            <w:pPr>
              <w:pStyle w:val="yTableNAm"/>
              <w:tabs>
                <w:tab w:val="clear" w:pos="567"/>
                <w:tab w:val="left" w:pos="207"/>
              </w:tabs>
              <w:ind w:left="687" w:hanging="687"/>
            </w:pPr>
            <w:r>
              <w:tab/>
              <w:t>(b)</w:t>
            </w:r>
            <w:r>
              <w:tab/>
              <w:t>reduced meter testing fee ..........................</w:t>
            </w:r>
          </w:p>
        </w:tc>
        <w:tc>
          <w:tcPr>
            <w:tcW w:w="1559" w:type="dxa"/>
          </w:tcPr>
          <w:p>
            <w:pPr>
              <w:pStyle w:val="yTableNAm"/>
              <w:rPr>
                <w:bCs/>
                <w:iCs/>
              </w:rPr>
            </w:pPr>
          </w:p>
          <w:p>
            <w:pPr>
              <w:pStyle w:val="yTableNAm"/>
              <w:rPr>
                <w:bCs/>
                <w:iCs/>
              </w:rPr>
            </w:pPr>
            <w:r>
              <w:rPr>
                <w:bCs/>
                <w:iCs/>
              </w:rPr>
              <w:t>$152.00</w:t>
            </w:r>
          </w:p>
          <w:p>
            <w:pPr>
              <w:pStyle w:val="yTableNAm"/>
              <w:rPr>
                <w:bCs/>
                <w:iCs/>
              </w:rPr>
            </w:pPr>
            <w:r>
              <w:rPr>
                <w:bCs/>
                <w:iCs/>
              </w:rPr>
              <w:t>$139.80</w:t>
            </w:r>
          </w:p>
        </w:tc>
      </w:tr>
      <w:tr>
        <w:tc>
          <w:tcPr>
            <w:tcW w:w="709" w:type="dxa"/>
          </w:tcPr>
          <w:p>
            <w:pPr>
              <w:pStyle w:val="yTableNAm"/>
            </w:pPr>
            <w:r>
              <w:t>7.</w:t>
            </w:r>
          </w:p>
        </w:tc>
        <w:tc>
          <w:tcPr>
            <w:tcW w:w="4678" w:type="dxa"/>
          </w:tcPr>
          <w:p>
            <w:pPr>
              <w:pStyle w:val="yTableNAm"/>
            </w:pPr>
            <w:r>
              <w:t>Disconnection of overhead service leads following unauthorised reconnection ....................</w:t>
            </w:r>
          </w:p>
        </w:tc>
        <w:tc>
          <w:tcPr>
            <w:tcW w:w="1559" w:type="dxa"/>
          </w:tcPr>
          <w:p>
            <w:pPr>
              <w:pStyle w:val="yTableNAm"/>
              <w:rPr>
                <w:bCs/>
                <w:iCs/>
              </w:rPr>
            </w:pPr>
            <w:r>
              <w:rPr>
                <w:bCs/>
                <w:iCs/>
              </w:rPr>
              <w:br/>
            </w:r>
            <w:r>
              <w:t>$412.00</w:t>
            </w:r>
          </w:p>
        </w:tc>
      </w:tr>
      <w:tr>
        <w:tc>
          <w:tcPr>
            <w:tcW w:w="709" w:type="dxa"/>
          </w:tcPr>
          <w:p>
            <w:pPr>
              <w:pStyle w:val="yTableNAm"/>
            </w:pPr>
            <w:r>
              <w:t>8.</w:t>
            </w:r>
          </w:p>
        </w:tc>
        <w:tc>
          <w:tcPr>
            <w:tcW w:w="4678" w:type="dxa"/>
          </w:tcPr>
          <w:p>
            <w:pPr>
              <w:pStyle w:val="yTableNAm"/>
            </w:pPr>
            <w:r>
              <w:t>Meter reading where reading requested by consumer ...............................................................</w:t>
            </w:r>
          </w:p>
        </w:tc>
        <w:tc>
          <w:tcPr>
            <w:tcW w:w="1559" w:type="dxa"/>
          </w:tcPr>
          <w:p>
            <w:pPr>
              <w:pStyle w:val="yTableNAm"/>
              <w:rPr>
                <w:bCs/>
                <w:iCs/>
              </w:rPr>
            </w:pPr>
            <w:r>
              <w:rPr>
                <w:bCs/>
                <w:iCs/>
              </w:rPr>
              <w:br/>
            </w:r>
            <w:r>
              <w:t>$22.77</w:t>
            </w:r>
          </w:p>
        </w:tc>
      </w:tr>
      <w:tr>
        <w:tc>
          <w:tcPr>
            <w:tcW w:w="5387" w:type="dxa"/>
            <w:gridSpan w:val="2"/>
          </w:tcPr>
          <w:p>
            <w:pPr>
              <w:pStyle w:val="yTableNAm"/>
              <w:rPr>
                <w:i/>
              </w:rPr>
            </w:pPr>
            <w:r>
              <w:rPr>
                <w:i/>
              </w:rPr>
              <w:t>[9.</w:t>
            </w:r>
            <w:r>
              <w:rPr>
                <w:i/>
              </w:rPr>
              <w:tab/>
              <w:t>Deleted]</w:t>
            </w:r>
          </w:p>
        </w:tc>
        <w:tc>
          <w:tcPr>
            <w:tcW w:w="1559" w:type="dxa"/>
          </w:tcPr>
          <w:p>
            <w:pPr>
              <w:pStyle w:val="yTableNAm"/>
              <w:rPr>
                <w:bCs/>
                <w:iCs/>
              </w:rPr>
            </w:pPr>
          </w:p>
        </w:tc>
      </w:tr>
      <w:tr>
        <w:tc>
          <w:tcPr>
            <w:tcW w:w="709" w:type="dxa"/>
          </w:tcPr>
          <w:p>
            <w:pPr>
              <w:pStyle w:val="yTableNAm"/>
            </w:pPr>
            <w:r>
              <w:t>10.</w:t>
            </w:r>
          </w:p>
        </w:tc>
        <w:tc>
          <w:tcPr>
            <w:tcW w:w="4678" w:type="dxa"/>
          </w:tcPr>
          <w:p>
            <w:pPr>
              <w:pStyle w:val="yTableNAm"/>
            </w:pPr>
            <w:r>
              <w:t>Overdue account notices .......................................</w:t>
            </w:r>
          </w:p>
        </w:tc>
        <w:tc>
          <w:tcPr>
            <w:tcW w:w="1559" w:type="dxa"/>
          </w:tcPr>
          <w:p>
            <w:pPr>
              <w:pStyle w:val="yTableNAm"/>
              <w:rPr>
                <w:bCs/>
                <w:iCs/>
              </w:rPr>
            </w:pPr>
            <w:r>
              <w:rPr>
                <w:szCs w:val="22"/>
              </w:rPr>
              <w:t>$4.75</w:t>
            </w:r>
          </w:p>
        </w:tc>
      </w:tr>
      <w:tr>
        <w:trPr>
          <w:cantSplit/>
        </w:trPr>
        <w:tc>
          <w:tcPr>
            <w:tcW w:w="709" w:type="dxa"/>
          </w:tcPr>
          <w:p>
            <w:pPr>
              <w:pStyle w:val="yTableNAm"/>
            </w:pPr>
            <w:r>
              <w:t>11.</w:t>
            </w:r>
          </w:p>
        </w:tc>
        <w:tc>
          <w:tcPr>
            <w:tcW w:w="4678" w:type="dxa"/>
          </w:tcPr>
          <w:p>
            <w:pPr>
              <w:pStyle w:val="yTableNAm"/>
            </w:pPr>
            <w:r>
              <w:t>Rejected account payment (where payment made through Australia Post) .........................................</w:t>
            </w:r>
          </w:p>
        </w:tc>
        <w:tc>
          <w:tcPr>
            <w:tcW w:w="1559" w:type="dxa"/>
          </w:tcPr>
          <w:p>
            <w:pPr>
              <w:pStyle w:val="yTableNAm"/>
              <w:rPr>
                <w:bCs/>
                <w:iCs/>
              </w:rPr>
            </w:pPr>
            <w:r>
              <w:rPr>
                <w:bCs/>
                <w:iCs/>
              </w:rPr>
              <w:br/>
            </w:r>
            <w:r>
              <w:t>$24.20</w:t>
            </w:r>
          </w:p>
        </w:tc>
      </w:tr>
      <w:tr>
        <w:trPr>
          <w:cantSplit/>
        </w:trPr>
        <w:tc>
          <w:tcPr>
            <w:tcW w:w="709" w:type="dxa"/>
          </w:tcPr>
          <w:p>
            <w:pPr>
              <w:pStyle w:val="yTableNAm"/>
            </w:pPr>
            <w:r>
              <w:t>12.</w:t>
            </w:r>
          </w:p>
        </w:tc>
        <w:tc>
          <w:tcPr>
            <w:tcW w:w="4678" w:type="dxa"/>
          </w:tcPr>
          <w:p>
            <w:pPr>
              <w:pStyle w:val="yTableNAm"/>
            </w:pPr>
            <w:r>
              <w:t>A transaction fee where a consumer makes a payment to the corporation by means of one of the following — </w:t>
            </w:r>
          </w:p>
        </w:tc>
        <w:tc>
          <w:tcPr>
            <w:tcW w:w="1559" w:type="dxa"/>
          </w:tcPr>
          <w:p>
            <w:pPr>
              <w:pStyle w:val="yTableNAm"/>
              <w:rPr>
                <w:bCs/>
                <w:iCs/>
              </w:rPr>
            </w:pPr>
          </w:p>
        </w:tc>
      </w:tr>
      <w:tr>
        <w:trPr>
          <w:cantSplit/>
        </w:trPr>
        <w:tc>
          <w:tcPr>
            <w:tcW w:w="709" w:type="dxa"/>
          </w:tcPr>
          <w:p>
            <w:pPr>
              <w:pStyle w:val="yTableNAm"/>
            </w:pPr>
          </w:p>
        </w:tc>
        <w:tc>
          <w:tcPr>
            <w:tcW w:w="4678" w:type="dxa"/>
          </w:tcPr>
          <w:p>
            <w:pPr>
              <w:pStyle w:val="yTableNAm"/>
              <w:tabs>
                <w:tab w:val="clear" w:pos="567"/>
                <w:tab w:val="left" w:pos="207"/>
              </w:tabs>
              <w:ind w:left="687" w:hanging="687"/>
            </w:pPr>
            <w:r>
              <w:tab/>
              <w:t>(a)</w:t>
            </w:r>
            <w:r>
              <w:tab/>
              <w:t>a Visa or a MasterCard credit card or debit card ...............................................</w:t>
            </w:r>
          </w:p>
        </w:tc>
        <w:tc>
          <w:tcPr>
            <w:tcW w:w="1559" w:type="dxa"/>
          </w:tcPr>
          <w:p>
            <w:pPr>
              <w:pStyle w:val="yTableNAm"/>
              <w:rPr>
                <w:bCs/>
                <w:iCs/>
              </w:rPr>
            </w:pPr>
            <w:r>
              <w:rPr>
                <w:bCs/>
                <w:iCs/>
              </w:rPr>
              <w:br/>
            </w:r>
            <w:r>
              <w:t>0.7% of the amount of the charge</w:t>
            </w:r>
          </w:p>
        </w:tc>
      </w:tr>
      <w:tr>
        <w:trPr>
          <w:cantSplit/>
        </w:trPr>
        <w:tc>
          <w:tcPr>
            <w:tcW w:w="709" w:type="dxa"/>
            <w:tcBorders>
              <w:bottom w:val="single" w:sz="4" w:space="0" w:color="auto"/>
            </w:tcBorders>
          </w:tcPr>
          <w:p>
            <w:pPr>
              <w:pStyle w:val="yTableNAm"/>
            </w:pPr>
          </w:p>
        </w:tc>
        <w:tc>
          <w:tcPr>
            <w:tcW w:w="4678" w:type="dxa"/>
            <w:tcBorders>
              <w:bottom w:val="single" w:sz="4" w:space="0" w:color="auto"/>
            </w:tcBorders>
          </w:tcPr>
          <w:p>
            <w:pPr>
              <w:pStyle w:val="yTableNAm"/>
              <w:tabs>
                <w:tab w:val="clear" w:pos="567"/>
                <w:tab w:val="left" w:pos="207"/>
              </w:tabs>
              <w:ind w:left="687" w:hanging="687"/>
            </w:pPr>
            <w:r>
              <w:tab/>
              <w:t>(b)</w:t>
            </w:r>
            <w:r>
              <w:tab/>
              <w:t>an American Express credit card ...........</w:t>
            </w:r>
          </w:p>
        </w:tc>
        <w:tc>
          <w:tcPr>
            <w:tcW w:w="1559" w:type="dxa"/>
            <w:tcBorders>
              <w:bottom w:val="single" w:sz="4" w:space="0" w:color="auto"/>
            </w:tcBorders>
          </w:tcPr>
          <w:p>
            <w:pPr>
              <w:pStyle w:val="yTableNAm"/>
              <w:rPr>
                <w:bCs/>
                <w:iCs/>
              </w:rPr>
            </w:pPr>
            <w:r>
              <w:t>0.7% of the amount of the charge</w:t>
            </w:r>
          </w:p>
        </w:tc>
      </w:tr>
    </w:tbl>
    <w:p>
      <w:pPr>
        <w:pStyle w:val="yFootnotesection"/>
      </w:pPr>
      <w:r>
        <w:tab/>
        <w:t>[Schedule 4 inserted in Gazette 26 Mar 2010 p. 1187-8; amended in Gazette 24 Jun 2011 p. 2498; 29 Jun 2012 p. 2911; 30 Aug 2013 p. 4096; 27 Jun 2014 p. 2326.]</w:t>
      </w:r>
    </w:p>
    <w:p>
      <w:pPr>
        <w:sectPr>
          <w:headerReference w:type="even" r:id="rId32"/>
          <w:headerReference w:type="default" r:id="rId33"/>
          <w:endnotePr>
            <w:numFmt w:val="decimal"/>
          </w:endnotePr>
          <w:pgSz w:w="11906" w:h="16838" w:code="9"/>
          <w:pgMar w:top="2376" w:right="2405" w:bottom="3542" w:left="2405" w:header="706" w:footer="3380" w:gutter="0"/>
          <w:cols w:space="720"/>
          <w:noEndnote/>
          <w:docGrid w:linePitch="326"/>
        </w:sectPr>
      </w:pPr>
    </w:p>
    <w:p>
      <w:pPr>
        <w:pStyle w:val="nHeading2"/>
      </w:pPr>
      <w:bookmarkStart w:id="61" w:name="_Toc391911878"/>
      <w:bookmarkStart w:id="62" w:name="_Toc396400728"/>
      <w:bookmarkStart w:id="63" w:name="_Toc396400905"/>
      <w:bookmarkStart w:id="64" w:name="_Toc396400977"/>
      <w:bookmarkStart w:id="65" w:name="_Toc396401695"/>
      <w:bookmarkStart w:id="66" w:name="_Toc396402207"/>
      <w:r>
        <w:t>Notes</w:t>
      </w:r>
      <w:bookmarkEnd w:id="61"/>
      <w:bookmarkEnd w:id="62"/>
      <w:bookmarkEnd w:id="63"/>
      <w:bookmarkEnd w:id="64"/>
      <w:bookmarkEnd w:id="65"/>
      <w:bookmarkEnd w:id="66"/>
    </w:p>
    <w:p>
      <w:pPr>
        <w:pStyle w:val="nSubsection"/>
        <w:rPr>
          <w:snapToGrid w:val="0"/>
        </w:rPr>
      </w:pPr>
      <w:r>
        <w:rPr>
          <w:snapToGrid w:val="0"/>
          <w:vertAlign w:val="superscript"/>
        </w:rPr>
        <w:t>1</w:t>
      </w:r>
      <w:r>
        <w:rPr>
          <w:snapToGrid w:val="0"/>
        </w:rPr>
        <w:tab/>
        <w:t xml:space="preserve">This is a compilation of the </w:t>
      </w:r>
      <w:r>
        <w:rPr>
          <w:i/>
          <w:noProof/>
          <w:snapToGrid w:val="0"/>
        </w:rPr>
        <w:t>Energy Operators (Regional Power Corporation) (Charges) By-laws 2006</w:t>
      </w:r>
      <w:r>
        <w:rPr>
          <w:snapToGrid w:val="0"/>
        </w:rPr>
        <w:t xml:space="preserve"> and includes the amendments made by the other written laws referred to in the following table.  The table also contains information about any reprint.</w:t>
      </w:r>
    </w:p>
    <w:p>
      <w:pPr>
        <w:pStyle w:val="nHeading3"/>
      </w:pPr>
      <w:bookmarkStart w:id="67" w:name="_Toc396402208"/>
      <w:r>
        <w:t>Compilation table</w:t>
      </w:r>
      <w:bookmarkEnd w:id="6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Pr>
          <w:p>
            <w:pPr>
              <w:pStyle w:val="nTable"/>
              <w:rPr>
                <w:i/>
                <w:sz w:val="19"/>
              </w:rPr>
            </w:pPr>
            <w:r>
              <w:rPr>
                <w:i/>
                <w:noProof/>
                <w:snapToGrid w:val="0"/>
                <w:sz w:val="19"/>
              </w:rPr>
              <w:t>Energy Operators (Regional Power Corporation) (Charges) By</w:t>
            </w:r>
            <w:r>
              <w:rPr>
                <w:i/>
                <w:noProof/>
                <w:snapToGrid w:val="0"/>
                <w:sz w:val="19"/>
              </w:rPr>
              <w:noBreakHyphen/>
              <w:t>laws 2006</w:t>
            </w:r>
          </w:p>
        </w:tc>
        <w:tc>
          <w:tcPr>
            <w:tcW w:w="1276" w:type="dxa"/>
          </w:tcPr>
          <w:p>
            <w:pPr>
              <w:pStyle w:val="nTable"/>
              <w:rPr>
                <w:sz w:val="19"/>
              </w:rPr>
            </w:pPr>
            <w:r>
              <w:rPr>
                <w:sz w:val="19"/>
              </w:rPr>
              <w:t>31 Mar 2006 p. 1279</w:t>
            </w:r>
            <w:r>
              <w:rPr>
                <w:sz w:val="19"/>
              </w:rPr>
              <w:noBreakHyphen/>
              <w:t>97</w:t>
            </w:r>
          </w:p>
        </w:tc>
        <w:tc>
          <w:tcPr>
            <w:tcW w:w="2693" w:type="dxa"/>
          </w:tcPr>
          <w:p>
            <w:pPr>
              <w:pStyle w:val="nTable"/>
              <w:rPr>
                <w:sz w:val="19"/>
              </w:rPr>
            </w:pPr>
            <w:r>
              <w:rPr>
                <w:sz w:val="19"/>
              </w:rPr>
              <w:t>1 Apr 2006 (see bl. 2)</w:t>
            </w:r>
          </w:p>
        </w:tc>
      </w:tr>
      <w:tr>
        <w:tc>
          <w:tcPr>
            <w:tcW w:w="3118" w:type="dxa"/>
          </w:tcPr>
          <w:p>
            <w:pPr>
              <w:pStyle w:val="nTable"/>
              <w:rPr>
                <w:i/>
                <w:noProof/>
                <w:snapToGrid w:val="0"/>
                <w:sz w:val="19"/>
              </w:rPr>
            </w:pPr>
            <w:r>
              <w:rPr>
                <w:i/>
                <w:noProof/>
                <w:snapToGrid w:val="0"/>
                <w:sz w:val="19"/>
              </w:rPr>
              <w:t>Energy Operators (Regional Power Corporation) (Charges) Amendment By</w:t>
            </w:r>
            <w:r>
              <w:rPr>
                <w:i/>
                <w:noProof/>
                <w:snapToGrid w:val="0"/>
                <w:sz w:val="19"/>
              </w:rPr>
              <w:noBreakHyphen/>
              <w:t>law 2007</w:t>
            </w:r>
          </w:p>
        </w:tc>
        <w:tc>
          <w:tcPr>
            <w:tcW w:w="1276" w:type="dxa"/>
          </w:tcPr>
          <w:p>
            <w:pPr>
              <w:pStyle w:val="nTable"/>
              <w:rPr>
                <w:sz w:val="19"/>
              </w:rPr>
            </w:pPr>
            <w:r>
              <w:rPr>
                <w:sz w:val="19"/>
              </w:rPr>
              <w:t>29 Jun 2007 p. 3192</w:t>
            </w:r>
            <w:r>
              <w:rPr>
                <w:sz w:val="19"/>
              </w:rPr>
              <w:noBreakHyphen/>
              <w:t>3</w:t>
            </w:r>
          </w:p>
        </w:tc>
        <w:tc>
          <w:tcPr>
            <w:tcW w:w="2693" w:type="dxa"/>
          </w:tcPr>
          <w:p>
            <w:pPr>
              <w:pStyle w:val="nTable"/>
              <w:rPr>
                <w:sz w:val="19"/>
              </w:rPr>
            </w:pPr>
            <w:r>
              <w:rPr>
                <w:sz w:val="19"/>
              </w:rPr>
              <w:t>bl. 1 and 2: 29 Jun 2007 (see bl. 2(a));</w:t>
            </w:r>
            <w:r>
              <w:rPr>
                <w:sz w:val="19"/>
              </w:rPr>
              <w:br/>
              <w:t>By</w:t>
            </w:r>
            <w:r>
              <w:rPr>
                <w:sz w:val="19"/>
              </w:rPr>
              <w:noBreakHyphen/>
              <w:t>laws other than bl. 1 and 2: 1 Jul 2007 (see bl. 2(b))</w:t>
            </w:r>
          </w:p>
        </w:tc>
      </w:tr>
      <w:tr>
        <w:tc>
          <w:tcPr>
            <w:tcW w:w="3118" w:type="dxa"/>
          </w:tcPr>
          <w:p>
            <w:pPr>
              <w:pStyle w:val="nTable"/>
              <w:rPr>
                <w:iCs/>
                <w:sz w:val="19"/>
              </w:rPr>
            </w:pPr>
            <w:r>
              <w:rPr>
                <w:i/>
                <w:noProof/>
                <w:snapToGrid w:val="0"/>
                <w:sz w:val="19"/>
              </w:rPr>
              <w:t>Energy Operators (Regional Power Corporation) (Charges) Amendment By</w:t>
            </w:r>
            <w:r>
              <w:rPr>
                <w:i/>
                <w:noProof/>
                <w:snapToGrid w:val="0"/>
                <w:sz w:val="19"/>
              </w:rPr>
              <w:noBreakHyphen/>
              <w:t>laws 2009</w:t>
            </w:r>
            <w:r>
              <w:rPr>
                <w:iCs/>
                <w:noProof/>
                <w:snapToGrid w:val="0"/>
                <w:sz w:val="19"/>
              </w:rPr>
              <w:t xml:space="preserve"> </w:t>
            </w:r>
          </w:p>
        </w:tc>
        <w:tc>
          <w:tcPr>
            <w:tcW w:w="1276" w:type="dxa"/>
          </w:tcPr>
          <w:p>
            <w:pPr>
              <w:pStyle w:val="nTable"/>
              <w:rPr>
                <w:sz w:val="19"/>
              </w:rPr>
            </w:pPr>
            <w:r>
              <w:rPr>
                <w:sz w:val="19"/>
              </w:rPr>
              <w:t>30 </w:t>
            </w:r>
            <w:r>
              <w:rPr>
                <w:noProof/>
                <w:snapToGrid w:val="0"/>
                <w:sz w:val="19"/>
              </w:rPr>
              <w:t>Mar</w:t>
            </w:r>
            <w:r>
              <w:rPr>
                <w:sz w:val="19"/>
              </w:rPr>
              <w:t> 2009 p. 997</w:t>
            </w:r>
            <w:r>
              <w:rPr>
                <w:sz w:val="19"/>
              </w:rPr>
              <w:noBreakHyphen/>
              <w:t>1017</w:t>
            </w:r>
          </w:p>
        </w:tc>
        <w:tc>
          <w:tcPr>
            <w:tcW w:w="2693" w:type="dxa"/>
          </w:tcPr>
          <w:p>
            <w:pPr>
              <w:pStyle w:val="nTable"/>
              <w:rPr>
                <w:sz w:val="19"/>
              </w:rPr>
            </w:pPr>
            <w:r>
              <w:rPr>
                <w:iCs/>
                <w:noProof/>
                <w:snapToGrid w:val="0"/>
                <w:sz w:val="19"/>
              </w:rPr>
              <w:t>bl. </w:t>
            </w:r>
            <w:r>
              <w:rPr>
                <w:sz w:val="19"/>
              </w:rPr>
              <w:t>1 and 2: 30 Mar 2009 (see bl. 2(a));</w:t>
            </w:r>
            <w:r>
              <w:rPr>
                <w:sz w:val="19"/>
              </w:rPr>
              <w:br/>
              <w:t>bl. 3 and Pt. 2: 1 Apr 2009 (see bl. 2(b));</w:t>
            </w:r>
            <w:r>
              <w:rPr>
                <w:sz w:val="19"/>
              </w:rPr>
              <w:br/>
              <w:t>Pt. 3: 1 Jul 2009 (see bl. 2(c))</w:t>
            </w:r>
          </w:p>
        </w:tc>
      </w:tr>
      <w:tr>
        <w:trPr>
          <w:cantSplit/>
        </w:trPr>
        <w:tc>
          <w:tcPr>
            <w:tcW w:w="7087" w:type="dxa"/>
            <w:gridSpan w:val="3"/>
          </w:tcPr>
          <w:p>
            <w:pPr>
              <w:pStyle w:val="nTable"/>
              <w:rPr>
                <w:iCs/>
                <w:noProof/>
                <w:snapToGrid w:val="0"/>
                <w:sz w:val="19"/>
              </w:rPr>
            </w:pPr>
            <w:r>
              <w:rPr>
                <w:b/>
                <w:bCs/>
                <w:iCs/>
                <w:noProof/>
                <w:snapToGrid w:val="0"/>
                <w:sz w:val="19"/>
              </w:rPr>
              <w:t xml:space="preserve">Reprint 1: The </w:t>
            </w:r>
            <w:r>
              <w:rPr>
                <w:b/>
                <w:bCs/>
                <w:i/>
                <w:noProof/>
                <w:snapToGrid w:val="0"/>
                <w:sz w:val="19"/>
              </w:rPr>
              <w:t>Energy Operators (Regional Power Corporation) (Charges) By</w:t>
            </w:r>
            <w:r>
              <w:rPr>
                <w:b/>
                <w:bCs/>
                <w:i/>
                <w:noProof/>
                <w:snapToGrid w:val="0"/>
                <w:sz w:val="19"/>
              </w:rPr>
              <w:noBreakHyphen/>
              <w:t xml:space="preserve">laws 2006 </w:t>
            </w:r>
            <w:r>
              <w:rPr>
                <w:b/>
                <w:bCs/>
                <w:iCs/>
                <w:noProof/>
                <w:snapToGrid w:val="0"/>
                <w:sz w:val="19"/>
              </w:rPr>
              <w:t>as at 16 Oct 2009</w:t>
            </w:r>
            <w:r>
              <w:rPr>
                <w:iCs/>
                <w:noProof/>
                <w:snapToGrid w:val="0"/>
                <w:sz w:val="19"/>
              </w:rPr>
              <w:t xml:space="preserve"> (includes amendments listed above)</w:t>
            </w:r>
          </w:p>
        </w:tc>
      </w:tr>
      <w:tr>
        <w:tc>
          <w:tcPr>
            <w:tcW w:w="3118" w:type="dxa"/>
          </w:tcPr>
          <w:p>
            <w:pPr>
              <w:pStyle w:val="nTable"/>
              <w:rPr>
                <w:iCs/>
                <w:sz w:val="19"/>
              </w:rPr>
            </w:pPr>
            <w:r>
              <w:rPr>
                <w:i/>
                <w:noProof/>
                <w:snapToGrid w:val="0"/>
                <w:sz w:val="19"/>
              </w:rPr>
              <w:t>Energy Operators (Regional Power Corporation) (Charges) Amendment By</w:t>
            </w:r>
            <w:r>
              <w:rPr>
                <w:i/>
                <w:noProof/>
                <w:snapToGrid w:val="0"/>
                <w:sz w:val="19"/>
              </w:rPr>
              <w:noBreakHyphen/>
              <w:t>laws 2010</w:t>
            </w:r>
            <w:r>
              <w:rPr>
                <w:iCs/>
                <w:noProof/>
                <w:snapToGrid w:val="0"/>
                <w:sz w:val="19"/>
              </w:rPr>
              <w:t xml:space="preserve"> </w:t>
            </w:r>
          </w:p>
        </w:tc>
        <w:tc>
          <w:tcPr>
            <w:tcW w:w="1276" w:type="dxa"/>
          </w:tcPr>
          <w:p>
            <w:pPr>
              <w:pStyle w:val="nTable"/>
              <w:rPr>
                <w:sz w:val="19"/>
              </w:rPr>
            </w:pPr>
            <w:r>
              <w:rPr>
                <w:sz w:val="19"/>
              </w:rPr>
              <w:t>26 Mar 2010 p. 1171-89</w:t>
            </w:r>
          </w:p>
        </w:tc>
        <w:tc>
          <w:tcPr>
            <w:tcW w:w="2693" w:type="dxa"/>
          </w:tcPr>
          <w:p>
            <w:pPr>
              <w:pStyle w:val="nTable"/>
              <w:rPr>
                <w:sz w:val="19"/>
              </w:rPr>
            </w:pPr>
            <w:r>
              <w:rPr>
                <w:sz w:val="19"/>
              </w:rPr>
              <w:t>Pt. 1: 26 Mar 2010 (see bl. 2(a));</w:t>
            </w:r>
            <w:r>
              <w:rPr>
                <w:sz w:val="19"/>
              </w:rPr>
              <w:br/>
              <w:t>Pt. 2: 1 Apr 2010 (see bl. 2(b));</w:t>
            </w:r>
            <w:r>
              <w:rPr>
                <w:sz w:val="19"/>
              </w:rPr>
              <w:br/>
              <w:t>Pt. 3: 1 Jul 2010 (see bl. 2(c))</w:t>
            </w:r>
          </w:p>
        </w:tc>
      </w:tr>
      <w:tr>
        <w:tc>
          <w:tcPr>
            <w:tcW w:w="3118" w:type="dxa"/>
          </w:tcPr>
          <w:p>
            <w:pPr>
              <w:pStyle w:val="nTable"/>
              <w:rPr>
                <w:i/>
                <w:noProof/>
                <w:snapToGrid w:val="0"/>
                <w:sz w:val="19"/>
              </w:rPr>
            </w:pPr>
            <w:r>
              <w:rPr>
                <w:i/>
                <w:noProof/>
                <w:snapToGrid w:val="0"/>
                <w:sz w:val="19"/>
              </w:rPr>
              <w:t>Energy Operators (Regional Power Corporation) (Charges) Amendment By</w:t>
            </w:r>
            <w:r>
              <w:rPr>
                <w:i/>
                <w:noProof/>
                <w:snapToGrid w:val="0"/>
                <w:sz w:val="19"/>
              </w:rPr>
              <w:noBreakHyphen/>
              <w:t>laws 2011</w:t>
            </w:r>
          </w:p>
        </w:tc>
        <w:tc>
          <w:tcPr>
            <w:tcW w:w="1276" w:type="dxa"/>
          </w:tcPr>
          <w:p>
            <w:pPr>
              <w:pStyle w:val="nTable"/>
              <w:rPr>
                <w:sz w:val="19"/>
              </w:rPr>
            </w:pPr>
            <w:r>
              <w:rPr>
                <w:sz w:val="19"/>
              </w:rPr>
              <w:t>24 Jun 2011 p. 2495</w:t>
            </w:r>
            <w:r>
              <w:rPr>
                <w:sz w:val="19"/>
              </w:rPr>
              <w:noBreakHyphen/>
              <w:t>8</w:t>
            </w:r>
          </w:p>
        </w:tc>
        <w:tc>
          <w:tcPr>
            <w:tcW w:w="2693" w:type="dxa"/>
          </w:tcPr>
          <w:p>
            <w:pPr>
              <w:pStyle w:val="nTable"/>
              <w:rPr>
                <w:sz w:val="19"/>
              </w:rPr>
            </w:pPr>
            <w:r>
              <w:rPr>
                <w:sz w:val="19"/>
              </w:rPr>
              <w:t>bl. 1 and 2: 24 Jun 2011 (see bl. 2(a));</w:t>
            </w:r>
            <w:r>
              <w:rPr>
                <w:sz w:val="19"/>
              </w:rPr>
              <w:br/>
              <w:t>By</w:t>
            </w:r>
            <w:r>
              <w:rPr>
                <w:sz w:val="19"/>
              </w:rPr>
              <w:noBreakHyphen/>
              <w:t>laws other than bl. 1 and 2: 1 Jul 2011 (see bl. 2(b))</w:t>
            </w:r>
          </w:p>
        </w:tc>
      </w:tr>
      <w:tr>
        <w:tc>
          <w:tcPr>
            <w:tcW w:w="3118" w:type="dxa"/>
          </w:tcPr>
          <w:p>
            <w:pPr>
              <w:pStyle w:val="nTable"/>
              <w:rPr>
                <w:i/>
                <w:noProof/>
                <w:snapToGrid w:val="0"/>
                <w:sz w:val="19"/>
              </w:rPr>
            </w:pPr>
            <w:r>
              <w:rPr>
                <w:i/>
                <w:noProof/>
                <w:snapToGrid w:val="0"/>
                <w:sz w:val="19"/>
              </w:rPr>
              <w:t>Energy Operators (Regional Power Corporation) (Charges) Amendment By laws 2012</w:t>
            </w:r>
          </w:p>
        </w:tc>
        <w:tc>
          <w:tcPr>
            <w:tcW w:w="1276" w:type="dxa"/>
          </w:tcPr>
          <w:p>
            <w:pPr>
              <w:pStyle w:val="nTable"/>
              <w:rPr>
                <w:sz w:val="19"/>
              </w:rPr>
            </w:pPr>
            <w:r>
              <w:rPr>
                <w:sz w:val="19"/>
              </w:rPr>
              <w:t>29 Jun 2012 p. 2899-911</w:t>
            </w:r>
          </w:p>
        </w:tc>
        <w:tc>
          <w:tcPr>
            <w:tcW w:w="2693" w:type="dxa"/>
          </w:tcPr>
          <w:p>
            <w:pPr>
              <w:pStyle w:val="nTable"/>
              <w:rPr>
                <w:sz w:val="19"/>
              </w:rPr>
            </w:pPr>
            <w:r>
              <w:rPr>
                <w:sz w:val="19"/>
              </w:rPr>
              <w:t>bl. 1 and 2: 29 Jun 2012 (see bl. 2(a));</w:t>
            </w:r>
            <w:r>
              <w:rPr>
                <w:sz w:val="19"/>
              </w:rPr>
              <w:br/>
              <w:t>By</w:t>
            </w:r>
            <w:r>
              <w:rPr>
                <w:sz w:val="19"/>
              </w:rPr>
              <w:noBreakHyphen/>
              <w:t>laws other than bl. 1 and 2: 1 Jul 2012 (see bl. 2(b))</w:t>
            </w:r>
          </w:p>
        </w:tc>
      </w:tr>
      <w:tr>
        <w:tc>
          <w:tcPr>
            <w:tcW w:w="3118" w:type="dxa"/>
          </w:tcPr>
          <w:p>
            <w:pPr>
              <w:pStyle w:val="nTable"/>
              <w:rPr>
                <w:i/>
                <w:noProof/>
                <w:snapToGrid w:val="0"/>
                <w:sz w:val="19"/>
              </w:rPr>
            </w:pPr>
            <w:r>
              <w:rPr>
                <w:i/>
                <w:noProof/>
                <w:snapToGrid w:val="0"/>
                <w:sz w:val="19"/>
              </w:rPr>
              <w:t>Energy Operators (Regional Power Corporation) (Charges) Amendment By laws (No. 2) 2012</w:t>
            </w:r>
          </w:p>
        </w:tc>
        <w:tc>
          <w:tcPr>
            <w:tcW w:w="1276" w:type="dxa"/>
          </w:tcPr>
          <w:p>
            <w:pPr>
              <w:pStyle w:val="nTable"/>
              <w:rPr>
                <w:sz w:val="19"/>
              </w:rPr>
            </w:pPr>
            <w:r>
              <w:rPr>
                <w:sz w:val="19"/>
              </w:rPr>
              <w:t>21 Sep 2012 p. 4423</w:t>
            </w:r>
          </w:p>
        </w:tc>
        <w:tc>
          <w:tcPr>
            <w:tcW w:w="2693" w:type="dxa"/>
          </w:tcPr>
          <w:p>
            <w:pPr>
              <w:pStyle w:val="nTable"/>
              <w:rPr>
                <w:sz w:val="19"/>
              </w:rPr>
            </w:pPr>
            <w:r>
              <w:rPr>
                <w:sz w:val="19"/>
              </w:rPr>
              <w:t>bl. 1 and 2: 21 Sep 2012 (see bl. 2(a));</w:t>
            </w:r>
            <w:r>
              <w:rPr>
                <w:sz w:val="19"/>
              </w:rPr>
              <w:br/>
              <w:t>By</w:t>
            </w:r>
            <w:r>
              <w:rPr>
                <w:sz w:val="19"/>
              </w:rPr>
              <w:noBreakHyphen/>
              <w:t>laws other than bl. 1 and 2: 1 Oct 2012 (see bl. 2(b))</w:t>
            </w:r>
          </w:p>
        </w:tc>
      </w:tr>
      <w:tr>
        <w:tc>
          <w:tcPr>
            <w:tcW w:w="3118" w:type="dxa"/>
          </w:tcPr>
          <w:p>
            <w:pPr>
              <w:pStyle w:val="nTable"/>
              <w:rPr>
                <w:i/>
                <w:noProof/>
                <w:snapToGrid w:val="0"/>
                <w:sz w:val="19"/>
              </w:rPr>
            </w:pPr>
            <w:r>
              <w:rPr>
                <w:i/>
                <w:noProof/>
                <w:snapToGrid w:val="0"/>
                <w:sz w:val="19"/>
              </w:rPr>
              <w:t>Energy Operators (Regional Power Corporation) (Charges) Amendment By-laws 2013</w:t>
            </w:r>
          </w:p>
        </w:tc>
        <w:tc>
          <w:tcPr>
            <w:tcW w:w="1276" w:type="dxa"/>
          </w:tcPr>
          <w:p>
            <w:pPr>
              <w:pStyle w:val="nTable"/>
              <w:rPr>
                <w:sz w:val="19"/>
              </w:rPr>
            </w:pPr>
            <w:r>
              <w:rPr>
                <w:sz w:val="19"/>
              </w:rPr>
              <w:t>14 Jun 2013 p. 2223-7</w:t>
            </w:r>
          </w:p>
        </w:tc>
        <w:tc>
          <w:tcPr>
            <w:tcW w:w="2693" w:type="dxa"/>
          </w:tcPr>
          <w:p>
            <w:pPr>
              <w:pStyle w:val="nTable"/>
              <w:rPr>
                <w:sz w:val="19"/>
              </w:rPr>
            </w:pPr>
            <w:r>
              <w:rPr>
                <w:sz w:val="19"/>
              </w:rPr>
              <w:t>bl. 1 and 2: 14 Jun 2013 (see bl. 2(a));</w:t>
            </w:r>
            <w:r>
              <w:rPr>
                <w:sz w:val="19"/>
              </w:rPr>
              <w:br/>
              <w:t>By</w:t>
            </w:r>
            <w:r>
              <w:rPr>
                <w:sz w:val="19"/>
              </w:rPr>
              <w:noBreakHyphen/>
              <w:t>laws other than bl. 1 and 2: 1 Jul 2013 (see bl. 2(b))</w:t>
            </w:r>
          </w:p>
        </w:tc>
      </w:tr>
      <w:tr>
        <w:tc>
          <w:tcPr>
            <w:tcW w:w="3118" w:type="dxa"/>
          </w:tcPr>
          <w:p>
            <w:pPr>
              <w:pStyle w:val="nTable"/>
              <w:keepNext/>
              <w:keepLines/>
              <w:rPr>
                <w:i/>
                <w:noProof/>
                <w:snapToGrid w:val="0"/>
                <w:sz w:val="19"/>
              </w:rPr>
            </w:pPr>
            <w:r>
              <w:rPr>
                <w:i/>
                <w:noProof/>
                <w:snapToGrid w:val="0"/>
                <w:sz w:val="19"/>
              </w:rPr>
              <w:t>Energy Operators (Regional Power Corporation) (Charges) Amendment By</w:t>
            </w:r>
            <w:r>
              <w:rPr>
                <w:i/>
                <w:noProof/>
                <w:snapToGrid w:val="0"/>
                <w:sz w:val="19"/>
              </w:rPr>
              <w:noBreakHyphen/>
              <w:t>laws (No. 2) 2013</w:t>
            </w:r>
          </w:p>
        </w:tc>
        <w:tc>
          <w:tcPr>
            <w:tcW w:w="1276" w:type="dxa"/>
          </w:tcPr>
          <w:p>
            <w:pPr>
              <w:pStyle w:val="nTable"/>
              <w:keepNext/>
              <w:keepLines/>
              <w:rPr>
                <w:sz w:val="19"/>
              </w:rPr>
            </w:pPr>
            <w:r>
              <w:rPr>
                <w:sz w:val="19"/>
              </w:rPr>
              <w:t>30 Aug 2013 p. 4093-6</w:t>
            </w:r>
          </w:p>
        </w:tc>
        <w:tc>
          <w:tcPr>
            <w:tcW w:w="2693" w:type="dxa"/>
          </w:tcPr>
          <w:p>
            <w:pPr>
              <w:pStyle w:val="nTable"/>
              <w:keepNext/>
              <w:keepLines/>
              <w:rPr>
                <w:sz w:val="19"/>
              </w:rPr>
            </w:pPr>
            <w:r>
              <w:rPr>
                <w:sz w:val="19"/>
              </w:rPr>
              <w:t>bl. 1 and 2: 30 Aug 2013 (see bl. 2(a));</w:t>
            </w:r>
            <w:r>
              <w:rPr>
                <w:sz w:val="19"/>
              </w:rPr>
              <w:br/>
              <w:t>By</w:t>
            </w:r>
            <w:r>
              <w:rPr>
                <w:sz w:val="19"/>
              </w:rPr>
              <w:noBreakHyphen/>
              <w:t>laws other than bl. 1 and 2: 1 Sep 2013 (see bl. 2(b))</w:t>
            </w:r>
          </w:p>
        </w:tc>
      </w:tr>
      <w:tr>
        <w:tc>
          <w:tcPr>
            <w:tcW w:w="3118" w:type="dxa"/>
          </w:tcPr>
          <w:p>
            <w:pPr>
              <w:pStyle w:val="nTable"/>
              <w:keepNext/>
              <w:keepLines/>
              <w:rPr>
                <w:i/>
                <w:noProof/>
                <w:snapToGrid w:val="0"/>
                <w:sz w:val="19"/>
              </w:rPr>
            </w:pPr>
            <w:r>
              <w:rPr>
                <w:i/>
                <w:noProof/>
                <w:snapToGrid w:val="0"/>
                <w:sz w:val="19"/>
              </w:rPr>
              <w:t>Energy Operators (Regional Power Corporation) (Charges) Amendment By</w:t>
            </w:r>
            <w:r>
              <w:rPr>
                <w:i/>
                <w:noProof/>
                <w:snapToGrid w:val="0"/>
                <w:sz w:val="19"/>
              </w:rPr>
              <w:noBreakHyphen/>
              <w:t>laws 2014</w:t>
            </w:r>
          </w:p>
        </w:tc>
        <w:tc>
          <w:tcPr>
            <w:tcW w:w="1276" w:type="dxa"/>
          </w:tcPr>
          <w:p>
            <w:pPr>
              <w:pStyle w:val="nTable"/>
              <w:keepNext/>
              <w:keepLines/>
              <w:rPr>
                <w:sz w:val="19"/>
              </w:rPr>
            </w:pPr>
            <w:r>
              <w:rPr>
                <w:sz w:val="19"/>
              </w:rPr>
              <w:t>27 Jun 2014 p. 2319-26</w:t>
            </w:r>
          </w:p>
        </w:tc>
        <w:tc>
          <w:tcPr>
            <w:tcW w:w="2693" w:type="dxa"/>
          </w:tcPr>
          <w:p>
            <w:pPr>
              <w:pStyle w:val="nTable"/>
              <w:keepNext/>
              <w:keepLines/>
              <w:rPr>
                <w:sz w:val="19"/>
              </w:rPr>
            </w:pPr>
            <w:r>
              <w:rPr>
                <w:sz w:val="19"/>
              </w:rPr>
              <w:t>bl. 1 and 2: 27 Jun 2014 (see bl. 2(a));</w:t>
            </w:r>
            <w:r>
              <w:rPr>
                <w:sz w:val="19"/>
              </w:rPr>
              <w:br/>
              <w:t>By</w:t>
            </w:r>
            <w:r>
              <w:rPr>
                <w:sz w:val="19"/>
              </w:rPr>
              <w:noBreakHyphen/>
              <w:t>laws other than bl. 1 and 2: 1 Jul 2014 (see bl. 2(b))</w:t>
            </w:r>
          </w:p>
        </w:tc>
      </w:tr>
      <w:tr>
        <w:tc>
          <w:tcPr>
            <w:tcW w:w="3118" w:type="dxa"/>
            <w:tcBorders>
              <w:bottom w:val="single" w:sz="4" w:space="0" w:color="auto"/>
            </w:tcBorders>
          </w:tcPr>
          <w:p>
            <w:pPr>
              <w:pStyle w:val="nTable"/>
              <w:keepNext/>
              <w:keepLines/>
              <w:rPr>
                <w:i/>
                <w:noProof/>
                <w:snapToGrid w:val="0"/>
                <w:sz w:val="19"/>
              </w:rPr>
            </w:pPr>
            <w:r>
              <w:rPr>
                <w:i/>
                <w:noProof/>
                <w:snapToGrid w:val="0"/>
                <w:sz w:val="19"/>
              </w:rPr>
              <w:t>Energy Operators (Regional Power Corporation) (Charges) Amendment By</w:t>
            </w:r>
            <w:r>
              <w:rPr>
                <w:i/>
                <w:noProof/>
                <w:snapToGrid w:val="0"/>
                <w:sz w:val="19"/>
              </w:rPr>
              <w:noBreakHyphen/>
              <w:t>laws (No. 2) 2014</w:t>
            </w:r>
          </w:p>
        </w:tc>
        <w:tc>
          <w:tcPr>
            <w:tcW w:w="1276" w:type="dxa"/>
            <w:tcBorders>
              <w:bottom w:val="single" w:sz="4" w:space="0" w:color="auto"/>
            </w:tcBorders>
          </w:tcPr>
          <w:p>
            <w:pPr>
              <w:pStyle w:val="nTable"/>
              <w:keepNext/>
              <w:keepLines/>
              <w:rPr>
                <w:sz w:val="19"/>
              </w:rPr>
            </w:pPr>
            <w:r>
              <w:rPr>
                <w:sz w:val="19"/>
              </w:rPr>
              <w:t>22 Aug 2014 p. 3017</w:t>
            </w:r>
            <w:r>
              <w:rPr>
                <w:sz w:val="19"/>
              </w:rPr>
              <w:noBreakHyphen/>
              <w:t>23</w:t>
            </w:r>
          </w:p>
        </w:tc>
        <w:tc>
          <w:tcPr>
            <w:tcW w:w="2693" w:type="dxa"/>
            <w:tcBorders>
              <w:bottom w:val="single" w:sz="4" w:space="0" w:color="auto"/>
            </w:tcBorders>
          </w:tcPr>
          <w:p>
            <w:pPr>
              <w:pStyle w:val="nTable"/>
              <w:keepNext/>
              <w:keepLines/>
              <w:rPr>
                <w:sz w:val="19"/>
              </w:rPr>
            </w:pPr>
            <w:r>
              <w:rPr>
                <w:sz w:val="19"/>
              </w:rPr>
              <w:t>bl. 1 and 2: 22 Aug 2014 (see bl. 2(a));</w:t>
            </w:r>
            <w:r>
              <w:rPr>
                <w:sz w:val="19"/>
              </w:rPr>
              <w:br/>
              <w:t>By</w:t>
            </w:r>
            <w:r>
              <w:rPr>
                <w:sz w:val="19"/>
              </w:rPr>
              <w:noBreakHyphen/>
              <w:t>laws other than bl. 1 and 2: 1 Sep 2014 (see bl. 2(b))</w:t>
            </w:r>
          </w:p>
        </w:tc>
      </w:tr>
    </w:tbl>
    <w:p/>
    <w:p>
      <w:pPr>
        <w:sectPr>
          <w:headerReference w:type="even" r:id="rId34"/>
          <w:headerReference w:type="default" r:id="rId35"/>
          <w:headerReference w:type="first" r:id="rId36"/>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68" w:name="_Toc391911880"/>
      <w:bookmarkStart w:id="69" w:name="_Toc396400730"/>
      <w:bookmarkStart w:id="70" w:name="_Toc396400907"/>
      <w:bookmarkStart w:id="71" w:name="_Toc396400979"/>
      <w:bookmarkStart w:id="72" w:name="_Toc396401697"/>
      <w:bookmarkStart w:id="73" w:name="_Toc396402209"/>
      <w:r>
        <w:rPr>
          <w:sz w:val="28"/>
        </w:rPr>
        <w:t>Defined Terms</w:t>
      </w:r>
      <w:bookmarkEnd w:id="68"/>
      <w:bookmarkEnd w:id="69"/>
      <w:bookmarkEnd w:id="70"/>
      <w:bookmarkEnd w:id="71"/>
      <w:bookmarkEnd w:id="72"/>
      <w:bookmarkEnd w:id="7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4" w:name="DefinedTerms"/>
      <w:bookmarkEnd w:id="74"/>
      <w:r>
        <w:t>corporation</w:t>
      </w:r>
      <w:r>
        <w:tab/>
        <w:t>3</w:t>
      </w:r>
    </w:p>
    <w:p>
      <w:pPr>
        <w:pStyle w:val="DefinedTerms"/>
      </w:pPr>
      <w:r>
        <w:t>dwelling</w:t>
      </w:r>
      <w:r>
        <w:tab/>
        <w:t>3</w:t>
      </w:r>
    </w:p>
    <w:p>
      <w:pPr>
        <w:pStyle w:val="DefinedTerms"/>
      </w:pPr>
      <w:r>
        <w:t>interest period</w:t>
      </w:r>
      <w:r>
        <w:tab/>
        <w:t>12(1)</w:t>
      </w:r>
    </w:p>
    <w:p>
      <w:pPr>
        <w:pStyle w:val="DefinedTerms"/>
      </w:pPr>
      <w:smartTag w:uri="urn:schemas-microsoft-com:office:smarttags" w:element="place">
        <w:smartTag w:uri="urn:schemas-microsoft-com:office:smarttags" w:element="State">
          <w:r>
            <w:t>North West</w:t>
          </w:r>
        </w:smartTag>
      </w:smartTag>
      <w:r>
        <w:t xml:space="preserve"> interconnected system</w:t>
      </w:r>
      <w:r>
        <w:tab/>
        <w:t>Sch. 1 cl. 1</w:t>
      </w:r>
    </w:p>
    <w:p>
      <w:pPr>
        <w:pStyle w:val="DefinedTerms"/>
      </w:pPr>
      <w:r>
        <w:t>RBA cash rate</w:t>
      </w:r>
      <w:r>
        <w:tab/>
        <w:t>3</w:t>
      </w:r>
    </w:p>
    <w:p>
      <w:pPr>
        <w:pStyle w:val="DefinedTerms"/>
      </w:pPr>
      <w:r>
        <w:t>regional non</w:t>
      </w:r>
      <w:r>
        <w:noBreakHyphen/>
        <w:t>integrated system</w:t>
      </w:r>
      <w:r>
        <w:tab/>
        <w:t>Sch. 1 cl. 1</w:t>
      </w:r>
    </w:p>
    <w:p>
      <w:pPr>
        <w:pStyle w:val="DefinedTerms"/>
      </w:pPr>
      <w:r>
        <w:t>relevant period</w:t>
      </w:r>
      <w:r>
        <w:tab/>
        <w:t>8(1)</w:t>
      </w:r>
    </w:p>
    <w:p>
      <w:pPr>
        <w:pStyle w:val="DefinedTerms"/>
      </w:pPr>
      <w:r>
        <w:t>residential tariff</w:t>
      </w:r>
      <w:r>
        <w:tab/>
        <w:t>3</w:t>
      </w:r>
    </w:p>
    <w:p>
      <w:pPr>
        <w:pStyle w:val="DefinedTerms"/>
      </w:pPr>
      <w:r>
        <w:t>South West interconnected system</w:t>
      </w:r>
      <w:r>
        <w:tab/>
        <w:t>Sch. 1 cl. 1</w:t>
      </w:r>
    </w:p>
    <w:p>
      <w:pPr>
        <w:pStyle w:val="DefinedTerms"/>
      </w:pPr>
      <w:r>
        <w:t>Tariff</w:t>
      </w:r>
      <w:r>
        <w:tab/>
        <w:t>3</w:t>
      </w:r>
    </w:p>
    <w:p>
      <w:pPr>
        <w:pStyle w:val="DefinedTerms"/>
      </w:pPr>
      <w:r>
        <w:t>unit</w:t>
      </w:r>
      <w:r>
        <w:tab/>
        <w:t>3</w:t>
      </w:r>
    </w:p>
    <w:p/>
    <w:p>
      <w:pPr>
        <w:sectPr>
          <w:headerReference w:type="even" r:id="rId37"/>
          <w:headerReference w:type="default" r:id="rId38"/>
          <w:headerReference w:type="first" r:id="rId39"/>
          <w:endnotePr>
            <w:numFmt w:val="decimal"/>
          </w:endnotePr>
          <w:pgSz w:w="11906" w:h="16838" w:code="9"/>
          <w:pgMar w:top="2376" w:right="2404" w:bottom="3544" w:left="2404" w:header="720" w:footer="3380" w:gutter="0"/>
          <w:cols w:space="720"/>
          <w:noEndnote/>
          <w:docGrid w:linePitch="326"/>
        </w:sectPr>
      </w:pPr>
    </w:p>
    <w:p/>
    <w:sectPr>
      <w:headerReference w:type="even" r:id="rId4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01-j0-00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Sep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01-j0-00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01-j0-00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01-j0-00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Sep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01-j0-00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01-j0-00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01-j0-00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Sep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01-j0-00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01-j0-00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(Regional Power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Energy Operators (Regional Power Corporation) (Charges) By-laws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Energy Operators (Regional Power Corporation) (Charges) By-laws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NumberRight"/>
            <w:rPr>
              <w:b w:val="0"/>
            </w:rPr>
          </w:pPr>
          <w:r>
            <w:t xml:space="preserve">bl.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Energy Operators (Regional Power Corporation) (Charges) By-laws 2006</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Energy Operators (Regional Power Corporation) (Charges) By-laws 2006</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9</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Operators (Regional Power Corporation) (Charges) By-laws 2006</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Supply charges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vAlign w:val="bottom"/>
        </w:tcPr>
        <w:p>
          <w:pPr>
            <w:pStyle w:val="HeaderTextRight"/>
          </w:pPr>
          <w:fldSimple w:instr=" styleref CharSchText ">
            <w:r>
              <w:rPr>
                <w:noProof/>
              </w:rPr>
              <w:t>Supply charges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Operators (Regional Power Corporation) (Charges) By-laws 2006</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Unmetered supply</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Street lighting</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10</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vAlign w:val="bottom"/>
        </w:tcPr>
        <w:p>
          <w:pPr>
            <w:pStyle w:val="HeaderTextRight"/>
          </w:pPr>
          <w:fldSimple w:instr=" styleref CharSchText ">
            <w:r>
              <w:rPr>
                <w:noProof/>
              </w:rPr>
              <w:t>Unmetered supply</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Street lighting</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10</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Operators (Regional Power Corporation) (Charges) By-laws 2006</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Unmetered supply</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Miscellaneous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vAlign w:val="bottom"/>
        </w:tcPr>
        <w:p>
          <w:pPr>
            <w:pStyle w:val="HeaderTextRight"/>
          </w:pPr>
          <w:fldSimple w:instr=" styleref CharSchText ">
            <w:r>
              <w:rPr>
                <w:noProof/>
              </w:rPr>
              <w:t>Unmetered supply</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Miscellaneous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(Regional Power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(Regional Power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E90DB8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596F45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BE2AE3A"/>
    <w:lvl w:ilvl="0">
      <w:start w:val="1"/>
      <w:numFmt w:val="decimal"/>
      <w:pStyle w:val="ListNumber3"/>
      <w:lvlText w:val="%1."/>
      <w:lvlJc w:val="left"/>
      <w:pPr>
        <w:tabs>
          <w:tab w:val="num" w:pos="926"/>
        </w:tabs>
        <w:ind w:left="926" w:hanging="360"/>
      </w:pPr>
    </w:lvl>
  </w:abstractNum>
  <w:abstractNum w:abstractNumId="3">
    <w:nsid w:val="FFFFFF7F"/>
    <w:multiLevelType w:val="singleLevel"/>
    <w:tmpl w:val="0E6ED0DC"/>
    <w:lvl w:ilvl="0">
      <w:start w:val="1"/>
      <w:numFmt w:val="decimal"/>
      <w:pStyle w:val="ListNumber2"/>
      <w:lvlText w:val="%1."/>
      <w:lvlJc w:val="left"/>
      <w:pPr>
        <w:tabs>
          <w:tab w:val="num" w:pos="643"/>
        </w:tabs>
        <w:ind w:left="643" w:hanging="360"/>
      </w:pPr>
    </w:lvl>
  </w:abstractNum>
  <w:abstractNum w:abstractNumId="4">
    <w:nsid w:val="FFFFFF80"/>
    <w:multiLevelType w:val="singleLevel"/>
    <w:tmpl w:val="1F22A1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D56DEF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7E4D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82085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EF64FE2"/>
    <w:lvl w:ilvl="0">
      <w:start w:val="1"/>
      <w:numFmt w:val="decimal"/>
      <w:pStyle w:val="ListNumber"/>
      <w:lvlText w:val="%1."/>
      <w:lvlJc w:val="left"/>
      <w:pPr>
        <w:tabs>
          <w:tab w:val="num" w:pos="360"/>
        </w:tabs>
        <w:ind w:left="360" w:hanging="360"/>
      </w:pPr>
    </w:lvl>
  </w:abstractNum>
  <w:abstractNum w:abstractNumId="9">
    <w:nsid w:val="FFFFFF89"/>
    <w:multiLevelType w:val="singleLevel"/>
    <w:tmpl w:val="12D034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A30A8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9"/>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30171357"/>
    <w:docVar w:name="WAFER_20140109160013" w:val="RemoveTocBookmarks,RemoveUnusedBookmarks,RemoveLanguageTags,UsedStyles,ResetPageSize,UpdateArrangement"/>
    <w:docVar w:name="WAFER_20140109160013_GUID" w:val="597ce826-c891-4391-929e-52345abcbb4e"/>
    <w:docVar w:name="WAFER_20140109160850" w:val="RemoveTocBookmarks,RunningHeaders"/>
    <w:docVar w:name="WAFER_20140109160850_GUID" w:val="8e2363bd-147c-4c8f-965d-8f2e313c4978"/>
    <w:docVar w:name="WAFER_20140630171357" w:val="RemoveTocBookmarks,RunningHeaders"/>
    <w:docVar w:name="WAFER_20140630171357_GUID" w:val="a1d6e485-a10b-4ecc-9a74-d5d4253f4d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3855</Words>
  <Characters>19201</Characters>
  <Application>Microsoft Office Word</Application>
  <DocSecurity>0</DocSecurity>
  <Lines>872</Lines>
  <Paragraphs>623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22433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(Regional Power Corporation) (Charges) By-laws 2006 - 01-j0-00</dc:title>
  <dc:subject/>
  <dc:creator/>
  <cp:keywords/>
  <dc:description/>
  <cp:lastModifiedBy>svcMRProcess</cp:lastModifiedBy>
  <cp:revision>4</cp:revision>
  <cp:lastPrinted>2009-10-14T00:38:00Z</cp:lastPrinted>
  <dcterms:created xsi:type="dcterms:W3CDTF">2020-02-24T14:52:00Z</dcterms:created>
  <dcterms:modified xsi:type="dcterms:W3CDTF">2020-02-24T14:52:00Z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1279-97</vt:lpwstr>
  </property>
  <property fmtid="{D5CDD505-2E9C-101B-9397-08002B2CF9AE}" pid="3" name="CommencementDate">
    <vt:lpwstr>20140901</vt:lpwstr>
  </property>
  <property fmtid="{D5CDD505-2E9C-101B-9397-08002B2CF9AE}" pid="4" name="OwlsUID">
    <vt:i4>38408</vt:i4>
  </property>
  <property fmtid="{D5CDD505-2E9C-101B-9397-08002B2CF9AE}" pid="5" name="AsAtDate">
    <vt:lpwstr>01 Sep 2014</vt:lpwstr>
  </property>
  <property fmtid="{D5CDD505-2E9C-101B-9397-08002B2CF9AE}" pid="6" name="Suffix">
    <vt:lpwstr>01-j0-00</vt:lpwstr>
  </property>
  <property fmtid="{D5CDD505-2E9C-101B-9397-08002B2CF9AE}" pid="7" name="ReprintNo">
    <vt:lpwstr>1</vt:lpwstr>
  </property>
  <property fmtid="{D5CDD505-2E9C-101B-9397-08002B2CF9AE}" pid="8" name="DocumentType">
    <vt:lpwstr>Reg</vt:lpwstr>
  </property>
</Properties>
</file>