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Coroners Act 1920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Coroners Act 1996 </w:t>
      </w:r>
      <w:r>
        <w:rPr>
          <w:color w:val="000000"/>
          <w:sz w:val="22"/>
          <w:szCs w:val="22"/>
        </w:rPr>
        <w:t>s. 60 (No. 2 of 1996) as at 7 Apr 1997.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4430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4430" w:val="UsedStyles"/>
    <w:docVar w:name="WAFER_20160412134430_GUID" w:val="f3593f52-7ae2-47b3-b634-f78d689d510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177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Coroners Act 1920 - 03-b0-02</dc:title>
  <dc:subject/>
  <dc:creator/>
  <cp:keywords/>
  <dc:description/>
  <cp:lastModifiedBy>svcMRProcess</cp:lastModifiedBy>
  <cp:revision>3</cp:revision>
  <dcterms:created xsi:type="dcterms:W3CDTF">2016-04-12T05:52:00Z</dcterms:created>
  <dcterms:modified xsi:type="dcterms:W3CDTF">2016-04-12T05:52:00Z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03-b0-02</vt:lpwstr>
  </property>
  <property fmtid="{D5CDD505-2E9C-101B-9397-08002B2CF9AE}" pid="3" name="AsAtDate">
    <vt:lpwstr>07 Apr 1997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19970407</vt:lpwstr>
  </property>
</Properties>
</file>