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Land Valuers Licensing Act 1978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Regulations 1979</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regulations as at </w:t>
      </w:r>
      <w:r>
        <w:fldChar w:fldCharType="begin"/>
      </w:r>
      <w:r>
        <w:instrText xml:space="preserve"> DOCPROPERTY "ReprintedAsAt" \@ "d MMMM yyyy" </w:instrText>
      </w:r>
      <w:r>
        <w:fldChar w:fldCharType="separate"/>
      </w:r>
      <w:r>
        <w:t>22 August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9" o:title=""/>
          </v:shape>
          <o:OLEObject Type="Embed" ProgID="Word.Picture.8" ShapeID="_x0000_i1025" DrawAspect="Content" ObjectID="_1645306936"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 August 2014</w:t>
            </w:r>
            <w:r>
              <w:rPr>
                <w:b/>
                <w:sz w:val="22"/>
              </w:rPr>
              <w:fldChar w:fldCharType="end"/>
            </w:r>
          </w:p>
        </w:tc>
      </w:tr>
    </w:tbl>
    <w:p>
      <w:pPr>
        <w:pStyle w:val="WA"/>
        <w:spacing w:before="120" w:after="1000"/>
      </w:pPr>
      <w:r>
        <w:t>Western Australia</w:t>
      </w:r>
    </w:p>
    <w:p>
      <w:pPr>
        <w:pStyle w:val="NameofActRegPage1"/>
        <w:spacing w:after="1000"/>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_Toc396114339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_Toc396114340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(Sch. 1)</w:t>
      </w:r>
      <w:r>
        <w:tab/>
      </w:r>
      <w:r>
        <w:fldChar w:fldCharType="begin"/>
      </w:r>
      <w:r>
        <w:instrText xml:space="preserve"> PAGEREF _Toc396114341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Periods prescribed (Act s. 21(1) and 22(1))</w:t>
      </w:r>
      <w:r>
        <w:tab/>
      </w:r>
      <w:r>
        <w:fldChar w:fldCharType="begin"/>
      </w:r>
      <w:r>
        <w:instrText xml:space="preserve"> PAGEREF _Toc396114342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application for licence, advertisement of (Act s. 17(2))</w:t>
      </w:r>
      <w:r>
        <w:tab/>
      </w:r>
      <w:r>
        <w:fldChar w:fldCharType="begin"/>
      </w:r>
      <w:r>
        <w:instrText xml:space="preserve"> PAGEREF _Toc396114343 \h </w:instrText>
      </w:r>
      <w:r>
        <w:fldChar w:fldCharType="separate"/>
      </w:r>
      <w:r>
        <w:t>2</w:t>
      </w:r>
      <w:r>
        <w:fldChar w:fldCharType="end"/>
      </w:r>
    </w:p>
    <w:p>
      <w:pPr>
        <w:pStyle w:val="TOC8"/>
        <w:rPr>
          <w:rFonts w:asciiTheme="minorHAnsi" w:eastAsiaTheme="minorEastAsia" w:hAnsiTheme="minorHAnsi" w:cstheme="minorBidi"/>
          <w:szCs w:val="22"/>
        </w:rPr>
      </w:pPr>
      <w:r>
        <w:t>5A.</w:t>
      </w:r>
      <w:r>
        <w:tab/>
        <w:t>Duplicate licence, issue of</w:t>
      </w:r>
      <w:r>
        <w:tab/>
      </w:r>
      <w:r>
        <w:fldChar w:fldCharType="begin"/>
      </w:r>
      <w:r>
        <w:instrText xml:space="preserve"> PAGEREF _Toc396114344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Particulars in register prescribed (Act s. 29)</w:t>
      </w:r>
      <w:r>
        <w:tab/>
      </w:r>
      <w:r>
        <w:fldChar w:fldCharType="begin"/>
      </w:r>
      <w:r>
        <w:instrText xml:space="preserve"> PAGEREF _Toc396114345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particulars, licensee to notify Commissioner</w:t>
      </w:r>
      <w:r>
        <w:tab/>
      </w:r>
      <w:r>
        <w:fldChar w:fldCharType="begin"/>
      </w:r>
      <w:r>
        <w:instrText xml:space="preserve"> PAGEREF _Toc396114346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Degrees etc. prescribed (Act s. 19(c))</w:t>
      </w:r>
      <w:r>
        <w:tab/>
      </w:r>
      <w:r>
        <w:fldChar w:fldCharType="begin"/>
      </w:r>
      <w:r>
        <w:instrText xml:space="preserve"> PAGEREF _Toc396114347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costs, recovery of</w:t>
      </w:r>
      <w:r>
        <w:tab/>
      </w:r>
      <w:r>
        <w:fldChar w:fldCharType="begin"/>
      </w:r>
      <w:r>
        <w:instrText xml:space="preserve"> PAGEREF _Toc396114348 \h </w:instrText>
      </w:r>
      <w:r>
        <w:fldChar w:fldCharType="separate"/>
      </w:r>
      <w:r>
        <w:t>4</w:t>
      </w:r>
      <w:r>
        <w:fldChar w:fldCharType="end"/>
      </w:r>
    </w:p>
    <w:p>
      <w:pPr>
        <w:pStyle w:val="TOC8"/>
        <w:rPr>
          <w:rFonts w:asciiTheme="minorHAnsi" w:eastAsiaTheme="minorEastAsia" w:hAnsiTheme="minorHAnsi" w:cstheme="minorBidi"/>
          <w:szCs w:val="22"/>
        </w:rPr>
      </w:pPr>
      <w:r>
        <w:t>10.</w:t>
      </w:r>
      <w:r>
        <w:tab/>
        <w:t>Infringement notices, offences etc. prescribed (Sch. 2)</w:t>
      </w:r>
      <w:r>
        <w:tab/>
      </w:r>
      <w:r>
        <w:fldChar w:fldCharType="begin"/>
      </w:r>
      <w:r>
        <w:instrText xml:space="preserve"> PAGEREF _Toc396114349 \h </w:instrText>
      </w:r>
      <w:r>
        <w:fldChar w:fldCharType="separate"/>
      </w:r>
      <w:r>
        <w:t>5</w:t>
      </w:r>
      <w:r>
        <w:fldChar w:fldCharType="end"/>
      </w:r>
    </w:p>
    <w:p>
      <w:pPr>
        <w:pStyle w:val="TOC8"/>
        <w:rPr>
          <w:rFonts w:asciiTheme="minorHAnsi" w:eastAsiaTheme="minorEastAsia" w:hAnsiTheme="minorHAnsi" w:cstheme="minorBidi"/>
          <w:szCs w:val="22"/>
        </w:rPr>
      </w:pPr>
      <w:r>
        <w:t>11.</w:t>
      </w:r>
      <w:r>
        <w:tab/>
        <w:t>Infringement notices, forms prescribed (Sch. 3)</w:t>
      </w:r>
      <w:r>
        <w:tab/>
      </w:r>
      <w:r>
        <w:fldChar w:fldCharType="begin"/>
      </w:r>
      <w:r>
        <w:instrText xml:space="preserve"> PAGEREF _Toc396114350 \h </w:instrText>
      </w:r>
      <w:r>
        <w:fldChar w:fldCharType="separate"/>
      </w:r>
      <w:r>
        <w:t>5</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Fees</w:t>
      </w:r>
    </w:p>
    <w:p>
      <w:pPr>
        <w:pStyle w:val="TOC2"/>
        <w:keepNext w:val="0"/>
        <w:tabs>
          <w:tab w:val="right" w:leader="dot" w:pos="7086"/>
        </w:tabs>
        <w:rPr>
          <w:rFonts w:asciiTheme="minorHAnsi" w:eastAsiaTheme="minorEastAsia" w:hAnsiTheme="minorHAnsi" w:cstheme="minorBidi"/>
          <w:b w:val="0"/>
          <w:sz w:val="22"/>
          <w:szCs w:val="22"/>
        </w:rPr>
      </w:pPr>
      <w:r>
        <w:t>Schedule 2 — Prescribed offences and modified penalties</w:t>
      </w:r>
    </w:p>
    <w:p>
      <w:pPr>
        <w:pStyle w:val="TOC2"/>
        <w:keepNext w:val="0"/>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_Toc396114355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spacing w:before="0" w:after="0"/>
        <w:rPr>
          <w:sz w:val="12"/>
        </w:rPr>
      </w:pPr>
      <w:r>
        <w:fldChar w:fldCharType="end"/>
      </w:r>
    </w:p>
    <w:p>
      <w:pPr>
        <w:pStyle w:val="NoteHeading"/>
        <w:rPr>
          <w:szCs w:val="24"/>
        </w:rPr>
      </w:pPr>
      <w:r>
        <w:rPr>
          <w:rStyle w:val="CharPartNo"/>
          <w:szCs w:val="24"/>
        </w:rPr>
        <w:t xml:space="preserve"> </w:t>
      </w:r>
      <w:r>
        <w:rPr>
          <w:rStyle w:val="CharPartText"/>
          <w:szCs w:val="24"/>
        </w:rPr>
        <w:t xml:space="preserve"> </w:t>
      </w:r>
      <w:r>
        <w:rPr>
          <w:rStyle w:val="CharDivNo"/>
          <w:szCs w:val="24"/>
        </w:rPr>
        <w:t xml:space="preserve"> </w:t>
      </w:r>
      <w:r>
        <w:rPr>
          <w:rStyle w:val="CharDivText"/>
          <w:szCs w:val="24"/>
        </w:rPr>
        <w:t xml:space="preserve"> </w:t>
      </w:r>
      <w:r>
        <w:rPr>
          <w:rStyle w:val="CharSchNo"/>
          <w:szCs w:val="24"/>
        </w:rPr>
        <w:t xml:space="preserve"> </w:t>
      </w:r>
      <w:r>
        <w:rPr>
          <w:rStyle w:val="CharSchText"/>
          <w:szCs w:val="24"/>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w:t>
            </w:r>
            <w:r>
              <w:rPr>
                <w:b/>
                <w:snapToGrid w:val="0"/>
                <w:sz w:val="22"/>
              </w:rPr>
              <w:t xml:space="preserve"> August 2014</w:t>
            </w:r>
            <w:r>
              <w:rPr>
                <w:b/>
                <w:sz w:val="22"/>
              </w:rPr>
              <w:fldChar w:fldCharType="end"/>
            </w:r>
          </w:p>
        </w:tc>
      </w:tr>
    </w:tbl>
    <w:p>
      <w:pPr>
        <w:pStyle w:val="WA"/>
        <w:spacing w:before="120" w:after="840"/>
      </w:pPr>
      <w:r>
        <w:t>Western Australia</w:t>
      </w:r>
    </w:p>
    <w:p>
      <w:pPr>
        <w:pStyle w:val="PrincipalActReg"/>
        <w:spacing w:after="600"/>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396114339"/>
      <w:r>
        <w:rPr>
          <w:rStyle w:val="CharSectno"/>
        </w:rPr>
        <w:t>1</w:t>
      </w:r>
      <w:r>
        <w:rPr>
          <w:snapToGrid w:val="0"/>
        </w:rPr>
        <w:t>.</w:t>
      </w:r>
      <w:r>
        <w:rPr>
          <w:snapToGrid w:val="0"/>
        </w:rPr>
        <w:tab/>
        <w:t>Citation</w:t>
      </w:r>
      <w:bookmarkEnd w:id="1"/>
    </w:p>
    <w:p>
      <w:pPr>
        <w:pStyle w:val="Subsection"/>
      </w:pPr>
      <w:r>
        <w:tab/>
      </w:r>
      <w:r>
        <w:tab/>
        <w:t xml:space="preserve">These regulations may be cited as the </w:t>
      </w:r>
      <w:r>
        <w:rPr>
          <w:i/>
        </w:rPr>
        <w:t>Land Valuers Licensing Regulations 1979</w:t>
      </w:r>
      <w:r>
        <w:rPr>
          <w:vertAlign w:val="superscript"/>
        </w:rPr>
        <w:t xml:space="preserve"> 1</w:t>
      </w:r>
      <w:r>
        <w:t>.</w:t>
      </w:r>
    </w:p>
    <w:p>
      <w:pPr>
        <w:pStyle w:val="Heading5"/>
        <w:rPr>
          <w:snapToGrid w:val="0"/>
        </w:rPr>
      </w:pPr>
      <w:bookmarkStart w:id="2" w:name="_Toc396114340"/>
      <w:r>
        <w:rPr>
          <w:rStyle w:val="CharSectno"/>
        </w:rPr>
        <w:t>2</w:t>
      </w:r>
      <w:r>
        <w:rPr>
          <w:snapToGrid w:val="0"/>
        </w:rPr>
        <w:t>.</w:t>
      </w:r>
      <w:r>
        <w:rPr>
          <w:snapToGrid w:val="0"/>
        </w:rPr>
        <w:tab/>
        <w:t>Terms used</w:t>
      </w:r>
      <w:bookmarkEnd w:id="2"/>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in Gazette 22 Sep 2006 p. 4119; 30 Jun 2011 p. 2649.]</w:t>
      </w:r>
    </w:p>
    <w:p>
      <w:pPr>
        <w:pStyle w:val="Ednotesection"/>
      </w:pPr>
      <w:r>
        <w:t>[</w:t>
      </w:r>
      <w:r>
        <w:rPr>
          <w:b/>
        </w:rPr>
        <w:t>3.</w:t>
      </w:r>
      <w:r>
        <w:tab/>
        <w:t>Deleted in Gazette 30 Jun 2011 p. 2650.]</w:t>
      </w:r>
    </w:p>
    <w:p>
      <w:pPr>
        <w:pStyle w:val="Heading5"/>
        <w:rPr>
          <w:snapToGrid w:val="0"/>
        </w:rPr>
      </w:pPr>
      <w:bookmarkStart w:id="3" w:name="_Toc396114341"/>
      <w:r>
        <w:rPr>
          <w:rStyle w:val="CharSectno"/>
        </w:rPr>
        <w:t>4</w:t>
      </w:r>
      <w:r>
        <w:rPr>
          <w:snapToGrid w:val="0"/>
        </w:rPr>
        <w:t>.</w:t>
      </w:r>
      <w:r>
        <w:rPr>
          <w:snapToGrid w:val="0"/>
        </w:rPr>
        <w:tab/>
        <w:t>Fees (Sch. 1)</w:t>
      </w:r>
      <w:bookmarkEnd w:id="3"/>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in Gazette 25 Jun 1996 p. 2922; 27 Jun 2006 p. 2256.]</w:t>
      </w:r>
    </w:p>
    <w:p>
      <w:pPr>
        <w:pStyle w:val="Heading5"/>
        <w:rPr>
          <w:snapToGrid w:val="0"/>
        </w:rPr>
      </w:pPr>
      <w:bookmarkStart w:id="4" w:name="_Toc396114342"/>
      <w:r>
        <w:rPr>
          <w:rStyle w:val="CharSectno"/>
        </w:rPr>
        <w:t>4A</w:t>
      </w:r>
      <w:r>
        <w:rPr>
          <w:snapToGrid w:val="0"/>
        </w:rPr>
        <w:t>.</w:t>
      </w:r>
      <w:r>
        <w:rPr>
          <w:snapToGrid w:val="0"/>
        </w:rPr>
        <w:tab/>
        <w:t>Periods prescribed (Act s. 21(1) and 22(1))</w:t>
      </w:r>
      <w:bookmarkEnd w:id="4"/>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in Gazette 25 Jun 1996 p. 2922.]</w:t>
      </w:r>
    </w:p>
    <w:p>
      <w:pPr>
        <w:pStyle w:val="Heading5"/>
        <w:rPr>
          <w:snapToGrid w:val="0"/>
        </w:rPr>
      </w:pPr>
      <w:bookmarkStart w:id="5" w:name="_Toc396114343"/>
      <w:r>
        <w:rPr>
          <w:rStyle w:val="CharSectno"/>
        </w:rPr>
        <w:t>5</w:t>
      </w:r>
      <w:r>
        <w:rPr>
          <w:snapToGrid w:val="0"/>
        </w:rPr>
        <w:t>.</w:t>
      </w:r>
      <w:r>
        <w:rPr>
          <w:snapToGrid w:val="0"/>
        </w:rPr>
        <w:tab/>
        <w:t>Notice of application for licence, advertisement of (Act s. 17(2))</w:t>
      </w:r>
      <w:bookmarkEnd w:id="5"/>
    </w:p>
    <w:p>
      <w:pPr>
        <w:pStyle w:val="Subsection"/>
        <w:rPr>
          <w:snapToGrid w:val="0"/>
        </w:rPr>
      </w:pPr>
      <w:r>
        <w:rPr>
          <w:snapToGrid w:val="0"/>
        </w:rPr>
        <w:tab/>
        <w:t>(1)</w:t>
      </w:r>
      <w:r>
        <w:rPr>
          <w:snapToGrid w:val="0"/>
        </w:rPr>
        <w:tab/>
        <w:t>Notice of an application for the grant of a licence to be advertised pursuant to section 17(2)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rPr>
          <w:snapToGrid w:val="0"/>
        </w:rPr>
      </w:pPr>
      <w:r>
        <w:rPr>
          <w:snapToGrid w:val="0"/>
        </w:rPr>
        <w:tab/>
        <w:t>(2)</w:t>
      </w:r>
      <w:r>
        <w:rPr>
          <w:snapToGrid w:val="0"/>
        </w:rPr>
        <w:tab/>
        <w:t xml:space="preserve">An applicant for a licence shall </w:t>
      </w:r>
      <w:r>
        <w:rPr>
          <w:iCs/>
        </w:rPr>
        <w:t>lodge with the Commissioner</w:t>
      </w:r>
      <w:r>
        <w:rPr>
          <w:snapToGrid w:val="0"/>
        </w:rPr>
        <w:t xml:space="preserve"> the whole page of the newspaper, in which notice of his application was advertised in accordance with this regulation.</w:t>
      </w:r>
    </w:p>
    <w:p>
      <w:pPr>
        <w:pStyle w:val="Footnotesection"/>
      </w:pPr>
      <w:r>
        <w:tab/>
        <w:t>[Regulation 5 amended in Gazette 30 Jun 2011 p. 2650.]</w:t>
      </w:r>
    </w:p>
    <w:p>
      <w:pPr>
        <w:pStyle w:val="Heading5"/>
      </w:pPr>
      <w:bookmarkStart w:id="6" w:name="_Toc396114344"/>
      <w:r>
        <w:rPr>
          <w:rStyle w:val="CharSectno"/>
        </w:rPr>
        <w:t>5A</w:t>
      </w:r>
      <w:r>
        <w:t>.</w:t>
      </w:r>
      <w:r>
        <w:tab/>
        <w:t>Duplicate licence, issue of</w:t>
      </w:r>
      <w:bookmarkEnd w:id="6"/>
    </w:p>
    <w:p>
      <w:pPr>
        <w:pStyle w:val="Subsection"/>
      </w:pPr>
      <w:r>
        <w:tab/>
      </w:r>
      <w:r>
        <w:tab/>
        <w:t>If the Commissioner is satisfied that a licence has been lost, stolen or destroyed, the Commissioner may issue a duplicate licence on payment of the prescribed fee.</w:t>
      </w:r>
    </w:p>
    <w:p>
      <w:pPr>
        <w:pStyle w:val="Footnotesection"/>
      </w:pPr>
      <w:r>
        <w:tab/>
        <w:t>[Regulation 5A inserted in Gazette 27 Jun 2006 p. 2256; amended in Gazette 30 Jun 2011 p. 2650.]</w:t>
      </w:r>
    </w:p>
    <w:p>
      <w:pPr>
        <w:pStyle w:val="Heading5"/>
        <w:rPr>
          <w:snapToGrid w:val="0"/>
        </w:rPr>
      </w:pPr>
      <w:bookmarkStart w:id="7" w:name="_Toc396114345"/>
      <w:r>
        <w:rPr>
          <w:rStyle w:val="CharSectno"/>
        </w:rPr>
        <w:t>6</w:t>
      </w:r>
      <w:r>
        <w:rPr>
          <w:snapToGrid w:val="0"/>
        </w:rPr>
        <w:t>.</w:t>
      </w:r>
      <w:r>
        <w:rPr>
          <w:snapToGrid w:val="0"/>
        </w:rPr>
        <w:tab/>
        <w:t>Particulars in register prescribed (Act s. 29)</w:t>
      </w:r>
      <w:bookmarkEnd w:id="7"/>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 30 Jun 2011 p. 2650.]</w:t>
      </w:r>
    </w:p>
    <w:p>
      <w:pPr>
        <w:pStyle w:val="Heading5"/>
        <w:rPr>
          <w:snapToGrid w:val="0"/>
        </w:rPr>
      </w:pPr>
      <w:bookmarkStart w:id="8" w:name="_Toc396114346"/>
      <w:r>
        <w:rPr>
          <w:rStyle w:val="CharSectno"/>
        </w:rPr>
        <w:t>7</w:t>
      </w:r>
      <w:r>
        <w:rPr>
          <w:snapToGrid w:val="0"/>
        </w:rPr>
        <w:t>.</w:t>
      </w:r>
      <w:r>
        <w:rPr>
          <w:snapToGrid w:val="0"/>
        </w:rPr>
        <w:tab/>
        <w:t>Change of particulars, licensee to notify Commissioner</w:t>
      </w:r>
      <w:bookmarkEnd w:id="8"/>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in Gazette 30 Jun 2011 p. 2650.]</w:t>
      </w:r>
    </w:p>
    <w:p>
      <w:pPr>
        <w:pStyle w:val="Heading5"/>
        <w:rPr>
          <w:snapToGrid w:val="0"/>
        </w:rPr>
      </w:pPr>
      <w:bookmarkStart w:id="9" w:name="_Toc396114347"/>
      <w:r>
        <w:rPr>
          <w:rStyle w:val="CharSectno"/>
        </w:rPr>
        <w:t>8</w:t>
      </w:r>
      <w:r>
        <w:rPr>
          <w:snapToGrid w:val="0"/>
        </w:rPr>
        <w:t>.</w:t>
      </w:r>
      <w:r>
        <w:rPr>
          <w:snapToGrid w:val="0"/>
        </w:rPr>
        <w:tab/>
        <w:t>Degrees etc. prescribed (Act s. 19(c))</w:t>
      </w:r>
      <w:bookmarkEnd w:id="9"/>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18 Dec 2012 p. 6590.] </w:t>
      </w:r>
    </w:p>
    <w:p>
      <w:pPr>
        <w:pStyle w:val="Heading5"/>
        <w:spacing w:before="180"/>
        <w:rPr>
          <w:snapToGrid w:val="0"/>
        </w:rPr>
      </w:pPr>
      <w:bookmarkStart w:id="10" w:name="_Toc396114348"/>
      <w:r>
        <w:rPr>
          <w:rStyle w:val="CharSectno"/>
        </w:rPr>
        <w:t>9</w:t>
      </w:r>
      <w:r>
        <w:rPr>
          <w:snapToGrid w:val="0"/>
        </w:rPr>
        <w:t>.</w:t>
      </w:r>
      <w:r>
        <w:rPr>
          <w:snapToGrid w:val="0"/>
        </w:rPr>
        <w:tab/>
        <w:t>Fees and costs, recovery of</w:t>
      </w:r>
      <w:bookmarkEnd w:id="10"/>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in Gazette 30 Dec 2004 p. 6923; 30 Jun 2011 p. 2651.]</w:t>
      </w:r>
    </w:p>
    <w:p>
      <w:pPr>
        <w:pStyle w:val="Heading5"/>
      </w:pPr>
      <w:bookmarkStart w:id="11" w:name="_Toc396114349"/>
      <w:r>
        <w:rPr>
          <w:rStyle w:val="CharSectno"/>
        </w:rPr>
        <w:t>10</w:t>
      </w:r>
      <w:r>
        <w:t>.</w:t>
      </w:r>
      <w:r>
        <w:tab/>
        <w:t>Infringement notices, offences etc. prescribed (Sch. 2)</w:t>
      </w:r>
      <w:bookmarkEnd w:id="11"/>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in Gazette 22 Sep 2006 p. 4119-20.]</w:t>
      </w:r>
    </w:p>
    <w:p>
      <w:pPr>
        <w:pStyle w:val="Heading5"/>
      </w:pPr>
      <w:bookmarkStart w:id="12" w:name="_Toc396114350"/>
      <w:r>
        <w:rPr>
          <w:rStyle w:val="CharSectno"/>
        </w:rPr>
        <w:t>11</w:t>
      </w:r>
      <w:r>
        <w:t>.</w:t>
      </w:r>
      <w:r>
        <w:tab/>
        <w:t>Infringement notices, forms prescribed (Sch. 3)</w:t>
      </w:r>
      <w:bookmarkEnd w:id="12"/>
    </w:p>
    <w:p>
      <w:pPr>
        <w:pStyle w:val="Subsection"/>
      </w:pPr>
      <w:r>
        <w:tab/>
      </w:r>
      <w:r>
        <w:tab/>
        <w:t>The forms set out in Schedule 3 are prescribed in relation to the matters specified in those forms.</w:t>
      </w:r>
    </w:p>
    <w:p>
      <w:pPr>
        <w:pStyle w:val="Footnotesection"/>
        <w:spacing w:before="100"/>
      </w:pPr>
      <w:r>
        <w:tab/>
        <w:t>[Regulation 11 inserted in Gazette 22 Sep 2006 p. 4120.]</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3" w:name="_Toc396114351"/>
      <w:r>
        <w:rPr>
          <w:rStyle w:val="CharSchNo"/>
        </w:rPr>
        <w:t>Schedule 1</w:t>
      </w:r>
      <w:r>
        <w:t> — </w:t>
      </w:r>
      <w:r>
        <w:rPr>
          <w:rStyle w:val="CharSchText"/>
        </w:rPr>
        <w:t>Fees</w:t>
      </w:r>
      <w:bookmarkEnd w:id="13"/>
    </w:p>
    <w:p>
      <w:pPr>
        <w:pStyle w:val="yShoulderClause"/>
      </w:pPr>
      <w:r>
        <w:t>[r. 4 and 5A]</w:t>
      </w:r>
    </w:p>
    <w:p>
      <w:pPr>
        <w:pStyle w:val="yFootnoteheading"/>
        <w:spacing w:after="80"/>
      </w:pPr>
      <w:r>
        <w:tab/>
        <w:t>[Heading inserted in Gazette 17 Jun 2014 p. 1968.]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245"/>
        <w:gridCol w:w="992"/>
      </w:tblGrid>
      <w:tr>
        <w:trPr>
          <w:tblHeader/>
        </w:trPr>
        <w:tc>
          <w:tcPr>
            <w:tcW w:w="851" w:type="dxa"/>
            <w:vAlign w:val="center"/>
          </w:tcPr>
          <w:p>
            <w:pPr>
              <w:pStyle w:val="yTableNAm"/>
            </w:pPr>
            <w:r>
              <w:rPr>
                <w:b/>
                <w:bCs/>
              </w:rPr>
              <w:t>Item</w:t>
            </w:r>
          </w:p>
        </w:tc>
        <w:tc>
          <w:tcPr>
            <w:tcW w:w="5245" w:type="dxa"/>
            <w:vAlign w:val="center"/>
          </w:tcPr>
          <w:p>
            <w:pPr>
              <w:pStyle w:val="yTableNAm"/>
            </w:pPr>
            <w:r>
              <w:rPr>
                <w:b/>
                <w:bCs/>
              </w:rPr>
              <w:t>Description of fee</w:t>
            </w:r>
          </w:p>
        </w:tc>
        <w:tc>
          <w:tcPr>
            <w:tcW w:w="992" w:type="dxa"/>
          </w:tcPr>
          <w:p>
            <w:pPr>
              <w:pStyle w:val="yTableNAm"/>
              <w:tabs>
                <w:tab w:val="clear" w:pos="567"/>
              </w:tabs>
              <w:ind w:right="98"/>
              <w:jc w:val="center"/>
            </w:pPr>
            <w:r>
              <w:rPr>
                <w:b/>
                <w:bCs/>
              </w:rPr>
              <w:t>$</w:t>
            </w:r>
          </w:p>
        </w:tc>
      </w:tr>
      <w:tr>
        <w:tc>
          <w:tcPr>
            <w:tcW w:w="851" w:type="dxa"/>
          </w:tcPr>
          <w:p>
            <w:pPr>
              <w:pStyle w:val="yTableNAm"/>
            </w:pPr>
            <w:r>
              <w:t>1.</w:t>
            </w:r>
          </w:p>
        </w:tc>
        <w:tc>
          <w:tcPr>
            <w:tcW w:w="5245" w:type="dxa"/>
          </w:tcPr>
          <w:p>
            <w:pPr>
              <w:pStyle w:val="yTableNAm"/>
            </w:pPr>
            <w:r>
              <w:t>Grant of licence</w:t>
            </w:r>
          </w:p>
        </w:tc>
        <w:tc>
          <w:tcPr>
            <w:tcW w:w="992" w:type="dxa"/>
          </w:tcPr>
          <w:p>
            <w:pPr>
              <w:pStyle w:val="yTableNAm"/>
              <w:tabs>
                <w:tab w:val="clear" w:pos="567"/>
              </w:tabs>
              <w:ind w:right="98"/>
              <w:jc w:val="right"/>
            </w:pPr>
            <w:r>
              <w:t>776.00</w:t>
            </w:r>
          </w:p>
        </w:tc>
      </w:tr>
      <w:tr>
        <w:tc>
          <w:tcPr>
            <w:tcW w:w="851" w:type="dxa"/>
          </w:tcPr>
          <w:p>
            <w:pPr>
              <w:pStyle w:val="yTableNAm"/>
            </w:pPr>
            <w:r>
              <w:t>2.</w:t>
            </w:r>
          </w:p>
        </w:tc>
        <w:tc>
          <w:tcPr>
            <w:tcW w:w="5245" w:type="dxa"/>
          </w:tcPr>
          <w:p>
            <w:pPr>
              <w:pStyle w:val="yTableNAm"/>
            </w:pPr>
            <w:r>
              <w:t>Renewal of licence</w:t>
            </w:r>
          </w:p>
        </w:tc>
        <w:tc>
          <w:tcPr>
            <w:tcW w:w="992" w:type="dxa"/>
          </w:tcPr>
          <w:p>
            <w:pPr>
              <w:pStyle w:val="yTableNAm"/>
              <w:tabs>
                <w:tab w:val="clear" w:pos="567"/>
              </w:tabs>
              <w:ind w:right="98"/>
              <w:jc w:val="right"/>
            </w:pPr>
            <w:r>
              <w:t>776.00</w:t>
            </w:r>
          </w:p>
        </w:tc>
      </w:tr>
      <w:tr>
        <w:tc>
          <w:tcPr>
            <w:tcW w:w="851" w:type="dxa"/>
          </w:tcPr>
          <w:p>
            <w:pPr>
              <w:pStyle w:val="yTableNAm"/>
            </w:pPr>
            <w:r>
              <w:t>3.</w:t>
            </w:r>
          </w:p>
        </w:tc>
        <w:tc>
          <w:tcPr>
            <w:tcW w:w="5245" w:type="dxa"/>
          </w:tcPr>
          <w:p>
            <w:pPr>
              <w:pStyle w:val="yTableNAm"/>
            </w:pPr>
            <w:r>
              <w:t>Issue of duplicate licence</w:t>
            </w:r>
          </w:p>
        </w:tc>
        <w:tc>
          <w:tcPr>
            <w:tcW w:w="992" w:type="dxa"/>
          </w:tcPr>
          <w:p>
            <w:pPr>
              <w:pStyle w:val="yTableNAm"/>
              <w:tabs>
                <w:tab w:val="clear" w:pos="567"/>
              </w:tabs>
              <w:ind w:right="98"/>
              <w:jc w:val="right"/>
            </w:pPr>
            <w:r>
              <w:t>34.00</w:t>
            </w:r>
          </w:p>
        </w:tc>
      </w:tr>
      <w:tr>
        <w:tc>
          <w:tcPr>
            <w:tcW w:w="851" w:type="dxa"/>
          </w:tcPr>
          <w:p>
            <w:pPr>
              <w:pStyle w:val="yTableNAm"/>
            </w:pPr>
            <w:r>
              <w:t>4.</w:t>
            </w:r>
          </w:p>
        </w:tc>
        <w:tc>
          <w:tcPr>
            <w:tcW w:w="5245" w:type="dxa"/>
          </w:tcPr>
          <w:p>
            <w:pPr>
              <w:pStyle w:val="yTableNAm"/>
            </w:pPr>
            <w:r>
              <w:t>Inspection of register</w:t>
            </w:r>
          </w:p>
        </w:tc>
        <w:tc>
          <w:tcPr>
            <w:tcW w:w="992" w:type="dxa"/>
          </w:tcPr>
          <w:p>
            <w:pPr>
              <w:pStyle w:val="yTableNAm"/>
              <w:tabs>
                <w:tab w:val="clear" w:pos="567"/>
              </w:tabs>
              <w:ind w:right="98"/>
              <w:jc w:val="right"/>
            </w:pPr>
            <w:r>
              <w:t>11.10</w:t>
            </w:r>
          </w:p>
        </w:tc>
      </w:tr>
      <w:tr>
        <w:tc>
          <w:tcPr>
            <w:tcW w:w="851" w:type="dxa"/>
          </w:tcPr>
          <w:p>
            <w:pPr>
              <w:pStyle w:val="yTableNAm"/>
            </w:pPr>
            <w:r>
              <w:t>5.</w:t>
            </w:r>
          </w:p>
        </w:tc>
        <w:tc>
          <w:tcPr>
            <w:tcW w:w="5245" w:type="dxa"/>
          </w:tcPr>
          <w:p>
            <w:pPr>
              <w:pStyle w:val="yTableNAm"/>
            </w:pPr>
            <w:r>
              <w:t xml:space="preserve">Certificate as to an individual registration in register — </w:t>
            </w:r>
          </w:p>
          <w:p>
            <w:pPr>
              <w:pStyle w:val="yTableNAm"/>
            </w:pPr>
            <w:r>
              <w:t>first page</w:t>
            </w:r>
          </w:p>
          <w:p>
            <w:pPr>
              <w:pStyle w:val="yTableNAm"/>
            </w:pPr>
            <w:r>
              <w:t>each subsequent page</w:t>
            </w:r>
          </w:p>
        </w:tc>
        <w:tc>
          <w:tcPr>
            <w:tcW w:w="992" w:type="dxa"/>
          </w:tcPr>
          <w:p>
            <w:pPr>
              <w:pStyle w:val="yTableNAm"/>
              <w:tabs>
                <w:tab w:val="clear" w:pos="567"/>
              </w:tabs>
              <w:ind w:right="98"/>
              <w:jc w:val="right"/>
            </w:pPr>
          </w:p>
          <w:p>
            <w:pPr>
              <w:pStyle w:val="yTableNAm"/>
              <w:tabs>
                <w:tab w:val="clear" w:pos="567"/>
              </w:tabs>
              <w:ind w:right="98"/>
              <w:jc w:val="right"/>
            </w:pPr>
            <w:r>
              <w:t>11.10</w:t>
            </w:r>
          </w:p>
          <w:p>
            <w:pPr>
              <w:pStyle w:val="yTableNAm"/>
              <w:tabs>
                <w:tab w:val="clear" w:pos="567"/>
              </w:tabs>
              <w:ind w:right="98"/>
              <w:jc w:val="right"/>
            </w:pPr>
            <w:r>
              <w:t>2.15</w:t>
            </w:r>
          </w:p>
        </w:tc>
      </w:tr>
      <w:tr>
        <w:tc>
          <w:tcPr>
            <w:tcW w:w="851" w:type="dxa"/>
          </w:tcPr>
          <w:p>
            <w:pPr>
              <w:pStyle w:val="yTableNAm"/>
            </w:pPr>
            <w:r>
              <w:t>6.</w:t>
            </w:r>
          </w:p>
        </w:tc>
        <w:tc>
          <w:tcPr>
            <w:tcW w:w="5245" w:type="dxa"/>
          </w:tcPr>
          <w:p>
            <w:pPr>
              <w:pStyle w:val="yTableNAm"/>
            </w:pPr>
            <w:r>
              <w:t>Certificate as to all registrations in register</w:t>
            </w:r>
          </w:p>
        </w:tc>
        <w:tc>
          <w:tcPr>
            <w:tcW w:w="992" w:type="dxa"/>
          </w:tcPr>
          <w:p>
            <w:pPr>
              <w:pStyle w:val="yTableNAm"/>
              <w:tabs>
                <w:tab w:val="clear" w:pos="567"/>
              </w:tabs>
              <w:ind w:right="98"/>
              <w:jc w:val="right"/>
            </w:pPr>
            <w:r>
              <w:t>137.50</w:t>
            </w:r>
          </w:p>
        </w:tc>
      </w:tr>
    </w:tbl>
    <w:p>
      <w:pPr>
        <w:pStyle w:val="yFootnotesection"/>
      </w:pPr>
      <w:r>
        <w:tab/>
        <w:t>[Schedule 1 inserted in Gazette 17 Jun 2014 p. 1968.]</w:t>
      </w:r>
    </w:p>
    <w:p>
      <w:pPr>
        <w:pStyle w:val="yScheduleHeading"/>
      </w:pPr>
      <w:bookmarkStart w:id="14" w:name="_Toc396114352"/>
      <w:r>
        <w:rPr>
          <w:rStyle w:val="CharSchNo"/>
        </w:rPr>
        <w:t>Schedule 2</w:t>
      </w:r>
      <w:r>
        <w:t> — </w:t>
      </w:r>
      <w:r>
        <w:rPr>
          <w:rStyle w:val="CharSchText"/>
        </w:rPr>
        <w:t>Prescribed offences and modified penalties</w:t>
      </w:r>
      <w:bookmarkEnd w:id="14"/>
    </w:p>
    <w:p>
      <w:pPr>
        <w:pStyle w:val="yShoulderClause"/>
      </w:pPr>
      <w:r>
        <w:t>[r. 10]</w:t>
      </w:r>
    </w:p>
    <w:p>
      <w:pPr>
        <w:pStyle w:val="yFootnoteheading"/>
        <w:spacing w:after="8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in Gazette 22 Sep 2006 p. 4120; amended in Gazette 30 Jun 2011 p. 2651.]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5" w:name="_Toc396114353"/>
    </w:p>
    <w:p>
      <w:pPr>
        <w:pStyle w:val="yScheduleHeading"/>
      </w:pPr>
      <w:r>
        <w:rPr>
          <w:rStyle w:val="CharSchNo"/>
        </w:rPr>
        <w:t>Schedule 3</w:t>
      </w:r>
      <w:r>
        <w:t> — </w:t>
      </w:r>
      <w:r>
        <w:rPr>
          <w:rStyle w:val="CharSchText"/>
        </w:rPr>
        <w:t>Forms</w:t>
      </w:r>
      <w:bookmarkEnd w:id="15"/>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bottom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 amended in Gazette 30 Jun 2011 p. 2651; 20 Aug 2013 p. 3836.]</w:t>
      </w:r>
    </w:p>
    <w:p>
      <w:pPr>
        <w:pStyle w:val="yMiscellaneousBody"/>
        <w:pageBreakBefore/>
        <w:spacing w:after="80"/>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 amended in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6" w:name="_Toc396114354"/>
      <w:r>
        <w:t>Notes</w:t>
      </w:r>
      <w:bookmarkEnd w:id="16"/>
    </w:p>
    <w:p>
      <w:pPr>
        <w:pStyle w:val="nSubsection"/>
        <w:rPr>
          <w:snapToGrid w:val="0"/>
        </w:rPr>
      </w:pPr>
      <w:r>
        <w:rPr>
          <w:snapToGrid w:val="0"/>
          <w:vertAlign w:val="superscript"/>
        </w:rPr>
        <w:t>1</w:t>
      </w:r>
      <w:r>
        <w:rPr>
          <w:snapToGrid w:val="0"/>
        </w:rPr>
        <w:tab/>
        <w:t xml:space="preserve">This reprint is a compilation as at 22 August 2014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396114355"/>
      <w:r>
        <w:rPr>
          <w:snapToGrid w:val="0"/>
        </w:rPr>
        <w:t>Compilation table</w:t>
      </w:r>
      <w:bookmarkEnd w:id="1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sz w:val="19"/>
              </w:rPr>
            </w:pPr>
            <w:r>
              <w:rPr>
                <w:b/>
                <w:bCs/>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4" w:type="dxa"/>
          </w:tcPr>
          <w:p>
            <w:pPr>
              <w:pStyle w:val="nTable"/>
              <w:spacing w:after="40"/>
              <w:rPr>
                <w:sz w:val="19"/>
              </w:rPr>
            </w:pPr>
            <w:r>
              <w:rPr>
                <w:sz w:val="19"/>
              </w:rPr>
              <w:t>22 Jun 1979</w:t>
            </w:r>
          </w:p>
        </w:tc>
      </w:tr>
      <w:tr>
        <w:trPr>
          <w:cantSplit/>
        </w:trPr>
        <w:tc>
          <w:tcPr>
            <w:tcW w:w="3118" w:type="dxa"/>
          </w:tcPr>
          <w:p>
            <w:pPr>
              <w:pStyle w:val="nTable"/>
              <w:rPr>
                <w:i/>
                <w:iCs/>
                <w:sz w:val="19"/>
              </w:rPr>
            </w:pPr>
            <w:r>
              <w:rPr>
                <w:i/>
                <w:iCs/>
                <w:sz w:val="19"/>
              </w:rPr>
              <w:t>Land Valuers Licensing Amendment Regulations 1983</w:t>
            </w:r>
          </w:p>
        </w:tc>
        <w:tc>
          <w:tcPr>
            <w:tcW w:w="1276" w:type="dxa"/>
          </w:tcPr>
          <w:p>
            <w:pPr>
              <w:pStyle w:val="nTable"/>
              <w:spacing w:after="40"/>
              <w:rPr>
                <w:sz w:val="19"/>
              </w:rPr>
            </w:pPr>
            <w:r>
              <w:rPr>
                <w:sz w:val="19"/>
              </w:rPr>
              <w:t>18 Nov 1983 p. 4613</w:t>
            </w:r>
          </w:p>
        </w:tc>
        <w:tc>
          <w:tcPr>
            <w:tcW w:w="2694"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4"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4"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4"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4"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4"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4"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4"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4"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4"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4"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4"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4" w:type="dxa"/>
          </w:tcPr>
          <w:p>
            <w:pPr>
              <w:pStyle w:val="nTable"/>
              <w:rPr>
                <w:sz w:val="19"/>
              </w:rPr>
            </w:pPr>
            <w:r>
              <w:rPr>
                <w:sz w:val="19"/>
              </w:rPr>
              <w:t>1 Jul 1996 (see r. 2 and Gazette 1 Jul 1996 p. 3179)</w:t>
            </w:r>
          </w:p>
        </w:tc>
      </w:tr>
      <w:tr>
        <w:trPr>
          <w:cantSplit/>
        </w:trPr>
        <w:tc>
          <w:tcPr>
            <w:tcW w:w="7088"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rPr>
                <w:i/>
                <w:iCs/>
                <w:sz w:val="19"/>
              </w:rPr>
            </w:pPr>
            <w:r>
              <w:rPr>
                <w:i/>
                <w:iCs/>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4" w:type="dxa"/>
          </w:tcPr>
          <w:p>
            <w:pPr>
              <w:pStyle w:val="nTable"/>
              <w:spacing w:after="40"/>
              <w:rPr>
                <w:sz w:val="19"/>
              </w:rPr>
            </w:pPr>
            <w:r>
              <w:rPr>
                <w:sz w:val="19"/>
              </w:rPr>
              <w:t>1 Jul 2002 (see r. 2)</w:t>
            </w:r>
          </w:p>
        </w:tc>
      </w:tr>
      <w:tr>
        <w:trPr>
          <w:cantSplit/>
        </w:trPr>
        <w:tc>
          <w:tcPr>
            <w:tcW w:w="3118" w:type="dxa"/>
          </w:tcPr>
          <w:p>
            <w:pPr>
              <w:pStyle w:val="nTable"/>
              <w:rPr>
                <w:i/>
                <w:iCs/>
                <w:sz w:val="19"/>
              </w:rPr>
            </w:pPr>
            <w:r>
              <w:rPr>
                <w:i/>
                <w:iCs/>
                <w:sz w:val="19"/>
              </w:rPr>
              <w:t>Land Valuers Licensing Amendment Regulations 2003</w:t>
            </w:r>
          </w:p>
        </w:tc>
        <w:tc>
          <w:tcPr>
            <w:tcW w:w="1276" w:type="dxa"/>
          </w:tcPr>
          <w:p>
            <w:pPr>
              <w:pStyle w:val="nTable"/>
              <w:spacing w:after="40"/>
              <w:rPr>
                <w:sz w:val="19"/>
              </w:rPr>
            </w:pPr>
            <w:r>
              <w:rPr>
                <w:sz w:val="19"/>
              </w:rPr>
              <w:t>27 Jun 2003 p. 2552</w:t>
            </w:r>
          </w:p>
        </w:tc>
        <w:tc>
          <w:tcPr>
            <w:tcW w:w="2694" w:type="dxa"/>
          </w:tcPr>
          <w:p>
            <w:pPr>
              <w:pStyle w:val="nTable"/>
              <w:spacing w:after="40"/>
              <w:rPr>
                <w:sz w:val="19"/>
              </w:rPr>
            </w:pPr>
            <w:r>
              <w:rPr>
                <w:sz w:val="19"/>
              </w:rPr>
              <w:t>1 Jul 2003 (see r. 2)</w:t>
            </w:r>
          </w:p>
        </w:tc>
      </w:tr>
      <w:tr>
        <w:trPr>
          <w:cantSplit/>
        </w:trPr>
        <w:tc>
          <w:tcPr>
            <w:tcW w:w="3118" w:type="dxa"/>
          </w:tcPr>
          <w:p>
            <w:pPr>
              <w:pStyle w:val="nTable"/>
              <w:rPr>
                <w:i/>
                <w:iCs/>
                <w:sz w:val="19"/>
              </w:rPr>
            </w:pPr>
            <w:r>
              <w:rPr>
                <w:i/>
                <w:iCs/>
                <w:sz w:val="19"/>
              </w:rPr>
              <w:t>Land Valuers Licensing Amendment Regulations 2004</w:t>
            </w:r>
          </w:p>
        </w:tc>
        <w:tc>
          <w:tcPr>
            <w:tcW w:w="1276" w:type="dxa"/>
          </w:tcPr>
          <w:p>
            <w:pPr>
              <w:pStyle w:val="nTable"/>
              <w:spacing w:after="40"/>
              <w:rPr>
                <w:sz w:val="19"/>
              </w:rPr>
            </w:pPr>
            <w:r>
              <w:rPr>
                <w:sz w:val="19"/>
              </w:rPr>
              <w:t>30 Dec 2004 p. 6923</w:t>
            </w:r>
          </w:p>
        </w:tc>
        <w:tc>
          <w:tcPr>
            <w:tcW w:w="2694"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rPr>
                <w:i/>
                <w:iCs/>
                <w:sz w:val="19"/>
              </w:rPr>
            </w:pPr>
            <w:r>
              <w:rPr>
                <w:i/>
                <w:iCs/>
                <w:sz w:val="19"/>
              </w:rPr>
              <w:t>Land Valuers Licensing Amendment Regulations 2005</w:t>
            </w:r>
          </w:p>
        </w:tc>
        <w:tc>
          <w:tcPr>
            <w:tcW w:w="1276" w:type="dxa"/>
          </w:tcPr>
          <w:p>
            <w:pPr>
              <w:pStyle w:val="nTable"/>
              <w:spacing w:after="40"/>
              <w:rPr>
                <w:sz w:val="19"/>
              </w:rPr>
            </w:pPr>
            <w:r>
              <w:rPr>
                <w:sz w:val="19"/>
              </w:rPr>
              <w:t>28 Jun 2005 p. 2911</w:t>
            </w:r>
          </w:p>
        </w:tc>
        <w:tc>
          <w:tcPr>
            <w:tcW w:w="2694"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rPr>
                <w:i/>
                <w:iCs/>
                <w:sz w:val="19"/>
              </w:rPr>
            </w:pPr>
            <w:r>
              <w:rPr>
                <w:i/>
                <w:iCs/>
                <w:sz w:val="19"/>
              </w:rPr>
              <w:t>Land Valuers Licensing Amendment Regulations (No. 2) 2006</w:t>
            </w:r>
          </w:p>
        </w:tc>
        <w:tc>
          <w:tcPr>
            <w:tcW w:w="1276" w:type="dxa"/>
          </w:tcPr>
          <w:p>
            <w:pPr>
              <w:pStyle w:val="nTable"/>
              <w:spacing w:after="40"/>
              <w:rPr>
                <w:sz w:val="19"/>
              </w:rPr>
            </w:pPr>
            <w:r>
              <w:rPr>
                <w:sz w:val="19"/>
              </w:rPr>
              <w:t>27 Jun 2006 p. 2256-7</w:t>
            </w:r>
          </w:p>
        </w:tc>
        <w:tc>
          <w:tcPr>
            <w:tcW w:w="2694" w:type="dxa"/>
          </w:tcPr>
          <w:p>
            <w:pPr>
              <w:pStyle w:val="nTable"/>
              <w:spacing w:after="40"/>
              <w:rPr>
                <w:sz w:val="19"/>
              </w:rPr>
            </w:pPr>
            <w:r>
              <w:rPr>
                <w:sz w:val="19"/>
              </w:rPr>
              <w:t>1 Jul 2006 (see r. 2)</w:t>
            </w:r>
          </w:p>
        </w:tc>
      </w:tr>
      <w:tr>
        <w:trPr>
          <w:cantSplit/>
        </w:trPr>
        <w:tc>
          <w:tcPr>
            <w:tcW w:w="3118" w:type="dxa"/>
          </w:tcPr>
          <w:p>
            <w:pPr>
              <w:pStyle w:val="nTable"/>
              <w:rPr>
                <w:i/>
                <w:iCs/>
                <w:sz w:val="19"/>
              </w:rPr>
            </w:pPr>
            <w:r>
              <w:rPr>
                <w:i/>
                <w:iCs/>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4" w:type="dxa"/>
          </w:tcPr>
          <w:p>
            <w:pPr>
              <w:pStyle w:val="nTable"/>
              <w:spacing w:after="40"/>
              <w:rPr>
                <w:sz w:val="19"/>
              </w:rPr>
            </w:pPr>
            <w:r>
              <w:rPr>
                <w:sz w:val="19"/>
              </w:rPr>
              <w:t>22 Sep 2006 (see r. 2(a))</w:t>
            </w:r>
          </w:p>
        </w:tc>
      </w:tr>
      <w:tr>
        <w:trPr>
          <w:cantSplit/>
        </w:trPr>
        <w:tc>
          <w:tcPr>
            <w:tcW w:w="3118" w:type="dxa"/>
          </w:tcPr>
          <w:p>
            <w:pPr>
              <w:pStyle w:val="nTable"/>
              <w:rPr>
                <w:i/>
                <w:iCs/>
                <w:sz w:val="19"/>
              </w:rPr>
            </w:pPr>
            <w:r>
              <w:rPr>
                <w:i/>
                <w:iCs/>
                <w:sz w:val="19"/>
              </w:rPr>
              <w:t>Land Valuers Licensing Amendment Regulations 2007</w:t>
            </w:r>
          </w:p>
        </w:tc>
        <w:tc>
          <w:tcPr>
            <w:tcW w:w="1276" w:type="dxa"/>
          </w:tcPr>
          <w:p>
            <w:pPr>
              <w:pStyle w:val="nTable"/>
              <w:spacing w:after="40"/>
              <w:rPr>
                <w:sz w:val="19"/>
              </w:rPr>
            </w:pPr>
            <w:r>
              <w:rPr>
                <w:sz w:val="19"/>
              </w:rPr>
              <w:t>15 Jun 2007 p. 2782</w:t>
            </w:r>
          </w:p>
        </w:tc>
        <w:tc>
          <w:tcPr>
            <w:tcW w:w="2694"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rPr>
                <w:i/>
                <w:iCs/>
                <w:sz w:val="19"/>
              </w:rPr>
            </w:pPr>
            <w:r>
              <w:rPr>
                <w:i/>
                <w:iCs/>
                <w:sz w:val="19"/>
              </w:rPr>
              <w:t>Land Valuers Licensing Amendment Regulations (No. 2) 2007</w:t>
            </w:r>
          </w:p>
        </w:tc>
        <w:tc>
          <w:tcPr>
            <w:tcW w:w="1276" w:type="dxa"/>
          </w:tcPr>
          <w:p>
            <w:pPr>
              <w:pStyle w:val="nTable"/>
              <w:spacing w:after="40"/>
              <w:rPr>
                <w:sz w:val="19"/>
              </w:rPr>
            </w:pPr>
            <w:r>
              <w:rPr>
                <w:sz w:val="19"/>
              </w:rPr>
              <w:t>14 Mar 2008 p. 829-30</w:t>
            </w:r>
          </w:p>
        </w:tc>
        <w:tc>
          <w:tcPr>
            <w:tcW w:w="2694" w:type="dxa"/>
          </w:tcPr>
          <w:p>
            <w:pPr>
              <w:pStyle w:val="nTable"/>
              <w:spacing w:after="40"/>
              <w:rPr>
                <w:sz w:val="19"/>
              </w:rPr>
            </w:pPr>
            <w:r>
              <w:rPr>
                <w:sz w:val="19"/>
              </w:rPr>
              <w:t>r. 1 and 2: 14 Mar 2008 (see r. 2(a));</w:t>
            </w:r>
            <w:r>
              <w:rPr>
                <w:sz w:val="19"/>
              </w:rPr>
              <w:br/>
              <w:t>Regulations other than r. 1 and 2: 15 Mar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p>
        </w:tc>
      </w:tr>
      <w:tr>
        <w:trPr>
          <w:cantSplit/>
        </w:trPr>
        <w:tc>
          <w:tcPr>
            <w:tcW w:w="3118" w:type="dxa"/>
          </w:tcPr>
          <w:p>
            <w:pPr>
              <w:pStyle w:val="nTable"/>
              <w:rPr>
                <w:i/>
                <w:iCs/>
                <w:sz w:val="19"/>
              </w:rPr>
            </w:pPr>
            <w:r>
              <w:rPr>
                <w:i/>
                <w:iCs/>
                <w:sz w:val="19"/>
              </w:rPr>
              <w:t>Land Valuers Licensing Amendment Regulations 2008</w:t>
            </w:r>
          </w:p>
        </w:tc>
        <w:tc>
          <w:tcPr>
            <w:tcW w:w="1276" w:type="dxa"/>
          </w:tcPr>
          <w:p>
            <w:pPr>
              <w:pStyle w:val="nTable"/>
              <w:spacing w:after="40"/>
              <w:rPr>
                <w:sz w:val="19"/>
              </w:rPr>
            </w:pPr>
            <w:r>
              <w:rPr>
                <w:sz w:val="19"/>
              </w:rPr>
              <w:t>17 Jun 2008 p. 2566-7</w:t>
            </w:r>
          </w:p>
        </w:tc>
        <w:tc>
          <w:tcPr>
            <w:tcW w:w="2694" w:type="dxa"/>
          </w:tcPr>
          <w:p>
            <w:pPr>
              <w:pStyle w:val="nTable"/>
              <w:spacing w:after="40"/>
              <w:rPr>
                <w:sz w:val="19"/>
              </w:rPr>
            </w:pPr>
            <w:r>
              <w:rPr>
                <w:snapToGrid w:val="0"/>
                <w:sz w:val="19"/>
              </w:rPr>
              <w:t>r. 1 and 2: 17 Jun 2008 (see r. 2(a));</w:t>
            </w:r>
            <w:r>
              <w:rPr>
                <w:snapToGrid w:val="0"/>
                <w:sz w:val="19"/>
              </w:rPr>
              <w:br/>
              <w:t>Regulations other than r. 1 and 2: 1 Jul 2008 (see r. 2(b))</w:t>
            </w:r>
          </w:p>
        </w:tc>
      </w:tr>
      <w:tr>
        <w:trPr>
          <w:cantSplit/>
        </w:trPr>
        <w:tc>
          <w:tcPr>
            <w:tcW w:w="3118" w:type="dxa"/>
          </w:tcPr>
          <w:p>
            <w:pPr>
              <w:pStyle w:val="nTable"/>
              <w:rPr>
                <w:i/>
                <w:iCs/>
                <w:sz w:val="19"/>
              </w:rPr>
            </w:pPr>
            <w:r>
              <w:rPr>
                <w:i/>
                <w:iCs/>
                <w:sz w:val="19"/>
              </w:rPr>
              <w:t>Land Valuers Licensing Amendment Regulations 2009</w:t>
            </w:r>
          </w:p>
        </w:tc>
        <w:tc>
          <w:tcPr>
            <w:tcW w:w="1276" w:type="dxa"/>
          </w:tcPr>
          <w:p>
            <w:pPr>
              <w:pStyle w:val="nTable"/>
              <w:spacing w:after="40"/>
              <w:rPr>
                <w:sz w:val="19"/>
              </w:rPr>
            </w:pPr>
            <w:r>
              <w:rPr>
                <w:sz w:val="19"/>
              </w:rPr>
              <w:t>23 Jun 2009 p. 2442</w:t>
            </w:r>
            <w:r>
              <w:rPr>
                <w:sz w:val="19"/>
              </w:rPr>
              <w:noBreakHyphen/>
              <w:t>3</w:t>
            </w:r>
          </w:p>
        </w:tc>
        <w:tc>
          <w:tcPr>
            <w:tcW w:w="2694" w:type="dxa"/>
          </w:tcPr>
          <w:p>
            <w:pPr>
              <w:pStyle w:val="nTable"/>
              <w:spacing w:after="40"/>
              <w:rPr>
                <w:snapToGrid w:val="0"/>
                <w:sz w:val="19"/>
              </w:rPr>
            </w:pPr>
            <w:r>
              <w:rPr>
                <w:snapToGrid w:val="0"/>
                <w:sz w:val="19"/>
              </w:rPr>
              <w:t>r. 1 and 2: 23 Jun 2009 (see r. 2(a));</w:t>
            </w:r>
            <w:r>
              <w:rPr>
                <w:snapToGrid w:val="0"/>
                <w:sz w:val="19"/>
              </w:rPr>
              <w:br/>
              <w:t>Regulations other than r. 1 and 2: 1 Jul 2009 (see r. 2(b))</w:t>
            </w:r>
          </w:p>
        </w:tc>
      </w:tr>
      <w:tr>
        <w:trPr>
          <w:cantSplit/>
        </w:trPr>
        <w:tc>
          <w:tcPr>
            <w:tcW w:w="3118" w:type="dxa"/>
          </w:tcPr>
          <w:p>
            <w:pPr>
              <w:pStyle w:val="nTable"/>
              <w:rPr>
                <w:i/>
                <w:iCs/>
                <w:sz w:val="19"/>
              </w:rPr>
            </w:pPr>
            <w:r>
              <w:rPr>
                <w:i/>
                <w:iCs/>
                <w:sz w:val="19"/>
              </w:rPr>
              <w:t>Land Valuers Licensing Amendment Regulations 2010</w:t>
            </w:r>
          </w:p>
        </w:tc>
        <w:tc>
          <w:tcPr>
            <w:tcW w:w="1276" w:type="dxa"/>
          </w:tcPr>
          <w:p>
            <w:pPr>
              <w:pStyle w:val="nTable"/>
              <w:spacing w:after="40"/>
              <w:rPr>
                <w:sz w:val="19"/>
              </w:rPr>
            </w:pPr>
            <w:r>
              <w:rPr>
                <w:sz w:val="19"/>
              </w:rPr>
              <w:t>25 Jun 2010 p. 2847-8</w:t>
            </w:r>
          </w:p>
        </w:tc>
        <w:tc>
          <w:tcPr>
            <w:tcW w:w="2694" w:type="dxa"/>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rPr>
          <w:cantSplit/>
        </w:trPr>
        <w:tc>
          <w:tcPr>
            <w:tcW w:w="3118" w:type="dxa"/>
          </w:tcPr>
          <w:p>
            <w:pPr>
              <w:pStyle w:val="nTable"/>
              <w:rPr>
                <w:i/>
                <w:iCs/>
                <w:sz w:val="19"/>
              </w:rPr>
            </w:pPr>
            <w:r>
              <w:rPr>
                <w:i/>
                <w:iCs/>
                <w:sz w:val="19"/>
              </w:rPr>
              <w:t>Land Valuers Licensing Amendment Regulations (No. 2) 2011</w:t>
            </w:r>
          </w:p>
        </w:tc>
        <w:tc>
          <w:tcPr>
            <w:tcW w:w="1276" w:type="dxa"/>
          </w:tcPr>
          <w:p>
            <w:pPr>
              <w:pStyle w:val="nTable"/>
              <w:spacing w:after="40"/>
              <w:rPr>
                <w:sz w:val="19"/>
              </w:rPr>
            </w:pPr>
            <w:r>
              <w:rPr>
                <w:sz w:val="19"/>
              </w:rPr>
              <w:t>22 Jun 2011 p. 2363-4</w:t>
            </w:r>
          </w:p>
        </w:tc>
        <w:tc>
          <w:tcPr>
            <w:tcW w:w="2694" w:type="dxa"/>
          </w:tcPr>
          <w:p>
            <w:pPr>
              <w:pStyle w:val="nTable"/>
              <w:spacing w:after="4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shd w:val="clear" w:color="auto" w:fill="auto"/>
          </w:tcPr>
          <w:p>
            <w:pPr>
              <w:pStyle w:val="nTable"/>
              <w:rPr>
                <w:i/>
                <w:iCs/>
                <w:sz w:val="19"/>
              </w:rPr>
            </w:pPr>
            <w:r>
              <w:rPr>
                <w:i/>
                <w:iCs/>
                <w:sz w:val="19"/>
              </w:rPr>
              <w:t>Land Valuers Licensing Amendment Regulations (No. 3) 2011</w:t>
            </w:r>
          </w:p>
        </w:tc>
        <w:tc>
          <w:tcPr>
            <w:tcW w:w="1276" w:type="dxa"/>
            <w:shd w:val="clear" w:color="auto" w:fill="auto"/>
          </w:tcPr>
          <w:p>
            <w:pPr>
              <w:pStyle w:val="nTable"/>
              <w:spacing w:after="40"/>
              <w:rPr>
                <w:sz w:val="19"/>
              </w:rPr>
            </w:pPr>
            <w:r>
              <w:rPr>
                <w:sz w:val="19"/>
              </w:rPr>
              <w:t>30 Jun 2011 p. 2649-52</w:t>
            </w:r>
          </w:p>
        </w:tc>
        <w:tc>
          <w:tcPr>
            <w:tcW w:w="2694" w:type="dxa"/>
            <w:shd w:val="clear" w:color="auto" w:fill="auto"/>
          </w:tcPr>
          <w:p>
            <w:pPr>
              <w:pStyle w:val="nTable"/>
              <w:spacing w:after="40"/>
              <w:rPr>
                <w:snapToGrid w:val="0"/>
                <w:sz w:val="19"/>
              </w:rPr>
            </w:pPr>
            <w:r>
              <w:rPr>
                <w:snapToGrid w:val="0"/>
                <w:sz w:val="19"/>
              </w:rPr>
              <w:t>r. 1 and 2: 30 Jun 2011 (see r. 2(a));</w:t>
            </w:r>
            <w:r>
              <w:rPr>
                <w:snapToGrid w:val="0"/>
                <w:sz w:val="19"/>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4: The </w:t>
            </w:r>
            <w:r>
              <w:rPr>
                <w:b/>
                <w:i/>
                <w:sz w:val="19"/>
              </w:rPr>
              <w:t>Land Valuers Licensing Regulations 1979</w:t>
            </w:r>
            <w:r>
              <w:rPr>
                <w:b/>
                <w:sz w:val="19"/>
              </w:rPr>
              <w:t xml:space="preserve"> as at 6 Jan 2012</w:t>
            </w:r>
            <w:r>
              <w:rPr>
                <w:sz w:val="19"/>
              </w:rPr>
              <w:t xml:space="preserve"> (includes amendments listed above)</w:t>
            </w:r>
          </w:p>
        </w:tc>
      </w:tr>
      <w:tr>
        <w:trPr>
          <w:cantSplit/>
        </w:trPr>
        <w:tc>
          <w:tcPr>
            <w:tcW w:w="3118" w:type="dxa"/>
            <w:shd w:val="clear" w:color="auto" w:fill="auto"/>
          </w:tcPr>
          <w:p>
            <w:pPr>
              <w:pStyle w:val="nTable"/>
              <w:rPr>
                <w:i/>
                <w:iCs/>
                <w:sz w:val="19"/>
              </w:rPr>
            </w:pPr>
            <w:r>
              <w:rPr>
                <w:i/>
                <w:iCs/>
                <w:sz w:val="19"/>
              </w:rPr>
              <w:t>Land Valuers Licensing Amendment Regulations 2012</w:t>
            </w:r>
          </w:p>
        </w:tc>
        <w:tc>
          <w:tcPr>
            <w:tcW w:w="1276" w:type="dxa"/>
            <w:shd w:val="clear" w:color="auto" w:fill="auto"/>
          </w:tcPr>
          <w:p>
            <w:pPr>
              <w:pStyle w:val="nTable"/>
              <w:spacing w:after="40"/>
              <w:rPr>
                <w:sz w:val="19"/>
              </w:rPr>
            </w:pPr>
            <w:r>
              <w:rPr>
                <w:sz w:val="19"/>
              </w:rPr>
              <w:t>15 Jun 2012 p. 2589</w:t>
            </w:r>
            <w:r>
              <w:rPr>
                <w:sz w:val="19"/>
              </w:rPr>
              <w:noBreakHyphen/>
              <w:t>90</w:t>
            </w:r>
          </w:p>
        </w:tc>
        <w:tc>
          <w:tcPr>
            <w:tcW w:w="2694"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rPr>
                <w:i/>
                <w:iCs/>
                <w:sz w:val="19"/>
              </w:rPr>
            </w:pPr>
            <w:r>
              <w:rPr>
                <w:i/>
                <w:iCs/>
                <w:sz w:val="19"/>
              </w:rPr>
              <w:t>Land Valuers Licensing Amendment Regulations (No. 2) 2012</w:t>
            </w:r>
          </w:p>
        </w:tc>
        <w:tc>
          <w:tcPr>
            <w:tcW w:w="1276" w:type="dxa"/>
            <w:shd w:val="clear" w:color="auto" w:fill="auto"/>
          </w:tcPr>
          <w:p>
            <w:pPr>
              <w:pStyle w:val="nTable"/>
              <w:spacing w:after="40"/>
              <w:rPr>
                <w:sz w:val="19"/>
              </w:rPr>
            </w:pPr>
            <w:r>
              <w:rPr>
                <w:sz w:val="19"/>
              </w:rPr>
              <w:t>18 Dec 2012 p. 6590</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8" w:type="dxa"/>
            <w:shd w:val="clear" w:color="auto" w:fill="auto"/>
          </w:tcPr>
          <w:p>
            <w:pPr>
              <w:pStyle w:val="nTable"/>
              <w:rPr>
                <w:i/>
                <w:iCs/>
                <w:sz w:val="19"/>
              </w:rPr>
            </w:pPr>
            <w:r>
              <w:rPr>
                <w:i/>
                <w:iCs/>
                <w:sz w:val="19"/>
              </w:rPr>
              <w:t>Land Valuers Licensing Amendment Regulations (No. 2) 2013</w:t>
            </w:r>
          </w:p>
        </w:tc>
        <w:tc>
          <w:tcPr>
            <w:tcW w:w="1276" w:type="dxa"/>
            <w:shd w:val="clear" w:color="auto" w:fill="auto"/>
          </w:tcPr>
          <w:p>
            <w:pPr>
              <w:pStyle w:val="nTable"/>
              <w:spacing w:after="40"/>
              <w:rPr>
                <w:sz w:val="19"/>
              </w:rPr>
            </w:pPr>
            <w:r>
              <w:rPr>
                <w:sz w:val="19"/>
              </w:rPr>
              <w:t>27 Jun 2013 p. 2681-2</w:t>
            </w:r>
          </w:p>
        </w:tc>
        <w:tc>
          <w:tcPr>
            <w:tcW w:w="2694" w:type="dxa"/>
            <w:shd w:val="clear" w:color="auto" w:fill="auto"/>
          </w:tcPr>
          <w:p>
            <w:pPr>
              <w:pStyle w:val="nTable"/>
              <w:spacing w:after="40"/>
              <w:rPr>
                <w:i/>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shd w:val="clear" w:color="auto" w:fill="auto"/>
          </w:tcPr>
          <w:p>
            <w:pPr>
              <w:pStyle w:val="nTable"/>
              <w:rPr>
                <w:i/>
                <w:iCs/>
                <w:sz w:val="19"/>
              </w:rPr>
            </w:pPr>
            <w:r>
              <w:rPr>
                <w:i/>
                <w:iCs/>
                <w:sz w:val="19"/>
              </w:rPr>
              <w:t>Land Valuers Licensing Amendment Regulations 2013</w:t>
            </w:r>
          </w:p>
        </w:tc>
        <w:tc>
          <w:tcPr>
            <w:tcW w:w="1276" w:type="dxa"/>
            <w:shd w:val="clear" w:color="auto" w:fill="auto"/>
          </w:tcPr>
          <w:p>
            <w:pPr>
              <w:pStyle w:val="nTable"/>
              <w:spacing w:after="40"/>
              <w:rPr>
                <w:sz w:val="19"/>
              </w:rPr>
            </w:pPr>
            <w:r>
              <w:rPr>
                <w:sz w:val="19"/>
              </w:rPr>
              <w:t>20 Aug 2013 p. 3836</w:t>
            </w:r>
          </w:p>
        </w:tc>
        <w:tc>
          <w:tcPr>
            <w:tcW w:w="2694" w:type="dxa"/>
            <w:shd w:val="clear" w:color="auto" w:fill="auto"/>
          </w:tcPr>
          <w:p>
            <w:pPr>
              <w:pStyle w:val="nTable"/>
              <w:spacing w:after="40"/>
              <w:rPr>
                <w:i/>
                <w:snapToGrid w:val="0"/>
                <w:spacing w:val="-2"/>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3118" w:type="dxa"/>
            <w:shd w:val="clear" w:color="auto" w:fill="auto"/>
          </w:tcPr>
          <w:p>
            <w:pPr>
              <w:pStyle w:val="nTable"/>
              <w:rPr>
                <w:i/>
                <w:iCs/>
                <w:sz w:val="19"/>
              </w:rPr>
            </w:pPr>
            <w:r>
              <w:rPr>
                <w:i/>
                <w:iCs/>
                <w:sz w:val="19"/>
              </w:rPr>
              <w:t>Land Valuers Licensing Amendment Regulations 2014</w:t>
            </w:r>
          </w:p>
        </w:tc>
        <w:tc>
          <w:tcPr>
            <w:tcW w:w="1276" w:type="dxa"/>
            <w:shd w:val="clear" w:color="auto" w:fill="auto"/>
          </w:tcPr>
          <w:p>
            <w:pPr>
              <w:pStyle w:val="nTable"/>
              <w:spacing w:after="40"/>
              <w:rPr>
                <w:sz w:val="19"/>
              </w:rPr>
            </w:pPr>
            <w:r>
              <w:rPr>
                <w:sz w:val="19"/>
              </w:rPr>
              <w:t>17 Jun 2014 p. 1967</w:t>
            </w:r>
            <w:r>
              <w:rPr>
                <w:sz w:val="19"/>
              </w:rPr>
              <w:noBreakHyphen/>
              <w:t>8</w:t>
            </w:r>
          </w:p>
        </w:tc>
        <w:tc>
          <w:tcPr>
            <w:tcW w:w="2694" w:type="dxa"/>
            <w:shd w:val="clear" w:color="auto" w:fill="auto"/>
          </w:tcPr>
          <w:p>
            <w:pPr>
              <w:pStyle w:val="nTable"/>
              <w:spacing w:after="40"/>
              <w:rPr>
                <w:snapToGrid w:val="0"/>
                <w:sz w:val="19"/>
              </w:rPr>
            </w:pPr>
            <w:r>
              <w:rPr>
                <w:bCs/>
                <w:snapToGrid w:val="0"/>
                <w:sz w:val="19"/>
              </w:rPr>
              <w:t>r. 1 and 2: 17 Jun 2014 (see r. 2(a));</w:t>
            </w:r>
            <w:r>
              <w:rPr>
                <w:bCs/>
                <w:snapToGrid w:val="0"/>
                <w:sz w:val="19"/>
              </w:rPr>
              <w:br/>
              <w:t>Regulations other than r. 1 and 2: 1 Jul 2014 (see r. 2(b))</w:t>
            </w:r>
          </w:p>
        </w:tc>
      </w:tr>
      <w:tr>
        <w:trPr>
          <w:cantSplit/>
        </w:trPr>
        <w:tc>
          <w:tcPr>
            <w:tcW w:w="7088" w:type="dxa"/>
            <w:gridSpan w:val="3"/>
            <w:tcBorders>
              <w:bottom w:val="single" w:sz="8" w:space="0" w:color="auto"/>
            </w:tcBorders>
            <w:shd w:val="clear" w:color="auto" w:fill="auto"/>
          </w:tcPr>
          <w:p>
            <w:pPr>
              <w:pStyle w:val="nTable"/>
              <w:spacing w:after="40"/>
              <w:rPr>
                <w:i/>
                <w:snapToGrid w:val="0"/>
                <w:spacing w:val="-2"/>
                <w:sz w:val="19"/>
              </w:rPr>
            </w:pPr>
            <w:r>
              <w:rPr>
                <w:b/>
                <w:sz w:val="19"/>
              </w:rPr>
              <w:t xml:space="preserve">Reprint 5: The </w:t>
            </w:r>
            <w:r>
              <w:rPr>
                <w:b/>
                <w:i/>
                <w:sz w:val="19"/>
              </w:rPr>
              <w:t>Land Valuers Licensing Regulations 1979</w:t>
            </w:r>
            <w:r>
              <w:rPr>
                <w:b/>
                <w:sz w:val="19"/>
              </w:rPr>
              <w:t xml:space="preserve"> as at 22 Aug 2014</w:t>
            </w:r>
            <w:r>
              <w:rPr>
                <w:sz w:val="19"/>
              </w:rPr>
              <w:t xml:space="preserve"> (includes amendments listed above)</w:t>
            </w:r>
          </w:p>
        </w:tc>
      </w:tr>
    </w:tbl>
    <w:p>
      <w:pPr>
        <w:pStyle w:val="nSubsection"/>
        <w:spacing w:before="120"/>
      </w:pPr>
      <w:r>
        <w:rPr>
          <w:vertAlign w:val="superscript"/>
        </w:rPr>
        <w:t>2</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s. 5 established the Western Australian Institute of Technology as the Curtin University of Technology from 1 January 1987.</w:t>
      </w:r>
    </w:p>
    <w:p>
      <w:pPr>
        <w:pStyle w:val="nSubsection"/>
        <w:spacing w:before="120"/>
      </w:pPr>
      <w:r>
        <w:rPr>
          <w:vertAlign w:val="superscript"/>
        </w:rPr>
        <w:t>3</w:t>
      </w:r>
      <w:r>
        <w:rPr>
          <w:vertAlign w:val="superscript"/>
        </w:rPr>
        <w:tab/>
      </w:r>
      <w:r>
        <w:t>The commencement date of 1 Jul 1989 that was specified was before the date of gazettal.</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8" w:name="_Toc396114356"/>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 w:name="DefinedTerms"/>
      <w:bookmarkEnd w:id="19"/>
      <w:r>
        <w:t>Act</w:t>
      </w:r>
      <w:r>
        <w:tab/>
        <w:t>2</w:t>
      </w:r>
    </w:p>
    <w:p>
      <w:pPr>
        <w:pStyle w:val="DefinedTerms"/>
      </w:pPr>
      <w:r>
        <w:t>Commissioner</w:t>
      </w:r>
      <w:r>
        <w:tab/>
        <w:t>2</w:t>
      </w:r>
    </w:p>
    <w:p>
      <w:pPr>
        <w:pStyle w:val="DefinedTerms"/>
      </w:pPr>
      <w:r>
        <w:t>section</w:t>
      </w:r>
      <w:r>
        <w:tab/>
        <w:t>2</w:t>
      </w:r>
    </w:p>
    <w:p>
      <w:pPr>
        <w:pStyle w:val="DefinedTerms"/>
      </w:pPr>
    </w:p>
    <w:p>
      <w:pPr>
        <w:rPr>
          <w:sz w:val="20"/>
        </w:rPr>
      </w:pPr>
    </w:p>
    <w:p/>
    <w:p/>
    <w:p/>
    <w:p/>
    <w:p/>
    <w:p/>
    <w:p/>
    <w:p/>
    <w:p/>
    <w:p/>
    <w:p/>
    <w:p/>
    <w:p/>
    <w:p/>
    <w:p/>
    <w:p/>
    <w:p/>
    <w:p/>
    <w:p/>
    <w:p/>
    <w:p/>
    <w:p/>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0CF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40BE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07053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4AB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F299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7ED4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88C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CE64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06E1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404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8C8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616B4D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8083614"/>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footer" Target="footer10.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3629</Words>
  <Characters>17714</Characters>
  <Application>Microsoft Office Word</Application>
  <DocSecurity>0</DocSecurity>
  <Lines>770</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1979 - 05-00-00</dc:title>
  <dc:subject/>
  <dc:creator/>
  <cp:keywords/>
  <dc:description/>
  <cp:lastModifiedBy>svcMRProcess</cp:lastModifiedBy>
  <cp:revision>4</cp:revision>
  <cp:lastPrinted>2014-08-22T01:06:00Z</cp:lastPrinted>
  <dcterms:created xsi:type="dcterms:W3CDTF">2020-03-09T16:56:00Z</dcterms:created>
  <dcterms:modified xsi:type="dcterms:W3CDTF">2020-03-09T16:56:00Z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20140822</vt:lpwstr>
  </property>
  <property fmtid="{D5CDD505-2E9C-101B-9397-08002B2CF9AE}" pid="4" name="DocumentType">
    <vt:lpwstr>Reg</vt:lpwstr>
  </property>
  <property fmtid="{D5CDD505-2E9C-101B-9397-08002B2CF9AE}" pid="5" name="OwlsUID">
    <vt:i4>4548</vt:i4>
  </property>
  <property fmtid="{D5CDD505-2E9C-101B-9397-08002B2CF9AE}" pid="6" name="AsAtDate">
    <vt:lpwstr>22 Aug 2014</vt:lpwstr>
  </property>
  <property fmtid="{D5CDD505-2E9C-101B-9397-08002B2CF9AE}" pid="7" name="Suffix">
    <vt:lpwstr>05-00-00</vt:lpwstr>
  </property>
  <property fmtid="{D5CDD505-2E9C-101B-9397-08002B2CF9AE}" pid="8" name="ReprintNo">
    <vt:lpwstr>5</vt:lpwstr>
  </property>
  <property fmtid="{D5CDD505-2E9C-101B-9397-08002B2CF9AE}" pid="9" name="ReprintedAsAt">
    <vt:filetime>2014-08-21T16:00:00Z</vt:filetime>
  </property>
</Properties>
</file>