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Dog Act 1903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Dog Act 1976</w:t>
      </w:r>
      <w:r>
        <w:rPr>
          <w:color w:val="000000"/>
          <w:sz w:val="22"/>
          <w:szCs w:val="22"/>
        </w:rPr>
        <w:t xml:space="preserve"> s. 5(1) (No. 58 of 1976) as at 24 Dec 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501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5015" w:val="UsedStyles"/>
    <w:docVar w:name="WAFER_20160412135015_GUID" w:val="c5698d3a-04e2-432a-9832-7eedb61d909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171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 Act 1903 - 04-b0-03</dc:title>
  <dc:subject/>
  <dc:creator/>
  <cp:keywords/>
  <dc:description/>
  <cp:lastModifiedBy>svcMRProcess</cp:lastModifiedBy>
  <cp:revision>3</cp:revision>
  <dcterms:created xsi:type="dcterms:W3CDTF">2017-04-26T03:18:00Z</dcterms:created>
  <dcterms:modified xsi:type="dcterms:W3CDTF">2017-04-26T03:18:00Z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04-b0-03</vt:lpwstr>
  </property>
  <property fmtid="{D5CDD505-2E9C-101B-9397-08002B2CF9AE}" pid="3" name="AsAtDate">
    <vt:lpwstr>24 Dec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19761224</vt:lpwstr>
  </property>
</Properties>
</file>