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Eastern Goldfields Transport Board Act 1946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Eastern Goldfields Transport Board Act 1984</w:t>
      </w:r>
      <w:r>
        <w:rPr>
          <w:color w:val="000000"/>
          <w:sz w:val="22"/>
          <w:szCs w:val="22"/>
        </w:rPr>
        <w:t xml:space="preserve"> s. 37 (No. 5 of 1984) as at 1 Aug 1984.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40324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40324" w:val="UsedStyles"/>
    <w:docVar w:name="WAFER_20160412140324_GUID" w:val="1f3091b0-51e6-431d-aa3a-aedc23eca3e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223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Eastern Goldfields Transport Board Act 1946 - 01-b0-02</dc:title>
  <dc:subject/>
  <dc:creator/>
  <cp:keywords/>
  <dc:description/>
  <cp:lastModifiedBy>svcMRProcess</cp:lastModifiedBy>
  <cp:revision>3</cp:revision>
  <dcterms:created xsi:type="dcterms:W3CDTF">2016-04-12T06:08:00Z</dcterms:created>
  <dcterms:modified xsi:type="dcterms:W3CDTF">2016-04-12T06:08:00Z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Aug 1984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19840801</vt:lpwstr>
  </property>
</Properties>
</file>