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Environmental Protection Act 1971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and Repeal (Environmental Protection) Act 1986</w:t>
      </w:r>
      <w:r>
        <w:rPr>
          <w:color w:val="000000"/>
          <w:sz w:val="22"/>
          <w:szCs w:val="22"/>
        </w:rPr>
        <w:t xml:space="preserve"> s. 40 (No. 77 of 1986) as at 20 Feb 1987.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40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407" w:val="UsedStyles"/>
    <w:docVar w:name="WAFER_20160412140407_GUID" w:val="810f952f-5f18-4638-b36f-b8b1fda53f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233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Act 1971 - 01-b0-02</dc:title>
  <dc:subject/>
  <dc:creator/>
  <cp:keywords/>
  <dc:description/>
  <cp:lastModifiedBy>svcMRProcess</cp:lastModifiedBy>
  <cp:revision>3</cp:revision>
  <dcterms:created xsi:type="dcterms:W3CDTF">2016-04-12T06:10:00Z</dcterms:created>
  <dcterms:modified xsi:type="dcterms:W3CDTF">2016-04-12T06:10:00Z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20 Feb 1987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19870220</vt:lpwstr>
  </property>
</Properties>
</file>