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Fisheries Act 1905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Fish Resources Management Act 1994 </w:t>
      </w:r>
      <w:r>
        <w:rPr>
          <w:color w:val="000000"/>
          <w:sz w:val="22"/>
          <w:szCs w:val="22"/>
        </w:rPr>
        <w:t>s. 265(a) (No. 53 of 1994) as at 1 Oct 1995.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53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536" w:val="UsedStyles"/>
    <w:docVar w:name="WAFER_20160412140536_GUID" w:val="7c17b7cf-6eba-446a-a9fb-7c5b00ec67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Fisheries Act 1905 - 09-b0-02</dc:title>
  <dc:subject/>
  <dc:creator/>
  <cp:keywords/>
  <dc:description/>
  <cp:lastModifiedBy>svcMRProcess</cp:lastModifiedBy>
  <cp:revision>3</cp:revision>
  <dcterms:created xsi:type="dcterms:W3CDTF">2016-04-12T06:13:00Z</dcterms:created>
  <dcterms:modified xsi:type="dcterms:W3CDTF">2016-04-12T06:13:00Z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09-b0-02</vt:lpwstr>
  </property>
  <property fmtid="{D5CDD505-2E9C-101B-9397-08002B2CF9AE}" pid="3" name="AsAtDate">
    <vt:lpwstr>01 Oct 1995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19951001</vt:lpwstr>
  </property>
</Properties>
</file>