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  <w:ind w:right="292"/>
      </w:pPr>
      <w:bookmarkStart w:id="2" w:name="Citation"/>
      <w:bookmarkEnd w:id="2"/>
      <w:r>
        <w:t>Inquiry Agents Licensing Act 1954</w:t>
      </w:r>
    </w:p>
    <w:p>
      <w:pPr>
        <w:pStyle w:val="NameofActReg"/>
      </w:pPr>
    </w:p>
    <w:p>
      <w:pPr>
        <w:pStyle w:val="Subsection"/>
      </w:pPr>
    </w:p>
    <w:p>
      <w:pPr>
        <w:pStyle w:val="Subsection"/>
        <w:ind w:right="292" w:hanging="326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Security and Related Activities (Control) Act 1996 </w:t>
      </w:r>
      <w:r>
        <w:rPr>
          <w:color w:val="000000"/>
          <w:sz w:val="22"/>
          <w:szCs w:val="22"/>
        </w:rPr>
        <w:t>s. 95(1) (No. 27 of 1996) as at 1 Apr 1997.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05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055" w:val="UsedStyles"/>
    <w:docVar w:name="WAFER_20160415161055_GUID" w:val="2f49a450-f8b0-4bb2-81f6-760b7a5c0b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224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Inquiry Agents Licensing Act 1954 - 01-b0-02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Apr 1997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19970401</vt:lpwstr>
  </property>
</Properties>
</file>