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  <w:ind w:right="292"/>
      </w:pPr>
      <w:bookmarkStart w:id="2" w:name="Citation"/>
      <w:bookmarkEnd w:id="2"/>
      <w:r>
        <w:t>Interpretation Act 1918</w:t>
      </w:r>
    </w:p>
    <w:p>
      <w:pPr>
        <w:pStyle w:val="Subsection"/>
      </w:pPr>
    </w:p>
    <w:p>
      <w:pPr>
        <w:pStyle w:val="Subsection"/>
        <w:ind w:right="292" w:hanging="326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Interpretation Act 1984 </w:t>
      </w:r>
      <w:r>
        <w:rPr>
          <w:color w:val="000000"/>
          <w:sz w:val="22"/>
          <w:szCs w:val="22"/>
        </w:rPr>
        <w:t>s. 77(1) (No. 12 of 1984) as at 1 Jul 1984.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11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116" w:val="UsedStyles"/>
    <w:docVar w:name="WAFER_20160415161116_GUID" w:val="bb60895f-41b5-4a11-96cb-25576c3add4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193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Act 1918 - 04-b0-02</dc:title>
  <dc:subject/>
  <dc:creator/>
  <cp:keywords/>
  <dc:description/>
  <cp:lastModifiedBy>svcMRProcess</cp:lastModifiedBy>
  <cp:revision>3</cp:revision>
  <dcterms:created xsi:type="dcterms:W3CDTF">2019-05-07T06:36:00Z</dcterms:created>
  <dcterms:modified xsi:type="dcterms:W3CDTF">2019-05-07T06:36:00Z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01 Jul 1984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19840701</vt:lpwstr>
  </property>
</Properties>
</file>