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Interpretation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_Toc419714516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_Toc419714517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_Toc419714518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_Toc419714519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interpretation provisions</w:t>
      </w:r>
    </w:p>
    <w:p>
      <w:pPr>
        <w:pStyle w:val="TOC8"/>
        <w:rPr>
          <w:rFonts w:asciiTheme="minorHAnsi" w:eastAsiaTheme="minorEastAsia" w:hAnsiTheme="minorHAnsi" w:cstheme="minorBidi"/>
          <w:szCs w:val="22"/>
        </w:rPr>
      </w:pPr>
      <w:r>
        <w:t>5</w:t>
      </w:r>
      <w:r>
        <w:rPr>
          <w:snapToGrid w:val="0"/>
        </w:rPr>
        <w:t>.</w:t>
      </w:r>
      <w:r>
        <w:rPr>
          <w:snapToGrid w:val="0"/>
        </w:rPr>
        <w:tab/>
        <w:t>Terms used in written laws</w:t>
      </w:r>
      <w:r>
        <w:tab/>
      </w:r>
      <w:r>
        <w:fldChar w:fldCharType="begin"/>
      </w:r>
      <w:r>
        <w:instrText xml:space="preserve"> PAGEREF _Toc419714521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Definitions in a written law, application of</w:t>
      </w:r>
      <w:r>
        <w:tab/>
      </w:r>
      <w:r>
        <w:fldChar w:fldCharType="begin"/>
      </w:r>
      <w:r>
        <w:instrText xml:space="preserve"> PAGEREF _Toc419714522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Written laws to be construed subject to State’s legislative power</w:t>
      </w:r>
      <w:r>
        <w:tab/>
      </w:r>
      <w:r>
        <w:fldChar w:fldCharType="begin"/>
      </w:r>
      <w:r>
        <w:instrText xml:space="preserve"> PAGEREF _Toc419714523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Written laws always speaking</w:t>
      </w:r>
      <w:r>
        <w:tab/>
      </w:r>
      <w:r>
        <w:fldChar w:fldCharType="begin"/>
      </w:r>
      <w:r>
        <w:instrText xml:space="preserve"> PAGEREF _Toc419714524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Parts of speech and grammatical forms</w:t>
      </w:r>
      <w:r>
        <w:tab/>
      </w:r>
      <w:r>
        <w:fldChar w:fldCharType="begin"/>
      </w:r>
      <w:r>
        <w:instrText xml:space="preserve"> PAGEREF _Toc419714525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Gender and number</w:t>
      </w:r>
      <w:r>
        <w:tab/>
      </w:r>
      <w:r>
        <w:fldChar w:fldCharType="begin"/>
      </w:r>
      <w:r>
        <w:instrText xml:space="preserve"> PAGEREF _Toc419714526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Sovereign, references to</w:t>
      </w:r>
      <w:r>
        <w:tab/>
      </w:r>
      <w:r>
        <w:fldChar w:fldCharType="begin"/>
      </w:r>
      <w:r>
        <w:instrText xml:space="preserve"> PAGEREF _Toc419714527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references to</w:t>
      </w:r>
      <w:r>
        <w:tab/>
      </w:r>
      <w:r>
        <w:fldChar w:fldCharType="begin"/>
      </w:r>
      <w:r>
        <w:instrText xml:space="preserve"> PAGEREF _Toc419714528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British subject etc., references to</w:t>
      </w:r>
      <w:r>
        <w:tab/>
      </w:r>
      <w:r>
        <w:fldChar w:fldCharType="begin"/>
      </w:r>
      <w:r>
        <w:instrText xml:space="preserve"> PAGEREF _Toc419714529 \h </w:instrText>
      </w:r>
      <w:r>
        <w:fldChar w:fldCharType="separate"/>
      </w:r>
      <w:r>
        <w:t>13</w:t>
      </w:r>
      <w:r>
        <w:fldChar w:fldCharType="end"/>
      </w:r>
    </w:p>
    <w:p>
      <w:pPr>
        <w:pStyle w:val="TOC8"/>
        <w:rPr>
          <w:rFonts w:asciiTheme="minorHAnsi" w:eastAsiaTheme="minorEastAsia" w:hAnsiTheme="minorHAnsi" w:cstheme="minorBidi"/>
          <w:szCs w:val="22"/>
        </w:rPr>
      </w:pPr>
      <w:r>
        <w:t>13A.</w:t>
      </w:r>
      <w:r>
        <w:tab/>
        <w:t>De facto relationship and de facto partner, references to</w:t>
      </w:r>
      <w:r>
        <w:tab/>
      </w:r>
      <w:r>
        <w:fldChar w:fldCharType="begin"/>
      </w:r>
      <w:r>
        <w:instrText xml:space="preserve"> PAGEREF _Toc419714530 \h </w:instrText>
      </w:r>
      <w:r>
        <w:fldChar w:fldCharType="separate"/>
      </w:r>
      <w:r>
        <w:t>14</w:t>
      </w:r>
      <w:r>
        <w:fldChar w:fldCharType="end"/>
      </w:r>
    </w:p>
    <w:p>
      <w:pPr>
        <w:pStyle w:val="TOC8"/>
        <w:rPr>
          <w:rFonts w:asciiTheme="minorHAnsi" w:eastAsiaTheme="minorEastAsia" w:hAnsiTheme="minorHAnsi" w:cstheme="minorBidi"/>
          <w:szCs w:val="22"/>
        </w:rPr>
      </w:pPr>
      <w:r>
        <w:t>13B.</w:t>
      </w:r>
      <w:r>
        <w:tab/>
        <w:t>Standards Association of Australia, references to</w:t>
      </w:r>
      <w:r>
        <w:tab/>
      </w:r>
      <w:r>
        <w:fldChar w:fldCharType="begin"/>
      </w:r>
      <w:r>
        <w:instrText xml:space="preserve"> PAGEREF _Toc419714531 \h </w:instrText>
      </w:r>
      <w:r>
        <w:fldChar w:fldCharType="separate"/>
      </w:r>
      <w:r>
        <w:t>15</w:t>
      </w:r>
      <w:r>
        <w:fldChar w:fldCharType="end"/>
      </w:r>
    </w:p>
    <w:p>
      <w:pPr>
        <w:pStyle w:val="TOC8"/>
        <w:rPr>
          <w:rFonts w:asciiTheme="minorHAnsi" w:eastAsiaTheme="minorEastAsia" w:hAnsiTheme="minorHAnsi" w:cstheme="minorBidi"/>
          <w:szCs w:val="22"/>
        </w:rPr>
      </w:pPr>
      <w:r>
        <w:t>13CA.</w:t>
      </w:r>
      <w:r>
        <w:tab/>
        <w:t>Local government districts, references to</w:t>
      </w:r>
      <w:r>
        <w:tab/>
      </w:r>
      <w:r>
        <w:fldChar w:fldCharType="begin"/>
      </w:r>
      <w:r>
        <w:instrText xml:space="preserve"> PAGEREF _Toc419714532 \h </w:instrText>
      </w:r>
      <w:r>
        <w:fldChar w:fldCharType="separate"/>
      </w:r>
      <w:r>
        <w:t>15</w:t>
      </w:r>
      <w:r>
        <w:fldChar w:fldCharType="end"/>
      </w:r>
    </w:p>
    <w:p>
      <w:pPr>
        <w:pStyle w:val="TOC8"/>
        <w:rPr>
          <w:rFonts w:asciiTheme="minorHAnsi" w:eastAsiaTheme="minorEastAsia" w:hAnsiTheme="minorHAnsi" w:cstheme="minorBidi"/>
          <w:szCs w:val="22"/>
        </w:rPr>
      </w:pPr>
      <w:r>
        <w:t>13C.</w:t>
      </w:r>
      <w:r>
        <w:tab/>
        <w:t>When death of a person occurs</w:t>
      </w:r>
      <w:r>
        <w:tab/>
      </w:r>
      <w:r>
        <w:fldChar w:fldCharType="begin"/>
      </w:r>
      <w:r>
        <w:instrText xml:space="preserve"> PAGEREF _Toc419714533 \h </w:instrText>
      </w:r>
      <w:r>
        <w:fldChar w:fldCharType="separate"/>
      </w:r>
      <w:r>
        <w:t>16</w:t>
      </w:r>
      <w:r>
        <w:fldChar w:fldCharType="end"/>
      </w:r>
    </w:p>
    <w:p>
      <w:pPr>
        <w:pStyle w:val="TOC8"/>
        <w:rPr>
          <w:rFonts w:asciiTheme="minorHAnsi" w:eastAsiaTheme="minorEastAsia" w:hAnsiTheme="minorHAnsi" w:cstheme="minorBidi"/>
          <w:szCs w:val="22"/>
        </w:rPr>
      </w:pPr>
      <w:r>
        <w:t>13D.</w:t>
      </w:r>
      <w:r>
        <w:tab/>
        <w:t>Bankrupt and related expressions, references to</w:t>
      </w:r>
      <w:r>
        <w:tab/>
      </w:r>
      <w:r>
        <w:fldChar w:fldCharType="begin"/>
      </w:r>
      <w:r>
        <w:instrText xml:space="preserve"> PAGEREF _Toc419714534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References to 2 or more provisions to be inclusive</w:t>
      </w:r>
      <w:r>
        <w:tab/>
      </w:r>
      <w:r>
        <w:fldChar w:fldCharType="begin"/>
      </w:r>
      <w:r>
        <w:instrText xml:space="preserve"> PAGEREF _Toc419714535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Internal references in written laws, construction of</w:t>
      </w:r>
      <w:r>
        <w:tab/>
      </w:r>
      <w:r>
        <w:fldChar w:fldCharType="begin"/>
      </w:r>
      <w:r>
        <w:instrText xml:space="preserve"> PAGEREF _Toc419714536 \h </w:instrText>
      </w:r>
      <w:r>
        <w:fldChar w:fldCharType="separate"/>
      </w:r>
      <w:r>
        <w:t>17</w:t>
      </w:r>
      <w:r>
        <w:fldChar w:fldCharType="end"/>
      </w:r>
    </w:p>
    <w:p>
      <w:pPr>
        <w:pStyle w:val="TOC8"/>
        <w:rPr>
          <w:rFonts w:asciiTheme="minorHAnsi" w:eastAsiaTheme="minorEastAsia" w:hAnsiTheme="minorHAnsi" w:cstheme="minorBidi"/>
          <w:szCs w:val="22"/>
        </w:rPr>
      </w:pPr>
      <w:r>
        <w:t>15A.</w:t>
      </w:r>
      <w:r>
        <w:tab/>
        <w:t>Reference to paragraph</w:t>
      </w:r>
      <w:r>
        <w:tab/>
      </w:r>
      <w:r>
        <w:fldChar w:fldCharType="begin"/>
      </w:r>
      <w:r>
        <w:instrText xml:space="preserve"> PAGEREF _Toc419714537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Reference to written law is to written law as amended</w:t>
      </w:r>
      <w:r>
        <w:tab/>
      </w:r>
      <w:r>
        <w:fldChar w:fldCharType="begin"/>
      </w:r>
      <w:r>
        <w:instrText xml:space="preserve"> PAGEREF _Toc419714538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Disjunctive construction of “or”</w:t>
      </w:r>
      <w:r>
        <w:tab/>
      </w:r>
      <w:r>
        <w:fldChar w:fldCharType="begin"/>
      </w:r>
      <w:r>
        <w:instrText xml:space="preserve"> PAGEREF _Toc419714539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Purpose or object of written law, use of in interpretation</w:t>
      </w:r>
      <w:r>
        <w:tab/>
      </w:r>
      <w:r>
        <w:fldChar w:fldCharType="begin"/>
      </w:r>
      <w:r>
        <w:instrText xml:space="preserve"> PAGEREF _Toc419714540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Extrinsic material, use of in interpretation</w:t>
      </w:r>
      <w:r>
        <w:tab/>
      </w:r>
      <w:r>
        <w:fldChar w:fldCharType="begin"/>
      </w:r>
      <w:r>
        <w:instrText xml:space="preserve"> PAGEREF _Toc419714541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 — Commencement and citation</w:t>
      </w:r>
    </w:p>
    <w:p>
      <w:pPr>
        <w:pStyle w:val="TOC8"/>
        <w:rPr>
          <w:rFonts w:asciiTheme="minorHAnsi" w:eastAsiaTheme="minorEastAsia" w:hAnsiTheme="minorHAnsi" w:cstheme="minorBidi"/>
          <w:szCs w:val="22"/>
        </w:rPr>
      </w:pPr>
      <w:r>
        <w:t>20</w:t>
      </w:r>
      <w:r>
        <w:rPr>
          <w:snapToGrid w:val="0"/>
        </w:rPr>
        <w:t>.</w:t>
      </w:r>
      <w:r>
        <w:rPr>
          <w:snapToGrid w:val="0"/>
        </w:rPr>
        <w:tab/>
        <w:t>Commencement of Acts</w:t>
      </w:r>
      <w:r>
        <w:tab/>
      </w:r>
      <w:r>
        <w:fldChar w:fldCharType="begin"/>
      </w:r>
      <w:r>
        <w:instrText xml:space="preserve"> PAGEREF _Toc419714543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Time of commencement of written laws</w:t>
      </w:r>
      <w:r>
        <w:tab/>
      </w:r>
      <w:r>
        <w:fldChar w:fldCharType="begin"/>
      </w:r>
      <w:r>
        <w:instrText xml:space="preserve"> PAGEREF _Toc419714544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 commencing on proclamation, commencement of certain provisions of</w:t>
      </w:r>
      <w:r>
        <w:tab/>
      </w:r>
      <w:r>
        <w:fldChar w:fldCharType="begin"/>
      </w:r>
      <w:r>
        <w:instrText xml:space="preserve"> PAGEREF _Toc419714545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Proclamation of commencement of Act, construction of power to make</w:t>
      </w:r>
      <w:r>
        <w:tab/>
      </w:r>
      <w:r>
        <w:fldChar w:fldCharType="begin"/>
      </w:r>
      <w:r>
        <w:instrText xml:space="preserve"> PAGEREF _Toc419714546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Date of assent, evidence of</w:t>
      </w:r>
      <w:r>
        <w:tab/>
      </w:r>
      <w:r>
        <w:fldChar w:fldCharType="begin"/>
      </w:r>
      <w:r>
        <w:instrText xml:space="preserve"> PAGEREF _Toc419714547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Some powers in Act may be exercised before it commences</w:t>
      </w:r>
      <w:r>
        <w:tab/>
      </w:r>
      <w:r>
        <w:fldChar w:fldCharType="begin"/>
      </w:r>
      <w:r>
        <w:instrText xml:space="preserve"> PAGEREF _Toc419714548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Citation of written laws</w:t>
      </w:r>
      <w:r>
        <w:tab/>
      </w:r>
      <w:r>
        <w:fldChar w:fldCharType="begin"/>
      </w:r>
      <w:r>
        <w:instrText xml:space="preserve"> PAGEREF _Toc419714549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References to commencement of written law if different provisions commence on different days</w:t>
      </w:r>
      <w:r>
        <w:tab/>
      </w:r>
      <w:r>
        <w:fldChar w:fldCharType="begin"/>
      </w:r>
      <w:r>
        <w:instrText xml:space="preserve"> PAGEREF _Toc419714550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IV — Provisions as to enactment and operation of written law</w:t>
      </w:r>
    </w:p>
    <w:p>
      <w:pPr>
        <w:pStyle w:val="TOC8"/>
        <w:rPr>
          <w:rFonts w:asciiTheme="minorHAnsi" w:eastAsiaTheme="minorEastAsia" w:hAnsiTheme="minorHAnsi" w:cstheme="minorBidi"/>
          <w:szCs w:val="22"/>
        </w:rPr>
      </w:pPr>
      <w:r>
        <w:t>28</w:t>
      </w:r>
      <w:r>
        <w:rPr>
          <w:snapToGrid w:val="0"/>
        </w:rPr>
        <w:t>.</w:t>
      </w:r>
      <w:r>
        <w:rPr>
          <w:snapToGrid w:val="0"/>
        </w:rPr>
        <w:tab/>
        <w:t>Acts deemed public Acts</w:t>
      </w:r>
      <w:r>
        <w:tab/>
      </w:r>
      <w:r>
        <w:fldChar w:fldCharType="begin"/>
      </w:r>
      <w:r>
        <w:instrText xml:space="preserve"> PAGEREF _Toc419714552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Sections to be substantive enactments</w:t>
      </w:r>
      <w:r>
        <w:tab/>
      </w:r>
      <w:r>
        <w:fldChar w:fldCharType="begin"/>
      </w:r>
      <w:r>
        <w:instrText xml:space="preserve"> PAGEREF _Toc419714553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Act may be amended in same session</w:t>
      </w:r>
      <w:r>
        <w:tab/>
      </w:r>
      <w:r>
        <w:fldChar w:fldCharType="begin"/>
      </w:r>
      <w:r>
        <w:instrText xml:space="preserve"> PAGEREF _Toc419714554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Preambles, schedules etc. to form part of written law</w:t>
      </w:r>
      <w:r>
        <w:tab/>
      </w:r>
      <w:r>
        <w:fldChar w:fldCharType="begin"/>
      </w:r>
      <w:r>
        <w:instrText xml:space="preserve"> PAGEREF _Toc419714555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Headings, marginal notes and footnotes</w:t>
      </w:r>
      <w:r>
        <w:tab/>
      </w:r>
      <w:r>
        <w:fldChar w:fldCharType="begin"/>
      </w:r>
      <w:r>
        <w:instrText xml:space="preserve"> PAGEREF _Toc419714556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 — Repeal of written law</w:t>
      </w:r>
    </w:p>
    <w:p>
      <w:pPr>
        <w:pStyle w:val="TOC8"/>
        <w:rPr>
          <w:rFonts w:asciiTheme="minorHAnsi" w:eastAsiaTheme="minorEastAsia" w:hAnsiTheme="minorHAnsi" w:cstheme="minorBidi"/>
          <w:szCs w:val="22"/>
        </w:rPr>
      </w:pPr>
      <w:r>
        <w:t>33</w:t>
      </w:r>
      <w:r>
        <w:rPr>
          <w:snapToGrid w:val="0"/>
        </w:rPr>
        <w:t>.</w:t>
      </w:r>
      <w:r>
        <w:rPr>
          <w:snapToGrid w:val="0"/>
        </w:rPr>
        <w:tab/>
        <w:t>Repeal of written law includes repeal of amendments</w:t>
      </w:r>
      <w:r>
        <w:tab/>
      </w:r>
      <w:r>
        <w:fldChar w:fldCharType="begin"/>
      </w:r>
      <w:r>
        <w:instrText xml:space="preserve"> PAGEREF _Toc419714558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Repeal of repealing enactment, effect of</w:t>
      </w:r>
      <w:r>
        <w:tab/>
      </w:r>
      <w:r>
        <w:fldChar w:fldCharType="begin"/>
      </w:r>
      <w:r>
        <w:instrText xml:space="preserve"> PAGEREF _Toc419714559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Repeal and substitution of provision, effect of</w:t>
      </w:r>
      <w:r>
        <w:tab/>
      </w:r>
      <w:r>
        <w:fldChar w:fldCharType="begin"/>
      </w:r>
      <w:r>
        <w:instrText xml:space="preserve"> PAGEREF _Toc419714560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Repealing and re</w:t>
      </w:r>
      <w:r>
        <w:rPr>
          <w:snapToGrid w:val="0"/>
        </w:rPr>
        <w:noBreakHyphen/>
        <w:t>enacting a provision, effect of</w:t>
      </w:r>
      <w:r>
        <w:tab/>
      </w:r>
      <w:r>
        <w:fldChar w:fldCharType="begin"/>
      </w:r>
      <w:r>
        <w:instrText xml:space="preserve"> PAGEREF _Toc419714561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General savings on repeal</w:t>
      </w:r>
      <w:r>
        <w:tab/>
      </w:r>
      <w:r>
        <w:fldChar w:fldCharType="begin"/>
      </w:r>
      <w:r>
        <w:instrText xml:space="preserve"> PAGEREF _Toc419714562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Repeal of Act, effect of on subsidiary legislation</w:t>
      </w:r>
      <w:r>
        <w:tab/>
      </w:r>
      <w:r>
        <w:fldChar w:fldCharType="begin"/>
      </w:r>
      <w:r>
        <w:instrText xml:space="preserve"> PAGEREF _Toc419714563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Expiry of enactment, effect of</w:t>
      </w:r>
      <w:r>
        <w:tab/>
      </w:r>
      <w:r>
        <w:fldChar w:fldCharType="begin"/>
      </w:r>
      <w:r>
        <w:instrText xml:space="preserve"> PAGEREF _Toc419714564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VI — Subsidiary legislation</w:t>
      </w:r>
    </w:p>
    <w:p>
      <w:pPr>
        <w:pStyle w:val="TOC8"/>
        <w:rPr>
          <w:rFonts w:asciiTheme="minorHAnsi" w:eastAsiaTheme="minorEastAsia" w:hAnsiTheme="minorHAnsi" w:cstheme="minorBidi"/>
          <w:szCs w:val="22"/>
        </w:rPr>
      </w:pPr>
      <w:r>
        <w:t>40</w:t>
      </w:r>
      <w:r>
        <w:rPr>
          <w:snapToGrid w:val="0"/>
        </w:rPr>
        <w:t>.</w:t>
      </w:r>
      <w:r>
        <w:rPr>
          <w:snapToGrid w:val="0"/>
        </w:rPr>
        <w:tab/>
        <w:t>Governor to make subsidiary legislation</w:t>
      </w:r>
      <w:r>
        <w:tab/>
      </w:r>
      <w:r>
        <w:fldChar w:fldCharType="begin"/>
      </w:r>
      <w:r>
        <w:instrText xml:space="preserve"> PAGEREF _Toc419714566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Publication and commencement of subsidiary legislation</w:t>
      </w:r>
      <w:r>
        <w:tab/>
      </w:r>
      <w:r>
        <w:fldChar w:fldCharType="begin"/>
      </w:r>
      <w:r>
        <w:instrText xml:space="preserve"> PAGEREF _Toc419714567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Laying regulations, rules, local laws and by</w:t>
      </w:r>
      <w:r>
        <w:rPr>
          <w:snapToGrid w:val="0"/>
        </w:rPr>
        <w:noBreakHyphen/>
        <w:t>laws before Parliament, and disallowance</w:t>
      </w:r>
      <w:r>
        <w:tab/>
      </w:r>
      <w:r>
        <w:fldChar w:fldCharType="begin"/>
      </w:r>
      <w:r>
        <w:instrText xml:space="preserve"> PAGEREF _Toc419714568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Power to make subsidiary legislation, general provisions about</w:t>
      </w:r>
      <w:r>
        <w:tab/>
      </w:r>
      <w:r>
        <w:fldChar w:fldCharType="begin"/>
      </w:r>
      <w:r>
        <w:instrText xml:space="preserve"> PAGEREF _Toc419714569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Words and expressions in subsidiary legislation, meaning of</w:t>
      </w:r>
      <w:r>
        <w:tab/>
      </w:r>
      <w:r>
        <w:fldChar w:fldCharType="begin"/>
      </w:r>
      <w:r>
        <w:instrText xml:space="preserve"> PAGEREF _Toc419714570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Fees and charges</w:t>
      </w:r>
      <w:r>
        <w:tab/>
      </w:r>
      <w:r>
        <w:fldChar w:fldCharType="begin"/>
      </w:r>
      <w:r>
        <w:instrText xml:space="preserve"> PAGEREF _Toc419714571 \h </w:instrText>
      </w:r>
      <w:r>
        <w:fldChar w:fldCharType="separate"/>
      </w:r>
      <w:r>
        <w:t>35</w:t>
      </w:r>
      <w:r>
        <w:fldChar w:fldCharType="end"/>
      </w:r>
    </w:p>
    <w:p>
      <w:pPr>
        <w:pStyle w:val="TOC8"/>
        <w:rPr>
          <w:rFonts w:asciiTheme="minorHAnsi" w:eastAsiaTheme="minorEastAsia" w:hAnsiTheme="minorHAnsi" w:cstheme="minorBidi"/>
          <w:szCs w:val="22"/>
        </w:rPr>
      </w:pPr>
      <w:r>
        <w:t>45A.</w:t>
      </w:r>
      <w:r>
        <w:tab/>
        <w:t>Fees for licences, effect of power to prescribe</w:t>
      </w:r>
      <w:r>
        <w:tab/>
      </w:r>
      <w:r>
        <w:fldChar w:fldCharType="begin"/>
      </w:r>
      <w:r>
        <w:instrText xml:space="preserve"> PAGEREF _Toc419714572 \h </w:instrText>
      </w:r>
      <w:r>
        <w:fldChar w:fldCharType="separate"/>
      </w:r>
      <w:r>
        <w:t>36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Reference to written law includes reference to subsidiary legislation made under it</w:t>
      </w:r>
      <w:r>
        <w:tab/>
      </w:r>
      <w:r>
        <w:fldChar w:fldCharType="begin"/>
      </w:r>
      <w:r>
        <w:instrText xml:space="preserve"> PAGEREF _Toc419714573 \h </w:instrText>
      </w:r>
      <w:r>
        <w:fldChar w:fldCharType="separate"/>
      </w:r>
      <w:r>
        <w:t>36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Acts done under subsidiary legislation deemed done under Act</w:t>
      </w:r>
      <w:r>
        <w:tab/>
      </w:r>
      <w:r>
        <w:fldChar w:fldCharType="begin"/>
      </w:r>
      <w:r>
        <w:instrText xml:space="preserve"> PAGEREF _Toc419714574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VII — Statutory powers and duties</w:t>
      </w:r>
    </w:p>
    <w:p>
      <w:pPr>
        <w:pStyle w:val="TOC8"/>
        <w:rPr>
          <w:rFonts w:asciiTheme="minorHAnsi" w:eastAsiaTheme="minorEastAsia" w:hAnsiTheme="minorHAnsi" w:cstheme="minorBidi"/>
          <w:szCs w:val="22"/>
        </w:rPr>
      </w:pPr>
      <w:r>
        <w:t>48</w:t>
      </w:r>
      <w:r>
        <w:rPr>
          <w:snapToGrid w:val="0"/>
        </w:rPr>
        <w:t>.</w:t>
      </w:r>
      <w:r>
        <w:rPr>
          <w:snapToGrid w:val="0"/>
        </w:rPr>
        <w:tab/>
        <w:t>Time for exercise of power or performance of duty</w:t>
      </w:r>
      <w:r>
        <w:tab/>
      </w:r>
      <w:r>
        <w:fldChar w:fldCharType="begin"/>
      </w:r>
      <w:r>
        <w:instrText xml:space="preserve"> PAGEREF _Toc419714576 \h </w:instrText>
      </w:r>
      <w:r>
        <w:fldChar w:fldCharType="separate"/>
      </w:r>
      <w:r>
        <w:t>38</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Judicial acts and service of process may be done on any day</w:t>
      </w:r>
      <w:r>
        <w:tab/>
      </w:r>
      <w:r>
        <w:fldChar w:fldCharType="begin"/>
      </w:r>
      <w:r>
        <w:instrText xml:space="preserve"> PAGEREF _Toc419714577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Public officer’s powers and duties may be exercised by acting officer etc.</w:t>
      </w:r>
      <w:r>
        <w:tab/>
      </w:r>
      <w:r>
        <w:fldChar w:fldCharType="begin"/>
      </w:r>
      <w:r>
        <w:instrText xml:space="preserve"> PAGEREF _Toc419714578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Statutory powers, construction of</w:t>
      </w:r>
      <w:r>
        <w:tab/>
      </w:r>
      <w:r>
        <w:fldChar w:fldCharType="begin"/>
      </w:r>
      <w:r>
        <w:instrText xml:space="preserve"> PAGEREF _Toc419714579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issue licences and other authorisations is discretionary</w:t>
      </w:r>
      <w:r>
        <w:tab/>
      </w:r>
      <w:r>
        <w:fldChar w:fldCharType="begin"/>
      </w:r>
      <w:r>
        <w:instrText xml:space="preserve"> PAGEREF _Toc419714580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Power to appoint includes power to remove, suspend, appoint acting officer etc.</w:t>
      </w:r>
      <w:r>
        <w:tab/>
      </w:r>
      <w:r>
        <w:fldChar w:fldCharType="begin"/>
      </w:r>
      <w:r>
        <w:instrText xml:space="preserve"> PAGEREF _Toc419714581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Appointments may be by name or office</w:t>
      </w:r>
      <w:r>
        <w:tab/>
      </w:r>
      <w:r>
        <w:fldChar w:fldCharType="begin"/>
      </w:r>
      <w:r>
        <w:instrText xml:space="preserve"> PAGEREF _Toc419714582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Statutory bodies, majority and quorum provisions</w:t>
      </w:r>
      <w:r>
        <w:tab/>
      </w:r>
      <w:r>
        <w:fldChar w:fldCharType="begin"/>
      </w:r>
      <w:r>
        <w:instrText xml:space="preserve"> PAGEREF _Toc419714583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Errors when exercising certain powers or duties may be corrected</w:t>
      </w:r>
      <w:r>
        <w:tab/>
      </w:r>
      <w:r>
        <w:fldChar w:fldCharType="begin"/>
      </w:r>
      <w:r>
        <w:instrText xml:space="preserve"> PAGEREF _Toc419714584 \h </w:instrText>
      </w:r>
      <w:r>
        <w:fldChar w:fldCharType="separate"/>
      </w:r>
      <w:r>
        <w:t>42</w:t>
      </w:r>
      <w:r>
        <w:fldChar w:fldCharType="end"/>
      </w:r>
    </w:p>
    <w:p>
      <w:pPr>
        <w:pStyle w:val="TOC8"/>
        <w:rPr>
          <w:rFonts w:asciiTheme="minorHAnsi" w:eastAsiaTheme="minorEastAsia" w:hAnsiTheme="minorHAnsi" w:cstheme="minorBidi"/>
          <w:szCs w:val="22"/>
        </w:rPr>
      </w:pPr>
      <w:r>
        <w:rPr>
          <w:snapToGrid w:val="0"/>
        </w:rPr>
        <w:t>56.</w:t>
      </w:r>
      <w:r>
        <w:rPr>
          <w:snapToGrid w:val="0"/>
        </w:rPr>
        <w:tab/>
        <w:t>“May” imports a discretion, “shall” is imperative</w:t>
      </w:r>
      <w:r>
        <w:tab/>
      </w:r>
      <w:r>
        <w:fldChar w:fldCharType="begin"/>
      </w:r>
      <w:r>
        <w:instrText xml:space="preserve"> PAGEREF _Toc419714585 \h </w:instrText>
      </w:r>
      <w:r>
        <w:fldChar w:fldCharType="separate"/>
      </w:r>
      <w:r>
        <w:t>42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Statutory bodies, powers of not affected by vacancies etc.</w:t>
      </w:r>
      <w:r>
        <w:tab/>
      </w:r>
      <w:r>
        <w:fldChar w:fldCharType="begin"/>
      </w:r>
      <w:r>
        <w:instrText xml:space="preserve"> PAGEREF _Toc419714586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Delegates, performance of functions by</w:t>
      </w:r>
      <w:r>
        <w:tab/>
      </w:r>
      <w:r>
        <w:fldChar w:fldCharType="begin"/>
      </w:r>
      <w:r>
        <w:instrText xml:space="preserve"> PAGEREF _Toc419714587 \h </w:instrText>
      </w:r>
      <w:r>
        <w:fldChar w:fldCharType="separate"/>
      </w:r>
      <w:r>
        <w:t>43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Power to delegate, effect of</w:t>
      </w:r>
      <w:r>
        <w:tab/>
      </w:r>
      <w:r>
        <w:fldChar w:fldCharType="begin"/>
      </w:r>
      <w:r>
        <w:instrText xml:space="preserve"> PAGEREF _Toc419714588 \h </w:instrText>
      </w:r>
      <w:r>
        <w:fldChar w:fldCharType="separate"/>
      </w:r>
      <w:r>
        <w:t>43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Governor to act with advice of Executive Council</w:t>
      </w:r>
      <w:r>
        <w:tab/>
      </w:r>
      <w:r>
        <w:fldChar w:fldCharType="begin"/>
      </w:r>
      <w:r>
        <w:instrText xml:space="preserve"> PAGEREF _Toc419714589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VIII — Provisions regarding time and distance</w:t>
      </w:r>
    </w:p>
    <w:p>
      <w:pPr>
        <w:pStyle w:val="TOC8"/>
        <w:rPr>
          <w:rFonts w:asciiTheme="minorHAnsi" w:eastAsiaTheme="minorEastAsia" w:hAnsiTheme="minorHAnsi" w:cstheme="minorBidi"/>
          <w:szCs w:val="22"/>
        </w:rPr>
      </w:pPr>
      <w:r>
        <w:t>61</w:t>
      </w:r>
      <w:r>
        <w:rPr>
          <w:snapToGrid w:val="0"/>
        </w:rPr>
        <w:t>.</w:t>
      </w:r>
      <w:r>
        <w:rPr>
          <w:snapToGrid w:val="0"/>
        </w:rPr>
        <w:tab/>
        <w:t>Time, computation of</w:t>
      </w:r>
      <w:r>
        <w:tab/>
      </w:r>
      <w:r>
        <w:fldChar w:fldCharType="begin"/>
      </w:r>
      <w:r>
        <w:instrText xml:space="preserve"> PAGEREF _Toc419714591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Months, reckoning of</w:t>
      </w:r>
      <w:r>
        <w:tab/>
      </w:r>
      <w:r>
        <w:fldChar w:fldCharType="begin"/>
      </w:r>
      <w:r>
        <w:instrText xml:space="preserve"> PAGEREF _Toc419714592 \h </w:instrText>
      </w:r>
      <w:r>
        <w:fldChar w:fldCharType="separate"/>
      </w:r>
      <w:r>
        <w:t>46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Time for doing acts if no time fixed</w:t>
      </w:r>
      <w:r>
        <w:tab/>
      </w:r>
      <w:r>
        <w:fldChar w:fldCharType="begin"/>
      </w:r>
      <w:r>
        <w:instrText xml:space="preserve"> PAGEREF _Toc419714593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 to extend time, construction of</w:t>
      </w:r>
      <w:r>
        <w:tab/>
      </w:r>
      <w:r>
        <w:fldChar w:fldCharType="begin"/>
      </w:r>
      <w:r>
        <w:instrText xml:space="preserve"> PAGEREF _Toc419714594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Distance, measurement of</w:t>
      </w:r>
      <w:r>
        <w:tab/>
      </w:r>
      <w:r>
        <w:fldChar w:fldCharType="begin"/>
      </w:r>
      <w:r>
        <w:instrText xml:space="preserve"> PAGEREF _Toc419714595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IX — Procedures and penalties</w:t>
      </w:r>
    </w:p>
    <w:p>
      <w:pPr>
        <w:pStyle w:val="TOC8"/>
        <w:rPr>
          <w:rFonts w:asciiTheme="minorHAnsi" w:eastAsiaTheme="minorEastAsia" w:hAnsiTheme="minorHAnsi" w:cstheme="minorBidi"/>
          <w:szCs w:val="22"/>
        </w:rPr>
      </w:pPr>
      <w:r>
        <w:t>66</w:t>
      </w:r>
      <w:r>
        <w:rPr>
          <w:snapToGrid w:val="0"/>
        </w:rPr>
        <w:t>.</w:t>
      </w:r>
      <w:r>
        <w:rPr>
          <w:snapToGrid w:val="0"/>
        </w:rPr>
        <w:tab/>
        <w:t>Rules of court</w:t>
      </w:r>
      <w:r>
        <w:tab/>
      </w:r>
      <w:r>
        <w:fldChar w:fldCharType="begin"/>
      </w:r>
      <w:r>
        <w:instrText xml:space="preserve"> PAGEREF _Toc419714597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Offences and proceedings for offences</w:t>
      </w:r>
      <w:r>
        <w:tab/>
      </w:r>
      <w:r>
        <w:fldChar w:fldCharType="begin"/>
      </w:r>
      <w:r>
        <w:instrText xml:space="preserve"> PAGEREF _Toc419714598 \h </w:instrText>
      </w:r>
      <w:r>
        <w:fldChar w:fldCharType="separate"/>
      </w:r>
      <w:r>
        <w:t>48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Bodies corporate, application of penal laws to</w:t>
      </w:r>
      <w:r>
        <w:tab/>
      </w:r>
      <w:r>
        <w:fldChar w:fldCharType="begin"/>
      </w:r>
      <w:r>
        <w:instrText xml:space="preserve"> PAGEREF _Toc419714599 \h </w:instrText>
      </w:r>
      <w:r>
        <w:fldChar w:fldCharType="separate"/>
      </w:r>
      <w:r>
        <w:t>49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Continuing offences</w:t>
      </w:r>
      <w:r>
        <w:tab/>
      </w:r>
      <w:r>
        <w:fldChar w:fldCharType="begin"/>
      </w:r>
      <w:r>
        <w:instrText xml:space="preserve"> PAGEREF _Toc419714600 \h </w:instrText>
      </w:r>
      <w:r>
        <w:fldChar w:fldCharType="separate"/>
      </w:r>
      <w:r>
        <w:t>49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Statutory penalties, construction of</w:t>
      </w:r>
      <w:r>
        <w:tab/>
      </w:r>
      <w:r>
        <w:fldChar w:fldCharType="begin"/>
      </w:r>
      <w:r>
        <w:instrText xml:space="preserve"> PAGEREF _Toc419714601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 provisions</w:t>
      </w:r>
    </w:p>
    <w:p>
      <w:pPr>
        <w:pStyle w:val="TOC8"/>
        <w:rPr>
          <w:rFonts w:asciiTheme="minorHAnsi" w:eastAsiaTheme="minorEastAsia" w:hAnsiTheme="minorHAnsi" w:cstheme="minorBidi"/>
          <w:szCs w:val="22"/>
        </w:rPr>
      </w:pPr>
      <w:r>
        <w:t>73</w:t>
      </w:r>
      <w:r>
        <w:rPr>
          <w:snapToGrid w:val="0"/>
        </w:rPr>
        <w:t>.</w:t>
      </w:r>
      <w:r>
        <w:rPr>
          <w:snapToGrid w:val="0"/>
        </w:rPr>
        <w:tab/>
        <w:t>State deemed established 1 June 1829</w:t>
      </w:r>
      <w:r>
        <w:tab/>
      </w:r>
      <w:r>
        <w:fldChar w:fldCharType="begin"/>
      </w:r>
      <w:r>
        <w:instrText xml:space="preserve"> PAGEREF _Toc419714603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Prescribed forms, certain deviations do not invalidate</w:t>
      </w:r>
      <w:r>
        <w:tab/>
      </w:r>
      <w:r>
        <w:fldChar w:fldCharType="begin"/>
      </w:r>
      <w:r>
        <w:instrText xml:space="preserve"> PAGEREF _Toc419714604 \h </w:instrText>
      </w:r>
      <w:r>
        <w:fldChar w:fldCharType="separate"/>
      </w:r>
      <w:r>
        <w:t>52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Service of documents by post</w:t>
      </w:r>
      <w:r>
        <w:tab/>
      </w:r>
      <w:r>
        <w:fldChar w:fldCharType="begin"/>
      </w:r>
      <w:r>
        <w:instrText xml:space="preserve"> PAGEREF _Toc419714605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Service of documents generally</w:t>
      </w:r>
      <w:r>
        <w:tab/>
      </w:r>
      <w:r>
        <w:fldChar w:fldCharType="begin"/>
      </w:r>
      <w:r>
        <w:instrText xml:space="preserve"> PAGEREF _Toc419714606 \h </w:instrText>
      </w:r>
      <w:r>
        <w:fldChar w:fldCharType="separate"/>
      </w:r>
      <w:r>
        <w:t>53</w:t>
      </w:r>
      <w:r>
        <w:fldChar w:fldCharType="end"/>
      </w:r>
    </w:p>
    <w:p>
      <w:pPr>
        <w:pStyle w:val="TOC8"/>
        <w:rPr>
          <w:rFonts w:asciiTheme="minorHAnsi" w:eastAsiaTheme="minorEastAsia" w:hAnsiTheme="minorHAnsi" w:cstheme="minorBidi"/>
          <w:szCs w:val="22"/>
        </w:rPr>
      </w:pPr>
      <w:r>
        <w:t>76A</w:t>
      </w:r>
      <w:r>
        <w:rPr>
          <w:snapToGrid w:val="0"/>
        </w:rPr>
        <w:t xml:space="preserve">. </w:t>
      </w:r>
      <w:r>
        <w:rPr>
          <w:snapToGrid w:val="0"/>
        </w:rPr>
        <w:tab/>
        <w:t>Written laws made before Australia Acts, validity of</w:t>
      </w:r>
      <w:r>
        <w:tab/>
      </w:r>
      <w:r>
        <w:fldChar w:fldCharType="begin"/>
      </w:r>
      <w:r>
        <w:instrText xml:space="preserve"> PAGEREF _Toc419714607 \h </w:instrText>
      </w:r>
      <w:r>
        <w:fldChar w:fldCharType="separate"/>
      </w:r>
      <w:r>
        <w:t>53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Repeal and saving</w:t>
      </w:r>
      <w:r>
        <w:tab/>
      </w:r>
      <w:r>
        <w:fldChar w:fldCharType="begin"/>
      </w:r>
      <w:r>
        <w:instrText xml:space="preserve"> PAGEREF _Toc419714608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_Toc419714610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3" w:name="_Toc378854495"/>
      <w:bookmarkStart w:id="4" w:name="_Toc392497963"/>
      <w:bookmarkStart w:id="5" w:name="_Toc397949579"/>
      <w:bookmarkStart w:id="6" w:name="_Toc419714082"/>
      <w:bookmarkStart w:id="7" w:name="_Toc419714418"/>
      <w:bookmarkStart w:id="8" w:name="_Toc419714515"/>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397949580"/>
      <w:bookmarkStart w:id="10" w:name="_Toc419714516"/>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11" w:name="_Toc397949581"/>
      <w:bookmarkStart w:id="12" w:name="_Toc419714517"/>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13" w:name="_Toc397949582"/>
      <w:bookmarkStart w:id="14" w:name="_Toc419714518"/>
      <w:r>
        <w:rPr>
          <w:rStyle w:val="CharSectno"/>
        </w:rPr>
        <w:t>3</w:t>
      </w:r>
      <w:r>
        <w:rPr>
          <w:snapToGrid w:val="0"/>
        </w:rPr>
        <w:t>.</w:t>
      </w:r>
      <w:r>
        <w:rPr>
          <w:snapToGrid w:val="0"/>
        </w:rPr>
        <w:tab/>
        <w:t>Application</w:t>
      </w:r>
      <w:bookmarkEnd w:id="13"/>
      <w:bookmarkEnd w:id="14"/>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 or</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 xml:space="preserve">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 </w:t>
      </w:r>
      <w:r>
        <w:rPr>
          <w:snapToGrid w:val="0"/>
          <w:vertAlign w:val="superscript"/>
        </w:rPr>
        <w:t>2</w:t>
      </w:r>
      <w:r>
        <w:rPr>
          <w:snapToGrid w:val="0"/>
        </w:rPr>
        <w:t>.</w:t>
      </w:r>
    </w:p>
    <w:p>
      <w:pPr>
        <w:pStyle w:val="Heading5"/>
        <w:rPr>
          <w:snapToGrid w:val="0"/>
        </w:rPr>
      </w:pPr>
      <w:bookmarkStart w:id="15" w:name="_Toc397949583"/>
      <w:bookmarkStart w:id="16" w:name="_Toc419714519"/>
      <w:r>
        <w:rPr>
          <w:rStyle w:val="CharSectno"/>
        </w:rPr>
        <w:t>4</w:t>
      </w:r>
      <w:r>
        <w:rPr>
          <w:snapToGrid w:val="0"/>
        </w:rPr>
        <w:t>.</w:t>
      </w:r>
      <w:r>
        <w:rPr>
          <w:snapToGrid w:val="0"/>
        </w:rPr>
        <w:tab/>
        <w:t>Act binds Crown</w:t>
      </w:r>
      <w:bookmarkEnd w:id="15"/>
      <w:bookmarkEnd w:id="1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7" w:name="_Toc378854500"/>
      <w:bookmarkStart w:id="18" w:name="_Toc392497968"/>
      <w:bookmarkStart w:id="19" w:name="_Toc397949584"/>
      <w:bookmarkStart w:id="20" w:name="_Toc419714087"/>
      <w:bookmarkStart w:id="21" w:name="_Toc419714423"/>
      <w:bookmarkStart w:id="22" w:name="_Toc419714520"/>
      <w:r>
        <w:rPr>
          <w:rStyle w:val="CharPartNo"/>
        </w:rPr>
        <w:t>Part II</w:t>
      </w:r>
      <w:r>
        <w:rPr>
          <w:rStyle w:val="CharDivNo"/>
        </w:rPr>
        <w:t> </w:t>
      </w:r>
      <w:r>
        <w:t>—</w:t>
      </w:r>
      <w:r>
        <w:rPr>
          <w:rStyle w:val="CharDivText"/>
        </w:rPr>
        <w:t> </w:t>
      </w:r>
      <w:r>
        <w:rPr>
          <w:rStyle w:val="CharPartText"/>
        </w:rPr>
        <w:t>General interpretation provisions</w:t>
      </w:r>
      <w:bookmarkEnd w:id="17"/>
      <w:bookmarkEnd w:id="18"/>
      <w:bookmarkEnd w:id="19"/>
      <w:bookmarkEnd w:id="20"/>
      <w:bookmarkEnd w:id="21"/>
      <w:bookmarkEnd w:id="22"/>
      <w:r>
        <w:rPr>
          <w:rStyle w:val="CharPartText"/>
        </w:rPr>
        <w:t xml:space="preserve"> </w:t>
      </w:r>
    </w:p>
    <w:p>
      <w:pPr>
        <w:pStyle w:val="Heading5"/>
        <w:rPr>
          <w:snapToGrid w:val="0"/>
        </w:rPr>
      </w:pPr>
      <w:bookmarkStart w:id="23" w:name="_Toc397949585"/>
      <w:bookmarkStart w:id="24" w:name="_Toc419714521"/>
      <w:r>
        <w:rPr>
          <w:rStyle w:val="CharSectno"/>
        </w:rPr>
        <w:t>5</w:t>
      </w:r>
      <w:r>
        <w:rPr>
          <w:snapToGrid w:val="0"/>
        </w:rPr>
        <w:t>.</w:t>
      </w:r>
      <w:r>
        <w:rPr>
          <w:snapToGrid w:val="0"/>
        </w:rPr>
        <w:tab/>
        <w:t>Terms used in written laws</w:t>
      </w:r>
      <w:bookmarkEnd w:id="23"/>
      <w:bookmarkEnd w:id="24"/>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pPr>
      <w:r>
        <w:tab/>
        <w:t>(i)</w:t>
      </w:r>
      <w:r>
        <w:tab/>
        <w:t>an agency within the meaning of that Act; or</w:t>
      </w:r>
    </w:p>
    <w:p>
      <w:pPr>
        <w:pStyle w:val="Defsubpara"/>
      </w:pPr>
      <w:r>
        <w:tab/>
        <w:t>(ii)</w:t>
      </w:r>
      <w: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rPr>
          <w:rStyle w:val="CharDefText"/>
          <w:b w:val="0"/>
          <w:bCs/>
          <w:i w:val="0"/>
          <w:iCs/>
        </w:rPr>
        <w:t>,</w:t>
      </w:r>
      <w:r>
        <w:t xml:space="preserve">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pPr>
      <w:r>
        <w:rPr>
          <w:b/>
        </w:rPr>
        <w:tab/>
      </w:r>
      <w:r>
        <w:rPr>
          <w:rStyle w:val="CharDefText"/>
        </w:rPr>
        <w:t>Governor</w:t>
      </w:r>
      <w:r>
        <w:t xml:space="preserve"> means the Governor of the State and includes the officer for the time being administering the Government of the State;</w:t>
      </w:r>
    </w:p>
    <w:p>
      <w:pPr>
        <w:pStyle w:val="Defstart"/>
      </w:pPr>
      <w:r>
        <w:rPr>
          <w:b/>
        </w:rPr>
        <w:tab/>
      </w:r>
      <w:r>
        <w:rPr>
          <w:rStyle w:val="CharDefText"/>
        </w:rPr>
        <w:t>Her Majesty</w:t>
      </w:r>
      <w:r>
        <w:t xml:space="preserve">, </w:t>
      </w:r>
      <w:r>
        <w:rPr>
          <w:rStyle w:val="CharDefText"/>
        </w:rPr>
        <w:t>His Majesty</w:t>
      </w:r>
      <w:r>
        <w:t xml:space="preserve">, </w:t>
      </w:r>
      <w:r>
        <w:rPr>
          <w:rStyle w:val="CharDefText"/>
        </w:rPr>
        <w:t>Queen</w:t>
      </w:r>
      <w:r>
        <w:t xml:space="preserve">, </w:t>
      </w:r>
      <w:r>
        <w:rPr>
          <w:rStyle w:val="CharDefText"/>
        </w:rPr>
        <w:t>King</w:t>
      </w:r>
      <w:r>
        <w:t xml:space="preserve">, or </w:t>
      </w:r>
      <w:r>
        <w:rPr>
          <w:rStyle w:val="CharDefText"/>
        </w:rPr>
        <w:t>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spacing w:before="60"/>
      </w:pPr>
      <w:r>
        <w:rPr>
          <w:b/>
        </w:rPr>
        <w:tab/>
      </w:r>
      <w:r>
        <w:rPr>
          <w:rStyle w:val="CharDefText"/>
        </w:rPr>
        <w:t>public half</w:t>
      </w:r>
      <w:r>
        <w:rPr>
          <w:rStyle w:val="CharDefText"/>
        </w:rPr>
        <w:noBreakHyphen/>
        <w:t>holiday</w:t>
      </w:r>
      <w:r>
        <w:t>, in relation to an area, means a part of a day that is appointed or declared a public half</w:t>
      </w:r>
      <w:r>
        <w:noBreakHyphen/>
        <w:t xml:space="preserve">holiday for that area by or under the </w:t>
      </w:r>
      <w:r>
        <w:rPr>
          <w:i/>
        </w:rPr>
        <w:t>Public and Bank Holidays Act 1972</w:t>
      </w:r>
      <w:r>
        <w:t>;</w:t>
      </w:r>
    </w:p>
    <w:p>
      <w:pPr>
        <w:pStyle w:val="Defstart"/>
        <w:spacing w:before="60"/>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spacing w:before="60"/>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Defstart"/>
        <w:spacing w:before="60"/>
        <w:rPr>
          <w:b/>
        </w:rPr>
      </w:pPr>
      <w:r>
        <w:rPr>
          <w:b/>
        </w:rPr>
        <w:tab/>
      </w:r>
      <w:r>
        <w:rPr>
          <w:rStyle w:val="CharDefText"/>
        </w:rPr>
        <w:t>Public Service</w:t>
      </w:r>
      <w:r>
        <w:t xml:space="preserve"> has the meaning given by the </w:t>
      </w:r>
      <w:r>
        <w:rPr>
          <w:i/>
        </w:rPr>
        <w:t>Public Sector Management Act 1994</w:t>
      </w:r>
      <w:r>
        <w:t>;</w:t>
      </w:r>
    </w:p>
    <w:p>
      <w:pPr>
        <w:pStyle w:val="Defstart"/>
        <w:spacing w:before="60"/>
      </w:pPr>
      <w:r>
        <w:rPr>
          <w:b/>
        </w:rPr>
        <w:tab/>
      </w:r>
      <w:r>
        <w:rPr>
          <w:rStyle w:val="CharDefText"/>
        </w:rPr>
        <w:t>public service holiday</w:t>
      </w:r>
      <w:r>
        <w:t xml:space="preserve"> means a holiday prescribed as such under the </w:t>
      </w:r>
      <w:r>
        <w:rPr>
          <w:i/>
        </w:rPr>
        <w:t>Public Service Act 1978</w:t>
      </w:r>
      <w:r>
        <w:t xml:space="preserve"> </w:t>
      </w:r>
      <w:r>
        <w:rPr>
          <w:vertAlign w:val="superscript"/>
        </w:rPr>
        <w:t>3</w:t>
      </w:r>
      <w:r>
        <w:t>;</w:t>
      </w:r>
    </w:p>
    <w:p>
      <w:pPr>
        <w:pStyle w:val="Defstart"/>
        <w:spacing w:before="60"/>
      </w:pPr>
      <w:r>
        <w:rPr>
          <w:b/>
        </w:rPr>
        <w:tab/>
      </w:r>
      <w:r>
        <w:rPr>
          <w:rStyle w:val="CharDefText"/>
        </w:rPr>
        <w:t>public service officer</w:t>
      </w:r>
      <w:r>
        <w:t xml:space="preserve"> has the meaning given in the </w:t>
      </w:r>
      <w:r>
        <w:rPr>
          <w:i/>
          <w:iCs/>
        </w:rPr>
        <w:t>Public Sector Management Act 1994</w:t>
      </w:r>
      <w:r>
        <w:t xml:space="preserve"> section 3(1);</w:t>
      </w:r>
    </w:p>
    <w:p>
      <w:pPr>
        <w:pStyle w:val="Defstart"/>
        <w:keepNext/>
        <w:spacing w:before="60"/>
      </w:pPr>
      <w:r>
        <w:rPr>
          <w:b/>
        </w:rPr>
        <w:tab/>
      </w:r>
      <w:r>
        <w:rPr>
          <w:rStyle w:val="CharDefText"/>
        </w:rPr>
        <w:t>publication</w:t>
      </w:r>
      <w:r>
        <w:t xml:space="preserve"> means — </w:t>
      </w:r>
    </w:p>
    <w:p>
      <w:pPr>
        <w:pStyle w:val="Defpara"/>
        <w:spacing w:before="60"/>
      </w:pPr>
      <w:r>
        <w:tab/>
        <w:t>(a)</w:t>
      </w:r>
      <w:r>
        <w:tab/>
        <w:t>all written and printed matter; and</w:t>
      </w:r>
    </w:p>
    <w:p>
      <w:pPr>
        <w:pStyle w:val="Defpara"/>
        <w:spacing w:before="60"/>
      </w:pPr>
      <w:r>
        <w:tab/>
        <w:t>(b)</w:t>
      </w:r>
      <w:r>
        <w:tab/>
        <w:t>any record, tape, wire, perforated roll, cinematograph film or images or other contrivance by means of which any words or ideas may be mechanically, electronically, or electrically produced, reproduced, represented, or conveyed; and</w:t>
      </w:r>
    </w:p>
    <w:p>
      <w:pPr>
        <w:pStyle w:val="Defpara"/>
        <w:spacing w:before="60"/>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spacing w:before="60"/>
      </w:pPr>
      <w:r>
        <w:tab/>
        <w:t>(d)</w:t>
      </w:r>
      <w:r>
        <w:tab/>
        <w:t>every copy and reproduction of a publication as defined in paragraphs (a), (b) and (c);</w:t>
      </w:r>
    </w:p>
    <w:p>
      <w:pPr>
        <w:pStyle w:val="Defstart"/>
        <w:spacing w:before="60"/>
      </w:pPr>
      <w:r>
        <w:rPr>
          <w:b/>
        </w:rPr>
        <w:tab/>
      </w:r>
      <w:r>
        <w:rPr>
          <w:rStyle w:val="CharDefText"/>
        </w:rPr>
        <w:t>regional local government</w:t>
      </w:r>
      <w:r>
        <w:t xml:space="preserve"> means a regional local government established under the </w:t>
      </w:r>
      <w:r>
        <w:rPr>
          <w:i/>
        </w:rPr>
        <w:t>Local Government Act 1995</w:t>
      </w:r>
      <w:r>
        <w:t>;</w:t>
      </w:r>
    </w:p>
    <w:p>
      <w:pPr>
        <w:pStyle w:val="Defstart"/>
        <w:spacing w:before="60"/>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rPr>
        <w:t>Territory</w:t>
      </w:r>
      <w:r>
        <w:t xml:space="preserve"> means a Territory of the Commonwealth;</w:t>
      </w:r>
    </w:p>
    <w:p>
      <w:pPr>
        <w:pStyle w:val="Defstart"/>
      </w:pPr>
      <w: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under</w:t>
      </w:r>
      <w:r>
        <w:t>,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Sch. 1 cl. 92; No. 29 of 2008 s. 35(2); No. 47 of 2008 s. 69; No. 18 of 2009 s. 4; No. 31 of 2010 s. 4; No. 39 of 2010 s. 78.] </w:t>
      </w:r>
    </w:p>
    <w:p>
      <w:pPr>
        <w:pStyle w:val="Heading5"/>
        <w:rPr>
          <w:snapToGrid w:val="0"/>
        </w:rPr>
      </w:pPr>
      <w:bookmarkStart w:id="25" w:name="_Toc397949586"/>
      <w:bookmarkStart w:id="26" w:name="_Toc419714522"/>
      <w:r>
        <w:rPr>
          <w:rStyle w:val="CharSectno"/>
        </w:rPr>
        <w:t>6</w:t>
      </w:r>
      <w:r>
        <w:rPr>
          <w:snapToGrid w:val="0"/>
        </w:rPr>
        <w:t>.</w:t>
      </w:r>
      <w:r>
        <w:rPr>
          <w:snapToGrid w:val="0"/>
        </w:rPr>
        <w:tab/>
        <w:t>Definitions in a written law, application of</w:t>
      </w:r>
      <w:bookmarkEnd w:id="25"/>
      <w:bookmarkEnd w:id="26"/>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27" w:name="_Toc397949587"/>
      <w:bookmarkStart w:id="28" w:name="_Toc419714523"/>
      <w:r>
        <w:rPr>
          <w:rStyle w:val="CharSectno"/>
        </w:rPr>
        <w:t>7</w:t>
      </w:r>
      <w:r>
        <w:rPr>
          <w:snapToGrid w:val="0"/>
        </w:rPr>
        <w:t>.</w:t>
      </w:r>
      <w:r>
        <w:rPr>
          <w:snapToGrid w:val="0"/>
        </w:rPr>
        <w:tab/>
        <w:t>Written laws to be construed subject to State’s legislative power</w:t>
      </w:r>
      <w:bookmarkEnd w:id="27"/>
      <w:bookmarkEnd w:id="28"/>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29" w:name="_Toc397949588"/>
      <w:bookmarkStart w:id="30" w:name="_Toc419714524"/>
      <w:r>
        <w:rPr>
          <w:rStyle w:val="CharSectno"/>
        </w:rPr>
        <w:t>8</w:t>
      </w:r>
      <w:r>
        <w:rPr>
          <w:snapToGrid w:val="0"/>
        </w:rPr>
        <w:t>.</w:t>
      </w:r>
      <w:r>
        <w:rPr>
          <w:snapToGrid w:val="0"/>
        </w:rPr>
        <w:tab/>
        <w:t>Written laws always speaking</w:t>
      </w:r>
      <w:bookmarkEnd w:id="29"/>
      <w:bookmarkEnd w:id="30"/>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31" w:name="_Toc397949589"/>
      <w:bookmarkStart w:id="32" w:name="_Toc419714525"/>
      <w:r>
        <w:rPr>
          <w:rStyle w:val="CharSectno"/>
        </w:rPr>
        <w:t>9</w:t>
      </w:r>
      <w:r>
        <w:rPr>
          <w:snapToGrid w:val="0"/>
        </w:rPr>
        <w:t>.</w:t>
      </w:r>
      <w:r>
        <w:rPr>
          <w:snapToGrid w:val="0"/>
        </w:rPr>
        <w:tab/>
        <w:t>Parts of speech and grammatical forms</w:t>
      </w:r>
      <w:bookmarkEnd w:id="31"/>
      <w:bookmarkEnd w:id="32"/>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33" w:name="_Toc397949590"/>
      <w:bookmarkStart w:id="34" w:name="_Toc419714526"/>
      <w:r>
        <w:rPr>
          <w:rStyle w:val="CharSectno"/>
        </w:rPr>
        <w:t>10</w:t>
      </w:r>
      <w:r>
        <w:rPr>
          <w:snapToGrid w:val="0"/>
        </w:rPr>
        <w:t>.</w:t>
      </w:r>
      <w:r>
        <w:rPr>
          <w:snapToGrid w:val="0"/>
        </w:rPr>
        <w:tab/>
        <w:t>Gender and number</w:t>
      </w:r>
      <w:bookmarkEnd w:id="33"/>
      <w:bookmarkEnd w:id="34"/>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35" w:name="_Toc397949591"/>
      <w:bookmarkStart w:id="36" w:name="_Toc419714527"/>
      <w:r>
        <w:rPr>
          <w:rStyle w:val="CharSectno"/>
        </w:rPr>
        <w:t>11</w:t>
      </w:r>
      <w:r>
        <w:rPr>
          <w:snapToGrid w:val="0"/>
        </w:rPr>
        <w:t>.</w:t>
      </w:r>
      <w:r>
        <w:rPr>
          <w:snapToGrid w:val="0"/>
        </w:rPr>
        <w:tab/>
        <w:t>Sovereign, references to</w:t>
      </w:r>
      <w:bookmarkEnd w:id="35"/>
      <w:bookmarkEnd w:id="36"/>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37" w:name="_Toc397949592"/>
      <w:bookmarkStart w:id="38" w:name="_Toc419714528"/>
      <w:r>
        <w:rPr>
          <w:rStyle w:val="CharSectno"/>
        </w:rPr>
        <w:t>12</w:t>
      </w:r>
      <w:r>
        <w:rPr>
          <w:snapToGrid w:val="0"/>
        </w:rPr>
        <w:t>.</w:t>
      </w:r>
      <w:r>
        <w:rPr>
          <w:snapToGrid w:val="0"/>
        </w:rPr>
        <w:tab/>
        <w:t>Minister, references to</w:t>
      </w:r>
      <w:bookmarkEnd w:id="37"/>
      <w:bookmarkEnd w:id="38"/>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 and</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39" w:name="_Toc397949593"/>
      <w:bookmarkStart w:id="40" w:name="_Toc419714529"/>
      <w:r>
        <w:rPr>
          <w:rStyle w:val="CharSectno"/>
        </w:rPr>
        <w:t>13</w:t>
      </w:r>
      <w:r>
        <w:rPr>
          <w:snapToGrid w:val="0"/>
        </w:rPr>
        <w:t>.</w:t>
      </w:r>
      <w:r>
        <w:rPr>
          <w:snapToGrid w:val="0"/>
        </w:rPr>
        <w:tab/>
        <w:t>British subject etc., references to</w:t>
      </w:r>
      <w:bookmarkEnd w:id="39"/>
      <w:bookmarkEnd w:id="40"/>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iCs/>
          <w:spacing w:val="-4"/>
          <w:vertAlign w:val="superscript"/>
        </w:rPr>
        <w:t xml:space="preserve"> 4 </w:t>
      </w:r>
      <w:r>
        <w:rPr>
          <w:spacing w:val="-4"/>
        </w:rPr>
        <w:t>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41" w:name="_Toc397949594"/>
      <w:bookmarkStart w:id="42" w:name="_Toc419714530"/>
      <w:r>
        <w:rPr>
          <w:rStyle w:val="CharSectno"/>
        </w:rPr>
        <w:t>13A</w:t>
      </w:r>
      <w:r>
        <w:t>.</w:t>
      </w:r>
      <w:r>
        <w:tab/>
        <w:t>De facto relationship and de facto partner, references to</w:t>
      </w:r>
      <w:bookmarkEnd w:id="41"/>
      <w:bookmarkEnd w:id="42"/>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keepLines/>
      </w:pPr>
      <w:r>
        <w:tab/>
        <w:t>(3)</w:t>
      </w:r>
      <w:r>
        <w:tab/>
        <w:t>It does not matter whether —</w:t>
      </w:r>
    </w:p>
    <w:p>
      <w:pPr>
        <w:pStyle w:val="Indenta"/>
        <w:keepNext/>
        <w:keepLines/>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by No. 3 of 2002 s. 85.]</w:t>
      </w:r>
    </w:p>
    <w:p>
      <w:pPr>
        <w:pStyle w:val="Heading5"/>
      </w:pPr>
      <w:bookmarkStart w:id="43" w:name="_Toc397949595"/>
      <w:bookmarkStart w:id="44" w:name="_Toc419714531"/>
      <w:r>
        <w:rPr>
          <w:rStyle w:val="CharSectno"/>
        </w:rPr>
        <w:t>13B</w:t>
      </w:r>
      <w:r>
        <w:t>.</w:t>
      </w:r>
      <w:r>
        <w:tab/>
        <w:t>Standards Association of Australia, references to</w:t>
      </w:r>
      <w:bookmarkEnd w:id="43"/>
      <w:bookmarkEnd w:id="44"/>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pPr>
      <w:bookmarkStart w:id="45" w:name="_Toc397949596"/>
      <w:bookmarkStart w:id="46" w:name="_Toc419714532"/>
      <w:r>
        <w:rPr>
          <w:rStyle w:val="CharSectno"/>
        </w:rPr>
        <w:t>13CA</w:t>
      </w:r>
      <w:r>
        <w:t>.</w:t>
      </w:r>
      <w:r>
        <w:tab/>
        <w:t>Local government districts, references to</w:t>
      </w:r>
      <w:bookmarkEnd w:id="45"/>
      <w:bookmarkEnd w:id="46"/>
    </w:p>
    <w:p>
      <w:pPr>
        <w:pStyle w:val="Subsection"/>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PermNoteHeading"/>
      </w:pPr>
      <w:r>
        <w:tab/>
        <w:t>Example for this section:</w:t>
      </w:r>
    </w:p>
    <w:p>
      <w:pPr>
        <w:pStyle w:val="PermNoteText"/>
      </w:pPr>
      <w:r>
        <w:tab/>
        <w:t>1.</w:t>
      </w:r>
      <w:r>
        <w:tab/>
        <w:t>“Perth local government district” refers to the local government district named Perth.</w:t>
      </w:r>
    </w:p>
    <w:p>
      <w:pPr>
        <w:pStyle w:val="PermNoteText"/>
      </w:pPr>
      <w:r>
        <w:tab/>
        <w:t>2.</w:t>
      </w:r>
      <w:r>
        <w:tab/>
        <w:t>“Narrogin (Shire) local government district” refers to the local government district named Narrogin (Shire).]</w:t>
      </w:r>
    </w:p>
    <w:p>
      <w:pPr>
        <w:pStyle w:val="Footnotesection"/>
      </w:pPr>
      <w:r>
        <w:tab/>
        <w:t>[Section 13CA inserted by No. 31 of 2010 s. 5; amended by No. 17 of 2014 s. 27.]</w:t>
      </w:r>
    </w:p>
    <w:p>
      <w:pPr>
        <w:pStyle w:val="Heading5"/>
      </w:pPr>
      <w:bookmarkStart w:id="47" w:name="_Toc397949597"/>
      <w:bookmarkStart w:id="48" w:name="_Toc419714533"/>
      <w:r>
        <w:rPr>
          <w:rStyle w:val="CharSectno"/>
        </w:rPr>
        <w:t>13C</w:t>
      </w:r>
      <w:r>
        <w:t>.</w:t>
      </w:r>
      <w:r>
        <w:tab/>
        <w:t>When death of a person occurs</w:t>
      </w:r>
      <w:bookmarkEnd w:id="47"/>
      <w:bookmarkEnd w:id="48"/>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by No. 29 of 2008 s. 35(3).]</w:t>
      </w:r>
    </w:p>
    <w:p>
      <w:pPr>
        <w:pStyle w:val="Heading5"/>
      </w:pPr>
      <w:bookmarkStart w:id="49" w:name="_Toc397949598"/>
      <w:bookmarkStart w:id="50" w:name="_Toc419714534"/>
      <w:r>
        <w:rPr>
          <w:rStyle w:val="CharSectno"/>
        </w:rPr>
        <w:t>13D</w:t>
      </w:r>
      <w:r>
        <w:t>.</w:t>
      </w:r>
      <w:r>
        <w:tab/>
        <w:t>Bankrupt and related expressions, references to</w:t>
      </w:r>
      <w:bookmarkEnd w:id="49"/>
      <w:bookmarkEnd w:id="50"/>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by No. 18 of 2009 s. 5.]</w:t>
      </w:r>
    </w:p>
    <w:p>
      <w:pPr>
        <w:pStyle w:val="Heading5"/>
        <w:rPr>
          <w:snapToGrid w:val="0"/>
        </w:rPr>
      </w:pPr>
      <w:bookmarkStart w:id="51" w:name="_Toc397949599"/>
      <w:bookmarkStart w:id="52" w:name="_Toc419714535"/>
      <w:r>
        <w:rPr>
          <w:rStyle w:val="CharSectno"/>
        </w:rPr>
        <w:t>14</w:t>
      </w:r>
      <w:r>
        <w:rPr>
          <w:snapToGrid w:val="0"/>
        </w:rPr>
        <w:t>.</w:t>
      </w:r>
      <w:r>
        <w:rPr>
          <w:snapToGrid w:val="0"/>
        </w:rPr>
        <w:tab/>
        <w:t>References to 2 or more provisions to be inclusive</w:t>
      </w:r>
      <w:bookmarkEnd w:id="51"/>
      <w:bookmarkEnd w:id="52"/>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53" w:name="_Toc397949600"/>
      <w:bookmarkStart w:id="54" w:name="_Toc419714536"/>
      <w:r>
        <w:rPr>
          <w:rStyle w:val="CharSectno"/>
        </w:rPr>
        <w:t>15</w:t>
      </w:r>
      <w:r>
        <w:rPr>
          <w:snapToGrid w:val="0"/>
        </w:rPr>
        <w:t>.</w:t>
      </w:r>
      <w:r>
        <w:rPr>
          <w:snapToGrid w:val="0"/>
        </w:rPr>
        <w:tab/>
        <w:t>Internal references in written laws, construction of</w:t>
      </w:r>
      <w:bookmarkEnd w:id="53"/>
      <w:bookmarkEnd w:id="54"/>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55" w:name="_Toc397949601"/>
      <w:bookmarkStart w:id="56" w:name="_Toc419714537"/>
      <w:r>
        <w:rPr>
          <w:rStyle w:val="CharSectno"/>
        </w:rPr>
        <w:t>15A</w:t>
      </w:r>
      <w:r>
        <w:t>.</w:t>
      </w:r>
      <w:r>
        <w:tab/>
        <w:t>Reference to paragraph</w:t>
      </w:r>
      <w:bookmarkEnd w:id="55"/>
      <w:bookmarkEnd w:id="56"/>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by No. 31 of 2010 s. 6.]</w:t>
      </w:r>
    </w:p>
    <w:p>
      <w:pPr>
        <w:pStyle w:val="Heading5"/>
        <w:rPr>
          <w:snapToGrid w:val="0"/>
        </w:rPr>
      </w:pPr>
      <w:bookmarkStart w:id="57" w:name="_Toc397949602"/>
      <w:bookmarkStart w:id="58" w:name="_Toc419714538"/>
      <w:r>
        <w:rPr>
          <w:rStyle w:val="CharSectno"/>
        </w:rPr>
        <w:t>16</w:t>
      </w:r>
      <w:r>
        <w:rPr>
          <w:snapToGrid w:val="0"/>
        </w:rPr>
        <w:t>.</w:t>
      </w:r>
      <w:r>
        <w:rPr>
          <w:snapToGrid w:val="0"/>
        </w:rPr>
        <w:tab/>
        <w:t>Reference to written law is to written law as amended</w:t>
      </w:r>
      <w:bookmarkEnd w:id="57"/>
      <w:bookmarkEnd w:id="58"/>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59" w:name="_Toc397949603"/>
      <w:bookmarkStart w:id="60" w:name="_Toc419714539"/>
      <w:r>
        <w:rPr>
          <w:rStyle w:val="CharSectno"/>
        </w:rPr>
        <w:t>17</w:t>
      </w:r>
      <w:r>
        <w:rPr>
          <w:snapToGrid w:val="0"/>
        </w:rPr>
        <w:t>.</w:t>
      </w:r>
      <w:r>
        <w:rPr>
          <w:snapToGrid w:val="0"/>
        </w:rPr>
        <w:tab/>
        <w:t>Disjunctive construction of “or”</w:t>
      </w:r>
      <w:bookmarkEnd w:id="59"/>
      <w:bookmarkEnd w:id="60"/>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61" w:name="_Toc397949604"/>
      <w:bookmarkStart w:id="62" w:name="_Toc419714540"/>
      <w:r>
        <w:rPr>
          <w:rStyle w:val="CharSectno"/>
        </w:rPr>
        <w:t>18</w:t>
      </w:r>
      <w:r>
        <w:rPr>
          <w:snapToGrid w:val="0"/>
        </w:rPr>
        <w:t>.</w:t>
      </w:r>
      <w:r>
        <w:rPr>
          <w:snapToGrid w:val="0"/>
        </w:rPr>
        <w:tab/>
        <w:t>Purpose or object of written law, use of in interpretation</w:t>
      </w:r>
      <w:bookmarkEnd w:id="61"/>
      <w:bookmarkEnd w:id="62"/>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63" w:name="_Toc397949605"/>
      <w:bookmarkStart w:id="64" w:name="_Toc419714541"/>
      <w:r>
        <w:rPr>
          <w:rStyle w:val="CharSectno"/>
        </w:rPr>
        <w:t>19</w:t>
      </w:r>
      <w:r>
        <w:rPr>
          <w:snapToGrid w:val="0"/>
        </w:rPr>
        <w:t>.</w:t>
      </w:r>
      <w:r>
        <w:rPr>
          <w:snapToGrid w:val="0"/>
        </w:rPr>
        <w:tab/>
        <w:t>Extrinsic material, use of in interpretation</w:t>
      </w:r>
      <w:bookmarkEnd w:id="63"/>
      <w:bookmarkEnd w:id="64"/>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 and</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 and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 and</w:t>
      </w:r>
    </w:p>
    <w:p>
      <w:pPr>
        <w:pStyle w:val="Indenta"/>
        <w:rPr>
          <w:snapToGrid w:val="0"/>
        </w:rPr>
      </w:pPr>
      <w:r>
        <w:rPr>
          <w:snapToGrid w:val="0"/>
        </w:rPr>
        <w:tab/>
        <w:t>(d)</w:t>
      </w:r>
      <w:r>
        <w:rPr>
          <w:snapToGrid w:val="0"/>
        </w:rPr>
        <w:tab/>
        <w:t>any treaty or other international agreement that is referred to in the written law; and</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 and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 and</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65" w:name="_Toc378854522"/>
      <w:bookmarkStart w:id="66" w:name="_Toc392497990"/>
      <w:bookmarkStart w:id="67" w:name="_Toc397949606"/>
      <w:bookmarkStart w:id="68" w:name="_Toc419714109"/>
      <w:bookmarkStart w:id="69" w:name="_Toc419714445"/>
      <w:bookmarkStart w:id="70" w:name="_Toc419714542"/>
      <w:r>
        <w:rPr>
          <w:rStyle w:val="CharPartNo"/>
        </w:rPr>
        <w:t>Part III</w:t>
      </w:r>
      <w:r>
        <w:rPr>
          <w:rStyle w:val="CharDivNo"/>
        </w:rPr>
        <w:t> </w:t>
      </w:r>
      <w:r>
        <w:t>—</w:t>
      </w:r>
      <w:r>
        <w:rPr>
          <w:rStyle w:val="CharDivText"/>
        </w:rPr>
        <w:t> </w:t>
      </w:r>
      <w:r>
        <w:rPr>
          <w:rStyle w:val="CharPartText"/>
        </w:rPr>
        <w:t>Commencement and citation</w:t>
      </w:r>
      <w:bookmarkEnd w:id="65"/>
      <w:bookmarkEnd w:id="66"/>
      <w:bookmarkEnd w:id="67"/>
      <w:bookmarkEnd w:id="68"/>
      <w:bookmarkEnd w:id="69"/>
      <w:bookmarkEnd w:id="70"/>
      <w:r>
        <w:rPr>
          <w:rStyle w:val="CharPartText"/>
        </w:rPr>
        <w:t xml:space="preserve"> </w:t>
      </w:r>
    </w:p>
    <w:p>
      <w:pPr>
        <w:pStyle w:val="Heading5"/>
        <w:spacing w:before="240"/>
        <w:rPr>
          <w:snapToGrid w:val="0"/>
        </w:rPr>
      </w:pPr>
      <w:bookmarkStart w:id="71" w:name="_Toc397949607"/>
      <w:bookmarkStart w:id="72" w:name="_Toc419714543"/>
      <w:r>
        <w:rPr>
          <w:rStyle w:val="CharSectno"/>
        </w:rPr>
        <w:t>20</w:t>
      </w:r>
      <w:r>
        <w:rPr>
          <w:snapToGrid w:val="0"/>
        </w:rPr>
        <w:t>.</w:t>
      </w:r>
      <w:r>
        <w:rPr>
          <w:snapToGrid w:val="0"/>
        </w:rPr>
        <w:tab/>
        <w:t>Commencement of Acts</w:t>
      </w:r>
      <w:bookmarkEnd w:id="71"/>
      <w:bookmarkEnd w:id="72"/>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73" w:name="_Toc397949608"/>
      <w:bookmarkStart w:id="74" w:name="_Toc419714544"/>
      <w:r>
        <w:rPr>
          <w:rStyle w:val="CharSectno"/>
        </w:rPr>
        <w:t>21</w:t>
      </w:r>
      <w:r>
        <w:rPr>
          <w:snapToGrid w:val="0"/>
        </w:rPr>
        <w:t>.</w:t>
      </w:r>
      <w:r>
        <w:rPr>
          <w:snapToGrid w:val="0"/>
        </w:rPr>
        <w:tab/>
        <w:t>Time of commencement of written laws</w:t>
      </w:r>
      <w:bookmarkEnd w:id="73"/>
      <w:bookmarkEnd w:id="74"/>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75" w:name="_Toc397949609"/>
      <w:bookmarkStart w:id="76" w:name="_Toc419714545"/>
      <w:r>
        <w:rPr>
          <w:rStyle w:val="CharSectno"/>
        </w:rPr>
        <w:t>22</w:t>
      </w:r>
      <w:r>
        <w:rPr>
          <w:snapToGrid w:val="0"/>
        </w:rPr>
        <w:t>.</w:t>
      </w:r>
      <w:r>
        <w:rPr>
          <w:snapToGrid w:val="0"/>
        </w:rPr>
        <w:tab/>
        <w:t>Act commencing on proclamation, commencement of certain provisions of</w:t>
      </w:r>
      <w:bookmarkEnd w:id="75"/>
      <w:bookmarkEnd w:id="76"/>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77" w:name="_Toc397949610"/>
      <w:bookmarkStart w:id="78" w:name="_Toc419714546"/>
      <w:r>
        <w:rPr>
          <w:rStyle w:val="CharSectno"/>
        </w:rPr>
        <w:t>23</w:t>
      </w:r>
      <w:r>
        <w:rPr>
          <w:snapToGrid w:val="0"/>
        </w:rPr>
        <w:t>.</w:t>
      </w:r>
      <w:r>
        <w:rPr>
          <w:snapToGrid w:val="0"/>
        </w:rPr>
        <w:tab/>
        <w:t>Proclamation of commencement of Act, construction of power to make</w:t>
      </w:r>
      <w:bookmarkEnd w:id="77"/>
      <w:bookmarkEnd w:id="78"/>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79" w:name="_Toc397949611"/>
      <w:bookmarkStart w:id="80" w:name="_Toc419714547"/>
      <w:r>
        <w:rPr>
          <w:rStyle w:val="CharSectno"/>
        </w:rPr>
        <w:t>24</w:t>
      </w:r>
      <w:r>
        <w:rPr>
          <w:snapToGrid w:val="0"/>
        </w:rPr>
        <w:t>.</w:t>
      </w:r>
      <w:r>
        <w:rPr>
          <w:snapToGrid w:val="0"/>
        </w:rPr>
        <w:tab/>
        <w:t>Date of assent, evidence of</w:t>
      </w:r>
      <w:bookmarkEnd w:id="79"/>
      <w:bookmarkEnd w:id="80"/>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81" w:name="_Toc397949612"/>
      <w:bookmarkStart w:id="82" w:name="_Toc419714548"/>
      <w:r>
        <w:rPr>
          <w:rStyle w:val="CharSectno"/>
        </w:rPr>
        <w:t>25</w:t>
      </w:r>
      <w:r>
        <w:rPr>
          <w:snapToGrid w:val="0"/>
        </w:rPr>
        <w:t>.</w:t>
      </w:r>
      <w:r>
        <w:rPr>
          <w:snapToGrid w:val="0"/>
        </w:rPr>
        <w:tab/>
        <w:t>Some powers in Act may be exercised before it commences</w:t>
      </w:r>
      <w:bookmarkEnd w:id="81"/>
      <w:bookmarkEnd w:id="82"/>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 or</w:t>
      </w:r>
    </w:p>
    <w:p>
      <w:pPr>
        <w:pStyle w:val="Indenta"/>
        <w:rPr>
          <w:snapToGrid w:val="0"/>
        </w:rPr>
      </w:pPr>
      <w:r>
        <w:rPr>
          <w:snapToGrid w:val="0"/>
        </w:rPr>
        <w:tab/>
        <w:t>(b)</w:t>
      </w:r>
      <w:r>
        <w:rPr>
          <w:snapToGrid w:val="0"/>
        </w:rPr>
        <w:tab/>
        <w:t>give or serve a notice or other document; or</w:t>
      </w:r>
    </w:p>
    <w:p>
      <w:pPr>
        <w:pStyle w:val="Indenta"/>
        <w:rPr>
          <w:snapToGrid w:val="0"/>
        </w:rPr>
      </w:pPr>
      <w:r>
        <w:rPr>
          <w:snapToGrid w:val="0"/>
        </w:rPr>
        <w:tab/>
        <w:t>(c)</w:t>
      </w:r>
      <w:r>
        <w:rPr>
          <w:snapToGrid w:val="0"/>
        </w:rPr>
        <w:tab/>
        <w:t>appoint a person to a specified office; or</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 or</w:t>
      </w:r>
    </w:p>
    <w:p>
      <w:pPr>
        <w:pStyle w:val="Indenti"/>
        <w:rPr>
          <w:snapToGrid w:val="0"/>
        </w:rPr>
      </w:pPr>
      <w:r>
        <w:rPr>
          <w:snapToGrid w:val="0"/>
        </w:rPr>
        <w:tab/>
        <w:t>(ii)</w:t>
      </w:r>
      <w:r>
        <w:rPr>
          <w:snapToGrid w:val="0"/>
        </w:rPr>
        <w:tab/>
        <w:t>give or serve a notice or other document; or</w:t>
      </w:r>
    </w:p>
    <w:p>
      <w:pPr>
        <w:pStyle w:val="Indenti"/>
        <w:rPr>
          <w:snapToGrid w:val="0"/>
        </w:rPr>
      </w:pPr>
      <w:r>
        <w:rPr>
          <w:snapToGrid w:val="0"/>
        </w:rPr>
        <w:tab/>
        <w:t>(iii)</w:t>
      </w:r>
      <w:r>
        <w:rPr>
          <w:snapToGrid w:val="0"/>
        </w:rPr>
        <w:tab/>
        <w:t>appoint a person to a specified office; or</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 </w:t>
      </w:r>
      <w:r>
        <w:rPr>
          <w:snapToGrid w:val="0"/>
          <w:vertAlign w:val="superscript"/>
        </w:rPr>
        <w:t>2</w:t>
      </w:r>
      <w:r>
        <w:rPr>
          <w:snapToGrid w:val="0"/>
        </w:rPr>
        <w:t>.</w:t>
      </w:r>
    </w:p>
    <w:p>
      <w:pPr>
        <w:pStyle w:val="Heading5"/>
        <w:rPr>
          <w:snapToGrid w:val="0"/>
        </w:rPr>
      </w:pPr>
      <w:bookmarkStart w:id="83" w:name="_Toc397949613"/>
      <w:bookmarkStart w:id="84" w:name="_Toc419714549"/>
      <w:r>
        <w:rPr>
          <w:rStyle w:val="CharSectno"/>
        </w:rPr>
        <w:t>26</w:t>
      </w:r>
      <w:r>
        <w:rPr>
          <w:snapToGrid w:val="0"/>
        </w:rPr>
        <w:t>.</w:t>
      </w:r>
      <w:r>
        <w:rPr>
          <w:snapToGrid w:val="0"/>
        </w:rPr>
        <w:tab/>
        <w:t>Citation of written laws</w:t>
      </w:r>
      <w:bookmarkEnd w:id="83"/>
      <w:bookmarkEnd w:id="84"/>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85" w:name="_Toc397949614"/>
      <w:bookmarkStart w:id="86" w:name="_Toc419714550"/>
      <w:r>
        <w:rPr>
          <w:rStyle w:val="CharSectno"/>
        </w:rPr>
        <w:t>27</w:t>
      </w:r>
      <w:r>
        <w:rPr>
          <w:snapToGrid w:val="0"/>
        </w:rPr>
        <w:t>.</w:t>
      </w:r>
      <w:r>
        <w:rPr>
          <w:snapToGrid w:val="0"/>
        </w:rPr>
        <w:tab/>
        <w:t>References to commencement of written law if different provisions commence on different days</w:t>
      </w:r>
      <w:bookmarkEnd w:id="85"/>
      <w:bookmarkEnd w:id="86"/>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87" w:name="_Toc378854531"/>
      <w:bookmarkStart w:id="88" w:name="_Toc392497999"/>
      <w:bookmarkStart w:id="89" w:name="_Toc397949615"/>
      <w:bookmarkStart w:id="90" w:name="_Toc419714118"/>
      <w:bookmarkStart w:id="91" w:name="_Toc419714454"/>
      <w:bookmarkStart w:id="92" w:name="_Toc419714551"/>
      <w:r>
        <w:rPr>
          <w:rStyle w:val="CharPartNo"/>
        </w:rPr>
        <w:t>Part IV</w:t>
      </w:r>
      <w:r>
        <w:rPr>
          <w:rStyle w:val="CharDivNo"/>
        </w:rPr>
        <w:t> </w:t>
      </w:r>
      <w:r>
        <w:t>—</w:t>
      </w:r>
      <w:r>
        <w:rPr>
          <w:rStyle w:val="CharDivText"/>
        </w:rPr>
        <w:t> </w:t>
      </w:r>
      <w:r>
        <w:rPr>
          <w:rStyle w:val="CharPartText"/>
        </w:rPr>
        <w:t>Provisions as to enactment and operation of written law</w:t>
      </w:r>
      <w:bookmarkEnd w:id="87"/>
      <w:bookmarkEnd w:id="88"/>
      <w:bookmarkEnd w:id="89"/>
      <w:bookmarkEnd w:id="90"/>
      <w:bookmarkEnd w:id="91"/>
      <w:bookmarkEnd w:id="92"/>
      <w:r>
        <w:rPr>
          <w:rStyle w:val="CharPartText"/>
        </w:rPr>
        <w:t xml:space="preserve"> </w:t>
      </w:r>
    </w:p>
    <w:p>
      <w:pPr>
        <w:pStyle w:val="Heading5"/>
        <w:rPr>
          <w:snapToGrid w:val="0"/>
        </w:rPr>
      </w:pPr>
      <w:bookmarkStart w:id="93" w:name="_Toc397949616"/>
      <w:bookmarkStart w:id="94" w:name="_Toc419714552"/>
      <w:r>
        <w:rPr>
          <w:rStyle w:val="CharSectno"/>
        </w:rPr>
        <w:t>28</w:t>
      </w:r>
      <w:r>
        <w:rPr>
          <w:snapToGrid w:val="0"/>
        </w:rPr>
        <w:t>.</w:t>
      </w:r>
      <w:r>
        <w:rPr>
          <w:snapToGrid w:val="0"/>
        </w:rPr>
        <w:tab/>
        <w:t>Acts deemed public Acts</w:t>
      </w:r>
      <w:bookmarkEnd w:id="93"/>
      <w:bookmarkEnd w:id="94"/>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95" w:name="_Toc397949617"/>
      <w:bookmarkStart w:id="96" w:name="_Toc419714553"/>
      <w:r>
        <w:rPr>
          <w:rStyle w:val="CharSectno"/>
        </w:rPr>
        <w:t>29</w:t>
      </w:r>
      <w:r>
        <w:rPr>
          <w:snapToGrid w:val="0"/>
        </w:rPr>
        <w:t>.</w:t>
      </w:r>
      <w:r>
        <w:rPr>
          <w:snapToGrid w:val="0"/>
        </w:rPr>
        <w:tab/>
        <w:t>Sections to be substantive enactments</w:t>
      </w:r>
      <w:bookmarkEnd w:id="95"/>
      <w:bookmarkEnd w:id="96"/>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97" w:name="_Toc397949618"/>
      <w:bookmarkStart w:id="98" w:name="_Toc419714554"/>
      <w:r>
        <w:rPr>
          <w:rStyle w:val="CharSectno"/>
        </w:rPr>
        <w:t>30</w:t>
      </w:r>
      <w:r>
        <w:rPr>
          <w:snapToGrid w:val="0"/>
        </w:rPr>
        <w:t>.</w:t>
      </w:r>
      <w:r>
        <w:rPr>
          <w:snapToGrid w:val="0"/>
        </w:rPr>
        <w:tab/>
        <w:t>Act may be amended in same session</w:t>
      </w:r>
      <w:bookmarkEnd w:id="97"/>
      <w:bookmarkEnd w:id="98"/>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99" w:name="_Toc397949619"/>
      <w:bookmarkStart w:id="100" w:name="_Toc419714555"/>
      <w:r>
        <w:rPr>
          <w:rStyle w:val="CharSectno"/>
        </w:rPr>
        <w:t>31</w:t>
      </w:r>
      <w:r>
        <w:rPr>
          <w:snapToGrid w:val="0"/>
        </w:rPr>
        <w:t>.</w:t>
      </w:r>
      <w:r>
        <w:rPr>
          <w:snapToGrid w:val="0"/>
        </w:rPr>
        <w:tab/>
        <w:t>Preambles, schedules etc. to form part of written law</w:t>
      </w:r>
      <w:bookmarkEnd w:id="99"/>
      <w:bookmarkEnd w:id="100"/>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101" w:name="_Toc397949620"/>
      <w:bookmarkStart w:id="102" w:name="_Toc419714556"/>
      <w:r>
        <w:rPr>
          <w:rStyle w:val="CharSectno"/>
        </w:rPr>
        <w:t>32</w:t>
      </w:r>
      <w:r>
        <w:rPr>
          <w:snapToGrid w:val="0"/>
        </w:rPr>
        <w:t>.</w:t>
      </w:r>
      <w:r>
        <w:rPr>
          <w:snapToGrid w:val="0"/>
        </w:rPr>
        <w:tab/>
        <w:t>Headings, marginal notes and footnotes</w:t>
      </w:r>
      <w:bookmarkEnd w:id="101"/>
      <w:bookmarkEnd w:id="102"/>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60"/>
        <w:ind w:left="890" w:hanging="890"/>
      </w:pPr>
      <w:r>
        <w:tab/>
        <w:t xml:space="preserve">[Section 32 amended by No. 14 of 1996 s. 4.] </w:t>
      </w:r>
    </w:p>
    <w:p>
      <w:pPr>
        <w:pStyle w:val="Heading2"/>
      </w:pPr>
      <w:bookmarkStart w:id="103" w:name="_Toc378854537"/>
      <w:bookmarkStart w:id="104" w:name="_Toc392498005"/>
      <w:bookmarkStart w:id="105" w:name="_Toc397949621"/>
      <w:bookmarkStart w:id="106" w:name="_Toc419714124"/>
      <w:bookmarkStart w:id="107" w:name="_Toc419714460"/>
      <w:bookmarkStart w:id="108" w:name="_Toc419714557"/>
      <w:r>
        <w:rPr>
          <w:rStyle w:val="CharPartNo"/>
        </w:rPr>
        <w:t>Part V</w:t>
      </w:r>
      <w:r>
        <w:rPr>
          <w:rStyle w:val="CharDivNo"/>
        </w:rPr>
        <w:t> </w:t>
      </w:r>
      <w:r>
        <w:t>—</w:t>
      </w:r>
      <w:r>
        <w:rPr>
          <w:rStyle w:val="CharDivText"/>
        </w:rPr>
        <w:t> </w:t>
      </w:r>
      <w:r>
        <w:rPr>
          <w:rStyle w:val="CharPartText"/>
        </w:rPr>
        <w:t>Repeal of written law</w:t>
      </w:r>
      <w:bookmarkEnd w:id="103"/>
      <w:bookmarkEnd w:id="104"/>
      <w:bookmarkEnd w:id="105"/>
      <w:bookmarkEnd w:id="106"/>
      <w:bookmarkEnd w:id="107"/>
      <w:bookmarkEnd w:id="108"/>
      <w:r>
        <w:rPr>
          <w:rStyle w:val="CharPartText"/>
        </w:rPr>
        <w:t xml:space="preserve"> </w:t>
      </w:r>
    </w:p>
    <w:p>
      <w:pPr>
        <w:pStyle w:val="Heading5"/>
        <w:spacing w:before="180"/>
        <w:rPr>
          <w:snapToGrid w:val="0"/>
        </w:rPr>
      </w:pPr>
      <w:bookmarkStart w:id="109" w:name="_Toc397949622"/>
      <w:bookmarkStart w:id="110" w:name="_Toc419714558"/>
      <w:r>
        <w:rPr>
          <w:rStyle w:val="CharSectno"/>
        </w:rPr>
        <w:t>33</w:t>
      </w:r>
      <w:r>
        <w:rPr>
          <w:snapToGrid w:val="0"/>
        </w:rPr>
        <w:t>.</w:t>
      </w:r>
      <w:r>
        <w:rPr>
          <w:snapToGrid w:val="0"/>
        </w:rPr>
        <w:tab/>
        <w:t>Repeal of written law includes repeal of amendments</w:t>
      </w:r>
      <w:bookmarkEnd w:id="109"/>
      <w:bookmarkEnd w:id="110"/>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spacing w:before="180"/>
        <w:rPr>
          <w:snapToGrid w:val="0"/>
        </w:rPr>
      </w:pPr>
      <w:bookmarkStart w:id="111" w:name="_Toc397949623"/>
      <w:bookmarkStart w:id="112" w:name="_Toc419714559"/>
      <w:r>
        <w:rPr>
          <w:rStyle w:val="CharSectno"/>
        </w:rPr>
        <w:t>34</w:t>
      </w:r>
      <w:r>
        <w:rPr>
          <w:snapToGrid w:val="0"/>
        </w:rPr>
        <w:t>.</w:t>
      </w:r>
      <w:r>
        <w:rPr>
          <w:snapToGrid w:val="0"/>
        </w:rPr>
        <w:tab/>
        <w:t>Repeal of repealing enactment, effect of</w:t>
      </w:r>
      <w:bookmarkEnd w:id="111"/>
      <w:bookmarkEnd w:id="112"/>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spacing w:before="180"/>
        <w:rPr>
          <w:snapToGrid w:val="0"/>
        </w:rPr>
      </w:pPr>
      <w:bookmarkStart w:id="113" w:name="_Toc397949624"/>
      <w:bookmarkStart w:id="114" w:name="_Toc419714560"/>
      <w:r>
        <w:rPr>
          <w:rStyle w:val="CharSectno"/>
        </w:rPr>
        <w:t>35</w:t>
      </w:r>
      <w:r>
        <w:rPr>
          <w:snapToGrid w:val="0"/>
        </w:rPr>
        <w:t>.</w:t>
      </w:r>
      <w:r>
        <w:rPr>
          <w:snapToGrid w:val="0"/>
        </w:rPr>
        <w:tab/>
        <w:t>Repeal and substitution of provision, effect of</w:t>
      </w:r>
      <w:bookmarkEnd w:id="113"/>
      <w:bookmarkEnd w:id="114"/>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spacing w:before="180"/>
        <w:rPr>
          <w:snapToGrid w:val="0"/>
        </w:rPr>
      </w:pPr>
      <w:bookmarkStart w:id="115" w:name="_Toc397949625"/>
      <w:bookmarkStart w:id="116" w:name="_Toc419714561"/>
      <w:r>
        <w:rPr>
          <w:rStyle w:val="CharSectno"/>
        </w:rPr>
        <w:t>36</w:t>
      </w:r>
      <w:r>
        <w:rPr>
          <w:snapToGrid w:val="0"/>
        </w:rPr>
        <w:t>.</w:t>
      </w:r>
      <w:r>
        <w:rPr>
          <w:snapToGrid w:val="0"/>
        </w:rPr>
        <w:tab/>
        <w:t>Repealing and re</w:t>
      </w:r>
      <w:r>
        <w:rPr>
          <w:snapToGrid w:val="0"/>
        </w:rPr>
        <w:noBreakHyphen/>
        <w:t>enacting a provision, effect of</w:t>
      </w:r>
      <w:bookmarkEnd w:id="115"/>
      <w:bookmarkEnd w:id="116"/>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 and</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 and</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117" w:name="_Toc397949626"/>
      <w:bookmarkStart w:id="118" w:name="_Toc419714562"/>
      <w:r>
        <w:rPr>
          <w:rStyle w:val="CharSectno"/>
        </w:rPr>
        <w:t>37</w:t>
      </w:r>
      <w:r>
        <w:rPr>
          <w:snapToGrid w:val="0"/>
        </w:rPr>
        <w:t>.</w:t>
      </w:r>
      <w:r>
        <w:rPr>
          <w:snapToGrid w:val="0"/>
        </w:rPr>
        <w:tab/>
        <w:t>General savings on repeal</w:t>
      </w:r>
      <w:bookmarkEnd w:id="117"/>
      <w:bookmarkEnd w:id="118"/>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119" w:name="_Toc397949627"/>
      <w:bookmarkStart w:id="120" w:name="_Toc419714563"/>
      <w:r>
        <w:rPr>
          <w:rStyle w:val="CharSectno"/>
        </w:rPr>
        <w:t>38</w:t>
      </w:r>
      <w:r>
        <w:rPr>
          <w:snapToGrid w:val="0"/>
        </w:rPr>
        <w:t>.</w:t>
      </w:r>
      <w:r>
        <w:rPr>
          <w:snapToGrid w:val="0"/>
        </w:rPr>
        <w:tab/>
        <w:t>Repeal of Act, effect of on subsidiary legislation</w:t>
      </w:r>
      <w:bookmarkEnd w:id="119"/>
      <w:bookmarkEnd w:id="120"/>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121" w:name="_Toc397949628"/>
      <w:bookmarkStart w:id="122" w:name="_Toc419714564"/>
      <w:r>
        <w:rPr>
          <w:rStyle w:val="CharSectno"/>
        </w:rPr>
        <w:t>39</w:t>
      </w:r>
      <w:r>
        <w:rPr>
          <w:snapToGrid w:val="0"/>
        </w:rPr>
        <w:t>.</w:t>
      </w:r>
      <w:r>
        <w:rPr>
          <w:snapToGrid w:val="0"/>
        </w:rPr>
        <w:tab/>
        <w:t>Expiry of enactment, effect of</w:t>
      </w:r>
      <w:bookmarkEnd w:id="121"/>
      <w:bookmarkEnd w:id="122"/>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123" w:name="_Toc378854545"/>
      <w:bookmarkStart w:id="124" w:name="_Toc392498013"/>
      <w:bookmarkStart w:id="125" w:name="_Toc397949629"/>
      <w:bookmarkStart w:id="126" w:name="_Toc419714132"/>
      <w:bookmarkStart w:id="127" w:name="_Toc419714468"/>
      <w:bookmarkStart w:id="128" w:name="_Toc419714565"/>
      <w:r>
        <w:rPr>
          <w:rStyle w:val="CharPartNo"/>
        </w:rPr>
        <w:t>Part VI</w:t>
      </w:r>
      <w:r>
        <w:rPr>
          <w:rStyle w:val="CharDivNo"/>
        </w:rPr>
        <w:t> </w:t>
      </w:r>
      <w:r>
        <w:t>—</w:t>
      </w:r>
      <w:r>
        <w:rPr>
          <w:rStyle w:val="CharDivText"/>
        </w:rPr>
        <w:t> </w:t>
      </w:r>
      <w:r>
        <w:rPr>
          <w:rStyle w:val="CharPartText"/>
        </w:rPr>
        <w:t>Subsidiary legislation</w:t>
      </w:r>
      <w:bookmarkEnd w:id="123"/>
      <w:bookmarkEnd w:id="124"/>
      <w:bookmarkEnd w:id="125"/>
      <w:bookmarkEnd w:id="126"/>
      <w:bookmarkEnd w:id="127"/>
      <w:bookmarkEnd w:id="128"/>
      <w:r>
        <w:rPr>
          <w:rStyle w:val="CharPartText"/>
        </w:rPr>
        <w:t xml:space="preserve"> </w:t>
      </w:r>
    </w:p>
    <w:p>
      <w:pPr>
        <w:pStyle w:val="Heading5"/>
        <w:spacing w:before="240"/>
        <w:rPr>
          <w:snapToGrid w:val="0"/>
        </w:rPr>
      </w:pPr>
      <w:bookmarkStart w:id="129" w:name="_Toc397949630"/>
      <w:bookmarkStart w:id="130" w:name="_Toc419714566"/>
      <w:r>
        <w:rPr>
          <w:rStyle w:val="CharSectno"/>
        </w:rPr>
        <w:t>40</w:t>
      </w:r>
      <w:r>
        <w:rPr>
          <w:snapToGrid w:val="0"/>
        </w:rPr>
        <w:t>.</w:t>
      </w:r>
      <w:r>
        <w:rPr>
          <w:snapToGrid w:val="0"/>
        </w:rPr>
        <w:tab/>
        <w:t>Governor to make subsidiary legislation</w:t>
      </w:r>
      <w:bookmarkEnd w:id="129"/>
      <w:bookmarkEnd w:id="130"/>
      <w:r>
        <w:rPr>
          <w:snapToGrid w:val="0"/>
        </w:rPr>
        <w:t xml:space="preserve"> </w:t>
      </w:r>
    </w:p>
    <w:p>
      <w:pPr>
        <w:pStyle w:val="Subsection"/>
        <w:spacing w:before="180"/>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240"/>
        <w:rPr>
          <w:snapToGrid w:val="0"/>
        </w:rPr>
      </w:pPr>
      <w:bookmarkStart w:id="131" w:name="_Toc397949631"/>
      <w:bookmarkStart w:id="132" w:name="_Toc419714567"/>
      <w:r>
        <w:rPr>
          <w:rStyle w:val="CharSectno"/>
        </w:rPr>
        <w:t>41</w:t>
      </w:r>
      <w:r>
        <w:rPr>
          <w:snapToGrid w:val="0"/>
        </w:rPr>
        <w:t>.</w:t>
      </w:r>
      <w:r>
        <w:rPr>
          <w:snapToGrid w:val="0"/>
        </w:rPr>
        <w:tab/>
        <w:t>Publication and commencement of subsidiary legislation</w:t>
      </w:r>
      <w:bookmarkEnd w:id="131"/>
      <w:bookmarkEnd w:id="132"/>
      <w:r>
        <w:rPr>
          <w:snapToGrid w:val="0"/>
        </w:rPr>
        <w:t xml:space="preserve"> </w:t>
      </w:r>
    </w:p>
    <w:p>
      <w:pPr>
        <w:pStyle w:val="Subsection"/>
        <w:spacing w:before="180"/>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240"/>
        <w:rPr>
          <w:snapToGrid w:val="0"/>
        </w:rPr>
      </w:pPr>
      <w:bookmarkStart w:id="133" w:name="_Toc397949632"/>
      <w:bookmarkStart w:id="134" w:name="_Toc419714568"/>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133"/>
      <w:bookmarkEnd w:id="134"/>
      <w:r>
        <w:rPr>
          <w:snapToGrid w:val="0"/>
        </w:rPr>
        <w:t xml:space="preserve"> </w:t>
      </w:r>
    </w:p>
    <w:p>
      <w:pPr>
        <w:pStyle w:val="Subsection"/>
        <w:spacing w:before="180"/>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spacing w:before="180"/>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8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8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spacing w:before="18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80"/>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keepNext/>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135" w:name="_Toc397949633"/>
      <w:bookmarkStart w:id="136" w:name="_Toc419714569"/>
      <w:r>
        <w:rPr>
          <w:rStyle w:val="CharSectno"/>
        </w:rPr>
        <w:t>43</w:t>
      </w:r>
      <w:r>
        <w:rPr>
          <w:snapToGrid w:val="0"/>
        </w:rPr>
        <w:t>.</w:t>
      </w:r>
      <w:r>
        <w:rPr>
          <w:snapToGrid w:val="0"/>
        </w:rPr>
        <w:tab/>
        <w:t>Power to make subsidiary legislation, general provisions about</w:t>
      </w:r>
      <w:bookmarkEnd w:id="135"/>
      <w:bookmarkEnd w:id="136"/>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keepNext/>
        <w:keepLines/>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137" w:name="_Toc397949634"/>
      <w:bookmarkStart w:id="138" w:name="_Toc419714570"/>
      <w:r>
        <w:rPr>
          <w:rStyle w:val="CharSectno"/>
        </w:rPr>
        <w:t>44</w:t>
      </w:r>
      <w:r>
        <w:rPr>
          <w:snapToGrid w:val="0"/>
        </w:rPr>
        <w:t>.</w:t>
      </w:r>
      <w:r>
        <w:rPr>
          <w:snapToGrid w:val="0"/>
        </w:rPr>
        <w:tab/>
        <w:t>Words and expressions in subsidiary legislation, meaning of</w:t>
      </w:r>
      <w:bookmarkEnd w:id="137"/>
      <w:bookmarkEnd w:id="138"/>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139" w:name="_Toc397949635"/>
      <w:bookmarkStart w:id="140" w:name="_Toc419714571"/>
      <w:r>
        <w:rPr>
          <w:rStyle w:val="CharSectno"/>
        </w:rPr>
        <w:t>45</w:t>
      </w:r>
      <w:r>
        <w:rPr>
          <w:snapToGrid w:val="0"/>
        </w:rPr>
        <w:t>.</w:t>
      </w:r>
      <w:r>
        <w:rPr>
          <w:snapToGrid w:val="0"/>
        </w:rPr>
        <w:tab/>
        <w:t>Fees and charges</w:t>
      </w:r>
      <w:bookmarkEnd w:id="139"/>
      <w:bookmarkEnd w:id="140"/>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 and</w:t>
      </w:r>
    </w:p>
    <w:p>
      <w:pPr>
        <w:pStyle w:val="Indenta"/>
        <w:rPr>
          <w:snapToGrid w:val="0"/>
        </w:rPr>
      </w:pPr>
      <w:r>
        <w:rPr>
          <w:snapToGrid w:val="0"/>
        </w:rPr>
        <w:tab/>
        <w:t>(b)</w:t>
      </w:r>
      <w:r>
        <w:rPr>
          <w:snapToGrid w:val="0"/>
        </w:rPr>
        <w:tab/>
        <w:t>maximum or minimum fees or charges; and</w:t>
      </w:r>
    </w:p>
    <w:p>
      <w:pPr>
        <w:pStyle w:val="Indenta"/>
        <w:rPr>
          <w:snapToGrid w:val="0"/>
        </w:rPr>
      </w:pPr>
      <w:r>
        <w:rPr>
          <w:snapToGrid w:val="0"/>
        </w:rPr>
        <w:tab/>
        <w:t>(c)</w:t>
      </w:r>
      <w:r>
        <w:rPr>
          <w:snapToGrid w:val="0"/>
        </w:rPr>
        <w:tab/>
        <w:t>maximum and minimum fees or charges; and</w:t>
      </w:r>
    </w:p>
    <w:p>
      <w:pPr>
        <w:pStyle w:val="Indenta"/>
        <w:rPr>
          <w:snapToGrid w:val="0"/>
        </w:rPr>
      </w:pPr>
      <w:r>
        <w:rPr>
          <w:snapToGrid w:val="0"/>
        </w:rPr>
        <w:tab/>
        <w:t>(d)</w:t>
      </w:r>
      <w:r>
        <w:rPr>
          <w:snapToGrid w:val="0"/>
        </w:rPr>
        <w:tab/>
      </w:r>
      <w:r>
        <w:rPr>
          <w:i/>
          <w:snapToGrid w:val="0"/>
        </w:rPr>
        <w:t>ad valorem</w:t>
      </w:r>
      <w:r>
        <w:rPr>
          <w:snapToGrid w:val="0"/>
        </w:rPr>
        <w:t xml:space="preserve"> fees or charges; and</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 or</w:t>
      </w:r>
    </w:p>
    <w:p>
      <w:pPr>
        <w:pStyle w:val="Indenta"/>
        <w:rPr>
          <w:snapToGrid w:val="0"/>
        </w:rPr>
      </w:pPr>
      <w:r>
        <w:rPr>
          <w:snapToGrid w:val="0"/>
        </w:rPr>
        <w:tab/>
        <w:t>(b)</w:t>
      </w:r>
      <w:r>
        <w:rPr>
          <w:snapToGrid w:val="0"/>
        </w:rPr>
        <w:tab/>
        <w:t>in respect of certain documents or classes of document; or</w:t>
      </w:r>
    </w:p>
    <w:p>
      <w:pPr>
        <w:pStyle w:val="Indenta"/>
        <w:rPr>
          <w:snapToGrid w:val="0"/>
        </w:rPr>
      </w:pPr>
      <w:r>
        <w:rPr>
          <w:snapToGrid w:val="0"/>
        </w:rPr>
        <w:tab/>
        <w:t>(c)</w:t>
      </w:r>
      <w:r>
        <w:rPr>
          <w:snapToGrid w:val="0"/>
        </w:rPr>
        <w:tab/>
        <w:t>when any event happens or ceases to happen; or</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141" w:name="_Toc397949636"/>
      <w:bookmarkStart w:id="142" w:name="_Toc419714572"/>
      <w:r>
        <w:rPr>
          <w:rStyle w:val="CharSectno"/>
        </w:rPr>
        <w:t>45A</w:t>
      </w:r>
      <w:r>
        <w:t>.</w:t>
      </w:r>
      <w:r>
        <w:tab/>
        <w:t>Fees for licences, effect of power to prescribe</w:t>
      </w:r>
      <w:bookmarkEnd w:id="141"/>
      <w:bookmarkEnd w:id="142"/>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143" w:name="_Toc397949637"/>
      <w:bookmarkStart w:id="144" w:name="_Toc419714573"/>
      <w:r>
        <w:rPr>
          <w:rStyle w:val="CharSectno"/>
        </w:rPr>
        <w:t>46</w:t>
      </w:r>
      <w:r>
        <w:rPr>
          <w:snapToGrid w:val="0"/>
        </w:rPr>
        <w:t>.</w:t>
      </w:r>
      <w:r>
        <w:rPr>
          <w:snapToGrid w:val="0"/>
        </w:rPr>
        <w:tab/>
        <w:t>Reference to written law includes reference to subsidiary legislation made under it</w:t>
      </w:r>
      <w:bookmarkEnd w:id="143"/>
      <w:bookmarkEnd w:id="144"/>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145" w:name="_Toc397949638"/>
      <w:bookmarkStart w:id="146" w:name="_Toc419714574"/>
      <w:r>
        <w:rPr>
          <w:rStyle w:val="CharSectno"/>
        </w:rPr>
        <w:t>47</w:t>
      </w:r>
      <w:r>
        <w:rPr>
          <w:snapToGrid w:val="0"/>
        </w:rPr>
        <w:t>.</w:t>
      </w:r>
      <w:r>
        <w:rPr>
          <w:snapToGrid w:val="0"/>
        </w:rPr>
        <w:tab/>
        <w:t>Acts done under subsidiary legislation deemed done under Act</w:t>
      </w:r>
      <w:bookmarkEnd w:id="145"/>
      <w:bookmarkEnd w:id="146"/>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147" w:name="_Toc378854555"/>
      <w:bookmarkStart w:id="148" w:name="_Toc392498023"/>
      <w:bookmarkStart w:id="149" w:name="_Toc397949639"/>
      <w:bookmarkStart w:id="150" w:name="_Toc419714142"/>
      <w:bookmarkStart w:id="151" w:name="_Toc419714478"/>
      <w:bookmarkStart w:id="152" w:name="_Toc419714575"/>
      <w:r>
        <w:rPr>
          <w:rStyle w:val="CharPartNo"/>
        </w:rPr>
        <w:t>Part VII</w:t>
      </w:r>
      <w:r>
        <w:rPr>
          <w:rStyle w:val="CharDivNo"/>
        </w:rPr>
        <w:t> </w:t>
      </w:r>
      <w:r>
        <w:t>—</w:t>
      </w:r>
      <w:r>
        <w:rPr>
          <w:rStyle w:val="CharDivText"/>
        </w:rPr>
        <w:t> </w:t>
      </w:r>
      <w:r>
        <w:rPr>
          <w:rStyle w:val="CharPartText"/>
        </w:rPr>
        <w:t>Statutory powers and duties</w:t>
      </w:r>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397949640"/>
      <w:bookmarkStart w:id="154" w:name="_Toc419714576"/>
      <w:r>
        <w:rPr>
          <w:rStyle w:val="CharSectno"/>
        </w:rPr>
        <w:t>48</w:t>
      </w:r>
      <w:r>
        <w:rPr>
          <w:snapToGrid w:val="0"/>
        </w:rPr>
        <w:t>.</w:t>
      </w:r>
      <w:r>
        <w:rPr>
          <w:snapToGrid w:val="0"/>
        </w:rPr>
        <w:tab/>
        <w:t>Time for exercise of power or performance of duty</w:t>
      </w:r>
      <w:bookmarkEnd w:id="153"/>
      <w:bookmarkEnd w:id="154"/>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155" w:name="_Toc397949641"/>
      <w:bookmarkStart w:id="156" w:name="_Toc419714577"/>
      <w:r>
        <w:rPr>
          <w:rStyle w:val="CharSectno"/>
        </w:rPr>
        <w:t>48A</w:t>
      </w:r>
      <w:r>
        <w:rPr>
          <w:snapToGrid w:val="0"/>
        </w:rPr>
        <w:t>.</w:t>
      </w:r>
      <w:r>
        <w:rPr>
          <w:snapToGrid w:val="0"/>
        </w:rPr>
        <w:tab/>
        <w:t>Judicial acts and service of process may be done on any day</w:t>
      </w:r>
      <w:bookmarkEnd w:id="155"/>
      <w:bookmarkEnd w:id="156"/>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spacing w:before="180"/>
        <w:rPr>
          <w:snapToGrid w:val="0"/>
        </w:rPr>
      </w:pPr>
      <w:bookmarkStart w:id="157" w:name="_Toc397949642"/>
      <w:bookmarkStart w:id="158" w:name="_Toc419714578"/>
      <w:r>
        <w:rPr>
          <w:rStyle w:val="CharSectno"/>
        </w:rPr>
        <w:t>49</w:t>
      </w:r>
      <w:r>
        <w:rPr>
          <w:snapToGrid w:val="0"/>
        </w:rPr>
        <w:t>.</w:t>
      </w:r>
      <w:r>
        <w:rPr>
          <w:snapToGrid w:val="0"/>
        </w:rPr>
        <w:tab/>
        <w:t>Public officer’s powers and duties may be exercised by acting officer etc.</w:t>
      </w:r>
      <w:bookmarkEnd w:id="157"/>
      <w:bookmarkEnd w:id="158"/>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spacing w:before="180"/>
        <w:rPr>
          <w:snapToGrid w:val="0"/>
        </w:rPr>
      </w:pPr>
      <w:bookmarkStart w:id="159" w:name="_Toc397949643"/>
      <w:bookmarkStart w:id="160" w:name="_Toc419714579"/>
      <w:r>
        <w:rPr>
          <w:rStyle w:val="CharSectno"/>
        </w:rPr>
        <w:t>50</w:t>
      </w:r>
      <w:r>
        <w:rPr>
          <w:snapToGrid w:val="0"/>
        </w:rPr>
        <w:t>.</w:t>
      </w:r>
      <w:r>
        <w:rPr>
          <w:snapToGrid w:val="0"/>
        </w:rPr>
        <w:tab/>
        <w:t>Statutory powers, construction of</w:t>
      </w:r>
      <w:bookmarkEnd w:id="159"/>
      <w:bookmarkEnd w:id="160"/>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161" w:name="_Toc397949644"/>
      <w:bookmarkStart w:id="162" w:name="_Toc419714580"/>
      <w:r>
        <w:rPr>
          <w:rStyle w:val="CharSectno"/>
        </w:rPr>
        <w:t>51</w:t>
      </w:r>
      <w:r>
        <w:rPr>
          <w:snapToGrid w:val="0"/>
        </w:rPr>
        <w:t>.</w:t>
      </w:r>
      <w:r>
        <w:rPr>
          <w:snapToGrid w:val="0"/>
        </w:rPr>
        <w:tab/>
        <w:t>Power to issue licences and other authorisations is discretionary</w:t>
      </w:r>
      <w:bookmarkEnd w:id="161"/>
      <w:bookmarkEnd w:id="162"/>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163" w:name="_Toc397949645"/>
      <w:bookmarkStart w:id="164" w:name="_Toc419714581"/>
      <w:r>
        <w:rPr>
          <w:rStyle w:val="CharSectno"/>
        </w:rPr>
        <w:t>52</w:t>
      </w:r>
      <w:r>
        <w:rPr>
          <w:snapToGrid w:val="0"/>
        </w:rPr>
        <w:t>.</w:t>
      </w:r>
      <w:r>
        <w:rPr>
          <w:snapToGrid w:val="0"/>
        </w:rPr>
        <w:tab/>
        <w:t>Power to appoint includes power to remove, suspend, appoint acting officer etc.</w:t>
      </w:r>
      <w:bookmarkEnd w:id="163"/>
      <w:bookmarkEnd w:id="164"/>
    </w:p>
    <w:p>
      <w:pPr>
        <w:pStyle w:val="Subsection"/>
        <w:spacing w:before="12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 and</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spacing w:before="120"/>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 and</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spacing w:before="120"/>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spacing w:before="120"/>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spacing w:before="120"/>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r>
        <w:tab/>
        <w:t>[Section 52 amended by No. 31 of 2010 s. 7.]</w:t>
      </w:r>
    </w:p>
    <w:p>
      <w:pPr>
        <w:pStyle w:val="Heading5"/>
        <w:spacing w:before="180"/>
        <w:rPr>
          <w:snapToGrid w:val="0"/>
        </w:rPr>
      </w:pPr>
      <w:bookmarkStart w:id="165" w:name="_Toc397949646"/>
      <w:bookmarkStart w:id="166" w:name="_Toc419714582"/>
      <w:r>
        <w:rPr>
          <w:rStyle w:val="CharSectno"/>
        </w:rPr>
        <w:t>53</w:t>
      </w:r>
      <w:r>
        <w:rPr>
          <w:snapToGrid w:val="0"/>
        </w:rPr>
        <w:t>.</w:t>
      </w:r>
      <w:r>
        <w:rPr>
          <w:snapToGrid w:val="0"/>
        </w:rPr>
        <w:tab/>
        <w:t>Appointments may be by name or office</w:t>
      </w:r>
      <w:bookmarkEnd w:id="165"/>
      <w:bookmarkEnd w:id="166"/>
      <w:r>
        <w:rPr>
          <w:snapToGrid w:val="0"/>
        </w:rPr>
        <w:t xml:space="preserve"> </w:t>
      </w:r>
    </w:p>
    <w:p>
      <w:pPr>
        <w:pStyle w:val="Subsection"/>
        <w:keepNext/>
        <w:spacing w:before="120"/>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 or</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spacing w:before="180"/>
        <w:rPr>
          <w:snapToGrid w:val="0"/>
        </w:rPr>
      </w:pPr>
      <w:bookmarkStart w:id="167" w:name="_Toc397949647"/>
      <w:bookmarkStart w:id="168" w:name="_Toc419714583"/>
      <w:r>
        <w:rPr>
          <w:rStyle w:val="CharSectno"/>
        </w:rPr>
        <w:t>54</w:t>
      </w:r>
      <w:r>
        <w:rPr>
          <w:snapToGrid w:val="0"/>
        </w:rPr>
        <w:t>.</w:t>
      </w:r>
      <w:r>
        <w:rPr>
          <w:snapToGrid w:val="0"/>
        </w:rPr>
        <w:tab/>
        <w:t>Statutory bodies, majority and quorum provisions</w:t>
      </w:r>
      <w:bookmarkEnd w:id="167"/>
      <w:bookmarkEnd w:id="168"/>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169" w:name="_Toc397949648"/>
      <w:bookmarkStart w:id="170" w:name="_Toc419714584"/>
      <w:r>
        <w:rPr>
          <w:rStyle w:val="CharSectno"/>
        </w:rPr>
        <w:t>55</w:t>
      </w:r>
      <w:r>
        <w:rPr>
          <w:snapToGrid w:val="0"/>
        </w:rPr>
        <w:t>.</w:t>
      </w:r>
      <w:r>
        <w:rPr>
          <w:snapToGrid w:val="0"/>
        </w:rPr>
        <w:tab/>
        <w:t>Errors when exercising certain powers or duties may be corrected</w:t>
      </w:r>
      <w:bookmarkEnd w:id="169"/>
      <w:bookmarkEnd w:id="170"/>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171" w:name="_Toc397949649"/>
      <w:bookmarkStart w:id="172" w:name="_Toc419714585"/>
      <w:r>
        <w:rPr>
          <w:snapToGrid w:val="0"/>
        </w:rPr>
        <w:t>56.</w:t>
      </w:r>
      <w:r>
        <w:rPr>
          <w:snapToGrid w:val="0"/>
        </w:rPr>
        <w:tab/>
        <w:t>“May” imports a discretion, “shall” is imperative</w:t>
      </w:r>
      <w:bookmarkEnd w:id="171"/>
      <w:bookmarkEnd w:id="172"/>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173" w:name="_Toc397949650"/>
      <w:bookmarkStart w:id="174" w:name="_Toc419714586"/>
      <w:r>
        <w:rPr>
          <w:rStyle w:val="CharSectno"/>
        </w:rPr>
        <w:t>57</w:t>
      </w:r>
      <w:r>
        <w:rPr>
          <w:snapToGrid w:val="0"/>
        </w:rPr>
        <w:t>.</w:t>
      </w:r>
      <w:r>
        <w:rPr>
          <w:snapToGrid w:val="0"/>
        </w:rPr>
        <w:tab/>
        <w:t>Statutory bodies, powers of not affected by vacancies etc.</w:t>
      </w:r>
      <w:bookmarkEnd w:id="173"/>
      <w:bookmarkEnd w:id="174"/>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 or</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 or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175" w:name="_Toc397949651"/>
      <w:bookmarkStart w:id="176" w:name="_Toc419714587"/>
      <w:r>
        <w:rPr>
          <w:rStyle w:val="CharSectno"/>
        </w:rPr>
        <w:t>58</w:t>
      </w:r>
      <w:r>
        <w:rPr>
          <w:snapToGrid w:val="0"/>
        </w:rPr>
        <w:t>.</w:t>
      </w:r>
      <w:r>
        <w:rPr>
          <w:snapToGrid w:val="0"/>
        </w:rPr>
        <w:tab/>
        <w:t>Delegates, performance of functions by</w:t>
      </w:r>
      <w:bookmarkEnd w:id="175"/>
      <w:bookmarkEnd w:id="176"/>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177" w:name="_Toc397949652"/>
      <w:bookmarkStart w:id="178" w:name="_Toc419714588"/>
      <w:r>
        <w:rPr>
          <w:rStyle w:val="CharSectno"/>
        </w:rPr>
        <w:t>59</w:t>
      </w:r>
      <w:r>
        <w:rPr>
          <w:snapToGrid w:val="0"/>
        </w:rPr>
        <w:t>.</w:t>
      </w:r>
      <w:r>
        <w:rPr>
          <w:snapToGrid w:val="0"/>
        </w:rPr>
        <w:tab/>
        <w:t>Power to delegate, effect of</w:t>
      </w:r>
      <w:bookmarkEnd w:id="177"/>
      <w:bookmarkEnd w:id="178"/>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179" w:name="_Toc397949653"/>
      <w:bookmarkStart w:id="180" w:name="_Toc419714589"/>
      <w:r>
        <w:rPr>
          <w:rStyle w:val="CharSectno"/>
        </w:rPr>
        <w:t>60</w:t>
      </w:r>
      <w:r>
        <w:rPr>
          <w:snapToGrid w:val="0"/>
        </w:rPr>
        <w:t>.</w:t>
      </w:r>
      <w:r>
        <w:rPr>
          <w:snapToGrid w:val="0"/>
        </w:rPr>
        <w:tab/>
        <w:t>Governor to act with advice of Executive Council</w:t>
      </w:r>
      <w:bookmarkEnd w:id="179"/>
      <w:bookmarkEnd w:id="180"/>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181" w:name="_Toc378854570"/>
      <w:bookmarkStart w:id="182" w:name="_Toc392498038"/>
      <w:bookmarkStart w:id="183" w:name="_Toc397949654"/>
      <w:bookmarkStart w:id="184" w:name="_Toc419714157"/>
      <w:bookmarkStart w:id="185" w:name="_Toc419714493"/>
      <w:bookmarkStart w:id="186" w:name="_Toc419714590"/>
      <w:r>
        <w:rPr>
          <w:rStyle w:val="CharPartNo"/>
        </w:rPr>
        <w:t>Part VIII</w:t>
      </w:r>
      <w:r>
        <w:rPr>
          <w:rStyle w:val="CharDivNo"/>
        </w:rPr>
        <w:t> </w:t>
      </w:r>
      <w:r>
        <w:t>—</w:t>
      </w:r>
      <w:r>
        <w:rPr>
          <w:rStyle w:val="CharDivText"/>
        </w:rPr>
        <w:t> </w:t>
      </w:r>
      <w:r>
        <w:rPr>
          <w:rStyle w:val="CharPartText"/>
        </w:rPr>
        <w:t>Provisions regarding time and distance</w:t>
      </w:r>
      <w:bookmarkEnd w:id="181"/>
      <w:bookmarkEnd w:id="182"/>
      <w:bookmarkEnd w:id="183"/>
      <w:bookmarkEnd w:id="184"/>
      <w:bookmarkEnd w:id="185"/>
      <w:bookmarkEnd w:id="186"/>
      <w:r>
        <w:rPr>
          <w:rStyle w:val="CharPartText"/>
        </w:rPr>
        <w:t xml:space="preserve"> </w:t>
      </w:r>
    </w:p>
    <w:p>
      <w:pPr>
        <w:pStyle w:val="Heading5"/>
        <w:rPr>
          <w:snapToGrid w:val="0"/>
        </w:rPr>
      </w:pPr>
      <w:bookmarkStart w:id="187" w:name="_Toc397949655"/>
      <w:bookmarkStart w:id="188" w:name="_Toc419714591"/>
      <w:r>
        <w:rPr>
          <w:rStyle w:val="CharSectno"/>
        </w:rPr>
        <w:t>61</w:t>
      </w:r>
      <w:r>
        <w:rPr>
          <w:snapToGrid w:val="0"/>
        </w:rPr>
        <w:t>.</w:t>
      </w:r>
      <w:r>
        <w:rPr>
          <w:snapToGrid w:val="0"/>
        </w:rPr>
        <w:tab/>
        <w:t>Time, computation of</w:t>
      </w:r>
      <w:bookmarkEnd w:id="187"/>
      <w:bookmarkEnd w:id="188"/>
      <w:r>
        <w:rPr>
          <w:snapToGrid w:val="0"/>
        </w:rPr>
        <w:t xml:space="preserve"> </w:t>
      </w:r>
    </w:p>
    <w:p>
      <w:pPr>
        <w:pStyle w:val="Subsection"/>
        <w:spacing w:before="120"/>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189" w:name="_Toc397949656"/>
      <w:bookmarkStart w:id="190" w:name="_Toc419714592"/>
      <w:r>
        <w:rPr>
          <w:rStyle w:val="CharSectno"/>
        </w:rPr>
        <w:t>62</w:t>
      </w:r>
      <w:r>
        <w:rPr>
          <w:snapToGrid w:val="0"/>
        </w:rPr>
        <w:t>.</w:t>
      </w:r>
      <w:r>
        <w:rPr>
          <w:snapToGrid w:val="0"/>
        </w:rPr>
        <w:tab/>
        <w:t>Months, reckoning of</w:t>
      </w:r>
      <w:bookmarkEnd w:id="189"/>
      <w:bookmarkEnd w:id="190"/>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191" w:name="_Toc397949657"/>
      <w:bookmarkStart w:id="192" w:name="_Toc419714593"/>
      <w:r>
        <w:rPr>
          <w:rStyle w:val="CharSectno"/>
        </w:rPr>
        <w:t>63</w:t>
      </w:r>
      <w:r>
        <w:rPr>
          <w:snapToGrid w:val="0"/>
        </w:rPr>
        <w:t>.</w:t>
      </w:r>
      <w:r>
        <w:rPr>
          <w:snapToGrid w:val="0"/>
        </w:rPr>
        <w:tab/>
        <w:t>Time for doing acts if no time fixed</w:t>
      </w:r>
      <w:bookmarkEnd w:id="191"/>
      <w:bookmarkEnd w:id="192"/>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193" w:name="_Toc397949658"/>
      <w:bookmarkStart w:id="194" w:name="_Toc419714594"/>
      <w:r>
        <w:rPr>
          <w:rStyle w:val="CharSectno"/>
        </w:rPr>
        <w:t>64</w:t>
      </w:r>
      <w:r>
        <w:rPr>
          <w:snapToGrid w:val="0"/>
        </w:rPr>
        <w:t>.</w:t>
      </w:r>
      <w:r>
        <w:rPr>
          <w:snapToGrid w:val="0"/>
        </w:rPr>
        <w:tab/>
        <w:t>Power to extend time, construction of</w:t>
      </w:r>
      <w:bookmarkEnd w:id="193"/>
      <w:bookmarkEnd w:id="194"/>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195" w:name="_Toc397949659"/>
      <w:bookmarkStart w:id="196" w:name="_Toc419714595"/>
      <w:r>
        <w:rPr>
          <w:rStyle w:val="CharSectno"/>
        </w:rPr>
        <w:t>65</w:t>
      </w:r>
      <w:r>
        <w:rPr>
          <w:snapToGrid w:val="0"/>
        </w:rPr>
        <w:t>.</w:t>
      </w:r>
      <w:r>
        <w:rPr>
          <w:snapToGrid w:val="0"/>
        </w:rPr>
        <w:tab/>
        <w:t>Distance, measurement of</w:t>
      </w:r>
      <w:bookmarkEnd w:id="195"/>
      <w:bookmarkEnd w:id="196"/>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197" w:name="_Toc378854576"/>
      <w:bookmarkStart w:id="198" w:name="_Toc392498044"/>
      <w:bookmarkStart w:id="199" w:name="_Toc397949660"/>
      <w:bookmarkStart w:id="200" w:name="_Toc419714163"/>
      <w:bookmarkStart w:id="201" w:name="_Toc419714499"/>
      <w:bookmarkStart w:id="202" w:name="_Toc419714596"/>
      <w:r>
        <w:rPr>
          <w:rStyle w:val="CharPartNo"/>
        </w:rPr>
        <w:t>Part IX</w:t>
      </w:r>
      <w:r>
        <w:rPr>
          <w:rStyle w:val="CharDivNo"/>
        </w:rPr>
        <w:t> </w:t>
      </w:r>
      <w:r>
        <w:t>—</w:t>
      </w:r>
      <w:r>
        <w:rPr>
          <w:rStyle w:val="CharDivText"/>
        </w:rPr>
        <w:t> </w:t>
      </w:r>
      <w:r>
        <w:rPr>
          <w:rStyle w:val="CharPartText"/>
        </w:rPr>
        <w:t>Procedures and penalties</w:t>
      </w:r>
      <w:bookmarkEnd w:id="197"/>
      <w:bookmarkEnd w:id="198"/>
      <w:bookmarkEnd w:id="199"/>
      <w:bookmarkEnd w:id="200"/>
      <w:bookmarkEnd w:id="201"/>
      <w:bookmarkEnd w:id="202"/>
      <w:r>
        <w:rPr>
          <w:rStyle w:val="CharPartText"/>
        </w:rPr>
        <w:t xml:space="preserve"> </w:t>
      </w:r>
    </w:p>
    <w:p>
      <w:pPr>
        <w:pStyle w:val="Heading5"/>
        <w:spacing w:before="240"/>
        <w:rPr>
          <w:snapToGrid w:val="0"/>
        </w:rPr>
      </w:pPr>
      <w:bookmarkStart w:id="203" w:name="_Toc397949661"/>
      <w:bookmarkStart w:id="204" w:name="_Toc419714597"/>
      <w:r>
        <w:rPr>
          <w:rStyle w:val="CharSectno"/>
        </w:rPr>
        <w:t>66</w:t>
      </w:r>
      <w:r>
        <w:rPr>
          <w:snapToGrid w:val="0"/>
        </w:rPr>
        <w:t>.</w:t>
      </w:r>
      <w:r>
        <w:rPr>
          <w:snapToGrid w:val="0"/>
        </w:rPr>
        <w:tab/>
        <w:t>Rules of court</w:t>
      </w:r>
      <w:bookmarkEnd w:id="203"/>
      <w:bookmarkEnd w:id="204"/>
      <w:r>
        <w:rPr>
          <w:snapToGrid w:val="0"/>
        </w:rPr>
        <w:t xml:space="preserve"> </w:t>
      </w:r>
    </w:p>
    <w:p>
      <w:pPr>
        <w:pStyle w:val="Subsection"/>
        <w:spacing w:before="120"/>
        <w:rPr>
          <w:snapToGrid w:val="0"/>
        </w:rPr>
      </w:pPr>
      <w:r>
        <w:rPr>
          <w:snapToGrid w:val="0"/>
        </w:rPr>
        <w:tab/>
        <w:t>(1)</w:t>
      </w:r>
      <w:r>
        <w:rPr>
          <w:snapToGrid w:val="0"/>
        </w:rPr>
        <w:tab/>
        <w:t xml:space="preserve">In a written law, </w:t>
      </w:r>
      <w:r>
        <w:rPr>
          <w:rStyle w:val="CharDefText"/>
        </w:rPr>
        <w:t>rules of court</w:t>
      </w:r>
      <w:r>
        <w:rPr>
          <w:snapToGrid w:val="0"/>
        </w:rPr>
        <w:t>, in relation to any court or tribunal, means rules made by the authority having for the time being power to make rules or orders regulating the practice and procedure of such court or tribunal.</w:t>
      </w:r>
    </w:p>
    <w:p>
      <w:pPr>
        <w:pStyle w:val="Subsection"/>
        <w:spacing w:before="12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12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205" w:name="_Toc397949662"/>
      <w:bookmarkStart w:id="206" w:name="_Toc419714598"/>
      <w:r>
        <w:rPr>
          <w:rStyle w:val="CharSectno"/>
        </w:rPr>
        <w:t>67</w:t>
      </w:r>
      <w:r>
        <w:rPr>
          <w:snapToGrid w:val="0"/>
        </w:rPr>
        <w:t>.</w:t>
      </w:r>
      <w:r>
        <w:rPr>
          <w:snapToGrid w:val="0"/>
        </w:rPr>
        <w:tab/>
        <w:t>Offences and proceedings for offences</w:t>
      </w:r>
      <w:bookmarkEnd w:id="205"/>
      <w:bookmarkEnd w:id="206"/>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8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Deleted by No. 78 of 1995 s. 56.] </w:t>
      </w:r>
    </w:p>
    <w:p>
      <w:pPr>
        <w:pStyle w:val="Heading5"/>
        <w:rPr>
          <w:snapToGrid w:val="0"/>
        </w:rPr>
      </w:pPr>
      <w:bookmarkStart w:id="207" w:name="_Toc397949663"/>
      <w:bookmarkStart w:id="208" w:name="_Toc419714599"/>
      <w:r>
        <w:rPr>
          <w:rStyle w:val="CharSectno"/>
        </w:rPr>
        <w:t>69</w:t>
      </w:r>
      <w:r>
        <w:rPr>
          <w:snapToGrid w:val="0"/>
        </w:rPr>
        <w:t>.</w:t>
      </w:r>
      <w:r>
        <w:rPr>
          <w:snapToGrid w:val="0"/>
        </w:rPr>
        <w:tab/>
        <w:t>Bodies corporate, application of penal laws to</w:t>
      </w:r>
      <w:bookmarkEnd w:id="207"/>
      <w:bookmarkEnd w:id="208"/>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Deleted by No. 78 of 1995 s. 56.] </w:t>
      </w:r>
    </w:p>
    <w:p>
      <w:pPr>
        <w:pStyle w:val="Heading5"/>
        <w:rPr>
          <w:snapToGrid w:val="0"/>
        </w:rPr>
      </w:pPr>
      <w:bookmarkStart w:id="209" w:name="_Toc397949664"/>
      <w:bookmarkStart w:id="210" w:name="_Toc419714600"/>
      <w:r>
        <w:rPr>
          <w:rStyle w:val="CharSectno"/>
        </w:rPr>
        <w:t>71</w:t>
      </w:r>
      <w:r>
        <w:rPr>
          <w:snapToGrid w:val="0"/>
        </w:rPr>
        <w:t>.</w:t>
      </w:r>
      <w:r>
        <w:rPr>
          <w:snapToGrid w:val="0"/>
        </w:rPr>
        <w:tab/>
        <w:t>Continuing offences</w:t>
      </w:r>
      <w:bookmarkEnd w:id="209"/>
      <w:bookmarkEnd w:id="21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 and</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211" w:name="_Toc397949665"/>
      <w:bookmarkStart w:id="212" w:name="_Toc419714601"/>
      <w:r>
        <w:rPr>
          <w:rStyle w:val="CharSectno"/>
        </w:rPr>
        <w:t>72</w:t>
      </w:r>
      <w:r>
        <w:rPr>
          <w:snapToGrid w:val="0"/>
        </w:rPr>
        <w:t>.</w:t>
      </w:r>
      <w:r>
        <w:rPr>
          <w:snapToGrid w:val="0"/>
        </w:rPr>
        <w:tab/>
        <w:t>Statutory penalties, construction of</w:t>
      </w:r>
      <w:bookmarkEnd w:id="211"/>
      <w:bookmarkEnd w:id="212"/>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 or</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213" w:name="_Toc378854582"/>
      <w:bookmarkStart w:id="214" w:name="_Toc392498050"/>
      <w:bookmarkStart w:id="215" w:name="_Toc397949666"/>
      <w:bookmarkStart w:id="216" w:name="_Toc419714169"/>
      <w:bookmarkStart w:id="217" w:name="_Toc419714505"/>
      <w:bookmarkStart w:id="218" w:name="_Toc419714602"/>
      <w:r>
        <w:rPr>
          <w:rStyle w:val="CharPartNo"/>
        </w:rPr>
        <w:t>Part X</w:t>
      </w:r>
      <w:r>
        <w:rPr>
          <w:rStyle w:val="CharDivNo"/>
        </w:rPr>
        <w:t> </w:t>
      </w:r>
      <w:r>
        <w:t>—</w:t>
      </w:r>
      <w:r>
        <w:rPr>
          <w:rStyle w:val="CharDivText"/>
        </w:rPr>
        <w:t> </w:t>
      </w:r>
      <w:r>
        <w:rPr>
          <w:rStyle w:val="CharPartText"/>
        </w:rPr>
        <w:t>Miscellaneous provisions</w:t>
      </w:r>
      <w:bookmarkEnd w:id="213"/>
      <w:bookmarkEnd w:id="214"/>
      <w:bookmarkEnd w:id="215"/>
      <w:bookmarkEnd w:id="216"/>
      <w:bookmarkEnd w:id="217"/>
      <w:bookmarkEnd w:id="218"/>
      <w:r>
        <w:rPr>
          <w:rStyle w:val="CharPartText"/>
        </w:rPr>
        <w:t xml:space="preserve"> </w:t>
      </w:r>
    </w:p>
    <w:p>
      <w:pPr>
        <w:pStyle w:val="Heading5"/>
        <w:rPr>
          <w:snapToGrid w:val="0"/>
        </w:rPr>
      </w:pPr>
      <w:bookmarkStart w:id="219" w:name="_Toc397949667"/>
      <w:bookmarkStart w:id="220" w:name="_Toc419714603"/>
      <w:r>
        <w:rPr>
          <w:rStyle w:val="CharSectno"/>
        </w:rPr>
        <w:t>73</w:t>
      </w:r>
      <w:r>
        <w:rPr>
          <w:snapToGrid w:val="0"/>
        </w:rPr>
        <w:t>.</w:t>
      </w:r>
      <w:r>
        <w:rPr>
          <w:snapToGrid w:val="0"/>
        </w:rPr>
        <w:tab/>
        <w:t>State deemed established 1 June 1829</w:t>
      </w:r>
      <w:bookmarkEnd w:id="219"/>
      <w:bookmarkEnd w:id="220"/>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221" w:name="_Toc397949668"/>
      <w:bookmarkStart w:id="222" w:name="_Toc419714604"/>
      <w:r>
        <w:rPr>
          <w:rStyle w:val="CharSectno"/>
        </w:rPr>
        <w:t>74</w:t>
      </w:r>
      <w:r>
        <w:rPr>
          <w:snapToGrid w:val="0"/>
        </w:rPr>
        <w:t>.</w:t>
      </w:r>
      <w:r>
        <w:rPr>
          <w:snapToGrid w:val="0"/>
        </w:rPr>
        <w:tab/>
        <w:t>Prescribed forms, certain deviations do not invalidate</w:t>
      </w:r>
      <w:bookmarkEnd w:id="221"/>
      <w:bookmarkEnd w:id="222"/>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223" w:name="_Toc397949669"/>
      <w:bookmarkStart w:id="224" w:name="_Toc419714605"/>
      <w:r>
        <w:rPr>
          <w:rStyle w:val="CharSectno"/>
        </w:rPr>
        <w:t>75</w:t>
      </w:r>
      <w:r>
        <w:rPr>
          <w:snapToGrid w:val="0"/>
        </w:rPr>
        <w:t>.</w:t>
      </w:r>
      <w:r>
        <w:rPr>
          <w:snapToGrid w:val="0"/>
        </w:rPr>
        <w:tab/>
        <w:t>Service of documents by post</w:t>
      </w:r>
      <w:bookmarkEnd w:id="223"/>
      <w:bookmarkEnd w:id="224"/>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225" w:name="_Toc397949670"/>
      <w:bookmarkStart w:id="226" w:name="_Toc419714606"/>
      <w:r>
        <w:rPr>
          <w:rStyle w:val="CharSectno"/>
        </w:rPr>
        <w:t>76</w:t>
      </w:r>
      <w:r>
        <w:rPr>
          <w:snapToGrid w:val="0"/>
        </w:rPr>
        <w:t>.</w:t>
      </w:r>
      <w:r>
        <w:rPr>
          <w:snapToGrid w:val="0"/>
        </w:rPr>
        <w:tab/>
        <w:t>Service of documents generally</w:t>
      </w:r>
      <w:bookmarkEnd w:id="225"/>
      <w:bookmarkEnd w:id="226"/>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227" w:name="_Toc397949671"/>
      <w:bookmarkStart w:id="228" w:name="_Toc419714607"/>
      <w:r>
        <w:rPr>
          <w:rStyle w:val="CharSectno"/>
        </w:rPr>
        <w:t>76A</w:t>
      </w:r>
      <w:r>
        <w:rPr>
          <w:snapToGrid w:val="0"/>
        </w:rPr>
        <w:t xml:space="preserve">. </w:t>
      </w:r>
      <w:r>
        <w:rPr>
          <w:snapToGrid w:val="0"/>
        </w:rPr>
        <w:tab/>
        <w:t>Written laws made before Australia Acts, validity of</w:t>
      </w:r>
      <w:bookmarkEnd w:id="227"/>
      <w:bookmarkEnd w:id="228"/>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229" w:name="_Toc397949672"/>
      <w:bookmarkStart w:id="230" w:name="_Toc419714608"/>
      <w:r>
        <w:rPr>
          <w:rStyle w:val="CharSectno"/>
        </w:rPr>
        <w:t>77</w:t>
      </w:r>
      <w:r>
        <w:rPr>
          <w:snapToGrid w:val="0"/>
        </w:rPr>
        <w:t>.</w:t>
      </w:r>
      <w:r>
        <w:rPr>
          <w:snapToGrid w:val="0"/>
        </w:rPr>
        <w:tab/>
        <w:t>Repeal and saving</w:t>
      </w:r>
      <w:bookmarkEnd w:id="229"/>
      <w:bookmarkEnd w:id="230"/>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 </w:t>
      </w:r>
      <w:r>
        <w:rPr>
          <w:snapToGrid w:val="0"/>
          <w:vertAlign w:val="superscript"/>
        </w:rPr>
        <w:t>2</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 </w:t>
      </w:r>
      <w:r>
        <w:rPr>
          <w:snapToGrid w:val="0"/>
          <w:vertAlign w:val="superscript"/>
        </w:rPr>
        <w:t>5</w:t>
      </w:r>
      <w:r>
        <w:rPr>
          <w:snapToGrid w:val="0"/>
        </w:rP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31" w:name="_Toc378854589"/>
      <w:bookmarkStart w:id="232" w:name="_Toc392498057"/>
      <w:bookmarkStart w:id="233" w:name="_Toc397949673"/>
      <w:bookmarkStart w:id="234" w:name="_Toc419714176"/>
      <w:bookmarkStart w:id="235" w:name="_Toc419714512"/>
      <w:bookmarkStart w:id="236" w:name="_Toc419714609"/>
      <w:r>
        <w:t>Notes</w:t>
      </w:r>
      <w:bookmarkEnd w:id="231"/>
      <w:bookmarkEnd w:id="232"/>
      <w:bookmarkEnd w:id="233"/>
      <w:bookmarkEnd w:id="234"/>
      <w:bookmarkEnd w:id="235"/>
      <w:bookmarkEnd w:id="236"/>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  The table also contains information about any reprint.</w:t>
      </w:r>
    </w:p>
    <w:p>
      <w:pPr>
        <w:pStyle w:val="nHeading3"/>
      </w:pPr>
      <w:bookmarkStart w:id="237" w:name="_Toc397949674"/>
      <w:bookmarkStart w:id="238" w:name="_Toc419714610"/>
      <w:r>
        <w:t>Compilation table</w:t>
      </w:r>
      <w:bookmarkEnd w:id="237"/>
      <w:bookmarkEnd w:id="23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pPr>
            <w:r>
              <w:rPr>
                <w:i/>
              </w:rPr>
              <w:t>Interpretation Act 1984</w:t>
            </w:r>
          </w:p>
        </w:tc>
        <w:tc>
          <w:tcPr>
            <w:tcW w:w="1134" w:type="dxa"/>
            <w:tcBorders>
              <w:top w:val="single" w:sz="8" w:space="0" w:color="auto"/>
            </w:tcBorders>
          </w:tcPr>
          <w:p>
            <w:pPr>
              <w:pStyle w:val="nTable"/>
              <w:spacing w:after="40"/>
            </w:pPr>
            <w:r>
              <w:t>12 of 1984</w:t>
            </w:r>
          </w:p>
        </w:tc>
        <w:tc>
          <w:tcPr>
            <w:tcW w:w="1134" w:type="dxa"/>
            <w:tcBorders>
              <w:top w:val="single" w:sz="8" w:space="0" w:color="auto"/>
            </w:tcBorders>
          </w:tcPr>
          <w:p>
            <w:pPr>
              <w:pStyle w:val="nTable"/>
              <w:spacing w:after="40"/>
            </w:pPr>
            <w:r>
              <w:t>31 May 1984</w:t>
            </w:r>
          </w:p>
        </w:tc>
        <w:tc>
          <w:tcPr>
            <w:tcW w:w="2552" w:type="dxa"/>
            <w:tcBorders>
              <w:top w:val="single" w:sz="8" w:space="0" w:color="auto"/>
            </w:tcBorders>
          </w:tcPr>
          <w:p>
            <w:pPr>
              <w:pStyle w:val="nTable"/>
              <w:spacing w:after="40"/>
            </w:pPr>
            <w:r>
              <w:t>1 Jul 1984 (see s. 2)</w:t>
            </w:r>
          </w:p>
        </w:tc>
      </w:tr>
      <w:tr>
        <w:trPr>
          <w:cantSplit/>
        </w:trPr>
        <w:tc>
          <w:tcPr>
            <w:tcW w:w="2269" w:type="dxa"/>
          </w:tcPr>
          <w:p>
            <w:pPr>
              <w:pStyle w:val="nTable"/>
              <w:spacing w:after="4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 </w:t>
            </w:r>
            <w:r>
              <w:rPr>
                <w:i/>
              </w:rPr>
              <w:t>Gazette</w:t>
            </w:r>
            <w:r>
              <w:t xml:space="preserve"> 30 Jun 1986 p. 2255)</w:t>
            </w:r>
          </w:p>
        </w:tc>
      </w:tr>
      <w:tr>
        <w:trPr>
          <w:cantSplit/>
        </w:trPr>
        <w:tc>
          <w:tcPr>
            <w:tcW w:w="2269" w:type="dxa"/>
          </w:tcPr>
          <w:p>
            <w:pPr>
              <w:pStyle w:val="nTable"/>
              <w:spacing w:after="4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pPr>
            <w:r>
              <w:rPr>
                <w:i/>
              </w:rPr>
              <w:t xml:space="preserve">Acts Amendment (Children’s Court) Act 1988 </w:t>
            </w:r>
            <w:r>
              <w:t>Pt. 3</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rPr>
          <w:cantSplit/>
        </w:trPr>
        <w:tc>
          <w:tcPr>
            <w:tcW w:w="2269" w:type="dxa"/>
          </w:tcPr>
          <w:p>
            <w:pPr>
              <w:pStyle w:val="nTable"/>
              <w:spacing w:after="40"/>
            </w:pPr>
            <w:r>
              <w:rPr>
                <w:i/>
              </w:rPr>
              <w:t xml:space="preserve">Corporations (Western Australia) Act 1990 </w:t>
            </w:r>
            <w:r>
              <w:t>s. 97</w:t>
            </w:r>
          </w:p>
        </w:tc>
        <w:tc>
          <w:tcPr>
            <w:tcW w:w="1134" w:type="dxa"/>
          </w:tcPr>
          <w:p>
            <w:pPr>
              <w:pStyle w:val="nTable"/>
              <w:spacing w:after="40"/>
            </w:pPr>
            <w:r>
              <w:t>105 of 1990</w:t>
            </w:r>
          </w:p>
        </w:tc>
        <w:tc>
          <w:tcPr>
            <w:tcW w:w="1134" w:type="dxa"/>
          </w:tcPr>
          <w:p>
            <w:pPr>
              <w:pStyle w:val="nTable"/>
              <w:spacing w:after="40"/>
            </w:pPr>
            <w:r>
              <w:t>2 Jan 1991</w:t>
            </w:r>
          </w:p>
        </w:tc>
        <w:tc>
          <w:tcPr>
            <w:tcW w:w="2552" w:type="dxa"/>
          </w:tcPr>
          <w:p>
            <w:pPr>
              <w:pStyle w:val="nTable"/>
              <w:spacing w:after="40"/>
            </w:pPr>
            <w:r>
              <w:t>1 Jan 1991 (see s. 2)</w:t>
            </w:r>
          </w:p>
        </w:tc>
      </w:tr>
      <w:tr>
        <w:trPr>
          <w:cantSplit/>
        </w:trPr>
        <w:tc>
          <w:tcPr>
            <w:tcW w:w="2269"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rPr>
          <w:cantSplit/>
        </w:trPr>
        <w:tc>
          <w:tcPr>
            <w:tcW w:w="2269" w:type="dxa"/>
          </w:tcPr>
          <w:p>
            <w:pPr>
              <w:pStyle w:val="nTable"/>
              <w:spacing w:after="40"/>
            </w:pPr>
            <w:r>
              <w:rPr>
                <w:i/>
              </w:rPr>
              <w:t xml:space="preserve">Financial Institutions (Western Australia) Act 1992 </w:t>
            </w:r>
            <w:r>
              <w:t>s. 21</w:t>
            </w:r>
          </w:p>
        </w:tc>
        <w:tc>
          <w:tcPr>
            <w:tcW w:w="1134" w:type="dxa"/>
          </w:tcPr>
          <w:p>
            <w:pPr>
              <w:pStyle w:val="nTable"/>
              <w:spacing w:after="40"/>
            </w:pPr>
            <w:r>
              <w:t>30 of 1992</w:t>
            </w:r>
          </w:p>
        </w:tc>
        <w:tc>
          <w:tcPr>
            <w:tcW w:w="1134" w:type="dxa"/>
          </w:tcPr>
          <w:p>
            <w:pPr>
              <w:pStyle w:val="nTable"/>
              <w:spacing w:after="40"/>
            </w:pPr>
            <w:r>
              <w:t>19 Jun 1992</w:t>
            </w:r>
          </w:p>
        </w:tc>
        <w:tc>
          <w:tcPr>
            <w:tcW w:w="2552" w:type="dxa"/>
          </w:tcPr>
          <w:p>
            <w:pPr>
              <w:pStyle w:val="nTable"/>
              <w:spacing w:after="40"/>
            </w:pPr>
            <w:r>
              <w:t xml:space="preserve">1 Jul 1992 (see s. 2 and </w:t>
            </w:r>
            <w:r>
              <w:rPr>
                <w:i/>
              </w:rPr>
              <w:t>Gazette</w:t>
            </w:r>
            <w:r>
              <w:t xml:space="preserve"> 26 Jun 1992 p. 2643)</w:t>
            </w:r>
          </w:p>
        </w:tc>
      </w:tr>
      <w:tr>
        <w:trPr>
          <w:cantSplit/>
        </w:trPr>
        <w:tc>
          <w:tcPr>
            <w:tcW w:w="7089" w:type="dxa"/>
            <w:gridSpan w:val="4"/>
          </w:tcPr>
          <w:p>
            <w:pPr>
              <w:pStyle w:val="nTable"/>
              <w:spacing w:after="40"/>
            </w:pPr>
            <w:r>
              <w:rPr>
                <w:b/>
              </w:rPr>
              <w:t xml:space="preserve">Reprint of the </w:t>
            </w:r>
            <w:r>
              <w:rPr>
                <w:b/>
                <w:i/>
              </w:rPr>
              <w:t>Interpretation Act 1984</w:t>
            </w:r>
            <w:r>
              <w:rPr>
                <w:b/>
              </w:rPr>
              <w:t xml:space="preserve"> as at 4 Nov 1992</w:t>
            </w:r>
            <w:r>
              <w:t xml:space="preserve"> (includes amendments listed above)</w:t>
            </w:r>
          </w:p>
        </w:tc>
      </w:tr>
      <w:tr>
        <w:trPr>
          <w:cantSplit/>
        </w:trPr>
        <w:tc>
          <w:tcPr>
            <w:tcW w:w="2269" w:type="dxa"/>
          </w:tcPr>
          <w:p>
            <w:pPr>
              <w:pStyle w:val="nTable"/>
              <w:spacing w:after="40"/>
            </w:pPr>
            <w:r>
              <w:rPr>
                <w:i/>
              </w:rPr>
              <w:t xml:space="preserve">Financial Administration Legislation Amendment Act 1993 </w:t>
            </w:r>
            <w:r>
              <w:t>s. 11</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2" w:type="dxa"/>
          </w:tcPr>
          <w:p>
            <w:pPr>
              <w:pStyle w:val="nTable"/>
              <w:spacing w:after="40"/>
            </w:pPr>
            <w:r>
              <w:t>1 Jul 1993 (see s. 2(1))</w:t>
            </w:r>
          </w:p>
        </w:tc>
      </w:tr>
      <w:tr>
        <w:trPr>
          <w:cantSplit/>
        </w:trPr>
        <w:tc>
          <w:tcPr>
            <w:tcW w:w="2269" w:type="dxa"/>
          </w:tcPr>
          <w:p>
            <w:pPr>
              <w:pStyle w:val="nTable"/>
              <w:spacing w:after="40"/>
            </w:pPr>
            <w:r>
              <w:rPr>
                <w:i/>
              </w:rPr>
              <w:t xml:space="preserve">Acts Amendment (Public Sector Management) Act 1994 </w:t>
            </w:r>
            <w:r>
              <w:t>s. 15</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9" w:type="dxa"/>
          </w:tcPr>
          <w:p>
            <w:pPr>
              <w:pStyle w:val="nTable"/>
              <w:spacing w:after="40"/>
            </w:pPr>
            <w:r>
              <w:rPr>
                <w:i/>
              </w:rPr>
              <w:t>Interpretation Amendment (Australia Acts) Act 1994</w:t>
            </w:r>
          </w:p>
        </w:tc>
        <w:tc>
          <w:tcPr>
            <w:tcW w:w="1134" w:type="dxa"/>
          </w:tcPr>
          <w:p>
            <w:pPr>
              <w:pStyle w:val="nTable"/>
              <w:spacing w:after="40"/>
            </w:pPr>
            <w:r>
              <w:t>85 of 1994</w:t>
            </w:r>
          </w:p>
        </w:tc>
        <w:tc>
          <w:tcPr>
            <w:tcW w:w="1134" w:type="dxa"/>
          </w:tcPr>
          <w:p>
            <w:pPr>
              <w:pStyle w:val="nTable"/>
              <w:spacing w:after="40"/>
            </w:pPr>
            <w:r>
              <w:t>20 Dec 1994</w:t>
            </w:r>
          </w:p>
        </w:tc>
        <w:tc>
          <w:tcPr>
            <w:tcW w:w="2552" w:type="dxa"/>
          </w:tcPr>
          <w:p>
            <w:pPr>
              <w:pStyle w:val="nTable"/>
              <w:spacing w:after="40"/>
            </w:pPr>
            <w:r>
              <w:t xml:space="preserve">3 Mar 1986 (see s. 2 and </w:t>
            </w:r>
            <w:r>
              <w:rPr>
                <w:i/>
              </w:rPr>
              <w:t>Gazette</w:t>
            </w:r>
            <w:r>
              <w:t xml:space="preserve"> 28 Feb 1986 p. 683)</w:t>
            </w:r>
          </w:p>
        </w:tc>
      </w:tr>
      <w:tr>
        <w:trPr>
          <w:cantSplit/>
        </w:trPr>
        <w:tc>
          <w:tcPr>
            <w:tcW w:w="2269" w:type="dxa"/>
          </w:tcPr>
          <w:p>
            <w:pPr>
              <w:pStyle w:val="nTable"/>
              <w:spacing w:after="40"/>
            </w:pPr>
            <w:r>
              <w:rPr>
                <w:i/>
              </w:rPr>
              <w:t xml:space="preserve">Acts Amendment (Fines, Penalties and Infringement Notices) Act 1994 </w:t>
            </w:r>
            <w:r>
              <w:t>s. 15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rPr>
          <w:cantSplit/>
        </w:trPr>
        <w:tc>
          <w:tcPr>
            <w:tcW w:w="2269" w:type="dxa"/>
          </w:tcPr>
          <w:p>
            <w:pPr>
              <w:pStyle w:val="nTable"/>
              <w:spacing w:after="40"/>
            </w:pPr>
            <w:r>
              <w:rPr>
                <w:i/>
              </w:rPr>
              <w:t xml:space="preserve">Sentencing (Consequential Provisions) Act 1995 </w:t>
            </w:r>
            <w:r>
              <w:t>Pt. 41</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7089" w:type="dxa"/>
            <w:gridSpan w:val="4"/>
          </w:tcPr>
          <w:p>
            <w:pPr>
              <w:pStyle w:val="nTable"/>
              <w:spacing w:after="40"/>
            </w:pPr>
            <w:r>
              <w:rPr>
                <w:b/>
              </w:rPr>
              <w:t xml:space="preserve">Reprint of the </w:t>
            </w:r>
            <w:r>
              <w:rPr>
                <w:b/>
                <w:i/>
              </w:rPr>
              <w:t>Interpretation Act 1984</w:t>
            </w:r>
            <w:r>
              <w:rPr>
                <w:b/>
              </w:rPr>
              <w:t xml:space="preserve"> as at 15 Mar 1996</w:t>
            </w:r>
            <w:r>
              <w:t xml:space="preserve"> (includes amendments listed above except those in the </w:t>
            </w:r>
            <w:r>
              <w:rPr>
                <w:i/>
              </w:rPr>
              <w:t>Sentencing (Consequential Provisions) Act 1995</w:t>
            </w:r>
            <w:r>
              <w:t>)</w:t>
            </w:r>
          </w:p>
        </w:tc>
      </w:tr>
      <w:tr>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9" w:type="dxa"/>
          </w:tcPr>
          <w:p>
            <w:pPr>
              <w:pStyle w:val="nTable"/>
              <w:spacing w:after="40"/>
            </w:pPr>
            <w:r>
              <w:rPr>
                <w:i/>
              </w:rPr>
              <w:t xml:space="preserve">Acts Amendment (Auxiliary Judges) Act 1997 </w:t>
            </w:r>
            <w:r>
              <w:t>Pt. 3</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rPr>
          <w:cantSplit/>
        </w:trPr>
        <w:tc>
          <w:tcPr>
            <w:tcW w:w="2269" w:type="dxa"/>
          </w:tcPr>
          <w:p>
            <w:pPr>
              <w:pStyle w:val="nTable"/>
              <w:spacing w:after="40"/>
            </w:pPr>
            <w:r>
              <w:rPr>
                <w:i/>
              </w:rPr>
              <w:t>Acts Amendment and Repeal (Family Court) Act 1997</w:t>
            </w:r>
            <w:r>
              <w:t xml:space="preserve"> s. 33</w:t>
            </w:r>
          </w:p>
        </w:tc>
        <w:tc>
          <w:tcPr>
            <w:tcW w:w="1134" w:type="dxa"/>
          </w:tcPr>
          <w:p>
            <w:pPr>
              <w:pStyle w:val="nTable"/>
              <w:spacing w:after="40"/>
            </w:pPr>
            <w:r>
              <w:t>41 of 1997</w:t>
            </w:r>
          </w:p>
        </w:tc>
        <w:tc>
          <w:tcPr>
            <w:tcW w:w="1134" w:type="dxa"/>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rPr>
          <w:cantSplit/>
        </w:trPr>
        <w:tc>
          <w:tcPr>
            <w:tcW w:w="2269" w:type="dxa"/>
          </w:tcPr>
          <w:p>
            <w:pPr>
              <w:pStyle w:val="nTable"/>
              <w:spacing w:after="40"/>
            </w:pPr>
            <w:r>
              <w:rPr>
                <w:i/>
              </w:rPr>
              <w:t xml:space="preserve">Sunday Observance Laws Amendment and Repeal Act 1997 </w:t>
            </w:r>
            <w:r>
              <w:t xml:space="preserve">s. 4 </w:t>
            </w:r>
            <w:r>
              <w:rPr>
                <w:vertAlign w:val="superscript"/>
              </w:rPr>
              <w:t>6</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rPr>
          <w:cantSplit/>
        </w:trPr>
        <w:tc>
          <w:tcPr>
            <w:tcW w:w="2269" w:type="dxa"/>
          </w:tcPr>
          <w:p>
            <w:pPr>
              <w:pStyle w:val="nTable"/>
              <w:spacing w:after="40"/>
              <w:rPr>
                <w:i/>
              </w:rPr>
            </w:pPr>
            <w:r>
              <w:rPr>
                <w:i/>
              </w:rPr>
              <w:t>Interpretation Amendment Act 1997</w:t>
            </w:r>
          </w:p>
        </w:tc>
        <w:tc>
          <w:tcPr>
            <w:tcW w:w="1134" w:type="dxa"/>
          </w:tcPr>
          <w:p>
            <w:pPr>
              <w:pStyle w:val="nTable"/>
              <w:spacing w:after="40"/>
            </w:pPr>
            <w:r>
              <w:t>54 of 1997</w:t>
            </w:r>
          </w:p>
        </w:tc>
        <w:tc>
          <w:tcPr>
            <w:tcW w:w="1134" w:type="dxa"/>
          </w:tcPr>
          <w:p>
            <w:pPr>
              <w:pStyle w:val="nTable"/>
              <w:spacing w:after="40"/>
            </w:pPr>
            <w:r>
              <w:t>12 Dec 1997</w:t>
            </w:r>
          </w:p>
        </w:tc>
        <w:tc>
          <w:tcPr>
            <w:tcW w:w="2552" w:type="dxa"/>
          </w:tcPr>
          <w:p>
            <w:pPr>
              <w:pStyle w:val="nTable"/>
              <w:spacing w:after="40"/>
            </w:pPr>
            <w:r>
              <w:t>12 Dec 1997 (see s. 2)</w:t>
            </w:r>
          </w:p>
        </w:tc>
      </w:tr>
      <w:tr>
        <w:trPr>
          <w:cantSplit/>
        </w:trPr>
        <w:tc>
          <w:tcPr>
            <w:tcW w:w="2269" w:type="dxa"/>
          </w:tcPr>
          <w:p>
            <w:pPr>
              <w:pStyle w:val="nTable"/>
              <w:spacing w:after="40"/>
            </w:pPr>
            <w:r>
              <w:rPr>
                <w:i/>
              </w:rPr>
              <w:t xml:space="preserve">Statutes (Repeals and Minor Amendments) Act (No. 2) 1998 </w:t>
            </w:r>
            <w:r>
              <w:t>s. 40</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7089" w:type="dxa"/>
            <w:gridSpan w:val="4"/>
          </w:tcPr>
          <w:p>
            <w:pPr>
              <w:pStyle w:val="nTable"/>
              <w:spacing w:after="40"/>
            </w:pPr>
            <w:r>
              <w:rPr>
                <w:b/>
              </w:rPr>
              <w:t xml:space="preserve">Reprint of the </w:t>
            </w:r>
            <w:r>
              <w:rPr>
                <w:b/>
                <w:i/>
              </w:rPr>
              <w:t>Interpretation Act 1984</w:t>
            </w:r>
            <w:r>
              <w:rPr>
                <w:b/>
              </w:rPr>
              <w:t xml:space="preserve"> as at 1 Jan 1999</w:t>
            </w:r>
            <w:r>
              <w:t xml:space="preserve"> (includes amendments listed above)</w:t>
            </w:r>
          </w:p>
        </w:tc>
      </w:tr>
      <w:tr>
        <w:trPr>
          <w:cantSplit/>
        </w:trPr>
        <w:tc>
          <w:tcPr>
            <w:tcW w:w="2269" w:type="dxa"/>
          </w:tcPr>
          <w:p>
            <w:pPr>
              <w:pStyle w:val="nTable"/>
              <w:spacing w:after="40"/>
            </w:pPr>
            <w:r>
              <w:rPr>
                <w:i/>
              </w:rPr>
              <w:t xml:space="preserve">Acts Amendment and Repeal (Financial Sector Reform) Act 1999 </w:t>
            </w:r>
            <w:r>
              <w:t>s. 89</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rPr>
          <w:cantSplit/>
        </w:trPr>
        <w:tc>
          <w:tcPr>
            <w:tcW w:w="2269" w:type="dxa"/>
          </w:tcPr>
          <w:p>
            <w:pPr>
              <w:pStyle w:val="nTable"/>
              <w:spacing w:after="40"/>
              <w:rPr>
                <w:i/>
              </w:rPr>
            </w:pPr>
            <w:r>
              <w:rPr>
                <w:i/>
              </w:rPr>
              <w:t xml:space="preserve">Statutes (Repeals and Minor Amendments) Act 2000 </w:t>
            </w:r>
            <w:r>
              <w:t>s. 19</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9" w:type="dxa"/>
          </w:tcPr>
          <w:p>
            <w:pPr>
              <w:pStyle w:val="nTable"/>
              <w:spacing w:after="40"/>
              <w:rPr>
                <w:i/>
              </w:rPr>
            </w:pPr>
            <w:r>
              <w:rPr>
                <w:i/>
              </w:rPr>
              <w:t xml:space="preserve">Acts Amendment (Lesbian and Gay Law Reform) Act 2002 </w:t>
            </w:r>
            <w:r>
              <w:t>Pt. 14</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rPr>
          <w:cantSplit/>
        </w:trPr>
        <w:tc>
          <w:tcPr>
            <w:tcW w:w="2269" w:type="dxa"/>
          </w:tcPr>
          <w:p>
            <w:pPr>
              <w:pStyle w:val="nTable"/>
              <w:spacing w:after="40"/>
              <w:rPr>
                <w:i/>
              </w:rPr>
            </w:pPr>
            <w:r>
              <w:rPr>
                <w:i/>
              </w:rPr>
              <w:t xml:space="preserve">Taxation Administration (Consequential Provisions) Act 2002 </w:t>
            </w:r>
            <w:r>
              <w:t>s. 16</w:t>
            </w:r>
          </w:p>
        </w:tc>
        <w:tc>
          <w:tcPr>
            <w:tcW w:w="1134"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rPr>
          <w:cantSplit/>
        </w:trPr>
        <w:tc>
          <w:tcPr>
            <w:tcW w:w="2269" w:type="dxa"/>
          </w:tcPr>
          <w:p>
            <w:pPr>
              <w:pStyle w:val="nTable"/>
              <w:spacing w:after="40"/>
            </w:pPr>
            <w:r>
              <w:rPr>
                <w:i/>
              </w:rPr>
              <w:t>Statutes (Repeals and Minor Amendments) Act 2003</w:t>
            </w:r>
            <w:r>
              <w:t xml:space="preserve"> s. 69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9" w:type="dxa"/>
            <w:gridSpan w:val="4"/>
          </w:tcPr>
          <w:p>
            <w:pPr>
              <w:pStyle w:val="nTable"/>
              <w:spacing w:after="40"/>
            </w:pPr>
            <w:r>
              <w:rPr>
                <w:b/>
              </w:rPr>
              <w:t xml:space="preserve">Reprint 4: The </w:t>
            </w:r>
            <w:r>
              <w:rPr>
                <w:b/>
                <w:i/>
              </w:rPr>
              <w:t xml:space="preserve">Interpretation Act 1984 </w:t>
            </w:r>
            <w:r>
              <w:rPr>
                <w:b/>
              </w:rPr>
              <w:t>as at 6 Feb 2004</w:t>
            </w:r>
            <w:r>
              <w:t xml:space="preserve"> (includes amendments listed above)</w:t>
            </w:r>
          </w:p>
        </w:tc>
      </w:tr>
      <w:tr>
        <w:tc>
          <w:tcPr>
            <w:tcW w:w="2269" w:type="dxa"/>
          </w:tcPr>
          <w:p>
            <w:pPr>
              <w:pStyle w:val="nTable"/>
              <w:spacing w:after="40"/>
              <w:rPr>
                <w:vertAlign w:val="superscript"/>
              </w:rPr>
            </w:pPr>
            <w:r>
              <w:rPr>
                <w:i/>
              </w:rPr>
              <w:t>Criminal Code Amendment Act 2004</w:t>
            </w:r>
            <w: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c>
          <w:tcPr>
            <w:tcW w:w="2269" w:type="dxa"/>
          </w:tcPr>
          <w:p>
            <w:pPr>
              <w:pStyle w:val="nTable"/>
              <w:spacing w:after="40"/>
              <w:rPr>
                <w:i/>
              </w:rPr>
            </w:pPr>
            <w:r>
              <w:rPr>
                <w:i/>
                <w:snapToGrid w:val="0"/>
              </w:rPr>
              <w:t>Acts Amendment (Court of Appeal) Act 2004</w:t>
            </w:r>
            <w:r>
              <w:rPr>
                <w:snapToGrid w:val="0"/>
              </w:rPr>
              <w:t xml:space="preserve"> s. 33</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c>
          <w:tcPr>
            <w:tcW w:w="2269" w:type="dxa"/>
          </w:tcPr>
          <w:p>
            <w:pPr>
              <w:pStyle w:val="nTable"/>
              <w:spacing w:after="40"/>
            </w:pPr>
            <w:r>
              <w:rPr>
                <w:i/>
              </w:rPr>
              <w:t>State Administrative Tribunal Act 2004</w:t>
            </w:r>
            <w:r>
              <w:t xml:space="preserve"> s. 175</w:t>
            </w:r>
          </w:p>
        </w:tc>
        <w:tc>
          <w:tcPr>
            <w:tcW w:w="1134" w:type="dxa"/>
          </w:tcPr>
          <w:p>
            <w:pPr>
              <w:pStyle w:val="nTable"/>
              <w:spacing w:after="40"/>
            </w:pPr>
            <w:r>
              <w:t>54 of 2004</w:t>
            </w:r>
          </w:p>
        </w:tc>
        <w:tc>
          <w:tcPr>
            <w:tcW w:w="1134" w:type="dxa"/>
          </w:tcPr>
          <w:p>
            <w:pPr>
              <w:pStyle w:val="nTable"/>
              <w:spacing w:after="40"/>
            </w:pPr>
            <w:r>
              <w:t>23 Nov 2004</w:t>
            </w:r>
          </w:p>
        </w:tc>
        <w:tc>
          <w:tcPr>
            <w:tcW w:w="2552" w:type="dxa"/>
          </w:tcPr>
          <w:p>
            <w:pPr>
              <w:pStyle w:val="nTable"/>
              <w:spacing w:after="40"/>
            </w:pPr>
            <w:r>
              <w:t xml:space="preserve">1 Jan 2005 (see s. 2 and </w:t>
            </w:r>
            <w:r>
              <w:rPr>
                <w:i/>
              </w:rPr>
              <w:t>Gazette</w:t>
            </w:r>
            <w:r>
              <w:t xml:space="preserve"> 31 Dec 2004 p. 7129)</w:t>
            </w:r>
          </w:p>
        </w:tc>
      </w:tr>
      <w:t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c>
          <w:tcPr>
            <w:tcW w:w="2269" w:type="dxa"/>
          </w:tcPr>
          <w:p>
            <w:pPr>
              <w:pStyle w:val="nTable"/>
              <w:spacing w:after="40"/>
              <w:rPr>
                <w:i/>
                <w:snapToGrid w:val="0"/>
              </w:rPr>
            </w:pPr>
            <w:r>
              <w:rPr>
                <w:i/>
                <w:snapToGrid w:val="0"/>
              </w:rPr>
              <w:t>Criminal Law Amendment (Simple Offences) Act 2004</w:t>
            </w:r>
            <w:r>
              <w:rPr>
                <w:snapToGrid w:val="0"/>
              </w:rPr>
              <w:t xml:space="preserve"> s. 36(12)</w:t>
            </w:r>
          </w:p>
        </w:tc>
        <w:tc>
          <w:tcPr>
            <w:tcW w:w="1134" w:type="dxa"/>
          </w:tcPr>
          <w:p>
            <w:pPr>
              <w:pStyle w:val="nTable"/>
              <w:spacing w:after="40"/>
              <w:rPr>
                <w:snapToGrid w:val="0"/>
              </w:rPr>
            </w:pPr>
            <w:r>
              <w:rPr>
                <w:snapToGrid w:val="0"/>
              </w:rPr>
              <w:t>70 of 2004</w:t>
            </w:r>
          </w:p>
        </w:tc>
        <w:tc>
          <w:tcPr>
            <w:tcW w:w="1134" w:type="dxa"/>
          </w:tcPr>
          <w:p>
            <w:pPr>
              <w:pStyle w:val="nTable"/>
              <w:spacing w:after="40"/>
              <w:rPr>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5: The </w:t>
            </w:r>
            <w:r>
              <w:rPr>
                <w:b/>
                <w:i/>
              </w:rPr>
              <w:t xml:space="preserve">Interpretation Act 1984 </w:t>
            </w:r>
            <w:r>
              <w:rPr>
                <w:b/>
              </w:rPr>
              <w:t>as at 12 Aug 2005</w:t>
            </w:r>
            <w:r>
              <w:t xml:space="preserve"> (includes amendments listed above)</w:t>
            </w:r>
          </w:p>
        </w:tc>
      </w:tr>
      <w:tr>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13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rPr>
          <w:cantSplit/>
        </w:trPr>
        <w:tc>
          <w:tcPr>
            <w:tcW w:w="2269"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ind w:right="113"/>
              <w:rPr>
                <w:i/>
                <w:snapToGrid w:val="0"/>
              </w:rPr>
            </w:pPr>
            <w:r>
              <w:rPr>
                <w:i/>
                <w:snapToGrid w:val="0"/>
              </w:rPr>
              <w:t>Land Information Authority Act 2006</w:t>
            </w:r>
            <w:r>
              <w:rPr>
                <w:iCs/>
                <w:snapToGrid w:val="0"/>
              </w:rPr>
              <w:t xml:space="preserve"> s. 183</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rPr>
          <w:cantSplit/>
        </w:trPr>
        <w:tc>
          <w:tcPr>
            <w:tcW w:w="2269" w:type="dxa"/>
          </w:tcPr>
          <w:p>
            <w:pPr>
              <w:pStyle w:val="nTable"/>
              <w:spacing w:after="40"/>
              <w:ind w:right="113"/>
              <w:rPr>
                <w:i/>
                <w:snapToGrid w:val="0"/>
              </w:rPr>
            </w:pPr>
            <w:r>
              <w:rPr>
                <w:i/>
                <w:snapToGrid w:val="0"/>
              </w:rPr>
              <w:t>Financial Legislation Amendment and Repeal Act 2006</w:t>
            </w:r>
            <w:r>
              <w:rPr>
                <w:iCs/>
                <w:snapToGrid w:val="0"/>
              </w:rPr>
              <w:t xml:space="preserve"> </w:t>
            </w:r>
            <w:r>
              <w:t>Sch. 1 cl. 92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pPr>
            <w:r>
              <w:rPr>
                <w:snapToGrid w:val="0"/>
              </w:rPr>
              <w:t>1 Feb 2007 (see s. 2</w:t>
            </w:r>
            <w:r>
              <w:t xml:space="preserve">(1) </w:t>
            </w:r>
            <w:r>
              <w:rPr>
                <w:snapToGrid w:val="0"/>
              </w:rPr>
              <w:t xml:space="preserve">and </w:t>
            </w:r>
            <w:r>
              <w:rPr>
                <w:i/>
                <w:iCs/>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 xml:space="preserve">Interpretation Act 1984 </w:t>
            </w:r>
            <w:r>
              <w:rPr>
                <w:b/>
              </w:rPr>
              <w:t>as at 25 May 2007</w:t>
            </w:r>
            <w:r>
              <w:t xml:space="preserve"> (includes amendments listed above except the amendments in the </w:t>
            </w:r>
            <w:r>
              <w:rPr>
                <w:i/>
                <w:snapToGrid w:val="0"/>
              </w:rPr>
              <w:t>Criminal Investigation (Consequential Provisions) Act 2006</w:t>
            </w:r>
            <w:r>
              <w:t>)</w:t>
            </w:r>
          </w:p>
        </w:tc>
      </w:tr>
      <w:tr>
        <w:trPr>
          <w:cantSplit/>
        </w:trPr>
        <w:tc>
          <w:tcPr>
            <w:tcW w:w="2269" w:type="dxa"/>
          </w:tcPr>
          <w:p>
            <w:pPr>
              <w:pStyle w:val="nTable"/>
              <w:spacing w:after="40"/>
              <w:rPr>
                <w:iCs/>
                <w:vertAlign w:val="superscript"/>
              </w:rPr>
            </w:pPr>
            <w:r>
              <w:rPr>
                <w:i/>
                <w:snapToGrid w:val="0"/>
              </w:rPr>
              <w:t>Criminal Law Amendment (Homicide) Act 2008</w:t>
            </w:r>
            <w:r>
              <w:rPr>
                <w:iCs/>
                <w:snapToGrid w:val="0"/>
              </w:rPr>
              <w:t xml:space="preserve"> s. 35</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9" w:type="dxa"/>
          </w:tcPr>
          <w:p>
            <w:pPr>
              <w:pStyle w:val="nTable"/>
              <w:spacing w:after="40"/>
              <w:rPr>
                <w:i/>
                <w:snapToGrid w:val="0"/>
              </w:rPr>
            </w:pPr>
            <w:r>
              <w:rPr>
                <w:i/>
                <w:snapToGrid w:val="0"/>
              </w:rPr>
              <w:t xml:space="preserve">Surrogacy Act 2008 </w:t>
            </w:r>
            <w:r>
              <w:rPr>
                <w:snapToGrid w:val="0"/>
              </w:rPr>
              <w:t>Pt. 4 Div. 6</w:t>
            </w:r>
          </w:p>
        </w:tc>
        <w:tc>
          <w:tcPr>
            <w:tcW w:w="1134" w:type="dxa"/>
          </w:tcPr>
          <w:p>
            <w:pPr>
              <w:pStyle w:val="nTable"/>
              <w:spacing w:after="40"/>
            </w:pPr>
            <w:r>
              <w:t>47 of 2008</w:t>
            </w:r>
          </w:p>
        </w:tc>
        <w:tc>
          <w:tcPr>
            <w:tcW w:w="1134" w:type="dxa"/>
          </w:tcPr>
          <w:p>
            <w:pPr>
              <w:pStyle w:val="nTable"/>
              <w:spacing w:after="40"/>
            </w:pPr>
            <w:r>
              <w:t>10 Dec 2008</w:t>
            </w:r>
          </w:p>
        </w:tc>
        <w:tc>
          <w:tcPr>
            <w:tcW w:w="2552" w:type="dxa"/>
          </w:tcPr>
          <w:p>
            <w:pPr>
              <w:pStyle w:val="nTable"/>
              <w:spacing w:after="40"/>
              <w:rPr>
                <w:snapToGrid w:val="0"/>
              </w:rPr>
            </w:pPr>
            <w:r>
              <w:t xml:space="preserve">1 Mar 2009 (see s. 2(b) and </w:t>
            </w:r>
            <w:r>
              <w:rPr>
                <w:i/>
                <w:iCs/>
              </w:rPr>
              <w:t xml:space="preserve">Gazette </w:t>
            </w:r>
            <w:r>
              <w:t>27 Feb 2009 p. 512)</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Pt. 2</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Cs/>
                <w:snapToGrid w:val="0"/>
              </w:rPr>
            </w:pPr>
            <w:r>
              <w:rPr>
                <w:i/>
                <w:snapToGrid w:val="0"/>
              </w:rPr>
              <w:t>Interpretation and Reprints Amendment Act 2010</w:t>
            </w:r>
            <w:r>
              <w:rPr>
                <w:iCs/>
                <w:snapToGrid w:val="0"/>
              </w:rPr>
              <w:t xml:space="preserve"> Pt. 2</w:t>
            </w:r>
          </w:p>
        </w:tc>
        <w:tc>
          <w:tcPr>
            <w:tcW w:w="1134" w:type="dxa"/>
          </w:tcPr>
          <w:p>
            <w:pPr>
              <w:pStyle w:val="nTable"/>
              <w:spacing w:after="40"/>
            </w:pPr>
            <w:r>
              <w:t>31 of 2010</w:t>
            </w:r>
          </w:p>
        </w:tc>
        <w:tc>
          <w:tcPr>
            <w:tcW w:w="1134" w:type="dxa"/>
          </w:tcPr>
          <w:p>
            <w:pPr>
              <w:pStyle w:val="nTable"/>
              <w:spacing w:after="40"/>
            </w:pPr>
            <w:r>
              <w:t>25 Aug 2010</w:t>
            </w:r>
          </w:p>
        </w:tc>
        <w:tc>
          <w:tcPr>
            <w:tcW w:w="2552" w:type="dxa"/>
          </w:tcPr>
          <w:p>
            <w:pPr>
              <w:pStyle w:val="nTable"/>
              <w:spacing w:after="40"/>
            </w:pPr>
            <w:r>
              <w:t>26 Aug 2010 (see s. 2(b))</w:t>
            </w:r>
          </w:p>
        </w:tc>
      </w:tr>
      <w:tr>
        <w:trPr>
          <w:cantSplit/>
        </w:trPr>
        <w:tc>
          <w:tcPr>
            <w:tcW w:w="2269" w:type="dxa"/>
          </w:tcPr>
          <w:p>
            <w:pPr>
              <w:pStyle w:val="nTable"/>
              <w:spacing w:after="40"/>
              <w:rPr>
                <w:i/>
                <w:snapToGrid w:val="0"/>
              </w:rPr>
            </w:pPr>
            <w:r>
              <w:rPr>
                <w:i/>
                <w:snapToGrid w:val="0"/>
              </w:rPr>
              <w:t>Public Sector Reform Act 2010</w:t>
            </w:r>
            <w:r>
              <w:rPr>
                <w:iCs/>
                <w:snapToGrid w:val="0"/>
              </w:rPr>
              <w:t xml:space="preserve"> s. 78</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rPr>
              <w:t xml:space="preserve">Reprint 7:  The </w:t>
            </w:r>
            <w:r>
              <w:rPr>
                <w:b/>
                <w:i/>
              </w:rPr>
              <w:t xml:space="preserve">Interpretation Act 1984 </w:t>
            </w:r>
            <w:r>
              <w:rPr>
                <w:b/>
              </w:rPr>
              <w:t>as at 21 Jan 2011</w:t>
            </w:r>
            <w:r>
              <w:t xml:space="preserve"> (includes amendments listed above)</w:t>
            </w:r>
          </w:p>
        </w:tc>
      </w:tr>
      <w:tr>
        <w:trPr>
          <w:cantSplit/>
        </w:trPr>
        <w:tc>
          <w:tcPr>
            <w:tcW w:w="2269" w:type="dxa"/>
            <w:tcBorders>
              <w:bottom w:val="single" w:sz="4" w:space="0" w:color="auto"/>
            </w:tcBorders>
          </w:tcPr>
          <w:p>
            <w:pPr>
              <w:pStyle w:val="nTable"/>
              <w:spacing w:after="40"/>
              <w:rPr>
                <w:i/>
                <w:snapToGrid w:val="0"/>
              </w:rPr>
            </w:pPr>
            <w:r>
              <w:rPr>
                <w:i/>
                <w:snapToGrid w:val="0"/>
              </w:rPr>
              <w:t>Statutes (Repeals and Minor Amendments) Act 2014</w:t>
            </w:r>
            <w:r>
              <w:rPr>
                <w:snapToGrid w:val="0"/>
              </w:rPr>
              <w:t xml:space="preserve"> s. 27</w:t>
            </w:r>
          </w:p>
        </w:tc>
        <w:tc>
          <w:tcPr>
            <w:tcW w:w="1134" w:type="dxa"/>
            <w:tcBorders>
              <w:bottom w:val="single" w:sz="4" w:space="0" w:color="auto"/>
            </w:tcBorders>
          </w:tcPr>
          <w:p>
            <w:pPr>
              <w:pStyle w:val="nTable"/>
              <w:spacing w:after="40"/>
            </w:pPr>
            <w:r>
              <w:rPr>
                <w:snapToGrid w:val="0"/>
              </w:rPr>
              <w:t>17 of 2014</w:t>
            </w:r>
          </w:p>
        </w:tc>
        <w:tc>
          <w:tcPr>
            <w:tcW w:w="1134" w:type="dxa"/>
            <w:tcBorders>
              <w:bottom w:val="single" w:sz="4" w:space="0" w:color="auto"/>
            </w:tcBorders>
          </w:tcPr>
          <w:p>
            <w:pPr>
              <w:pStyle w:val="nTable"/>
              <w:spacing w:after="40"/>
            </w:pPr>
            <w:r>
              <w:t>2 Jul 2014</w:t>
            </w:r>
          </w:p>
        </w:tc>
        <w:tc>
          <w:tcPr>
            <w:tcW w:w="2552" w:type="dxa"/>
            <w:tcBorders>
              <w:bottom w:val="single" w:sz="4" w:space="0" w:color="auto"/>
            </w:tcBorders>
          </w:tcPr>
          <w:p>
            <w:pPr>
              <w:pStyle w:val="nTable"/>
              <w:spacing w:after="40"/>
            </w:pPr>
            <w:r>
              <w:rPr>
                <w:snapToGrid w:val="0"/>
              </w:rPr>
              <w:t xml:space="preserve">6 Sep 2014 (see s. 2(b) and </w:t>
            </w:r>
            <w:r>
              <w:rPr>
                <w:i/>
                <w:snapToGrid w:val="0"/>
              </w:rPr>
              <w:t>Gazette</w:t>
            </w:r>
            <w:r>
              <w:rPr>
                <w:snapToGrid w:val="0"/>
              </w:rPr>
              <w:t xml:space="preserve"> 5 Sep 2014 p. 3213)</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Heading5"/>
        <w:ind w:left="1440" w:hanging="1440"/>
        <w:rPr>
          <w:snapToGrid w:val="0"/>
        </w:rPr>
      </w:pPr>
      <w:r>
        <w:rPr>
          <w:snapToGrid w:val="0"/>
        </w:rPr>
        <w:tab/>
        <w:t>11.</w:t>
      </w:r>
      <w:r>
        <w:rPr>
          <w:snapToGrid w:val="0"/>
        </w:rPr>
        <w:tab/>
        <w:t>Exercise of statutory power between passing and coming into operation of an Act or any provision thereof.</w:t>
      </w:r>
    </w:p>
    <w:p>
      <w:pPr>
        <w:pStyle w:val="nSubsection"/>
        <w:tabs>
          <w:tab w:val="clear" w:pos="454"/>
          <w:tab w:val="left" w:pos="1080"/>
        </w:tabs>
        <w:ind w:left="1440" w:hanging="1440"/>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w:t>
      </w:r>
      <w:r>
        <w:rPr>
          <w:snapToGrid w:val="0"/>
        </w:rPr>
        <w:noBreakHyphen/>
        <w:t>laws, to give notices, to prescribe forms, or to do any other thing for the purposes of the Act, the power that is or will be conferred may, unless the Act otherwise provides, be exercised at any time after the passing of the first</w:t>
      </w:r>
      <w:r>
        <w:rPr>
          <w:snapToGrid w:val="0"/>
        </w:rPr>
        <w:noBreakHyphen/>
        <w:t>mentioned Act but the exercise of the power does not confer a right or impose an obligation upon a person before the coming into operation of the first</w:t>
      </w:r>
      <w:r>
        <w:rPr>
          <w:snapToGrid w:val="0"/>
        </w:rPr>
        <w:noBreakHyphen/>
        <w:t>mentioned Act except in so far as is necessary or expedient for the purpose of making the first</w:t>
      </w:r>
      <w:r>
        <w:rPr>
          <w:snapToGrid w:val="0"/>
        </w:rPr>
        <w:noBreakHyphen/>
        <w:t>mentioned Act fully effective upon its coming into operation or the other Act fully effective when so amended.</w:t>
      </w:r>
    </w:p>
    <w:p>
      <w:pPr>
        <w:pStyle w:val="nSubsection"/>
        <w:tabs>
          <w:tab w:val="clear" w:pos="454"/>
          <w:tab w:val="left" w:pos="1080"/>
        </w:tabs>
        <w:ind w:left="1440" w:hanging="1440"/>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w:t>
      </w:r>
      <w:r>
        <w:rPr>
          <w:snapToGrid w:val="0"/>
        </w:rPr>
        <w:noBreakHyphen/>
        <w:t xml:space="preserve">enacted by the </w:t>
      </w:r>
      <w:r>
        <w:rPr>
          <w:i/>
          <w:iCs/>
          <w:snapToGrid w:val="0"/>
        </w:rPr>
        <w:t>Interpretation Act Amendment Act 1975</w:t>
      </w:r>
      <w:r>
        <w:rPr>
          <w:snapToGrid w:val="0"/>
        </w:rPr>
        <w:t xml:space="preserve"> had been in operation at that time.</w:t>
      </w:r>
    </w:p>
    <w:p>
      <w:pPr>
        <w:pStyle w:val="nSubsection"/>
        <w:tabs>
          <w:tab w:val="clear" w:pos="454"/>
          <w:tab w:val="left" w:pos="1080"/>
        </w:tabs>
        <w:ind w:left="1440" w:hanging="1440"/>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Subsection"/>
        <w:spacing w:before="160"/>
        <w:rPr>
          <w:snapToGrid w:val="0"/>
        </w:rPr>
      </w:pPr>
      <w:r>
        <w:rPr>
          <w:snapToGrid w:val="0"/>
          <w:vertAlign w:val="superscript"/>
        </w:rPr>
        <w:t>3</w:t>
      </w:r>
      <w:r>
        <w:rPr>
          <w:snapToGrid w:val="0"/>
        </w:rPr>
        <w:tab/>
        <w:t xml:space="preserve">Now see the </w:t>
      </w:r>
      <w:r>
        <w:rPr>
          <w:i/>
          <w:snapToGrid w:val="0"/>
        </w:rPr>
        <w:t>Public Sector Management Act 1994</w:t>
      </w:r>
      <w:r>
        <w:rPr>
          <w:snapToGrid w:val="0"/>
        </w:rPr>
        <w:t>.</w:t>
      </w:r>
    </w:p>
    <w:p>
      <w:pPr>
        <w:pStyle w:val="nSubsection"/>
        <w:spacing w:before="160"/>
        <w:rPr>
          <w:snapToGrid w:val="0"/>
          <w:vertAlign w:val="superscript"/>
        </w:rPr>
      </w:pPr>
      <w:r>
        <w:rPr>
          <w:snapToGrid w:val="0"/>
          <w:vertAlign w:val="superscript"/>
        </w:rPr>
        <w:t>4</w:t>
      </w:r>
      <w:r>
        <w:rPr>
          <w:snapToGrid w:val="0"/>
        </w:rPr>
        <w:tab/>
        <w:t>Repealed by th</w:t>
      </w:r>
      <w:r>
        <w:rPr>
          <w:spacing w:val="-4"/>
        </w:rPr>
        <w:t xml:space="preserve">e </w:t>
      </w:r>
      <w:r>
        <w:rPr>
          <w:i/>
          <w:spacing w:val="-4"/>
        </w:rPr>
        <w:t xml:space="preserve">Australian Citizenship (Transitionals and Consequentials) Act 2007 </w:t>
      </w:r>
      <w:r>
        <w:rPr>
          <w:iCs/>
          <w:spacing w:val="-4"/>
        </w:rPr>
        <w:t>s. 42. Now see the</w:t>
      </w:r>
      <w:r>
        <w:rPr>
          <w:i/>
          <w:spacing w:val="-4"/>
        </w:rPr>
        <w:t xml:space="preserve"> Australian Citizenship Act 2007. </w:t>
      </w:r>
    </w:p>
    <w:p>
      <w:pPr>
        <w:pStyle w:val="nSubsection"/>
      </w:pPr>
      <w:r>
        <w:rPr>
          <w:vertAlign w:val="superscript"/>
        </w:rPr>
        <w:t>5</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Heading5"/>
        <w:ind w:left="1440" w:hanging="1440"/>
      </w:pPr>
      <w:r>
        <w:tab/>
        <w:t>47.</w:t>
      </w:r>
      <w:r>
        <w:tab/>
        <w:t>Sections in Second Schedule may be incorporated in Act by reference.</w:t>
      </w:r>
    </w:p>
    <w:p>
      <w:pPr>
        <w:pStyle w:val="nSubsection"/>
        <w:tabs>
          <w:tab w:val="clear" w:pos="454"/>
          <w:tab w:val="left" w:pos="1080"/>
        </w:tabs>
        <w:ind w:left="1440" w:hanging="1440"/>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Subsection"/>
        <w:tabs>
          <w:tab w:val="clear" w:pos="454"/>
          <w:tab w:val="left" w:pos="1080"/>
        </w:tabs>
        <w:ind w:left="1440" w:hanging="1440"/>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Subsection"/>
        <w:tabs>
          <w:tab w:val="clear" w:pos="454"/>
          <w:tab w:val="left" w:pos="1080"/>
          <w:tab w:val="left" w:pos="3600"/>
        </w:tabs>
        <w:ind w:left="1440" w:hanging="1440"/>
        <w:jc w:val="center"/>
        <w:rPr>
          <w:b/>
          <w:bCs/>
          <w:sz w:val="22"/>
        </w:rPr>
      </w:pPr>
      <w:r>
        <w:rPr>
          <w:b/>
          <w:bCs/>
          <w:sz w:val="22"/>
        </w:rPr>
        <w:t>The Second Schedule.</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A.</w:t>
      </w:r>
    </w:p>
    <w:p>
      <w:pPr>
        <w:pStyle w:val="nSubsection"/>
        <w:tabs>
          <w:tab w:val="clear" w:pos="454"/>
          <w:tab w:val="left" w:pos="1080"/>
        </w:tabs>
        <w:ind w:left="1440" w:hanging="1440"/>
      </w:pPr>
      <w:r>
        <w:tab/>
      </w: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Subsection"/>
        <w:keepNext/>
        <w:tabs>
          <w:tab w:val="clear" w:pos="454"/>
          <w:tab w:val="left" w:pos="1080"/>
        </w:tabs>
        <w:ind w:left="1440" w:hanging="1440"/>
        <w:rPr>
          <w:b/>
          <w:bCs/>
        </w:rPr>
      </w:pPr>
      <w:r>
        <w:tab/>
      </w:r>
      <w:r>
        <w:tab/>
      </w:r>
      <w:r>
        <w:tab/>
      </w:r>
      <w:r>
        <w:tab/>
      </w:r>
      <w:r>
        <w:tab/>
      </w:r>
      <w:r>
        <w:rPr>
          <w:b/>
          <w:bCs/>
        </w:rPr>
        <w:t>B.</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one month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C.</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three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D.</w:t>
      </w:r>
    </w:p>
    <w:p>
      <w:pPr>
        <w:pStyle w:val="nSubsection"/>
        <w:tabs>
          <w:tab w:val="clear" w:pos="454"/>
          <w:tab w:val="left" w:pos="1080"/>
        </w:tabs>
        <w:ind w:left="1440" w:hanging="1440"/>
      </w:pPr>
      <w:r>
        <w:tab/>
      </w:r>
      <w:r>
        <w:tab/>
        <w:t>The complaint in respect of an offence against this Act shall be made and the proceedings commenced within six months after the offence thereby charged shall have been committed.</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E.</w:t>
      </w:r>
    </w:p>
    <w:p>
      <w:pPr>
        <w:pStyle w:val="nSubsection"/>
        <w:tabs>
          <w:tab w:val="clear" w:pos="454"/>
          <w:tab w:val="left" w:pos="1080"/>
        </w:tabs>
        <w:ind w:left="1440" w:hanging="1440"/>
      </w:pPr>
      <w:r>
        <w:tab/>
      </w:r>
      <w:r>
        <w:tab/>
        <w:t>The complaint in respect of an offence against this Act shall be made and the proceedings commenced within twelve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F.</w:t>
      </w:r>
    </w:p>
    <w:p>
      <w:pPr>
        <w:pStyle w:val="nSubsection"/>
        <w:tabs>
          <w:tab w:val="clear" w:pos="454"/>
          <w:tab w:val="left" w:pos="1080"/>
        </w:tabs>
        <w:ind w:left="1440" w:hanging="1440"/>
      </w:pPr>
      <w:r>
        <w:rPr>
          <w:b/>
          <w:bCs/>
        </w:rPr>
        <w:tab/>
      </w: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Subsection"/>
        <w:tabs>
          <w:tab w:val="clear" w:pos="454"/>
          <w:tab w:val="left" w:pos="1080"/>
        </w:tabs>
        <w:ind w:left="1440" w:hanging="1440"/>
        <w:rPr>
          <w:b/>
          <w:bCs/>
        </w:rPr>
      </w:pPr>
      <w:r>
        <w:tab/>
      </w:r>
      <w:r>
        <w:tab/>
      </w:r>
      <w:r>
        <w:tab/>
      </w:r>
      <w:r>
        <w:tab/>
      </w:r>
      <w:r>
        <w:tab/>
      </w:r>
      <w:r>
        <w:rPr>
          <w:b/>
          <w:bCs/>
        </w:rPr>
        <w:t>G.</w:t>
      </w:r>
    </w:p>
    <w:p>
      <w:pPr>
        <w:pStyle w:val="nSubsection"/>
        <w:tabs>
          <w:tab w:val="clear" w:pos="454"/>
          <w:tab w:val="left" w:pos="1080"/>
        </w:tabs>
        <w:ind w:left="1440" w:hanging="1440"/>
      </w:pPr>
      <w:r>
        <w:tab/>
      </w: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w:t>
      </w:r>
      <w:r>
        <w:noBreakHyphen/>
        <w:t>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Subsection"/>
        <w:tabs>
          <w:tab w:val="clear" w:pos="454"/>
          <w:tab w:val="left" w:pos="1080"/>
        </w:tabs>
        <w:ind w:left="1440" w:hanging="1440"/>
        <w:rPr>
          <w:b/>
          <w:bCs/>
        </w:rPr>
      </w:pPr>
      <w:r>
        <w:tab/>
      </w:r>
      <w:r>
        <w:tab/>
      </w:r>
      <w:r>
        <w:tab/>
      </w:r>
      <w:r>
        <w:tab/>
      </w:r>
      <w:r>
        <w:tab/>
      </w:r>
      <w:r>
        <w:rPr>
          <w:b/>
          <w:bCs/>
        </w:rPr>
        <w:t>H.</w:t>
      </w:r>
    </w:p>
    <w:p>
      <w:pPr>
        <w:pStyle w:val="nSubsection"/>
        <w:tabs>
          <w:tab w:val="clear" w:pos="454"/>
          <w:tab w:val="left" w:pos="1080"/>
        </w:tabs>
        <w:ind w:left="1440" w:hanging="1440"/>
      </w:pPr>
      <w:r>
        <w:tab/>
      </w: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w:t>
      </w:r>
      <w:r>
        <w:noBreakHyphen/>
        <w:t>suit in any such action, the Court before which the action was brought may award treble costs to the defendant or such portion of those costs as the Court thinks fit.</w:t>
      </w:r>
    </w:p>
    <w:p>
      <w:pPr>
        <w:pStyle w:val="BlankClose"/>
      </w:pPr>
    </w:p>
    <w:p>
      <w:pPr>
        <w:pStyle w:val="nSubsection"/>
        <w:rPr>
          <w:snapToGrid w:val="0"/>
        </w:rPr>
      </w:pPr>
      <w:r>
        <w:rPr>
          <w:vertAlign w:val="superscript"/>
        </w:rPr>
        <w:t>6</w:t>
      </w:r>
      <w:r>
        <w:tab/>
        <w:t xml:space="preserve">The </w:t>
      </w:r>
      <w:r>
        <w:rPr>
          <w:i/>
        </w:rPr>
        <w:t>Sunday Observance Laws Amendment and Repeal Act 1997</w:t>
      </w:r>
      <w:r>
        <w:t xml:space="preserve"> s. 4(2) is a transitional provision that is of no further effect.</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240" w:name="_Toc419714514"/>
      <w:bookmarkStart w:id="241" w:name="_Toc419714611"/>
      <w:r>
        <w:rPr>
          <w:sz w:val="28"/>
        </w:rPr>
        <w:t>Defined terms</w:t>
      </w:r>
      <w:bookmarkEnd w:id="240"/>
      <w:bookmarkEnd w:id="2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State</w:t>
      </w:r>
      <w:r>
        <w:tab/>
        <w:t>5</w:t>
      </w:r>
    </w:p>
    <w:p>
      <w:pPr>
        <w:pStyle w:val="DefinedTerms"/>
      </w:pPr>
      <w:r>
        <w:t>act</w:t>
      </w:r>
      <w:r>
        <w:tab/>
        <w:t>5</w:t>
      </w:r>
    </w:p>
    <w:p>
      <w:pPr>
        <w:pStyle w:val="DefinedTerms"/>
      </w:pPr>
      <w:r>
        <w:t>Act</w:t>
      </w:r>
      <w:r>
        <w:tab/>
        <w:t>5</w:t>
      </w:r>
    </w:p>
    <w:p>
      <w:pPr>
        <w:pStyle w:val="DefinedTerms"/>
      </w:pPr>
      <w:r>
        <w:t>Act of the Commonwealth</w:t>
      </w:r>
      <w:r>
        <w:tab/>
        <w:t>5</w:t>
      </w:r>
    </w:p>
    <w:p>
      <w:pPr>
        <w:pStyle w:val="DefinedTerms"/>
      </w:pPr>
      <w:r>
        <w:t>affidavit</w:t>
      </w:r>
      <w:r>
        <w:tab/>
        <w:t>5</w:t>
      </w:r>
    </w:p>
    <w:p>
      <w:pPr>
        <w:pStyle w:val="DefinedTerms"/>
      </w:pPr>
      <w:r>
        <w:t>alternative offence</w:t>
      </w:r>
      <w:r>
        <w:tab/>
        <w:t>5</w:t>
      </w:r>
    </w:p>
    <w:p>
      <w:pPr>
        <w:pStyle w:val="DefinedTerms"/>
      </w:pPr>
      <w:r>
        <w:t>amend</w:t>
      </w:r>
      <w:r>
        <w:tab/>
        <w:t>5</w:t>
      </w:r>
    </w:p>
    <w:p>
      <w:pPr>
        <w:pStyle w:val="DefinedTerms"/>
      </w:pPr>
      <w:r>
        <w:t>ASIC Law</w:t>
      </w:r>
      <w:r>
        <w:tab/>
        <w:t>5</w:t>
      </w:r>
    </w:p>
    <w:p>
      <w:pPr>
        <w:pStyle w:val="DefinedTerms"/>
      </w:pPr>
      <w:r>
        <w:t>ASIC Regulations</w:t>
      </w:r>
      <w:r>
        <w:tab/>
        <w:t>5</w:t>
      </w:r>
    </w:p>
    <w:p>
      <w:pPr>
        <w:pStyle w:val="DefinedTerms"/>
      </w:pPr>
      <w:r>
        <w:t>association</w:t>
      </w:r>
      <w:r>
        <w:tab/>
        <w:t>54(2)</w:t>
      </w:r>
    </w:p>
    <w:p>
      <w:pPr>
        <w:pStyle w:val="DefinedTerms"/>
      </w:pPr>
      <w:r>
        <w:t>Auditor General</w:t>
      </w:r>
      <w:r>
        <w:tab/>
        <w:t>5</w:t>
      </w:r>
    </w:p>
    <w:p>
      <w:pPr>
        <w:pStyle w:val="DefinedTerms"/>
      </w:pPr>
      <w:r>
        <w:t>Australia</w:t>
      </w:r>
      <w:r>
        <w:tab/>
        <w:t>5</w:t>
      </w:r>
    </w:p>
    <w:p>
      <w:pPr>
        <w:pStyle w:val="DefinedTerms"/>
      </w:pPr>
      <w:r>
        <w:t>Australia Acts</w:t>
      </w:r>
      <w:r>
        <w:tab/>
        <w:t>5</w:t>
      </w:r>
    </w:p>
    <w:p>
      <w:pPr>
        <w:pStyle w:val="DefinedTerms"/>
      </w:pPr>
      <w:r>
        <w:t>bank holiday</w:t>
      </w:r>
      <w:r>
        <w:tab/>
        <w:t>5</w:t>
      </w:r>
    </w:p>
    <w:p>
      <w:pPr>
        <w:pStyle w:val="DefinedTerms"/>
      </w:pPr>
      <w:r>
        <w:t>bankrupt</w:t>
      </w:r>
      <w:r>
        <w:tab/>
        <w:t>5</w:t>
      </w:r>
    </w:p>
    <w:p>
      <w:pPr>
        <w:pStyle w:val="DefinedTerms"/>
      </w:pPr>
      <w:r>
        <w:t>bankrupt or a person whose affairs are under insolvency laws</w:t>
      </w:r>
      <w:r>
        <w:tab/>
        <w:t>5</w:t>
      </w:r>
    </w:p>
    <w:p>
      <w:pPr>
        <w:pStyle w:val="DefinedTerms"/>
      </w:pPr>
      <w:r>
        <w:t>book</w:t>
      </w:r>
      <w:r>
        <w:tab/>
        <w:t>6</w:t>
      </w:r>
    </w:p>
    <w:p>
      <w:pPr>
        <w:pStyle w:val="DefinedTerms"/>
      </w:pPr>
      <w:r>
        <w:t>British possession</w:t>
      </w:r>
      <w:r>
        <w:tab/>
        <w:t>5</w:t>
      </w:r>
    </w:p>
    <w:p>
      <w:pPr>
        <w:pStyle w:val="DefinedTerms"/>
      </w:pPr>
      <w:r>
        <w:t>by</w:t>
      </w:r>
      <w:r>
        <w:noBreakHyphen/>
        <w:t>law</w:t>
      </w:r>
      <w:r>
        <w:tab/>
        <w:t>5</w:t>
      </w:r>
    </w:p>
    <w:p>
      <w:pPr>
        <w:pStyle w:val="DefinedTerms"/>
      </w:pPr>
      <w:r>
        <w:t>cause</w:t>
      </w:r>
      <w:r>
        <w:tab/>
        <w:t>52(2)</w:t>
      </w:r>
    </w:p>
    <w:p>
      <w:pPr>
        <w:pStyle w:val="DefinedTerms"/>
      </w:pPr>
      <w:r>
        <w:t>chief executive officer</w:t>
      </w:r>
      <w:r>
        <w:tab/>
        <w:t>5</w:t>
      </w:r>
    </w:p>
    <w:p>
      <w:pPr>
        <w:pStyle w:val="DefinedTerms"/>
      </w:pPr>
      <w:r>
        <w:t>Children’s Court</w:t>
      </w:r>
      <w:r>
        <w:tab/>
        <w:t>5</w:t>
      </w:r>
    </w:p>
    <w:p>
      <w:pPr>
        <w:pStyle w:val="DefinedTerms"/>
      </w:pPr>
      <w:r>
        <w:t>commencement</w:t>
      </w:r>
      <w:r>
        <w:tab/>
        <w:t>5</w:t>
      </w:r>
    </w:p>
    <w:p>
      <w:pPr>
        <w:pStyle w:val="DefinedTerms"/>
      </w:pPr>
      <w:r>
        <w:t>Commissioner of State Revenue</w:t>
      </w:r>
      <w:r>
        <w:tab/>
        <w:t>5</w:t>
      </w:r>
    </w:p>
    <w:p>
      <w:pPr>
        <w:pStyle w:val="DefinedTerms"/>
      </w:pPr>
      <w:r>
        <w:t>Commonwealth</w:t>
      </w:r>
      <w:r>
        <w:tab/>
        <w:t>5</w:t>
      </w:r>
    </w:p>
    <w:p>
      <w:pPr>
        <w:pStyle w:val="DefinedTerms"/>
      </w:pPr>
      <w:r>
        <w:t>Commonwealth Act</w:t>
      </w:r>
      <w:r>
        <w:tab/>
        <w:t>5, 13(1)</w:t>
      </w:r>
    </w:p>
    <w:p>
      <w:pPr>
        <w:pStyle w:val="DefinedTerms"/>
      </w:pPr>
      <w:r>
        <w:t>Consolidated Account</w:t>
      </w:r>
      <w:r>
        <w:tab/>
        <w:t>5</w:t>
      </w:r>
    </w:p>
    <w:p>
      <w:pPr>
        <w:pStyle w:val="DefinedTerms"/>
      </w:pPr>
      <w:r>
        <w:t>contravene</w:t>
      </w:r>
      <w:r>
        <w:tab/>
        <w:t>5</w:t>
      </w:r>
    </w:p>
    <w:p>
      <w:pPr>
        <w:pStyle w:val="DefinedTerms"/>
      </w:pPr>
      <w:r>
        <w:t>Corporations Law</w:t>
      </w:r>
      <w:r>
        <w:tab/>
        <w:t>5</w:t>
      </w:r>
    </w:p>
    <w:p>
      <w:pPr>
        <w:pStyle w:val="DefinedTerms"/>
      </w:pPr>
      <w:r>
        <w:t>Corporations Regulations</w:t>
      </w:r>
      <w:r>
        <w:tab/>
        <w:t>5</w:t>
      </w:r>
    </w:p>
    <w:p>
      <w:pPr>
        <w:pStyle w:val="DefinedTerms"/>
      </w:pPr>
      <w:r>
        <w:t>Court of Appeal</w:t>
      </w:r>
      <w:r>
        <w:tab/>
        <w:t>5</w:t>
      </w:r>
    </w:p>
    <w:p>
      <w:pPr>
        <w:pStyle w:val="DefinedTerms"/>
      </w:pPr>
      <w:r>
        <w:t>court of summary jurisdiction</w:t>
      </w:r>
      <w:r>
        <w:tab/>
        <w:t>5</w:t>
      </w:r>
    </w:p>
    <w:p>
      <w:pPr>
        <w:pStyle w:val="DefinedTerms"/>
      </w:pPr>
      <w:r>
        <w:t>Crown</w:t>
      </w:r>
      <w:r>
        <w:tab/>
        <w:t>5</w:t>
      </w:r>
    </w:p>
    <w:p>
      <w:pPr>
        <w:pStyle w:val="DefinedTerms"/>
      </w:pPr>
      <w:r>
        <w:t>de facto partner</w:t>
      </w:r>
      <w:r>
        <w:tab/>
        <w:t>5</w:t>
      </w:r>
    </w:p>
    <w:p>
      <w:pPr>
        <w:pStyle w:val="DefinedTerms"/>
      </w:pPr>
      <w:r>
        <w:t>de facto relationship</w:t>
      </w:r>
      <w:r>
        <w:tab/>
        <w:t>5</w:t>
      </w:r>
    </w:p>
    <w:p>
      <w:pPr>
        <w:pStyle w:val="DefinedTerms"/>
      </w:pPr>
      <w:r>
        <w:t>death,</w:t>
      </w:r>
      <w:r>
        <w:tab/>
        <w:t>5</w:t>
      </w:r>
    </w:p>
    <w:p>
      <w:pPr>
        <w:pStyle w:val="DefinedTerms"/>
      </w:pPr>
      <w:r>
        <w:t>definition</w:t>
      </w:r>
      <w:r>
        <w:tab/>
        <w:t>5</w:t>
      </w:r>
    </w:p>
    <w:p>
      <w:pPr>
        <w:pStyle w:val="DefinedTerms"/>
      </w:pPr>
      <w:r>
        <w:t>District Court</w:t>
      </w:r>
      <w:r>
        <w:tab/>
        <w:t>5</w:t>
      </w:r>
    </w:p>
    <w:p>
      <w:pPr>
        <w:pStyle w:val="DefinedTerms"/>
      </w:pPr>
      <w:r>
        <w:t>District Court judge</w:t>
      </w:r>
      <w:r>
        <w:tab/>
        <w:t>5</w:t>
      </w:r>
    </w:p>
    <w:p>
      <w:pPr>
        <w:pStyle w:val="DefinedTerms"/>
      </w:pPr>
      <w:r>
        <w:t>document</w:t>
      </w:r>
      <w:r>
        <w:tab/>
        <w:t>5</w:t>
      </w:r>
    </w:p>
    <w:p>
      <w:pPr>
        <w:pStyle w:val="DefinedTerms"/>
      </w:pPr>
      <w:r>
        <w:t>enactment</w:t>
      </w:r>
      <w:r>
        <w:tab/>
        <w:t>5</w:t>
      </w:r>
    </w:p>
    <w:p>
      <w:pPr>
        <w:pStyle w:val="DefinedTerms"/>
      </w:pPr>
      <w:r>
        <w:t>estate</w:t>
      </w:r>
      <w:r>
        <w:tab/>
        <w:t>5</w:t>
      </w:r>
    </w:p>
    <w:p>
      <w:pPr>
        <w:pStyle w:val="DefinedTerms"/>
      </w:pPr>
      <w:r>
        <w:t>excluded day</w:t>
      </w:r>
      <w:r>
        <w:tab/>
        <w:t>61(2)</w:t>
      </w:r>
    </w:p>
    <w:p>
      <w:pPr>
        <w:pStyle w:val="DefinedTerms"/>
      </w:pPr>
      <w:r>
        <w:t>Family Court</w:t>
      </w:r>
      <w:r>
        <w:tab/>
        <w:t>5</w:t>
      </w:r>
    </w:p>
    <w:p>
      <w:pPr>
        <w:pStyle w:val="DefinedTerms"/>
      </w:pPr>
      <w:r>
        <w:t>Family Court of Western Australia</w:t>
      </w:r>
      <w:r>
        <w:tab/>
        <w:t>5</w:t>
      </w:r>
    </w:p>
    <w:p>
      <w:pPr>
        <w:pStyle w:val="DefinedTerms"/>
      </w:pPr>
      <w:r>
        <w:t>fee</w:t>
      </w:r>
      <w:r>
        <w:tab/>
        <w:t>45A(4)</w:t>
      </w:r>
    </w:p>
    <w:p>
      <w:pPr>
        <w:pStyle w:val="DefinedTerms"/>
      </w:pPr>
      <w:r>
        <w:t>financial year</w:t>
      </w:r>
      <w:r>
        <w:tab/>
        <w:t>5</w:t>
      </w:r>
    </w:p>
    <w:p>
      <w:pPr>
        <w:pStyle w:val="DefinedTerms"/>
      </w:pPr>
      <w:r>
        <w:t>first person</w:t>
      </w:r>
      <w:r>
        <w:tab/>
        <w:t>13A(5)</w:t>
      </w:r>
    </w:p>
    <w:p>
      <w:pPr>
        <w:pStyle w:val="DefinedTerms"/>
      </w:pPr>
      <w:r>
        <w:t>function</w:t>
      </w:r>
      <w:r>
        <w:tab/>
        <w:t>5</w:t>
      </w:r>
    </w:p>
    <w:p>
      <w:pPr>
        <w:pStyle w:val="DefinedTerms"/>
      </w:pPr>
      <w:r>
        <w:t>Gazette</w:t>
      </w:r>
      <w:r>
        <w:tab/>
        <w:t>5</w:t>
      </w:r>
    </w:p>
    <w:p>
      <w:pPr>
        <w:pStyle w:val="DefinedTerms"/>
      </w:pPr>
      <w:r>
        <w:t>Government</w:t>
      </w:r>
      <w:r>
        <w:tab/>
        <w:t>5</w:t>
      </w:r>
    </w:p>
    <w:p>
      <w:pPr>
        <w:pStyle w:val="DefinedTerms"/>
      </w:pPr>
      <w:r>
        <w:t>Government Gazette</w:t>
      </w:r>
      <w:r>
        <w:tab/>
        <w:t>5</w:t>
      </w:r>
    </w:p>
    <w:p>
      <w:pPr>
        <w:pStyle w:val="DefinedTerms"/>
      </w:pPr>
      <w:r>
        <w:t>Government Printer</w:t>
      </w:r>
      <w:r>
        <w:tab/>
        <w:t>5</w:t>
      </w:r>
    </w:p>
    <w:p>
      <w:pPr>
        <w:pStyle w:val="DefinedTerms"/>
      </w:pPr>
      <w:r>
        <w:t>Governor</w:t>
      </w:r>
      <w:r>
        <w:tab/>
        <w:t>5</w:t>
      </w:r>
    </w:p>
    <w:p>
      <w:pPr>
        <w:pStyle w:val="DefinedTerms"/>
      </w:pPr>
      <w:r>
        <w:t>Her Majesty</w:t>
      </w:r>
      <w:r>
        <w:tab/>
        <w:t>5</w:t>
      </w:r>
    </w:p>
    <w:p>
      <w:pPr>
        <w:pStyle w:val="DefinedTerms"/>
      </w:pPr>
      <w:r>
        <w:t>His Majesty</w:t>
      </w:r>
      <w:r>
        <w:tab/>
        <w:t>5</w:t>
      </w:r>
    </w:p>
    <w:p>
      <w:pPr>
        <w:pStyle w:val="DefinedTerms"/>
      </w:pPr>
      <w:r>
        <w:t>Imperial Act</w:t>
      </w:r>
      <w:r>
        <w:tab/>
        <w:t>5</w:t>
      </w:r>
    </w:p>
    <w:p>
      <w:pPr>
        <w:pStyle w:val="DefinedTerms"/>
      </w:pPr>
      <w:r>
        <w:t>indictable offence</w:t>
      </w:r>
      <w:r>
        <w:tab/>
        <w:t>5</w:t>
      </w:r>
    </w:p>
    <w:p>
      <w:pPr>
        <w:pStyle w:val="DefinedTerms"/>
      </w:pPr>
      <w:r>
        <w:t>individual</w:t>
      </w:r>
      <w:r>
        <w:tab/>
        <w:t>5</w:t>
      </w:r>
    </w:p>
    <w:p>
      <w:pPr>
        <w:pStyle w:val="DefinedTerms"/>
      </w:pPr>
      <w:r>
        <w:t>issue</w:t>
      </w:r>
      <w:r>
        <w:tab/>
        <w:t>45A(4)</w:t>
      </w:r>
    </w:p>
    <w:p>
      <w:pPr>
        <w:pStyle w:val="DefinedTerms"/>
      </w:pPr>
      <w:r>
        <w:t>JP</w:t>
      </w:r>
      <w:r>
        <w:tab/>
        <w:t>5</w:t>
      </w:r>
    </w:p>
    <w:p>
      <w:pPr>
        <w:pStyle w:val="DefinedTerms"/>
      </w:pPr>
      <w:r>
        <w:t>justice</w:t>
      </w:r>
      <w:r>
        <w:tab/>
        <w:t>5</w:t>
      </w:r>
    </w:p>
    <w:p>
      <w:pPr>
        <w:pStyle w:val="DefinedTerms"/>
      </w:pPr>
      <w:r>
        <w:t>justice of the peace</w:t>
      </w:r>
      <w:r>
        <w:tab/>
        <w:t>5</w:t>
      </w:r>
    </w:p>
    <w:p>
      <w:pPr>
        <w:pStyle w:val="DefinedTerms"/>
      </w:pPr>
      <w:r>
        <w:t>King</w:t>
      </w:r>
      <w:r>
        <w:tab/>
        <w:t>5</w:t>
      </w:r>
    </w:p>
    <w:p>
      <w:pPr>
        <w:pStyle w:val="DefinedTerms"/>
      </w:pPr>
      <w:r>
        <w:t>land</w:t>
      </w:r>
      <w:r>
        <w:tab/>
        <w:t>5</w:t>
      </w:r>
    </w:p>
    <w:p>
      <w:pPr>
        <w:pStyle w:val="DefinedTerms"/>
      </w:pPr>
      <w:r>
        <w:t>law of the State</w:t>
      </w:r>
      <w:r>
        <w:tab/>
        <w:t>13(1)</w:t>
      </w:r>
    </w:p>
    <w:p>
      <w:pPr>
        <w:pStyle w:val="DefinedTerms"/>
      </w:pPr>
      <w:r>
        <w:t>licence</w:t>
      </w:r>
      <w:r>
        <w:tab/>
        <w:t>45A(4)</w:t>
      </w:r>
    </w:p>
    <w:p>
      <w:pPr>
        <w:pStyle w:val="DefinedTerms"/>
      </w:pPr>
      <w:r>
        <w:t>local government</w:t>
      </w:r>
      <w:r>
        <w:tab/>
        <w:t>5</w:t>
      </w:r>
    </w:p>
    <w:p>
      <w:pPr>
        <w:pStyle w:val="DefinedTerms"/>
      </w:pPr>
      <w:r>
        <w:t>local government district</w:t>
      </w:r>
      <w:r>
        <w:tab/>
        <w:t>5, 13CA(1)</w:t>
      </w:r>
    </w:p>
    <w:p>
      <w:pPr>
        <w:pStyle w:val="DefinedTerms"/>
      </w:pPr>
      <w:r>
        <w:t>local law</w:t>
      </w:r>
      <w:r>
        <w:tab/>
        <w:t>5</w:t>
      </w:r>
    </w:p>
    <w:p>
      <w:pPr>
        <w:pStyle w:val="DefinedTerms"/>
      </w:pPr>
      <w:r>
        <w:t>magistrate</w:t>
      </w:r>
      <w:r>
        <w:tab/>
        <w:t>5</w:t>
      </w:r>
    </w:p>
    <w:p>
      <w:pPr>
        <w:pStyle w:val="DefinedTerms"/>
      </w:pPr>
      <w:r>
        <w:t>Magistrates Court</w:t>
      </w:r>
      <w:r>
        <w:tab/>
        <w:t>5</w:t>
      </w:r>
    </w:p>
    <w:p>
      <w:pPr>
        <w:pStyle w:val="DefinedTerms"/>
      </w:pPr>
      <w:r>
        <w:t>may</w:t>
      </w:r>
      <w:r>
        <w:tab/>
        <w:t>56(1)</w:t>
      </w:r>
    </w:p>
    <w:p>
      <w:pPr>
        <w:pStyle w:val="DefinedTerms"/>
      </w:pPr>
      <w:r>
        <w:t>Minister</w:t>
      </w:r>
      <w:r>
        <w:tab/>
        <w:t>5</w:t>
      </w:r>
    </w:p>
    <w:p>
      <w:pPr>
        <w:pStyle w:val="DefinedTerms"/>
      </w:pPr>
      <w:r>
        <w:t>Minister for Public Sector Management</w:t>
      </w:r>
      <w:r>
        <w:tab/>
        <w:t>5</w:t>
      </w:r>
    </w:p>
    <w:p>
      <w:pPr>
        <w:pStyle w:val="DefinedTerms"/>
      </w:pPr>
      <w:r>
        <w:t>month</w:t>
      </w:r>
      <w:r>
        <w:tab/>
        <w:t>5, 62(1)</w:t>
      </w:r>
    </w:p>
    <w:p>
      <w:pPr>
        <w:pStyle w:val="DefinedTerms"/>
      </w:pPr>
      <w:r>
        <w:t>oath</w:t>
      </w:r>
      <w:r>
        <w:tab/>
        <w:t>5</w:t>
      </w:r>
    </w:p>
    <w:p>
      <w:pPr>
        <w:pStyle w:val="DefinedTerms"/>
      </w:pPr>
      <w:r>
        <w:t>or</w:t>
      </w:r>
      <w:r>
        <w:tab/>
        <w:t>17</w:t>
      </w:r>
    </w:p>
    <w:p>
      <w:pPr>
        <w:pStyle w:val="DefinedTerms"/>
      </w:pPr>
      <w:r>
        <w:t>other</w:t>
      </w:r>
      <w:r>
        <w:tab/>
        <w:t>17</w:t>
      </w:r>
    </w:p>
    <w:p>
      <w:pPr>
        <w:pStyle w:val="DefinedTerms"/>
      </w:pPr>
      <w:r>
        <w:t>otherwise</w:t>
      </w:r>
      <w:r>
        <w:tab/>
        <w:t>17</w:t>
      </w:r>
    </w:p>
    <w:p>
      <w:pPr>
        <w:pStyle w:val="DefinedTerms"/>
      </w:pPr>
      <w:r>
        <w:t>paragraph</w:t>
      </w:r>
      <w:r>
        <w:tab/>
        <w:t>15A(1)</w:t>
      </w:r>
    </w:p>
    <w:p>
      <w:pPr>
        <w:pStyle w:val="DefinedTerms"/>
      </w:pPr>
      <w:r>
        <w:t>parent</w:t>
      </w:r>
      <w:r>
        <w:tab/>
        <w:t>5</w:t>
      </w:r>
    </w:p>
    <w:p>
      <w:pPr>
        <w:pStyle w:val="DefinedTerms"/>
      </w:pPr>
      <w:r>
        <w:t>Parliament</w:t>
      </w:r>
      <w:r>
        <w:tab/>
        <w:t>5</w:t>
      </w:r>
    </w:p>
    <w:p>
      <w:pPr>
        <w:pStyle w:val="DefinedTerms"/>
      </w:pPr>
      <w:r>
        <w:t>penalty</w:t>
      </w:r>
      <w:r>
        <w:tab/>
        <w:t>5</w:t>
      </w:r>
    </w:p>
    <w:p>
      <w:pPr>
        <w:pStyle w:val="DefinedTerms"/>
      </w:pPr>
      <w:r>
        <w:t>perform</w:t>
      </w:r>
      <w:r>
        <w:tab/>
        <w:t>5</w:t>
      </w:r>
    </w:p>
    <w:p>
      <w:pPr>
        <w:pStyle w:val="DefinedTerms"/>
      </w:pPr>
      <w:r>
        <w:t>person</w:t>
      </w:r>
      <w:r>
        <w:tab/>
        <w:t>5</w:t>
      </w:r>
    </w:p>
    <w:p>
      <w:pPr>
        <w:pStyle w:val="DefinedTerms"/>
      </w:pPr>
      <w:r>
        <w:t>police officer</w:t>
      </w:r>
      <w:r>
        <w:tab/>
        <w:t>5</w:t>
      </w:r>
    </w:p>
    <w:p>
      <w:pPr>
        <w:pStyle w:val="DefinedTerms"/>
      </w:pPr>
      <w:r>
        <w:t>power</w:t>
      </w:r>
      <w:r>
        <w:tab/>
        <w:t>5</w:t>
      </w:r>
    </w:p>
    <w:p>
      <w:pPr>
        <w:pStyle w:val="DefinedTerms"/>
      </w:pPr>
      <w:r>
        <w:t>prescribed</w:t>
      </w:r>
      <w:r>
        <w:tab/>
        <w:t>5</w:t>
      </w:r>
    </w:p>
    <w:p>
      <w:pPr>
        <w:pStyle w:val="DefinedTerms"/>
      </w:pPr>
      <w:r>
        <w:t>proclamation</w:t>
      </w:r>
      <w:r>
        <w:tab/>
        <w:t>5</w:t>
      </w:r>
    </w:p>
    <w:p>
      <w:pPr>
        <w:pStyle w:val="DefinedTerms"/>
      </w:pPr>
      <w:r>
        <w:t>public half</w:t>
      </w:r>
      <w:r>
        <w:noBreakHyphen/>
        <w:t>holiday</w:t>
      </w:r>
      <w:r>
        <w:tab/>
        <w:t>5</w:t>
      </w:r>
    </w:p>
    <w:p>
      <w:pPr>
        <w:pStyle w:val="DefinedTerms"/>
      </w:pPr>
      <w:r>
        <w:t>public holiday</w:t>
      </w:r>
      <w:r>
        <w:tab/>
        <w:t>5</w:t>
      </w:r>
    </w:p>
    <w:p>
      <w:pPr>
        <w:pStyle w:val="DefinedTerms"/>
      </w:pPr>
      <w:r>
        <w:t>Public Sector Commissioner</w:t>
      </w:r>
      <w:r>
        <w:tab/>
        <w:t>5</w:t>
      </w:r>
    </w:p>
    <w:p>
      <w:pPr>
        <w:pStyle w:val="DefinedTerms"/>
      </w:pPr>
      <w:r>
        <w:t>Public Service</w:t>
      </w:r>
      <w:r>
        <w:tab/>
        <w:t>5</w:t>
      </w:r>
    </w:p>
    <w:p>
      <w:pPr>
        <w:pStyle w:val="DefinedTerms"/>
      </w:pPr>
      <w:r>
        <w:t>public service holiday</w:t>
      </w:r>
      <w:r>
        <w:tab/>
        <w:t>5</w:t>
      </w:r>
    </w:p>
    <w:p>
      <w:pPr>
        <w:pStyle w:val="DefinedTerms"/>
      </w:pPr>
      <w:r>
        <w:t>public service officer</w:t>
      </w:r>
      <w:r>
        <w:tab/>
        <w:t>5</w:t>
      </w:r>
    </w:p>
    <w:p>
      <w:pPr>
        <w:pStyle w:val="DefinedTerms"/>
      </w:pPr>
      <w:r>
        <w:t>publication</w:t>
      </w:r>
      <w:r>
        <w:tab/>
        <w:t>5</w:t>
      </w:r>
    </w:p>
    <w:p>
      <w:pPr>
        <w:pStyle w:val="DefinedTerms"/>
      </w:pPr>
      <w:r>
        <w:t>Queen</w:t>
      </w:r>
      <w:r>
        <w:tab/>
        <w:t>5</w:t>
      </w:r>
    </w:p>
    <w:p>
      <w:pPr>
        <w:pStyle w:val="DefinedTerms"/>
      </w:pPr>
      <w:r>
        <w:t>regional local government</w:t>
      </w:r>
      <w:r>
        <w:tab/>
        <w:t>5</w:t>
      </w:r>
    </w:p>
    <w:p>
      <w:pPr>
        <w:pStyle w:val="DefinedTerms"/>
      </w:pPr>
      <w:r>
        <w:t>regulation</w:t>
      </w:r>
      <w:r>
        <w:tab/>
        <w:t>5</w:t>
      </w:r>
    </w:p>
    <w:p>
      <w:pPr>
        <w:pStyle w:val="DefinedTerms"/>
      </w:pPr>
      <w:r>
        <w:t>regulations</w:t>
      </w:r>
      <w:r>
        <w:tab/>
        <w:t>42(8)</w:t>
      </w:r>
    </w:p>
    <w:p>
      <w:pPr>
        <w:pStyle w:val="DefinedTerms"/>
      </w:pPr>
      <w:r>
        <w:t>repeal</w:t>
      </w:r>
      <w:r>
        <w:tab/>
        <w:t>5</w:t>
      </w:r>
    </w:p>
    <w:p>
      <w:pPr>
        <w:pStyle w:val="DefinedTerms"/>
      </w:pPr>
      <w:r>
        <w:t>Royal Assent</w:t>
      </w:r>
      <w:r>
        <w:tab/>
        <w:t>5</w:t>
      </w:r>
    </w:p>
    <w:p>
      <w:pPr>
        <w:pStyle w:val="DefinedTerms"/>
      </w:pPr>
      <w:r>
        <w:t>rule</w:t>
      </w:r>
      <w:r>
        <w:tab/>
        <w:t>5</w:t>
      </w:r>
    </w:p>
    <w:p>
      <w:pPr>
        <w:pStyle w:val="DefinedTerms"/>
      </w:pPr>
      <w:r>
        <w:t>rules of court</w:t>
      </w:r>
      <w:r>
        <w:tab/>
        <w:t>5, 66(1)</w:t>
      </w:r>
    </w:p>
    <w:p>
      <w:pPr>
        <w:pStyle w:val="DefinedTerms"/>
      </w:pPr>
      <w:r>
        <w:t>sell</w:t>
      </w:r>
      <w:r>
        <w:tab/>
        <w:t>5</w:t>
      </w:r>
    </w:p>
    <w:p>
      <w:pPr>
        <w:pStyle w:val="DefinedTerms"/>
      </w:pPr>
      <w:r>
        <w:t>shall</w:t>
      </w:r>
      <w:r>
        <w:tab/>
        <w:t>56(2)</w:t>
      </w:r>
    </w:p>
    <w:p>
      <w:pPr>
        <w:pStyle w:val="DefinedTerms"/>
      </w:pPr>
      <w:r>
        <w:t>sign</w:t>
      </w:r>
      <w:r>
        <w:tab/>
        <w:t>5</w:t>
      </w:r>
    </w:p>
    <w:p>
      <w:pPr>
        <w:pStyle w:val="DefinedTerms"/>
      </w:pPr>
      <w:r>
        <w:t>simple offence</w:t>
      </w:r>
      <w:r>
        <w:tab/>
        <w:t>5</w:t>
      </w:r>
    </w:p>
    <w:p>
      <w:pPr>
        <w:pStyle w:val="DefinedTerms"/>
      </w:pPr>
      <w:r>
        <w:t>sitting days</w:t>
      </w:r>
      <w:r>
        <w:tab/>
        <w:t>5</w:t>
      </w:r>
    </w:p>
    <w:p>
      <w:pPr>
        <w:pStyle w:val="DefinedTerms"/>
      </w:pPr>
      <w:r>
        <w:t>specified</w:t>
      </w:r>
      <w:r>
        <w:tab/>
        <w:t>43(9)</w:t>
      </w:r>
    </w:p>
    <w:p>
      <w:pPr>
        <w:pStyle w:val="DefinedTerms"/>
      </w:pPr>
      <w:r>
        <w:t>spouse</w:t>
      </w:r>
      <w:r>
        <w:tab/>
        <w:t>5</w:t>
      </w:r>
    </w:p>
    <w:p>
      <w:pPr>
        <w:pStyle w:val="DefinedTerms"/>
      </w:pPr>
      <w:r>
        <w:t>Standards Australia</w:t>
      </w:r>
      <w:r>
        <w:tab/>
        <w:t>5</w:t>
      </w:r>
    </w:p>
    <w:p>
      <w:pPr>
        <w:pStyle w:val="DefinedTerms"/>
      </w:pPr>
      <w:r>
        <w:t>State</w:t>
      </w:r>
      <w:r>
        <w:tab/>
        <w:t>5</w:t>
      </w:r>
    </w:p>
    <w:p>
      <w:pPr>
        <w:pStyle w:val="DefinedTerms"/>
      </w:pPr>
      <w:r>
        <w:t>State Administrative Tribunal</w:t>
      </w:r>
      <w:r>
        <w:tab/>
        <w:t>5</w:t>
      </w:r>
    </w:p>
    <w:p>
      <w:pPr>
        <w:pStyle w:val="DefinedTerms"/>
      </w:pPr>
      <w:r>
        <w:t>statutory declaration</w:t>
      </w:r>
      <w:r>
        <w:tab/>
        <w:t>5</w:t>
      </w:r>
    </w:p>
    <w:p>
      <w:pPr>
        <w:pStyle w:val="DefinedTerms"/>
      </w:pPr>
      <w:r>
        <w:t>subsidiary legislation</w:t>
      </w:r>
      <w:r>
        <w:tab/>
        <w:t>5</w:t>
      </w:r>
    </w:p>
    <w:p>
      <w:pPr>
        <w:pStyle w:val="DefinedTerms"/>
      </w:pPr>
      <w:r>
        <w:t>summary conviction</w:t>
      </w:r>
      <w:r>
        <w:tab/>
        <w:t>5</w:t>
      </w:r>
    </w:p>
    <w:p>
      <w:pPr>
        <w:pStyle w:val="DefinedTerms"/>
      </w:pPr>
      <w:r>
        <w:t>summary conviction penalty</w:t>
      </w:r>
      <w:r>
        <w:tab/>
        <w:t>5</w:t>
      </w:r>
    </w:p>
    <w:p>
      <w:pPr>
        <w:pStyle w:val="DefinedTerms"/>
      </w:pPr>
      <w:r>
        <w:t>Supreme Court</w:t>
      </w:r>
      <w:r>
        <w:tab/>
        <w:t>5</w:t>
      </w:r>
    </w:p>
    <w:p>
      <w:pPr>
        <w:pStyle w:val="DefinedTerms"/>
      </w:pPr>
      <w:r>
        <w:t>swear</w:t>
      </w:r>
      <w:r>
        <w:tab/>
        <w:t>5</w:t>
      </w:r>
    </w:p>
    <w:p>
      <w:pPr>
        <w:pStyle w:val="DefinedTerms"/>
      </w:pPr>
      <w:r>
        <w:t>Territory</w:t>
      </w:r>
      <w:r>
        <w:tab/>
        <w:t>5</w:t>
      </w:r>
    </w:p>
    <w:p>
      <w:pPr>
        <w:pStyle w:val="DefinedTerms"/>
      </w:pPr>
      <w:r>
        <w:t>the Act</w:t>
      </w:r>
      <w:r>
        <w:tab/>
        <w:t>44(2)</w:t>
      </w:r>
    </w:p>
    <w:p>
      <w:pPr>
        <w:pStyle w:val="DefinedTerms"/>
      </w:pPr>
      <w:r>
        <w:t>this State</w:t>
      </w:r>
      <w:r>
        <w:tab/>
        <w:t>5</w:t>
      </w:r>
    </w:p>
    <w:p>
      <w:pPr>
        <w:pStyle w:val="DefinedTerms"/>
      </w:pPr>
      <w:r>
        <w:t>udge</w:t>
      </w:r>
      <w:r>
        <w:tab/>
        <w:t>5</w:t>
      </w:r>
    </w:p>
    <w:p>
      <w:pPr>
        <w:pStyle w:val="DefinedTerms"/>
      </w:pPr>
      <w:r>
        <w:t>under</w:t>
      </w:r>
      <w:r>
        <w:tab/>
        <w:t>5</w:t>
      </w:r>
    </w:p>
    <w:p>
      <w:pPr>
        <w:pStyle w:val="DefinedTerms"/>
      </w:pPr>
      <w:r>
        <w:t>United Kingdom</w:t>
      </w:r>
      <w:r>
        <w:tab/>
        <w:t>5</w:t>
      </w:r>
    </w:p>
    <w:p>
      <w:pPr>
        <w:pStyle w:val="DefinedTerms"/>
      </w:pPr>
      <w:r>
        <w:t>Valuer</w:t>
      </w:r>
      <w:r>
        <w:noBreakHyphen/>
        <w:t>General</w:t>
      </w:r>
      <w:r>
        <w:tab/>
        <w:t>5</w:t>
      </w:r>
    </w:p>
    <w:p>
      <w:pPr>
        <w:pStyle w:val="DefinedTerms"/>
      </w:pPr>
      <w:r>
        <w:t>will</w:t>
      </w:r>
      <w:r>
        <w:tab/>
        <w:t>5</w:t>
      </w:r>
    </w:p>
    <w:p>
      <w:pPr>
        <w:pStyle w:val="DefinedTerms"/>
      </w:pPr>
      <w:r>
        <w:t>words</w:t>
      </w:r>
      <w:r>
        <w:tab/>
        <w:t>5</w:t>
      </w:r>
    </w:p>
    <w:p>
      <w:pPr>
        <w:pStyle w:val="DefinedTerms"/>
      </w:pPr>
      <w:r>
        <w:t>writing</w:t>
      </w:r>
      <w:r>
        <w:tab/>
        <w:t>5</w:t>
      </w:r>
    </w:p>
    <w:p>
      <w:pPr>
        <w:pStyle w:val="DefinedTerms"/>
      </w:pPr>
      <w:r>
        <w:t>written law</w:t>
      </w:r>
      <w:r>
        <w:tab/>
        <w:t>5</w:t>
      </w:r>
    </w:p>
    <w:p>
      <w:pPr>
        <w:pStyle w:val="DefinedTerms"/>
      </w:pPr>
      <w:r>
        <w:t>year</w:t>
      </w:r>
      <w:r>
        <w:tab/>
        <w:t>5</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9" w:name="Compilation"/>
    <w:bookmarkEnd w:id="2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2" w:name="DefinedTerms"/>
    <w:bookmarkEnd w:id="2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3" w:name="Coversheet"/>
    <w:bookmarkEnd w:id="2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5EAF1E"/>
    <w:lvl w:ilvl="0">
      <w:start w:val="1"/>
      <w:numFmt w:val="decimal"/>
      <w:lvlText w:val="%1."/>
      <w:lvlJc w:val="left"/>
      <w:pPr>
        <w:tabs>
          <w:tab w:val="num" w:pos="1492"/>
        </w:tabs>
        <w:ind w:left="1492" w:hanging="360"/>
      </w:pPr>
    </w:lvl>
  </w:abstractNum>
  <w:abstractNum w:abstractNumId="1">
    <w:nsid w:val="FFFFFF7D"/>
    <w:multiLevelType w:val="singleLevel"/>
    <w:tmpl w:val="D78A7466"/>
    <w:lvl w:ilvl="0">
      <w:start w:val="1"/>
      <w:numFmt w:val="decimal"/>
      <w:lvlText w:val="%1."/>
      <w:lvlJc w:val="left"/>
      <w:pPr>
        <w:tabs>
          <w:tab w:val="num" w:pos="1209"/>
        </w:tabs>
        <w:ind w:left="1209" w:hanging="360"/>
      </w:pPr>
    </w:lvl>
  </w:abstractNum>
  <w:abstractNum w:abstractNumId="2">
    <w:nsid w:val="FFFFFF7E"/>
    <w:multiLevelType w:val="singleLevel"/>
    <w:tmpl w:val="21949858"/>
    <w:lvl w:ilvl="0">
      <w:start w:val="1"/>
      <w:numFmt w:val="decimal"/>
      <w:lvlText w:val="%1."/>
      <w:lvlJc w:val="left"/>
      <w:pPr>
        <w:tabs>
          <w:tab w:val="num" w:pos="926"/>
        </w:tabs>
        <w:ind w:left="926" w:hanging="360"/>
      </w:pPr>
    </w:lvl>
  </w:abstractNum>
  <w:abstractNum w:abstractNumId="3">
    <w:nsid w:val="FFFFFF7F"/>
    <w:multiLevelType w:val="singleLevel"/>
    <w:tmpl w:val="CEF62A54"/>
    <w:lvl w:ilvl="0">
      <w:start w:val="1"/>
      <w:numFmt w:val="decimal"/>
      <w:lvlText w:val="%1."/>
      <w:lvlJc w:val="left"/>
      <w:pPr>
        <w:tabs>
          <w:tab w:val="num" w:pos="643"/>
        </w:tabs>
        <w:ind w:left="643" w:hanging="360"/>
      </w:pPr>
    </w:lvl>
  </w:abstractNum>
  <w:abstractNum w:abstractNumId="4">
    <w:nsid w:val="FFFFFF80"/>
    <w:multiLevelType w:val="singleLevel"/>
    <w:tmpl w:val="7EE0D3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428E3F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86E92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8B2D0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8CCDEE"/>
    <w:lvl w:ilvl="0">
      <w:start w:val="1"/>
      <w:numFmt w:val="decimal"/>
      <w:lvlText w:val="%1."/>
      <w:lvlJc w:val="left"/>
      <w:pPr>
        <w:tabs>
          <w:tab w:val="num" w:pos="360"/>
        </w:tabs>
        <w:ind w:left="360" w:hanging="360"/>
      </w:pPr>
    </w:lvl>
  </w:abstractNum>
  <w:abstractNum w:abstractNumId="9">
    <w:nsid w:val="FFFFFF89"/>
    <w:multiLevelType w:val="singleLevel"/>
    <w:tmpl w:val="71125AA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E8877F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65320"/>
    <w:docVar w:name="WAFER_20140130140307" w:val="RemoveTocBookmarks,RemoveUnusedBookmarks,RemoveLanguageTags,UsedStyles,ResetPageSize,UpdateArrangement"/>
    <w:docVar w:name="WAFER_20140130140307_GUID" w:val="6fe5262c-e220-49dd-901c-39e49a2892a7"/>
    <w:docVar w:name="WAFER_20140130140315" w:val="RemoveTocBookmarks,RunningHeaders"/>
    <w:docVar w:name="WAFER_20140130140315_GUID" w:val="1f9aba84-d7e9-45db-a069-46a5ad9f0ce6"/>
    <w:docVar w:name="WAFER_20150518114412" w:val="ResetPageSize,UpdateArrangement,UpdateNTable"/>
    <w:docVar w:name="WAFER_20150518114412_GUID" w:val="259119ea-1a15-406c-8337-6a747e0624c9"/>
    <w:docVar w:name="WAFER_20151102140053" w:val="UpdateStyles"/>
    <w:docVar w:name="WAFER_20151102140053_GUID" w:val="f91e2ee7-dc5b-46cb-bc45-8b236c570b26"/>
    <w:docVar w:name="WAFER_20151103165320" w:val="UsedStyles"/>
    <w:docVar w:name="WAFER_20151103165320_GUID" w:val="2bb67779-1907-4a7c-b4bc-90c476e6f7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17798</Words>
  <Characters>83656</Characters>
  <Application>Microsoft Office Word</Application>
  <DocSecurity>0</DocSecurity>
  <Lines>2323</Lines>
  <Paragraphs>1317</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100137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1984 - 07-c0-02</dc:title>
  <dc:subject/>
  <dc:creator/>
  <cp:keywords/>
  <dc:description/>
  <cp:lastModifiedBy>svcMRProcess</cp:lastModifiedBy>
  <cp:revision>4</cp:revision>
  <cp:lastPrinted>2011-02-01T03:30:00Z</cp:lastPrinted>
  <dcterms:created xsi:type="dcterms:W3CDTF">2019-05-11T00:30:00Z</dcterms:created>
  <dcterms:modified xsi:type="dcterms:W3CDTF">2019-05-11T00:30:00Z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384</vt:i4>
  </property>
  <property fmtid="{D5CDD505-2E9C-101B-9397-08002B2CF9AE}" pid="6" name="ReprintNo">
    <vt:lpwstr>7</vt:lpwstr>
  </property>
  <property fmtid="{D5CDD505-2E9C-101B-9397-08002B2CF9AE}" pid="7" name="ReprintedAsAt">
    <vt:filetime>2011-01-20T16:00:00Z</vt:filetime>
  </property>
  <property fmtid="{D5CDD505-2E9C-101B-9397-08002B2CF9AE}" pid="8" name="AsAtDate">
    <vt:lpwstr>06 Sep 2014</vt:lpwstr>
  </property>
  <property fmtid="{D5CDD505-2E9C-101B-9397-08002B2CF9AE}" pid="9" name="Suffix">
    <vt:lpwstr>07-c0-02</vt:lpwstr>
  </property>
</Properties>
</file>