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Petroleum Pipelines Act 1969</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_Toc33609777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_Toc33609778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_Toc33609779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Power of Minister to make certain declarations for interpretation purposes</w:t>
      </w:r>
      <w:r>
        <w:tab/>
      </w:r>
      <w:r>
        <w:fldChar w:fldCharType="begin"/>
      </w:r>
      <w:r>
        <w:instrText xml:space="preserve"> PAGEREF _Toc33609780 \h </w:instrText>
      </w:r>
      <w:r>
        <w:fldChar w:fldCharType="separate"/>
      </w:r>
      <w:r>
        <w:t>6</w:t>
      </w:r>
      <w:r>
        <w:fldChar w:fldCharType="end"/>
      </w:r>
    </w:p>
    <w:p>
      <w:pPr>
        <w:pStyle w:val="TOC8"/>
        <w:rPr>
          <w:rFonts w:asciiTheme="minorHAnsi" w:eastAsiaTheme="minorEastAsia" w:hAnsiTheme="minorHAnsi" w:cstheme="minorBidi"/>
          <w:szCs w:val="22"/>
        </w:rPr>
      </w:pPr>
      <w:r>
        <w:t>5AA.</w:t>
      </w:r>
      <w:r>
        <w:tab/>
        <w:t>Disapplication of State occupational safety and health laws</w:t>
      </w:r>
      <w:r>
        <w:tab/>
      </w:r>
      <w:r>
        <w:fldChar w:fldCharType="begin"/>
      </w:r>
      <w:r>
        <w:instrText xml:space="preserve"> PAGEREF _Toc33609781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II — Licences and acquisition of land and rights over land</w:t>
      </w:r>
    </w:p>
    <w:p>
      <w:pPr>
        <w:pStyle w:val="TOC8"/>
        <w:rPr>
          <w:rFonts w:asciiTheme="minorHAnsi" w:eastAsiaTheme="minorEastAsia" w:hAnsiTheme="minorHAnsi" w:cstheme="minorBidi"/>
          <w:szCs w:val="22"/>
        </w:rPr>
      </w:pPr>
      <w:r>
        <w:t>6</w:t>
      </w:r>
      <w:r>
        <w:rPr>
          <w:snapToGrid w:val="0"/>
        </w:rPr>
        <w:t>.</w:t>
      </w:r>
      <w:r>
        <w:rPr>
          <w:snapToGrid w:val="0"/>
        </w:rPr>
        <w:tab/>
        <w:t>Construction etc. of pipelines</w:t>
      </w:r>
      <w:r>
        <w:tab/>
      </w:r>
      <w:r>
        <w:fldChar w:fldCharType="begin"/>
      </w:r>
      <w:r>
        <w:instrText xml:space="preserve"> PAGEREF _Toc33609783 \h </w:instrText>
      </w:r>
      <w:r>
        <w:fldChar w:fldCharType="separate"/>
      </w:r>
      <w:r>
        <w:t>8</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Power of Minister to authorise entry</w:t>
      </w:r>
      <w:r>
        <w:tab/>
      </w:r>
      <w:r>
        <w:fldChar w:fldCharType="begin"/>
      </w:r>
      <w:r>
        <w:instrText xml:space="preserve"> PAGEREF _Toc33609784 \h </w:instrText>
      </w:r>
      <w:r>
        <w:fldChar w:fldCharType="separate"/>
      </w:r>
      <w:r>
        <w:t>9</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Application for licence</w:t>
      </w:r>
      <w:r>
        <w:tab/>
      </w:r>
      <w:r>
        <w:fldChar w:fldCharType="begin"/>
      </w:r>
      <w:r>
        <w:instrText xml:space="preserve"> PAGEREF _Toc33609785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Refusal of licence</w:t>
      </w:r>
      <w:r>
        <w:tab/>
      </w:r>
      <w:r>
        <w:fldChar w:fldCharType="begin"/>
      </w:r>
      <w:r>
        <w:instrText xml:space="preserve"> PAGEREF _Toc33609786 \h </w:instrText>
      </w:r>
      <w:r>
        <w:fldChar w:fldCharType="separate"/>
      </w:r>
      <w:r>
        <w:t>13</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Grant of licence</w:t>
      </w:r>
      <w:r>
        <w:tab/>
      </w:r>
      <w:r>
        <w:fldChar w:fldCharType="begin"/>
      </w:r>
      <w:r>
        <w:instrText xml:space="preserve"> PAGEREF _Toc33609787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Conditions of licence</w:t>
      </w:r>
      <w:r>
        <w:tab/>
      </w:r>
      <w:r>
        <w:fldChar w:fldCharType="begin"/>
      </w:r>
      <w:r>
        <w:instrText xml:space="preserve"> PAGEREF _Toc33609788 \h </w:instrText>
      </w:r>
      <w:r>
        <w:fldChar w:fldCharType="separate"/>
      </w:r>
      <w:r>
        <w:t>15</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Security</w:t>
      </w:r>
      <w:r>
        <w:tab/>
      </w:r>
      <w:r>
        <w:fldChar w:fldCharType="begin"/>
      </w:r>
      <w:r>
        <w:instrText xml:space="preserve"> PAGEREF _Toc33609789 \h </w:instrText>
      </w:r>
      <w:r>
        <w:fldChar w:fldCharType="separate"/>
      </w:r>
      <w:r>
        <w:t>16</w:t>
      </w:r>
      <w:r>
        <w:fldChar w:fldCharType="end"/>
      </w:r>
    </w:p>
    <w:p>
      <w:pPr>
        <w:pStyle w:val="TOC8"/>
        <w:rPr>
          <w:rFonts w:asciiTheme="minorHAnsi" w:eastAsiaTheme="minorEastAsia" w:hAnsiTheme="minorHAnsi" w:cstheme="minorBidi"/>
          <w:szCs w:val="22"/>
        </w:rPr>
      </w:pPr>
      <w:r>
        <w:t>14.</w:t>
      </w:r>
      <w:r>
        <w:tab/>
        <w:t>Term of licence</w:t>
      </w:r>
      <w:r>
        <w:tab/>
      </w:r>
      <w:r>
        <w:fldChar w:fldCharType="begin"/>
      </w:r>
      <w:r>
        <w:instrText xml:space="preserve"> PAGEREF _Toc33609790 \h </w:instrText>
      </w:r>
      <w:r>
        <w:fldChar w:fldCharType="separate"/>
      </w:r>
      <w:r>
        <w:t>17</w:t>
      </w:r>
      <w:r>
        <w:fldChar w:fldCharType="end"/>
      </w:r>
    </w:p>
    <w:p>
      <w:pPr>
        <w:pStyle w:val="TOC8"/>
        <w:rPr>
          <w:rFonts w:asciiTheme="minorHAnsi" w:eastAsiaTheme="minorEastAsia" w:hAnsiTheme="minorHAnsi" w:cstheme="minorBidi"/>
          <w:szCs w:val="22"/>
        </w:rPr>
      </w:pPr>
      <w:r>
        <w:t>15A.</w:t>
      </w:r>
      <w:r>
        <w:tab/>
        <w:t>Termination of pipeline licence if no operations for 5 years</w:t>
      </w:r>
      <w:r>
        <w:tab/>
      </w:r>
      <w:r>
        <w:fldChar w:fldCharType="begin"/>
      </w:r>
      <w:r>
        <w:instrText xml:space="preserve"> PAGEREF _Toc33609791 \h </w:instrText>
      </w:r>
      <w:r>
        <w:fldChar w:fldCharType="separate"/>
      </w:r>
      <w:r>
        <w:t>17</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Variation of licence on application by licensee</w:t>
      </w:r>
      <w:r>
        <w:tab/>
      </w:r>
      <w:r>
        <w:fldChar w:fldCharType="begin"/>
      </w:r>
      <w:r>
        <w:instrText xml:space="preserve"> PAGEREF _Toc33609792 \h </w:instrText>
      </w:r>
      <w:r>
        <w:fldChar w:fldCharType="separate"/>
      </w:r>
      <w:r>
        <w:t>18</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Power of Minister to grant easements etc. over Crown land</w:t>
      </w:r>
      <w:r>
        <w:tab/>
      </w:r>
      <w:r>
        <w:fldChar w:fldCharType="begin"/>
      </w:r>
      <w:r>
        <w:instrText xml:space="preserve"> PAGEREF _Toc33609793 \h </w:instrText>
      </w:r>
      <w:r>
        <w:fldChar w:fldCharType="separate"/>
      </w:r>
      <w:r>
        <w:t>19</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Power of public authority to grant easements etc.</w:t>
      </w:r>
      <w:r>
        <w:tab/>
      </w:r>
      <w:r>
        <w:fldChar w:fldCharType="begin"/>
      </w:r>
      <w:r>
        <w:instrText xml:space="preserve"> PAGEREF _Toc33609794 \h </w:instrText>
      </w:r>
      <w:r>
        <w:fldChar w:fldCharType="separate"/>
      </w:r>
      <w:r>
        <w:t>19</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Authority to make arrangements and agreements for easements</w:t>
      </w:r>
      <w:r>
        <w:tab/>
      </w:r>
      <w:r>
        <w:fldChar w:fldCharType="begin"/>
      </w:r>
      <w:r>
        <w:instrText xml:space="preserve"> PAGEREF _Toc33609795 \h </w:instrText>
      </w:r>
      <w:r>
        <w:fldChar w:fldCharType="separate"/>
      </w:r>
      <w:r>
        <w:t>20</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Taking of land or easement over land for the purposes of or incidental to construction or operation of pipeline</w:t>
      </w:r>
      <w:r>
        <w:tab/>
      </w:r>
      <w:r>
        <w:fldChar w:fldCharType="begin"/>
      </w:r>
      <w:r>
        <w:instrText xml:space="preserve"> PAGEREF _Toc33609796 \h </w:instrText>
      </w:r>
      <w:r>
        <w:fldChar w:fldCharType="separate"/>
      </w:r>
      <w:r>
        <w:t>20</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r>
        <w:tab/>
      </w:r>
      <w:r>
        <w:fldChar w:fldCharType="begin"/>
      </w:r>
      <w:r>
        <w:instrText xml:space="preserve"> PAGEREF _Toc33609797 \h </w:instrText>
      </w:r>
      <w:r>
        <w:fldChar w:fldCharType="separate"/>
      </w:r>
      <w:r>
        <w:t>22</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Directions as to conveyance of petroleum</w:t>
      </w:r>
      <w:r>
        <w:tab/>
      </w:r>
      <w:r>
        <w:fldChar w:fldCharType="begin"/>
      </w:r>
      <w:r>
        <w:instrText xml:space="preserve"> PAGEREF _Toc33609798 \h </w:instrText>
      </w:r>
      <w:r>
        <w:fldChar w:fldCharType="separate"/>
      </w:r>
      <w:r>
        <w:t>24</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Exemptions</w:t>
      </w:r>
      <w:r>
        <w:tab/>
      </w:r>
      <w:r>
        <w:fldChar w:fldCharType="begin"/>
      </w:r>
      <w:r>
        <w:instrText xml:space="preserve"> PAGEREF _Toc33609799 \h </w:instrText>
      </w:r>
      <w:r>
        <w:fldChar w:fldCharType="separate"/>
      </w:r>
      <w:r>
        <w:t>25</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Surrender of licence</w:t>
      </w:r>
      <w:r>
        <w:tab/>
      </w:r>
      <w:r>
        <w:fldChar w:fldCharType="begin"/>
      </w:r>
      <w:r>
        <w:instrText xml:space="preserve"> PAGEREF _Toc33609800 \h </w:instrText>
      </w:r>
      <w:r>
        <w:fldChar w:fldCharType="separate"/>
      </w:r>
      <w:r>
        <w:t>26</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Cancellation of licences for breach of conditions, the Act or regulations or non</w:t>
      </w:r>
      <w:r>
        <w:rPr>
          <w:snapToGrid w:val="0"/>
        </w:rPr>
        <w:noBreakHyphen/>
        <w:t>payment of amounts due</w:t>
      </w:r>
      <w:r>
        <w:tab/>
      </w:r>
      <w:r>
        <w:fldChar w:fldCharType="begin"/>
      </w:r>
      <w:r>
        <w:instrText xml:space="preserve"> PAGEREF _Toc33609801 \h </w:instrText>
      </w:r>
      <w:r>
        <w:fldChar w:fldCharType="separate"/>
      </w:r>
      <w:r>
        <w:t>28</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Change in position or route of pipeline</w:t>
      </w:r>
      <w:r>
        <w:tab/>
      </w:r>
      <w:r>
        <w:fldChar w:fldCharType="begin"/>
      </w:r>
      <w:r>
        <w:instrText xml:space="preserve"> PAGEREF _Toc33609802 \h </w:instrText>
      </w:r>
      <w:r>
        <w:fldChar w:fldCharType="separate"/>
      </w:r>
      <w:r>
        <w:t>29</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Cancellation of licences not affected by other provisions</w:t>
      </w:r>
      <w:r>
        <w:tab/>
      </w:r>
      <w:r>
        <w:fldChar w:fldCharType="begin"/>
      </w:r>
      <w:r>
        <w:instrText xml:space="preserve"> PAGEREF _Toc33609803 \h </w:instrText>
      </w:r>
      <w:r>
        <w:fldChar w:fldCharType="separate"/>
      </w:r>
      <w:r>
        <w:t>30</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Removal of property etc. by licensee</w:t>
      </w:r>
      <w:r>
        <w:tab/>
      </w:r>
      <w:r>
        <w:fldChar w:fldCharType="begin"/>
      </w:r>
      <w:r>
        <w:instrText xml:space="preserve"> PAGEREF _Toc33609804 \h </w:instrText>
      </w:r>
      <w:r>
        <w:fldChar w:fldCharType="separate"/>
      </w:r>
      <w:r>
        <w:t>31</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Powers of Minister where direction not complied with</w:t>
      </w:r>
      <w:r>
        <w:tab/>
      </w:r>
      <w:r>
        <w:fldChar w:fldCharType="begin"/>
      </w:r>
      <w:r>
        <w:instrText xml:space="preserve"> PAGEREF _Toc33609805 \h </w:instrText>
      </w:r>
      <w:r>
        <w:fldChar w:fldCharType="separate"/>
      </w:r>
      <w:r>
        <w:t>32</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Licence fees</w:t>
      </w:r>
      <w:r>
        <w:tab/>
      </w:r>
      <w:r>
        <w:fldChar w:fldCharType="begin"/>
      </w:r>
      <w:r>
        <w:instrText xml:space="preserve"> PAGEREF _Toc33609806 \h </w:instrText>
      </w:r>
      <w:r>
        <w:fldChar w:fldCharType="separate"/>
      </w:r>
      <w:r>
        <w:t>34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Penalty for late payment</w:t>
      </w:r>
      <w:r>
        <w:tab/>
      </w:r>
      <w:r>
        <w:fldChar w:fldCharType="begin"/>
      </w:r>
      <w:r>
        <w:instrText xml:space="preserve"> PAGEREF _Toc33609807 \h </w:instrText>
      </w:r>
      <w:r>
        <w:fldChar w:fldCharType="separate"/>
      </w:r>
      <w:r>
        <w:t>34</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Fees and penalties debts due to the Crown</w:t>
      </w:r>
      <w:r>
        <w:tab/>
      </w:r>
      <w:r>
        <w:fldChar w:fldCharType="begin"/>
      </w:r>
      <w:r>
        <w:instrText xml:space="preserve"> PAGEREF _Toc33609808 \h </w:instrText>
      </w:r>
      <w:r>
        <w:fldChar w:fldCharType="separate"/>
      </w:r>
      <w:r>
        <w:t>35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Certain written laws not to apply to licensed pipelines</w:t>
      </w:r>
      <w:r>
        <w:tab/>
      </w:r>
      <w:r>
        <w:fldChar w:fldCharType="begin"/>
      </w:r>
      <w:r>
        <w:instrText xml:space="preserve"> PAGEREF _Toc33609809 \h </w:instrText>
      </w:r>
      <w:r>
        <w:fldChar w:fldCharType="separate"/>
      </w:r>
      <w:r>
        <w:t>35</w:t>
      </w:r>
      <w:r>
        <w:fldChar w:fldCharType="end"/>
      </w:r>
    </w:p>
    <w:p>
      <w:pPr>
        <w:pStyle w:val="TOC2"/>
        <w:tabs>
          <w:tab w:val="right" w:leader="dot" w:pos="7077"/>
        </w:tabs>
        <w:rPr>
          <w:rFonts w:asciiTheme="minorHAnsi" w:eastAsiaTheme="minorEastAsia" w:hAnsiTheme="minorHAnsi" w:cstheme="minorBidi"/>
          <w:b w:val="0"/>
          <w:sz w:val="22"/>
          <w:szCs w:val="22"/>
        </w:rPr>
      </w:pPr>
      <w:r>
        <w:t>Part III — Construction and operation of pipeline</w:t>
      </w:r>
    </w:p>
    <w:p>
      <w:pPr>
        <w:pStyle w:val="TOC8"/>
        <w:rPr>
          <w:rFonts w:asciiTheme="minorHAnsi" w:eastAsiaTheme="minorEastAsia" w:hAnsiTheme="minorHAnsi" w:cstheme="minorBidi"/>
          <w:szCs w:val="22"/>
        </w:rPr>
      </w:pPr>
      <w:r>
        <w:t>33</w:t>
      </w:r>
      <w:r>
        <w:rPr>
          <w:snapToGrid w:val="0"/>
        </w:rPr>
        <w:t>.</w:t>
      </w:r>
      <w:r>
        <w:rPr>
          <w:snapToGrid w:val="0"/>
        </w:rPr>
        <w:tab/>
        <w:t>Construction to be along authorised route</w:t>
      </w:r>
      <w:r>
        <w:tab/>
      </w:r>
      <w:r>
        <w:fldChar w:fldCharType="begin"/>
      </w:r>
      <w:r>
        <w:instrText xml:space="preserve"> PAGEREF _Toc33609811 \h </w:instrText>
      </w:r>
      <w:r>
        <w:fldChar w:fldCharType="separate"/>
      </w:r>
      <w:r>
        <w:t>36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Construction to be in accordance with prescribed standards etc.</w:t>
      </w:r>
      <w:r>
        <w:tab/>
      </w:r>
      <w:r>
        <w:fldChar w:fldCharType="begin"/>
      </w:r>
      <w:r>
        <w:instrText xml:space="preserve"> PAGEREF _Toc33609812 \h </w:instrText>
      </w:r>
      <w:r>
        <w:fldChar w:fldCharType="separate"/>
      </w:r>
      <w:r>
        <w:t>36</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Pipelines to be operated continuously</w:t>
      </w:r>
      <w:r>
        <w:tab/>
      </w:r>
      <w:r>
        <w:fldChar w:fldCharType="begin"/>
      </w:r>
      <w:r>
        <w:instrText xml:space="preserve"> PAGEREF _Toc33609813 \h </w:instrText>
      </w:r>
      <w:r>
        <w:fldChar w:fldCharType="separate"/>
      </w:r>
      <w:r>
        <w:t>36</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Consent to commencement or resumption of pipeline operations</w:t>
      </w:r>
      <w:r>
        <w:tab/>
      </w:r>
      <w:r>
        <w:fldChar w:fldCharType="begin"/>
      </w:r>
      <w:r>
        <w:instrText xml:space="preserve"> PAGEREF _Toc33609814 \h </w:instrText>
      </w:r>
      <w:r>
        <w:fldChar w:fldCharType="separate"/>
      </w:r>
      <w:r>
        <w:t>37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Manner of operating pipelines</w:t>
      </w:r>
      <w:r>
        <w:tab/>
      </w:r>
      <w:r>
        <w:fldChar w:fldCharType="begin"/>
      </w:r>
      <w:r>
        <w:instrText xml:space="preserve"> PAGEREF _Toc33609815 \h </w:instrText>
      </w:r>
      <w:r>
        <w:fldChar w:fldCharType="separate"/>
      </w:r>
      <w:r>
        <w:t>37</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Waste or escape of substances from pipeline</w:t>
      </w:r>
      <w:r>
        <w:tab/>
      </w:r>
      <w:r>
        <w:fldChar w:fldCharType="begin"/>
      </w:r>
      <w:r>
        <w:instrText xml:space="preserve"> PAGEREF _Toc33609816 \h </w:instrText>
      </w:r>
      <w:r>
        <w:fldChar w:fldCharType="separate"/>
      </w:r>
      <w:r>
        <w:t>37</w:t>
      </w:r>
      <w:r>
        <w:fldChar w:fldCharType="end"/>
      </w:r>
    </w:p>
    <w:p>
      <w:pPr>
        <w:pStyle w:val="TOC8"/>
        <w:rPr>
          <w:rFonts w:asciiTheme="minorHAnsi" w:eastAsiaTheme="minorEastAsia" w:hAnsiTheme="minorHAnsi" w:cstheme="minorBidi"/>
          <w:szCs w:val="22"/>
        </w:rPr>
      </w:pPr>
      <w:r>
        <w:t>37A</w:t>
      </w:r>
      <w:r>
        <w:rPr>
          <w:snapToGrid w:val="0"/>
        </w:rPr>
        <w:t>.</w:t>
      </w:r>
      <w:r>
        <w:rPr>
          <w:snapToGrid w:val="0"/>
        </w:rPr>
        <w:tab/>
        <w:t>Insurance requirements</w:t>
      </w:r>
      <w:r>
        <w:tab/>
      </w:r>
      <w:r>
        <w:fldChar w:fldCharType="begin"/>
      </w:r>
      <w:r>
        <w:instrText xml:space="preserve"> PAGEREF _Toc33609817 \h </w:instrText>
      </w:r>
      <w:r>
        <w:fldChar w:fldCharType="separate"/>
      </w:r>
      <w:r>
        <w:t>38</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Marking route of pipeline and maintenance etc. of property</w:t>
      </w:r>
      <w:r>
        <w:tab/>
      </w:r>
      <w:r>
        <w:fldChar w:fldCharType="begin"/>
      </w:r>
      <w:r>
        <w:instrText xml:space="preserve"> PAGEREF _Toc33609818 \h </w:instrText>
      </w:r>
      <w:r>
        <w:fldChar w:fldCharType="separate"/>
      </w:r>
      <w:r>
        <w:t>38</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Pipelines on agricultural land, licensee’s duties</w:t>
      </w:r>
      <w:r>
        <w:tab/>
      </w:r>
      <w:r>
        <w:fldChar w:fldCharType="begin"/>
      </w:r>
      <w:r>
        <w:instrText xml:space="preserve"> PAGEREF _Toc33609819 \h </w:instrText>
      </w:r>
      <w:r>
        <w:fldChar w:fldCharType="separate"/>
      </w:r>
      <w:r>
        <w:t>39</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Pipelines crossing any water</w:t>
      </w:r>
      <w:r>
        <w:tab/>
      </w:r>
      <w:r>
        <w:fldChar w:fldCharType="begin"/>
      </w:r>
      <w:r>
        <w:instrText xml:space="preserve"> PAGEREF _Toc33609820 \h </w:instrText>
      </w:r>
      <w:r>
        <w:fldChar w:fldCharType="separate"/>
      </w:r>
      <w:r>
        <w:t>40</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Directions</w:t>
      </w:r>
      <w:r>
        <w:tab/>
      </w:r>
      <w:r>
        <w:fldChar w:fldCharType="begin"/>
      </w:r>
      <w:r>
        <w:instrText xml:space="preserve"> PAGEREF _Toc33609821 \h </w:instrText>
      </w:r>
      <w:r>
        <w:fldChar w:fldCharType="separate"/>
      </w:r>
      <w:r>
        <w:t>40</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Non-compliance with directions</w:t>
      </w:r>
      <w:r>
        <w:tab/>
      </w:r>
      <w:r>
        <w:fldChar w:fldCharType="begin"/>
      </w:r>
      <w:r>
        <w:instrText xml:space="preserve"> PAGEREF _Toc33609822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Part IV — Registration of licences and related instruments</w:t>
      </w:r>
    </w:p>
    <w:p>
      <w:pPr>
        <w:pStyle w:val="TOC8"/>
        <w:rPr>
          <w:rFonts w:asciiTheme="minorHAnsi" w:eastAsiaTheme="minorEastAsia" w:hAnsiTheme="minorHAnsi" w:cstheme="minorBidi"/>
          <w:szCs w:val="22"/>
        </w:rPr>
      </w:pPr>
      <w:r>
        <w:t>43</w:t>
      </w:r>
      <w:r>
        <w:rPr>
          <w:snapToGrid w:val="0"/>
        </w:rPr>
        <w:t>.</w:t>
      </w:r>
      <w:r>
        <w:rPr>
          <w:snapToGrid w:val="0"/>
        </w:rPr>
        <w:tab/>
        <w:t>Register of licences to be kept</w:t>
      </w:r>
      <w:r>
        <w:tab/>
      </w:r>
      <w:r>
        <w:fldChar w:fldCharType="begin"/>
      </w:r>
      <w:r>
        <w:instrText xml:space="preserve"> PAGEREF _Toc33609824 \h </w:instrText>
      </w:r>
      <w:r>
        <w:fldChar w:fldCharType="separate"/>
      </w:r>
      <w:r>
        <w:t>44</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Approval and registration of transfers</w:t>
      </w:r>
      <w:r>
        <w:tab/>
      </w:r>
      <w:r>
        <w:fldChar w:fldCharType="begin"/>
      </w:r>
      <w:r>
        <w:instrText xml:space="preserve"> PAGEREF _Toc33609825 \h </w:instrText>
      </w:r>
      <w:r>
        <w:fldChar w:fldCharType="separate"/>
      </w:r>
      <w:r>
        <w:t>45</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Entries in register on devolution of rights of registered holder</w:t>
      </w:r>
      <w:r>
        <w:tab/>
      </w:r>
      <w:r>
        <w:fldChar w:fldCharType="begin"/>
      </w:r>
      <w:r>
        <w:instrText xml:space="preserve"> PAGEREF _Toc33609826 \h </w:instrText>
      </w:r>
      <w:r>
        <w:fldChar w:fldCharType="separate"/>
      </w:r>
      <w:r>
        <w:t>47</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Approval of dealings creating etc. interests etc. in existing licences</w:t>
      </w:r>
      <w:r>
        <w:tab/>
      </w:r>
      <w:r>
        <w:fldChar w:fldCharType="begin"/>
      </w:r>
      <w:r>
        <w:instrText xml:space="preserve"> PAGEREF _Toc33609827 \h </w:instrText>
      </w:r>
      <w:r>
        <w:fldChar w:fldCharType="separate"/>
      </w:r>
      <w:r>
        <w:t>48</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True consideration to be shown</w:t>
      </w:r>
      <w:r>
        <w:tab/>
      </w:r>
      <w:r>
        <w:fldChar w:fldCharType="begin"/>
      </w:r>
      <w:r>
        <w:instrText xml:space="preserve"> PAGEREF _Toc33609828 \h </w:instrText>
      </w:r>
      <w:r>
        <w:fldChar w:fldCharType="separate"/>
      </w:r>
      <w:r>
        <w:t>53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Minister not concerned with certain matters</w:t>
      </w:r>
      <w:r>
        <w:tab/>
      </w:r>
      <w:r>
        <w:fldChar w:fldCharType="begin"/>
      </w:r>
      <w:r>
        <w:instrText xml:space="preserve"> PAGEREF _Toc33609829 \h </w:instrText>
      </w:r>
      <w:r>
        <w:fldChar w:fldCharType="separate"/>
      </w:r>
      <w:r>
        <w:t>53</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Power of Minister to require information as to proposed dealings</w:t>
      </w:r>
      <w:r>
        <w:tab/>
      </w:r>
      <w:r>
        <w:fldChar w:fldCharType="begin"/>
      </w:r>
      <w:r>
        <w:instrText xml:space="preserve"> PAGEREF _Toc33609830 \h </w:instrText>
      </w:r>
      <w:r>
        <w:fldChar w:fldCharType="separate"/>
      </w:r>
      <w:r>
        <w:t>53</w:t>
      </w:r>
      <w:r>
        <w:fldChar w:fldCharType="end"/>
      </w:r>
    </w:p>
    <w:p>
      <w:pPr>
        <w:pStyle w:val="TOC8"/>
        <w:rPr>
          <w:rFonts w:asciiTheme="minorHAnsi" w:eastAsiaTheme="minorEastAsia" w:hAnsiTheme="minorHAnsi" w:cstheme="minorBidi"/>
          <w:szCs w:val="22"/>
        </w:rPr>
      </w:pPr>
      <w:r>
        <w:t>51</w:t>
      </w:r>
      <w:r>
        <w:rPr>
          <w:snapToGrid w:val="0"/>
        </w:rPr>
        <w:t>.</w:t>
      </w:r>
      <w:r>
        <w:rPr>
          <w:snapToGrid w:val="0"/>
        </w:rPr>
        <w:tab/>
        <w:t>Production and inspection of books, records and documents</w:t>
      </w:r>
      <w:r>
        <w:tab/>
      </w:r>
      <w:r>
        <w:fldChar w:fldCharType="begin"/>
      </w:r>
      <w:r>
        <w:instrText xml:space="preserve"> PAGEREF _Toc33609831 \h </w:instrText>
      </w:r>
      <w:r>
        <w:fldChar w:fldCharType="separate"/>
      </w:r>
      <w:r>
        <w:t>54</w:t>
      </w:r>
      <w:r>
        <w:fldChar w:fldCharType="end"/>
      </w:r>
    </w:p>
    <w:p>
      <w:pPr>
        <w:pStyle w:val="TOC8"/>
        <w:rPr>
          <w:rFonts w:asciiTheme="minorHAnsi" w:eastAsiaTheme="minorEastAsia" w:hAnsiTheme="minorHAnsi" w:cstheme="minorBidi"/>
          <w:szCs w:val="22"/>
        </w:rPr>
      </w:pPr>
      <w:r>
        <w:t>52</w:t>
      </w:r>
      <w:r>
        <w:rPr>
          <w:snapToGrid w:val="0"/>
        </w:rPr>
        <w:t>.</w:t>
      </w:r>
      <w:r>
        <w:rPr>
          <w:snapToGrid w:val="0"/>
        </w:rPr>
        <w:tab/>
        <w:t>Inspection of register and documents</w:t>
      </w:r>
      <w:r>
        <w:tab/>
      </w:r>
      <w:r>
        <w:fldChar w:fldCharType="begin"/>
      </w:r>
      <w:r>
        <w:instrText xml:space="preserve"> PAGEREF _Toc33609832 \h </w:instrText>
      </w:r>
      <w:r>
        <w:fldChar w:fldCharType="separate"/>
      </w:r>
      <w:r>
        <w:t>55</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Evidentiary provisions</w:t>
      </w:r>
      <w:r>
        <w:tab/>
      </w:r>
      <w:r>
        <w:fldChar w:fldCharType="begin"/>
      </w:r>
      <w:r>
        <w:instrText xml:space="preserve"> PAGEREF _Toc33609833 \h </w:instrText>
      </w:r>
      <w:r>
        <w:fldChar w:fldCharType="separate"/>
      </w:r>
      <w:r>
        <w:t>55</w:t>
      </w:r>
      <w:r>
        <w:fldChar w:fldCharType="end"/>
      </w:r>
    </w:p>
    <w:p>
      <w:pPr>
        <w:pStyle w:val="TOC8"/>
        <w:rPr>
          <w:rFonts w:asciiTheme="minorHAnsi" w:eastAsiaTheme="minorEastAsia" w:hAnsiTheme="minorHAnsi" w:cstheme="minorBidi"/>
          <w:szCs w:val="22"/>
        </w:rPr>
      </w:pPr>
      <w:r>
        <w:t>53A</w:t>
      </w:r>
      <w:r>
        <w:rPr>
          <w:snapToGrid w:val="0"/>
        </w:rPr>
        <w:t>.</w:t>
      </w:r>
      <w:r>
        <w:rPr>
          <w:snapToGrid w:val="0"/>
        </w:rPr>
        <w:tab/>
        <w:t>Minister may make corrections to register</w:t>
      </w:r>
      <w:r>
        <w:tab/>
      </w:r>
      <w:r>
        <w:fldChar w:fldCharType="begin"/>
      </w:r>
      <w:r>
        <w:instrText xml:space="preserve"> PAGEREF _Toc33609834 \h </w:instrText>
      </w:r>
      <w:r>
        <w:fldChar w:fldCharType="separate"/>
      </w:r>
      <w:r>
        <w:t>56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Reviews</w:t>
      </w:r>
      <w:r>
        <w:tab/>
      </w:r>
      <w:r>
        <w:fldChar w:fldCharType="begin"/>
      </w:r>
      <w:r>
        <w:instrText xml:space="preserve"> PAGEREF _Toc33609835 \h </w:instrText>
      </w:r>
      <w:r>
        <w:fldChar w:fldCharType="separate"/>
      </w:r>
      <w:r>
        <w:t>56</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Offences</w:t>
      </w:r>
      <w:r>
        <w:tab/>
      </w:r>
      <w:r>
        <w:fldChar w:fldCharType="begin"/>
      </w:r>
      <w:r>
        <w:instrText xml:space="preserve"> PAGEREF _Toc33609836 \h </w:instrText>
      </w:r>
      <w:r>
        <w:fldChar w:fldCharType="separate"/>
      </w:r>
      <w:r>
        <w:t>57</w:t>
      </w:r>
      <w:r>
        <w:fldChar w:fldCharType="end"/>
      </w:r>
    </w:p>
    <w:p>
      <w:pPr>
        <w:pStyle w:val="TOC2"/>
        <w:tabs>
          <w:tab w:val="right" w:leader="dot" w:pos="7077"/>
        </w:tabs>
        <w:rPr>
          <w:rFonts w:asciiTheme="minorHAnsi" w:eastAsiaTheme="minorEastAsia" w:hAnsiTheme="minorHAnsi" w:cstheme="minorBidi"/>
          <w:b w:val="0"/>
          <w:sz w:val="22"/>
          <w:szCs w:val="22"/>
        </w:rPr>
      </w:pPr>
      <w:r>
        <w:t>Part IVA</w:t>
      </w:r>
      <w:r>
        <w:rPr>
          <w:b w:val="0"/>
        </w:rPr>
        <w:t> </w:t>
      </w:r>
      <w:r>
        <w:t>—</w:t>
      </w:r>
      <w:r>
        <w:rPr>
          <w:b w:val="0"/>
        </w:rPr>
        <w:t> </w:t>
      </w:r>
      <w:r>
        <w:t>Occupational safety and health</w:t>
      </w:r>
    </w:p>
    <w:p>
      <w:pPr>
        <w:pStyle w:val="TOC8"/>
        <w:rPr>
          <w:rFonts w:asciiTheme="minorHAnsi" w:eastAsiaTheme="minorEastAsia" w:hAnsiTheme="minorHAnsi" w:cstheme="minorBidi"/>
          <w:szCs w:val="22"/>
        </w:rPr>
      </w:pPr>
      <w:r>
        <w:t>56A.</w:t>
      </w:r>
      <w:r>
        <w:tab/>
        <w:t>Occupational safety and health</w:t>
      </w:r>
      <w:r>
        <w:tab/>
      </w:r>
      <w:r>
        <w:fldChar w:fldCharType="begin"/>
      </w:r>
      <w:r>
        <w:instrText xml:space="preserve"> PAGEREF _Toc33609838 \h </w:instrText>
      </w:r>
      <w:r>
        <w:fldChar w:fldCharType="separate"/>
      </w:r>
      <w:r>
        <w:t>58</w:t>
      </w:r>
      <w:r>
        <w:fldChar w:fldCharType="end"/>
      </w:r>
    </w:p>
    <w:p>
      <w:pPr>
        <w:pStyle w:val="TOC8"/>
        <w:rPr>
          <w:rFonts w:asciiTheme="minorHAnsi" w:eastAsiaTheme="minorEastAsia" w:hAnsiTheme="minorHAnsi" w:cstheme="minorBidi"/>
          <w:szCs w:val="22"/>
        </w:rPr>
      </w:pPr>
      <w:r>
        <w:t>56B.</w:t>
      </w:r>
      <w:r>
        <w:tab/>
        <w:t>Regulations relating to occupational safety and health</w:t>
      </w:r>
      <w:r>
        <w:tab/>
      </w:r>
      <w:r>
        <w:fldChar w:fldCharType="begin"/>
      </w:r>
      <w:r>
        <w:instrText xml:space="preserve"> PAGEREF _Toc33609839 \h </w:instrText>
      </w:r>
      <w:r>
        <w:fldChar w:fldCharType="separate"/>
      </w:r>
      <w:r>
        <w:t>58</w:t>
      </w:r>
      <w:r>
        <w:fldChar w:fldCharType="end"/>
      </w:r>
    </w:p>
    <w:p>
      <w:pPr>
        <w:pStyle w:val="TOC8"/>
        <w:rPr>
          <w:rFonts w:asciiTheme="minorHAnsi" w:eastAsiaTheme="minorEastAsia" w:hAnsiTheme="minorHAnsi" w:cstheme="minorBidi"/>
          <w:szCs w:val="22"/>
        </w:rPr>
      </w:pPr>
      <w:r>
        <w:t>56C.</w:t>
      </w:r>
      <w:r>
        <w:tab/>
        <w:t>Minister’s occupational safety and health functions</w:t>
      </w:r>
      <w:r>
        <w:tab/>
      </w:r>
      <w:r>
        <w:fldChar w:fldCharType="begin"/>
      </w:r>
      <w:r>
        <w:instrText xml:space="preserve"> PAGEREF _Toc33609840 \h </w:instrText>
      </w:r>
      <w:r>
        <w:fldChar w:fldCharType="separate"/>
      </w:r>
      <w:r>
        <w:t>58</w:t>
      </w:r>
      <w:r>
        <w:fldChar w:fldCharType="end"/>
      </w:r>
    </w:p>
    <w:p>
      <w:pPr>
        <w:pStyle w:val="TOC2"/>
        <w:tabs>
          <w:tab w:val="right" w:leader="dot" w:pos="7077"/>
        </w:tabs>
        <w:rPr>
          <w:rFonts w:asciiTheme="minorHAnsi" w:eastAsiaTheme="minorEastAsia" w:hAnsiTheme="minorHAnsi" w:cstheme="minorBidi"/>
          <w:b w:val="0"/>
          <w:sz w:val="22"/>
          <w:szCs w:val="22"/>
        </w:rPr>
      </w:pPr>
      <w:r>
        <w:t>Part V — Miscellaneous</w:t>
      </w:r>
    </w:p>
    <w:p>
      <w:pPr>
        <w:pStyle w:val="TOC8"/>
        <w:rPr>
          <w:rFonts w:asciiTheme="minorHAnsi" w:eastAsiaTheme="minorEastAsia" w:hAnsiTheme="minorHAnsi" w:cstheme="minorBidi"/>
          <w:szCs w:val="22"/>
        </w:rPr>
      </w:pPr>
      <w:r>
        <w:t>57</w:t>
      </w:r>
      <w:r>
        <w:rPr>
          <w:snapToGrid w:val="0"/>
        </w:rPr>
        <w:t>.</w:t>
      </w:r>
      <w:r>
        <w:rPr>
          <w:snapToGrid w:val="0"/>
        </w:rPr>
        <w:tab/>
        <w:t>Pipelines to remain property of owner</w:t>
      </w:r>
      <w:r>
        <w:tab/>
      </w:r>
      <w:r>
        <w:fldChar w:fldCharType="begin"/>
      </w:r>
      <w:r>
        <w:instrText xml:space="preserve"> PAGEREF _Toc33609842 \h </w:instrText>
      </w:r>
      <w:r>
        <w:fldChar w:fldCharType="separate"/>
      </w:r>
      <w:r>
        <w:t>60</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Notices of grants etc. of licences to be published</w:t>
      </w:r>
      <w:r>
        <w:tab/>
      </w:r>
      <w:r>
        <w:fldChar w:fldCharType="begin"/>
      </w:r>
      <w:r>
        <w:instrText xml:space="preserve"> PAGEREF _Toc33609843 \h </w:instrText>
      </w:r>
      <w:r>
        <w:fldChar w:fldCharType="separate"/>
      </w:r>
      <w:r>
        <w:t>60</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Judicial notice</w:t>
      </w:r>
      <w:r>
        <w:tab/>
      </w:r>
      <w:r>
        <w:fldChar w:fldCharType="begin"/>
      </w:r>
      <w:r>
        <w:instrText xml:space="preserve"> PAGEREF _Toc33609844 \h </w:instrText>
      </w:r>
      <w:r>
        <w:fldChar w:fldCharType="separate"/>
      </w:r>
      <w:r>
        <w:t>60</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Address for service</w:t>
      </w:r>
      <w:r>
        <w:tab/>
      </w:r>
      <w:r>
        <w:fldChar w:fldCharType="begin"/>
      </w:r>
      <w:r>
        <w:instrText xml:space="preserve"> PAGEREF _Toc33609845 \h </w:instrText>
      </w:r>
      <w:r>
        <w:fldChar w:fldCharType="separate"/>
      </w:r>
      <w:r>
        <w:t>61</w:t>
      </w:r>
      <w:r>
        <w:fldChar w:fldCharType="end"/>
      </w:r>
    </w:p>
    <w:p>
      <w:pPr>
        <w:pStyle w:val="TOC8"/>
        <w:rPr>
          <w:rFonts w:asciiTheme="minorHAnsi" w:eastAsiaTheme="minorEastAsia" w:hAnsiTheme="minorHAnsi" w:cstheme="minorBidi"/>
          <w:szCs w:val="22"/>
        </w:rPr>
      </w:pPr>
      <w:r>
        <w:t>60A</w:t>
      </w:r>
      <w:r>
        <w:rPr>
          <w:snapToGrid w:val="0"/>
        </w:rPr>
        <w:t>.</w:t>
      </w:r>
      <w:r>
        <w:rPr>
          <w:snapToGrid w:val="0"/>
        </w:rPr>
        <w:tab/>
        <w:t>Service of documents on 2 or more licensees</w:t>
      </w:r>
      <w:r>
        <w:tab/>
      </w:r>
      <w:r>
        <w:fldChar w:fldCharType="begin"/>
      </w:r>
      <w:r>
        <w:instrText xml:space="preserve"> PAGEREF _Toc33609846 \h </w:instrText>
      </w:r>
      <w:r>
        <w:fldChar w:fldCharType="separate"/>
      </w:r>
      <w:r>
        <w:t>61</w:t>
      </w:r>
      <w:r>
        <w:fldChar w:fldCharType="end"/>
      </w:r>
    </w:p>
    <w:p>
      <w:pPr>
        <w:pStyle w:val="TOC8"/>
        <w:rPr>
          <w:rFonts w:asciiTheme="minorHAnsi" w:eastAsiaTheme="minorEastAsia" w:hAnsiTheme="minorHAnsi" w:cstheme="minorBidi"/>
          <w:szCs w:val="22"/>
        </w:rPr>
      </w:pPr>
      <w:r>
        <w:t>61.</w:t>
      </w:r>
      <w:r>
        <w:tab/>
        <w:t>Power of Minister to delegate</w:t>
      </w:r>
      <w:r>
        <w:tab/>
      </w:r>
      <w:r>
        <w:fldChar w:fldCharType="begin"/>
      </w:r>
      <w:r>
        <w:instrText xml:space="preserve"> PAGEREF _Toc33609847 \h </w:instrText>
      </w:r>
      <w:r>
        <w:fldChar w:fldCharType="separate"/>
      </w:r>
      <w:r>
        <w:t>62</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Inspectors</w:t>
      </w:r>
      <w:r>
        <w:tab/>
      </w:r>
      <w:r>
        <w:fldChar w:fldCharType="begin"/>
      </w:r>
      <w:r>
        <w:instrText xml:space="preserve"> PAGEREF _Toc33609848 \h </w:instrText>
      </w:r>
      <w:r>
        <w:fldChar w:fldCharType="separate"/>
      </w:r>
      <w:r>
        <w:t>63</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Powers of inspectors</w:t>
      </w:r>
      <w:r>
        <w:tab/>
      </w:r>
      <w:r>
        <w:fldChar w:fldCharType="begin"/>
      </w:r>
      <w:r>
        <w:instrText xml:space="preserve"> PAGEREF _Toc33609849 \h </w:instrText>
      </w:r>
      <w:r>
        <w:fldChar w:fldCharType="separate"/>
      </w:r>
      <w:r>
        <w:t>63</w:t>
      </w:r>
      <w:r>
        <w:fldChar w:fldCharType="end"/>
      </w:r>
    </w:p>
    <w:p>
      <w:pPr>
        <w:pStyle w:val="TOC8"/>
        <w:rPr>
          <w:rFonts w:asciiTheme="minorHAnsi" w:eastAsiaTheme="minorEastAsia" w:hAnsiTheme="minorHAnsi" w:cstheme="minorBidi"/>
          <w:szCs w:val="22"/>
        </w:rPr>
      </w:pPr>
      <w:r>
        <w:t>63A.</w:t>
      </w:r>
      <w:r>
        <w:tab/>
        <w:t>Protection from liability for wrongdoing</w:t>
      </w:r>
      <w:r>
        <w:tab/>
      </w:r>
      <w:r>
        <w:fldChar w:fldCharType="begin"/>
      </w:r>
      <w:r>
        <w:instrText xml:space="preserve"> PAGEREF _Toc33609850 \h </w:instrText>
      </w:r>
      <w:r>
        <w:fldChar w:fldCharType="separate"/>
      </w:r>
      <w:r>
        <w:t>64</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Theft of petroleum from pipeline</w:t>
      </w:r>
      <w:r>
        <w:tab/>
      </w:r>
      <w:r>
        <w:fldChar w:fldCharType="begin"/>
      </w:r>
      <w:r>
        <w:instrText xml:space="preserve"> PAGEREF _Toc33609851 \h </w:instrText>
      </w:r>
      <w:r>
        <w:fldChar w:fldCharType="separate"/>
      </w:r>
      <w:r>
        <w:t>64</w:t>
      </w:r>
      <w:r>
        <w:fldChar w:fldCharType="end"/>
      </w:r>
    </w:p>
    <w:p>
      <w:pPr>
        <w:pStyle w:val="TOC8"/>
        <w:rPr>
          <w:rFonts w:asciiTheme="minorHAnsi" w:eastAsiaTheme="minorEastAsia" w:hAnsiTheme="minorHAnsi" w:cstheme="minorBidi"/>
          <w:szCs w:val="22"/>
        </w:rPr>
      </w:pPr>
      <w:r>
        <w:t>65.</w:t>
      </w:r>
      <w:r>
        <w:tab/>
        <w:t>Interfering with pipeline operation</w:t>
      </w:r>
      <w:r>
        <w:tab/>
      </w:r>
      <w:r>
        <w:fldChar w:fldCharType="begin"/>
      </w:r>
      <w:r>
        <w:instrText xml:space="preserve"> PAGEREF _Toc33609852 \h </w:instrText>
      </w:r>
      <w:r>
        <w:fldChar w:fldCharType="separate"/>
      </w:r>
      <w:r>
        <w:t>65</w:t>
      </w:r>
      <w:r>
        <w:fldChar w:fldCharType="end"/>
      </w:r>
    </w:p>
    <w:p>
      <w:pPr>
        <w:pStyle w:val="TOC8"/>
        <w:rPr>
          <w:rFonts w:asciiTheme="minorHAnsi" w:eastAsiaTheme="minorEastAsia" w:hAnsiTheme="minorHAnsi" w:cstheme="minorBidi"/>
          <w:szCs w:val="22"/>
        </w:rPr>
      </w:pPr>
      <w:r>
        <w:t>66</w:t>
      </w:r>
      <w:r>
        <w:rPr>
          <w:snapToGrid w:val="0"/>
        </w:rPr>
        <w:t>.</w:t>
      </w:r>
      <w:r>
        <w:rPr>
          <w:snapToGrid w:val="0"/>
        </w:rPr>
        <w:tab/>
        <w:t>Continuing offences</w:t>
      </w:r>
      <w:r>
        <w:tab/>
      </w:r>
      <w:r>
        <w:fldChar w:fldCharType="begin"/>
      </w:r>
      <w:r>
        <w:instrText xml:space="preserve"> PAGEREF _Toc33609853 \h </w:instrText>
      </w:r>
      <w:r>
        <w:fldChar w:fldCharType="separate"/>
      </w:r>
      <w:r>
        <w:t>65</w:t>
      </w:r>
      <w:r>
        <w:fldChar w:fldCharType="end"/>
      </w:r>
    </w:p>
    <w:p>
      <w:pPr>
        <w:pStyle w:val="TOC8"/>
        <w:rPr>
          <w:rFonts w:asciiTheme="minorHAnsi" w:eastAsiaTheme="minorEastAsia" w:hAnsiTheme="minorHAnsi" w:cstheme="minorBidi"/>
          <w:szCs w:val="22"/>
        </w:rPr>
      </w:pPr>
      <w:r>
        <w:t>66A</w:t>
      </w:r>
      <w:r>
        <w:rPr>
          <w:snapToGrid w:val="0"/>
        </w:rPr>
        <w:t>.</w:t>
      </w:r>
      <w:r>
        <w:rPr>
          <w:snapToGrid w:val="0"/>
        </w:rPr>
        <w:tab/>
        <w:t>Persons concerned in commission of offences</w:t>
      </w:r>
      <w:r>
        <w:tab/>
      </w:r>
      <w:r>
        <w:fldChar w:fldCharType="begin"/>
      </w:r>
      <w:r>
        <w:instrText xml:space="preserve"> PAGEREF _Toc33609854 \h </w:instrText>
      </w:r>
      <w:r>
        <w:fldChar w:fldCharType="separate"/>
      </w:r>
      <w:r>
        <w:t>66</w:t>
      </w:r>
      <w:r>
        <w:fldChar w:fldCharType="end"/>
      </w:r>
    </w:p>
    <w:p>
      <w:pPr>
        <w:pStyle w:val="TOC8"/>
        <w:rPr>
          <w:rFonts w:asciiTheme="minorHAnsi" w:eastAsiaTheme="minorEastAsia" w:hAnsiTheme="minorHAnsi" w:cstheme="minorBidi"/>
          <w:szCs w:val="22"/>
        </w:rPr>
      </w:pPr>
      <w:r>
        <w:t>66B.</w:t>
      </w:r>
      <w:r>
        <w:tab/>
        <w:t>Crimes and other offences</w:t>
      </w:r>
      <w:r>
        <w:tab/>
      </w:r>
      <w:r>
        <w:fldChar w:fldCharType="begin"/>
      </w:r>
      <w:r>
        <w:instrText xml:space="preserve"> PAGEREF _Toc33609855 \h </w:instrText>
      </w:r>
      <w:r>
        <w:fldChar w:fldCharType="separate"/>
      </w:r>
      <w:r>
        <w:t>66</w:t>
      </w:r>
      <w:r>
        <w:fldChar w:fldCharType="end"/>
      </w:r>
    </w:p>
    <w:p>
      <w:pPr>
        <w:pStyle w:val="TOC8"/>
        <w:rPr>
          <w:rFonts w:asciiTheme="minorHAnsi" w:eastAsiaTheme="minorEastAsia" w:hAnsiTheme="minorHAnsi" w:cstheme="minorBidi"/>
          <w:szCs w:val="22"/>
        </w:rPr>
      </w:pPr>
      <w:r>
        <w:t>66BA.</w:t>
      </w:r>
      <w:r>
        <w:tab/>
        <w:t>Time for bringing proceedings for offences against this Act (including the regulations)</w:t>
      </w:r>
      <w:r>
        <w:tab/>
      </w:r>
      <w:r>
        <w:fldChar w:fldCharType="begin"/>
      </w:r>
      <w:r>
        <w:instrText xml:space="preserve"> PAGEREF _Toc33609856 \h </w:instrText>
      </w:r>
      <w:r>
        <w:fldChar w:fldCharType="separate"/>
      </w:r>
      <w:r>
        <w:t>66</w:t>
      </w:r>
      <w:r>
        <w:fldChar w:fldCharType="end"/>
      </w:r>
    </w:p>
    <w:p>
      <w:pPr>
        <w:pStyle w:val="TOC8"/>
        <w:rPr>
          <w:rFonts w:asciiTheme="minorHAnsi" w:eastAsiaTheme="minorEastAsia" w:hAnsiTheme="minorHAnsi" w:cstheme="minorBidi"/>
          <w:szCs w:val="22"/>
        </w:rPr>
      </w:pPr>
      <w:r>
        <w:t>66BB.</w:t>
      </w:r>
      <w:r>
        <w:tab/>
        <w:t>Evidentiary matters</w:t>
      </w:r>
      <w:r>
        <w:tab/>
      </w:r>
      <w:r>
        <w:fldChar w:fldCharType="begin"/>
      </w:r>
      <w:r>
        <w:instrText xml:space="preserve"> PAGEREF _Toc33609857 \h </w:instrText>
      </w:r>
      <w:r>
        <w:fldChar w:fldCharType="separate"/>
      </w:r>
      <w:r>
        <w:t>66</w:t>
      </w:r>
      <w:r>
        <w:fldChar w:fldCharType="end"/>
      </w:r>
    </w:p>
    <w:p>
      <w:pPr>
        <w:pStyle w:val="TOC8"/>
        <w:rPr>
          <w:rFonts w:asciiTheme="minorHAnsi" w:eastAsiaTheme="minorEastAsia" w:hAnsiTheme="minorHAnsi" w:cstheme="minorBidi"/>
          <w:szCs w:val="22"/>
        </w:rPr>
      </w:pPr>
      <w:r>
        <w:t>66C</w:t>
      </w:r>
      <w:r>
        <w:rPr>
          <w:snapToGrid w:val="0"/>
        </w:rPr>
        <w:t>.</w:t>
      </w:r>
      <w:r>
        <w:rPr>
          <w:snapToGrid w:val="0"/>
        </w:rPr>
        <w:tab/>
        <w:t>Orders for forfeiture in respect of certain offences</w:t>
      </w:r>
      <w:r>
        <w:tab/>
      </w:r>
      <w:r>
        <w:fldChar w:fldCharType="begin"/>
      </w:r>
      <w:r>
        <w:instrText xml:space="preserve"> PAGEREF _Toc33609858 \h </w:instrText>
      </w:r>
      <w:r>
        <w:fldChar w:fldCharType="separate"/>
      </w:r>
      <w:r>
        <w:t>68</w:t>
      </w:r>
      <w:r>
        <w:fldChar w:fldCharType="end"/>
      </w:r>
    </w:p>
    <w:p>
      <w:pPr>
        <w:pStyle w:val="TOC8"/>
        <w:rPr>
          <w:rFonts w:asciiTheme="minorHAnsi" w:eastAsiaTheme="minorEastAsia" w:hAnsiTheme="minorHAnsi" w:cstheme="minorBidi"/>
          <w:szCs w:val="22"/>
        </w:rPr>
      </w:pPr>
      <w:r>
        <w:t>66D</w:t>
      </w:r>
      <w:r>
        <w:rPr>
          <w:snapToGrid w:val="0"/>
        </w:rPr>
        <w:t>.</w:t>
      </w:r>
      <w:r>
        <w:rPr>
          <w:snapToGrid w:val="0"/>
        </w:rPr>
        <w:tab/>
        <w:t>Disposal of forfeited goods</w:t>
      </w:r>
      <w:r>
        <w:tab/>
      </w:r>
      <w:r>
        <w:fldChar w:fldCharType="begin"/>
      </w:r>
      <w:r>
        <w:instrText xml:space="preserve"> PAGEREF _Toc33609859 \h </w:instrText>
      </w:r>
      <w:r>
        <w:fldChar w:fldCharType="separate"/>
      </w:r>
      <w:r>
        <w:t>69</w:t>
      </w:r>
      <w:r>
        <w:fldChar w:fldCharType="end"/>
      </w:r>
    </w:p>
    <w:p>
      <w:pPr>
        <w:pStyle w:val="TOC8"/>
        <w:rPr>
          <w:rFonts w:asciiTheme="minorHAnsi" w:eastAsiaTheme="minorEastAsia" w:hAnsiTheme="minorHAnsi" w:cstheme="minorBidi"/>
          <w:szCs w:val="22"/>
        </w:rPr>
      </w:pPr>
      <w:r>
        <w:t>66E.</w:t>
      </w:r>
      <w:r>
        <w:tab/>
        <w:t xml:space="preserve">Licences under section 10 are not personal property for the purposes of the </w:t>
      </w:r>
      <w:r>
        <w:rPr>
          <w:i/>
          <w:iCs/>
        </w:rPr>
        <w:t>Personal Property Securities Act 2009</w:t>
      </w:r>
      <w:r>
        <w:t xml:space="preserve"> (Commonwealth)</w:t>
      </w:r>
      <w:r>
        <w:tab/>
      </w:r>
      <w:r>
        <w:fldChar w:fldCharType="begin"/>
      </w:r>
      <w:r>
        <w:instrText xml:space="preserve"> PAGEREF _Toc33609860 \h </w:instrText>
      </w:r>
      <w:r>
        <w:fldChar w:fldCharType="separate"/>
      </w:r>
      <w:r>
        <w:t>69</w:t>
      </w:r>
      <w:r>
        <w:fldChar w:fldCharType="end"/>
      </w:r>
    </w:p>
    <w:p>
      <w:pPr>
        <w:pStyle w:val="TOC8"/>
        <w:rPr>
          <w:rFonts w:asciiTheme="minorHAnsi" w:eastAsiaTheme="minorEastAsia" w:hAnsiTheme="minorHAnsi" w:cstheme="minorBidi"/>
          <w:szCs w:val="22"/>
        </w:rPr>
      </w:pPr>
      <w:r>
        <w:t>67</w:t>
      </w:r>
      <w:r>
        <w:rPr>
          <w:snapToGrid w:val="0"/>
        </w:rPr>
        <w:t>.</w:t>
      </w:r>
      <w:r>
        <w:rPr>
          <w:snapToGrid w:val="0"/>
        </w:rPr>
        <w:tab/>
        <w:t>Regulations</w:t>
      </w:r>
      <w:r>
        <w:tab/>
      </w:r>
      <w:r>
        <w:fldChar w:fldCharType="begin"/>
      </w:r>
      <w:r>
        <w:instrText xml:space="preserve"> PAGEREF _Toc33609861 \h </w:instrText>
      </w:r>
      <w:r>
        <w:fldChar w:fldCharType="separate"/>
      </w:r>
      <w:r>
        <w:t>69</w:t>
      </w:r>
      <w:r>
        <w:fldChar w:fldCharType="end"/>
      </w:r>
    </w:p>
    <w:p>
      <w:pPr>
        <w:pStyle w:val="TOC2"/>
        <w:tabs>
          <w:tab w:val="right" w:leader="dot" w:pos="7077"/>
        </w:tabs>
        <w:rPr>
          <w:rFonts w:asciiTheme="minorHAnsi" w:eastAsiaTheme="minorEastAsia" w:hAnsiTheme="minorHAnsi" w:cstheme="minorBidi"/>
          <w:b w:val="0"/>
          <w:sz w:val="22"/>
          <w:szCs w:val="22"/>
        </w:rPr>
      </w:pPr>
      <w:r>
        <w:t>Schedule 1 — Occupational safety and health</w:t>
      </w:r>
    </w:p>
    <w:p>
      <w:pPr>
        <w:pStyle w:val="TOC4"/>
        <w:tabs>
          <w:tab w:val="right" w:leader="dot" w:pos="7077"/>
        </w:tabs>
        <w:rPr>
          <w:rFonts w:asciiTheme="minorHAnsi" w:eastAsiaTheme="minorEastAsia" w:hAnsiTheme="minorHAnsi" w:cstheme="minorBidi"/>
          <w:b w:val="0"/>
          <w:szCs w:val="22"/>
        </w:rPr>
      </w:pPr>
      <w:r>
        <w:t>Division 1</w:t>
      </w:r>
      <w:r>
        <w:rPr>
          <w:b w:val="0"/>
        </w:rPr>
        <w:t> — </w:t>
      </w:r>
      <w:r>
        <w:t>Introduction</w:t>
      </w:r>
    </w:p>
    <w:p>
      <w:pPr>
        <w:pStyle w:val="TOC8"/>
        <w:rPr>
          <w:rFonts w:asciiTheme="minorHAnsi" w:eastAsiaTheme="minorEastAsia" w:hAnsiTheme="minorHAnsi" w:cstheme="minorBidi"/>
          <w:szCs w:val="22"/>
        </w:rPr>
      </w:pPr>
      <w:r>
        <w:t>1.</w:t>
      </w:r>
      <w:r>
        <w:tab/>
        <w:t>Objects</w:t>
      </w:r>
      <w:r>
        <w:tab/>
      </w:r>
      <w:r>
        <w:fldChar w:fldCharType="begin"/>
      </w:r>
      <w:r>
        <w:instrText xml:space="preserve"> PAGEREF _Toc33609864 \h </w:instrText>
      </w:r>
      <w:r>
        <w:fldChar w:fldCharType="separate"/>
      </w:r>
      <w:r>
        <w:t>72</w:t>
      </w:r>
      <w:r>
        <w:fldChar w:fldCharType="end"/>
      </w:r>
    </w:p>
    <w:p>
      <w:pPr>
        <w:pStyle w:val="TOC8"/>
        <w:rPr>
          <w:rFonts w:asciiTheme="minorHAnsi" w:eastAsiaTheme="minorEastAsia" w:hAnsiTheme="minorHAnsi" w:cstheme="minorBidi"/>
          <w:szCs w:val="22"/>
        </w:rPr>
      </w:pPr>
      <w:r>
        <w:t>2.</w:t>
      </w:r>
      <w:r>
        <w:tab/>
        <w:t>Simplified outline</w:t>
      </w:r>
      <w:r>
        <w:tab/>
      </w:r>
      <w:r>
        <w:fldChar w:fldCharType="begin"/>
      </w:r>
      <w:r>
        <w:instrText xml:space="preserve"> PAGEREF _Toc33609865 \h </w:instrText>
      </w:r>
      <w:r>
        <w:fldChar w:fldCharType="separate"/>
      </w:r>
      <w:r>
        <w:t>72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_Toc33609866 \h </w:instrText>
      </w:r>
      <w:r>
        <w:fldChar w:fldCharType="separate"/>
      </w:r>
      <w:r>
        <w:t>73</w:t>
      </w:r>
      <w:r>
        <w:fldChar w:fldCharType="end"/>
      </w:r>
    </w:p>
    <w:p>
      <w:pPr>
        <w:pStyle w:val="TOC8"/>
        <w:rPr>
          <w:rFonts w:asciiTheme="minorHAnsi" w:eastAsiaTheme="minorEastAsia" w:hAnsiTheme="minorHAnsi" w:cstheme="minorBidi"/>
          <w:szCs w:val="22"/>
        </w:rPr>
      </w:pPr>
      <w:r>
        <w:t>4.</w:t>
      </w:r>
      <w:r>
        <w:tab/>
        <w:t>Licensee must ensure presence of licensee’s representative</w:t>
      </w:r>
      <w:r>
        <w:tab/>
      </w:r>
      <w:r>
        <w:fldChar w:fldCharType="begin"/>
      </w:r>
      <w:r>
        <w:instrText xml:space="preserve"> PAGEREF _Toc33609867 \h </w:instrText>
      </w:r>
      <w:r>
        <w:fldChar w:fldCharType="separate"/>
      </w:r>
      <w:r>
        <w:t>76</w:t>
      </w:r>
      <w:r>
        <w:fldChar w:fldCharType="end"/>
      </w:r>
    </w:p>
    <w:p>
      <w:pPr>
        <w:pStyle w:val="TOC8"/>
        <w:rPr>
          <w:rFonts w:asciiTheme="minorHAnsi" w:eastAsiaTheme="minorEastAsia" w:hAnsiTheme="minorHAnsi" w:cstheme="minorBidi"/>
          <w:szCs w:val="22"/>
        </w:rPr>
      </w:pPr>
      <w:r>
        <w:t>5.</w:t>
      </w:r>
      <w:r>
        <w:tab/>
        <w:t>Safety and health of persons using an accommodation amenity</w:t>
      </w:r>
      <w:r>
        <w:tab/>
      </w:r>
      <w:r>
        <w:fldChar w:fldCharType="begin"/>
      </w:r>
      <w:r>
        <w:instrText xml:space="preserve"> PAGEREF _Toc33609868 \h </w:instrText>
      </w:r>
      <w:r>
        <w:fldChar w:fldCharType="separate"/>
      </w:r>
      <w:r>
        <w:t>76</w:t>
      </w:r>
      <w:r>
        <w:fldChar w:fldCharType="end"/>
      </w:r>
    </w:p>
    <w:p>
      <w:pPr>
        <w:pStyle w:val="TOC8"/>
        <w:rPr>
          <w:rFonts w:asciiTheme="minorHAnsi" w:eastAsiaTheme="minorEastAsia" w:hAnsiTheme="minorHAnsi" w:cstheme="minorBidi"/>
          <w:szCs w:val="22"/>
        </w:rPr>
      </w:pPr>
      <w:r>
        <w:t>6.</w:t>
      </w:r>
      <w:r>
        <w:tab/>
        <w:t>Contractor</w:t>
      </w:r>
      <w:r>
        <w:tab/>
      </w:r>
      <w:r>
        <w:fldChar w:fldCharType="begin"/>
      </w:r>
      <w:r>
        <w:instrText xml:space="preserve"> PAGEREF _Toc33609869 \h </w:instrText>
      </w:r>
      <w:r>
        <w:fldChar w:fldCharType="separate"/>
      </w:r>
      <w:r>
        <w:t>76</w:t>
      </w:r>
      <w:r>
        <w:fldChar w:fldCharType="end"/>
      </w:r>
    </w:p>
    <w:p>
      <w:pPr>
        <w:pStyle w:val="TOC4"/>
        <w:tabs>
          <w:tab w:val="right" w:leader="dot" w:pos="7077"/>
        </w:tabs>
        <w:rPr>
          <w:rFonts w:asciiTheme="minorHAnsi" w:eastAsiaTheme="minorEastAsia" w:hAnsiTheme="minorHAnsi" w:cstheme="minorBidi"/>
          <w:b w:val="0"/>
          <w:szCs w:val="22"/>
        </w:rPr>
      </w:pPr>
      <w:r>
        <w:t>Division 2</w:t>
      </w:r>
      <w:r>
        <w:rPr>
          <w:b w:val="0"/>
        </w:rPr>
        <w:t> — </w:t>
      </w:r>
      <w:r>
        <w:t>Occupational safety and health</w:t>
      </w:r>
    </w:p>
    <w:p>
      <w:pPr>
        <w:pStyle w:val="TOC6"/>
        <w:tabs>
          <w:tab w:val="right" w:leader="dot" w:pos="7077"/>
        </w:tabs>
        <w:rPr>
          <w:rFonts w:asciiTheme="minorHAnsi" w:eastAsiaTheme="minorEastAsia" w:hAnsiTheme="minorHAnsi" w:cstheme="minorBidi"/>
          <w:b w:val="0"/>
          <w:sz w:val="22"/>
          <w:szCs w:val="22"/>
        </w:rPr>
      </w:pPr>
      <w:r>
        <w:t>Subdivision </w:t>
      </w:r>
      <w:r>
        <w:rPr>
          <w:bCs/>
        </w:rPr>
        <w:t>1</w:t>
      </w:r>
      <w:r>
        <w:rPr>
          <w:b w:val="0"/>
        </w:rPr>
        <w:t> — </w:t>
      </w:r>
      <w:r>
        <w:rPr>
          <w:bCs/>
        </w:rPr>
        <w:t xml:space="preserve">Duties </w:t>
      </w:r>
      <w:r>
        <w:t>relating to occupational safety and health</w:t>
      </w:r>
    </w:p>
    <w:p>
      <w:pPr>
        <w:pStyle w:val="TOC8"/>
        <w:rPr>
          <w:rFonts w:asciiTheme="minorHAnsi" w:eastAsiaTheme="minorEastAsia" w:hAnsiTheme="minorHAnsi" w:cstheme="minorBidi"/>
          <w:szCs w:val="22"/>
        </w:rPr>
      </w:pPr>
      <w:r>
        <w:t>7.</w:t>
      </w:r>
      <w:r>
        <w:tab/>
        <w:t>Duties of licensee</w:t>
      </w:r>
      <w:r>
        <w:tab/>
      </w:r>
      <w:r>
        <w:fldChar w:fldCharType="begin"/>
      </w:r>
      <w:r>
        <w:instrText xml:space="preserve"> PAGEREF _Toc33609872 \h </w:instrText>
      </w:r>
      <w:r>
        <w:fldChar w:fldCharType="separate"/>
      </w:r>
      <w:r>
        <w:t>77</w:t>
      </w:r>
      <w:r>
        <w:fldChar w:fldCharType="end"/>
      </w:r>
    </w:p>
    <w:p>
      <w:pPr>
        <w:pStyle w:val="TOC8"/>
        <w:rPr>
          <w:rFonts w:asciiTheme="minorHAnsi" w:eastAsiaTheme="minorEastAsia" w:hAnsiTheme="minorHAnsi" w:cstheme="minorBidi"/>
          <w:szCs w:val="22"/>
        </w:rPr>
      </w:pPr>
      <w:r>
        <w:t>8.</w:t>
      </w:r>
      <w:r>
        <w:tab/>
        <w:t>Duties of persons in control of parts of pipeline operation</w:t>
      </w:r>
      <w:r>
        <w:tab/>
      </w:r>
      <w:r>
        <w:fldChar w:fldCharType="begin"/>
      </w:r>
      <w:r>
        <w:instrText xml:space="preserve"> PAGEREF _Toc33609873 \h </w:instrText>
      </w:r>
      <w:r>
        <w:fldChar w:fldCharType="separate"/>
      </w:r>
      <w:r>
        <w:t>79</w:t>
      </w:r>
      <w:r>
        <w:fldChar w:fldCharType="end"/>
      </w:r>
    </w:p>
    <w:p>
      <w:pPr>
        <w:pStyle w:val="TOC8"/>
        <w:rPr>
          <w:rFonts w:asciiTheme="minorHAnsi" w:eastAsiaTheme="minorEastAsia" w:hAnsiTheme="minorHAnsi" w:cstheme="minorBidi"/>
          <w:szCs w:val="22"/>
        </w:rPr>
      </w:pPr>
      <w:r>
        <w:t>9.</w:t>
      </w:r>
      <w:r>
        <w:tab/>
        <w:t>Duties of employers</w:t>
      </w:r>
      <w:r>
        <w:tab/>
      </w:r>
      <w:r>
        <w:fldChar w:fldCharType="begin"/>
      </w:r>
      <w:r>
        <w:instrText xml:space="preserve"> PAGEREF _Toc33609874 \h </w:instrText>
      </w:r>
      <w:r>
        <w:fldChar w:fldCharType="separate"/>
      </w:r>
      <w:r>
        <w:t>80</w:t>
      </w:r>
      <w:r>
        <w:fldChar w:fldCharType="end"/>
      </w:r>
    </w:p>
    <w:p>
      <w:pPr>
        <w:pStyle w:val="TOC8"/>
        <w:rPr>
          <w:rFonts w:asciiTheme="minorHAnsi" w:eastAsiaTheme="minorEastAsia" w:hAnsiTheme="minorHAnsi" w:cstheme="minorBidi"/>
          <w:szCs w:val="22"/>
        </w:rPr>
      </w:pPr>
      <w:r>
        <w:t>10.</w:t>
      </w:r>
      <w:r>
        <w:tab/>
        <w:t>Duties of manufacturers in relation to plant and substances</w:t>
      </w:r>
      <w:r>
        <w:tab/>
      </w:r>
      <w:r>
        <w:fldChar w:fldCharType="begin"/>
      </w:r>
      <w:r>
        <w:instrText xml:space="preserve"> PAGEREF _Toc33609875 \h </w:instrText>
      </w:r>
      <w:r>
        <w:fldChar w:fldCharType="separate"/>
      </w:r>
      <w:r>
        <w:t>81</w:t>
      </w:r>
      <w:r>
        <w:fldChar w:fldCharType="end"/>
      </w:r>
    </w:p>
    <w:p>
      <w:pPr>
        <w:pStyle w:val="TOC8"/>
        <w:rPr>
          <w:rFonts w:asciiTheme="minorHAnsi" w:eastAsiaTheme="minorEastAsia" w:hAnsiTheme="minorHAnsi" w:cstheme="minorBidi"/>
          <w:szCs w:val="22"/>
        </w:rPr>
      </w:pPr>
      <w:r>
        <w:t>11.</w:t>
      </w:r>
      <w:r>
        <w:tab/>
        <w:t>Duties of suppliers of pipelines, plant and substances</w:t>
      </w:r>
      <w:r>
        <w:tab/>
      </w:r>
      <w:r>
        <w:fldChar w:fldCharType="begin"/>
      </w:r>
      <w:r>
        <w:instrText xml:space="preserve"> PAGEREF _Toc33609876 \h </w:instrText>
      </w:r>
      <w:r>
        <w:fldChar w:fldCharType="separate"/>
      </w:r>
      <w:r>
        <w:t>83</w:t>
      </w:r>
      <w:r>
        <w:fldChar w:fldCharType="end"/>
      </w:r>
    </w:p>
    <w:p>
      <w:pPr>
        <w:pStyle w:val="TOC8"/>
        <w:rPr>
          <w:rFonts w:asciiTheme="minorHAnsi" w:eastAsiaTheme="minorEastAsia" w:hAnsiTheme="minorHAnsi" w:cstheme="minorBidi"/>
          <w:szCs w:val="22"/>
        </w:rPr>
      </w:pPr>
      <w:r>
        <w:t>12.</w:t>
      </w:r>
      <w:r>
        <w:tab/>
        <w:t>Duties of persons constructing pipelines or installing plant</w:t>
      </w:r>
      <w:r>
        <w:tab/>
      </w:r>
      <w:r>
        <w:fldChar w:fldCharType="begin"/>
      </w:r>
      <w:r>
        <w:instrText xml:space="preserve"> PAGEREF _Toc33609877 \h </w:instrText>
      </w:r>
      <w:r>
        <w:fldChar w:fldCharType="separate"/>
      </w:r>
      <w:r>
        <w:t>84</w:t>
      </w:r>
      <w:r>
        <w:fldChar w:fldCharType="end"/>
      </w:r>
    </w:p>
    <w:p>
      <w:pPr>
        <w:pStyle w:val="TOC8"/>
        <w:rPr>
          <w:rFonts w:asciiTheme="minorHAnsi" w:eastAsiaTheme="minorEastAsia" w:hAnsiTheme="minorHAnsi" w:cstheme="minorBidi"/>
          <w:szCs w:val="22"/>
        </w:rPr>
      </w:pPr>
      <w:r>
        <w:t>13.</w:t>
      </w:r>
      <w:r>
        <w:tab/>
        <w:t>Duties of persons in relation to occupational safety and health</w:t>
      </w:r>
      <w:r>
        <w:tab/>
      </w:r>
      <w:r>
        <w:fldChar w:fldCharType="begin"/>
      </w:r>
      <w:r>
        <w:instrText xml:space="preserve"> PAGEREF _Toc33609878 \h </w:instrText>
      </w:r>
      <w:r>
        <w:fldChar w:fldCharType="separate"/>
      </w:r>
      <w:r>
        <w:t>85</w:t>
      </w:r>
      <w:r>
        <w:fldChar w:fldCharType="end"/>
      </w:r>
    </w:p>
    <w:p>
      <w:pPr>
        <w:pStyle w:val="TOC8"/>
        <w:rPr>
          <w:rFonts w:asciiTheme="minorHAnsi" w:eastAsiaTheme="minorEastAsia" w:hAnsiTheme="minorHAnsi" w:cstheme="minorBidi"/>
          <w:szCs w:val="22"/>
        </w:rPr>
      </w:pPr>
      <w:r>
        <w:t>14.</w:t>
      </w:r>
      <w:r>
        <w:tab/>
        <w:t>Reliance on information supplied or results of research</w:t>
      </w:r>
      <w:r>
        <w:tab/>
      </w:r>
      <w:r>
        <w:fldChar w:fldCharType="begin"/>
      </w:r>
      <w:r>
        <w:instrText xml:space="preserve"> PAGEREF _Toc33609879 \h </w:instrText>
      </w:r>
      <w:r>
        <w:fldChar w:fldCharType="separate"/>
      </w:r>
      <w:r>
        <w:t>86</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2</w:t>
      </w:r>
      <w:r>
        <w:rPr>
          <w:b w:val="0"/>
        </w:rPr>
        <w:t> — </w:t>
      </w:r>
      <w:r>
        <w:rPr>
          <w:bCs/>
        </w:rPr>
        <w:t>Regulations</w:t>
      </w:r>
      <w:r>
        <w:t xml:space="preserve"> relating to occupational safety and health</w:t>
      </w:r>
    </w:p>
    <w:p>
      <w:pPr>
        <w:pStyle w:val="TOC8"/>
        <w:rPr>
          <w:rFonts w:asciiTheme="minorHAnsi" w:eastAsiaTheme="minorEastAsia" w:hAnsiTheme="minorHAnsi" w:cstheme="minorBidi"/>
          <w:szCs w:val="22"/>
        </w:rPr>
      </w:pPr>
      <w:r>
        <w:t>15.</w:t>
      </w:r>
      <w:r>
        <w:tab/>
        <w:t>Regulations relating to occupational safety and health</w:t>
      </w:r>
      <w:r>
        <w:tab/>
      </w:r>
      <w:r>
        <w:fldChar w:fldCharType="begin"/>
      </w:r>
      <w:r>
        <w:instrText xml:space="preserve"> PAGEREF _Toc33609881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3</w:t>
      </w:r>
      <w:r>
        <w:rPr>
          <w:b w:val="0"/>
        </w:rPr>
        <w:t> — </w:t>
      </w:r>
      <w:r>
        <w:t>Workplace arrangements</w:t>
      </w:r>
    </w:p>
    <w:p>
      <w:pPr>
        <w:pStyle w:val="TOC6"/>
        <w:tabs>
          <w:tab w:val="right" w:leader="dot" w:pos="7077"/>
        </w:tabs>
        <w:rPr>
          <w:rFonts w:asciiTheme="minorHAnsi" w:eastAsiaTheme="minorEastAsia" w:hAnsiTheme="minorHAnsi" w:cstheme="minorBidi"/>
          <w:b w:val="0"/>
          <w:sz w:val="22"/>
          <w:szCs w:val="22"/>
        </w:rPr>
      </w:pPr>
      <w:r>
        <w:t>Subdivision </w:t>
      </w:r>
      <w:r>
        <w:rPr>
          <w:bCs/>
        </w:rPr>
        <w:t>1</w:t>
      </w:r>
      <w:r>
        <w:rPr>
          <w:b w:val="0"/>
        </w:rPr>
        <w:t> — </w:t>
      </w:r>
      <w:r>
        <w:rPr>
          <w:bCs/>
        </w:rPr>
        <w:t>Introduction</w:t>
      </w:r>
    </w:p>
    <w:p>
      <w:pPr>
        <w:pStyle w:val="TOC8"/>
        <w:rPr>
          <w:rFonts w:asciiTheme="minorHAnsi" w:eastAsiaTheme="minorEastAsia" w:hAnsiTheme="minorHAnsi" w:cstheme="minorBidi"/>
          <w:szCs w:val="22"/>
        </w:rPr>
      </w:pPr>
      <w:r>
        <w:t>16.</w:t>
      </w:r>
      <w:r>
        <w:tab/>
        <w:t>Simplified outline</w:t>
      </w:r>
      <w:r>
        <w:tab/>
      </w:r>
      <w:r>
        <w:fldChar w:fldCharType="begin"/>
      </w:r>
      <w:r>
        <w:instrText xml:space="preserve"> PAGEREF _Toc33609884 \h </w:instrText>
      </w:r>
      <w:r>
        <w:fldChar w:fldCharType="separate"/>
      </w:r>
      <w:r>
        <w:t>89</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2</w:t>
      </w:r>
      <w:r>
        <w:rPr>
          <w:b w:val="0"/>
        </w:rPr>
        <w:t> — </w:t>
      </w:r>
      <w:r>
        <w:rPr>
          <w:bCs/>
        </w:rPr>
        <w:t xml:space="preserve">Designated </w:t>
      </w:r>
      <w:r>
        <w:t>work groups</w:t>
      </w:r>
    </w:p>
    <w:p>
      <w:pPr>
        <w:pStyle w:val="TOC8"/>
        <w:rPr>
          <w:rFonts w:asciiTheme="minorHAnsi" w:eastAsiaTheme="minorEastAsia" w:hAnsiTheme="minorHAnsi" w:cstheme="minorBidi"/>
          <w:szCs w:val="22"/>
        </w:rPr>
      </w:pPr>
      <w:r>
        <w:t>17.</w:t>
      </w:r>
      <w:r>
        <w:tab/>
        <w:t>Establishment of designated work groups by request</w:t>
      </w:r>
      <w:r>
        <w:tab/>
      </w:r>
      <w:r>
        <w:fldChar w:fldCharType="begin"/>
      </w:r>
      <w:r>
        <w:instrText xml:space="preserve"> PAGEREF _Toc33609886 \h </w:instrText>
      </w:r>
      <w:r>
        <w:fldChar w:fldCharType="separate"/>
      </w:r>
      <w:r>
        <w:t>90</w:t>
      </w:r>
      <w:r>
        <w:fldChar w:fldCharType="end"/>
      </w:r>
    </w:p>
    <w:p>
      <w:pPr>
        <w:pStyle w:val="TOC8"/>
        <w:rPr>
          <w:rFonts w:asciiTheme="minorHAnsi" w:eastAsiaTheme="minorEastAsia" w:hAnsiTheme="minorHAnsi" w:cstheme="minorBidi"/>
          <w:szCs w:val="22"/>
        </w:rPr>
      </w:pPr>
      <w:r>
        <w:t>18.</w:t>
      </w:r>
      <w:r>
        <w:tab/>
        <w:t>Establishment of designated work groups at initiative of licensee</w:t>
      </w:r>
      <w:r>
        <w:tab/>
      </w:r>
      <w:r>
        <w:fldChar w:fldCharType="begin"/>
      </w:r>
      <w:r>
        <w:instrText xml:space="preserve"> PAGEREF _Toc33609887 \h </w:instrText>
      </w:r>
      <w:r>
        <w:fldChar w:fldCharType="separate"/>
      </w:r>
      <w:r>
        <w:t>91</w:t>
      </w:r>
      <w:r>
        <w:fldChar w:fldCharType="end"/>
      </w:r>
    </w:p>
    <w:p>
      <w:pPr>
        <w:pStyle w:val="TOC8"/>
        <w:rPr>
          <w:rFonts w:asciiTheme="minorHAnsi" w:eastAsiaTheme="minorEastAsia" w:hAnsiTheme="minorHAnsi" w:cstheme="minorBidi"/>
          <w:szCs w:val="22"/>
        </w:rPr>
      </w:pPr>
      <w:r>
        <w:t>19.</w:t>
      </w:r>
      <w:r>
        <w:tab/>
        <w:t>Variation of designated work groups by request</w:t>
      </w:r>
      <w:r>
        <w:tab/>
      </w:r>
      <w:r>
        <w:fldChar w:fldCharType="begin"/>
      </w:r>
      <w:r>
        <w:instrText xml:space="preserve"> PAGEREF _Toc33609888 \h </w:instrText>
      </w:r>
      <w:r>
        <w:fldChar w:fldCharType="separate"/>
      </w:r>
      <w:r>
        <w:t>91</w:t>
      </w:r>
      <w:r>
        <w:fldChar w:fldCharType="end"/>
      </w:r>
    </w:p>
    <w:p>
      <w:pPr>
        <w:pStyle w:val="TOC8"/>
        <w:rPr>
          <w:rFonts w:asciiTheme="minorHAnsi" w:eastAsiaTheme="minorEastAsia" w:hAnsiTheme="minorHAnsi" w:cstheme="minorBidi"/>
          <w:szCs w:val="22"/>
        </w:rPr>
      </w:pPr>
      <w:r>
        <w:t>20.</w:t>
      </w:r>
      <w:r>
        <w:tab/>
        <w:t>Variation of designated work groups at initiative of licensee</w:t>
      </w:r>
      <w:r>
        <w:tab/>
      </w:r>
      <w:r>
        <w:fldChar w:fldCharType="begin"/>
      </w:r>
      <w:r>
        <w:instrText xml:space="preserve"> PAGEREF _Toc33609889 \h </w:instrText>
      </w:r>
      <w:r>
        <w:fldChar w:fldCharType="separate"/>
      </w:r>
      <w:r>
        <w:t>93</w:t>
      </w:r>
      <w:r>
        <w:fldChar w:fldCharType="end"/>
      </w:r>
    </w:p>
    <w:p>
      <w:pPr>
        <w:pStyle w:val="TOC8"/>
        <w:rPr>
          <w:rFonts w:asciiTheme="minorHAnsi" w:eastAsiaTheme="minorEastAsia" w:hAnsiTheme="minorHAnsi" w:cstheme="minorBidi"/>
          <w:szCs w:val="22"/>
        </w:rPr>
      </w:pPr>
      <w:r>
        <w:t>21.</w:t>
      </w:r>
      <w:r>
        <w:tab/>
        <w:t>Referral of disagreement to reviewing authority</w:t>
      </w:r>
      <w:r>
        <w:tab/>
      </w:r>
      <w:r>
        <w:fldChar w:fldCharType="begin"/>
      </w:r>
      <w:r>
        <w:instrText xml:space="preserve"> PAGEREF _Toc33609890 \h </w:instrText>
      </w:r>
      <w:r>
        <w:fldChar w:fldCharType="separate"/>
      </w:r>
      <w:r>
        <w:t>93</w:t>
      </w:r>
      <w:r>
        <w:fldChar w:fldCharType="end"/>
      </w:r>
    </w:p>
    <w:p>
      <w:pPr>
        <w:pStyle w:val="TOC8"/>
        <w:rPr>
          <w:rFonts w:asciiTheme="minorHAnsi" w:eastAsiaTheme="minorEastAsia" w:hAnsiTheme="minorHAnsi" w:cstheme="minorBidi"/>
          <w:szCs w:val="22"/>
        </w:rPr>
      </w:pPr>
      <w:r>
        <w:t>22.</w:t>
      </w:r>
      <w:r>
        <w:tab/>
        <w:t>Manner of grouping members of workforce</w:t>
      </w:r>
      <w:r>
        <w:tab/>
      </w:r>
      <w:r>
        <w:fldChar w:fldCharType="begin"/>
      </w:r>
      <w:r>
        <w:instrText xml:space="preserve"> PAGEREF _Toc33609891 \h </w:instrText>
      </w:r>
      <w:r>
        <w:fldChar w:fldCharType="separate"/>
      </w:r>
      <w:r>
        <w:t>94</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3</w:t>
      </w:r>
      <w:r>
        <w:rPr>
          <w:b w:val="0"/>
        </w:rPr>
        <w:t> — </w:t>
      </w:r>
      <w:r>
        <w:rPr>
          <w:bCs/>
        </w:rPr>
        <w:t>Safety and health</w:t>
      </w:r>
      <w:r>
        <w:t xml:space="preserve"> representatives</w:t>
      </w:r>
    </w:p>
    <w:p>
      <w:pPr>
        <w:pStyle w:val="TOC8"/>
        <w:rPr>
          <w:rFonts w:asciiTheme="minorHAnsi" w:eastAsiaTheme="minorEastAsia" w:hAnsiTheme="minorHAnsi" w:cstheme="minorBidi"/>
          <w:szCs w:val="22"/>
        </w:rPr>
      </w:pPr>
      <w:r>
        <w:t>23.</w:t>
      </w:r>
      <w:r>
        <w:tab/>
        <w:t>Selection of safety and health representatives</w:t>
      </w:r>
      <w:r>
        <w:tab/>
      </w:r>
      <w:r>
        <w:fldChar w:fldCharType="begin"/>
      </w:r>
      <w:r>
        <w:instrText xml:space="preserve"> PAGEREF _Toc33609893 \h </w:instrText>
      </w:r>
      <w:r>
        <w:fldChar w:fldCharType="separate"/>
      </w:r>
      <w:r>
        <w:t>95</w:t>
      </w:r>
      <w:r>
        <w:fldChar w:fldCharType="end"/>
      </w:r>
    </w:p>
    <w:p>
      <w:pPr>
        <w:pStyle w:val="TOC8"/>
        <w:rPr>
          <w:rFonts w:asciiTheme="minorHAnsi" w:eastAsiaTheme="minorEastAsia" w:hAnsiTheme="minorHAnsi" w:cstheme="minorBidi"/>
          <w:szCs w:val="22"/>
        </w:rPr>
      </w:pPr>
      <w:r>
        <w:t>24.</w:t>
      </w:r>
      <w:r>
        <w:tab/>
        <w:t>Election of safety and health representatives</w:t>
      </w:r>
      <w:r>
        <w:tab/>
      </w:r>
      <w:r>
        <w:fldChar w:fldCharType="begin"/>
      </w:r>
      <w:r>
        <w:instrText xml:space="preserve"> PAGEREF _Toc33609894 \h </w:instrText>
      </w:r>
      <w:r>
        <w:fldChar w:fldCharType="separate"/>
      </w:r>
      <w:r>
        <w:t>95</w:t>
      </w:r>
      <w:r>
        <w:fldChar w:fldCharType="end"/>
      </w:r>
    </w:p>
    <w:p>
      <w:pPr>
        <w:pStyle w:val="TOC8"/>
        <w:rPr>
          <w:rFonts w:asciiTheme="minorHAnsi" w:eastAsiaTheme="minorEastAsia" w:hAnsiTheme="minorHAnsi" w:cstheme="minorBidi"/>
          <w:szCs w:val="22"/>
        </w:rPr>
      </w:pPr>
      <w:r>
        <w:t>25.</w:t>
      </w:r>
      <w:r>
        <w:tab/>
        <w:t>List of safety and health representatives</w:t>
      </w:r>
      <w:r>
        <w:tab/>
      </w:r>
      <w:r>
        <w:fldChar w:fldCharType="begin"/>
      </w:r>
      <w:r>
        <w:instrText xml:space="preserve"> PAGEREF _Toc33609895 \h </w:instrText>
      </w:r>
      <w:r>
        <w:fldChar w:fldCharType="separate"/>
      </w:r>
      <w:r>
        <w:t>97</w:t>
      </w:r>
      <w:r>
        <w:fldChar w:fldCharType="end"/>
      </w:r>
    </w:p>
    <w:p>
      <w:pPr>
        <w:pStyle w:val="TOC8"/>
        <w:rPr>
          <w:rFonts w:asciiTheme="minorHAnsi" w:eastAsiaTheme="minorEastAsia" w:hAnsiTheme="minorHAnsi" w:cstheme="minorBidi"/>
          <w:szCs w:val="22"/>
        </w:rPr>
      </w:pPr>
      <w:r>
        <w:t>26.</w:t>
      </w:r>
      <w:r>
        <w:tab/>
        <w:t>Members of designated work group must be notified of selection etc. of safety and health representative</w:t>
      </w:r>
      <w:r>
        <w:tab/>
      </w:r>
      <w:r>
        <w:fldChar w:fldCharType="begin"/>
      </w:r>
      <w:r>
        <w:instrText xml:space="preserve"> PAGEREF _Toc33609896 \h </w:instrText>
      </w:r>
      <w:r>
        <w:fldChar w:fldCharType="separate"/>
      </w:r>
      <w:r>
        <w:t>97</w:t>
      </w:r>
      <w:r>
        <w:fldChar w:fldCharType="end"/>
      </w:r>
    </w:p>
    <w:p>
      <w:pPr>
        <w:pStyle w:val="TOC8"/>
        <w:rPr>
          <w:rFonts w:asciiTheme="minorHAnsi" w:eastAsiaTheme="minorEastAsia" w:hAnsiTheme="minorHAnsi" w:cstheme="minorBidi"/>
          <w:szCs w:val="22"/>
        </w:rPr>
      </w:pPr>
      <w:r>
        <w:t>27.</w:t>
      </w:r>
      <w:r>
        <w:tab/>
        <w:t>Term of office</w:t>
      </w:r>
      <w:r>
        <w:tab/>
      </w:r>
      <w:r>
        <w:fldChar w:fldCharType="begin"/>
      </w:r>
      <w:r>
        <w:instrText xml:space="preserve"> PAGEREF _Toc33609897 \h </w:instrText>
      </w:r>
      <w:r>
        <w:fldChar w:fldCharType="separate"/>
      </w:r>
      <w:r>
        <w:t>97</w:t>
      </w:r>
      <w:r>
        <w:fldChar w:fldCharType="end"/>
      </w:r>
    </w:p>
    <w:p>
      <w:pPr>
        <w:pStyle w:val="TOC8"/>
        <w:rPr>
          <w:rFonts w:asciiTheme="minorHAnsi" w:eastAsiaTheme="minorEastAsia" w:hAnsiTheme="minorHAnsi" w:cstheme="minorBidi"/>
          <w:szCs w:val="22"/>
        </w:rPr>
      </w:pPr>
      <w:r>
        <w:t>28.</w:t>
      </w:r>
      <w:r>
        <w:tab/>
        <w:t>Training of safety and health representatives</w:t>
      </w:r>
      <w:r>
        <w:tab/>
      </w:r>
      <w:r>
        <w:fldChar w:fldCharType="begin"/>
      </w:r>
      <w:r>
        <w:instrText xml:space="preserve"> PAGEREF _Toc33609898 \h </w:instrText>
      </w:r>
      <w:r>
        <w:fldChar w:fldCharType="separate"/>
      </w:r>
      <w:r>
        <w:t>98</w:t>
      </w:r>
      <w:r>
        <w:fldChar w:fldCharType="end"/>
      </w:r>
    </w:p>
    <w:p>
      <w:pPr>
        <w:pStyle w:val="TOC8"/>
        <w:rPr>
          <w:rFonts w:asciiTheme="minorHAnsi" w:eastAsiaTheme="minorEastAsia" w:hAnsiTheme="minorHAnsi" w:cstheme="minorBidi"/>
          <w:szCs w:val="22"/>
        </w:rPr>
      </w:pPr>
      <w:r>
        <w:t>29.</w:t>
      </w:r>
      <w:r>
        <w:tab/>
        <w:t>Resignation etc. of safety and health representatives</w:t>
      </w:r>
      <w:r>
        <w:tab/>
      </w:r>
      <w:r>
        <w:fldChar w:fldCharType="begin"/>
      </w:r>
      <w:r>
        <w:instrText xml:space="preserve"> PAGEREF _Toc33609899 \h </w:instrText>
      </w:r>
      <w:r>
        <w:fldChar w:fldCharType="separate"/>
      </w:r>
      <w:r>
        <w:t>98</w:t>
      </w:r>
      <w:r>
        <w:fldChar w:fldCharType="end"/>
      </w:r>
    </w:p>
    <w:p>
      <w:pPr>
        <w:pStyle w:val="TOC8"/>
        <w:rPr>
          <w:rFonts w:asciiTheme="minorHAnsi" w:eastAsiaTheme="minorEastAsia" w:hAnsiTheme="minorHAnsi" w:cstheme="minorBidi"/>
          <w:szCs w:val="22"/>
        </w:rPr>
      </w:pPr>
      <w:r>
        <w:t>30.</w:t>
      </w:r>
      <w:r>
        <w:tab/>
        <w:t>Disqualification of safety and health representatives</w:t>
      </w:r>
      <w:r>
        <w:tab/>
      </w:r>
      <w:r>
        <w:fldChar w:fldCharType="begin"/>
      </w:r>
      <w:r>
        <w:instrText xml:space="preserve"> PAGEREF _Toc33609900 \h </w:instrText>
      </w:r>
      <w:r>
        <w:fldChar w:fldCharType="separate"/>
      </w:r>
      <w:r>
        <w:t>99</w:t>
      </w:r>
      <w:r>
        <w:fldChar w:fldCharType="end"/>
      </w:r>
    </w:p>
    <w:p>
      <w:pPr>
        <w:pStyle w:val="TOC8"/>
        <w:rPr>
          <w:rFonts w:asciiTheme="minorHAnsi" w:eastAsiaTheme="minorEastAsia" w:hAnsiTheme="minorHAnsi" w:cstheme="minorBidi"/>
          <w:szCs w:val="22"/>
        </w:rPr>
      </w:pPr>
      <w:r>
        <w:t>31.</w:t>
      </w:r>
      <w:r>
        <w:tab/>
        <w:t>Deputy safety and health representatives</w:t>
      </w:r>
      <w:r>
        <w:tab/>
      </w:r>
      <w:r>
        <w:fldChar w:fldCharType="begin"/>
      </w:r>
      <w:r>
        <w:instrText xml:space="preserve"> PAGEREF _Toc33609901 \h </w:instrText>
      </w:r>
      <w:r>
        <w:fldChar w:fldCharType="separate"/>
      </w:r>
      <w:r>
        <w:t>100</w:t>
      </w:r>
      <w:r>
        <w:fldChar w:fldCharType="end"/>
      </w:r>
    </w:p>
    <w:p>
      <w:pPr>
        <w:pStyle w:val="TOC8"/>
        <w:rPr>
          <w:rFonts w:asciiTheme="minorHAnsi" w:eastAsiaTheme="minorEastAsia" w:hAnsiTheme="minorHAnsi" w:cstheme="minorBidi"/>
          <w:szCs w:val="22"/>
        </w:rPr>
      </w:pPr>
      <w:r>
        <w:t>32.</w:t>
      </w:r>
      <w:r>
        <w:tab/>
        <w:t>Powers of safety and health representatives</w:t>
      </w:r>
      <w:r>
        <w:tab/>
      </w:r>
      <w:r>
        <w:fldChar w:fldCharType="begin"/>
      </w:r>
      <w:r>
        <w:instrText xml:space="preserve"> PAGEREF _Toc33609902 \h </w:instrText>
      </w:r>
      <w:r>
        <w:fldChar w:fldCharType="separate"/>
      </w:r>
      <w:r>
        <w:t>101</w:t>
      </w:r>
      <w:r>
        <w:fldChar w:fldCharType="end"/>
      </w:r>
    </w:p>
    <w:p>
      <w:pPr>
        <w:pStyle w:val="TOC8"/>
        <w:rPr>
          <w:rFonts w:asciiTheme="minorHAnsi" w:eastAsiaTheme="minorEastAsia" w:hAnsiTheme="minorHAnsi" w:cstheme="minorBidi"/>
          <w:szCs w:val="22"/>
        </w:rPr>
      </w:pPr>
      <w:r>
        <w:t>33.</w:t>
      </w:r>
      <w:r>
        <w:tab/>
        <w:t>Assistance by consultant</w:t>
      </w:r>
      <w:r>
        <w:tab/>
      </w:r>
      <w:r>
        <w:fldChar w:fldCharType="begin"/>
      </w:r>
      <w:r>
        <w:instrText xml:space="preserve"> PAGEREF _Toc33609903 \h </w:instrText>
      </w:r>
      <w:r>
        <w:fldChar w:fldCharType="separate"/>
      </w:r>
      <w:r>
        <w:t>102</w:t>
      </w:r>
      <w:r>
        <w:fldChar w:fldCharType="end"/>
      </w:r>
    </w:p>
    <w:p>
      <w:pPr>
        <w:pStyle w:val="TOC8"/>
        <w:rPr>
          <w:rFonts w:asciiTheme="minorHAnsi" w:eastAsiaTheme="minorEastAsia" w:hAnsiTheme="minorHAnsi" w:cstheme="minorBidi"/>
          <w:szCs w:val="22"/>
        </w:rPr>
      </w:pPr>
      <w:r>
        <w:t>34.</w:t>
      </w:r>
      <w:r>
        <w:tab/>
        <w:t>Information</w:t>
      </w:r>
      <w:r>
        <w:tab/>
      </w:r>
      <w:r>
        <w:fldChar w:fldCharType="begin"/>
      </w:r>
      <w:r>
        <w:instrText xml:space="preserve"> PAGEREF _Toc33609904 \h </w:instrText>
      </w:r>
      <w:r>
        <w:fldChar w:fldCharType="separate"/>
      </w:r>
      <w:r>
        <w:t>103</w:t>
      </w:r>
      <w:r>
        <w:fldChar w:fldCharType="end"/>
      </w:r>
    </w:p>
    <w:p>
      <w:pPr>
        <w:pStyle w:val="TOC8"/>
        <w:rPr>
          <w:rFonts w:asciiTheme="minorHAnsi" w:eastAsiaTheme="minorEastAsia" w:hAnsiTheme="minorHAnsi" w:cstheme="minorBidi"/>
          <w:szCs w:val="22"/>
        </w:rPr>
      </w:pPr>
      <w:r>
        <w:t>35.</w:t>
      </w:r>
      <w:r>
        <w:tab/>
        <w:t>Obligations and liabilities of safety and health representatives</w:t>
      </w:r>
      <w:r>
        <w:tab/>
      </w:r>
      <w:r>
        <w:fldChar w:fldCharType="begin"/>
      </w:r>
      <w:r>
        <w:instrText xml:space="preserve"> PAGEREF _Toc33609905 \h </w:instrText>
      </w:r>
      <w:r>
        <w:fldChar w:fldCharType="separate"/>
      </w:r>
      <w:r>
        <w:t>104</w:t>
      </w:r>
      <w:r>
        <w:fldChar w:fldCharType="end"/>
      </w:r>
    </w:p>
    <w:p>
      <w:pPr>
        <w:pStyle w:val="TOC8"/>
        <w:rPr>
          <w:rFonts w:asciiTheme="minorHAnsi" w:eastAsiaTheme="minorEastAsia" w:hAnsiTheme="minorHAnsi" w:cstheme="minorBidi"/>
          <w:szCs w:val="22"/>
        </w:rPr>
      </w:pPr>
      <w:r>
        <w:t>36.</w:t>
      </w:r>
      <w:r>
        <w:tab/>
        <w:t>Provisional improvement notices</w:t>
      </w:r>
      <w:r>
        <w:tab/>
      </w:r>
      <w:r>
        <w:fldChar w:fldCharType="begin"/>
      </w:r>
      <w:r>
        <w:instrText xml:space="preserve"> PAGEREF _Toc33609906 \h </w:instrText>
      </w:r>
      <w:r>
        <w:fldChar w:fldCharType="separate"/>
      </w:r>
      <w:r>
        <w:t>104</w:t>
      </w:r>
      <w:r>
        <w:fldChar w:fldCharType="end"/>
      </w:r>
    </w:p>
    <w:p>
      <w:pPr>
        <w:pStyle w:val="TOC8"/>
        <w:rPr>
          <w:rFonts w:asciiTheme="minorHAnsi" w:eastAsiaTheme="minorEastAsia" w:hAnsiTheme="minorHAnsi" w:cstheme="minorBidi"/>
          <w:szCs w:val="22"/>
        </w:rPr>
      </w:pPr>
      <w:r>
        <w:t>37.</w:t>
      </w:r>
      <w:r>
        <w:tab/>
        <w:t>Effect of provisional improvement notice</w:t>
      </w:r>
      <w:r>
        <w:tab/>
      </w:r>
      <w:r>
        <w:fldChar w:fldCharType="begin"/>
      </w:r>
      <w:r>
        <w:instrText xml:space="preserve"> PAGEREF _Toc33609907 \h </w:instrText>
      </w:r>
      <w:r>
        <w:fldChar w:fldCharType="separate"/>
      </w:r>
      <w:r>
        <w:t>106</w:t>
      </w:r>
      <w:r>
        <w:fldChar w:fldCharType="end"/>
      </w:r>
    </w:p>
    <w:p>
      <w:pPr>
        <w:pStyle w:val="TOC8"/>
        <w:rPr>
          <w:rFonts w:asciiTheme="minorHAnsi" w:eastAsiaTheme="minorEastAsia" w:hAnsiTheme="minorHAnsi" w:cstheme="minorBidi"/>
          <w:szCs w:val="22"/>
        </w:rPr>
      </w:pPr>
      <w:r>
        <w:t>38.</w:t>
      </w:r>
      <w:r>
        <w:tab/>
        <w:t>Duties of licensee and other employers in relation to safety and health representatives</w:t>
      </w:r>
      <w:r>
        <w:tab/>
      </w:r>
      <w:r>
        <w:fldChar w:fldCharType="begin"/>
      </w:r>
      <w:r>
        <w:instrText xml:space="preserve"> PAGEREF _Toc33609908 \h </w:instrText>
      </w:r>
      <w:r>
        <w:fldChar w:fldCharType="separate"/>
      </w:r>
      <w:r>
        <w:t>108</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4</w:t>
      </w:r>
      <w:r>
        <w:rPr>
          <w:b w:val="0"/>
        </w:rPr>
        <w:t> — </w:t>
      </w:r>
      <w:r>
        <w:rPr>
          <w:bCs/>
        </w:rPr>
        <w:t>Safety and health</w:t>
      </w:r>
      <w:r>
        <w:t xml:space="preserve"> committees</w:t>
      </w:r>
    </w:p>
    <w:p>
      <w:pPr>
        <w:pStyle w:val="TOC8"/>
        <w:rPr>
          <w:rFonts w:asciiTheme="minorHAnsi" w:eastAsiaTheme="minorEastAsia" w:hAnsiTheme="minorHAnsi" w:cstheme="minorBidi"/>
          <w:szCs w:val="22"/>
        </w:rPr>
      </w:pPr>
      <w:r>
        <w:t>39.</w:t>
      </w:r>
      <w:r>
        <w:tab/>
        <w:t>Safety and health committees</w:t>
      </w:r>
      <w:r>
        <w:tab/>
      </w:r>
      <w:r>
        <w:fldChar w:fldCharType="begin"/>
      </w:r>
      <w:r>
        <w:instrText xml:space="preserve"> PAGEREF _Toc33609910 \h </w:instrText>
      </w:r>
      <w:r>
        <w:fldChar w:fldCharType="separate"/>
      </w:r>
      <w:r>
        <w:t>109</w:t>
      </w:r>
      <w:r>
        <w:fldChar w:fldCharType="end"/>
      </w:r>
    </w:p>
    <w:p>
      <w:pPr>
        <w:pStyle w:val="TOC8"/>
        <w:rPr>
          <w:rFonts w:asciiTheme="minorHAnsi" w:eastAsiaTheme="minorEastAsia" w:hAnsiTheme="minorHAnsi" w:cstheme="minorBidi"/>
          <w:szCs w:val="22"/>
        </w:rPr>
      </w:pPr>
      <w:r>
        <w:t>40.</w:t>
      </w:r>
      <w:r>
        <w:tab/>
        <w:t>Functions of safety and health committees</w:t>
      </w:r>
      <w:r>
        <w:tab/>
      </w:r>
      <w:r>
        <w:fldChar w:fldCharType="begin"/>
      </w:r>
      <w:r>
        <w:instrText xml:space="preserve"> PAGEREF _Toc33609911 \h </w:instrText>
      </w:r>
      <w:r>
        <w:fldChar w:fldCharType="separate"/>
      </w:r>
      <w:r>
        <w:t>111</w:t>
      </w:r>
      <w:r>
        <w:fldChar w:fldCharType="end"/>
      </w:r>
    </w:p>
    <w:p>
      <w:pPr>
        <w:pStyle w:val="TOC8"/>
        <w:rPr>
          <w:rFonts w:asciiTheme="minorHAnsi" w:eastAsiaTheme="minorEastAsia" w:hAnsiTheme="minorHAnsi" w:cstheme="minorBidi"/>
          <w:szCs w:val="22"/>
        </w:rPr>
      </w:pPr>
      <w:r>
        <w:t>41.</w:t>
      </w:r>
      <w:r>
        <w:tab/>
        <w:t>Duties of licensee and other employers in relation to safety and health committees</w:t>
      </w:r>
      <w:r>
        <w:tab/>
      </w:r>
      <w:r>
        <w:fldChar w:fldCharType="begin"/>
      </w:r>
      <w:r>
        <w:instrText xml:space="preserve"> PAGEREF _Toc33609912 \h </w:instrText>
      </w:r>
      <w:r>
        <w:fldChar w:fldCharType="separate"/>
      </w:r>
      <w:r>
        <w:t>112</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5</w:t>
      </w:r>
      <w:r>
        <w:rPr>
          <w:b w:val="0"/>
        </w:rPr>
        <w:t> — </w:t>
      </w:r>
      <w:r>
        <w:rPr>
          <w:bCs/>
        </w:rPr>
        <w:t>Emergency</w:t>
      </w:r>
      <w:r>
        <w:t xml:space="preserve"> procedures</w:t>
      </w:r>
    </w:p>
    <w:p>
      <w:pPr>
        <w:pStyle w:val="TOC8"/>
        <w:rPr>
          <w:rFonts w:asciiTheme="minorHAnsi" w:eastAsiaTheme="minorEastAsia" w:hAnsiTheme="minorHAnsi" w:cstheme="minorBidi"/>
          <w:szCs w:val="22"/>
        </w:rPr>
      </w:pPr>
      <w:r>
        <w:t>42.</w:t>
      </w:r>
      <w:r>
        <w:tab/>
        <w:t>Action by safety and health representatives</w:t>
      </w:r>
      <w:r>
        <w:tab/>
      </w:r>
      <w:r>
        <w:fldChar w:fldCharType="begin"/>
      </w:r>
      <w:r>
        <w:instrText xml:space="preserve"> PAGEREF _Toc33609914 \h </w:instrText>
      </w:r>
      <w:r>
        <w:fldChar w:fldCharType="separate"/>
      </w:r>
      <w:r>
        <w:t>113</w:t>
      </w:r>
      <w:r>
        <w:fldChar w:fldCharType="end"/>
      </w:r>
    </w:p>
    <w:p>
      <w:pPr>
        <w:pStyle w:val="TOC8"/>
        <w:rPr>
          <w:rFonts w:asciiTheme="minorHAnsi" w:eastAsiaTheme="minorEastAsia" w:hAnsiTheme="minorHAnsi" w:cstheme="minorBidi"/>
          <w:szCs w:val="22"/>
        </w:rPr>
      </w:pPr>
      <w:r>
        <w:t>43.</w:t>
      </w:r>
      <w:r>
        <w:tab/>
        <w:t>Directions to perform other work</w:t>
      </w:r>
      <w:r>
        <w:tab/>
      </w:r>
      <w:r>
        <w:fldChar w:fldCharType="begin"/>
      </w:r>
      <w:r>
        <w:instrText xml:space="preserve"> PAGEREF _Toc33609915 \h </w:instrText>
      </w:r>
      <w:r>
        <w:fldChar w:fldCharType="separate"/>
      </w:r>
      <w:r>
        <w:t>114</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6 — Exemptions</w:t>
      </w:r>
    </w:p>
    <w:p>
      <w:pPr>
        <w:pStyle w:val="TOC8"/>
        <w:rPr>
          <w:rFonts w:asciiTheme="minorHAnsi" w:eastAsiaTheme="minorEastAsia" w:hAnsiTheme="minorHAnsi" w:cstheme="minorBidi"/>
          <w:szCs w:val="22"/>
        </w:rPr>
      </w:pPr>
      <w:r>
        <w:t>44.</w:t>
      </w:r>
      <w:r>
        <w:tab/>
        <w:t>Exemptions</w:t>
      </w:r>
      <w:r>
        <w:tab/>
      </w:r>
      <w:r>
        <w:fldChar w:fldCharType="begin"/>
      </w:r>
      <w:r>
        <w:instrText xml:space="preserve"> PAGEREF _Toc33609917 \h </w:instrText>
      </w:r>
      <w:r>
        <w:fldChar w:fldCharType="separate"/>
      </w:r>
      <w:r>
        <w:t>115</w:t>
      </w:r>
      <w:r>
        <w:fldChar w:fldCharType="end"/>
      </w:r>
    </w:p>
    <w:p>
      <w:pPr>
        <w:pStyle w:val="TOC4"/>
        <w:tabs>
          <w:tab w:val="right" w:leader="dot" w:pos="7077"/>
        </w:tabs>
        <w:rPr>
          <w:rFonts w:asciiTheme="minorHAnsi" w:eastAsiaTheme="minorEastAsia" w:hAnsiTheme="minorHAnsi" w:cstheme="minorBidi"/>
          <w:b w:val="0"/>
          <w:szCs w:val="22"/>
        </w:rPr>
      </w:pPr>
      <w:r>
        <w:t>Division 4</w:t>
      </w:r>
      <w:r>
        <w:rPr>
          <w:b w:val="0"/>
        </w:rPr>
        <w:t> — </w:t>
      </w:r>
      <w:r>
        <w:t>Inspections</w:t>
      </w:r>
    </w:p>
    <w:p>
      <w:pPr>
        <w:pStyle w:val="TOC6"/>
        <w:tabs>
          <w:tab w:val="right" w:leader="dot" w:pos="7077"/>
        </w:tabs>
        <w:rPr>
          <w:rFonts w:asciiTheme="minorHAnsi" w:eastAsiaTheme="minorEastAsia" w:hAnsiTheme="minorHAnsi" w:cstheme="minorBidi"/>
          <w:b w:val="0"/>
          <w:sz w:val="22"/>
          <w:szCs w:val="22"/>
        </w:rPr>
      </w:pPr>
      <w:r>
        <w:t>Subdivision 1</w:t>
      </w:r>
      <w:r>
        <w:rPr>
          <w:b w:val="0"/>
        </w:rPr>
        <w:t> — </w:t>
      </w:r>
      <w:r>
        <w:t>Introduction</w:t>
      </w:r>
    </w:p>
    <w:p>
      <w:pPr>
        <w:pStyle w:val="TOC8"/>
        <w:rPr>
          <w:rFonts w:asciiTheme="minorHAnsi" w:eastAsiaTheme="minorEastAsia" w:hAnsiTheme="minorHAnsi" w:cstheme="minorBidi"/>
          <w:szCs w:val="22"/>
        </w:rPr>
      </w:pPr>
      <w:r>
        <w:t>45.</w:t>
      </w:r>
      <w:r>
        <w:tab/>
        <w:t>Simplified outline</w:t>
      </w:r>
      <w:r>
        <w:tab/>
      </w:r>
      <w:r>
        <w:fldChar w:fldCharType="begin"/>
      </w:r>
      <w:r>
        <w:instrText xml:space="preserve"> PAGEREF _Toc33609920 \h </w:instrText>
      </w:r>
      <w:r>
        <w:fldChar w:fldCharType="separate"/>
      </w:r>
      <w:r>
        <w:t>115</w:t>
      </w:r>
      <w:r>
        <w:fldChar w:fldCharType="end"/>
      </w:r>
    </w:p>
    <w:p>
      <w:pPr>
        <w:pStyle w:val="TOC8"/>
        <w:rPr>
          <w:rFonts w:asciiTheme="minorHAnsi" w:eastAsiaTheme="minorEastAsia" w:hAnsiTheme="minorHAnsi" w:cstheme="minorBidi"/>
          <w:szCs w:val="22"/>
        </w:rPr>
      </w:pPr>
      <w:r>
        <w:t>46.</w:t>
      </w:r>
      <w:r>
        <w:tab/>
        <w:t>Powers, functions and duties of inspectors</w:t>
      </w:r>
      <w:r>
        <w:tab/>
      </w:r>
      <w:r>
        <w:fldChar w:fldCharType="begin"/>
      </w:r>
      <w:r>
        <w:instrText xml:space="preserve"> PAGEREF _Toc33609921 \h </w:instrText>
      </w:r>
      <w:r>
        <w:fldChar w:fldCharType="separate"/>
      </w:r>
      <w:r>
        <w:t>116</w:t>
      </w:r>
      <w:r>
        <w:fldChar w:fldCharType="end"/>
      </w:r>
    </w:p>
    <w:p>
      <w:pPr>
        <w:pStyle w:val="TOC6"/>
        <w:tabs>
          <w:tab w:val="right" w:leader="dot" w:pos="7077"/>
        </w:tabs>
        <w:rPr>
          <w:rFonts w:asciiTheme="minorHAnsi" w:eastAsiaTheme="minorEastAsia" w:hAnsiTheme="minorHAnsi" w:cstheme="minorBidi"/>
          <w:b w:val="0"/>
          <w:sz w:val="22"/>
          <w:szCs w:val="22"/>
        </w:rPr>
      </w:pPr>
      <w:r>
        <w:t>Subdivision 2</w:t>
      </w:r>
      <w:r>
        <w:rPr>
          <w:b w:val="0"/>
        </w:rPr>
        <w:t> — </w:t>
      </w:r>
      <w:r>
        <w:t>Inspections</w:t>
      </w:r>
    </w:p>
    <w:p>
      <w:pPr>
        <w:pStyle w:val="TOC8"/>
        <w:rPr>
          <w:rFonts w:asciiTheme="minorHAnsi" w:eastAsiaTheme="minorEastAsia" w:hAnsiTheme="minorHAnsi" w:cstheme="minorBidi"/>
          <w:szCs w:val="22"/>
        </w:rPr>
      </w:pPr>
      <w:r>
        <w:t>47.</w:t>
      </w:r>
      <w:r>
        <w:tab/>
        <w:t>Inspections</w:t>
      </w:r>
      <w:r>
        <w:tab/>
      </w:r>
      <w:r>
        <w:fldChar w:fldCharType="begin"/>
      </w:r>
      <w:r>
        <w:instrText xml:space="preserve"> PAGEREF _Toc33609923 \h </w:instrText>
      </w:r>
      <w:r>
        <w:fldChar w:fldCharType="separate"/>
      </w:r>
      <w:r>
        <w:t>116</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 xml:space="preserve">3 — Powers </w:t>
      </w:r>
      <w:r>
        <w:t>of inspectors in relation to the conduct of inspections</w:t>
      </w:r>
    </w:p>
    <w:p>
      <w:pPr>
        <w:pStyle w:val="TOC8"/>
        <w:rPr>
          <w:rFonts w:asciiTheme="minorHAnsi" w:eastAsiaTheme="minorEastAsia" w:hAnsiTheme="minorHAnsi" w:cstheme="minorBidi"/>
          <w:szCs w:val="22"/>
        </w:rPr>
      </w:pPr>
      <w:r>
        <w:t>48.</w:t>
      </w:r>
      <w:r>
        <w:tab/>
        <w:t>Powers of entry and search — places at which pipeline operations are carried on</w:t>
      </w:r>
      <w:r>
        <w:tab/>
      </w:r>
      <w:r>
        <w:fldChar w:fldCharType="begin"/>
      </w:r>
      <w:r>
        <w:instrText xml:space="preserve"> PAGEREF _Toc33609925 \h </w:instrText>
      </w:r>
      <w:r>
        <w:fldChar w:fldCharType="separate"/>
      </w:r>
      <w:r>
        <w:t>117</w:t>
      </w:r>
      <w:r>
        <w:fldChar w:fldCharType="end"/>
      </w:r>
    </w:p>
    <w:p>
      <w:pPr>
        <w:pStyle w:val="TOC8"/>
        <w:rPr>
          <w:rFonts w:asciiTheme="minorHAnsi" w:eastAsiaTheme="minorEastAsia" w:hAnsiTheme="minorHAnsi" w:cstheme="minorBidi"/>
          <w:szCs w:val="22"/>
        </w:rPr>
      </w:pPr>
      <w:r>
        <w:t>49.</w:t>
      </w:r>
      <w:r>
        <w:tab/>
        <w:t>Powers of entry and search — regulated business premises (other than places where pipeline operations carried on)</w:t>
      </w:r>
      <w:r>
        <w:tab/>
      </w:r>
      <w:r>
        <w:fldChar w:fldCharType="begin"/>
      </w:r>
      <w:r>
        <w:instrText xml:space="preserve"> PAGEREF _Toc33609926 \h </w:instrText>
      </w:r>
      <w:r>
        <w:fldChar w:fldCharType="separate"/>
      </w:r>
      <w:r>
        <w:t>118</w:t>
      </w:r>
      <w:r>
        <w:fldChar w:fldCharType="end"/>
      </w:r>
    </w:p>
    <w:p>
      <w:pPr>
        <w:pStyle w:val="TOC8"/>
        <w:rPr>
          <w:rFonts w:asciiTheme="minorHAnsi" w:eastAsiaTheme="minorEastAsia" w:hAnsiTheme="minorHAnsi" w:cstheme="minorBidi"/>
          <w:szCs w:val="22"/>
        </w:rPr>
      </w:pPr>
      <w:r>
        <w:t>50.</w:t>
      </w:r>
      <w:r>
        <w:tab/>
        <w:t>Powers of entry and search — premises (other than regulated business premises)</w:t>
      </w:r>
      <w:r>
        <w:tab/>
      </w:r>
      <w:r>
        <w:fldChar w:fldCharType="begin"/>
      </w:r>
      <w:r>
        <w:instrText xml:space="preserve"> PAGEREF _Toc33609927 \h </w:instrText>
      </w:r>
      <w:r>
        <w:fldChar w:fldCharType="separate"/>
      </w:r>
      <w:r>
        <w:t>119</w:t>
      </w:r>
      <w:r>
        <w:fldChar w:fldCharType="end"/>
      </w:r>
    </w:p>
    <w:p>
      <w:pPr>
        <w:pStyle w:val="TOC8"/>
        <w:rPr>
          <w:rFonts w:asciiTheme="minorHAnsi" w:eastAsiaTheme="minorEastAsia" w:hAnsiTheme="minorHAnsi" w:cstheme="minorBidi"/>
          <w:szCs w:val="22"/>
        </w:rPr>
      </w:pPr>
      <w:r>
        <w:t>51.</w:t>
      </w:r>
      <w:r>
        <w:tab/>
        <w:t>Warrant to enter premises (other than regulated business premises)</w:t>
      </w:r>
      <w:r>
        <w:tab/>
      </w:r>
      <w:r>
        <w:fldChar w:fldCharType="begin"/>
      </w:r>
      <w:r>
        <w:instrText xml:space="preserve"> PAGEREF _Toc33609928 \h </w:instrText>
      </w:r>
      <w:r>
        <w:fldChar w:fldCharType="separate"/>
      </w:r>
      <w:r>
        <w:t>120</w:t>
      </w:r>
      <w:r>
        <w:fldChar w:fldCharType="end"/>
      </w:r>
    </w:p>
    <w:p>
      <w:pPr>
        <w:pStyle w:val="TOC8"/>
        <w:rPr>
          <w:rFonts w:asciiTheme="minorHAnsi" w:eastAsiaTheme="minorEastAsia" w:hAnsiTheme="minorHAnsi" w:cstheme="minorBidi"/>
          <w:szCs w:val="22"/>
        </w:rPr>
      </w:pPr>
      <w:r>
        <w:t>52.</w:t>
      </w:r>
      <w:r>
        <w:tab/>
        <w:t>Obstructing or hindering inspector</w:t>
      </w:r>
      <w:r>
        <w:tab/>
      </w:r>
      <w:r>
        <w:fldChar w:fldCharType="begin"/>
      </w:r>
      <w:r>
        <w:instrText xml:space="preserve"> PAGEREF _Toc33609929 \h </w:instrText>
      </w:r>
      <w:r>
        <w:fldChar w:fldCharType="separate"/>
      </w:r>
      <w:r>
        <w:t>121</w:t>
      </w:r>
      <w:r>
        <w:fldChar w:fldCharType="end"/>
      </w:r>
    </w:p>
    <w:p>
      <w:pPr>
        <w:pStyle w:val="TOC8"/>
        <w:rPr>
          <w:rFonts w:asciiTheme="minorHAnsi" w:eastAsiaTheme="minorEastAsia" w:hAnsiTheme="minorHAnsi" w:cstheme="minorBidi"/>
          <w:szCs w:val="22"/>
        </w:rPr>
      </w:pPr>
      <w:r>
        <w:t>53.</w:t>
      </w:r>
      <w:r>
        <w:tab/>
        <w:t>Power to require assistance and information</w:t>
      </w:r>
      <w:r>
        <w:tab/>
      </w:r>
      <w:r>
        <w:fldChar w:fldCharType="begin"/>
      </w:r>
      <w:r>
        <w:instrText xml:space="preserve"> PAGEREF _Toc33609930 \h </w:instrText>
      </w:r>
      <w:r>
        <w:fldChar w:fldCharType="separate"/>
      </w:r>
      <w:r>
        <w:t>121</w:t>
      </w:r>
      <w:r>
        <w:fldChar w:fldCharType="end"/>
      </w:r>
    </w:p>
    <w:p>
      <w:pPr>
        <w:pStyle w:val="TOC8"/>
        <w:rPr>
          <w:rFonts w:asciiTheme="minorHAnsi" w:eastAsiaTheme="minorEastAsia" w:hAnsiTheme="minorHAnsi" w:cstheme="minorBidi"/>
          <w:szCs w:val="22"/>
        </w:rPr>
      </w:pPr>
      <w:r>
        <w:t>54.</w:t>
      </w:r>
      <w:r>
        <w:tab/>
        <w:t>Power to require answering of questions and production of documents or articles</w:t>
      </w:r>
      <w:r>
        <w:tab/>
      </w:r>
      <w:r>
        <w:fldChar w:fldCharType="begin"/>
      </w:r>
      <w:r>
        <w:instrText xml:space="preserve"> PAGEREF _Toc33609931 \h </w:instrText>
      </w:r>
      <w:r>
        <w:fldChar w:fldCharType="separate"/>
      </w:r>
      <w:r>
        <w:t>122</w:t>
      </w:r>
      <w:r>
        <w:fldChar w:fldCharType="end"/>
      </w:r>
    </w:p>
    <w:p>
      <w:pPr>
        <w:pStyle w:val="TOC8"/>
        <w:rPr>
          <w:rFonts w:asciiTheme="minorHAnsi" w:eastAsiaTheme="minorEastAsia" w:hAnsiTheme="minorHAnsi" w:cstheme="minorBidi"/>
          <w:szCs w:val="22"/>
        </w:rPr>
      </w:pPr>
      <w:r>
        <w:t>55.</w:t>
      </w:r>
      <w:r>
        <w:tab/>
        <w:t>Privilege against self</w:t>
      </w:r>
      <w:r>
        <w:noBreakHyphen/>
        <w:t>incrimination</w:t>
      </w:r>
      <w:r>
        <w:tab/>
      </w:r>
      <w:r>
        <w:fldChar w:fldCharType="begin"/>
      </w:r>
      <w:r>
        <w:instrText xml:space="preserve"> PAGEREF _Toc33609932 \h </w:instrText>
      </w:r>
      <w:r>
        <w:fldChar w:fldCharType="separate"/>
      </w:r>
      <w:r>
        <w:t>124</w:t>
      </w:r>
      <w:r>
        <w:fldChar w:fldCharType="end"/>
      </w:r>
    </w:p>
    <w:p>
      <w:pPr>
        <w:pStyle w:val="TOC8"/>
        <w:rPr>
          <w:rFonts w:asciiTheme="minorHAnsi" w:eastAsiaTheme="minorEastAsia" w:hAnsiTheme="minorHAnsi" w:cstheme="minorBidi"/>
          <w:szCs w:val="22"/>
        </w:rPr>
      </w:pPr>
      <w:r>
        <w:t>56.</w:t>
      </w:r>
      <w:r>
        <w:tab/>
        <w:t>Power to take possession of plant, take samples of substances etc.</w:t>
      </w:r>
      <w:r>
        <w:tab/>
      </w:r>
      <w:r>
        <w:fldChar w:fldCharType="begin"/>
      </w:r>
      <w:r>
        <w:instrText xml:space="preserve"> PAGEREF _Toc33609933 \h </w:instrText>
      </w:r>
      <w:r>
        <w:fldChar w:fldCharType="separate"/>
      </w:r>
      <w:r>
        <w:t>124</w:t>
      </w:r>
      <w:r>
        <w:fldChar w:fldCharType="end"/>
      </w:r>
    </w:p>
    <w:p>
      <w:pPr>
        <w:pStyle w:val="TOC8"/>
        <w:rPr>
          <w:rFonts w:asciiTheme="minorHAnsi" w:eastAsiaTheme="minorEastAsia" w:hAnsiTheme="minorHAnsi" w:cstheme="minorBidi"/>
          <w:szCs w:val="22"/>
        </w:rPr>
      </w:pPr>
      <w:r>
        <w:t>57.</w:t>
      </w:r>
      <w:r>
        <w:tab/>
        <w:t>Power to direct that workplace etc. not be disturbed</w:t>
      </w:r>
      <w:r>
        <w:tab/>
      </w:r>
      <w:r>
        <w:fldChar w:fldCharType="begin"/>
      </w:r>
      <w:r>
        <w:instrText xml:space="preserve"> PAGEREF _Toc33609934 \h </w:instrText>
      </w:r>
      <w:r>
        <w:fldChar w:fldCharType="separate"/>
      </w:r>
      <w:r>
        <w:t>126</w:t>
      </w:r>
      <w:r>
        <w:fldChar w:fldCharType="end"/>
      </w:r>
    </w:p>
    <w:p>
      <w:pPr>
        <w:pStyle w:val="TOC8"/>
        <w:rPr>
          <w:rFonts w:asciiTheme="minorHAnsi" w:eastAsiaTheme="minorEastAsia" w:hAnsiTheme="minorHAnsi" w:cstheme="minorBidi"/>
          <w:szCs w:val="22"/>
        </w:rPr>
      </w:pPr>
      <w:r>
        <w:t>58.</w:t>
      </w:r>
      <w:r>
        <w:tab/>
        <w:t>Power to issue prohibition notices</w:t>
      </w:r>
      <w:r>
        <w:tab/>
      </w:r>
      <w:r>
        <w:fldChar w:fldCharType="begin"/>
      </w:r>
      <w:r>
        <w:instrText xml:space="preserve"> PAGEREF _Toc33609935 \h </w:instrText>
      </w:r>
      <w:r>
        <w:fldChar w:fldCharType="separate"/>
      </w:r>
      <w:r>
        <w:t>127</w:t>
      </w:r>
      <w:r>
        <w:fldChar w:fldCharType="end"/>
      </w:r>
    </w:p>
    <w:p>
      <w:pPr>
        <w:pStyle w:val="TOC8"/>
        <w:rPr>
          <w:rFonts w:asciiTheme="minorHAnsi" w:eastAsiaTheme="minorEastAsia" w:hAnsiTheme="minorHAnsi" w:cstheme="minorBidi"/>
          <w:szCs w:val="22"/>
        </w:rPr>
      </w:pPr>
      <w:r>
        <w:t>59.</w:t>
      </w:r>
      <w:r>
        <w:tab/>
        <w:t>Compliance with prohibition notice</w:t>
      </w:r>
      <w:r>
        <w:tab/>
      </w:r>
      <w:r>
        <w:fldChar w:fldCharType="begin"/>
      </w:r>
      <w:r>
        <w:instrText xml:space="preserve"> PAGEREF _Toc33609936 \h </w:instrText>
      </w:r>
      <w:r>
        <w:fldChar w:fldCharType="separate"/>
      </w:r>
      <w:r>
        <w:t>128</w:t>
      </w:r>
      <w:r>
        <w:fldChar w:fldCharType="end"/>
      </w:r>
    </w:p>
    <w:p>
      <w:pPr>
        <w:pStyle w:val="TOC8"/>
        <w:rPr>
          <w:rFonts w:asciiTheme="minorHAnsi" w:eastAsiaTheme="minorEastAsia" w:hAnsiTheme="minorHAnsi" w:cstheme="minorBidi"/>
          <w:szCs w:val="22"/>
        </w:rPr>
      </w:pPr>
      <w:r>
        <w:t>60.</w:t>
      </w:r>
      <w:r>
        <w:tab/>
        <w:t>Power to issue improvement notices</w:t>
      </w:r>
      <w:r>
        <w:tab/>
      </w:r>
      <w:r>
        <w:fldChar w:fldCharType="begin"/>
      </w:r>
      <w:r>
        <w:instrText xml:space="preserve"> PAGEREF _Toc33609937 \h </w:instrText>
      </w:r>
      <w:r>
        <w:fldChar w:fldCharType="separate"/>
      </w:r>
      <w:r>
        <w:t>129</w:t>
      </w:r>
      <w:r>
        <w:fldChar w:fldCharType="end"/>
      </w:r>
    </w:p>
    <w:p>
      <w:pPr>
        <w:pStyle w:val="TOC8"/>
        <w:rPr>
          <w:rFonts w:asciiTheme="minorHAnsi" w:eastAsiaTheme="minorEastAsia" w:hAnsiTheme="minorHAnsi" w:cstheme="minorBidi"/>
          <w:szCs w:val="22"/>
        </w:rPr>
      </w:pPr>
      <w:r>
        <w:t>61.</w:t>
      </w:r>
      <w:r>
        <w:tab/>
        <w:t>Compliance with improvement notice</w:t>
      </w:r>
      <w:r>
        <w:tab/>
      </w:r>
      <w:r>
        <w:fldChar w:fldCharType="begin"/>
      </w:r>
      <w:r>
        <w:instrText xml:space="preserve"> PAGEREF _Toc33609938 \h </w:instrText>
      </w:r>
      <w:r>
        <w:fldChar w:fldCharType="separate"/>
      </w:r>
      <w:r>
        <w:t>131</w:t>
      </w:r>
      <w:r>
        <w:fldChar w:fldCharType="end"/>
      </w:r>
    </w:p>
    <w:p>
      <w:pPr>
        <w:pStyle w:val="TOC8"/>
        <w:rPr>
          <w:rFonts w:asciiTheme="minorHAnsi" w:eastAsiaTheme="minorEastAsia" w:hAnsiTheme="minorHAnsi" w:cstheme="minorBidi"/>
          <w:szCs w:val="22"/>
        </w:rPr>
      </w:pPr>
      <w:r>
        <w:t>62.</w:t>
      </w:r>
      <w:r>
        <w:tab/>
        <w:t>Notices not to be tampered with or removed</w:t>
      </w:r>
      <w:r>
        <w:tab/>
      </w:r>
      <w:r>
        <w:fldChar w:fldCharType="begin"/>
      </w:r>
      <w:r>
        <w:instrText xml:space="preserve"> PAGEREF _Toc33609939 \h </w:instrText>
      </w:r>
      <w:r>
        <w:fldChar w:fldCharType="separate"/>
      </w:r>
      <w:r>
        <w:t>131</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4 — Reports</w:t>
      </w:r>
      <w:r>
        <w:t xml:space="preserve"> on inspections</w:t>
      </w:r>
    </w:p>
    <w:p>
      <w:pPr>
        <w:pStyle w:val="TOC8"/>
        <w:rPr>
          <w:rFonts w:asciiTheme="minorHAnsi" w:eastAsiaTheme="minorEastAsia" w:hAnsiTheme="minorHAnsi" w:cstheme="minorBidi"/>
          <w:szCs w:val="22"/>
        </w:rPr>
      </w:pPr>
      <w:r>
        <w:t>63.</w:t>
      </w:r>
      <w:r>
        <w:tab/>
        <w:t>Reports on inspections</w:t>
      </w:r>
      <w:r>
        <w:tab/>
      </w:r>
      <w:r>
        <w:fldChar w:fldCharType="begin"/>
      </w:r>
      <w:r>
        <w:instrText xml:space="preserve"> PAGEREF _Toc33609941 \h </w:instrText>
      </w:r>
      <w:r>
        <w:fldChar w:fldCharType="separate"/>
      </w:r>
      <w:r>
        <w:t>132</w:t>
      </w:r>
      <w:r>
        <w:fldChar w:fldCharType="end"/>
      </w:r>
    </w:p>
    <w:p>
      <w:pPr>
        <w:pStyle w:val="TOC6"/>
        <w:tabs>
          <w:tab w:val="right" w:leader="dot" w:pos="7077"/>
        </w:tabs>
        <w:rPr>
          <w:rFonts w:asciiTheme="minorHAnsi" w:eastAsiaTheme="minorEastAsia" w:hAnsiTheme="minorHAnsi" w:cstheme="minorBidi"/>
          <w:b w:val="0"/>
          <w:sz w:val="22"/>
          <w:szCs w:val="22"/>
        </w:rPr>
      </w:pPr>
      <w:r>
        <w:t>Subdivision </w:t>
      </w:r>
      <w:r>
        <w:rPr>
          <w:bCs/>
        </w:rPr>
        <w:t>5 — Reviews of inspectors’ decisions</w:t>
      </w:r>
    </w:p>
    <w:p>
      <w:pPr>
        <w:pStyle w:val="TOC8"/>
        <w:rPr>
          <w:rFonts w:asciiTheme="minorHAnsi" w:eastAsiaTheme="minorEastAsia" w:hAnsiTheme="minorHAnsi" w:cstheme="minorBidi"/>
          <w:szCs w:val="22"/>
        </w:rPr>
      </w:pPr>
      <w:r>
        <w:t>64.</w:t>
      </w:r>
      <w:r>
        <w:tab/>
        <w:t>Reviews of inspectors’ decisions</w:t>
      </w:r>
      <w:r>
        <w:tab/>
      </w:r>
      <w:r>
        <w:fldChar w:fldCharType="begin"/>
      </w:r>
      <w:r>
        <w:instrText xml:space="preserve"> PAGEREF _Toc33609943 \h </w:instrText>
      </w:r>
      <w:r>
        <w:fldChar w:fldCharType="separate"/>
      </w:r>
      <w:r>
        <w:t>133</w:t>
      </w:r>
      <w:r>
        <w:fldChar w:fldCharType="end"/>
      </w:r>
    </w:p>
    <w:p>
      <w:pPr>
        <w:pStyle w:val="TOC8"/>
        <w:rPr>
          <w:rFonts w:asciiTheme="minorHAnsi" w:eastAsiaTheme="minorEastAsia" w:hAnsiTheme="minorHAnsi" w:cstheme="minorBidi"/>
          <w:szCs w:val="22"/>
        </w:rPr>
      </w:pPr>
      <w:r>
        <w:t>65.</w:t>
      </w:r>
      <w:r>
        <w:tab/>
        <w:t>Powers of reviewing authority on review</w:t>
      </w:r>
      <w:r>
        <w:tab/>
      </w:r>
      <w:r>
        <w:fldChar w:fldCharType="begin"/>
      </w:r>
      <w:r>
        <w:instrText xml:space="preserve"> PAGEREF _Toc33609944 \h </w:instrText>
      </w:r>
      <w:r>
        <w:fldChar w:fldCharType="separate"/>
      </w:r>
      <w:r>
        <w:t>136</w:t>
      </w:r>
      <w:r>
        <w:fldChar w:fldCharType="end"/>
      </w:r>
    </w:p>
    <w:p>
      <w:pPr>
        <w:pStyle w:val="TOC4"/>
        <w:tabs>
          <w:tab w:val="right" w:leader="dot" w:pos="7077"/>
        </w:tabs>
        <w:rPr>
          <w:rFonts w:asciiTheme="minorHAnsi" w:eastAsiaTheme="minorEastAsia" w:hAnsiTheme="minorHAnsi" w:cstheme="minorBidi"/>
          <w:b w:val="0"/>
          <w:szCs w:val="22"/>
        </w:rPr>
      </w:pPr>
      <w:r>
        <w:t>Division 5</w:t>
      </w:r>
      <w:r>
        <w:rPr>
          <w:b w:val="0"/>
        </w:rPr>
        <w:t> — </w:t>
      </w:r>
      <w:r>
        <w:t>Referrals to the Tribunal</w:t>
      </w:r>
    </w:p>
    <w:p>
      <w:pPr>
        <w:pStyle w:val="TOC8"/>
        <w:rPr>
          <w:rFonts w:asciiTheme="minorHAnsi" w:eastAsiaTheme="minorEastAsia" w:hAnsiTheme="minorHAnsi" w:cstheme="minorBidi"/>
          <w:szCs w:val="22"/>
        </w:rPr>
      </w:pPr>
      <w:r>
        <w:t>66.</w:t>
      </w:r>
      <w:r>
        <w:tab/>
      </w:r>
      <w:r>
        <w:rPr>
          <w:bCs/>
        </w:rPr>
        <w:t>Decision may be referred to Tribunal</w:t>
      </w:r>
      <w:r>
        <w:tab/>
      </w:r>
      <w:r>
        <w:fldChar w:fldCharType="begin"/>
      </w:r>
      <w:r>
        <w:instrText xml:space="preserve"> PAGEREF _Toc33609946 \h </w:instrText>
      </w:r>
      <w:r>
        <w:fldChar w:fldCharType="separate"/>
      </w:r>
      <w:r>
        <w:t>136</w:t>
      </w:r>
      <w:r>
        <w:fldChar w:fldCharType="end"/>
      </w:r>
    </w:p>
    <w:p>
      <w:pPr>
        <w:pStyle w:val="TOC8"/>
        <w:rPr>
          <w:rFonts w:asciiTheme="minorHAnsi" w:eastAsiaTheme="minorEastAsia" w:hAnsiTheme="minorHAnsi" w:cstheme="minorBidi"/>
          <w:szCs w:val="22"/>
        </w:rPr>
      </w:pPr>
      <w:r>
        <w:t>67.</w:t>
      </w:r>
      <w:r>
        <w:tab/>
        <w:t>Determination by Tribunal</w:t>
      </w:r>
      <w:r>
        <w:tab/>
      </w:r>
      <w:r>
        <w:fldChar w:fldCharType="begin"/>
      </w:r>
      <w:r>
        <w:instrText xml:space="preserve"> PAGEREF _Toc33609947 \h </w:instrText>
      </w:r>
      <w:r>
        <w:fldChar w:fldCharType="separate"/>
      </w:r>
      <w:r>
        <w:t>137</w:t>
      </w:r>
      <w:r>
        <w:fldChar w:fldCharType="end"/>
      </w:r>
    </w:p>
    <w:p>
      <w:pPr>
        <w:pStyle w:val="TOC8"/>
        <w:rPr>
          <w:rFonts w:asciiTheme="minorHAnsi" w:eastAsiaTheme="minorEastAsia" w:hAnsiTheme="minorHAnsi" w:cstheme="minorBidi"/>
          <w:szCs w:val="22"/>
        </w:rPr>
      </w:pPr>
      <w:r>
        <w:t>68.</w:t>
      </w:r>
      <w:r>
        <w:tab/>
        <w:t>Effect of pending review by Tribunal</w:t>
      </w:r>
      <w:r>
        <w:tab/>
      </w:r>
      <w:r>
        <w:fldChar w:fldCharType="begin"/>
      </w:r>
      <w:r>
        <w:instrText xml:space="preserve"> PAGEREF _Toc33609948 \h </w:instrText>
      </w:r>
      <w:r>
        <w:fldChar w:fldCharType="separate"/>
      </w:r>
      <w:r>
        <w:t>137</w:t>
      </w:r>
      <w:r>
        <w:fldChar w:fldCharType="end"/>
      </w:r>
    </w:p>
    <w:p>
      <w:pPr>
        <w:pStyle w:val="TOC8"/>
        <w:rPr>
          <w:rFonts w:asciiTheme="minorHAnsi" w:eastAsiaTheme="minorEastAsia" w:hAnsiTheme="minorHAnsi" w:cstheme="minorBidi"/>
          <w:szCs w:val="22"/>
        </w:rPr>
      </w:pPr>
      <w:r>
        <w:t>69.</w:t>
      </w:r>
      <w:r>
        <w:tab/>
        <w:t>Jurisdiction of Tribunal</w:t>
      </w:r>
      <w:r>
        <w:tab/>
      </w:r>
      <w:r>
        <w:fldChar w:fldCharType="begin"/>
      </w:r>
      <w:r>
        <w:instrText xml:space="preserve"> PAGEREF _Toc33609949 \h </w:instrText>
      </w:r>
      <w:r>
        <w:fldChar w:fldCharType="separate"/>
      </w:r>
      <w:r>
        <w:t>138</w:t>
      </w:r>
      <w:r>
        <w:fldChar w:fldCharType="end"/>
      </w:r>
    </w:p>
    <w:p>
      <w:pPr>
        <w:pStyle w:val="TOC4"/>
        <w:tabs>
          <w:tab w:val="right" w:leader="dot" w:pos="7077"/>
        </w:tabs>
        <w:rPr>
          <w:rFonts w:asciiTheme="minorHAnsi" w:eastAsiaTheme="minorEastAsia" w:hAnsiTheme="minorHAnsi" w:cstheme="minorBidi"/>
          <w:b w:val="0"/>
          <w:szCs w:val="22"/>
        </w:rPr>
      </w:pPr>
      <w:r>
        <w:t>Division 6</w:t>
      </w:r>
      <w:r>
        <w:rPr>
          <w:b w:val="0"/>
        </w:rPr>
        <w:t> — </w:t>
      </w:r>
      <w:r>
        <w:t>General</w:t>
      </w:r>
    </w:p>
    <w:p>
      <w:pPr>
        <w:pStyle w:val="TOC8"/>
        <w:rPr>
          <w:rFonts w:asciiTheme="minorHAnsi" w:eastAsiaTheme="minorEastAsia" w:hAnsiTheme="minorHAnsi" w:cstheme="minorBidi"/>
          <w:szCs w:val="22"/>
        </w:rPr>
      </w:pPr>
      <w:r>
        <w:t>70.</w:t>
      </w:r>
      <w:r>
        <w:tab/>
        <w:t>Notifying and reporting accidents and dangerous occurrences</w:t>
      </w:r>
      <w:r>
        <w:tab/>
      </w:r>
      <w:r>
        <w:fldChar w:fldCharType="begin"/>
      </w:r>
      <w:r>
        <w:instrText xml:space="preserve"> PAGEREF _Toc33609951 \h </w:instrText>
      </w:r>
      <w:r>
        <w:fldChar w:fldCharType="separate"/>
      </w:r>
      <w:r>
        <w:t>139</w:t>
      </w:r>
      <w:r>
        <w:fldChar w:fldCharType="end"/>
      </w:r>
    </w:p>
    <w:p>
      <w:pPr>
        <w:pStyle w:val="TOC8"/>
        <w:rPr>
          <w:rFonts w:asciiTheme="minorHAnsi" w:eastAsiaTheme="minorEastAsia" w:hAnsiTheme="minorHAnsi" w:cstheme="minorBidi"/>
          <w:szCs w:val="22"/>
        </w:rPr>
      </w:pPr>
      <w:r>
        <w:t>71.</w:t>
      </w:r>
      <w:r>
        <w:tab/>
        <w:t>Records of accidents and dangerous occurrences to be kept</w:t>
      </w:r>
      <w:r>
        <w:tab/>
      </w:r>
      <w:r>
        <w:fldChar w:fldCharType="begin"/>
      </w:r>
      <w:r>
        <w:instrText xml:space="preserve"> PAGEREF _Toc33609952 \h </w:instrText>
      </w:r>
      <w:r>
        <w:fldChar w:fldCharType="separate"/>
      </w:r>
      <w:r>
        <w:t>140</w:t>
      </w:r>
      <w:r>
        <w:fldChar w:fldCharType="end"/>
      </w:r>
    </w:p>
    <w:p>
      <w:pPr>
        <w:pStyle w:val="TOC8"/>
        <w:rPr>
          <w:rFonts w:asciiTheme="minorHAnsi" w:eastAsiaTheme="minorEastAsia" w:hAnsiTheme="minorHAnsi" w:cstheme="minorBidi"/>
          <w:szCs w:val="22"/>
        </w:rPr>
      </w:pPr>
      <w:r>
        <w:t>72</w:t>
      </w:r>
      <w:r>
        <w:rPr>
          <w:bCs/>
        </w:rPr>
        <w:t>.</w:t>
      </w:r>
      <w:r>
        <w:rPr>
          <w:bCs/>
        </w:rPr>
        <w:tab/>
        <w:t>Codes</w:t>
      </w:r>
      <w:r>
        <w:t xml:space="preserve"> of practice</w:t>
      </w:r>
      <w:r>
        <w:tab/>
      </w:r>
      <w:r>
        <w:fldChar w:fldCharType="begin"/>
      </w:r>
      <w:r>
        <w:instrText xml:space="preserve"> PAGEREF _Toc33609953 \h </w:instrText>
      </w:r>
      <w:r>
        <w:fldChar w:fldCharType="separate"/>
      </w:r>
      <w:r>
        <w:t>140</w:t>
      </w:r>
      <w:r>
        <w:fldChar w:fldCharType="end"/>
      </w:r>
    </w:p>
    <w:p>
      <w:pPr>
        <w:pStyle w:val="TOC8"/>
        <w:rPr>
          <w:rFonts w:asciiTheme="minorHAnsi" w:eastAsiaTheme="minorEastAsia" w:hAnsiTheme="minorHAnsi" w:cstheme="minorBidi"/>
          <w:szCs w:val="22"/>
        </w:rPr>
      </w:pPr>
      <w:r>
        <w:t>73.</w:t>
      </w:r>
      <w:r>
        <w:tab/>
        <w:t>Use of codes of practice in proceedings</w:t>
      </w:r>
      <w:r>
        <w:tab/>
      </w:r>
      <w:r>
        <w:fldChar w:fldCharType="begin"/>
      </w:r>
      <w:r>
        <w:instrText xml:space="preserve"> PAGEREF _Toc33609954 \h </w:instrText>
      </w:r>
      <w:r>
        <w:fldChar w:fldCharType="separate"/>
      </w:r>
      <w:r>
        <w:t>140</w:t>
      </w:r>
      <w:r>
        <w:fldChar w:fldCharType="end"/>
      </w:r>
    </w:p>
    <w:p>
      <w:pPr>
        <w:pStyle w:val="TOC8"/>
        <w:rPr>
          <w:rFonts w:asciiTheme="minorHAnsi" w:eastAsiaTheme="minorEastAsia" w:hAnsiTheme="minorHAnsi" w:cstheme="minorBidi"/>
          <w:szCs w:val="22"/>
        </w:rPr>
      </w:pPr>
      <w:r>
        <w:t>74.</w:t>
      </w:r>
      <w:r>
        <w:tab/>
        <w:t>Interference etc. with equipment etc.</w:t>
      </w:r>
      <w:r>
        <w:tab/>
      </w:r>
      <w:r>
        <w:fldChar w:fldCharType="begin"/>
      </w:r>
      <w:r>
        <w:instrText xml:space="preserve"> PAGEREF _Toc33609955 \h </w:instrText>
      </w:r>
      <w:r>
        <w:fldChar w:fldCharType="separate"/>
      </w:r>
      <w:r>
        <w:t>141</w:t>
      </w:r>
      <w:r>
        <w:fldChar w:fldCharType="end"/>
      </w:r>
    </w:p>
    <w:p>
      <w:pPr>
        <w:pStyle w:val="TOC8"/>
        <w:rPr>
          <w:rFonts w:asciiTheme="minorHAnsi" w:eastAsiaTheme="minorEastAsia" w:hAnsiTheme="minorHAnsi" w:cstheme="minorBidi"/>
          <w:szCs w:val="22"/>
        </w:rPr>
      </w:pPr>
      <w:r>
        <w:t>75.</w:t>
      </w:r>
      <w:r>
        <w:tab/>
        <w:t>No charges to be levied on members of workforce</w:t>
      </w:r>
      <w:r>
        <w:tab/>
      </w:r>
      <w:r>
        <w:fldChar w:fldCharType="begin"/>
      </w:r>
      <w:r>
        <w:instrText xml:space="preserve"> PAGEREF _Toc33609956 \h </w:instrText>
      </w:r>
      <w:r>
        <w:fldChar w:fldCharType="separate"/>
      </w:r>
      <w:r>
        <w:t>141</w:t>
      </w:r>
      <w:r>
        <w:fldChar w:fldCharType="end"/>
      </w:r>
    </w:p>
    <w:p>
      <w:pPr>
        <w:pStyle w:val="TOC8"/>
        <w:rPr>
          <w:rFonts w:asciiTheme="minorHAnsi" w:eastAsiaTheme="minorEastAsia" w:hAnsiTheme="minorHAnsi" w:cstheme="minorBidi"/>
          <w:szCs w:val="22"/>
        </w:rPr>
      </w:pPr>
      <w:r>
        <w:t>76.</w:t>
      </w:r>
      <w:r>
        <w:tab/>
        <w:t>Victimisation</w:t>
      </w:r>
      <w:r>
        <w:tab/>
      </w:r>
      <w:r>
        <w:fldChar w:fldCharType="begin"/>
      </w:r>
      <w:r>
        <w:instrText xml:space="preserve"> PAGEREF _Toc33609957 \h </w:instrText>
      </w:r>
      <w:r>
        <w:fldChar w:fldCharType="separate"/>
      </w:r>
      <w:r>
        <w:t>141</w:t>
      </w:r>
      <w:r>
        <w:fldChar w:fldCharType="end"/>
      </w:r>
    </w:p>
    <w:p>
      <w:pPr>
        <w:pStyle w:val="TOC8"/>
        <w:rPr>
          <w:rFonts w:asciiTheme="minorHAnsi" w:eastAsiaTheme="minorEastAsia" w:hAnsiTheme="minorHAnsi" w:cstheme="minorBidi"/>
          <w:szCs w:val="22"/>
        </w:rPr>
      </w:pPr>
      <w:r>
        <w:t>77.</w:t>
      </w:r>
      <w:r>
        <w:tab/>
        <w:t>Institution of prosecutions</w:t>
      </w:r>
      <w:r>
        <w:tab/>
      </w:r>
      <w:r>
        <w:fldChar w:fldCharType="begin"/>
      </w:r>
      <w:r>
        <w:instrText xml:space="preserve"> PAGEREF _Toc33609958 \h </w:instrText>
      </w:r>
      <w:r>
        <w:fldChar w:fldCharType="separate"/>
      </w:r>
      <w:r>
        <w:t>142</w:t>
      </w:r>
      <w:r>
        <w:fldChar w:fldCharType="end"/>
      </w:r>
    </w:p>
    <w:p>
      <w:pPr>
        <w:pStyle w:val="TOC8"/>
        <w:rPr>
          <w:rFonts w:asciiTheme="minorHAnsi" w:eastAsiaTheme="minorEastAsia" w:hAnsiTheme="minorHAnsi" w:cstheme="minorBidi"/>
          <w:szCs w:val="22"/>
        </w:rPr>
      </w:pPr>
      <w:r>
        <w:t>78.</w:t>
      </w:r>
      <w:r>
        <w:tab/>
        <w:t>Conduct of directors, employees and agents</w:t>
      </w:r>
      <w:r>
        <w:tab/>
      </w:r>
      <w:r>
        <w:fldChar w:fldCharType="begin"/>
      </w:r>
      <w:r>
        <w:instrText xml:space="preserve"> PAGEREF _Toc33609959 \h </w:instrText>
      </w:r>
      <w:r>
        <w:fldChar w:fldCharType="separate"/>
      </w:r>
      <w:r>
        <w:t>143</w:t>
      </w:r>
      <w:r>
        <w:fldChar w:fldCharType="end"/>
      </w:r>
    </w:p>
    <w:p>
      <w:pPr>
        <w:pStyle w:val="TOC8"/>
        <w:rPr>
          <w:rFonts w:asciiTheme="minorHAnsi" w:eastAsiaTheme="minorEastAsia" w:hAnsiTheme="minorHAnsi" w:cstheme="minorBidi"/>
          <w:szCs w:val="22"/>
        </w:rPr>
      </w:pPr>
      <w:r>
        <w:t>79.</w:t>
      </w:r>
      <w:r>
        <w:tab/>
        <w:t>Act not to give rise to other liabilities etc.</w:t>
      </w:r>
      <w:r>
        <w:tab/>
      </w:r>
      <w:r>
        <w:fldChar w:fldCharType="begin"/>
      </w:r>
      <w:r>
        <w:instrText xml:space="preserve"> PAGEREF _Toc33609960 \h </w:instrText>
      </w:r>
      <w:r>
        <w:fldChar w:fldCharType="separate"/>
      </w:r>
      <w:r>
        <w:t>145</w:t>
      </w:r>
      <w:r>
        <w:fldChar w:fldCharType="end"/>
      </w:r>
    </w:p>
    <w:p>
      <w:pPr>
        <w:pStyle w:val="TOC8"/>
        <w:rPr>
          <w:rFonts w:asciiTheme="minorHAnsi" w:eastAsiaTheme="minorEastAsia" w:hAnsiTheme="minorHAnsi" w:cstheme="minorBidi"/>
          <w:szCs w:val="22"/>
        </w:rPr>
      </w:pPr>
      <w:r>
        <w:t>80.</w:t>
      </w:r>
      <w:r>
        <w:tab/>
        <w:t>Circumstances preventing compliance may be defence to prosecution</w:t>
      </w:r>
      <w:r>
        <w:tab/>
      </w:r>
      <w:r>
        <w:fldChar w:fldCharType="begin"/>
      </w:r>
      <w:r>
        <w:instrText xml:space="preserve"> PAGEREF _Toc33609961 \h </w:instrText>
      </w:r>
      <w:r>
        <w:fldChar w:fldCharType="separate"/>
      </w:r>
      <w:r>
        <w:t>145</w:t>
      </w:r>
      <w:r>
        <w:fldChar w:fldCharType="end"/>
      </w:r>
    </w:p>
    <w:p>
      <w:pPr>
        <w:pStyle w:val="TOC8"/>
        <w:rPr>
          <w:rFonts w:asciiTheme="minorHAnsi" w:eastAsiaTheme="minorEastAsia" w:hAnsiTheme="minorHAnsi" w:cstheme="minorBidi"/>
          <w:szCs w:val="22"/>
        </w:rPr>
      </w:pPr>
      <w:r>
        <w:t>81.</w:t>
      </w:r>
      <w:r>
        <w:tab/>
        <w:t>Regulations — general</w:t>
      </w:r>
      <w:r>
        <w:tab/>
      </w:r>
      <w:r>
        <w:fldChar w:fldCharType="begin"/>
      </w:r>
      <w:r>
        <w:instrText xml:space="preserve"> PAGEREF _Toc33609962 \h </w:instrText>
      </w:r>
      <w:r>
        <w:fldChar w:fldCharType="separate"/>
      </w:r>
      <w:r>
        <w:t>145</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_Toc33609964 \h </w:instrText>
      </w:r>
      <w:r>
        <w:fldChar w:fldCharType="separate"/>
      </w:r>
      <w:r>
        <w:t>147</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_Toc33609965 \h </w:instrText>
      </w:r>
      <w:r>
        <w:fldChar w:fldCharType="separate"/>
      </w:r>
      <w:r>
        <w:t>149</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_Toc33609966 \h </w:instrText>
      </w:r>
      <w:r>
        <w:fldChar w:fldCharType="separate"/>
      </w:r>
      <w:r>
        <w:t>150</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3" w:name="_Toc33609584"/>
      <w:bookmarkStart w:id="4" w:name="_Toc33609776"/>
      <w:r>
        <w:rPr>
          <w:rStyle w:val="CharPartNo"/>
        </w:rPr>
        <w:t>Part I</w:t>
      </w:r>
      <w:r>
        <w:rPr>
          <w:rStyle w:val="CharDivNo"/>
        </w:rPr>
        <w:t> </w:t>
      </w:r>
      <w:r>
        <w:t>—</w:t>
      </w:r>
      <w:r>
        <w:rPr>
          <w:rStyle w:val="CharDivText"/>
        </w:rPr>
        <w:t> </w:t>
      </w:r>
      <w:r>
        <w:rPr>
          <w:rStyle w:val="CharPartText"/>
        </w:rPr>
        <w:t>Preliminary</w:t>
      </w:r>
      <w:bookmarkEnd w:id="3"/>
      <w:bookmarkEnd w:id="4"/>
      <w:r>
        <w:rPr>
          <w:rStyle w:val="CharPartText"/>
        </w:rPr>
        <w:t xml:space="preserve"> </w:t>
      </w:r>
    </w:p>
    <w:p>
      <w:pPr>
        <w:pStyle w:val="Heading5"/>
        <w:spacing w:before="240"/>
        <w:rPr>
          <w:snapToGrid w:val="0"/>
        </w:rPr>
      </w:pPr>
      <w:bookmarkStart w:id="5" w:name="_Toc33609777"/>
      <w:r>
        <w:rPr>
          <w:rStyle w:val="CharSectno"/>
        </w:rPr>
        <w:t>1</w:t>
      </w:r>
      <w:r>
        <w:rPr>
          <w:snapToGrid w:val="0"/>
        </w:rPr>
        <w:t>.</w:t>
      </w:r>
      <w:r>
        <w:rPr>
          <w:snapToGrid w:val="0"/>
        </w:rPr>
        <w:tab/>
        <w:t>Short title</w:t>
      </w:r>
      <w:bookmarkEnd w:id="5"/>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w:t>
      </w:r>
    </w:p>
    <w:p>
      <w:pPr>
        <w:pStyle w:val="Heading5"/>
        <w:spacing w:before="240"/>
        <w:rPr>
          <w:snapToGrid w:val="0"/>
        </w:rPr>
      </w:pPr>
      <w:bookmarkStart w:id="6" w:name="_Toc33609778"/>
      <w:r>
        <w:rPr>
          <w:rStyle w:val="CharSectno"/>
        </w:rPr>
        <w:t>2</w:t>
      </w:r>
      <w:r>
        <w:rPr>
          <w:snapToGrid w:val="0"/>
        </w:rPr>
        <w:t>.</w:t>
      </w:r>
      <w:r>
        <w:rPr>
          <w:snapToGrid w:val="0"/>
        </w:rPr>
        <w:tab/>
        <w:t>Commencement</w:t>
      </w:r>
      <w:bookmarkEnd w:id="6"/>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p>
    <w:p>
      <w:pPr>
        <w:pStyle w:val="Ednotesection"/>
        <w:spacing w:before="240"/>
      </w:pPr>
      <w:r>
        <w:t>[</w:t>
      </w:r>
      <w:r>
        <w:rPr>
          <w:b/>
        </w:rPr>
        <w:t>3.</w:t>
      </w:r>
      <w:r>
        <w:tab/>
        <w:t xml:space="preserve">Deleted: No. 12 of 1990 s. 120.] </w:t>
      </w:r>
    </w:p>
    <w:p>
      <w:pPr>
        <w:pStyle w:val="Heading5"/>
        <w:spacing w:before="240"/>
        <w:rPr>
          <w:snapToGrid w:val="0"/>
        </w:rPr>
      </w:pPr>
      <w:bookmarkStart w:id="7" w:name="_Toc33609779"/>
      <w:r>
        <w:rPr>
          <w:rStyle w:val="CharSectno"/>
        </w:rPr>
        <w:t>4</w:t>
      </w:r>
      <w:r>
        <w:rPr>
          <w:snapToGrid w:val="0"/>
        </w:rPr>
        <w:t>.</w:t>
      </w:r>
      <w:r>
        <w:rPr>
          <w:snapToGrid w:val="0"/>
        </w:rPr>
        <w:tab/>
        <w:t>Terms used</w:t>
      </w:r>
      <w:bookmarkEnd w:id="7"/>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listed OSH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b/>
          <w:i/>
        </w:rPr>
        <w:tab/>
      </w:r>
      <w:r>
        <w:rPr>
          <w:rStyle w:val="CharDefText"/>
        </w:rPr>
        <w:t>Minister for Lands</w:t>
      </w:r>
      <w:r>
        <w:t xml:space="preserve"> means the Minister as defined in the </w:t>
      </w:r>
      <w:r>
        <w:rPr>
          <w:i/>
        </w:rPr>
        <w:t xml:space="preserve">Land Administration Act 1997 </w:t>
      </w:r>
      <w:r>
        <w:rPr>
          <w:iCs/>
        </w:rPr>
        <w:t>section 3(1);</w:t>
      </w:r>
    </w:p>
    <w:p>
      <w:pPr>
        <w:pStyle w:val="Defstart"/>
      </w:pPr>
      <w:r>
        <w:rPr>
          <w:b/>
          <w:i/>
        </w:rPr>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pPr>
      <w:r>
        <w:tab/>
        <w:t>(i)</w:t>
      </w:r>
      <w:r>
        <w:tab/>
        <w:t>is entitled to the land for an estate of freehold in possession;</w:t>
      </w:r>
    </w:p>
    <w:p>
      <w:pPr>
        <w:pStyle w:val="Defsubpara"/>
        <w:keepLines w:val="0"/>
      </w:pPr>
      <w:r>
        <w:tab/>
        <w:t>(ii)</w:t>
      </w:r>
      <w:r>
        <w:tab/>
        <w:t xml:space="preserve">is a person to whom the Crown has lawfully contracted to transfer the land in fee simple under the </w:t>
      </w:r>
      <w:r>
        <w:rPr>
          <w:i/>
        </w:rPr>
        <w:t>Land Administration Act 1997</w:t>
      </w:r>
      <w:r>
        <w:t>, or any other Act;</w:t>
      </w:r>
    </w:p>
    <w:p>
      <w:pPr>
        <w:pStyle w:val="Defsubpara"/>
      </w:pPr>
      <w:r>
        <w:tab/>
        <w:t>(iii)</w:t>
      </w:r>
      <w: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pPr>
      <w:r>
        <w:tab/>
        <w:t>(i)</w:t>
      </w:r>
      <w:r>
        <w:tab/>
        <w:t>for the conveyance of petroleum from the well head to a tank or separator or for the collection of petroleum within the area in which it is produced or recovered;</w:t>
      </w:r>
    </w:p>
    <w:p>
      <w:pPr>
        <w:pStyle w:val="Defsubpara"/>
        <w:keepLines w:val="0"/>
      </w:pPr>
      <w:r>
        <w:tab/>
        <w:t>(ii)</w:t>
      </w:r>
      <w:r>
        <w:tab/>
        <w:t>for returning petroleum to a natural reservoir;</w:t>
      </w:r>
    </w:p>
    <w:p>
      <w:pPr>
        <w:pStyle w:val="Defsubpara"/>
        <w:keepLines w:val="0"/>
      </w:pPr>
      <w:r>
        <w:tab/>
        <w:t>(iii)</w:t>
      </w:r>
      <w:r>
        <w:tab/>
        <w:t>for the conveyance of petroleum for use for the purpose of petroleum exploration operations or operations for the recovery of petroleum;</w:t>
      </w:r>
    </w:p>
    <w:p>
      <w:pPr>
        <w:pStyle w:val="Defsubpara"/>
        <w:keepLines w:val="0"/>
      </w:pPr>
      <w:r>
        <w:tab/>
        <w:t>(iv)</w:t>
      </w:r>
      <w: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pPr>
      <w:r>
        <w:tab/>
        <w:t>(i)</w:t>
      </w:r>
      <w:r>
        <w:tab/>
        <w:t>which is established under an Act; and</w:t>
      </w:r>
    </w:p>
    <w:p>
      <w:pPr>
        <w:pStyle w:val="Defsubpara"/>
        <w:keepLines w:val="0"/>
      </w:pPr>
      <w:r>
        <w:tab/>
        <w:t>(ii)</w:t>
      </w:r>
      <w:r>
        <w:tab/>
        <w:t>which administers or carries out any social service or public utility for the benefit of the State; and</w:t>
      </w:r>
    </w:p>
    <w:p>
      <w:pPr>
        <w:pStyle w:val="Defsubpara"/>
        <w:keepLines w:val="0"/>
      </w:pPr>
      <w:r>
        <w:tab/>
        <w:t>(iii)</w:t>
      </w:r>
      <w: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No. 12 of 1990 s. 121; No. 28 of 1994 s. 64; No. 73 of 1994 s. 4; No. 31 of 1997 s. 77(1) and 141; No. 20 of 1999 s. 10(5); No. 13 of 2005 s. 19; No. 8 of 2010 s. 22; No. 42 of 2010 s. 173.] </w:t>
      </w:r>
    </w:p>
    <w:p>
      <w:pPr>
        <w:pStyle w:val="Heading5"/>
        <w:rPr>
          <w:snapToGrid w:val="0"/>
        </w:rPr>
      </w:pPr>
      <w:bookmarkStart w:id="8" w:name="_Toc33609780"/>
      <w:r>
        <w:rPr>
          <w:rStyle w:val="CharSectno"/>
        </w:rPr>
        <w:t>5</w:t>
      </w:r>
      <w:r>
        <w:rPr>
          <w:snapToGrid w:val="0"/>
        </w:rPr>
        <w:t>.</w:t>
      </w:r>
      <w:r>
        <w:rPr>
          <w:snapToGrid w:val="0"/>
        </w:rPr>
        <w:tab/>
        <w:t>Power of Minister to make certain declarations for interpretation purposes</w:t>
      </w:r>
      <w:bookmarkEnd w:id="8"/>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No. 12 of 1990</w:t>
      </w:r>
      <w:r>
        <w:rPr>
          <w:vertAlign w:val="superscript"/>
        </w:rPr>
        <w:t xml:space="preserve"> </w:t>
      </w:r>
      <w:r>
        <w:rPr>
          <w:i w:val="0"/>
          <w:iCs/>
          <w:vertAlign w:val="superscript"/>
        </w:rPr>
        <w:t>2</w:t>
      </w:r>
      <w:r>
        <w:t xml:space="preserve"> s. 122.] </w:t>
      </w:r>
    </w:p>
    <w:p>
      <w:pPr>
        <w:pStyle w:val="Heading5"/>
      </w:pPr>
      <w:bookmarkStart w:id="9" w:name="_Toc33609781"/>
      <w:r>
        <w:rPr>
          <w:rStyle w:val="CharSectno"/>
        </w:rPr>
        <w:t>5AA</w:t>
      </w:r>
      <w:r>
        <w:t>.</w:t>
      </w:r>
      <w:r>
        <w:tab/>
        <w:t>Disapplication of State occupational safety and health laws</w:t>
      </w:r>
      <w:bookmarkEnd w:id="9"/>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No. 13 of 2005 s. 20.]</w:t>
      </w:r>
    </w:p>
    <w:p>
      <w:pPr>
        <w:pStyle w:val="Heading2"/>
      </w:pPr>
      <w:bookmarkStart w:id="10" w:name="_Toc33609590"/>
      <w:bookmarkStart w:id="11" w:name="_Toc33609782"/>
      <w:r>
        <w:rPr>
          <w:rStyle w:val="CharPartNo"/>
        </w:rPr>
        <w:t>Part II</w:t>
      </w:r>
      <w:r>
        <w:rPr>
          <w:rStyle w:val="CharDivNo"/>
        </w:rPr>
        <w:t> </w:t>
      </w:r>
      <w:r>
        <w:t>—</w:t>
      </w:r>
      <w:r>
        <w:rPr>
          <w:rStyle w:val="CharDivText"/>
        </w:rPr>
        <w:t> </w:t>
      </w:r>
      <w:r>
        <w:rPr>
          <w:rStyle w:val="CharPartText"/>
        </w:rPr>
        <w:t>Licences and acquisition of land and rights over land</w:t>
      </w:r>
      <w:bookmarkEnd w:id="10"/>
      <w:bookmarkEnd w:id="11"/>
      <w:r>
        <w:rPr>
          <w:rStyle w:val="CharPartText"/>
        </w:rPr>
        <w:t xml:space="preserve"> </w:t>
      </w:r>
    </w:p>
    <w:p>
      <w:pPr>
        <w:pStyle w:val="Ednotesection"/>
        <w:spacing w:before="160"/>
      </w:pPr>
      <w:r>
        <w:t>[</w:t>
      </w:r>
      <w:r>
        <w:rPr>
          <w:b/>
        </w:rPr>
        <w:t>5A.</w:t>
      </w:r>
      <w:r>
        <w:tab/>
        <w:t>Deleted: No. 16 of 2009 s. 72.]</w:t>
      </w:r>
    </w:p>
    <w:p>
      <w:pPr>
        <w:pStyle w:val="Heading5"/>
        <w:spacing w:before="160"/>
        <w:rPr>
          <w:snapToGrid w:val="0"/>
        </w:rPr>
      </w:pPr>
      <w:bookmarkStart w:id="12" w:name="_Toc33609783"/>
      <w:r>
        <w:rPr>
          <w:rStyle w:val="CharSectno"/>
        </w:rPr>
        <w:t>6</w:t>
      </w:r>
      <w:r>
        <w:rPr>
          <w:snapToGrid w:val="0"/>
        </w:rPr>
        <w:t>.</w:t>
      </w:r>
      <w:r>
        <w:rPr>
          <w:snapToGrid w:val="0"/>
        </w:rPr>
        <w:tab/>
        <w:t>Construction etc. of pipelines</w:t>
      </w:r>
      <w:bookmarkEnd w:id="12"/>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tab/>
        <w:t xml:space="preserve">[Section 6 amended: No. 12 of 1990 s. 123; No. 13 of 2005 s. 31; No. 42 of 2010 s. 182(1).] </w:t>
      </w:r>
    </w:p>
    <w:p>
      <w:pPr>
        <w:pStyle w:val="Heading5"/>
        <w:spacing w:before="180"/>
        <w:rPr>
          <w:snapToGrid w:val="0"/>
        </w:rPr>
      </w:pPr>
      <w:bookmarkStart w:id="13" w:name="_Toc33609784"/>
      <w:r>
        <w:rPr>
          <w:rStyle w:val="CharSectno"/>
        </w:rPr>
        <w:t>7</w:t>
      </w:r>
      <w:r>
        <w:rPr>
          <w:snapToGrid w:val="0"/>
        </w:rPr>
        <w:t>.</w:t>
      </w:r>
      <w:r>
        <w:rPr>
          <w:snapToGrid w:val="0"/>
        </w:rPr>
        <w:tab/>
        <w:t>Power of Minister to authorise entry</w:t>
      </w:r>
      <w:bookmarkEnd w:id="13"/>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No. 12 of 1990 s. 124; No. 42 of 2010 s. 182(13).] </w:t>
      </w:r>
    </w:p>
    <w:p>
      <w:pPr>
        <w:pStyle w:val="Heading5"/>
        <w:rPr>
          <w:snapToGrid w:val="0"/>
        </w:rPr>
      </w:pPr>
      <w:bookmarkStart w:id="14" w:name="_Toc33609785"/>
      <w:r>
        <w:rPr>
          <w:rStyle w:val="CharSectno"/>
        </w:rPr>
        <w:t>8</w:t>
      </w:r>
      <w:r>
        <w:rPr>
          <w:snapToGrid w:val="0"/>
        </w:rPr>
        <w:t>.</w:t>
      </w:r>
      <w:r>
        <w:rPr>
          <w:snapToGrid w:val="0"/>
        </w:rPr>
        <w:tab/>
        <w:t>Application for licence</w:t>
      </w:r>
      <w:bookmarkEnd w:id="14"/>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No. 12 of 1990 s. 125; No. 28 of 1994 s. 77; No. 14 of 1996 s. 4; No. 42 of 2010 s. 174.] </w:t>
      </w:r>
    </w:p>
    <w:p>
      <w:pPr>
        <w:pStyle w:val="Heading5"/>
        <w:rPr>
          <w:snapToGrid w:val="0"/>
        </w:rPr>
      </w:pPr>
      <w:bookmarkStart w:id="15" w:name="_Toc33609786"/>
      <w:r>
        <w:rPr>
          <w:rStyle w:val="CharSectno"/>
        </w:rPr>
        <w:t>9</w:t>
      </w:r>
      <w:r>
        <w:rPr>
          <w:snapToGrid w:val="0"/>
        </w:rPr>
        <w:t>.</w:t>
      </w:r>
      <w:r>
        <w:rPr>
          <w:snapToGrid w:val="0"/>
        </w:rPr>
        <w:tab/>
        <w:t>Refusal of licence</w:t>
      </w:r>
      <w:bookmarkEnd w:id="15"/>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No. 28 of 1994 s. 65.] </w:t>
      </w:r>
    </w:p>
    <w:p>
      <w:pPr>
        <w:pStyle w:val="Heading5"/>
        <w:rPr>
          <w:snapToGrid w:val="0"/>
        </w:rPr>
      </w:pPr>
      <w:bookmarkStart w:id="16" w:name="_Toc33609787"/>
      <w:r>
        <w:rPr>
          <w:rStyle w:val="CharSectno"/>
        </w:rPr>
        <w:t>10</w:t>
      </w:r>
      <w:r>
        <w:rPr>
          <w:snapToGrid w:val="0"/>
        </w:rPr>
        <w:t>.</w:t>
      </w:r>
      <w:r>
        <w:rPr>
          <w:snapToGrid w:val="0"/>
        </w:rPr>
        <w:tab/>
        <w:t>Grant of licence</w:t>
      </w:r>
      <w:bookmarkEnd w:id="16"/>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No. 28 of 1994 s. 66; No. 38 of 2005 s. 15.] </w:t>
      </w:r>
    </w:p>
    <w:p>
      <w:pPr>
        <w:pStyle w:val="Ednotesection"/>
      </w:pPr>
      <w:r>
        <w:t>[</w:t>
      </w:r>
      <w:r>
        <w:rPr>
          <w:b/>
        </w:rPr>
        <w:t>10A.</w:t>
      </w:r>
      <w:r>
        <w:tab/>
        <w:t xml:space="preserve">Deleted: No. 52 of 1995 s. 43.] </w:t>
      </w:r>
    </w:p>
    <w:p>
      <w:pPr>
        <w:pStyle w:val="Ednotesection"/>
      </w:pPr>
      <w:r>
        <w:t>[</w:t>
      </w:r>
      <w:r>
        <w:rPr>
          <w:b/>
        </w:rPr>
        <w:t>11.</w:t>
      </w:r>
      <w:r>
        <w:tab/>
        <w:t xml:space="preserve">Deleted: No. 42 of 2010 s. 175.] </w:t>
      </w:r>
    </w:p>
    <w:p>
      <w:pPr>
        <w:pStyle w:val="Heading5"/>
        <w:rPr>
          <w:snapToGrid w:val="0"/>
        </w:rPr>
      </w:pPr>
      <w:bookmarkStart w:id="17" w:name="_Toc33609788"/>
      <w:r>
        <w:rPr>
          <w:rStyle w:val="CharSectno"/>
        </w:rPr>
        <w:t>12</w:t>
      </w:r>
      <w:r>
        <w:rPr>
          <w:snapToGrid w:val="0"/>
        </w:rPr>
        <w:t>.</w:t>
      </w:r>
      <w:r>
        <w:rPr>
          <w:snapToGrid w:val="0"/>
        </w:rPr>
        <w:tab/>
        <w:t>Conditions of licence</w:t>
      </w:r>
      <w:bookmarkEnd w:id="17"/>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No. 42 of 1970 s. 2; No. 10 of 1983 s. 3; No. 12 of 1990 s. 126; No. 28 of 1994 s. 68.] </w:t>
      </w:r>
    </w:p>
    <w:p>
      <w:pPr>
        <w:pStyle w:val="Heading5"/>
        <w:rPr>
          <w:snapToGrid w:val="0"/>
        </w:rPr>
      </w:pPr>
      <w:bookmarkStart w:id="18" w:name="_Toc33609789"/>
      <w:r>
        <w:rPr>
          <w:rStyle w:val="CharSectno"/>
        </w:rPr>
        <w:t>13</w:t>
      </w:r>
      <w:r>
        <w:rPr>
          <w:snapToGrid w:val="0"/>
        </w:rPr>
        <w:t>.</w:t>
      </w:r>
      <w:r>
        <w:rPr>
          <w:snapToGrid w:val="0"/>
        </w:rPr>
        <w:tab/>
        <w:t>Security</w:t>
      </w:r>
      <w:bookmarkEnd w:id="18"/>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No. 28 of 1994 s. 69.] </w:t>
      </w:r>
    </w:p>
    <w:p>
      <w:pPr>
        <w:pStyle w:val="Heading5"/>
      </w:pPr>
      <w:bookmarkStart w:id="19" w:name="_Toc33609790"/>
      <w:r>
        <w:rPr>
          <w:rStyle w:val="CharSectno"/>
        </w:rPr>
        <w:t>14</w:t>
      </w:r>
      <w:r>
        <w:t>.</w:t>
      </w:r>
      <w:r>
        <w:tab/>
        <w:t>Term of licence</w:t>
      </w:r>
      <w:bookmarkEnd w:id="19"/>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No. 42 of 2010 s. 176.]</w:t>
      </w:r>
    </w:p>
    <w:p>
      <w:pPr>
        <w:pStyle w:val="Heading5"/>
      </w:pPr>
      <w:bookmarkStart w:id="20" w:name="_Toc33609791"/>
      <w:r>
        <w:rPr>
          <w:rStyle w:val="CharSectno"/>
        </w:rPr>
        <w:t>15A</w:t>
      </w:r>
      <w:r>
        <w:t>.</w:t>
      </w:r>
      <w:r>
        <w:tab/>
        <w:t>Termination of pipeline licence if no operations for 5 years</w:t>
      </w:r>
      <w:bookmarkEnd w:id="20"/>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No. 42 of 2010 s. 176.]</w:t>
      </w:r>
    </w:p>
    <w:p>
      <w:pPr>
        <w:pStyle w:val="Heading5"/>
        <w:rPr>
          <w:snapToGrid w:val="0"/>
        </w:rPr>
      </w:pPr>
      <w:bookmarkStart w:id="21" w:name="_Toc33609792"/>
      <w:r>
        <w:rPr>
          <w:rStyle w:val="CharSectno"/>
        </w:rPr>
        <w:t>15</w:t>
      </w:r>
      <w:r>
        <w:rPr>
          <w:snapToGrid w:val="0"/>
        </w:rPr>
        <w:t>.</w:t>
      </w:r>
      <w:r>
        <w:rPr>
          <w:snapToGrid w:val="0"/>
        </w:rPr>
        <w:tab/>
        <w:t>Variation of licence on application by licensee</w:t>
      </w:r>
      <w:bookmarkEnd w:id="21"/>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No. 28 of 1994 s. 77; No. 42 of 2010 s. 177.] </w:t>
      </w:r>
    </w:p>
    <w:p>
      <w:pPr>
        <w:pStyle w:val="Heading5"/>
        <w:rPr>
          <w:rFonts w:eastAsia="Arial Unicode MS"/>
          <w:snapToGrid w:val="0"/>
        </w:rPr>
      </w:pPr>
      <w:bookmarkStart w:id="22" w:name="_Toc33609793"/>
      <w:r>
        <w:rPr>
          <w:rStyle w:val="CharSectno"/>
        </w:rPr>
        <w:t>16</w:t>
      </w:r>
      <w:r>
        <w:rPr>
          <w:snapToGrid w:val="0"/>
        </w:rPr>
        <w:t>.</w:t>
      </w:r>
      <w:r>
        <w:rPr>
          <w:snapToGrid w:val="0"/>
        </w:rPr>
        <w:tab/>
        <w:t>Power of Minister to grant easements etc. over Crown land</w:t>
      </w:r>
      <w:bookmarkEnd w:id="22"/>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No. 8 of 2010 s. 23.]</w:t>
      </w:r>
    </w:p>
    <w:p>
      <w:pPr>
        <w:pStyle w:val="Heading5"/>
        <w:rPr>
          <w:snapToGrid w:val="0"/>
        </w:rPr>
      </w:pPr>
      <w:bookmarkStart w:id="23" w:name="_Toc33609794"/>
      <w:r>
        <w:rPr>
          <w:rStyle w:val="CharSectno"/>
        </w:rPr>
        <w:t>17</w:t>
      </w:r>
      <w:r>
        <w:rPr>
          <w:snapToGrid w:val="0"/>
        </w:rPr>
        <w:t>.</w:t>
      </w:r>
      <w:r>
        <w:rPr>
          <w:snapToGrid w:val="0"/>
        </w:rPr>
        <w:tab/>
        <w:t>Power of public authority to grant easements etc.</w:t>
      </w:r>
      <w:bookmarkEnd w:id="23"/>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24" w:name="_Toc33609795"/>
      <w:r>
        <w:rPr>
          <w:rStyle w:val="CharSectno"/>
        </w:rPr>
        <w:t>18</w:t>
      </w:r>
      <w:r>
        <w:rPr>
          <w:snapToGrid w:val="0"/>
        </w:rPr>
        <w:t>.</w:t>
      </w:r>
      <w:r>
        <w:rPr>
          <w:snapToGrid w:val="0"/>
        </w:rPr>
        <w:tab/>
        <w:t>Authority to make arrangements and agreements for easements</w:t>
      </w:r>
      <w:bookmarkEnd w:id="24"/>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25" w:name="_Toc33609796"/>
      <w:r>
        <w:rPr>
          <w:rStyle w:val="CharSectno"/>
        </w:rPr>
        <w:t>19</w:t>
      </w:r>
      <w:r>
        <w:rPr>
          <w:snapToGrid w:val="0"/>
        </w:rPr>
        <w:t>.</w:t>
      </w:r>
      <w:r>
        <w:rPr>
          <w:snapToGrid w:val="0"/>
        </w:rPr>
        <w:tab/>
        <w:t>Taking of land or easement over land for the purposes of or incidental to construction or operation of pipeline</w:t>
      </w:r>
      <w:bookmarkEnd w:id="25"/>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w:t>
      </w:r>
      <w:r>
        <w:t xml:space="preserve"> Registrar of Deeds and Transfers</w:t>
      </w:r>
      <w:r>
        <w:rPr>
          <w:snapToGrid w:val="0"/>
        </w:rPr>
        <w:t>, who shall, by memorial in the Register of Deeds, duly record the notification of the easement.</w:t>
      </w:r>
    </w:p>
    <w:p>
      <w:pPr>
        <w:pStyle w:val="Footnotesection"/>
      </w:pPr>
      <w:r>
        <w:tab/>
        <w:t>[Section 19 amended: No. 31 of 1997 s. 77(2)</w:t>
      </w:r>
      <w:r>
        <w:noBreakHyphen/>
        <w:t>(4) and 142</w:t>
      </w:r>
      <w:r>
        <w:rPr>
          <w:spacing w:val="-4"/>
        </w:rPr>
        <w:t>; No. 47 of 2011 s.</w:t>
      </w:r>
      <w:r>
        <w:t> 16.]</w:t>
      </w:r>
    </w:p>
    <w:p>
      <w:pPr>
        <w:pStyle w:val="Heading5"/>
        <w:spacing w:before="260"/>
        <w:rPr>
          <w:snapToGrid w:val="0"/>
        </w:rPr>
      </w:pPr>
      <w:bookmarkStart w:id="26" w:name="_Toc33609797"/>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26"/>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 xml:space="preserve">the Minister shall notify in writing forthwith the Registrar of Titles or the </w:t>
      </w:r>
      <w:r>
        <w:t>Registrar of Deeds and Transfers</w:t>
      </w:r>
      <w:r>
        <w:rPr>
          <w:snapToGrid w:val="0"/>
        </w:rPr>
        <w:t xml:space="preserve">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w:t>
      </w:r>
      <w:r>
        <w:t xml:space="preserve"> Registrar of Deeds and Transfers</w:t>
      </w:r>
      <w:r>
        <w:rPr>
          <w:snapToGrid w:val="0"/>
        </w:rPr>
        <w:t>,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w:t>
      </w:r>
      <w:r>
        <w:t xml:space="preserve"> Registrar of Deeds and Transfers</w:t>
      </w:r>
      <w:r>
        <w:rPr>
          <w:snapToGrid w:val="0"/>
        </w:rPr>
        <w:t>.</w:t>
      </w:r>
    </w:p>
    <w:p>
      <w:pPr>
        <w:pStyle w:val="Subsection"/>
        <w:rPr>
          <w:snapToGrid w:val="0"/>
        </w:rPr>
      </w:pPr>
      <w:r>
        <w:rPr>
          <w:snapToGrid w:val="0"/>
        </w:rPr>
        <w:tab/>
        <w:t>(b)</w:t>
      </w:r>
      <w:r>
        <w:rPr>
          <w:snapToGrid w:val="0"/>
        </w:rPr>
        <w:tab/>
        <w:t xml:space="preserve">Upon receipt of such notification the Registrar of Titles or </w:t>
      </w:r>
      <w:r>
        <w:t>Registrar of Deeds and Transfers</w:t>
      </w:r>
      <w:r>
        <w:rPr>
          <w:snapToGrid w:val="0"/>
        </w:rPr>
        <w:t xml:space="preserve">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w:t>
      </w:r>
      <w:r>
        <w:t xml:space="preserve"> Registrar of Deeds and Transfers</w:t>
      </w:r>
      <w:r>
        <w:rPr>
          <w:snapToGrid w:val="0"/>
        </w:rPr>
        <w:t>,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No. 12 of 1990 s. 127; No. 31 of 1997 s. 77(5)</w:t>
      </w:r>
      <w:r>
        <w:noBreakHyphen/>
        <w:t>(8); No. 42 of 2010 s. 182(2)</w:t>
      </w:r>
      <w:r>
        <w:rPr>
          <w:spacing w:val="-4"/>
        </w:rPr>
        <w:t>; No. 47 of 2011 s.</w:t>
      </w:r>
      <w:r>
        <w:t xml:space="preserve"> 16.] </w:t>
      </w:r>
    </w:p>
    <w:p>
      <w:pPr>
        <w:pStyle w:val="Heading5"/>
        <w:rPr>
          <w:snapToGrid w:val="0"/>
        </w:rPr>
      </w:pPr>
      <w:bookmarkStart w:id="27" w:name="_Toc33609798"/>
      <w:r>
        <w:rPr>
          <w:rStyle w:val="CharSectno"/>
        </w:rPr>
        <w:t>21</w:t>
      </w:r>
      <w:r>
        <w:rPr>
          <w:snapToGrid w:val="0"/>
        </w:rPr>
        <w:t>.</w:t>
      </w:r>
      <w:r>
        <w:rPr>
          <w:snapToGrid w:val="0"/>
        </w:rPr>
        <w:tab/>
        <w:t>Directions as to conveyance of petroleum</w:t>
      </w:r>
      <w:bookmarkEnd w:id="27"/>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No. 12 of 1990 s. 128; No. 28 of 1994 s. 77; No. 65 of 1998 s. 89; No. 42 of 2010 s. 182(13).] </w:t>
      </w:r>
    </w:p>
    <w:p>
      <w:pPr>
        <w:pStyle w:val="Heading5"/>
        <w:keepLines w:val="0"/>
        <w:rPr>
          <w:snapToGrid w:val="0"/>
        </w:rPr>
      </w:pPr>
      <w:bookmarkStart w:id="28" w:name="_Toc33609799"/>
      <w:r>
        <w:rPr>
          <w:rStyle w:val="CharSectno"/>
        </w:rPr>
        <w:t>22</w:t>
      </w:r>
      <w:r>
        <w:rPr>
          <w:snapToGrid w:val="0"/>
        </w:rPr>
        <w:t>.</w:t>
      </w:r>
      <w:r>
        <w:rPr>
          <w:snapToGrid w:val="0"/>
        </w:rPr>
        <w:tab/>
        <w:t>Exemptions</w:t>
      </w:r>
      <w:bookmarkEnd w:id="28"/>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No. 65 of 1998 s. 89; No. 13 of 2005 s. 31.]</w:t>
      </w:r>
    </w:p>
    <w:p>
      <w:pPr>
        <w:pStyle w:val="Heading5"/>
        <w:spacing w:before="180"/>
        <w:rPr>
          <w:snapToGrid w:val="0"/>
        </w:rPr>
      </w:pPr>
      <w:bookmarkStart w:id="29" w:name="_Toc33609800"/>
      <w:r>
        <w:rPr>
          <w:rStyle w:val="CharSectno"/>
        </w:rPr>
        <w:t>23</w:t>
      </w:r>
      <w:r>
        <w:rPr>
          <w:snapToGrid w:val="0"/>
        </w:rPr>
        <w:t>.</w:t>
      </w:r>
      <w:r>
        <w:rPr>
          <w:snapToGrid w:val="0"/>
        </w:rPr>
        <w:tab/>
        <w:t>Surrender of licence</w:t>
      </w:r>
      <w:bookmarkEnd w:id="29"/>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30" w:name="_Toc33609801"/>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30"/>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31" w:name="_Toc33609802"/>
      <w:r>
        <w:rPr>
          <w:rStyle w:val="CharSectno"/>
        </w:rPr>
        <w:t>25</w:t>
      </w:r>
      <w:r>
        <w:rPr>
          <w:snapToGrid w:val="0"/>
        </w:rPr>
        <w:t>.</w:t>
      </w:r>
      <w:r>
        <w:rPr>
          <w:snapToGrid w:val="0"/>
        </w:rPr>
        <w:tab/>
        <w:t>Change in position or route of pipeline</w:t>
      </w:r>
      <w:bookmarkEnd w:id="31"/>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No. 12 of 1990 s. 129; No. 42 of 2010 s. 182(13).] </w:t>
      </w:r>
    </w:p>
    <w:p>
      <w:pPr>
        <w:pStyle w:val="Heading5"/>
        <w:rPr>
          <w:snapToGrid w:val="0"/>
        </w:rPr>
      </w:pPr>
      <w:bookmarkStart w:id="32" w:name="_Toc33609803"/>
      <w:r>
        <w:rPr>
          <w:rStyle w:val="CharSectno"/>
        </w:rPr>
        <w:t>26</w:t>
      </w:r>
      <w:r>
        <w:rPr>
          <w:snapToGrid w:val="0"/>
        </w:rPr>
        <w:t>.</w:t>
      </w:r>
      <w:r>
        <w:rPr>
          <w:snapToGrid w:val="0"/>
        </w:rPr>
        <w:tab/>
        <w:t>Cancellation of licences not affected by other provisions</w:t>
      </w:r>
      <w:bookmarkEnd w:id="32"/>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33" w:name="_Toc33609804"/>
      <w:r>
        <w:rPr>
          <w:rStyle w:val="CharSectno"/>
        </w:rPr>
        <w:t>27</w:t>
      </w:r>
      <w:r>
        <w:rPr>
          <w:snapToGrid w:val="0"/>
        </w:rPr>
        <w:t>.</w:t>
      </w:r>
      <w:r>
        <w:rPr>
          <w:snapToGrid w:val="0"/>
        </w:rPr>
        <w:tab/>
        <w:t>Removal of property etc. by licensee</w:t>
      </w:r>
      <w:bookmarkEnd w:id="33"/>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No. 12 of 1990 s. 130; No. 42 of 2010 s. 182(3).] </w:t>
      </w:r>
    </w:p>
    <w:p>
      <w:pPr>
        <w:pStyle w:val="Heading5"/>
        <w:rPr>
          <w:snapToGrid w:val="0"/>
        </w:rPr>
      </w:pPr>
      <w:bookmarkStart w:id="34" w:name="_Toc33609805"/>
      <w:r>
        <w:rPr>
          <w:rStyle w:val="CharSectno"/>
        </w:rPr>
        <w:t>28</w:t>
      </w:r>
      <w:r>
        <w:rPr>
          <w:snapToGrid w:val="0"/>
        </w:rPr>
        <w:t>.</w:t>
      </w:r>
      <w:r>
        <w:rPr>
          <w:snapToGrid w:val="0"/>
        </w:rPr>
        <w:tab/>
        <w:t>Powers of Minister where direction not complied with</w:t>
      </w:r>
      <w:bookmarkEnd w:id="34"/>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35" w:name="_Toc33609806"/>
      <w:r>
        <w:rPr>
          <w:rStyle w:val="CharSectno"/>
        </w:rPr>
        <w:t>29</w:t>
      </w:r>
      <w:r>
        <w:rPr>
          <w:snapToGrid w:val="0"/>
        </w:rPr>
        <w:t>.</w:t>
      </w:r>
      <w:r>
        <w:rPr>
          <w:snapToGrid w:val="0"/>
        </w:rPr>
        <w:tab/>
        <w:t>Licence fees</w:t>
      </w:r>
      <w:bookmarkEnd w:id="35"/>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No. 94 of 1972 s. 4 (as amended: No. 42 of 1975); No. 10 of 1983 s. 4; No. 12 of 1990 s. 131.] </w:t>
      </w:r>
    </w:p>
    <w:p>
      <w:pPr>
        <w:pStyle w:val="Heading5"/>
        <w:rPr>
          <w:snapToGrid w:val="0"/>
        </w:rPr>
      </w:pPr>
      <w:bookmarkStart w:id="36" w:name="_Toc33609807"/>
      <w:r>
        <w:rPr>
          <w:rStyle w:val="CharSectno"/>
        </w:rPr>
        <w:t>30</w:t>
      </w:r>
      <w:r>
        <w:rPr>
          <w:snapToGrid w:val="0"/>
        </w:rPr>
        <w:t>.</w:t>
      </w:r>
      <w:r>
        <w:rPr>
          <w:snapToGrid w:val="0"/>
        </w:rPr>
        <w:tab/>
        <w:t>Penalty for late payment</w:t>
      </w:r>
      <w:bookmarkEnd w:id="36"/>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37" w:name="_Toc33609808"/>
      <w:r>
        <w:rPr>
          <w:rStyle w:val="CharSectno"/>
        </w:rPr>
        <w:t>31</w:t>
      </w:r>
      <w:r>
        <w:rPr>
          <w:snapToGrid w:val="0"/>
        </w:rPr>
        <w:t>.</w:t>
      </w:r>
      <w:r>
        <w:rPr>
          <w:snapToGrid w:val="0"/>
        </w:rPr>
        <w:tab/>
        <w:t>Fees and penalties debts due to the Crown</w:t>
      </w:r>
      <w:bookmarkEnd w:id="37"/>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38" w:name="_Toc33609809"/>
      <w:r>
        <w:rPr>
          <w:rStyle w:val="CharSectno"/>
        </w:rPr>
        <w:t>32</w:t>
      </w:r>
      <w:r>
        <w:rPr>
          <w:snapToGrid w:val="0"/>
        </w:rPr>
        <w:t>.</w:t>
      </w:r>
      <w:r>
        <w:rPr>
          <w:snapToGrid w:val="0"/>
        </w:rPr>
        <w:tab/>
        <w:t>Certain written laws not to apply to licensed pipelines</w:t>
      </w:r>
      <w:bookmarkEnd w:id="38"/>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No. 12 of 1990 s. 132; amended: No. 14 of 1996 s. 4; No. 7 of 2004 s. 70.] </w:t>
      </w:r>
    </w:p>
    <w:p>
      <w:pPr>
        <w:pStyle w:val="Ednotepart"/>
      </w:pPr>
      <w:r>
        <w:t>[Part IIA (s. 32A</w:t>
      </w:r>
      <w:r>
        <w:noBreakHyphen/>
        <w:t>32H) deleted: No. 52 of 1995 s. 44.]</w:t>
      </w:r>
    </w:p>
    <w:p>
      <w:pPr>
        <w:pStyle w:val="Heading2"/>
      </w:pPr>
      <w:bookmarkStart w:id="39" w:name="_Toc33609618"/>
      <w:bookmarkStart w:id="40" w:name="_Toc33609810"/>
      <w:r>
        <w:rPr>
          <w:rStyle w:val="CharPartNo"/>
        </w:rPr>
        <w:t>Part III</w:t>
      </w:r>
      <w:r>
        <w:rPr>
          <w:rStyle w:val="CharDivNo"/>
        </w:rPr>
        <w:t> </w:t>
      </w:r>
      <w:r>
        <w:t>—</w:t>
      </w:r>
      <w:r>
        <w:rPr>
          <w:rStyle w:val="CharDivText"/>
        </w:rPr>
        <w:t> </w:t>
      </w:r>
      <w:r>
        <w:rPr>
          <w:rStyle w:val="CharPartText"/>
        </w:rPr>
        <w:t>Construction and operation of pipeline</w:t>
      </w:r>
      <w:bookmarkEnd w:id="39"/>
      <w:bookmarkEnd w:id="40"/>
      <w:r>
        <w:rPr>
          <w:rStyle w:val="CharPartText"/>
        </w:rPr>
        <w:t xml:space="preserve"> </w:t>
      </w:r>
    </w:p>
    <w:p>
      <w:pPr>
        <w:pStyle w:val="Heading5"/>
        <w:rPr>
          <w:snapToGrid w:val="0"/>
        </w:rPr>
      </w:pPr>
      <w:bookmarkStart w:id="41" w:name="_Toc33609811"/>
      <w:r>
        <w:rPr>
          <w:rStyle w:val="CharSectno"/>
        </w:rPr>
        <w:t>33</w:t>
      </w:r>
      <w:r>
        <w:rPr>
          <w:snapToGrid w:val="0"/>
        </w:rPr>
        <w:t>.</w:t>
      </w:r>
      <w:r>
        <w:rPr>
          <w:snapToGrid w:val="0"/>
        </w:rPr>
        <w:tab/>
        <w:t>Construction to be along authorised route</w:t>
      </w:r>
      <w:bookmarkEnd w:id="41"/>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42" w:name="_Toc33609812"/>
      <w:r>
        <w:rPr>
          <w:rStyle w:val="CharSectno"/>
        </w:rPr>
        <w:t>34</w:t>
      </w:r>
      <w:r>
        <w:rPr>
          <w:snapToGrid w:val="0"/>
        </w:rPr>
        <w:t>.</w:t>
      </w:r>
      <w:r>
        <w:rPr>
          <w:snapToGrid w:val="0"/>
        </w:rPr>
        <w:tab/>
        <w:t>Construction to be in accordance with prescribed standards etc.</w:t>
      </w:r>
      <w:bookmarkEnd w:id="42"/>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43" w:name="_Toc33609813"/>
      <w:r>
        <w:rPr>
          <w:rStyle w:val="CharSectno"/>
        </w:rPr>
        <w:t>35</w:t>
      </w:r>
      <w:r>
        <w:rPr>
          <w:snapToGrid w:val="0"/>
        </w:rPr>
        <w:t>.</w:t>
      </w:r>
      <w:r>
        <w:rPr>
          <w:snapToGrid w:val="0"/>
        </w:rPr>
        <w:tab/>
        <w:t>Pipelines to be operated continuously</w:t>
      </w:r>
      <w:bookmarkEnd w:id="43"/>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No. 12 of 1990 s. 133; No. 42 of 2010 s. 182(13).] </w:t>
      </w:r>
    </w:p>
    <w:p>
      <w:pPr>
        <w:pStyle w:val="Heading5"/>
        <w:keepNext w:val="0"/>
        <w:keepLines w:val="0"/>
        <w:rPr>
          <w:snapToGrid w:val="0"/>
        </w:rPr>
      </w:pPr>
      <w:bookmarkStart w:id="44" w:name="_Toc33609814"/>
      <w:r>
        <w:rPr>
          <w:rStyle w:val="CharSectno"/>
        </w:rPr>
        <w:t>36</w:t>
      </w:r>
      <w:r>
        <w:rPr>
          <w:snapToGrid w:val="0"/>
        </w:rPr>
        <w:t>.</w:t>
      </w:r>
      <w:r>
        <w:rPr>
          <w:snapToGrid w:val="0"/>
        </w:rPr>
        <w:tab/>
        <w:t>Consent to commencement or resumption of pipeline operations</w:t>
      </w:r>
      <w:bookmarkEnd w:id="44"/>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45" w:name="_Toc33609815"/>
      <w:r>
        <w:rPr>
          <w:rStyle w:val="CharSectno"/>
        </w:rPr>
        <w:t>36A</w:t>
      </w:r>
      <w:r>
        <w:rPr>
          <w:snapToGrid w:val="0"/>
        </w:rPr>
        <w:t>.</w:t>
      </w:r>
      <w:r>
        <w:rPr>
          <w:snapToGrid w:val="0"/>
        </w:rPr>
        <w:tab/>
        <w:t>Manner of operating pipelines</w:t>
      </w:r>
      <w:bookmarkEnd w:id="45"/>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No. 28 of 1994 s. 70; amended: No. 13 of 2005 s. 21; No. 42 of 2010 s. 182(13).] </w:t>
      </w:r>
    </w:p>
    <w:p>
      <w:pPr>
        <w:pStyle w:val="Heading5"/>
        <w:spacing w:before="260"/>
        <w:rPr>
          <w:snapToGrid w:val="0"/>
        </w:rPr>
      </w:pPr>
      <w:bookmarkStart w:id="46" w:name="_Toc33609816"/>
      <w:r>
        <w:rPr>
          <w:rStyle w:val="CharSectno"/>
        </w:rPr>
        <w:t>37</w:t>
      </w:r>
      <w:r>
        <w:rPr>
          <w:snapToGrid w:val="0"/>
        </w:rPr>
        <w:t>.</w:t>
      </w:r>
      <w:r>
        <w:rPr>
          <w:snapToGrid w:val="0"/>
        </w:rPr>
        <w:tab/>
        <w:t>Waste or escape of substances from pipeline</w:t>
      </w:r>
      <w:bookmarkEnd w:id="46"/>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No. 12 of 1990 s. 134; No. 42 of 2010 s. 182(13).] </w:t>
      </w:r>
    </w:p>
    <w:p>
      <w:pPr>
        <w:pStyle w:val="Heading5"/>
        <w:rPr>
          <w:snapToGrid w:val="0"/>
        </w:rPr>
      </w:pPr>
      <w:bookmarkStart w:id="47" w:name="_Toc33609817"/>
      <w:r>
        <w:rPr>
          <w:rStyle w:val="CharSectno"/>
        </w:rPr>
        <w:t>37A</w:t>
      </w:r>
      <w:r>
        <w:rPr>
          <w:snapToGrid w:val="0"/>
        </w:rPr>
        <w:t>.</w:t>
      </w:r>
      <w:r>
        <w:rPr>
          <w:snapToGrid w:val="0"/>
        </w:rPr>
        <w:tab/>
        <w:t>Insurance requirements</w:t>
      </w:r>
      <w:bookmarkEnd w:id="47"/>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No. 28 of 1994 s. 71.] </w:t>
      </w:r>
    </w:p>
    <w:p>
      <w:pPr>
        <w:pStyle w:val="Heading5"/>
        <w:spacing w:before="180"/>
        <w:rPr>
          <w:snapToGrid w:val="0"/>
        </w:rPr>
      </w:pPr>
      <w:bookmarkStart w:id="48" w:name="_Toc33609818"/>
      <w:r>
        <w:rPr>
          <w:rStyle w:val="CharSectno"/>
        </w:rPr>
        <w:t>38</w:t>
      </w:r>
      <w:r>
        <w:rPr>
          <w:snapToGrid w:val="0"/>
        </w:rPr>
        <w:t>.</w:t>
      </w:r>
      <w:r>
        <w:rPr>
          <w:snapToGrid w:val="0"/>
        </w:rPr>
        <w:tab/>
        <w:t>Marking route of pipeline and maintenance etc. of property</w:t>
      </w:r>
      <w:bookmarkEnd w:id="48"/>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No. 12 of 1990 s. 135; No. 28 of 1994 s. 77; No. 42 of 2010 s. 182(13).] </w:t>
      </w:r>
    </w:p>
    <w:p>
      <w:pPr>
        <w:pStyle w:val="Heading5"/>
        <w:spacing w:before="260"/>
        <w:rPr>
          <w:snapToGrid w:val="0"/>
        </w:rPr>
      </w:pPr>
      <w:bookmarkStart w:id="49" w:name="_Toc33609819"/>
      <w:r>
        <w:rPr>
          <w:rStyle w:val="CharSectno"/>
        </w:rPr>
        <w:t>39</w:t>
      </w:r>
      <w:r>
        <w:rPr>
          <w:snapToGrid w:val="0"/>
        </w:rPr>
        <w:t>.</w:t>
      </w:r>
      <w:r>
        <w:rPr>
          <w:snapToGrid w:val="0"/>
        </w:rPr>
        <w:tab/>
        <w:t>Pipelines on agricultural land, licensee’s duties</w:t>
      </w:r>
      <w:bookmarkEnd w:id="49"/>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50" w:name="_Toc33609820"/>
      <w:r>
        <w:rPr>
          <w:rStyle w:val="CharSectno"/>
        </w:rPr>
        <w:t>40</w:t>
      </w:r>
      <w:r>
        <w:rPr>
          <w:snapToGrid w:val="0"/>
        </w:rPr>
        <w:t>.</w:t>
      </w:r>
      <w:r>
        <w:rPr>
          <w:snapToGrid w:val="0"/>
        </w:rPr>
        <w:tab/>
        <w:t>Pipelines crossing any water</w:t>
      </w:r>
      <w:bookmarkEnd w:id="50"/>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No. 12 of 1990 s. 136; No. 42 of 2010 s. 182(13).] </w:t>
      </w:r>
    </w:p>
    <w:p>
      <w:pPr>
        <w:pStyle w:val="Heading5"/>
        <w:rPr>
          <w:snapToGrid w:val="0"/>
        </w:rPr>
      </w:pPr>
      <w:bookmarkStart w:id="51" w:name="_Toc33609821"/>
      <w:r>
        <w:rPr>
          <w:rStyle w:val="CharSectno"/>
        </w:rPr>
        <w:t>41</w:t>
      </w:r>
      <w:r>
        <w:rPr>
          <w:snapToGrid w:val="0"/>
        </w:rPr>
        <w:t>.</w:t>
      </w:r>
      <w:r>
        <w:rPr>
          <w:snapToGrid w:val="0"/>
        </w:rPr>
        <w:tab/>
        <w:t>Directions</w:t>
      </w:r>
      <w:bookmarkEnd w:id="51"/>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No. 12 of 1990 s. 137; No. 28 of 1994 s. 72; No. 42 of 2010 s. 182(13).] </w:t>
      </w:r>
    </w:p>
    <w:p>
      <w:pPr>
        <w:pStyle w:val="Heading5"/>
        <w:rPr>
          <w:snapToGrid w:val="0"/>
        </w:rPr>
      </w:pPr>
      <w:bookmarkStart w:id="52" w:name="_Toc33609822"/>
      <w:r>
        <w:rPr>
          <w:rStyle w:val="CharSectno"/>
        </w:rPr>
        <w:t>42</w:t>
      </w:r>
      <w:r>
        <w:rPr>
          <w:snapToGrid w:val="0"/>
        </w:rPr>
        <w:t>.</w:t>
      </w:r>
      <w:r>
        <w:rPr>
          <w:snapToGrid w:val="0"/>
        </w:rPr>
        <w:tab/>
        <w:t>Non-compliance with directions</w:t>
      </w:r>
      <w:bookmarkEnd w:id="52"/>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No. 28 of 1994 s. 73; amended: No. 13 of 2005 s. 31.] </w:t>
      </w:r>
    </w:p>
    <w:p>
      <w:pPr>
        <w:pStyle w:val="Heading2"/>
      </w:pPr>
      <w:bookmarkStart w:id="53" w:name="_Toc33609631"/>
      <w:bookmarkStart w:id="54" w:name="_Toc33609823"/>
      <w:r>
        <w:rPr>
          <w:rStyle w:val="CharPartNo"/>
        </w:rPr>
        <w:t>Part IV</w:t>
      </w:r>
      <w:r>
        <w:rPr>
          <w:rStyle w:val="CharDivNo"/>
        </w:rPr>
        <w:t> </w:t>
      </w:r>
      <w:r>
        <w:t>—</w:t>
      </w:r>
      <w:r>
        <w:rPr>
          <w:rStyle w:val="CharDivText"/>
        </w:rPr>
        <w:t> </w:t>
      </w:r>
      <w:r>
        <w:rPr>
          <w:rStyle w:val="CharPartText"/>
        </w:rPr>
        <w:t>Registration of licences and related instruments</w:t>
      </w:r>
      <w:bookmarkEnd w:id="53"/>
      <w:bookmarkEnd w:id="54"/>
      <w:r>
        <w:rPr>
          <w:rStyle w:val="CharPartText"/>
        </w:rPr>
        <w:t xml:space="preserve"> </w:t>
      </w:r>
    </w:p>
    <w:p>
      <w:pPr>
        <w:pStyle w:val="Heading5"/>
        <w:spacing w:before="180"/>
        <w:rPr>
          <w:snapToGrid w:val="0"/>
        </w:rPr>
      </w:pPr>
      <w:bookmarkStart w:id="55" w:name="_Toc33609824"/>
      <w:r>
        <w:rPr>
          <w:rStyle w:val="CharSectno"/>
        </w:rPr>
        <w:t>43</w:t>
      </w:r>
      <w:r>
        <w:rPr>
          <w:snapToGrid w:val="0"/>
        </w:rPr>
        <w:t>.</w:t>
      </w:r>
      <w:r>
        <w:rPr>
          <w:snapToGrid w:val="0"/>
        </w:rPr>
        <w:tab/>
        <w:t>Register of licences to be kept</w:t>
      </w:r>
      <w:bookmarkEnd w:id="55"/>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No. 12 of 1990 s. 138.] </w:t>
      </w:r>
    </w:p>
    <w:p>
      <w:pPr>
        <w:pStyle w:val="Heading5"/>
        <w:rPr>
          <w:snapToGrid w:val="0"/>
        </w:rPr>
      </w:pPr>
      <w:bookmarkStart w:id="56" w:name="_Toc33609825"/>
      <w:r>
        <w:rPr>
          <w:rStyle w:val="CharSectno"/>
        </w:rPr>
        <w:t>44</w:t>
      </w:r>
      <w:r>
        <w:rPr>
          <w:snapToGrid w:val="0"/>
        </w:rPr>
        <w:t>.</w:t>
      </w:r>
      <w:r>
        <w:rPr>
          <w:snapToGrid w:val="0"/>
        </w:rPr>
        <w:tab/>
        <w:t>Approval and registration of transfers</w:t>
      </w:r>
      <w:bookmarkEnd w:id="56"/>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No. 12 of 1990</w:t>
      </w:r>
      <w:r>
        <w:rPr>
          <w:vertAlign w:val="superscript"/>
        </w:rPr>
        <w:t xml:space="preserve"> </w:t>
      </w:r>
      <w:r>
        <w:rPr>
          <w:i w:val="0"/>
          <w:iCs/>
          <w:vertAlign w:val="superscript"/>
        </w:rPr>
        <w:t>4</w:t>
      </w:r>
      <w:r>
        <w:t xml:space="preserve"> s. 139; amended: No. 28 of 1994 s. 74.] </w:t>
      </w:r>
    </w:p>
    <w:p>
      <w:pPr>
        <w:pStyle w:val="Heading5"/>
        <w:rPr>
          <w:snapToGrid w:val="0"/>
        </w:rPr>
      </w:pPr>
      <w:bookmarkStart w:id="57" w:name="_Toc33609826"/>
      <w:r>
        <w:rPr>
          <w:rStyle w:val="CharSectno"/>
        </w:rPr>
        <w:t>45</w:t>
      </w:r>
      <w:r>
        <w:rPr>
          <w:snapToGrid w:val="0"/>
        </w:rPr>
        <w:t>.</w:t>
      </w:r>
      <w:r>
        <w:rPr>
          <w:snapToGrid w:val="0"/>
        </w:rPr>
        <w:tab/>
        <w:t>Entries in register on devolution of rights of registered holder</w:t>
      </w:r>
      <w:bookmarkEnd w:id="57"/>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No. 10 of 1983 s. 6; No. 12 of 1990 s. 140.] </w:t>
      </w:r>
    </w:p>
    <w:p>
      <w:pPr>
        <w:pStyle w:val="Ednotesection"/>
      </w:pPr>
      <w:r>
        <w:t>[</w:t>
      </w:r>
      <w:r>
        <w:rPr>
          <w:b/>
        </w:rPr>
        <w:t>46.</w:t>
      </w:r>
      <w:r>
        <w:tab/>
        <w:t xml:space="preserve">Deleted: No. 12 of 1990 s. 141.] </w:t>
      </w:r>
    </w:p>
    <w:p>
      <w:pPr>
        <w:pStyle w:val="Heading5"/>
        <w:rPr>
          <w:snapToGrid w:val="0"/>
        </w:rPr>
      </w:pPr>
      <w:bookmarkStart w:id="58" w:name="_Toc33609827"/>
      <w:r>
        <w:rPr>
          <w:rStyle w:val="CharSectno"/>
        </w:rPr>
        <w:t>47</w:t>
      </w:r>
      <w:r>
        <w:rPr>
          <w:snapToGrid w:val="0"/>
        </w:rPr>
        <w:t>.</w:t>
      </w:r>
      <w:r>
        <w:rPr>
          <w:snapToGrid w:val="0"/>
        </w:rPr>
        <w:tab/>
        <w:t>Approval of dealings creating etc. interests etc. in existing licences</w:t>
      </w:r>
      <w:bookmarkEnd w:id="58"/>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Acts Amendment (Petroleum) Act 1990</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No. 12 of 1990</w:t>
      </w:r>
      <w:r>
        <w:rPr>
          <w:vertAlign w:val="superscript"/>
        </w:rPr>
        <w:t xml:space="preserve"> </w:t>
      </w:r>
      <w:r>
        <w:rPr>
          <w:i w:val="0"/>
          <w:iCs/>
          <w:vertAlign w:val="superscript"/>
        </w:rPr>
        <w:t>5</w:t>
      </w:r>
      <w:r>
        <w:t xml:space="preserve"> s. 141; amended: No. 20 of 2003 s. 36.] </w:t>
      </w:r>
    </w:p>
    <w:p>
      <w:pPr>
        <w:pStyle w:val="Ednotesection"/>
      </w:pPr>
      <w:r>
        <w:t>[</w:t>
      </w:r>
      <w:r>
        <w:rPr>
          <w:b/>
        </w:rPr>
        <w:t>47A.</w:t>
      </w:r>
      <w:r>
        <w:tab/>
        <w:t>Deleted: No. 42 of 2010 s. 178.]</w:t>
      </w:r>
    </w:p>
    <w:p>
      <w:pPr>
        <w:pStyle w:val="Heading5"/>
        <w:rPr>
          <w:snapToGrid w:val="0"/>
        </w:rPr>
      </w:pPr>
      <w:bookmarkStart w:id="59" w:name="_Toc33609828"/>
      <w:r>
        <w:rPr>
          <w:rStyle w:val="CharSectno"/>
        </w:rPr>
        <w:t>48</w:t>
      </w:r>
      <w:r>
        <w:rPr>
          <w:snapToGrid w:val="0"/>
        </w:rPr>
        <w:t>.</w:t>
      </w:r>
      <w:r>
        <w:rPr>
          <w:snapToGrid w:val="0"/>
        </w:rPr>
        <w:tab/>
        <w:t>True consideration to be shown</w:t>
      </w:r>
      <w:bookmarkEnd w:id="59"/>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No. 12 of 1990 s. 142; amended: No. 42 of 2010 s. 182(13).] </w:t>
      </w:r>
    </w:p>
    <w:p>
      <w:pPr>
        <w:pStyle w:val="Heading5"/>
        <w:keepNext w:val="0"/>
        <w:keepLines w:val="0"/>
        <w:rPr>
          <w:snapToGrid w:val="0"/>
        </w:rPr>
      </w:pPr>
      <w:bookmarkStart w:id="60" w:name="_Toc33609829"/>
      <w:r>
        <w:rPr>
          <w:rStyle w:val="CharSectno"/>
        </w:rPr>
        <w:t>49</w:t>
      </w:r>
      <w:r>
        <w:rPr>
          <w:snapToGrid w:val="0"/>
        </w:rPr>
        <w:t>.</w:t>
      </w:r>
      <w:r>
        <w:rPr>
          <w:snapToGrid w:val="0"/>
        </w:rPr>
        <w:tab/>
        <w:t>Minister not concerned with certain matters</w:t>
      </w:r>
      <w:bookmarkEnd w:id="60"/>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No. 12 of 1990 s. 143.] </w:t>
      </w:r>
    </w:p>
    <w:p>
      <w:pPr>
        <w:pStyle w:val="Heading5"/>
        <w:rPr>
          <w:snapToGrid w:val="0"/>
        </w:rPr>
      </w:pPr>
      <w:bookmarkStart w:id="61" w:name="_Toc33609830"/>
      <w:r>
        <w:rPr>
          <w:rStyle w:val="CharSectno"/>
        </w:rPr>
        <w:t>50</w:t>
      </w:r>
      <w:r>
        <w:rPr>
          <w:snapToGrid w:val="0"/>
        </w:rPr>
        <w:t>.</w:t>
      </w:r>
      <w:r>
        <w:rPr>
          <w:snapToGrid w:val="0"/>
        </w:rPr>
        <w:tab/>
        <w:t>Power of Minister to require information as to proposed dealings</w:t>
      </w:r>
      <w:bookmarkEnd w:id="61"/>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No. 12 of 1990 s. 144; No. 42 of 2010 s. 182(4) and (5).] </w:t>
      </w:r>
    </w:p>
    <w:p>
      <w:pPr>
        <w:pStyle w:val="Heading5"/>
        <w:rPr>
          <w:snapToGrid w:val="0"/>
        </w:rPr>
      </w:pPr>
      <w:bookmarkStart w:id="62" w:name="_Toc33609831"/>
      <w:r>
        <w:rPr>
          <w:rStyle w:val="CharSectno"/>
        </w:rPr>
        <w:t>51</w:t>
      </w:r>
      <w:r>
        <w:rPr>
          <w:snapToGrid w:val="0"/>
        </w:rPr>
        <w:t>.</w:t>
      </w:r>
      <w:r>
        <w:rPr>
          <w:snapToGrid w:val="0"/>
        </w:rPr>
        <w:tab/>
        <w:t>Production and inspection of books, records and documents</w:t>
      </w:r>
      <w:bookmarkEnd w:id="62"/>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No. 12 of 1990 s. 145; No. 42 of 2010 s. 182(6).] </w:t>
      </w:r>
    </w:p>
    <w:p>
      <w:pPr>
        <w:pStyle w:val="Heading5"/>
        <w:rPr>
          <w:snapToGrid w:val="0"/>
        </w:rPr>
      </w:pPr>
      <w:bookmarkStart w:id="63" w:name="_Toc33609832"/>
      <w:r>
        <w:rPr>
          <w:rStyle w:val="CharSectno"/>
        </w:rPr>
        <w:t>52</w:t>
      </w:r>
      <w:r>
        <w:rPr>
          <w:snapToGrid w:val="0"/>
        </w:rPr>
        <w:t>.</w:t>
      </w:r>
      <w:r>
        <w:rPr>
          <w:snapToGrid w:val="0"/>
        </w:rPr>
        <w:tab/>
        <w:t>Inspection of register and documents</w:t>
      </w:r>
      <w:bookmarkEnd w:id="63"/>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No. 12 of 1990 s. 146.] </w:t>
      </w:r>
    </w:p>
    <w:p>
      <w:pPr>
        <w:pStyle w:val="Heading5"/>
        <w:rPr>
          <w:snapToGrid w:val="0"/>
        </w:rPr>
      </w:pPr>
      <w:bookmarkStart w:id="64" w:name="_Toc33609833"/>
      <w:r>
        <w:rPr>
          <w:rStyle w:val="CharSectno"/>
        </w:rPr>
        <w:t>53</w:t>
      </w:r>
      <w:r>
        <w:rPr>
          <w:snapToGrid w:val="0"/>
        </w:rPr>
        <w:t>.</w:t>
      </w:r>
      <w:r>
        <w:rPr>
          <w:snapToGrid w:val="0"/>
        </w:rPr>
        <w:tab/>
        <w:t>Evidentiary provisions</w:t>
      </w:r>
      <w:bookmarkEnd w:id="64"/>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65" w:name="_Toc33609834"/>
      <w:r>
        <w:rPr>
          <w:rStyle w:val="CharSectno"/>
        </w:rPr>
        <w:t>53A</w:t>
      </w:r>
      <w:r>
        <w:rPr>
          <w:snapToGrid w:val="0"/>
        </w:rPr>
        <w:t>.</w:t>
      </w:r>
      <w:r>
        <w:rPr>
          <w:snapToGrid w:val="0"/>
        </w:rPr>
        <w:tab/>
        <w:t>Minister may make corrections to register</w:t>
      </w:r>
      <w:bookmarkEnd w:id="65"/>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No. 12 of 1990 s. 147.] </w:t>
      </w:r>
    </w:p>
    <w:p>
      <w:pPr>
        <w:pStyle w:val="Heading5"/>
        <w:rPr>
          <w:snapToGrid w:val="0"/>
        </w:rPr>
      </w:pPr>
      <w:bookmarkStart w:id="66" w:name="_Toc33609835"/>
      <w:r>
        <w:rPr>
          <w:rStyle w:val="CharSectno"/>
        </w:rPr>
        <w:t>54</w:t>
      </w:r>
      <w:r>
        <w:rPr>
          <w:snapToGrid w:val="0"/>
        </w:rPr>
        <w:t>.</w:t>
      </w:r>
      <w:r>
        <w:rPr>
          <w:snapToGrid w:val="0"/>
        </w:rPr>
        <w:tab/>
        <w:t>Reviews</w:t>
      </w:r>
      <w:bookmarkEnd w:id="66"/>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No. 55 of 2004 s. 921.]</w:t>
      </w:r>
    </w:p>
    <w:p>
      <w:pPr>
        <w:pStyle w:val="Ednotesection"/>
      </w:pPr>
      <w:r>
        <w:t>[</w:t>
      </w:r>
      <w:r>
        <w:rPr>
          <w:b/>
          <w:bCs/>
        </w:rPr>
        <w:t>55.</w:t>
      </w:r>
      <w:r>
        <w:tab/>
        <w:t>Deleted: No. 13 of 2005 s. 22.]</w:t>
      </w:r>
    </w:p>
    <w:p>
      <w:pPr>
        <w:pStyle w:val="Heading5"/>
        <w:rPr>
          <w:snapToGrid w:val="0"/>
        </w:rPr>
      </w:pPr>
      <w:bookmarkStart w:id="67" w:name="_Toc33609836"/>
      <w:r>
        <w:rPr>
          <w:rStyle w:val="CharSectno"/>
        </w:rPr>
        <w:t>56</w:t>
      </w:r>
      <w:r>
        <w:rPr>
          <w:snapToGrid w:val="0"/>
        </w:rPr>
        <w:t>.</w:t>
      </w:r>
      <w:r>
        <w:rPr>
          <w:snapToGrid w:val="0"/>
        </w:rPr>
        <w:tab/>
        <w:t>Offences</w:t>
      </w:r>
      <w:bookmarkEnd w:id="67"/>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No. 12 of 1990 s. 149; No. 42 of 2010 s. 182(7) and (8).] </w:t>
      </w:r>
    </w:p>
    <w:p>
      <w:pPr>
        <w:pStyle w:val="Heading2"/>
      </w:pPr>
      <w:bookmarkStart w:id="68" w:name="_Toc33609645"/>
      <w:bookmarkStart w:id="69" w:name="_Toc33609837"/>
      <w:r>
        <w:rPr>
          <w:rStyle w:val="CharPartNo"/>
        </w:rPr>
        <w:t>Part IVA</w:t>
      </w:r>
      <w:r>
        <w:rPr>
          <w:b w:val="0"/>
        </w:rPr>
        <w:t> </w:t>
      </w:r>
      <w:r>
        <w:t>—</w:t>
      </w:r>
      <w:r>
        <w:rPr>
          <w:b w:val="0"/>
        </w:rPr>
        <w:t> </w:t>
      </w:r>
      <w:r>
        <w:rPr>
          <w:rStyle w:val="CharPartText"/>
        </w:rPr>
        <w:t>Occupational safety and health</w:t>
      </w:r>
      <w:bookmarkEnd w:id="68"/>
      <w:bookmarkEnd w:id="69"/>
      <w:r>
        <w:t xml:space="preserve"> </w:t>
      </w:r>
    </w:p>
    <w:p>
      <w:pPr>
        <w:pStyle w:val="Footnoteheading"/>
      </w:pPr>
      <w:r>
        <w:tab/>
        <w:t>[Heading inserted: No. 13 of 2005 s. 23.]</w:t>
      </w:r>
    </w:p>
    <w:p>
      <w:pPr>
        <w:pStyle w:val="Heading5"/>
      </w:pPr>
      <w:bookmarkStart w:id="70" w:name="_Toc33609838"/>
      <w:r>
        <w:rPr>
          <w:rStyle w:val="CharSectno"/>
        </w:rPr>
        <w:t>56A</w:t>
      </w:r>
      <w:r>
        <w:t>.</w:t>
      </w:r>
      <w:r>
        <w:tab/>
        <w:t>Occupational safety and health</w:t>
      </w:r>
      <w:bookmarkEnd w:id="70"/>
    </w:p>
    <w:p>
      <w:pPr>
        <w:pStyle w:val="Subsection"/>
      </w:pPr>
      <w:r>
        <w:tab/>
      </w:r>
      <w:r>
        <w:tab/>
        <w:t>Schedule 1 has effect.</w:t>
      </w:r>
    </w:p>
    <w:p>
      <w:pPr>
        <w:pStyle w:val="Footnotesection"/>
      </w:pPr>
      <w:r>
        <w:tab/>
        <w:t>[Section 56A inserted: No. 13 of 2005 s. 23.]</w:t>
      </w:r>
    </w:p>
    <w:p>
      <w:pPr>
        <w:pStyle w:val="Heading5"/>
      </w:pPr>
      <w:bookmarkStart w:id="71" w:name="_Toc33609839"/>
      <w:r>
        <w:rPr>
          <w:rStyle w:val="CharSectno"/>
        </w:rPr>
        <w:t>56B</w:t>
      </w:r>
      <w:r>
        <w:t>.</w:t>
      </w:r>
      <w:r>
        <w:tab/>
        <w:t>Regulations relating to occupational safety and health</w:t>
      </w:r>
      <w:bookmarkEnd w:id="71"/>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r>
        <w:tab/>
        <w:t>[Section 56B inserted: No. 13 of 2005 s. 23.]</w:t>
      </w:r>
    </w:p>
    <w:p>
      <w:pPr>
        <w:pStyle w:val="Heading5"/>
      </w:pPr>
      <w:bookmarkStart w:id="72" w:name="_Toc33609840"/>
      <w:r>
        <w:rPr>
          <w:rStyle w:val="CharSectno"/>
        </w:rPr>
        <w:t>56C</w:t>
      </w:r>
      <w:r>
        <w:t>.</w:t>
      </w:r>
      <w:r>
        <w:tab/>
        <w:t>Minister’s occupational safety and health functions</w:t>
      </w:r>
      <w:bookmarkEnd w:id="72"/>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No. 13 of 2005 s. 23.]</w:t>
      </w:r>
    </w:p>
    <w:p>
      <w:pPr>
        <w:pStyle w:val="Heading2"/>
      </w:pPr>
      <w:bookmarkStart w:id="73" w:name="_Toc33609649"/>
      <w:bookmarkStart w:id="74" w:name="_Toc33609841"/>
      <w:r>
        <w:rPr>
          <w:rStyle w:val="CharPartNo"/>
        </w:rPr>
        <w:t>Part V</w:t>
      </w:r>
      <w:r>
        <w:rPr>
          <w:rStyle w:val="CharDivNo"/>
        </w:rPr>
        <w:t> </w:t>
      </w:r>
      <w:r>
        <w:t>—</w:t>
      </w:r>
      <w:r>
        <w:rPr>
          <w:rStyle w:val="CharDivText"/>
        </w:rPr>
        <w:t> </w:t>
      </w:r>
      <w:r>
        <w:rPr>
          <w:rStyle w:val="CharPartText"/>
        </w:rPr>
        <w:t>Miscellaneous</w:t>
      </w:r>
      <w:bookmarkEnd w:id="73"/>
      <w:bookmarkEnd w:id="74"/>
      <w:r>
        <w:rPr>
          <w:rStyle w:val="CharPartText"/>
        </w:rPr>
        <w:t xml:space="preserve"> </w:t>
      </w:r>
    </w:p>
    <w:p>
      <w:pPr>
        <w:pStyle w:val="Heading5"/>
        <w:rPr>
          <w:snapToGrid w:val="0"/>
        </w:rPr>
      </w:pPr>
      <w:bookmarkStart w:id="75" w:name="_Toc33609842"/>
      <w:r>
        <w:rPr>
          <w:rStyle w:val="CharSectno"/>
        </w:rPr>
        <w:t>57</w:t>
      </w:r>
      <w:r>
        <w:rPr>
          <w:snapToGrid w:val="0"/>
        </w:rPr>
        <w:t>.</w:t>
      </w:r>
      <w:r>
        <w:rPr>
          <w:snapToGrid w:val="0"/>
        </w:rPr>
        <w:tab/>
        <w:t>Pipelines to remain property of owner</w:t>
      </w:r>
      <w:bookmarkEnd w:id="75"/>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76" w:name="_Toc33609843"/>
      <w:r>
        <w:rPr>
          <w:rStyle w:val="CharSectno"/>
        </w:rPr>
        <w:t>58</w:t>
      </w:r>
      <w:r>
        <w:rPr>
          <w:snapToGrid w:val="0"/>
        </w:rPr>
        <w:t>.</w:t>
      </w:r>
      <w:r>
        <w:rPr>
          <w:snapToGrid w:val="0"/>
        </w:rPr>
        <w:tab/>
        <w:t>Notices of grants etc. of licences to be published</w:t>
      </w:r>
      <w:bookmarkEnd w:id="76"/>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77" w:name="_Toc33609844"/>
      <w:r>
        <w:rPr>
          <w:rStyle w:val="CharSectno"/>
        </w:rPr>
        <w:t>59</w:t>
      </w:r>
      <w:r>
        <w:rPr>
          <w:snapToGrid w:val="0"/>
        </w:rPr>
        <w:t>.</w:t>
      </w:r>
      <w:r>
        <w:rPr>
          <w:snapToGrid w:val="0"/>
        </w:rPr>
        <w:tab/>
        <w:t>Judicial notice</w:t>
      </w:r>
      <w:bookmarkEnd w:id="77"/>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Acts Amendment (Petroleum) Act 1990</w:t>
      </w:r>
      <w:r>
        <w:t>.</w:t>
      </w:r>
    </w:p>
    <w:p>
      <w:pPr>
        <w:pStyle w:val="Footnotesection"/>
      </w:pPr>
      <w:r>
        <w:tab/>
        <w:t xml:space="preserve">[Section 59 inserted: No. 12 of 1990 s. 150; amended: No. 28 of 1994 s. 75.] </w:t>
      </w:r>
    </w:p>
    <w:p>
      <w:pPr>
        <w:pStyle w:val="Heading5"/>
        <w:spacing w:before="260"/>
        <w:rPr>
          <w:snapToGrid w:val="0"/>
        </w:rPr>
      </w:pPr>
      <w:bookmarkStart w:id="78" w:name="_Toc33609845"/>
      <w:r>
        <w:rPr>
          <w:rStyle w:val="CharSectno"/>
        </w:rPr>
        <w:t>60</w:t>
      </w:r>
      <w:r>
        <w:rPr>
          <w:snapToGrid w:val="0"/>
        </w:rPr>
        <w:t>.</w:t>
      </w:r>
      <w:r>
        <w:rPr>
          <w:snapToGrid w:val="0"/>
        </w:rPr>
        <w:tab/>
        <w:t>Address for service</w:t>
      </w:r>
      <w:bookmarkEnd w:id="78"/>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79" w:name="_Toc33609846"/>
      <w:r>
        <w:rPr>
          <w:rStyle w:val="CharSectno"/>
        </w:rPr>
        <w:t>60A</w:t>
      </w:r>
      <w:r>
        <w:rPr>
          <w:snapToGrid w:val="0"/>
        </w:rPr>
        <w:t>.</w:t>
      </w:r>
      <w:r>
        <w:rPr>
          <w:snapToGrid w:val="0"/>
        </w:rPr>
        <w:tab/>
        <w:t>Service of documents on 2 or more licensees</w:t>
      </w:r>
      <w:bookmarkEnd w:id="79"/>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No. 12 of 1990 s. 151.] </w:t>
      </w:r>
    </w:p>
    <w:p>
      <w:pPr>
        <w:pStyle w:val="Heading5"/>
      </w:pPr>
      <w:bookmarkStart w:id="80" w:name="_Toc33609847"/>
      <w:r>
        <w:rPr>
          <w:rStyle w:val="CharSectno"/>
        </w:rPr>
        <w:t>61</w:t>
      </w:r>
      <w:r>
        <w:t>.</w:t>
      </w:r>
      <w:r>
        <w:tab/>
        <w:t>Power of Minister to delegate</w:t>
      </w:r>
      <w:bookmarkEnd w:id="80"/>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No. 42 of 2010 s. 179.]</w:t>
      </w:r>
    </w:p>
    <w:p>
      <w:pPr>
        <w:pStyle w:val="Heading5"/>
        <w:rPr>
          <w:snapToGrid w:val="0"/>
        </w:rPr>
      </w:pPr>
      <w:bookmarkStart w:id="81" w:name="_Toc33609848"/>
      <w:r>
        <w:rPr>
          <w:rStyle w:val="CharSectno"/>
        </w:rPr>
        <w:t>62</w:t>
      </w:r>
      <w:r>
        <w:rPr>
          <w:snapToGrid w:val="0"/>
        </w:rPr>
        <w:t>.</w:t>
      </w:r>
      <w:r>
        <w:rPr>
          <w:snapToGrid w:val="0"/>
        </w:rPr>
        <w:tab/>
        <w:t>Inspectors</w:t>
      </w:r>
      <w:bookmarkEnd w:id="81"/>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No. 12 of 1990 s. 153; No. 13 of 2005 s. 25; No. 42 of 2010 s. 182(9).] </w:t>
      </w:r>
    </w:p>
    <w:p>
      <w:pPr>
        <w:pStyle w:val="Heading5"/>
        <w:rPr>
          <w:snapToGrid w:val="0"/>
        </w:rPr>
      </w:pPr>
      <w:bookmarkStart w:id="82" w:name="_Toc33609849"/>
      <w:r>
        <w:rPr>
          <w:rStyle w:val="CharSectno"/>
        </w:rPr>
        <w:t>63</w:t>
      </w:r>
      <w:r>
        <w:rPr>
          <w:snapToGrid w:val="0"/>
        </w:rPr>
        <w:t>.</w:t>
      </w:r>
      <w:r>
        <w:rPr>
          <w:snapToGrid w:val="0"/>
        </w:rPr>
        <w:tab/>
        <w:t>Powers of inspectors</w:t>
      </w:r>
      <w:bookmarkEnd w:id="82"/>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 xml:space="preserve">[Section 63 amended: No. 12 of 1990 s. 154; No. 13 of 2005 s. 26; No. 42 of 2010 s. 182(10).] </w:t>
      </w:r>
    </w:p>
    <w:p>
      <w:pPr>
        <w:pStyle w:val="Heading5"/>
      </w:pPr>
      <w:bookmarkStart w:id="83" w:name="_Toc33609850"/>
      <w:r>
        <w:rPr>
          <w:rStyle w:val="CharSectno"/>
        </w:rPr>
        <w:t>63A</w:t>
      </w:r>
      <w:r>
        <w:t>.</w:t>
      </w:r>
      <w:r>
        <w:tab/>
        <w:t>Protection from liability for wrongdoing</w:t>
      </w:r>
      <w:bookmarkEnd w:id="83"/>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No. 13 of 2005 s. 27.]</w:t>
      </w:r>
    </w:p>
    <w:p>
      <w:pPr>
        <w:pStyle w:val="Heading5"/>
        <w:rPr>
          <w:snapToGrid w:val="0"/>
        </w:rPr>
      </w:pPr>
      <w:bookmarkStart w:id="84" w:name="_Toc33609851"/>
      <w:r>
        <w:rPr>
          <w:rStyle w:val="CharSectno"/>
        </w:rPr>
        <w:t>64</w:t>
      </w:r>
      <w:r>
        <w:rPr>
          <w:snapToGrid w:val="0"/>
        </w:rPr>
        <w:t>.</w:t>
      </w:r>
      <w:r>
        <w:rPr>
          <w:snapToGrid w:val="0"/>
        </w:rPr>
        <w:tab/>
        <w:t>Theft of petroleum from pipeline</w:t>
      </w:r>
      <w:bookmarkEnd w:id="84"/>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85" w:name="_Toc33609852"/>
      <w:r>
        <w:rPr>
          <w:rStyle w:val="CharSectno"/>
        </w:rPr>
        <w:t>65</w:t>
      </w:r>
      <w:r>
        <w:t>.</w:t>
      </w:r>
      <w:r>
        <w:tab/>
        <w:t>Interfering with pipeline operation</w:t>
      </w:r>
      <w:bookmarkEnd w:id="85"/>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No. 13 of 2005 s. 28.]</w:t>
      </w:r>
    </w:p>
    <w:p>
      <w:pPr>
        <w:pStyle w:val="Heading5"/>
        <w:rPr>
          <w:snapToGrid w:val="0"/>
        </w:rPr>
      </w:pPr>
      <w:bookmarkStart w:id="86" w:name="_Toc33609853"/>
      <w:r>
        <w:rPr>
          <w:rStyle w:val="CharSectno"/>
        </w:rPr>
        <w:t>66</w:t>
      </w:r>
      <w:r>
        <w:rPr>
          <w:snapToGrid w:val="0"/>
        </w:rPr>
        <w:t>.</w:t>
      </w:r>
      <w:r>
        <w:rPr>
          <w:snapToGrid w:val="0"/>
        </w:rPr>
        <w:tab/>
        <w:t>Continuing offences</w:t>
      </w:r>
      <w:bookmarkEnd w:id="86"/>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No. 12 of 1990 s. 156; No. 13 of 2005 s. 31.] </w:t>
      </w:r>
    </w:p>
    <w:p>
      <w:pPr>
        <w:pStyle w:val="Heading5"/>
        <w:spacing w:before="240"/>
        <w:rPr>
          <w:snapToGrid w:val="0"/>
        </w:rPr>
      </w:pPr>
      <w:bookmarkStart w:id="87" w:name="_Toc33609854"/>
      <w:r>
        <w:rPr>
          <w:rStyle w:val="CharSectno"/>
        </w:rPr>
        <w:t>66A</w:t>
      </w:r>
      <w:r>
        <w:rPr>
          <w:snapToGrid w:val="0"/>
        </w:rPr>
        <w:t>.</w:t>
      </w:r>
      <w:r>
        <w:rPr>
          <w:snapToGrid w:val="0"/>
        </w:rPr>
        <w:tab/>
        <w:t>Persons concerned in commission of offences</w:t>
      </w:r>
      <w:bookmarkEnd w:id="87"/>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No. 12 of 1990 s. 157; amended: No. 13 of 2005 s. 31.] </w:t>
      </w:r>
    </w:p>
    <w:p>
      <w:pPr>
        <w:pStyle w:val="Heading5"/>
        <w:spacing w:before="240"/>
      </w:pPr>
      <w:bookmarkStart w:id="88" w:name="_Toc33609855"/>
      <w:r>
        <w:rPr>
          <w:rStyle w:val="CharSectno"/>
        </w:rPr>
        <w:t>66B</w:t>
      </w:r>
      <w:r>
        <w:t>.</w:t>
      </w:r>
      <w:r>
        <w:tab/>
        <w:t>Crimes and other offences</w:t>
      </w:r>
      <w:bookmarkEnd w:id="88"/>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No. 4 of 2004 s. 58.]</w:t>
      </w:r>
    </w:p>
    <w:p>
      <w:pPr>
        <w:pStyle w:val="Heading5"/>
        <w:spacing w:before="240"/>
      </w:pPr>
      <w:bookmarkStart w:id="89" w:name="_Toc33609856"/>
      <w:r>
        <w:rPr>
          <w:rStyle w:val="CharSectno"/>
        </w:rPr>
        <w:t>66BA</w:t>
      </w:r>
      <w:r>
        <w:t>.</w:t>
      </w:r>
      <w:r>
        <w:tab/>
        <w:t>Time for bringing proceedings for offences against this Act (including the regulations)</w:t>
      </w:r>
      <w:bookmarkEnd w:id="89"/>
    </w:p>
    <w:p>
      <w:pPr>
        <w:pStyle w:val="Subsection"/>
      </w:pPr>
      <w:r>
        <w:tab/>
      </w:r>
      <w:r>
        <w:tab/>
        <w:t>A proceeding for an offence against this Act may be brought at any time.</w:t>
      </w:r>
    </w:p>
    <w:p>
      <w:pPr>
        <w:pStyle w:val="Footnotesection"/>
      </w:pPr>
      <w:r>
        <w:tab/>
        <w:t>[Section 66BA inserted: No. 13 of 2005 s. 29(1).]</w:t>
      </w:r>
    </w:p>
    <w:p>
      <w:pPr>
        <w:pStyle w:val="Heading5"/>
      </w:pPr>
      <w:bookmarkStart w:id="90" w:name="_Toc33609857"/>
      <w:r>
        <w:rPr>
          <w:rStyle w:val="CharSectno"/>
        </w:rPr>
        <w:t>66BB</w:t>
      </w:r>
      <w:r>
        <w:t>.</w:t>
      </w:r>
      <w:r>
        <w:tab/>
        <w:t>Evidentiary matters</w:t>
      </w:r>
      <w:bookmarkEnd w:id="90"/>
    </w:p>
    <w:p>
      <w:pPr>
        <w:pStyle w:val="Subsection"/>
      </w:pPr>
      <w:r>
        <w:tab/>
        <w:t>(1)</w:t>
      </w:r>
      <w:r>
        <w:tab/>
        <w:t xml:space="preserve">In a proceeding for an offence against this Act an averment in the charge of the offence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No. 13 of 2005 s. 29(1); amended: No. 17 of 2014 s. 9.]</w:t>
      </w:r>
    </w:p>
    <w:p>
      <w:pPr>
        <w:pStyle w:val="Heading5"/>
        <w:rPr>
          <w:snapToGrid w:val="0"/>
        </w:rPr>
      </w:pPr>
      <w:bookmarkStart w:id="91" w:name="_Toc33609858"/>
      <w:r>
        <w:rPr>
          <w:rStyle w:val="CharSectno"/>
        </w:rPr>
        <w:t>66C</w:t>
      </w:r>
      <w:r>
        <w:rPr>
          <w:snapToGrid w:val="0"/>
        </w:rPr>
        <w:t>.</w:t>
      </w:r>
      <w:r>
        <w:rPr>
          <w:snapToGrid w:val="0"/>
        </w:rPr>
        <w:tab/>
        <w:t>Orders for forfeiture in respect of certain offences</w:t>
      </w:r>
      <w:bookmarkEnd w:id="91"/>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No. 12 of 1990 s. 157.] </w:t>
      </w:r>
    </w:p>
    <w:p>
      <w:pPr>
        <w:pStyle w:val="Heading5"/>
        <w:rPr>
          <w:snapToGrid w:val="0"/>
        </w:rPr>
      </w:pPr>
      <w:bookmarkStart w:id="92" w:name="_Toc33609859"/>
      <w:r>
        <w:rPr>
          <w:rStyle w:val="CharSectno"/>
        </w:rPr>
        <w:t>66D</w:t>
      </w:r>
      <w:r>
        <w:rPr>
          <w:snapToGrid w:val="0"/>
        </w:rPr>
        <w:t>.</w:t>
      </w:r>
      <w:r>
        <w:rPr>
          <w:snapToGrid w:val="0"/>
        </w:rPr>
        <w:tab/>
        <w:t>Disposal of forfeited goods</w:t>
      </w:r>
      <w:bookmarkEnd w:id="92"/>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No. 12 of 1990 s. 157.] </w:t>
      </w:r>
    </w:p>
    <w:p>
      <w:pPr>
        <w:pStyle w:val="Heading5"/>
      </w:pPr>
      <w:bookmarkStart w:id="93" w:name="_Toc33609860"/>
      <w:r>
        <w:rPr>
          <w:rStyle w:val="CharSectno"/>
        </w:rPr>
        <w:t>66E</w:t>
      </w:r>
      <w:r>
        <w:t>.</w:t>
      </w:r>
      <w:r>
        <w:tab/>
        <w:t xml:space="preserve">Licences under section 10 are not personal property for the purposes of the </w:t>
      </w:r>
      <w:r>
        <w:rPr>
          <w:i/>
          <w:iCs/>
        </w:rPr>
        <w:t>Personal Property Securities Act 2009</w:t>
      </w:r>
      <w:r>
        <w:t xml:space="preserve"> (Commonwealth)</w:t>
      </w:r>
      <w:bookmarkEnd w:id="93"/>
    </w:p>
    <w:p>
      <w:pPr>
        <w:pStyle w:val="Subsection"/>
      </w:pPr>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p>
    <w:p>
      <w:pPr>
        <w:pStyle w:val="Footnotesection"/>
      </w:pPr>
      <w:r>
        <w:tab/>
        <w:t>[Section 66E inserted: No. 42 of 2011 s. 89.]</w:t>
      </w:r>
    </w:p>
    <w:p>
      <w:pPr>
        <w:pStyle w:val="Heading5"/>
        <w:rPr>
          <w:snapToGrid w:val="0"/>
        </w:rPr>
      </w:pPr>
      <w:bookmarkStart w:id="94" w:name="_Toc33609861"/>
      <w:r>
        <w:rPr>
          <w:rStyle w:val="CharSectno"/>
        </w:rPr>
        <w:t>67</w:t>
      </w:r>
      <w:r>
        <w:rPr>
          <w:snapToGrid w:val="0"/>
        </w:rPr>
        <w:t>.</w:t>
      </w:r>
      <w:r>
        <w:rPr>
          <w:snapToGrid w:val="0"/>
        </w:rPr>
        <w:tab/>
        <w:t>Regulations</w:t>
      </w:r>
      <w:bookmarkEnd w:id="94"/>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No. 12 of 1990 s. 158; No. 28 of 1994 s. 76; No. 13 of 2005 s. 30; No. 35 of 2007 s. 102 </w:t>
      </w:r>
      <w:r>
        <w:rPr>
          <w:i w:val="0"/>
          <w:iCs/>
          <w:vertAlign w:val="superscript"/>
        </w:rPr>
        <w:t>7</w:t>
      </w:r>
      <w:r>
        <w:rPr>
          <w:i w:val="0"/>
          <w:iCs/>
        </w:rPr>
        <w:t xml:space="preserve">; </w:t>
      </w:r>
      <w:r>
        <w:rPr>
          <w:iCs/>
        </w:rPr>
        <w:t>No. 42 of 2010 s. 180</w:t>
      </w:r>
      <w:r>
        <w:t xml:space="preserve">.] </w:t>
      </w:r>
    </w:p>
    <w:p>
      <w:pPr>
        <w:sectPr>
          <w:headerReference w:type="even" r:id="rId21"/>
          <w:headerReference w:type="default" r:id="rId22"/>
          <w:headerReference w:type="first" r:id="rId23"/>
          <w:pgSz w:w="11907" w:h="16840" w:code="9"/>
          <w:pgMar w:top="2376" w:right="2405" w:bottom="3542" w:left="2405" w:header="706" w:footer="3380" w:gutter="0"/>
          <w:pgNumType w:start="1"/>
          <w:cols w:space="720"/>
          <w:noEndnote/>
          <w:titlePg/>
          <w:docGrid w:linePitch="326"/>
        </w:sectPr>
      </w:pPr>
    </w:p>
    <w:p>
      <w:pPr>
        <w:pStyle w:val="yScheduleHeading"/>
      </w:pPr>
      <w:bookmarkStart w:id="95" w:name="_Toc33609670"/>
      <w:bookmarkStart w:id="96" w:name="_Toc33609862"/>
      <w:r>
        <w:rPr>
          <w:rStyle w:val="CharSchNo"/>
        </w:rPr>
        <w:t>Schedule 1</w:t>
      </w:r>
      <w:r>
        <w:t> — </w:t>
      </w:r>
      <w:r>
        <w:rPr>
          <w:rStyle w:val="CharSchText"/>
        </w:rPr>
        <w:t>Occupational safety and health</w:t>
      </w:r>
      <w:bookmarkEnd w:id="95"/>
      <w:bookmarkEnd w:id="96"/>
    </w:p>
    <w:p>
      <w:pPr>
        <w:pStyle w:val="yShoulderClause"/>
      </w:pPr>
      <w:r>
        <w:t>[s. 56A]</w:t>
      </w:r>
    </w:p>
    <w:p>
      <w:pPr>
        <w:pStyle w:val="yFootnoteheading"/>
      </w:pPr>
      <w:r>
        <w:tab/>
        <w:t>[Heading inserted: No. 13 of 2005 s. 32.]</w:t>
      </w:r>
    </w:p>
    <w:p>
      <w:pPr>
        <w:pStyle w:val="yHeading3"/>
      </w:pPr>
      <w:bookmarkStart w:id="97" w:name="_Toc33609671"/>
      <w:bookmarkStart w:id="98" w:name="_Toc33609863"/>
      <w:r>
        <w:rPr>
          <w:rStyle w:val="CharSDivNo"/>
        </w:rPr>
        <w:t>Division 1</w:t>
      </w:r>
      <w:r>
        <w:rPr>
          <w:b w:val="0"/>
        </w:rPr>
        <w:t> — </w:t>
      </w:r>
      <w:r>
        <w:rPr>
          <w:rStyle w:val="CharSDivText"/>
        </w:rPr>
        <w:t>Introduction</w:t>
      </w:r>
      <w:bookmarkEnd w:id="97"/>
      <w:bookmarkEnd w:id="98"/>
    </w:p>
    <w:p>
      <w:pPr>
        <w:pStyle w:val="yFootnoteheading"/>
      </w:pPr>
      <w:r>
        <w:tab/>
        <w:t>[Heading inserted: No. 13 of 2005 s. 32.]</w:t>
      </w:r>
    </w:p>
    <w:p>
      <w:pPr>
        <w:pStyle w:val="yHeading5"/>
      </w:pPr>
      <w:bookmarkStart w:id="99" w:name="_Toc33609864"/>
      <w:r>
        <w:rPr>
          <w:rStyle w:val="CharSClsNo"/>
        </w:rPr>
        <w:t>1</w:t>
      </w:r>
      <w:r>
        <w:t>.</w:t>
      </w:r>
      <w:r>
        <w:rPr>
          <w:b w:val="0"/>
        </w:rPr>
        <w:tab/>
      </w:r>
      <w:r>
        <w:t>Objects</w:t>
      </w:r>
      <w:bookmarkEnd w:id="99"/>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No. 13 of 2005 s. 32.]</w:t>
      </w:r>
    </w:p>
    <w:p>
      <w:pPr>
        <w:pStyle w:val="yHeading5"/>
      </w:pPr>
      <w:bookmarkStart w:id="100" w:name="_Toc33609865"/>
      <w:r>
        <w:rPr>
          <w:rStyle w:val="CharSClsNo"/>
        </w:rPr>
        <w:t>2</w:t>
      </w:r>
      <w:r>
        <w:t>.</w:t>
      </w:r>
      <w:r>
        <w:rPr>
          <w:b w:val="0"/>
        </w:rPr>
        <w:tab/>
      </w:r>
      <w:r>
        <w:t>Simplified outline</w:t>
      </w:r>
      <w:bookmarkEnd w:id="100"/>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to ascertain whether a listed OSH law is being complied with; or</w:t>
      </w:r>
    </w:p>
    <w:p>
      <w:pPr>
        <w:pStyle w:val="yIndenta"/>
        <w:tabs>
          <w:tab w:val="clear" w:pos="1332"/>
          <w:tab w:val="clear" w:pos="1616"/>
          <w:tab w:val="right" w:pos="1680"/>
          <w:tab w:val="left" w:pos="1960"/>
        </w:tabs>
        <w:ind w:left="1962"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r>
        <w:tab/>
        <w:t>[Clause 2 inserted: No. 13 of 2005 s. 32.]</w:t>
      </w:r>
    </w:p>
    <w:p>
      <w:pPr>
        <w:pStyle w:val="yHeading5"/>
      </w:pPr>
      <w:bookmarkStart w:id="101" w:name="_Toc33609866"/>
      <w:r>
        <w:rPr>
          <w:rStyle w:val="CharSClsNo"/>
        </w:rPr>
        <w:t>3</w:t>
      </w:r>
      <w:r>
        <w:t>.</w:t>
      </w:r>
      <w:r>
        <w:rPr>
          <w:b w:val="0"/>
        </w:rPr>
        <w:tab/>
      </w:r>
      <w:r>
        <w:t>Terms used</w:t>
      </w:r>
      <w:bookmarkEnd w:id="101"/>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b/>
          <w:i/>
        </w:rP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r>
        <w:tab/>
        <w:t>[Clause 3 inserted: No. 13 of 2005 s. 32.]</w:t>
      </w:r>
    </w:p>
    <w:p>
      <w:pPr>
        <w:pStyle w:val="yHeading5"/>
      </w:pPr>
      <w:bookmarkStart w:id="102" w:name="_Toc33609867"/>
      <w:r>
        <w:rPr>
          <w:rStyle w:val="CharSClsNo"/>
        </w:rPr>
        <w:t>4</w:t>
      </w:r>
      <w:r>
        <w:t>.</w:t>
      </w:r>
      <w:r>
        <w:rPr>
          <w:b w:val="0"/>
        </w:rPr>
        <w:tab/>
      </w:r>
      <w:r>
        <w:t>Licensee must ensure presence of licensee’s representative</w:t>
      </w:r>
      <w:bookmarkEnd w:id="102"/>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a fine of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a fine of $5 500.</w:t>
      </w:r>
    </w:p>
    <w:p>
      <w:pPr>
        <w:pStyle w:val="ySubsection"/>
      </w:pPr>
      <w:r>
        <w:tab/>
        <w:t>(3)</w:t>
      </w:r>
      <w:r>
        <w:tab/>
        <w:t>Subclause (1) does not imply that, if the licensee is a natural person, the licensee’s representative may not be, from time to time, the licensee.</w:t>
      </w:r>
    </w:p>
    <w:p>
      <w:pPr>
        <w:pStyle w:val="yFootnotesection"/>
      </w:pPr>
      <w:r>
        <w:tab/>
        <w:t>[Clause 4 inserted: No. 13 of 2005 s. 32; amended: No. 42 of 2010 s. 181(6).]</w:t>
      </w:r>
    </w:p>
    <w:p>
      <w:pPr>
        <w:pStyle w:val="yHeading5"/>
      </w:pPr>
      <w:bookmarkStart w:id="103" w:name="_Toc33609868"/>
      <w:r>
        <w:rPr>
          <w:rStyle w:val="CharSClsNo"/>
        </w:rPr>
        <w:t>5</w:t>
      </w:r>
      <w:r>
        <w:t>.</w:t>
      </w:r>
      <w:r>
        <w:rPr>
          <w:b w:val="0"/>
        </w:rPr>
        <w:tab/>
      </w:r>
      <w:r>
        <w:t>Safety and health of persons using an accommodation amenity</w:t>
      </w:r>
      <w:bookmarkEnd w:id="103"/>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r>
        <w:tab/>
        <w:t>[Clause 5 inserted: No. 13 of 2005 s. 32.]</w:t>
      </w:r>
    </w:p>
    <w:p>
      <w:pPr>
        <w:pStyle w:val="yHeading5"/>
      </w:pPr>
      <w:bookmarkStart w:id="104" w:name="_Toc33609869"/>
      <w:r>
        <w:rPr>
          <w:rStyle w:val="CharSClsNo"/>
        </w:rPr>
        <w:t>6</w:t>
      </w:r>
      <w:r>
        <w:t>.</w:t>
      </w:r>
      <w:r>
        <w:rPr>
          <w:b w:val="0"/>
        </w:rPr>
        <w:tab/>
      </w:r>
      <w:r>
        <w:t>Contractor</w:t>
      </w:r>
      <w:bookmarkEnd w:id="104"/>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r>
        <w:tab/>
        <w:t>[Clause 6 inserted: No. 13 of 2005 s. 32.]</w:t>
      </w:r>
    </w:p>
    <w:p>
      <w:pPr>
        <w:pStyle w:val="yHeading3"/>
      </w:pPr>
      <w:bookmarkStart w:id="105" w:name="_Toc33609678"/>
      <w:bookmarkStart w:id="106" w:name="_Toc33609870"/>
      <w:r>
        <w:rPr>
          <w:rStyle w:val="CharSDivNo"/>
        </w:rPr>
        <w:t>Division 2</w:t>
      </w:r>
      <w:r>
        <w:rPr>
          <w:b w:val="0"/>
        </w:rPr>
        <w:t> — </w:t>
      </w:r>
      <w:r>
        <w:rPr>
          <w:rStyle w:val="CharSDivText"/>
        </w:rPr>
        <w:t>Occupational safety and health</w:t>
      </w:r>
      <w:bookmarkEnd w:id="105"/>
      <w:bookmarkEnd w:id="106"/>
    </w:p>
    <w:p>
      <w:pPr>
        <w:pStyle w:val="yFootnoteheading"/>
      </w:pPr>
      <w:r>
        <w:tab/>
        <w:t>[Heading inserted: No. 13 of 2005 s. 32.]</w:t>
      </w:r>
    </w:p>
    <w:p>
      <w:pPr>
        <w:pStyle w:val="yHeading4"/>
      </w:pPr>
      <w:bookmarkStart w:id="107" w:name="_Toc33609679"/>
      <w:bookmarkStart w:id="108" w:name="_Toc33609871"/>
      <w:r>
        <w:t>Subdivision </w:t>
      </w:r>
      <w:r>
        <w:rPr>
          <w:bCs/>
        </w:rPr>
        <w:t>1</w:t>
      </w:r>
      <w:r>
        <w:rPr>
          <w:b w:val="0"/>
        </w:rPr>
        <w:t> — </w:t>
      </w:r>
      <w:r>
        <w:rPr>
          <w:bCs/>
        </w:rPr>
        <w:t xml:space="preserve">Duties </w:t>
      </w:r>
      <w:r>
        <w:t>relating to occupational safety and health</w:t>
      </w:r>
      <w:bookmarkEnd w:id="107"/>
      <w:bookmarkEnd w:id="108"/>
    </w:p>
    <w:p>
      <w:pPr>
        <w:pStyle w:val="yFootnoteheading"/>
      </w:pPr>
      <w:r>
        <w:tab/>
        <w:t>[Heading inserted: No. 13 of 2005 s. 32.]</w:t>
      </w:r>
    </w:p>
    <w:p>
      <w:pPr>
        <w:pStyle w:val="yHeading5"/>
      </w:pPr>
      <w:bookmarkStart w:id="109" w:name="_Toc33609872"/>
      <w:r>
        <w:rPr>
          <w:rStyle w:val="CharSClsNo"/>
        </w:rPr>
        <w:t>7</w:t>
      </w:r>
      <w:r>
        <w:t>.</w:t>
      </w:r>
      <w:r>
        <w:rPr>
          <w:b w:val="0"/>
        </w:rPr>
        <w:tab/>
      </w:r>
      <w:r>
        <w:t>Duties of licensee</w:t>
      </w:r>
      <w:bookmarkEnd w:id="109"/>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a fine of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r>
        <w:tab/>
        <w:t>[Clause 7 inserted: No. 13 of 2005 s. 32; amended: No. 42 of 2010 s. 181(6).]</w:t>
      </w:r>
    </w:p>
    <w:p>
      <w:pPr>
        <w:pStyle w:val="yHeading5"/>
      </w:pPr>
      <w:bookmarkStart w:id="110" w:name="_Toc33609873"/>
      <w:r>
        <w:rPr>
          <w:rStyle w:val="CharSClsNo"/>
        </w:rPr>
        <w:t>8</w:t>
      </w:r>
      <w:r>
        <w:t>.</w:t>
      </w:r>
      <w:r>
        <w:rPr>
          <w:b w:val="0"/>
        </w:rPr>
        <w:tab/>
      </w:r>
      <w:r>
        <w:t>Duties of persons in control of parts of pipeline operation</w:t>
      </w:r>
      <w:bookmarkEnd w:id="110"/>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Footnotesection"/>
      </w:pPr>
      <w:r>
        <w:tab/>
        <w:t>[Clause 8 inserted: No. 13 of 2005 s. 32; amended: No. 42 of 2010 s. 181(6).]</w:t>
      </w:r>
    </w:p>
    <w:p>
      <w:pPr>
        <w:pStyle w:val="yHeading5"/>
      </w:pPr>
      <w:bookmarkStart w:id="111" w:name="_Toc33609874"/>
      <w:r>
        <w:rPr>
          <w:rStyle w:val="CharSClsNo"/>
        </w:rPr>
        <w:t>9</w:t>
      </w:r>
      <w:r>
        <w:t>.</w:t>
      </w:r>
      <w:r>
        <w:rPr>
          <w:b w:val="0"/>
        </w:rPr>
        <w:tab/>
      </w:r>
      <w:r>
        <w:t>Duties of employers</w:t>
      </w:r>
      <w:bookmarkEnd w:id="111"/>
    </w:p>
    <w:p>
      <w:pPr>
        <w:pStyle w:val="ySubsection"/>
      </w:pPr>
      <w:r>
        <w:tab/>
        <w:t>(1)</w:t>
      </w:r>
      <w:r>
        <w:tab/>
        <w:t>An employer must take all reasonably practicable steps to protect the safety and health of employees engaged in a pipeline operation.</w:t>
      </w:r>
    </w:p>
    <w:p>
      <w:pPr>
        <w:pStyle w:val="yPenstart"/>
      </w:pPr>
      <w:r>
        <w:tab/>
        <w:t>Penalty: a fine of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a fine of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a fine of $22 000.</w:t>
      </w:r>
    </w:p>
    <w:p>
      <w:pPr>
        <w:pStyle w:val="yFootnotesection"/>
      </w:pPr>
      <w:r>
        <w:tab/>
        <w:t>[Clause 9 inserted: No. 13 of 2005 s. 32; amended: No. 42 of 2010 s. 181(6).]</w:t>
      </w:r>
    </w:p>
    <w:p>
      <w:pPr>
        <w:pStyle w:val="yHeading5"/>
      </w:pPr>
      <w:bookmarkStart w:id="112" w:name="_Toc33609875"/>
      <w:r>
        <w:rPr>
          <w:rStyle w:val="CharSClsNo"/>
        </w:rPr>
        <w:t>10</w:t>
      </w:r>
      <w:r>
        <w:t>.</w:t>
      </w:r>
      <w:r>
        <w:rPr>
          <w:b w:val="0"/>
        </w:rPr>
        <w:tab/>
      </w:r>
      <w:r>
        <w:t>Duties of manufacturers in relation to plant and substances</w:t>
      </w:r>
      <w:bookmarkEnd w:id="112"/>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a fine of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a fine of $22 000.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keepNext/>
      </w:pPr>
      <w:r>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r>
        <w:tab/>
        <w:t>[Clause 10 inserted: No. 13 of 2005 s. 32; amended: No. 42 of 2010 s. 181(6).]</w:t>
      </w:r>
    </w:p>
    <w:p>
      <w:pPr>
        <w:pStyle w:val="yHeading5"/>
      </w:pPr>
      <w:bookmarkStart w:id="113" w:name="_Toc33609876"/>
      <w:r>
        <w:rPr>
          <w:rStyle w:val="CharSClsNo"/>
        </w:rPr>
        <w:t>11</w:t>
      </w:r>
      <w:r>
        <w:t>.</w:t>
      </w:r>
      <w:r>
        <w:rPr>
          <w:b w:val="0"/>
        </w:rPr>
        <w:tab/>
      </w:r>
      <w:r>
        <w:t>Duties of suppliers of pipelines, plant and substances</w:t>
      </w:r>
      <w:bookmarkEnd w:id="113"/>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a fine of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r>
        <w:tab/>
        <w:t>[Clause 11 inserted: No. 13 of 2005 s. 32; amended: No. 42 of 2010 s. 181(6).]</w:t>
      </w:r>
    </w:p>
    <w:p>
      <w:pPr>
        <w:pStyle w:val="yHeading5"/>
      </w:pPr>
      <w:bookmarkStart w:id="114" w:name="_Toc33609877"/>
      <w:r>
        <w:rPr>
          <w:rStyle w:val="CharSClsNo"/>
        </w:rPr>
        <w:t>12</w:t>
      </w:r>
      <w:r>
        <w:t>.</w:t>
      </w:r>
      <w:r>
        <w:rPr>
          <w:b w:val="0"/>
        </w:rPr>
        <w:tab/>
      </w:r>
      <w:r>
        <w:t>Duties of persons constructing pipelines or installing plant</w:t>
      </w:r>
      <w:bookmarkEnd w:id="114"/>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a fine of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r>
        <w:tab/>
        <w:t>[Clause 12 inserted: No. 13 of 2005 s. 32; amended: No. 42 of 2010 s. 181(6).]</w:t>
      </w:r>
    </w:p>
    <w:p>
      <w:pPr>
        <w:pStyle w:val="yHeading5"/>
      </w:pPr>
      <w:bookmarkStart w:id="115" w:name="_Toc33609878"/>
      <w:r>
        <w:rPr>
          <w:rStyle w:val="CharSClsNo"/>
        </w:rPr>
        <w:t>13</w:t>
      </w:r>
      <w:r>
        <w:t>.</w:t>
      </w:r>
      <w:r>
        <w:rPr>
          <w:b w:val="0"/>
        </w:rPr>
        <w:tab/>
      </w:r>
      <w:r>
        <w:t>Duties of persons in relation to occupational safety and health</w:t>
      </w:r>
      <w:bookmarkEnd w:id="115"/>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a fine of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r>
        <w:tab/>
        <w:t>[Clause 13 inserted: No. 13 of 2005 s. 32; amended: No. 42 of 2010 s. 181(6).]</w:t>
      </w:r>
    </w:p>
    <w:p>
      <w:pPr>
        <w:pStyle w:val="yHeading5"/>
      </w:pPr>
      <w:bookmarkStart w:id="116" w:name="_Toc33609879"/>
      <w:r>
        <w:rPr>
          <w:rStyle w:val="CharSClsNo"/>
        </w:rPr>
        <w:t>14</w:t>
      </w:r>
      <w:r>
        <w:t>.</w:t>
      </w:r>
      <w:r>
        <w:rPr>
          <w:b w:val="0"/>
        </w:rPr>
        <w:tab/>
      </w:r>
      <w:r>
        <w:t>Reliance on information supplied or results of research</w:t>
      </w:r>
      <w:bookmarkEnd w:id="116"/>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r>
        <w:tab/>
        <w:t>[Clause 14 inserted: No. 13 of 2005 s. 32.]</w:t>
      </w:r>
    </w:p>
    <w:p>
      <w:pPr>
        <w:pStyle w:val="yHeading4"/>
      </w:pPr>
      <w:bookmarkStart w:id="117" w:name="_Toc33609688"/>
      <w:bookmarkStart w:id="118" w:name="_Toc33609880"/>
      <w:r>
        <w:t>Subdivision </w:t>
      </w:r>
      <w:r>
        <w:rPr>
          <w:bCs/>
        </w:rPr>
        <w:t>2</w:t>
      </w:r>
      <w:r>
        <w:rPr>
          <w:b w:val="0"/>
        </w:rPr>
        <w:t> — </w:t>
      </w:r>
      <w:r>
        <w:rPr>
          <w:bCs/>
        </w:rPr>
        <w:t>Regulations</w:t>
      </w:r>
      <w:r>
        <w:t xml:space="preserve"> relating to occupational safety and health</w:t>
      </w:r>
      <w:bookmarkEnd w:id="117"/>
      <w:bookmarkEnd w:id="118"/>
    </w:p>
    <w:p>
      <w:pPr>
        <w:pStyle w:val="yFootnoteheading"/>
      </w:pPr>
      <w:r>
        <w:tab/>
        <w:t>[Heading inserted: No. 13 of 2005 s. 32.]</w:t>
      </w:r>
    </w:p>
    <w:p>
      <w:pPr>
        <w:pStyle w:val="yHeading5"/>
      </w:pPr>
      <w:bookmarkStart w:id="119" w:name="_Toc33609881"/>
      <w:r>
        <w:rPr>
          <w:rStyle w:val="CharSClsNo"/>
        </w:rPr>
        <w:t>15</w:t>
      </w:r>
      <w:r>
        <w:t>.</w:t>
      </w:r>
      <w:r>
        <w:rPr>
          <w:b w:val="0"/>
        </w:rPr>
        <w:tab/>
      </w:r>
      <w:r>
        <w:t>Regulations relating to occupational safety and health</w:t>
      </w:r>
      <w:bookmarkEnd w:id="119"/>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r>
        <w:tab/>
        <w:t>[Clause 15 inserted: No. 13 of 2005 s. 32.]</w:t>
      </w:r>
    </w:p>
    <w:p>
      <w:pPr>
        <w:pStyle w:val="yHeading3"/>
      </w:pPr>
      <w:bookmarkStart w:id="120" w:name="_Toc33609690"/>
      <w:bookmarkStart w:id="121" w:name="_Toc33609882"/>
      <w:r>
        <w:rPr>
          <w:rStyle w:val="CharSDivNo"/>
        </w:rPr>
        <w:t>Division 3</w:t>
      </w:r>
      <w:r>
        <w:rPr>
          <w:b w:val="0"/>
        </w:rPr>
        <w:t> — </w:t>
      </w:r>
      <w:r>
        <w:rPr>
          <w:rStyle w:val="CharSDivText"/>
        </w:rPr>
        <w:t>Workplace arrangements</w:t>
      </w:r>
      <w:bookmarkEnd w:id="120"/>
      <w:bookmarkEnd w:id="121"/>
    </w:p>
    <w:p>
      <w:pPr>
        <w:pStyle w:val="yFootnoteheading"/>
      </w:pPr>
      <w:r>
        <w:tab/>
        <w:t>[Heading inserted: No. 13 of 2005 s. 32.]</w:t>
      </w:r>
    </w:p>
    <w:p>
      <w:pPr>
        <w:pStyle w:val="yHeading4"/>
        <w:rPr>
          <w:bCs/>
        </w:rPr>
      </w:pPr>
      <w:bookmarkStart w:id="122" w:name="_Toc33609691"/>
      <w:bookmarkStart w:id="123" w:name="_Toc33609883"/>
      <w:r>
        <w:t>Subdivision </w:t>
      </w:r>
      <w:r>
        <w:rPr>
          <w:bCs/>
        </w:rPr>
        <w:t>1</w:t>
      </w:r>
      <w:r>
        <w:rPr>
          <w:b w:val="0"/>
        </w:rPr>
        <w:t> — </w:t>
      </w:r>
      <w:r>
        <w:rPr>
          <w:bCs/>
        </w:rPr>
        <w:t>Introduction</w:t>
      </w:r>
      <w:bookmarkEnd w:id="122"/>
      <w:bookmarkEnd w:id="123"/>
    </w:p>
    <w:p>
      <w:pPr>
        <w:pStyle w:val="yFootnoteheading"/>
      </w:pPr>
      <w:r>
        <w:tab/>
        <w:t>[Heading inserted: No. 13 of 2005 s. 32.]</w:t>
      </w:r>
    </w:p>
    <w:p>
      <w:pPr>
        <w:pStyle w:val="yHeading5"/>
      </w:pPr>
      <w:bookmarkStart w:id="124" w:name="_Toc33609884"/>
      <w:r>
        <w:rPr>
          <w:rStyle w:val="CharSClsNo"/>
        </w:rPr>
        <w:t>16</w:t>
      </w:r>
      <w:r>
        <w:t>.</w:t>
      </w:r>
      <w:r>
        <w:rPr>
          <w:b w:val="0"/>
        </w:rPr>
        <w:tab/>
      </w:r>
      <w:r>
        <w:t>Simplified outline</w:t>
      </w:r>
      <w:bookmarkEnd w:id="124"/>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r>
        <w:tab/>
        <w:t>[Clause 16 inserted: No. 13 of 2005 s. 32.]</w:t>
      </w:r>
    </w:p>
    <w:p>
      <w:pPr>
        <w:pStyle w:val="yHeading4"/>
      </w:pPr>
      <w:bookmarkStart w:id="125" w:name="_Toc33609693"/>
      <w:bookmarkStart w:id="126" w:name="_Toc33609885"/>
      <w:r>
        <w:t>Subdivision </w:t>
      </w:r>
      <w:r>
        <w:rPr>
          <w:bCs/>
        </w:rPr>
        <w:t>2</w:t>
      </w:r>
      <w:r>
        <w:rPr>
          <w:b w:val="0"/>
        </w:rPr>
        <w:t> — </w:t>
      </w:r>
      <w:r>
        <w:rPr>
          <w:bCs/>
        </w:rPr>
        <w:t xml:space="preserve">Designated </w:t>
      </w:r>
      <w:r>
        <w:t>work groups</w:t>
      </w:r>
      <w:bookmarkEnd w:id="125"/>
      <w:bookmarkEnd w:id="126"/>
    </w:p>
    <w:p>
      <w:pPr>
        <w:pStyle w:val="yFootnoteheading"/>
      </w:pPr>
      <w:r>
        <w:tab/>
        <w:t>[Heading inserted: No. 13 of 2005 s. 32.]</w:t>
      </w:r>
    </w:p>
    <w:p>
      <w:pPr>
        <w:pStyle w:val="yHeading5"/>
      </w:pPr>
      <w:bookmarkStart w:id="127" w:name="_Toc33609886"/>
      <w:r>
        <w:rPr>
          <w:rStyle w:val="CharSClsNo"/>
        </w:rPr>
        <w:t>17</w:t>
      </w:r>
      <w:r>
        <w:t>.</w:t>
      </w:r>
      <w:r>
        <w:rPr>
          <w:b w:val="0"/>
        </w:rPr>
        <w:tab/>
      </w:r>
      <w:r>
        <w:t>Establishment of designated work groups by request</w:t>
      </w:r>
      <w:bookmarkEnd w:id="127"/>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17 inserted: No. 13 of 2005 s. 32.]</w:t>
      </w:r>
    </w:p>
    <w:p>
      <w:pPr>
        <w:pStyle w:val="yHeading5"/>
      </w:pPr>
      <w:bookmarkStart w:id="128" w:name="_Toc33609887"/>
      <w:r>
        <w:rPr>
          <w:rStyle w:val="CharSClsNo"/>
        </w:rPr>
        <w:t>18</w:t>
      </w:r>
      <w:r>
        <w:t>.</w:t>
      </w:r>
      <w:r>
        <w:rPr>
          <w:b w:val="0"/>
        </w:rPr>
        <w:tab/>
      </w:r>
      <w:r>
        <w:t>Establishment of designated work groups at initiative of licensee</w:t>
      </w:r>
      <w:bookmarkEnd w:id="128"/>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18 inserted: No. 13 of 2005 s. 32.]</w:t>
      </w:r>
    </w:p>
    <w:p>
      <w:pPr>
        <w:pStyle w:val="yHeading5"/>
        <w:spacing w:before="180"/>
      </w:pPr>
      <w:bookmarkStart w:id="129" w:name="_Toc33609888"/>
      <w:r>
        <w:rPr>
          <w:rStyle w:val="CharSClsNo"/>
        </w:rPr>
        <w:t>19</w:t>
      </w:r>
      <w:r>
        <w:t>.</w:t>
      </w:r>
      <w:r>
        <w:rPr>
          <w:b w:val="0"/>
        </w:rPr>
        <w:tab/>
      </w:r>
      <w:r>
        <w:t>Variation of designated work groups by request</w:t>
      </w:r>
      <w:bookmarkEnd w:id="129"/>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r>
        <w:tab/>
        <w:t>[Clause 19 inserted: No. 13 of 2005 s. 32.]</w:t>
      </w:r>
    </w:p>
    <w:p>
      <w:pPr>
        <w:pStyle w:val="yHeading5"/>
      </w:pPr>
      <w:bookmarkStart w:id="130" w:name="_Toc33609889"/>
      <w:r>
        <w:rPr>
          <w:rStyle w:val="CharSClsNo"/>
        </w:rPr>
        <w:t>20</w:t>
      </w:r>
      <w:r>
        <w:t>.</w:t>
      </w:r>
      <w:r>
        <w:rPr>
          <w:b w:val="0"/>
        </w:rPr>
        <w:tab/>
      </w:r>
      <w:r>
        <w:t>Variation of designated work groups at initiative of licensee</w:t>
      </w:r>
      <w:bookmarkEnd w:id="130"/>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r>
        <w:tab/>
        <w:t>[Clause 20 inserted: No. 13 of 2005 s. 32.]</w:t>
      </w:r>
    </w:p>
    <w:p>
      <w:pPr>
        <w:pStyle w:val="yHeading5"/>
      </w:pPr>
      <w:bookmarkStart w:id="131" w:name="_Toc33609890"/>
      <w:r>
        <w:rPr>
          <w:rStyle w:val="CharSClsNo"/>
        </w:rPr>
        <w:t>21</w:t>
      </w:r>
      <w:r>
        <w:t>.</w:t>
      </w:r>
      <w:r>
        <w:rPr>
          <w:b w:val="0"/>
        </w:rPr>
        <w:tab/>
      </w:r>
      <w:r>
        <w:t>Referral of disagreement to reviewing authority</w:t>
      </w:r>
      <w:bookmarkEnd w:id="131"/>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21 inserted: No. 13 of 2005 s. 32.]</w:t>
      </w:r>
    </w:p>
    <w:p>
      <w:pPr>
        <w:pStyle w:val="yHeading5"/>
      </w:pPr>
      <w:bookmarkStart w:id="132" w:name="_Toc33609891"/>
      <w:r>
        <w:rPr>
          <w:rStyle w:val="CharSClsNo"/>
        </w:rPr>
        <w:t>22</w:t>
      </w:r>
      <w:r>
        <w:t>.</w:t>
      </w:r>
      <w:r>
        <w:rPr>
          <w:b w:val="0"/>
        </w:rPr>
        <w:tab/>
      </w:r>
      <w:r>
        <w:t>Manner of grouping members of workforce</w:t>
      </w:r>
      <w:bookmarkEnd w:id="132"/>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r>
        <w:tab/>
        <w:t>[Clause 22 inserted: No. 13 of 2005 s. 32.]</w:t>
      </w:r>
    </w:p>
    <w:p>
      <w:pPr>
        <w:pStyle w:val="yHeading4"/>
      </w:pPr>
      <w:bookmarkStart w:id="133" w:name="_Toc33609700"/>
      <w:bookmarkStart w:id="134" w:name="_Toc33609892"/>
      <w:r>
        <w:t>Subdivision </w:t>
      </w:r>
      <w:r>
        <w:rPr>
          <w:bCs/>
        </w:rPr>
        <w:t>3</w:t>
      </w:r>
      <w:r>
        <w:rPr>
          <w:b w:val="0"/>
        </w:rPr>
        <w:t> — </w:t>
      </w:r>
      <w:r>
        <w:rPr>
          <w:bCs/>
        </w:rPr>
        <w:t>Safety and health</w:t>
      </w:r>
      <w:r>
        <w:t xml:space="preserve"> representatives</w:t>
      </w:r>
      <w:bookmarkEnd w:id="133"/>
      <w:bookmarkEnd w:id="134"/>
    </w:p>
    <w:p>
      <w:pPr>
        <w:pStyle w:val="yFootnoteheading"/>
      </w:pPr>
      <w:r>
        <w:tab/>
        <w:t>[Heading inserted: No. 13 of 2005 s. 32.]</w:t>
      </w:r>
    </w:p>
    <w:p>
      <w:pPr>
        <w:pStyle w:val="yHeading5"/>
      </w:pPr>
      <w:bookmarkStart w:id="135" w:name="_Toc33609893"/>
      <w:r>
        <w:rPr>
          <w:rStyle w:val="CharSClsNo"/>
        </w:rPr>
        <w:t>23</w:t>
      </w:r>
      <w:r>
        <w:t>.</w:t>
      </w:r>
      <w:r>
        <w:rPr>
          <w:b w:val="0"/>
        </w:rPr>
        <w:tab/>
      </w:r>
      <w:r>
        <w:t>Selection of safety and health representatives</w:t>
      </w:r>
      <w:bookmarkEnd w:id="135"/>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r>
        <w:tab/>
        <w:t>[Clause 23 inserted: No. 13 of 2005 s. 32.]</w:t>
      </w:r>
    </w:p>
    <w:p>
      <w:pPr>
        <w:pStyle w:val="yHeading5"/>
      </w:pPr>
      <w:bookmarkStart w:id="136" w:name="_Toc33609894"/>
      <w:r>
        <w:rPr>
          <w:rStyle w:val="CharSClsNo"/>
        </w:rPr>
        <w:t>24</w:t>
      </w:r>
      <w:r>
        <w:t>.</w:t>
      </w:r>
      <w:r>
        <w:rPr>
          <w:b w:val="0"/>
        </w:rPr>
        <w:tab/>
      </w:r>
      <w:r>
        <w:t>Election of safety and health representatives</w:t>
      </w:r>
      <w:bookmarkEnd w:id="136"/>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No. 13 of 2005 s. 32.]</w:t>
      </w:r>
    </w:p>
    <w:p>
      <w:pPr>
        <w:pStyle w:val="yHeading5"/>
      </w:pPr>
      <w:bookmarkStart w:id="137" w:name="_Toc33609895"/>
      <w:r>
        <w:rPr>
          <w:rStyle w:val="CharSClsNo"/>
        </w:rPr>
        <w:t>25</w:t>
      </w:r>
      <w:r>
        <w:t>.</w:t>
      </w:r>
      <w:r>
        <w:rPr>
          <w:b w:val="0"/>
        </w:rPr>
        <w:tab/>
      </w:r>
      <w:r>
        <w:t>List of safety and health representatives</w:t>
      </w:r>
      <w:bookmarkEnd w:id="137"/>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r>
        <w:tab/>
        <w:t>[Clause 25 inserted: No. 13 of 2005 s. 32.]</w:t>
      </w:r>
    </w:p>
    <w:p>
      <w:pPr>
        <w:pStyle w:val="yHeading5"/>
      </w:pPr>
      <w:bookmarkStart w:id="138" w:name="_Toc33609896"/>
      <w:r>
        <w:rPr>
          <w:rStyle w:val="CharSClsNo"/>
        </w:rPr>
        <w:t>26</w:t>
      </w:r>
      <w:r>
        <w:t>.</w:t>
      </w:r>
      <w:r>
        <w:rPr>
          <w:b w:val="0"/>
        </w:rPr>
        <w:tab/>
      </w:r>
      <w:r>
        <w:t>Members of designated work group must be notified of selection etc. of safety and health representative</w:t>
      </w:r>
      <w:bookmarkEnd w:id="138"/>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r>
        <w:tab/>
        <w:t>[Clause 26 inserted: No. 13 of 2005 s. 32.]</w:t>
      </w:r>
    </w:p>
    <w:p>
      <w:pPr>
        <w:pStyle w:val="yHeading5"/>
      </w:pPr>
      <w:bookmarkStart w:id="139" w:name="_Toc33609897"/>
      <w:r>
        <w:rPr>
          <w:rStyle w:val="CharSClsNo"/>
        </w:rPr>
        <w:t>27</w:t>
      </w:r>
      <w:r>
        <w:t>.</w:t>
      </w:r>
      <w:r>
        <w:rPr>
          <w:b w:val="0"/>
        </w:rPr>
        <w:tab/>
      </w:r>
      <w:r>
        <w:t>Term of office</w:t>
      </w:r>
      <w:bookmarkEnd w:id="139"/>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r>
        <w:tab/>
        <w:t>[Clause 27 inserted: No. 13 of 2005 s. 32.]</w:t>
      </w:r>
    </w:p>
    <w:p>
      <w:pPr>
        <w:pStyle w:val="yHeading5"/>
      </w:pPr>
      <w:bookmarkStart w:id="140" w:name="_Toc33609898"/>
      <w:r>
        <w:rPr>
          <w:rStyle w:val="CharSClsNo"/>
        </w:rPr>
        <w:t>28</w:t>
      </w:r>
      <w:r>
        <w:t>.</w:t>
      </w:r>
      <w:r>
        <w:rPr>
          <w:b w:val="0"/>
        </w:rPr>
        <w:tab/>
      </w:r>
      <w:r>
        <w:t>Training of safety and health representatives</w:t>
      </w:r>
      <w:bookmarkEnd w:id="140"/>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r>
        <w:tab/>
        <w:t>[Clause 28 inserted: No. 13 of 2005 s. 32.]</w:t>
      </w:r>
    </w:p>
    <w:p>
      <w:pPr>
        <w:pStyle w:val="yHeading5"/>
      </w:pPr>
      <w:bookmarkStart w:id="141" w:name="_Toc33609899"/>
      <w:r>
        <w:rPr>
          <w:rStyle w:val="CharSClsNo"/>
        </w:rPr>
        <w:t>29</w:t>
      </w:r>
      <w:r>
        <w:t>.</w:t>
      </w:r>
      <w:r>
        <w:rPr>
          <w:b w:val="0"/>
        </w:rPr>
        <w:tab/>
      </w:r>
      <w:r>
        <w:t>Resignation etc. of safety and health representatives</w:t>
      </w:r>
      <w:bookmarkEnd w:id="141"/>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r>
        <w:tab/>
        <w:t>[Clause 29 inserted: No. 13 of 2005 s. 32.]</w:t>
      </w:r>
    </w:p>
    <w:p>
      <w:pPr>
        <w:pStyle w:val="yHeading5"/>
      </w:pPr>
      <w:bookmarkStart w:id="142" w:name="_Toc33609900"/>
      <w:r>
        <w:rPr>
          <w:rStyle w:val="CharSClsNo"/>
        </w:rPr>
        <w:t>30</w:t>
      </w:r>
      <w:r>
        <w:t>.</w:t>
      </w:r>
      <w:r>
        <w:rPr>
          <w:b w:val="0"/>
        </w:rPr>
        <w:tab/>
      </w:r>
      <w:r>
        <w:t>Disqualification of safety and health representatives</w:t>
      </w:r>
      <w:bookmarkEnd w:id="142"/>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r>
        <w:tab/>
        <w:t>[Clause 30 inserted: No. 13 of 2005 s. 32.]</w:t>
      </w:r>
    </w:p>
    <w:p>
      <w:pPr>
        <w:pStyle w:val="yHeading5"/>
      </w:pPr>
      <w:bookmarkStart w:id="143" w:name="_Toc33609901"/>
      <w:r>
        <w:rPr>
          <w:rStyle w:val="CharSClsNo"/>
        </w:rPr>
        <w:t>31</w:t>
      </w:r>
      <w:r>
        <w:t>.</w:t>
      </w:r>
      <w:r>
        <w:rPr>
          <w:b w:val="0"/>
        </w:rPr>
        <w:tab/>
      </w:r>
      <w:r>
        <w:t>Deputy safety and health representatives</w:t>
      </w:r>
      <w:bookmarkEnd w:id="143"/>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r>
        <w:tab/>
        <w:t>[Clause 31 inserted: No. 13 of 2005 s. 32.]</w:t>
      </w:r>
    </w:p>
    <w:p>
      <w:pPr>
        <w:pStyle w:val="yHeading5"/>
      </w:pPr>
      <w:bookmarkStart w:id="144" w:name="_Toc33609902"/>
      <w:r>
        <w:rPr>
          <w:rStyle w:val="CharSClsNo"/>
        </w:rPr>
        <w:t>32</w:t>
      </w:r>
      <w:r>
        <w:t>.</w:t>
      </w:r>
      <w:r>
        <w:rPr>
          <w:b w:val="0"/>
        </w:rPr>
        <w:tab/>
      </w:r>
      <w:r>
        <w:t>Powers of safety and health representatives</w:t>
      </w:r>
      <w:bookmarkEnd w:id="144"/>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r>
        <w:tab/>
        <w:t>[Clause 32 inserted: No. 13 of 2005 s. 32.]</w:t>
      </w:r>
    </w:p>
    <w:p>
      <w:pPr>
        <w:pStyle w:val="yHeading5"/>
      </w:pPr>
      <w:bookmarkStart w:id="145" w:name="_Toc33609903"/>
      <w:r>
        <w:rPr>
          <w:rStyle w:val="CharSClsNo"/>
        </w:rPr>
        <w:t>33</w:t>
      </w:r>
      <w:r>
        <w:t>.</w:t>
      </w:r>
      <w:r>
        <w:rPr>
          <w:b w:val="0"/>
        </w:rPr>
        <w:tab/>
      </w:r>
      <w:r>
        <w:t>Assistance by consultant</w:t>
      </w:r>
      <w:bookmarkEnd w:id="145"/>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r>
        <w:tab/>
        <w:t>[Clause 33 inserted: No. 13 of 2005 s. 32.]</w:t>
      </w:r>
    </w:p>
    <w:p>
      <w:pPr>
        <w:pStyle w:val="yHeading5"/>
      </w:pPr>
      <w:bookmarkStart w:id="146" w:name="_Toc33609904"/>
      <w:r>
        <w:rPr>
          <w:rStyle w:val="CharSClsNo"/>
        </w:rPr>
        <w:t>34</w:t>
      </w:r>
      <w:r>
        <w:t>.</w:t>
      </w:r>
      <w:r>
        <w:rPr>
          <w:b w:val="0"/>
        </w:rPr>
        <w:tab/>
      </w:r>
      <w:r>
        <w:t>Information</w:t>
      </w:r>
      <w:bookmarkEnd w:id="146"/>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r>
        <w:tab/>
        <w:t>[Clause 34 inserted: No. 13 of 2005 s. 32.]</w:t>
      </w:r>
    </w:p>
    <w:p>
      <w:pPr>
        <w:pStyle w:val="yHeading5"/>
      </w:pPr>
      <w:bookmarkStart w:id="147" w:name="_Toc33609905"/>
      <w:r>
        <w:rPr>
          <w:rStyle w:val="CharSClsNo"/>
        </w:rPr>
        <w:t>35</w:t>
      </w:r>
      <w:r>
        <w:t>.</w:t>
      </w:r>
      <w:r>
        <w:rPr>
          <w:b w:val="0"/>
        </w:rPr>
        <w:tab/>
      </w:r>
      <w:r>
        <w:t>Obligations and liabilities of safety and health representatives</w:t>
      </w:r>
      <w:bookmarkEnd w:id="147"/>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r>
        <w:tab/>
        <w:t>[Clause 35 inserted: No. 13 of 2005 s. 32.]</w:t>
      </w:r>
    </w:p>
    <w:p>
      <w:pPr>
        <w:pStyle w:val="yHeading5"/>
      </w:pPr>
      <w:bookmarkStart w:id="148" w:name="_Toc33609906"/>
      <w:r>
        <w:rPr>
          <w:rStyle w:val="CharSClsNo"/>
        </w:rPr>
        <w:t>36</w:t>
      </w:r>
      <w:r>
        <w:t>.</w:t>
      </w:r>
      <w:r>
        <w:rPr>
          <w:b w:val="0"/>
        </w:rPr>
        <w:tab/>
      </w:r>
      <w:r>
        <w:t>Provisional improvement notices</w:t>
      </w:r>
      <w:bookmarkEnd w:id="148"/>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r>
        <w:tab/>
        <w:t>[Clause 36 inserted: No. 13 of 2005 s. 32.]</w:t>
      </w:r>
    </w:p>
    <w:p>
      <w:pPr>
        <w:pStyle w:val="yHeading5"/>
      </w:pPr>
      <w:bookmarkStart w:id="149" w:name="_Toc33609907"/>
      <w:r>
        <w:rPr>
          <w:rStyle w:val="CharSClsNo"/>
        </w:rPr>
        <w:t>37</w:t>
      </w:r>
      <w:r>
        <w:t>.</w:t>
      </w:r>
      <w:r>
        <w:rPr>
          <w:b w:val="0"/>
        </w:rPr>
        <w:tab/>
      </w:r>
      <w:r>
        <w:t>Effect of provisional improvement notice</w:t>
      </w:r>
      <w:bookmarkEnd w:id="149"/>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r>
        <w:tab/>
        <w:t>[Clause 37 inserted: No. 13 of 2005 s. 32.]</w:t>
      </w:r>
    </w:p>
    <w:p>
      <w:pPr>
        <w:pStyle w:val="yHeading5"/>
      </w:pPr>
      <w:bookmarkStart w:id="150" w:name="_Toc33609908"/>
      <w:r>
        <w:rPr>
          <w:rStyle w:val="CharSClsNo"/>
        </w:rPr>
        <w:t>38</w:t>
      </w:r>
      <w:r>
        <w:t>.</w:t>
      </w:r>
      <w:r>
        <w:rPr>
          <w:b w:val="0"/>
        </w:rPr>
        <w:tab/>
      </w:r>
      <w:r>
        <w:t>Duties of licensee and other employers in relation to safety and health representatives</w:t>
      </w:r>
      <w:bookmarkEnd w:id="150"/>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r>
        <w:tab/>
        <w:t>[Clause 38 inserted: No. 13 of 2005 s. 32.]</w:t>
      </w:r>
    </w:p>
    <w:p>
      <w:pPr>
        <w:pStyle w:val="yHeading4"/>
      </w:pPr>
      <w:bookmarkStart w:id="151" w:name="_Toc33609717"/>
      <w:bookmarkStart w:id="152" w:name="_Toc33609909"/>
      <w:r>
        <w:t>Subdivision </w:t>
      </w:r>
      <w:r>
        <w:rPr>
          <w:bCs/>
        </w:rPr>
        <w:t>4</w:t>
      </w:r>
      <w:r>
        <w:rPr>
          <w:b w:val="0"/>
        </w:rPr>
        <w:t> — </w:t>
      </w:r>
      <w:r>
        <w:rPr>
          <w:bCs/>
        </w:rPr>
        <w:t>Safety and health</w:t>
      </w:r>
      <w:r>
        <w:t xml:space="preserve"> committees</w:t>
      </w:r>
      <w:bookmarkEnd w:id="151"/>
      <w:bookmarkEnd w:id="152"/>
    </w:p>
    <w:p>
      <w:pPr>
        <w:pStyle w:val="yFootnoteheading"/>
      </w:pPr>
      <w:r>
        <w:tab/>
        <w:t>[Heading inserted: No. 13 of 2005 s. 32.]</w:t>
      </w:r>
    </w:p>
    <w:p>
      <w:pPr>
        <w:pStyle w:val="yHeading5"/>
      </w:pPr>
      <w:bookmarkStart w:id="153" w:name="_Toc33609910"/>
      <w:r>
        <w:rPr>
          <w:rStyle w:val="CharSClsNo"/>
        </w:rPr>
        <w:t>39</w:t>
      </w:r>
      <w:r>
        <w:t>.</w:t>
      </w:r>
      <w:r>
        <w:rPr>
          <w:b w:val="0"/>
        </w:rPr>
        <w:tab/>
      </w:r>
      <w:r>
        <w:t>Safety and health committees</w:t>
      </w:r>
      <w:bookmarkEnd w:id="153"/>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r>
        <w:tab/>
        <w:t>[Clause 39 inserted: No. 13 of 2005 s. 32.]</w:t>
      </w:r>
    </w:p>
    <w:p>
      <w:pPr>
        <w:pStyle w:val="yHeading5"/>
      </w:pPr>
      <w:bookmarkStart w:id="154" w:name="_Toc33609911"/>
      <w:r>
        <w:rPr>
          <w:rStyle w:val="CharSClsNo"/>
        </w:rPr>
        <w:t>40</w:t>
      </w:r>
      <w:r>
        <w:t>.</w:t>
      </w:r>
      <w:r>
        <w:rPr>
          <w:b w:val="0"/>
        </w:rPr>
        <w:tab/>
      </w:r>
      <w:r>
        <w:t>Functions of safety and health committees</w:t>
      </w:r>
      <w:bookmarkEnd w:id="154"/>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r>
        <w:tab/>
        <w:t>[Clause 40 inserted: No. 13 of 2005 s. 32.]</w:t>
      </w:r>
    </w:p>
    <w:p>
      <w:pPr>
        <w:pStyle w:val="yHeading5"/>
      </w:pPr>
      <w:bookmarkStart w:id="155" w:name="_Toc33609912"/>
      <w:r>
        <w:rPr>
          <w:rStyle w:val="CharSClsNo"/>
        </w:rPr>
        <w:t>41</w:t>
      </w:r>
      <w:r>
        <w:t>.</w:t>
      </w:r>
      <w:r>
        <w:rPr>
          <w:b w:val="0"/>
        </w:rPr>
        <w:tab/>
      </w:r>
      <w:r>
        <w:t>Duties of licensee and other employers in relation to safety and health committees</w:t>
      </w:r>
      <w:bookmarkEnd w:id="155"/>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r>
        <w:tab/>
        <w:t>[Clause 41 inserted: No. 13 of 2005 s. 32.]</w:t>
      </w:r>
    </w:p>
    <w:p>
      <w:pPr>
        <w:pStyle w:val="yHeading4"/>
      </w:pPr>
      <w:bookmarkStart w:id="156" w:name="_Toc33609721"/>
      <w:bookmarkStart w:id="157" w:name="_Toc33609913"/>
      <w:r>
        <w:t>Subdivision </w:t>
      </w:r>
      <w:r>
        <w:rPr>
          <w:bCs/>
        </w:rPr>
        <w:t>5</w:t>
      </w:r>
      <w:r>
        <w:rPr>
          <w:b w:val="0"/>
        </w:rPr>
        <w:t> — </w:t>
      </w:r>
      <w:r>
        <w:rPr>
          <w:bCs/>
        </w:rPr>
        <w:t>Emergency</w:t>
      </w:r>
      <w:r>
        <w:t xml:space="preserve"> procedures</w:t>
      </w:r>
      <w:bookmarkEnd w:id="156"/>
      <w:bookmarkEnd w:id="157"/>
    </w:p>
    <w:p>
      <w:pPr>
        <w:pStyle w:val="yFootnoteheading"/>
      </w:pPr>
      <w:r>
        <w:tab/>
        <w:t>[Heading inserted: No. 13 of 2005 s. 32.]</w:t>
      </w:r>
    </w:p>
    <w:p>
      <w:pPr>
        <w:pStyle w:val="yHeading5"/>
        <w:spacing w:before="180"/>
      </w:pPr>
      <w:bookmarkStart w:id="158" w:name="_Toc33609914"/>
      <w:r>
        <w:rPr>
          <w:rStyle w:val="CharSClsNo"/>
        </w:rPr>
        <w:t>42</w:t>
      </w:r>
      <w:r>
        <w:t>.</w:t>
      </w:r>
      <w:r>
        <w:rPr>
          <w:b w:val="0"/>
        </w:rPr>
        <w:tab/>
      </w:r>
      <w:r>
        <w:t>Action by safety and health representatives</w:t>
      </w:r>
      <w:bookmarkEnd w:id="158"/>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r>
        <w:tab/>
        <w:t>[Clause 42 inserted: No. 13 of 2005 s. 32.]</w:t>
      </w:r>
    </w:p>
    <w:p>
      <w:pPr>
        <w:pStyle w:val="yHeading5"/>
      </w:pPr>
      <w:bookmarkStart w:id="159" w:name="_Toc33609915"/>
      <w:r>
        <w:rPr>
          <w:rStyle w:val="CharSClsNo"/>
        </w:rPr>
        <w:t>43</w:t>
      </w:r>
      <w:r>
        <w:t>.</w:t>
      </w:r>
      <w:r>
        <w:rPr>
          <w:b w:val="0"/>
        </w:rPr>
        <w:tab/>
      </w:r>
      <w:r>
        <w:t>Directions to perform other work</w:t>
      </w:r>
      <w:bookmarkEnd w:id="159"/>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r>
        <w:tab/>
        <w:t>[Clause 43 inserted: No. 13 of 2005 s. 32.]</w:t>
      </w:r>
    </w:p>
    <w:p>
      <w:pPr>
        <w:pStyle w:val="yHeading4"/>
        <w:rPr>
          <w:bCs/>
        </w:rPr>
      </w:pPr>
      <w:bookmarkStart w:id="160" w:name="_Toc33609724"/>
      <w:bookmarkStart w:id="161" w:name="_Toc33609916"/>
      <w:r>
        <w:t>Subdivision </w:t>
      </w:r>
      <w:r>
        <w:rPr>
          <w:bCs/>
        </w:rPr>
        <w:t>6 — Exemptions</w:t>
      </w:r>
      <w:bookmarkEnd w:id="160"/>
      <w:bookmarkEnd w:id="161"/>
    </w:p>
    <w:p>
      <w:pPr>
        <w:pStyle w:val="yFootnoteheading"/>
      </w:pPr>
      <w:r>
        <w:tab/>
        <w:t>[Heading inserted: No. 13 of 2005 s. 32.]</w:t>
      </w:r>
    </w:p>
    <w:p>
      <w:pPr>
        <w:pStyle w:val="yHeading5"/>
      </w:pPr>
      <w:bookmarkStart w:id="162" w:name="_Toc33609917"/>
      <w:r>
        <w:rPr>
          <w:rStyle w:val="CharSClsNo"/>
        </w:rPr>
        <w:t>44</w:t>
      </w:r>
      <w:r>
        <w:t>.</w:t>
      </w:r>
      <w:r>
        <w:rPr>
          <w:b w:val="0"/>
        </w:rPr>
        <w:tab/>
      </w:r>
      <w:r>
        <w:t>Exemptions</w:t>
      </w:r>
      <w:bookmarkEnd w:id="162"/>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r>
        <w:tab/>
        <w:t>[Clause 44 inserted: No. 13 of 2005 s. 32.]</w:t>
      </w:r>
    </w:p>
    <w:p>
      <w:pPr>
        <w:pStyle w:val="yHeading3"/>
      </w:pPr>
      <w:bookmarkStart w:id="163" w:name="_Toc33609726"/>
      <w:bookmarkStart w:id="164" w:name="_Toc33609918"/>
      <w:r>
        <w:rPr>
          <w:rStyle w:val="CharSDivNo"/>
        </w:rPr>
        <w:t>Division 4</w:t>
      </w:r>
      <w:r>
        <w:rPr>
          <w:b w:val="0"/>
        </w:rPr>
        <w:t> — </w:t>
      </w:r>
      <w:r>
        <w:rPr>
          <w:rStyle w:val="CharSDivText"/>
        </w:rPr>
        <w:t>Inspections</w:t>
      </w:r>
      <w:bookmarkEnd w:id="163"/>
      <w:bookmarkEnd w:id="164"/>
    </w:p>
    <w:p>
      <w:pPr>
        <w:pStyle w:val="yFootnoteheading"/>
      </w:pPr>
      <w:r>
        <w:tab/>
        <w:t>[Heading inserted: No. 13 of 2005 s. 32.]</w:t>
      </w:r>
    </w:p>
    <w:p>
      <w:pPr>
        <w:pStyle w:val="yHeading4"/>
      </w:pPr>
      <w:bookmarkStart w:id="165" w:name="_Toc33609727"/>
      <w:bookmarkStart w:id="166" w:name="_Toc33609919"/>
      <w:r>
        <w:t>Subdivision 1</w:t>
      </w:r>
      <w:r>
        <w:rPr>
          <w:b w:val="0"/>
        </w:rPr>
        <w:t> — </w:t>
      </w:r>
      <w:r>
        <w:t>Introduction</w:t>
      </w:r>
      <w:bookmarkEnd w:id="165"/>
      <w:bookmarkEnd w:id="166"/>
    </w:p>
    <w:p>
      <w:pPr>
        <w:pStyle w:val="yFootnoteheading"/>
      </w:pPr>
      <w:r>
        <w:tab/>
        <w:t>[Heading inserted: No. 13 of 2005 s. 32.]</w:t>
      </w:r>
    </w:p>
    <w:p>
      <w:pPr>
        <w:pStyle w:val="yHeading5"/>
      </w:pPr>
      <w:bookmarkStart w:id="167" w:name="_Toc33609920"/>
      <w:r>
        <w:rPr>
          <w:rStyle w:val="CharSClsNo"/>
        </w:rPr>
        <w:t>45</w:t>
      </w:r>
      <w:r>
        <w:t>.</w:t>
      </w:r>
      <w:r>
        <w:rPr>
          <w:b w:val="0"/>
        </w:rPr>
        <w:tab/>
      </w:r>
      <w:r>
        <w:t>Simplified outline</w:t>
      </w:r>
      <w:bookmarkEnd w:id="167"/>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to ascertain whether a listed OSH law is being complied with; or</w:t>
      </w:r>
    </w:p>
    <w:p>
      <w:pPr>
        <w:pStyle w:val="yIndenta"/>
        <w:tabs>
          <w:tab w:val="clear" w:pos="1332"/>
          <w:tab w:val="clear" w:pos="1616"/>
          <w:tab w:val="right" w:pos="1680"/>
          <w:tab w:val="left" w:pos="1960"/>
        </w:tabs>
        <w:ind w:left="1990"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An inspector may issue an improvement notice specifying action that is to be taken to prevent contravention of a listed OSH law.</w:t>
      </w:r>
    </w:p>
    <w:p>
      <w:pPr>
        <w:pStyle w:val="ySubsection"/>
        <w:numPr>
          <w:ilvl w:val="0"/>
          <w:numId w:val="2"/>
        </w:numPr>
      </w:pPr>
      <w:r>
        <w:t>An inspector must prepare a report about an inspection and give the report to the Minister.</w:t>
      </w:r>
    </w:p>
    <w:p>
      <w:pPr>
        <w:pStyle w:val="yFootnotesection"/>
      </w:pPr>
      <w:r>
        <w:tab/>
        <w:t>[Clause 45 inserted: No. 13 of 2005 s. 32.]</w:t>
      </w:r>
    </w:p>
    <w:p>
      <w:pPr>
        <w:pStyle w:val="yHeading5"/>
        <w:spacing w:before="180"/>
      </w:pPr>
      <w:bookmarkStart w:id="168" w:name="_Toc33609921"/>
      <w:r>
        <w:rPr>
          <w:rStyle w:val="CharSClsNo"/>
        </w:rPr>
        <w:t>46</w:t>
      </w:r>
      <w:r>
        <w:t>.</w:t>
      </w:r>
      <w:r>
        <w:rPr>
          <w:b w:val="0"/>
        </w:rPr>
        <w:tab/>
      </w:r>
      <w:r>
        <w:t>Powers, functions and duties of inspectors</w:t>
      </w:r>
      <w:bookmarkEnd w:id="168"/>
    </w:p>
    <w:p>
      <w:pPr>
        <w:pStyle w:val="ySubsection"/>
        <w:spacing w:before="120"/>
      </w:pPr>
      <w:r>
        <w:tab/>
        <w:t>(1)</w:t>
      </w:r>
      <w:r>
        <w:tab/>
        <w:t>An inspector has the powers, functions and duties conferred or imposed by each listed OSH law.</w:t>
      </w:r>
    </w:p>
    <w:p>
      <w:pPr>
        <w:pStyle w:val="ySubsection"/>
        <w:spacing w:before="120"/>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spacing w:before="120"/>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pPr>
      <w:r>
        <w:tab/>
        <w:t>[Clause 46 inserted: No. 13 of 2005 s. 32.]</w:t>
      </w:r>
    </w:p>
    <w:p>
      <w:pPr>
        <w:pStyle w:val="yHeading4"/>
      </w:pPr>
      <w:bookmarkStart w:id="169" w:name="_Toc33609730"/>
      <w:bookmarkStart w:id="170" w:name="_Toc33609922"/>
      <w:r>
        <w:t>Subdivision 2</w:t>
      </w:r>
      <w:r>
        <w:rPr>
          <w:b w:val="0"/>
        </w:rPr>
        <w:t> — </w:t>
      </w:r>
      <w:r>
        <w:t>Inspections</w:t>
      </w:r>
      <w:bookmarkEnd w:id="169"/>
      <w:bookmarkEnd w:id="170"/>
    </w:p>
    <w:p>
      <w:pPr>
        <w:pStyle w:val="yFootnoteheading"/>
      </w:pPr>
      <w:r>
        <w:tab/>
        <w:t>[Heading inserted: No. 13 of 2005 s. 32.]</w:t>
      </w:r>
    </w:p>
    <w:p>
      <w:pPr>
        <w:pStyle w:val="yHeading5"/>
        <w:spacing w:before="180"/>
      </w:pPr>
      <w:bookmarkStart w:id="171" w:name="_Toc33609923"/>
      <w:r>
        <w:rPr>
          <w:rStyle w:val="CharSClsNo"/>
        </w:rPr>
        <w:t>47</w:t>
      </w:r>
      <w:r>
        <w:t>.</w:t>
      </w:r>
      <w:r>
        <w:rPr>
          <w:b w:val="0"/>
        </w:rPr>
        <w:tab/>
      </w:r>
      <w:r>
        <w:t>Inspections</w:t>
      </w:r>
      <w:bookmarkEnd w:id="171"/>
    </w:p>
    <w:p>
      <w:pPr>
        <w:pStyle w:val="ySubsection"/>
        <w:spacing w:before="120"/>
      </w:pPr>
      <w:r>
        <w:tab/>
        <w:t>(1)</w:t>
      </w:r>
      <w:r>
        <w:tab/>
        <w:t xml:space="preserve">An inspector may, at any time,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r>
        <w:tab/>
        <w:t>[Clause 47 inserted: No. 13 of 2005 s. 32.]</w:t>
      </w:r>
    </w:p>
    <w:p>
      <w:pPr>
        <w:pStyle w:val="yHeading4"/>
      </w:pPr>
      <w:bookmarkStart w:id="172" w:name="_Toc33609732"/>
      <w:bookmarkStart w:id="173" w:name="_Toc33609924"/>
      <w:r>
        <w:t>Subdivision </w:t>
      </w:r>
      <w:r>
        <w:rPr>
          <w:bCs/>
        </w:rPr>
        <w:t xml:space="preserve">3 — Powers </w:t>
      </w:r>
      <w:r>
        <w:t>of inspectors in relation to the conduct of inspections</w:t>
      </w:r>
      <w:bookmarkEnd w:id="172"/>
      <w:bookmarkEnd w:id="173"/>
    </w:p>
    <w:p>
      <w:pPr>
        <w:pStyle w:val="yFootnoteheading"/>
      </w:pPr>
      <w:r>
        <w:tab/>
        <w:t>[Heading inserted: No. 13 of 2005 s. 32.]</w:t>
      </w:r>
    </w:p>
    <w:p>
      <w:pPr>
        <w:pStyle w:val="yHeading5"/>
      </w:pPr>
      <w:bookmarkStart w:id="174" w:name="_Toc33609925"/>
      <w:r>
        <w:rPr>
          <w:rStyle w:val="CharSClsNo"/>
        </w:rPr>
        <w:t>48</w:t>
      </w:r>
      <w:r>
        <w:t>.</w:t>
      </w:r>
      <w:r>
        <w:rPr>
          <w:b w:val="0"/>
        </w:rPr>
        <w:tab/>
      </w:r>
      <w:r>
        <w:t>Powers of entry and search — places at which pipeline operations are carried on</w:t>
      </w:r>
      <w:bookmarkEnd w:id="174"/>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r>
        <w:tab/>
        <w:t>[Clause 48 inserted: No. 13 of 2005 s. 32.]</w:t>
      </w:r>
    </w:p>
    <w:p>
      <w:pPr>
        <w:pStyle w:val="yHeading5"/>
      </w:pPr>
      <w:bookmarkStart w:id="175" w:name="_Toc33609926"/>
      <w:r>
        <w:rPr>
          <w:rStyle w:val="CharSClsNo"/>
        </w:rPr>
        <w:t>49</w:t>
      </w:r>
      <w:r>
        <w:t>.</w:t>
      </w:r>
      <w:r>
        <w:rPr>
          <w:b w:val="0"/>
        </w:rPr>
        <w:tab/>
      </w:r>
      <w:r>
        <w:t>Powers of entry and search — regulated business premises (other than places where pipeline operations carried on)</w:t>
      </w:r>
      <w:bookmarkEnd w:id="175"/>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r>
        <w:tab/>
        <w:t>[Clause 49 inserted: No. 13 of 2005 s. 32.]</w:t>
      </w:r>
    </w:p>
    <w:p>
      <w:pPr>
        <w:pStyle w:val="yHeading5"/>
      </w:pPr>
      <w:bookmarkStart w:id="176" w:name="_Toc33609927"/>
      <w:r>
        <w:rPr>
          <w:rStyle w:val="CharSClsNo"/>
        </w:rPr>
        <w:t>50</w:t>
      </w:r>
      <w:r>
        <w:t>.</w:t>
      </w:r>
      <w:r>
        <w:rPr>
          <w:b w:val="0"/>
        </w:rPr>
        <w:tab/>
      </w:r>
      <w:r>
        <w:t>Powers of entry and search — premises (other than regulated business premises)</w:t>
      </w:r>
      <w:bookmarkEnd w:id="176"/>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r>
        <w:tab/>
        <w:t>[Clause 50 inserted: No. 13 of 2005 s. 32.]</w:t>
      </w:r>
    </w:p>
    <w:p>
      <w:pPr>
        <w:pStyle w:val="yHeading5"/>
      </w:pPr>
      <w:bookmarkStart w:id="177" w:name="_Toc33609928"/>
      <w:r>
        <w:rPr>
          <w:rStyle w:val="CharSClsNo"/>
        </w:rPr>
        <w:t>51</w:t>
      </w:r>
      <w:r>
        <w:t>.</w:t>
      </w:r>
      <w:r>
        <w:rPr>
          <w:b w:val="0"/>
        </w:rPr>
        <w:tab/>
      </w:r>
      <w:r>
        <w:t>Warrant to enter premises (other than regulated business premises)</w:t>
      </w:r>
      <w:bookmarkEnd w:id="177"/>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r>
        <w:tab/>
        <w:t>[Clause 51 inserted: No. 13 of 2005 s. 32.]</w:t>
      </w:r>
    </w:p>
    <w:p>
      <w:pPr>
        <w:pStyle w:val="yHeading5"/>
      </w:pPr>
      <w:bookmarkStart w:id="178" w:name="_Toc33609929"/>
      <w:r>
        <w:rPr>
          <w:rStyle w:val="CharSClsNo"/>
        </w:rPr>
        <w:t>52</w:t>
      </w:r>
      <w:r>
        <w:t>.</w:t>
      </w:r>
      <w:r>
        <w:rPr>
          <w:b w:val="0"/>
        </w:rPr>
        <w:tab/>
      </w:r>
      <w:r>
        <w:t>Obstructing or hindering inspector</w:t>
      </w:r>
      <w:bookmarkEnd w:id="178"/>
    </w:p>
    <w:p>
      <w:pPr>
        <w:pStyle w:val="ySubsection"/>
      </w:pPr>
      <w:r>
        <w:tab/>
      </w:r>
      <w:r>
        <w:tab/>
        <w:t>A person must not, without reasonable excuse, obstruct or hinder an inspector in the exercise of an inspector’s powers under clause 48, 49 or 50.</w:t>
      </w:r>
    </w:p>
    <w:p>
      <w:pPr>
        <w:pStyle w:val="yPenstart"/>
      </w:pPr>
      <w:r>
        <w:tab/>
        <w:t>Penalty: a fine of $5 500.</w:t>
      </w:r>
    </w:p>
    <w:p>
      <w:pPr>
        <w:pStyle w:val="yFootnotesection"/>
      </w:pPr>
      <w:r>
        <w:tab/>
        <w:t>[Clause 52 inserted: No. 13 of 2005 s. 32; amended: No. 42 of 2010 s. 181(6).]</w:t>
      </w:r>
    </w:p>
    <w:p>
      <w:pPr>
        <w:pStyle w:val="yHeading5"/>
      </w:pPr>
      <w:bookmarkStart w:id="179" w:name="_Toc33609930"/>
      <w:r>
        <w:rPr>
          <w:rStyle w:val="CharSClsNo"/>
        </w:rPr>
        <w:t>53</w:t>
      </w:r>
      <w:r>
        <w:t>.</w:t>
      </w:r>
      <w:r>
        <w:rPr>
          <w:b w:val="0"/>
        </w:rPr>
        <w:tab/>
      </w:r>
      <w:r>
        <w:t>Power to require assistance and information</w:t>
      </w:r>
      <w:bookmarkEnd w:id="179"/>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Penstart"/>
      </w:pPr>
      <w:r>
        <w:tab/>
      </w:r>
      <w:r>
        <w:rPr>
          <w:sz w:val="22"/>
        </w:rPr>
        <w:t>Penalty for an offence under subsection (3): a fine of $3 300 or imprisonment for 6 months or both.</w:t>
      </w:r>
    </w:p>
    <w:p>
      <w:pPr>
        <w:pStyle w:val="yFootnotesection"/>
      </w:pPr>
      <w:r>
        <w:tab/>
        <w:t>[Clause 53 inserted: No. 13 of 2005 s. 32; amended: No. 42 of 2010 s. 181(1).]</w:t>
      </w:r>
    </w:p>
    <w:p>
      <w:pPr>
        <w:pStyle w:val="yHeading5"/>
      </w:pPr>
      <w:bookmarkStart w:id="180" w:name="_Toc33609931"/>
      <w:r>
        <w:rPr>
          <w:rStyle w:val="CharSClsNo"/>
        </w:rPr>
        <w:t>54</w:t>
      </w:r>
      <w:r>
        <w:t>.</w:t>
      </w:r>
      <w:r>
        <w:rPr>
          <w:b w:val="0"/>
        </w:rPr>
        <w:tab/>
      </w:r>
      <w:r>
        <w:t>Power to require answering of questions and production of documents or articles</w:t>
      </w:r>
      <w:bookmarkEnd w:id="180"/>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 for an offence under subclause (5): a fine of $3 300 or imprisonment for 6 months or both.</w:t>
      </w:r>
    </w:p>
    <w:p>
      <w:pPr>
        <w:pStyle w:val="yFootnotesection"/>
      </w:pPr>
      <w:r>
        <w:tab/>
        <w:t>[Clause 54 inserted: No. 13 of 2005 s. 32; amended: No. 42 of 2010 s. 181(2).]</w:t>
      </w:r>
    </w:p>
    <w:p>
      <w:pPr>
        <w:pStyle w:val="yHeading5"/>
      </w:pPr>
      <w:bookmarkStart w:id="181" w:name="_Toc33609932"/>
      <w:r>
        <w:rPr>
          <w:rStyle w:val="CharSClsNo"/>
        </w:rPr>
        <w:t>55</w:t>
      </w:r>
      <w:r>
        <w:t>.</w:t>
      </w:r>
      <w:r>
        <w:rPr>
          <w:b w:val="0"/>
        </w:rPr>
        <w:tab/>
      </w:r>
      <w:r>
        <w:t>Privilege against self</w:t>
      </w:r>
      <w:r>
        <w:noBreakHyphen/>
        <w:t>incrimination</w:t>
      </w:r>
      <w:bookmarkEnd w:id="181"/>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r>
        <w:tab/>
        <w:t>[Clause 55 inserted: No. 13 of 2005 s. 32.]</w:t>
      </w:r>
    </w:p>
    <w:p>
      <w:pPr>
        <w:pStyle w:val="yHeading5"/>
      </w:pPr>
      <w:bookmarkStart w:id="182" w:name="_Toc33609933"/>
      <w:r>
        <w:rPr>
          <w:rStyle w:val="CharSClsNo"/>
        </w:rPr>
        <w:t>56</w:t>
      </w:r>
      <w:r>
        <w:t>.</w:t>
      </w:r>
      <w:r>
        <w:rPr>
          <w:b w:val="0"/>
        </w:rPr>
        <w:tab/>
      </w:r>
      <w:r>
        <w:t>Power to take possession of plant, take samples of substances etc.</w:t>
      </w:r>
      <w:bookmarkEnd w:id="182"/>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r>
        <w:tab/>
        <w:t>[Clause 56 inserted: No. 13 of 2005 s. 32.]</w:t>
      </w:r>
    </w:p>
    <w:p>
      <w:pPr>
        <w:pStyle w:val="yHeading5"/>
      </w:pPr>
      <w:bookmarkStart w:id="183" w:name="_Toc33609934"/>
      <w:r>
        <w:rPr>
          <w:rStyle w:val="CharSClsNo"/>
        </w:rPr>
        <w:t>57</w:t>
      </w:r>
      <w:r>
        <w:t>.</w:t>
      </w:r>
      <w:r>
        <w:rPr>
          <w:b w:val="0"/>
        </w:rPr>
        <w:tab/>
      </w:r>
      <w:r>
        <w:t>Power to direct that workplace etc. not be disturbed</w:t>
      </w:r>
      <w:bookmarkEnd w:id="183"/>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a fine of $27 500.</w:t>
      </w:r>
    </w:p>
    <w:p>
      <w:pPr>
        <w:pStyle w:val="ySubsection"/>
      </w:pPr>
      <w:r>
        <w:tab/>
        <w:t>(8)</w:t>
      </w:r>
      <w:r>
        <w:tab/>
        <w:t>A direction under subclause (2) must be accompanied by a statement setting out the reasons for the direction.</w:t>
      </w:r>
    </w:p>
    <w:p>
      <w:pPr>
        <w:pStyle w:val="yFootnotesection"/>
      </w:pPr>
      <w:r>
        <w:tab/>
        <w:t>[Clause 57 inserted: No. 13 of 2005 s. 32; amended: No. 42 of 2010 s. 181(6).]</w:t>
      </w:r>
    </w:p>
    <w:p>
      <w:pPr>
        <w:pStyle w:val="yHeading5"/>
      </w:pPr>
      <w:bookmarkStart w:id="184" w:name="_Toc33609935"/>
      <w:r>
        <w:rPr>
          <w:rStyle w:val="CharSClsNo"/>
        </w:rPr>
        <w:t>58</w:t>
      </w:r>
      <w:r>
        <w:t>.</w:t>
      </w:r>
      <w:r>
        <w:rPr>
          <w:b w:val="0"/>
        </w:rPr>
        <w:tab/>
      </w:r>
      <w:r>
        <w:t>Power to issue prohibition notices</w:t>
      </w:r>
      <w:bookmarkEnd w:id="184"/>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r>
        <w:tab/>
        <w:t>[Clause 58 inserted: No. 13 of 2005 s. 32.]</w:t>
      </w:r>
    </w:p>
    <w:p>
      <w:pPr>
        <w:pStyle w:val="yHeading5"/>
      </w:pPr>
      <w:bookmarkStart w:id="185" w:name="_Toc33609936"/>
      <w:r>
        <w:rPr>
          <w:rStyle w:val="CharSClsNo"/>
        </w:rPr>
        <w:t>59</w:t>
      </w:r>
      <w:r>
        <w:t>.</w:t>
      </w:r>
      <w:r>
        <w:rPr>
          <w:b w:val="0"/>
        </w:rPr>
        <w:tab/>
      </w:r>
      <w:r>
        <w:t>Compliance with prohibition notice</w:t>
      </w:r>
      <w:bookmarkEnd w:id="185"/>
    </w:p>
    <w:p>
      <w:pPr>
        <w:pStyle w:val="ySubsection"/>
      </w:pPr>
      <w:r>
        <w:tab/>
        <w:t>(1)</w:t>
      </w:r>
      <w:r>
        <w:tab/>
        <w:t>A licensee must ensure that a prohibition notice issued to the licensee is complied with.</w:t>
      </w:r>
    </w:p>
    <w:p>
      <w:pPr>
        <w:pStyle w:val="yPenstart"/>
      </w:pPr>
      <w:r>
        <w:tab/>
        <w:t>Penalty: a fine of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r>
        <w:tab/>
        <w:t>[Clause 59 inserted: No. 13 of 2005 s. 32; amended: No. 42 of 2010 s. 181(6).]</w:t>
      </w:r>
    </w:p>
    <w:p>
      <w:pPr>
        <w:pStyle w:val="yHeading5"/>
      </w:pPr>
      <w:bookmarkStart w:id="186" w:name="_Toc33609937"/>
      <w:r>
        <w:rPr>
          <w:rStyle w:val="CharSClsNo"/>
        </w:rPr>
        <w:t>60</w:t>
      </w:r>
      <w:r>
        <w:t>.</w:t>
      </w:r>
      <w:r>
        <w:rPr>
          <w:b w:val="0"/>
        </w:rPr>
        <w:tab/>
      </w:r>
      <w:r>
        <w:t>Power to issue improvement notices</w:t>
      </w:r>
      <w:bookmarkEnd w:id="186"/>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r>
        <w:tab/>
        <w:t>[Clause 60 inserted: No. 13 of 2005 s. 32.]</w:t>
      </w:r>
    </w:p>
    <w:p>
      <w:pPr>
        <w:pStyle w:val="yHeading5"/>
      </w:pPr>
      <w:bookmarkStart w:id="187" w:name="_Toc33609938"/>
      <w:r>
        <w:rPr>
          <w:rStyle w:val="CharSClsNo"/>
        </w:rPr>
        <w:t>61</w:t>
      </w:r>
      <w:r>
        <w:t>.</w:t>
      </w:r>
      <w:r>
        <w:rPr>
          <w:b w:val="0"/>
        </w:rPr>
        <w:tab/>
      </w:r>
      <w:r>
        <w:t>Compliance with improvement notice</w:t>
      </w:r>
      <w:bookmarkEnd w:id="187"/>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a fine of $11 000.</w:t>
      </w:r>
    </w:p>
    <w:p>
      <w:pPr>
        <w:pStyle w:val="yFootnotesection"/>
      </w:pPr>
      <w:r>
        <w:tab/>
        <w:t>[Clause 61 inserted: No. 13 of 2005 s. 32; amended: No. 42 of 2010 s. 181(6).]</w:t>
      </w:r>
    </w:p>
    <w:p>
      <w:pPr>
        <w:pStyle w:val="yHeading5"/>
      </w:pPr>
      <w:bookmarkStart w:id="188" w:name="_Toc33609939"/>
      <w:r>
        <w:rPr>
          <w:rStyle w:val="CharSClsNo"/>
        </w:rPr>
        <w:t>62</w:t>
      </w:r>
      <w:r>
        <w:t>.</w:t>
      </w:r>
      <w:r>
        <w:rPr>
          <w:b w:val="0"/>
        </w:rPr>
        <w:tab/>
      </w:r>
      <w:r>
        <w:t>Notices not to be tampered with or removed</w:t>
      </w:r>
      <w:bookmarkEnd w:id="188"/>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r>
        <w:tab/>
        <w:t>Penalty for an offence under subclause (1), (2) or (3): a fine of $11 000.</w:t>
      </w:r>
    </w:p>
    <w:p>
      <w:pPr>
        <w:pStyle w:val="yFootnotesection"/>
      </w:pPr>
      <w:r>
        <w:tab/>
        <w:t>[Clause 62 inserted: No. 13 of 2005 s. 32; amended: No. 42 of 2010 s. 181(3).]</w:t>
      </w:r>
    </w:p>
    <w:p>
      <w:pPr>
        <w:pStyle w:val="yHeading4"/>
      </w:pPr>
      <w:bookmarkStart w:id="189" w:name="_Toc33609748"/>
      <w:bookmarkStart w:id="190" w:name="_Toc33609940"/>
      <w:r>
        <w:t>Subdivision </w:t>
      </w:r>
      <w:r>
        <w:rPr>
          <w:bCs/>
        </w:rPr>
        <w:t>4 — Reports</w:t>
      </w:r>
      <w:r>
        <w:t xml:space="preserve"> on inspections</w:t>
      </w:r>
      <w:bookmarkEnd w:id="189"/>
      <w:bookmarkEnd w:id="190"/>
    </w:p>
    <w:p>
      <w:pPr>
        <w:pStyle w:val="yFootnoteheading"/>
      </w:pPr>
      <w:r>
        <w:tab/>
        <w:t>[Heading inserted: No. 13 of 2005 s. 32.]</w:t>
      </w:r>
    </w:p>
    <w:p>
      <w:pPr>
        <w:pStyle w:val="yHeading5"/>
      </w:pPr>
      <w:bookmarkStart w:id="191" w:name="_Toc33609941"/>
      <w:r>
        <w:rPr>
          <w:rStyle w:val="CharSClsNo"/>
        </w:rPr>
        <w:t>63</w:t>
      </w:r>
      <w:r>
        <w:t>.</w:t>
      </w:r>
      <w:r>
        <w:rPr>
          <w:b w:val="0"/>
        </w:rPr>
        <w:tab/>
      </w:r>
      <w:r>
        <w:t>Reports on inspections</w:t>
      </w:r>
      <w:bookmarkEnd w:id="191"/>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r>
        <w:tab/>
        <w:t>[Clause 63 inserted: No. 13 of 2005 s. 32.]</w:t>
      </w:r>
    </w:p>
    <w:p>
      <w:pPr>
        <w:pStyle w:val="yHeading4"/>
        <w:rPr>
          <w:bCs/>
        </w:rPr>
      </w:pPr>
      <w:bookmarkStart w:id="192" w:name="_Toc33609750"/>
      <w:bookmarkStart w:id="193" w:name="_Toc33609942"/>
      <w:r>
        <w:t>Subdivision </w:t>
      </w:r>
      <w:r>
        <w:rPr>
          <w:bCs/>
        </w:rPr>
        <w:t>5 — Reviews of inspectors’ decisions</w:t>
      </w:r>
      <w:bookmarkEnd w:id="192"/>
      <w:bookmarkEnd w:id="193"/>
    </w:p>
    <w:p>
      <w:pPr>
        <w:pStyle w:val="yFootnoteheading"/>
      </w:pPr>
      <w:r>
        <w:tab/>
        <w:t>[Heading inserted: No. 13 of 2005 s. 32.]</w:t>
      </w:r>
    </w:p>
    <w:p>
      <w:pPr>
        <w:pStyle w:val="yHeading5"/>
      </w:pPr>
      <w:bookmarkStart w:id="194" w:name="_Toc33609943"/>
      <w:r>
        <w:rPr>
          <w:rStyle w:val="CharSClsNo"/>
        </w:rPr>
        <w:t>64</w:t>
      </w:r>
      <w:r>
        <w:t>.</w:t>
      </w:r>
      <w:r>
        <w:rPr>
          <w:b w:val="0"/>
        </w:rPr>
        <w:tab/>
      </w:r>
      <w:r>
        <w:t>Reviews of inspectors’ decisions</w:t>
      </w:r>
      <w:bookmarkEnd w:id="194"/>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a fine of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64 inserted: No. 13 of 2005 s. 32; amended: No. 42 of 2010 s. 181(6).]</w:t>
      </w:r>
    </w:p>
    <w:p>
      <w:pPr>
        <w:pStyle w:val="yHeading5"/>
      </w:pPr>
      <w:bookmarkStart w:id="195" w:name="_Toc33609944"/>
      <w:r>
        <w:rPr>
          <w:rStyle w:val="CharSClsNo"/>
        </w:rPr>
        <w:t>65</w:t>
      </w:r>
      <w:r>
        <w:t>.</w:t>
      </w:r>
      <w:r>
        <w:rPr>
          <w:b w:val="0"/>
        </w:rPr>
        <w:tab/>
      </w:r>
      <w:r>
        <w:t>Powers of reviewing authority on review</w:t>
      </w:r>
      <w:bookmarkEnd w:id="195"/>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r>
        <w:tab/>
        <w:t>[Clause 65 inserted: No. 13 of 2005 s. 32.]</w:t>
      </w:r>
    </w:p>
    <w:p>
      <w:pPr>
        <w:pStyle w:val="yHeading3"/>
      </w:pPr>
      <w:bookmarkStart w:id="196" w:name="_Toc33609753"/>
      <w:bookmarkStart w:id="197" w:name="_Toc33609945"/>
      <w:r>
        <w:rPr>
          <w:rStyle w:val="CharSDivNo"/>
        </w:rPr>
        <w:t>Division 5</w:t>
      </w:r>
      <w:r>
        <w:rPr>
          <w:b w:val="0"/>
        </w:rPr>
        <w:t> — </w:t>
      </w:r>
      <w:r>
        <w:rPr>
          <w:rStyle w:val="CharSDivText"/>
        </w:rPr>
        <w:t>Referrals to the Tribunal</w:t>
      </w:r>
      <w:bookmarkEnd w:id="196"/>
      <w:bookmarkEnd w:id="197"/>
    </w:p>
    <w:p>
      <w:pPr>
        <w:pStyle w:val="yFootnoteheading"/>
      </w:pPr>
      <w:r>
        <w:tab/>
        <w:t>[Heading inserted: No. 13 of 2005 s. 32.]</w:t>
      </w:r>
    </w:p>
    <w:p>
      <w:pPr>
        <w:pStyle w:val="yHeading5"/>
      </w:pPr>
      <w:bookmarkStart w:id="198" w:name="_Toc33609946"/>
      <w:r>
        <w:rPr>
          <w:rStyle w:val="CharSClsNo"/>
        </w:rPr>
        <w:t>66</w:t>
      </w:r>
      <w:r>
        <w:t>.</w:t>
      </w:r>
      <w:r>
        <w:rPr>
          <w:b w:val="0"/>
        </w:rPr>
        <w:tab/>
      </w:r>
      <w:r>
        <w:rPr>
          <w:bCs/>
        </w:rPr>
        <w:t>Decision may be referred to Tribunal</w:t>
      </w:r>
      <w:bookmarkEnd w:id="198"/>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for an offence under subclause (3): a fine of $5 000.</w:t>
      </w:r>
    </w:p>
    <w:p>
      <w:pPr>
        <w:pStyle w:val="yFootnotesection"/>
      </w:pPr>
      <w:r>
        <w:tab/>
        <w:t>[Clause 66 inserted: No. 13 of 2005 s. 32; amended: No. 42 of 2010 s. 181(4).]</w:t>
      </w:r>
    </w:p>
    <w:p>
      <w:pPr>
        <w:pStyle w:val="yHeading5"/>
      </w:pPr>
      <w:bookmarkStart w:id="199" w:name="_Toc33609947"/>
      <w:r>
        <w:rPr>
          <w:rStyle w:val="CharSClsNo"/>
        </w:rPr>
        <w:t>67</w:t>
      </w:r>
      <w:r>
        <w:t>.</w:t>
      </w:r>
      <w:r>
        <w:rPr>
          <w:b w:val="0"/>
        </w:rPr>
        <w:tab/>
      </w:r>
      <w:r>
        <w:t>Determination by Tribunal</w:t>
      </w:r>
      <w:bookmarkEnd w:id="199"/>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r>
        <w:tab/>
        <w:t>[Clause 67 inserted: No. 13 of 2005 s. 32.]</w:t>
      </w:r>
    </w:p>
    <w:p>
      <w:pPr>
        <w:pStyle w:val="yHeading5"/>
      </w:pPr>
      <w:bookmarkStart w:id="200" w:name="_Toc33609948"/>
      <w:r>
        <w:rPr>
          <w:rStyle w:val="CharSClsNo"/>
        </w:rPr>
        <w:t>68</w:t>
      </w:r>
      <w:r>
        <w:t>.</w:t>
      </w:r>
      <w:r>
        <w:rPr>
          <w:b w:val="0"/>
        </w:rPr>
        <w:tab/>
      </w:r>
      <w:r>
        <w:t>Effect of pending review by Tribunal</w:t>
      </w:r>
      <w:bookmarkEnd w:id="200"/>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r>
        <w:tab/>
        <w:t>[Clause 68 inserted: No. 13 of 2005 s. 32.]</w:t>
      </w:r>
    </w:p>
    <w:p>
      <w:pPr>
        <w:pStyle w:val="yHeading5"/>
      </w:pPr>
      <w:bookmarkStart w:id="201" w:name="_Toc33609949"/>
      <w:r>
        <w:rPr>
          <w:rStyle w:val="CharSClsNo"/>
        </w:rPr>
        <w:t>69</w:t>
      </w:r>
      <w:r>
        <w:t>.</w:t>
      </w:r>
      <w:r>
        <w:rPr>
          <w:b w:val="0"/>
        </w:rPr>
        <w:tab/>
      </w:r>
      <w:r>
        <w:t>Jurisdiction of Tribunal</w:t>
      </w:r>
      <w:bookmarkEnd w:id="201"/>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r>
        <w:tab/>
        <w:t>[Clause 69 inserted: No. 13 of 2005 s. 32.]</w:t>
      </w:r>
    </w:p>
    <w:p>
      <w:pPr>
        <w:pStyle w:val="yHeading3"/>
        <w:keepLines/>
      </w:pPr>
      <w:bookmarkStart w:id="202" w:name="_Toc33609758"/>
      <w:bookmarkStart w:id="203" w:name="_Toc33609950"/>
      <w:r>
        <w:rPr>
          <w:rStyle w:val="CharSDivNo"/>
        </w:rPr>
        <w:t>Division 6</w:t>
      </w:r>
      <w:r>
        <w:rPr>
          <w:b w:val="0"/>
        </w:rPr>
        <w:t> — </w:t>
      </w:r>
      <w:r>
        <w:rPr>
          <w:rStyle w:val="CharSDivText"/>
        </w:rPr>
        <w:t>General</w:t>
      </w:r>
      <w:bookmarkEnd w:id="202"/>
      <w:bookmarkEnd w:id="203"/>
    </w:p>
    <w:p>
      <w:pPr>
        <w:pStyle w:val="yFootnoteheading"/>
        <w:keepNext/>
        <w:keepLines/>
      </w:pPr>
      <w:r>
        <w:tab/>
        <w:t>[Heading inserted: No. 13 of 2005 s. 32.]</w:t>
      </w:r>
    </w:p>
    <w:p>
      <w:pPr>
        <w:pStyle w:val="yHeading5"/>
      </w:pPr>
      <w:bookmarkStart w:id="204" w:name="_Toc33609951"/>
      <w:r>
        <w:rPr>
          <w:rStyle w:val="CharSClsNo"/>
        </w:rPr>
        <w:t>70</w:t>
      </w:r>
      <w:r>
        <w:t>.</w:t>
      </w:r>
      <w:r>
        <w:rPr>
          <w:b w:val="0"/>
        </w:rPr>
        <w:tab/>
      </w:r>
      <w:r>
        <w:t>Notifying and reporting accidents and dangerous occurrences</w:t>
      </w:r>
      <w:bookmarkEnd w:id="204"/>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a fine of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r>
        <w:tab/>
        <w:t>[Clause 70 inserted: No. 13 of 2005 s. 32; amended: No. 42 of 2010 s. 181(6).]</w:t>
      </w:r>
    </w:p>
    <w:p>
      <w:pPr>
        <w:pStyle w:val="yHeading5"/>
      </w:pPr>
      <w:bookmarkStart w:id="205" w:name="_Toc33609952"/>
      <w:r>
        <w:rPr>
          <w:rStyle w:val="CharSClsNo"/>
        </w:rPr>
        <w:t>71</w:t>
      </w:r>
      <w:r>
        <w:t>.</w:t>
      </w:r>
      <w:r>
        <w:rPr>
          <w:b w:val="0"/>
        </w:rPr>
        <w:tab/>
      </w:r>
      <w:r>
        <w:t>Records of accidents and dangerous occurrences to be kept</w:t>
      </w:r>
      <w:bookmarkEnd w:id="205"/>
    </w:p>
    <w:p>
      <w:pPr>
        <w:pStyle w:val="ySubsection"/>
      </w:pPr>
      <w:r>
        <w:tab/>
        <w:t>(1)</w:t>
      </w:r>
      <w:r>
        <w:tab/>
        <w:t>The licensee for a pipeline operation must maintain, in accordance with the regulations, a record of each accident or dangerous occurrence in respect of which the licensee is required by clause 70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r>
        <w:tab/>
        <w:t>[Clause 71 inserted: No. 13 of 2005 s. 32; amended: No. 42 of 2010 s. 181(5).]</w:t>
      </w:r>
    </w:p>
    <w:p>
      <w:pPr>
        <w:pStyle w:val="yHeading5"/>
      </w:pPr>
      <w:bookmarkStart w:id="206" w:name="_Toc33609953"/>
      <w:r>
        <w:rPr>
          <w:rStyle w:val="CharSClsNo"/>
        </w:rPr>
        <w:t>72</w:t>
      </w:r>
      <w:r>
        <w:rPr>
          <w:bCs/>
        </w:rPr>
        <w:t>.</w:t>
      </w:r>
      <w:r>
        <w:rPr>
          <w:b w:val="0"/>
          <w:bCs/>
        </w:rPr>
        <w:tab/>
      </w:r>
      <w:r>
        <w:rPr>
          <w:bCs/>
        </w:rPr>
        <w:t>Codes</w:t>
      </w:r>
      <w:r>
        <w:t xml:space="preserve"> of practice</w:t>
      </w:r>
      <w:bookmarkEnd w:id="206"/>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r>
        <w:tab/>
        <w:t>[Clause 72 inserted: No. 13 of 2005 s. 32.]</w:t>
      </w:r>
    </w:p>
    <w:p>
      <w:pPr>
        <w:pStyle w:val="yHeading5"/>
        <w:spacing w:before="180"/>
      </w:pPr>
      <w:bookmarkStart w:id="207" w:name="_Toc33609954"/>
      <w:r>
        <w:rPr>
          <w:rStyle w:val="CharSClsNo"/>
        </w:rPr>
        <w:t>73</w:t>
      </w:r>
      <w:r>
        <w:t>.</w:t>
      </w:r>
      <w:r>
        <w:rPr>
          <w:b w:val="0"/>
        </w:rPr>
        <w:tab/>
      </w:r>
      <w:r>
        <w:t>Use of codes of practice in proceedings</w:t>
      </w:r>
      <w:bookmarkEnd w:id="207"/>
    </w:p>
    <w:p>
      <w:pPr>
        <w:pStyle w:val="ySubsection"/>
        <w:spacing w:before="120"/>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spacing w:before="80"/>
      </w:pPr>
      <w:r>
        <w:tab/>
        <w:t>[Clause 73 inserted: No. 13 of 2005 s. 32.]</w:t>
      </w:r>
    </w:p>
    <w:p>
      <w:pPr>
        <w:pStyle w:val="yHeading5"/>
      </w:pPr>
      <w:bookmarkStart w:id="208" w:name="_Toc33609955"/>
      <w:r>
        <w:rPr>
          <w:rStyle w:val="CharSClsNo"/>
        </w:rPr>
        <w:t>74</w:t>
      </w:r>
      <w:r>
        <w:t>.</w:t>
      </w:r>
      <w:r>
        <w:rPr>
          <w:b w:val="0"/>
        </w:rPr>
        <w:tab/>
      </w:r>
      <w:r>
        <w:t>Interference etc. with equipment etc.</w:t>
      </w:r>
      <w:bookmarkEnd w:id="208"/>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a fine of $3 300 or imprisonment for 6 months or both. </w:t>
      </w:r>
    </w:p>
    <w:p>
      <w:pPr>
        <w:pStyle w:val="yFootnotesection"/>
      </w:pPr>
      <w:r>
        <w:tab/>
        <w:t>[Clause 74 inserted: No. 13 of 2005 s. 32; amended: No. 42 of 2010 s. 181(6).]</w:t>
      </w:r>
    </w:p>
    <w:p>
      <w:pPr>
        <w:pStyle w:val="yHeading5"/>
      </w:pPr>
      <w:bookmarkStart w:id="209" w:name="_Toc33609956"/>
      <w:r>
        <w:rPr>
          <w:rStyle w:val="CharSClsNo"/>
        </w:rPr>
        <w:t>75</w:t>
      </w:r>
      <w:r>
        <w:t>.</w:t>
      </w:r>
      <w:r>
        <w:rPr>
          <w:b w:val="0"/>
        </w:rPr>
        <w:tab/>
      </w:r>
      <w:r>
        <w:t>No charges to be levied on members of workforce</w:t>
      </w:r>
      <w:bookmarkEnd w:id="209"/>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a fine of $27 500.</w:t>
      </w:r>
    </w:p>
    <w:p>
      <w:pPr>
        <w:pStyle w:val="yFootnotesection"/>
      </w:pPr>
      <w:r>
        <w:tab/>
        <w:t>[Clause 75 inserted: No. 13 of 2005 s. 32; amended: No. 42 of 2010 s. 181(6).]</w:t>
      </w:r>
    </w:p>
    <w:p>
      <w:pPr>
        <w:pStyle w:val="yHeading5"/>
      </w:pPr>
      <w:bookmarkStart w:id="210" w:name="_Toc33609957"/>
      <w:r>
        <w:rPr>
          <w:rStyle w:val="CharSClsNo"/>
        </w:rPr>
        <w:t>76</w:t>
      </w:r>
      <w:r>
        <w:t>.</w:t>
      </w:r>
      <w:r>
        <w:rPr>
          <w:b w:val="0"/>
        </w:rPr>
        <w:tab/>
      </w:r>
      <w:r>
        <w:t>Victimisation</w:t>
      </w:r>
      <w:bookmarkEnd w:id="210"/>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a fine of $27 500.</w:t>
      </w:r>
    </w:p>
    <w:p>
      <w:pPr>
        <w:pStyle w:val="ySubsection"/>
      </w:pPr>
      <w:r>
        <w:tab/>
        <w:t>(2)</w:t>
      </w:r>
      <w:r>
        <w:tab/>
        <w:t>In proceedings for an offence against subclause (1), if all the relevant facts and circumstances, other than the reason for an action alleged in the charge, are proved, the accused has the onus of establishing that the action was not taken for that reason.</w:t>
      </w:r>
    </w:p>
    <w:p>
      <w:pPr>
        <w:pStyle w:val="yFootnotesection"/>
      </w:pPr>
      <w:r>
        <w:tab/>
        <w:t>[Clause 76 inserted: No. 13 of 2005 s. 32; amended: No. 42 of 2010 s. 181(6)</w:t>
      </w:r>
      <w:r>
        <w:rPr>
          <w:spacing w:val="-4"/>
        </w:rPr>
        <w:t>; No. 47 of 2011 s.</w:t>
      </w:r>
      <w:r>
        <w:t> 15.]</w:t>
      </w:r>
    </w:p>
    <w:p>
      <w:pPr>
        <w:pStyle w:val="yHeading5"/>
      </w:pPr>
      <w:bookmarkStart w:id="211" w:name="_Toc33609958"/>
      <w:r>
        <w:rPr>
          <w:rStyle w:val="CharSClsNo"/>
        </w:rPr>
        <w:t>77</w:t>
      </w:r>
      <w:r>
        <w:t>.</w:t>
      </w:r>
      <w:r>
        <w:rPr>
          <w:b w:val="0"/>
        </w:rPr>
        <w:tab/>
      </w:r>
      <w:r>
        <w:t>Institution of prosecutions</w:t>
      </w:r>
      <w:bookmarkEnd w:id="211"/>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workforce representative considers that the occurrence of the act or omission constitutes an offence against a listed OSH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r>
        <w:tab/>
        <w:t>[Clause 77 inserted: No. 13 of 2005 s. 32.]</w:t>
      </w:r>
    </w:p>
    <w:p>
      <w:pPr>
        <w:pStyle w:val="yHeading5"/>
      </w:pPr>
      <w:bookmarkStart w:id="212" w:name="_Toc33609959"/>
      <w:r>
        <w:rPr>
          <w:rStyle w:val="CharSClsNo"/>
        </w:rPr>
        <w:t>78</w:t>
      </w:r>
      <w:r>
        <w:t>.</w:t>
      </w:r>
      <w:r>
        <w:rPr>
          <w:b w:val="0"/>
        </w:rPr>
        <w:tab/>
      </w:r>
      <w:r>
        <w:t>Conduct of directors, employees and agents</w:t>
      </w:r>
      <w:bookmarkEnd w:id="212"/>
    </w:p>
    <w:p>
      <w:pPr>
        <w:pStyle w:val="ySubsection"/>
      </w:pPr>
      <w:r>
        <w:tab/>
        <w:t>(1)</w:t>
      </w:r>
      <w:r>
        <w:tab/>
        <w:t>This clause has effect for the purposes of a proceeding for an offence against a listed OSH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r>
        <w:tab/>
        <w:t>[Clause 78 inserted: No. 13 of 2005 s. 32.]</w:t>
      </w:r>
    </w:p>
    <w:p>
      <w:pPr>
        <w:pStyle w:val="yHeading5"/>
      </w:pPr>
      <w:bookmarkStart w:id="213" w:name="_Toc33609960"/>
      <w:r>
        <w:rPr>
          <w:rStyle w:val="CharSClsNo"/>
        </w:rPr>
        <w:t>79</w:t>
      </w:r>
      <w:r>
        <w:t>.</w:t>
      </w:r>
      <w:r>
        <w:rPr>
          <w:b w:val="0"/>
        </w:rPr>
        <w:tab/>
      </w:r>
      <w:r>
        <w:t>Act not to give rise to other liabilities etc.</w:t>
      </w:r>
      <w:bookmarkEnd w:id="213"/>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r>
        <w:tab/>
        <w:t>[Clause 79 inserted: No. 13 of 2005 s. 32.]</w:t>
      </w:r>
    </w:p>
    <w:p>
      <w:pPr>
        <w:pStyle w:val="yHeading5"/>
      </w:pPr>
      <w:bookmarkStart w:id="214" w:name="_Toc33609961"/>
      <w:r>
        <w:rPr>
          <w:rStyle w:val="CharSClsNo"/>
        </w:rPr>
        <w:t>80</w:t>
      </w:r>
      <w:r>
        <w:t>.</w:t>
      </w:r>
      <w:r>
        <w:rPr>
          <w:b w:val="0"/>
        </w:rPr>
        <w:tab/>
      </w:r>
      <w:r>
        <w:t>Circumstances preventing compliance may be defence to prosecution</w:t>
      </w:r>
      <w:bookmarkEnd w:id="214"/>
    </w:p>
    <w:p>
      <w:pPr>
        <w:pStyle w:val="ySubsection"/>
      </w:pPr>
      <w:r>
        <w:tab/>
      </w:r>
      <w:r>
        <w:tab/>
        <w:t>It is a defence to a prosecution for a contravention of a listed OSH law if the accused proves that it was not practicable to comply with it because of an emergency prevailing at the relevant time.</w:t>
      </w:r>
    </w:p>
    <w:p>
      <w:pPr>
        <w:pStyle w:val="yFootnotesection"/>
      </w:pPr>
      <w:r>
        <w:tab/>
        <w:t>[Clause 80 inserted: No. 13 of 2005 s. 32</w:t>
      </w:r>
      <w:r>
        <w:rPr>
          <w:spacing w:val="-4"/>
        </w:rPr>
        <w:t>; amended: No. 47 of 2011 s.</w:t>
      </w:r>
      <w:r>
        <w:t> 15.]</w:t>
      </w:r>
    </w:p>
    <w:p>
      <w:pPr>
        <w:pStyle w:val="yHeading5"/>
      </w:pPr>
      <w:bookmarkStart w:id="215" w:name="_Toc33609962"/>
      <w:r>
        <w:rPr>
          <w:rStyle w:val="CharSClsNo"/>
        </w:rPr>
        <w:t>81</w:t>
      </w:r>
      <w:r>
        <w:t>.</w:t>
      </w:r>
      <w:r>
        <w:rPr>
          <w:b w:val="0"/>
        </w:rPr>
        <w:tab/>
      </w:r>
      <w:r>
        <w:t>Regulations — general</w:t>
      </w:r>
      <w:bookmarkEnd w:id="215"/>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No. 13 of 2005 s. 32.]</w:t>
      </w:r>
    </w:p>
    <w:p/>
    <w:p>
      <w:pPr>
        <w:sectPr>
          <w:headerReference w:type="even" r:id="rId24"/>
          <w:headerReference w:type="default" r:id="rId25"/>
          <w:headerReference w:type="first" r:id="rId26"/>
          <w:pgSz w:w="11907" w:h="16840" w:code="9"/>
          <w:pgMar w:top="2376" w:right="2405" w:bottom="3542" w:left="2405" w:header="706" w:footer="3380" w:gutter="0"/>
          <w:cols w:space="720"/>
          <w:noEndnote/>
          <w:docGrid w:linePitch="326"/>
        </w:sectPr>
      </w:pPr>
    </w:p>
    <w:p>
      <w:pPr>
        <w:pStyle w:val="nHeading2"/>
      </w:pPr>
      <w:bookmarkStart w:id="217" w:name="_Toc33609771"/>
      <w:bookmarkStart w:id="218" w:name="_Toc33609963"/>
      <w:r>
        <w:t>Notes</w:t>
      </w:r>
      <w:bookmarkEnd w:id="217"/>
      <w:bookmarkEnd w:id="218"/>
    </w:p>
    <w:p>
      <w:pPr>
        <w:pStyle w:val="nStatement"/>
      </w:pPr>
      <w:r>
        <w:t xml:space="preserve">This is a compilation of the </w:t>
      </w:r>
      <w:r>
        <w:rPr>
          <w:i/>
          <w:noProof/>
        </w:rPr>
        <w:t>Petroleum Pipelines Act 1969</w:t>
      </w:r>
      <w:r>
        <w:t xml:space="preserve"> and includes amendments made by other written laws </w:t>
      </w:r>
      <w:r>
        <w:rPr>
          <w:snapToGrid w:val="0"/>
          <w:vertAlign w:val="superscript"/>
        </w:rPr>
        <w:t>8, 9, 10, 16</w:t>
      </w:r>
      <w:r>
        <w:t>. For provisions that have come into operation, and for information about any reprints, see the compilation table. For provisions that have not yet come into operation see the uncommenced provisions table.</w:t>
      </w:r>
    </w:p>
    <w:p>
      <w:pPr>
        <w:pStyle w:val="nHeading3"/>
      </w:pPr>
      <w:bookmarkStart w:id="219" w:name="_Toc33609964"/>
      <w:r>
        <w:t>Compilation table</w:t>
      </w:r>
      <w:bookmarkEnd w:id="219"/>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7"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4" w:type="dxa"/>
          </w:tcPr>
          <w:p>
            <w:pPr>
              <w:pStyle w:val="nTable"/>
              <w:spacing w:after="40"/>
              <w:ind w:right="113"/>
            </w:pPr>
            <w:r>
              <w:rPr>
                <w:i/>
              </w:rPr>
              <w:t>Petroleum Pipelines Act 1969</w:t>
            </w:r>
          </w:p>
        </w:tc>
        <w:tc>
          <w:tcPr>
            <w:tcW w:w="1134" w:type="dxa"/>
          </w:tcPr>
          <w:p>
            <w:pPr>
              <w:pStyle w:val="nTable"/>
              <w:spacing w:after="40"/>
            </w:pPr>
            <w:r>
              <w:t>112 of 1969</w:t>
            </w:r>
          </w:p>
        </w:tc>
        <w:tc>
          <w:tcPr>
            <w:tcW w:w="1137" w:type="dxa"/>
          </w:tcPr>
          <w:p>
            <w:pPr>
              <w:pStyle w:val="nTable"/>
              <w:spacing w:after="40"/>
            </w:pPr>
            <w:r>
              <w:t>28 Nov 1969</w:t>
            </w:r>
          </w:p>
        </w:tc>
        <w:tc>
          <w:tcPr>
            <w:tcW w:w="2552" w:type="dxa"/>
          </w:tcPr>
          <w:p>
            <w:pPr>
              <w:pStyle w:val="nTable"/>
              <w:spacing w:after="40"/>
            </w:pPr>
            <w:r>
              <w:t xml:space="preserve">12 Dec 1969 (see s. 2 and </w:t>
            </w:r>
            <w:r>
              <w:rPr>
                <w:i/>
              </w:rPr>
              <w:t>Gazette</w:t>
            </w:r>
            <w:r>
              <w:t xml:space="preserve"> 12 Dec 1969 p. 4002)</w:t>
            </w:r>
          </w:p>
        </w:tc>
      </w:tr>
      <w:tr>
        <w:trPr>
          <w:cantSplit/>
        </w:trPr>
        <w:tc>
          <w:tcPr>
            <w:tcW w:w="2264" w:type="dxa"/>
          </w:tcPr>
          <w:p>
            <w:pPr>
              <w:pStyle w:val="nTable"/>
              <w:spacing w:after="40"/>
              <w:ind w:right="113"/>
            </w:pPr>
            <w:r>
              <w:rPr>
                <w:i/>
              </w:rPr>
              <w:t>Petroleum Pipelines Act Amendment Act 1970</w:t>
            </w:r>
          </w:p>
        </w:tc>
        <w:tc>
          <w:tcPr>
            <w:tcW w:w="1134" w:type="dxa"/>
          </w:tcPr>
          <w:p>
            <w:pPr>
              <w:pStyle w:val="nTable"/>
              <w:spacing w:after="40"/>
            </w:pPr>
            <w:r>
              <w:t>42 of 1970</w:t>
            </w:r>
          </w:p>
        </w:tc>
        <w:tc>
          <w:tcPr>
            <w:tcW w:w="1137" w:type="dxa"/>
          </w:tcPr>
          <w:p>
            <w:pPr>
              <w:pStyle w:val="nTable"/>
              <w:spacing w:after="40"/>
            </w:pPr>
            <w:r>
              <w:t>23 Sep 1970</w:t>
            </w:r>
          </w:p>
        </w:tc>
        <w:tc>
          <w:tcPr>
            <w:tcW w:w="2552" w:type="dxa"/>
          </w:tcPr>
          <w:p>
            <w:pPr>
              <w:pStyle w:val="nTable"/>
              <w:spacing w:after="40"/>
            </w:pPr>
            <w:r>
              <w:t>23 Sep 1970</w:t>
            </w:r>
          </w:p>
        </w:tc>
      </w:tr>
      <w:tr>
        <w:trPr>
          <w:cantSplit/>
        </w:trPr>
        <w:tc>
          <w:tcPr>
            <w:tcW w:w="2264" w:type="dxa"/>
          </w:tcPr>
          <w:p>
            <w:pPr>
              <w:pStyle w:val="nTable"/>
              <w:spacing w:after="40"/>
              <w:ind w:right="113"/>
            </w:pPr>
            <w:r>
              <w:rPr>
                <w:i/>
              </w:rPr>
              <w:t>Metric Conversion Act 1972</w:t>
            </w:r>
          </w:p>
        </w:tc>
        <w:tc>
          <w:tcPr>
            <w:tcW w:w="1134" w:type="dxa"/>
          </w:tcPr>
          <w:p>
            <w:pPr>
              <w:pStyle w:val="nTable"/>
              <w:spacing w:after="40"/>
            </w:pPr>
            <w:r>
              <w:t>94 of 1972 (as amended by No. 42 of 1975 s. 3)</w:t>
            </w:r>
          </w:p>
        </w:tc>
        <w:tc>
          <w:tcPr>
            <w:tcW w:w="1137" w:type="dxa"/>
          </w:tcPr>
          <w:p>
            <w:pPr>
              <w:pStyle w:val="nTable"/>
              <w:spacing w:after="40"/>
            </w:pPr>
            <w:r>
              <w:t>4 Dec 1972</w:t>
            </w:r>
          </w:p>
        </w:tc>
        <w:tc>
          <w:tcPr>
            <w:tcW w:w="2552" w:type="dxa"/>
          </w:tcPr>
          <w:p>
            <w:pPr>
              <w:pStyle w:val="nTable"/>
              <w:spacing w:after="40"/>
            </w:pPr>
            <w:r>
              <w:t>Relevant amendments (see Fourth Sch.</w:t>
            </w:r>
            <w:r>
              <w:rPr>
                <w:vertAlign w:val="superscript"/>
              </w:rPr>
              <w:t>11</w:t>
            </w:r>
            <w:r>
              <w:t xml:space="preserve">) took effect on 28 Nov 1975 (see s. 4(2) and </w:t>
            </w:r>
            <w:r>
              <w:rPr>
                <w:i/>
              </w:rPr>
              <w:t>Gazette</w:t>
            </w:r>
            <w:r>
              <w:t xml:space="preserve"> 28 Nov 1975 p. 4352)</w:t>
            </w:r>
          </w:p>
        </w:tc>
      </w:tr>
      <w:tr>
        <w:trPr>
          <w:cantSplit/>
        </w:trPr>
        <w:tc>
          <w:tcPr>
            <w:tcW w:w="2264" w:type="dxa"/>
          </w:tcPr>
          <w:p>
            <w:pPr>
              <w:pStyle w:val="nTable"/>
              <w:spacing w:after="40"/>
              <w:ind w:right="113"/>
            </w:pPr>
            <w:r>
              <w:rPr>
                <w:i/>
              </w:rPr>
              <w:t>Petroleum Pipelines Amendment Act 1983</w:t>
            </w:r>
          </w:p>
        </w:tc>
        <w:tc>
          <w:tcPr>
            <w:tcW w:w="1134" w:type="dxa"/>
          </w:tcPr>
          <w:p>
            <w:pPr>
              <w:pStyle w:val="nTable"/>
              <w:spacing w:after="40"/>
            </w:pPr>
            <w:r>
              <w:t>10 of 1983</w:t>
            </w:r>
          </w:p>
        </w:tc>
        <w:tc>
          <w:tcPr>
            <w:tcW w:w="1137" w:type="dxa"/>
          </w:tcPr>
          <w:p>
            <w:pPr>
              <w:pStyle w:val="nTable"/>
              <w:spacing w:after="40"/>
            </w:pPr>
            <w:r>
              <w:t>7 Oct 1983</w:t>
            </w:r>
          </w:p>
        </w:tc>
        <w:tc>
          <w:tcPr>
            <w:tcW w:w="2552" w:type="dxa"/>
          </w:tcPr>
          <w:p>
            <w:pPr>
              <w:pStyle w:val="nTable"/>
              <w:spacing w:after="40"/>
            </w:pPr>
            <w:r>
              <w:t xml:space="preserve">11 Nov 1983 (see s. 2 and </w:t>
            </w:r>
            <w:r>
              <w:rPr>
                <w:i/>
              </w:rPr>
              <w:t>Gazette</w:t>
            </w:r>
            <w:r>
              <w:t xml:space="preserve"> 11 Nov 1983 p. 4503)</w:t>
            </w:r>
          </w:p>
        </w:tc>
      </w:tr>
      <w:tr>
        <w:trPr>
          <w:cantSplit/>
        </w:trPr>
        <w:tc>
          <w:tcPr>
            <w:tcW w:w="2264" w:type="dxa"/>
          </w:tcPr>
          <w:p>
            <w:pPr>
              <w:pStyle w:val="nTable"/>
              <w:spacing w:after="40"/>
              <w:ind w:right="113"/>
              <w:rPr>
                <w:vertAlign w:val="superscript"/>
              </w:rPr>
            </w:pPr>
            <w:r>
              <w:rPr>
                <w:i/>
              </w:rPr>
              <w:t xml:space="preserve">Acts Amendment (Petroleum) Act 1990 </w:t>
            </w:r>
            <w:r>
              <w:rPr>
                <w:iCs/>
              </w:rPr>
              <w:t>Pt. III</w:t>
            </w:r>
            <w:r>
              <w:rPr>
                <w:iCs/>
                <w:vertAlign w:val="superscript"/>
              </w:rPr>
              <w:t> 2, 4, 5, 12</w:t>
            </w:r>
          </w:p>
        </w:tc>
        <w:tc>
          <w:tcPr>
            <w:tcW w:w="1134" w:type="dxa"/>
          </w:tcPr>
          <w:p>
            <w:pPr>
              <w:pStyle w:val="nTable"/>
              <w:spacing w:after="40"/>
            </w:pPr>
            <w:r>
              <w:t>12 of 1990</w:t>
            </w:r>
          </w:p>
        </w:tc>
        <w:tc>
          <w:tcPr>
            <w:tcW w:w="1137" w:type="dxa"/>
          </w:tcPr>
          <w:p>
            <w:pPr>
              <w:pStyle w:val="nTable"/>
              <w:spacing w:after="40"/>
            </w:pPr>
            <w:r>
              <w:t>31 Jul 1990</w:t>
            </w:r>
          </w:p>
        </w:tc>
        <w:tc>
          <w:tcPr>
            <w:tcW w:w="2552" w:type="dxa"/>
          </w:tcPr>
          <w:p>
            <w:pPr>
              <w:pStyle w:val="nTable"/>
              <w:spacing w:after="40"/>
            </w:pPr>
            <w:r>
              <w:t>s. 132: 12 Dec 1969 (see s. 2(2));</w:t>
            </w:r>
            <w:r>
              <w:br/>
              <w:t>s. 120</w:t>
            </w:r>
            <w:r>
              <w:noBreakHyphen/>
              <w:t>131 and 133</w:t>
            </w:r>
            <w:r>
              <w:noBreakHyphen/>
              <w:t xml:space="preserve">158: 1 Oct 1990 (see s. 2(1) and </w:t>
            </w:r>
            <w:r>
              <w:rPr>
                <w:i/>
              </w:rPr>
              <w:t>Gazette</w:t>
            </w:r>
            <w:r>
              <w:t xml:space="preserve"> 28 Sep 1990 p. 5099)</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19 Feb 1992</w:t>
            </w:r>
            <w:r>
              <w:t xml:space="preserve"> (includes amendments listed above)</w:t>
            </w:r>
          </w:p>
        </w:tc>
      </w:tr>
      <w:tr>
        <w:trPr>
          <w:cantSplit/>
        </w:trPr>
        <w:tc>
          <w:tcPr>
            <w:tcW w:w="2264" w:type="dxa"/>
          </w:tcPr>
          <w:p>
            <w:pPr>
              <w:pStyle w:val="nTable"/>
              <w:spacing w:after="40"/>
              <w:ind w:right="113"/>
            </w:pPr>
            <w:r>
              <w:rPr>
                <w:i/>
              </w:rPr>
              <w:t>Land (Titles and Traditional Usage) Act 1993</w:t>
            </w:r>
            <w:r>
              <w:t xml:space="preserve"> s. 45</w:t>
            </w:r>
          </w:p>
        </w:tc>
        <w:tc>
          <w:tcPr>
            <w:tcW w:w="1134" w:type="dxa"/>
          </w:tcPr>
          <w:p>
            <w:pPr>
              <w:pStyle w:val="nTable"/>
              <w:keepNext/>
              <w:spacing w:after="40"/>
            </w:pPr>
            <w:r>
              <w:t>21 of 1993</w:t>
            </w:r>
          </w:p>
        </w:tc>
        <w:tc>
          <w:tcPr>
            <w:tcW w:w="1137" w:type="dxa"/>
          </w:tcPr>
          <w:p>
            <w:pPr>
              <w:pStyle w:val="nTable"/>
              <w:keepNext/>
              <w:spacing w:after="40"/>
            </w:pPr>
            <w:r>
              <w:t>2 Dec 1993</w:t>
            </w:r>
          </w:p>
        </w:tc>
        <w:tc>
          <w:tcPr>
            <w:tcW w:w="2552" w:type="dxa"/>
          </w:tcPr>
          <w:p>
            <w:pPr>
              <w:pStyle w:val="nTable"/>
              <w:keepNext/>
              <w:spacing w:after="40"/>
            </w:pPr>
            <w:r>
              <w:t>2 Dec 1993 (see s. 2)</w:t>
            </w:r>
          </w:p>
        </w:tc>
      </w:tr>
      <w:tr>
        <w:trPr>
          <w:cantSplit/>
        </w:trPr>
        <w:tc>
          <w:tcPr>
            <w:tcW w:w="2264" w:type="dxa"/>
          </w:tcPr>
          <w:p>
            <w:pPr>
              <w:pStyle w:val="nTable"/>
              <w:spacing w:after="40"/>
              <w:ind w:right="113"/>
            </w:pPr>
            <w:r>
              <w:rPr>
                <w:i/>
              </w:rPr>
              <w:t>Acts Amendment (Petroleum) Act 1994</w:t>
            </w:r>
            <w:r>
              <w:t xml:space="preserve"> Pt. 4</w:t>
            </w:r>
          </w:p>
        </w:tc>
        <w:tc>
          <w:tcPr>
            <w:tcW w:w="1134" w:type="dxa"/>
          </w:tcPr>
          <w:p>
            <w:pPr>
              <w:pStyle w:val="nTable"/>
              <w:spacing w:after="40"/>
            </w:pPr>
            <w:r>
              <w:t>28 of 1994</w:t>
            </w:r>
          </w:p>
        </w:tc>
        <w:tc>
          <w:tcPr>
            <w:tcW w:w="1137" w:type="dxa"/>
          </w:tcPr>
          <w:p>
            <w:pPr>
              <w:pStyle w:val="nTable"/>
              <w:spacing w:after="40"/>
            </w:pPr>
            <w:r>
              <w:t>29 Jun 1994</w:t>
            </w:r>
          </w:p>
        </w:tc>
        <w:tc>
          <w:tcPr>
            <w:tcW w:w="2552" w:type="dxa"/>
          </w:tcPr>
          <w:p>
            <w:pPr>
              <w:pStyle w:val="nTable"/>
              <w:spacing w:after="40"/>
            </w:pPr>
            <w:r>
              <w:t xml:space="preserve">22 Jul 1994 (see s. 2 and </w:t>
            </w:r>
            <w:r>
              <w:rPr>
                <w:i/>
              </w:rPr>
              <w:t>Gazette</w:t>
            </w:r>
            <w:r>
              <w:t xml:space="preserve"> 22 Jul 1994 p. 3728)</w:t>
            </w:r>
          </w:p>
        </w:tc>
      </w:tr>
      <w:tr>
        <w:trPr>
          <w:cantSplit/>
        </w:trPr>
        <w:tc>
          <w:tcPr>
            <w:tcW w:w="2264"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7" w:type="dxa"/>
          </w:tcPr>
          <w:p>
            <w:pPr>
              <w:pStyle w:val="nTable"/>
              <w:spacing w:after="40"/>
            </w:pPr>
            <w:r>
              <w:t>9 Dec 1994</w:t>
            </w:r>
          </w:p>
        </w:tc>
        <w:tc>
          <w:tcPr>
            <w:tcW w:w="2552" w:type="dxa"/>
          </w:tcPr>
          <w:p>
            <w:pPr>
              <w:pStyle w:val="nTable"/>
              <w:spacing w:after="40"/>
            </w:pPr>
            <w:r>
              <w:t>9 Dec 1994 (see s. 2)</w:t>
            </w:r>
          </w:p>
        </w:tc>
      </w:tr>
      <w:tr>
        <w:trPr>
          <w:cantSplit/>
        </w:trPr>
        <w:tc>
          <w:tcPr>
            <w:tcW w:w="2264" w:type="dxa"/>
          </w:tcPr>
          <w:p>
            <w:pPr>
              <w:pStyle w:val="nTable"/>
              <w:spacing w:after="40"/>
              <w:ind w:right="113"/>
            </w:pPr>
            <w:r>
              <w:rPr>
                <w:i/>
              </w:rPr>
              <w:t xml:space="preserve">Acts Amendment and Repeal (Native Title) Act 1995 </w:t>
            </w:r>
            <w:r>
              <w:t>Pt. 9</w:t>
            </w:r>
          </w:p>
        </w:tc>
        <w:tc>
          <w:tcPr>
            <w:tcW w:w="1134" w:type="dxa"/>
          </w:tcPr>
          <w:p>
            <w:pPr>
              <w:pStyle w:val="nTable"/>
              <w:spacing w:after="40"/>
            </w:pPr>
            <w:r>
              <w:t>52 of 1995</w:t>
            </w:r>
          </w:p>
        </w:tc>
        <w:tc>
          <w:tcPr>
            <w:tcW w:w="1137" w:type="dxa"/>
          </w:tcPr>
          <w:p>
            <w:pPr>
              <w:pStyle w:val="nTable"/>
              <w:spacing w:after="40"/>
            </w:pPr>
            <w:r>
              <w:t>24 Nov 1995</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4" w:type="dxa"/>
          </w:tcPr>
          <w:p>
            <w:pPr>
              <w:pStyle w:val="nTable"/>
              <w:spacing w:after="40"/>
              <w:ind w:right="113"/>
            </w:pPr>
            <w:r>
              <w:rPr>
                <w:i/>
              </w:rPr>
              <w:t xml:space="preserve">Local Government (Consequential Amendments) Act 1996 </w:t>
            </w:r>
            <w:r>
              <w:t>s. 4</w:t>
            </w:r>
          </w:p>
        </w:tc>
        <w:tc>
          <w:tcPr>
            <w:tcW w:w="1134" w:type="dxa"/>
          </w:tcPr>
          <w:p>
            <w:pPr>
              <w:pStyle w:val="nTable"/>
              <w:spacing w:after="40"/>
            </w:pPr>
            <w:r>
              <w:t>14 of 1996</w:t>
            </w:r>
          </w:p>
        </w:tc>
        <w:tc>
          <w:tcPr>
            <w:tcW w:w="1137" w:type="dxa"/>
          </w:tcPr>
          <w:p>
            <w:pPr>
              <w:pStyle w:val="nTable"/>
              <w:spacing w:after="40"/>
            </w:pPr>
            <w:r>
              <w:t>28 Jun 1996</w:t>
            </w:r>
          </w:p>
        </w:tc>
        <w:tc>
          <w:tcPr>
            <w:tcW w:w="2552" w:type="dxa"/>
          </w:tcPr>
          <w:p>
            <w:pPr>
              <w:pStyle w:val="nTable"/>
              <w:spacing w:after="40"/>
            </w:pPr>
            <w:r>
              <w:t>1 Jul 1996 (see s. 2)</w:t>
            </w:r>
          </w:p>
        </w:tc>
      </w:tr>
      <w:tr>
        <w:trPr>
          <w:cantSplit/>
        </w:trPr>
        <w:tc>
          <w:tcPr>
            <w:tcW w:w="2264" w:type="dxa"/>
          </w:tcPr>
          <w:p>
            <w:pPr>
              <w:pStyle w:val="nTable"/>
              <w:spacing w:after="40"/>
              <w:ind w:right="113"/>
            </w:pPr>
            <w:r>
              <w:rPr>
                <w:i/>
              </w:rPr>
              <w:t>Acts Amendment (Land Administration) Act 1997</w:t>
            </w:r>
            <w:r>
              <w:t xml:space="preserve"> Pt. 50 and s. 141 and 142</w:t>
            </w:r>
          </w:p>
        </w:tc>
        <w:tc>
          <w:tcPr>
            <w:tcW w:w="1134" w:type="dxa"/>
          </w:tcPr>
          <w:p>
            <w:pPr>
              <w:pStyle w:val="nTable"/>
              <w:spacing w:after="40"/>
            </w:pPr>
            <w:r>
              <w:t>31 of 1997</w:t>
            </w:r>
          </w:p>
        </w:tc>
        <w:tc>
          <w:tcPr>
            <w:tcW w:w="1137" w:type="dxa"/>
          </w:tcPr>
          <w:p>
            <w:pPr>
              <w:pStyle w:val="nTable"/>
              <w:spacing w:after="40"/>
            </w:pPr>
            <w:r>
              <w:t>3 Oct 1997</w:t>
            </w:r>
          </w:p>
        </w:tc>
        <w:tc>
          <w:tcPr>
            <w:tcW w:w="2552" w:type="dxa"/>
          </w:tcPr>
          <w:p>
            <w:pPr>
              <w:pStyle w:val="nTable"/>
              <w:spacing w:after="40"/>
            </w:pPr>
            <w:r>
              <w:t xml:space="preserve">30 Mar 1998 (see s. 2 and </w:t>
            </w:r>
            <w:r>
              <w:rPr>
                <w:i/>
              </w:rPr>
              <w:t>Gazette</w:t>
            </w:r>
            <w:r>
              <w:t xml:space="preserve"> 27 Mar 1998 p. 1765)</w:t>
            </w:r>
          </w:p>
        </w:tc>
      </w:tr>
      <w:tr>
        <w:trPr>
          <w:cantSplit/>
        </w:trPr>
        <w:tc>
          <w:tcPr>
            <w:tcW w:w="2264" w:type="dxa"/>
          </w:tcPr>
          <w:p>
            <w:pPr>
              <w:pStyle w:val="nTable"/>
              <w:spacing w:after="40"/>
              <w:ind w:right="113"/>
            </w:pPr>
            <w:r>
              <w:rPr>
                <w:i/>
              </w:rPr>
              <w:t>Gas Pipelines Access (Western Australia) Act 1998</w:t>
            </w:r>
            <w:r>
              <w:t xml:space="preserve"> Sch. 3 Div. 9</w:t>
            </w:r>
          </w:p>
        </w:tc>
        <w:tc>
          <w:tcPr>
            <w:tcW w:w="1134" w:type="dxa"/>
          </w:tcPr>
          <w:p>
            <w:pPr>
              <w:pStyle w:val="nTable"/>
              <w:spacing w:after="40"/>
            </w:pPr>
            <w:r>
              <w:t>65 of 1998</w:t>
            </w:r>
          </w:p>
        </w:tc>
        <w:tc>
          <w:tcPr>
            <w:tcW w:w="1137"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4" w:type="dxa"/>
          </w:tcPr>
          <w:p>
            <w:pPr>
              <w:pStyle w:val="nTable"/>
              <w:spacing w:after="40"/>
              <w:ind w:right="113"/>
            </w:pPr>
            <w:r>
              <w:rPr>
                <w:i/>
              </w:rPr>
              <w:t xml:space="preserve">Energy Coordination Amendment Act 1999 </w:t>
            </w:r>
            <w:r>
              <w:t>s. 10(5)</w:t>
            </w:r>
          </w:p>
        </w:tc>
        <w:tc>
          <w:tcPr>
            <w:tcW w:w="1134" w:type="dxa"/>
          </w:tcPr>
          <w:p>
            <w:pPr>
              <w:pStyle w:val="nTable"/>
              <w:spacing w:after="40"/>
            </w:pPr>
            <w:r>
              <w:t>20 of 1999</w:t>
            </w:r>
          </w:p>
        </w:tc>
        <w:tc>
          <w:tcPr>
            <w:tcW w:w="1137" w:type="dxa"/>
          </w:tcPr>
          <w:p>
            <w:pPr>
              <w:pStyle w:val="nTable"/>
              <w:spacing w:after="40"/>
            </w:pPr>
            <w:r>
              <w:t>24 Jun 1999</w:t>
            </w:r>
          </w:p>
        </w:tc>
        <w:tc>
          <w:tcPr>
            <w:tcW w:w="2552" w:type="dxa"/>
          </w:tcPr>
          <w:p>
            <w:pPr>
              <w:pStyle w:val="nTable"/>
              <w:spacing w:after="40"/>
            </w:pPr>
            <w:r>
              <w:t xml:space="preserve">16 Oct 1999 (see s. 2 and </w:t>
            </w:r>
            <w:r>
              <w:rPr>
                <w:i/>
              </w:rPr>
              <w:t>Gazette</w:t>
            </w:r>
            <w:r>
              <w:t xml:space="preserve"> 15 Oct 1999 p. 4865)</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12 May 2000</w:t>
            </w:r>
            <w:r>
              <w:t xml:space="preserve"> (includes amendments listed above)</w:t>
            </w:r>
          </w:p>
        </w:tc>
      </w:tr>
      <w:tr>
        <w:trPr>
          <w:cantSplit/>
        </w:trPr>
        <w:tc>
          <w:tcPr>
            <w:tcW w:w="2264" w:type="dxa"/>
          </w:tcPr>
          <w:p>
            <w:pPr>
              <w:pStyle w:val="nTable"/>
              <w:spacing w:after="40"/>
              <w:ind w:right="113"/>
              <w:rPr>
                <w:i/>
              </w:rPr>
            </w:pPr>
            <w:r>
              <w:rPr>
                <w:i/>
              </w:rPr>
              <w:t>Corporations (Consequential Amendments) Act (No. 2) 2003</w:t>
            </w:r>
            <w:r>
              <w:t xml:space="preserve"> Pt. 16</w:t>
            </w:r>
          </w:p>
        </w:tc>
        <w:tc>
          <w:tcPr>
            <w:tcW w:w="1134" w:type="dxa"/>
          </w:tcPr>
          <w:p>
            <w:pPr>
              <w:pStyle w:val="nTable"/>
              <w:spacing w:after="40"/>
            </w:pPr>
            <w:r>
              <w:t>20 of 2003</w:t>
            </w:r>
          </w:p>
        </w:tc>
        <w:tc>
          <w:tcPr>
            <w:tcW w:w="1137" w:type="dxa"/>
          </w:tcPr>
          <w:p>
            <w:pPr>
              <w:pStyle w:val="nTable"/>
              <w:spacing w:after="40"/>
            </w:pPr>
            <w:r>
              <w:t>23 Apr 2003</w:t>
            </w:r>
          </w:p>
        </w:tc>
        <w:tc>
          <w:tcPr>
            <w:tcW w:w="2552" w:type="dxa"/>
          </w:tcPr>
          <w:p>
            <w:pPr>
              <w:pStyle w:val="nTable"/>
              <w:spacing w:after="40"/>
            </w:pPr>
            <w:r>
              <w:t xml:space="preserve">15 Jul 2001 (see s. 2(1) and Cwlth </w:t>
            </w:r>
            <w:r>
              <w:rPr>
                <w:i/>
              </w:rPr>
              <w:t>Gazette</w:t>
            </w:r>
            <w:r>
              <w:t xml:space="preserve"> 13 Jul 2001 No. S285)</w:t>
            </w:r>
          </w:p>
        </w:tc>
      </w:tr>
      <w:tr>
        <w:trPr>
          <w:cantSplit/>
        </w:trPr>
        <w:tc>
          <w:tcPr>
            <w:tcW w:w="2264" w:type="dxa"/>
          </w:tcPr>
          <w:p>
            <w:pPr>
              <w:pStyle w:val="nTable"/>
              <w:spacing w:after="40"/>
              <w:ind w:right="113"/>
              <w:rPr>
                <w:i/>
              </w:rPr>
            </w:pPr>
            <w:r>
              <w:rPr>
                <w:i/>
              </w:rPr>
              <w:t>Criminal Code Amendment Act 2004</w:t>
            </w:r>
            <w:r>
              <w:t xml:space="preserve"> s. 58</w:t>
            </w:r>
          </w:p>
        </w:tc>
        <w:tc>
          <w:tcPr>
            <w:tcW w:w="1134" w:type="dxa"/>
          </w:tcPr>
          <w:p>
            <w:pPr>
              <w:pStyle w:val="nTable"/>
              <w:spacing w:after="40"/>
            </w:pPr>
            <w:r>
              <w:t>4 of 2004</w:t>
            </w:r>
          </w:p>
        </w:tc>
        <w:tc>
          <w:tcPr>
            <w:tcW w:w="1137" w:type="dxa"/>
          </w:tcPr>
          <w:p>
            <w:pPr>
              <w:pStyle w:val="nTable"/>
              <w:spacing w:after="40"/>
            </w:pPr>
            <w:r>
              <w:t>23 Apr 2004</w:t>
            </w:r>
          </w:p>
        </w:tc>
        <w:tc>
          <w:tcPr>
            <w:tcW w:w="2552" w:type="dxa"/>
          </w:tcPr>
          <w:p>
            <w:pPr>
              <w:pStyle w:val="nTable"/>
              <w:spacing w:after="40"/>
            </w:pPr>
            <w:r>
              <w:t>21 May 2004 (see s. 2)</w:t>
            </w:r>
          </w:p>
        </w:tc>
      </w:tr>
      <w:tr>
        <w:trPr>
          <w:cantSplit/>
        </w:trPr>
        <w:tc>
          <w:tcPr>
            <w:tcW w:w="2264" w:type="dxa"/>
          </w:tcPr>
          <w:p>
            <w:pPr>
              <w:pStyle w:val="nTable"/>
              <w:spacing w:after="40"/>
              <w:ind w:right="113"/>
              <w:rPr>
                <w:i/>
              </w:rPr>
            </w:pPr>
            <w:r>
              <w:rPr>
                <w:bCs/>
                <w:i/>
                <w:iCs/>
              </w:rPr>
              <w:t>Dangerous Goods Safety Act 2004</w:t>
            </w:r>
            <w:r>
              <w:rPr>
                <w:bCs/>
                <w:i/>
              </w:rPr>
              <w:t xml:space="preserve"> </w:t>
            </w:r>
            <w:r>
              <w:rPr>
                <w:bCs/>
                <w:iCs/>
              </w:rPr>
              <w:t>s. 70</w:t>
            </w:r>
          </w:p>
        </w:tc>
        <w:tc>
          <w:tcPr>
            <w:tcW w:w="1134" w:type="dxa"/>
          </w:tcPr>
          <w:p>
            <w:pPr>
              <w:pStyle w:val="nTable"/>
              <w:spacing w:after="40"/>
            </w:pPr>
            <w:r>
              <w:rPr>
                <w:bCs/>
              </w:rPr>
              <w:t>7 of 2004</w:t>
            </w:r>
          </w:p>
        </w:tc>
        <w:tc>
          <w:tcPr>
            <w:tcW w:w="1137" w:type="dxa"/>
          </w:tcPr>
          <w:p>
            <w:pPr>
              <w:pStyle w:val="nTable"/>
              <w:spacing w:after="40"/>
            </w:pPr>
            <w:r>
              <w:rPr>
                <w:bCs/>
              </w:rPr>
              <w:t>10 Jun 2004</w:t>
            </w:r>
          </w:p>
        </w:tc>
        <w:tc>
          <w:tcPr>
            <w:tcW w:w="2552" w:type="dxa"/>
          </w:tcPr>
          <w:p>
            <w:pPr>
              <w:pStyle w:val="nTable"/>
              <w:spacing w:after="40"/>
            </w:pPr>
            <w:r>
              <w:rPr>
                <w:bCs/>
              </w:rPr>
              <w:t xml:space="preserve">1 Mar 2008 (see s. 2 and </w:t>
            </w:r>
            <w:r>
              <w:rPr>
                <w:bCs/>
                <w:i/>
                <w:iCs/>
              </w:rPr>
              <w:t>Gazette</w:t>
            </w:r>
            <w:r>
              <w:rPr>
                <w:bCs/>
              </w:rPr>
              <w:t xml:space="preserve"> 29 Feb 2008 p. 669)</w:t>
            </w:r>
          </w:p>
        </w:tc>
      </w:tr>
      <w:tr>
        <w:trPr>
          <w:cantSplit/>
        </w:trPr>
        <w:tc>
          <w:tcPr>
            <w:tcW w:w="2264" w:type="dxa"/>
          </w:tcPr>
          <w:p>
            <w:pPr>
              <w:pStyle w:val="nTable"/>
              <w:spacing w:after="40"/>
              <w:ind w:right="113"/>
              <w:rPr>
                <w:i/>
                <w:vertAlign w:val="superscript"/>
              </w:rPr>
            </w:pPr>
            <w:r>
              <w:rPr>
                <w:i/>
                <w:iCs/>
              </w:rPr>
              <w:t>State Administrative Tribunal (Conferral of Jurisdiction) Amendment and Repeal Act 2004</w:t>
            </w:r>
            <w:r>
              <w:t xml:space="preserve"> Pt. 2 Div. 99</w:t>
            </w:r>
            <w:r>
              <w:rPr>
                <w:vertAlign w:val="superscript"/>
              </w:rPr>
              <w:t> 13</w:t>
            </w:r>
          </w:p>
        </w:tc>
        <w:tc>
          <w:tcPr>
            <w:tcW w:w="1134" w:type="dxa"/>
          </w:tcPr>
          <w:p>
            <w:pPr>
              <w:pStyle w:val="nTable"/>
              <w:spacing w:after="40"/>
            </w:pPr>
            <w:r>
              <w:t>55 of 2004</w:t>
            </w:r>
          </w:p>
        </w:tc>
        <w:tc>
          <w:tcPr>
            <w:tcW w:w="1137" w:type="dxa"/>
          </w:tcPr>
          <w:p>
            <w:pPr>
              <w:pStyle w:val="nTable"/>
              <w:spacing w:after="40"/>
            </w:pPr>
            <w:r>
              <w:t>24 Nov 2004</w:t>
            </w:r>
          </w:p>
        </w:tc>
        <w:tc>
          <w:tcPr>
            <w:tcW w:w="2552" w:type="dxa"/>
          </w:tcPr>
          <w:p>
            <w:pPr>
              <w:pStyle w:val="nTable"/>
              <w:spacing w:after="40"/>
            </w:pPr>
            <w:r>
              <w:t xml:space="preserve">1 Jan 2005 (see s. 2 and </w:t>
            </w:r>
            <w:r>
              <w:rPr>
                <w:i/>
                <w:iCs/>
              </w:rPr>
              <w:t>Gazette</w:t>
            </w:r>
            <w:r>
              <w:t xml:space="preserve"> 31 Dec 2004 p. 7130)</w:t>
            </w:r>
          </w:p>
        </w:tc>
      </w:tr>
      <w:tr>
        <w:trPr>
          <w:cantSplit/>
        </w:trPr>
        <w:tc>
          <w:tcPr>
            <w:tcW w:w="2264" w:type="dxa"/>
          </w:tcPr>
          <w:p>
            <w:pPr>
              <w:pStyle w:val="nTable"/>
              <w:spacing w:after="40"/>
              <w:ind w:right="113"/>
              <w:rPr>
                <w:i/>
                <w:iCs/>
              </w:rPr>
            </w:pPr>
            <w:r>
              <w:rPr>
                <w:i/>
                <w:snapToGrid w:val="0"/>
              </w:rPr>
              <w:t>Petroleum Legislation Amendment and Repeal Act 2005</w:t>
            </w:r>
            <w:r>
              <w:rPr>
                <w:iCs/>
                <w:snapToGrid w:val="0"/>
              </w:rPr>
              <w:t xml:space="preserve"> Pt. 3 (other than s. 29(2))</w:t>
            </w:r>
            <w:r>
              <w:rPr>
                <w:iCs/>
                <w:snapToGrid w:val="0"/>
                <w:vertAlign w:val="superscript"/>
              </w:rPr>
              <w:t> 15</w:t>
            </w:r>
          </w:p>
        </w:tc>
        <w:tc>
          <w:tcPr>
            <w:tcW w:w="1134" w:type="dxa"/>
          </w:tcPr>
          <w:p>
            <w:pPr>
              <w:pStyle w:val="nTable"/>
              <w:spacing w:after="40"/>
            </w:pPr>
            <w:r>
              <w:t>13 of 2005 (as amended by No. 17 of 2014 s. 31)</w:t>
            </w:r>
          </w:p>
        </w:tc>
        <w:tc>
          <w:tcPr>
            <w:tcW w:w="1137" w:type="dxa"/>
          </w:tcPr>
          <w:p>
            <w:pPr>
              <w:pStyle w:val="nTable"/>
              <w:spacing w:after="40"/>
            </w:pPr>
            <w:r>
              <w:t>1 Sep 2005</w:t>
            </w:r>
          </w:p>
        </w:tc>
        <w:tc>
          <w:tcPr>
            <w:tcW w:w="2552" w:type="dxa"/>
          </w:tcPr>
          <w:p>
            <w:pPr>
              <w:pStyle w:val="nTable"/>
              <w:spacing w:after="40"/>
            </w:pPr>
            <w:r>
              <w:rPr>
                <w:snapToGrid w:val="0"/>
                <w:spacing w:val="-2"/>
              </w:rPr>
              <w:t xml:space="preserve">15 May 2010 (see s. 2 and </w:t>
            </w:r>
            <w:r>
              <w:rPr>
                <w:i/>
                <w:iCs/>
                <w:snapToGrid w:val="0"/>
                <w:spacing w:val="-2"/>
              </w:rPr>
              <w:t>Gazette</w:t>
            </w:r>
            <w:r>
              <w:rPr>
                <w:snapToGrid w:val="0"/>
                <w:spacing w:val="-2"/>
              </w:rPr>
              <w:t xml:space="preserve"> 14 May 2010 p. 2015)</w:t>
            </w:r>
          </w:p>
        </w:tc>
      </w:tr>
      <w:tr>
        <w:trPr>
          <w:cantSplit/>
        </w:trPr>
        <w:tc>
          <w:tcPr>
            <w:tcW w:w="2264" w:type="dxa"/>
          </w:tcPr>
          <w:p>
            <w:pPr>
              <w:pStyle w:val="nTable"/>
              <w:spacing w:after="40"/>
              <w:ind w:right="113"/>
              <w:rPr>
                <w:i/>
                <w:iCs/>
              </w:rPr>
            </w:pPr>
            <w:r>
              <w:rPr>
                <w:i/>
                <w:snapToGrid w:val="0"/>
              </w:rPr>
              <w:t xml:space="preserve">Planning and Development (Consequential and Transitional Provisions) Act 2005 </w:t>
            </w:r>
            <w:r>
              <w:rPr>
                <w:iCs/>
                <w:snapToGrid w:val="0"/>
              </w:rPr>
              <w:t>s. 15</w:t>
            </w:r>
          </w:p>
        </w:tc>
        <w:tc>
          <w:tcPr>
            <w:tcW w:w="1134" w:type="dxa"/>
          </w:tcPr>
          <w:p>
            <w:pPr>
              <w:pStyle w:val="nTable"/>
              <w:spacing w:after="40"/>
            </w:pPr>
            <w:r>
              <w:t>38 of 2005</w:t>
            </w:r>
          </w:p>
        </w:tc>
        <w:tc>
          <w:tcPr>
            <w:tcW w:w="1137" w:type="dxa"/>
          </w:tcPr>
          <w:p>
            <w:pPr>
              <w:pStyle w:val="nTable"/>
              <w:spacing w:after="40"/>
            </w:pPr>
            <w:r>
              <w:t>12 Dec 2005</w:t>
            </w:r>
          </w:p>
        </w:tc>
        <w:tc>
          <w:tcPr>
            <w:tcW w:w="2552" w:type="dxa"/>
          </w:tcPr>
          <w:p>
            <w:pPr>
              <w:pStyle w:val="nTable"/>
              <w:spacing w:after="40"/>
            </w:pPr>
            <w:r>
              <w:t xml:space="preserve">9 Apr 2006 (see s. 2(2) and </w:t>
            </w:r>
            <w:r>
              <w:rPr>
                <w:i/>
                <w:iCs/>
              </w:rPr>
              <w:t>Gazette</w:t>
            </w:r>
            <w:r>
              <w:t xml:space="preserve"> 21 Mar 2006 p. 1078)</w:t>
            </w:r>
          </w:p>
        </w:tc>
      </w:tr>
      <w:tr>
        <w:trPr>
          <w:cantSplit/>
        </w:trPr>
        <w:tc>
          <w:tcPr>
            <w:tcW w:w="7087" w:type="dxa"/>
            <w:gridSpan w:val="4"/>
          </w:tcPr>
          <w:p>
            <w:pPr>
              <w:pStyle w:val="nTable"/>
              <w:spacing w:after="40"/>
            </w:pPr>
            <w:r>
              <w:rPr>
                <w:b/>
                <w:bCs/>
              </w:rPr>
              <w:t xml:space="preserve">Reprint 3: The </w:t>
            </w:r>
            <w:r>
              <w:rPr>
                <w:b/>
                <w:bCs/>
                <w:i/>
              </w:rPr>
              <w:t>Petroleum Pipelines Act 1969</w:t>
            </w:r>
            <w:r>
              <w:rPr>
                <w:b/>
                <w:bCs/>
              </w:rPr>
              <w:t xml:space="preserve"> as at 7 Jul 2006</w:t>
            </w:r>
            <w:r>
              <w:t xml:space="preserve"> (includes amendments listed above, except those in the </w:t>
            </w:r>
            <w:r>
              <w:rPr>
                <w:bCs/>
                <w:i/>
                <w:iCs/>
              </w:rPr>
              <w:t>Dangerous Goods Safety Act 2004</w:t>
            </w:r>
            <w:r>
              <w:rPr>
                <w:bCs/>
              </w:rPr>
              <w:t xml:space="preserve"> and the </w:t>
            </w:r>
            <w:r>
              <w:rPr>
                <w:i/>
                <w:snapToGrid w:val="0"/>
              </w:rPr>
              <w:t>Petroleum Legislation Amendment and Repeal Act 2005</w:t>
            </w:r>
            <w:r>
              <w:t>)</w:t>
            </w:r>
          </w:p>
        </w:tc>
      </w:tr>
      <w:tr>
        <w:trPr>
          <w:cantSplit/>
        </w:trPr>
        <w:tc>
          <w:tcPr>
            <w:tcW w:w="2264" w:type="dxa"/>
          </w:tcPr>
          <w:p>
            <w:pPr>
              <w:pStyle w:val="nTable"/>
              <w:spacing w:after="40"/>
              <w:ind w:right="113"/>
              <w:rPr>
                <w:i/>
              </w:rPr>
            </w:pPr>
            <w:r>
              <w:rPr>
                <w:i/>
              </w:rPr>
              <w:t xml:space="preserve">Petroleum Amendment Act 2007 </w:t>
            </w:r>
            <w:r>
              <w:rPr>
                <w:iCs/>
              </w:rPr>
              <w:t>s. 102</w:t>
            </w:r>
          </w:p>
        </w:tc>
        <w:tc>
          <w:tcPr>
            <w:tcW w:w="1134" w:type="dxa"/>
          </w:tcPr>
          <w:p>
            <w:pPr>
              <w:pStyle w:val="nTable"/>
              <w:spacing w:after="40"/>
            </w:pPr>
            <w:r>
              <w:t>35 of 2007</w:t>
            </w:r>
          </w:p>
        </w:tc>
        <w:tc>
          <w:tcPr>
            <w:tcW w:w="1137" w:type="dxa"/>
          </w:tcPr>
          <w:p>
            <w:pPr>
              <w:pStyle w:val="nTable"/>
              <w:spacing w:after="40"/>
            </w:pPr>
            <w:r>
              <w:t>21 Dec 2007</w:t>
            </w:r>
          </w:p>
        </w:tc>
        <w:tc>
          <w:tcPr>
            <w:tcW w:w="2552" w:type="dxa"/>
          </w:tcPr>
          <w:p>
            <w:pPr>
              <w:pStyle w:val="nTable"/>
              <w:spacing w:after="40"/>
              <w:rPr>
                <w:vertAlign w:val="superscript"/>
              </w:rPr>
            </w:pPr>
            <w:r>
              <w:t>15 May 2010 </w:t>
            </w:r>
            <w:r>
              <w:rPr>
                <w:vertAlign w:val="superscript"/>
              </w:rPr>
              <w:t>7</w:t>
            </w:r>
          </w:p>
        </w:tc>
      </w:tr>
      <w:tr>
        <w:trPr>
          <w:cantSplit/>
        </w:trPr>
        <w:tc>
          <w:tcPr>
            <w:tcW w:w="2264" w:type="dxa"/>
          </w:tcPr>
          <w:p>
            <w:pPr>
              <w:pStyle w:val="nTable"/>
              <w:spacing w:after="40"/>
              <w:ind w:right="113"/>
              <w:rPr>
                <w:iCs/>
              </w:rPr>
            </w:pPr>
            <w:r>
              <w:rPr>
                <w:i/>
              </w:rPr>
              <w:t>National Gas Access (WA) Act 2009</w:t>
            </w:r>
            <w:r>
              <w:rPr>
                <w:iCs/>
              </w:rPr>
              <w:t xml:space="preserve"> s. 72</w:t>
            </w:r>
          </w:p>
        </w:tc>
        <w:tc>
          <w:tcPr>
            <w:tcW w:w="1134" w:type="dxa"/>
          </w:tcPr>
          <w:p>
            <w:pPr>
              <w:pStyle w:val="nTable"/>
              <w:spacing w:after="40"/>
            </w:pPr>
            <w:r>
              <w:t>16 of 2009</w:t>
            </w:r>
          </w:p>
        </w:tc>
        <w:tc>
          <w:tcPr>
            <w:tcW w:w="1137" w:type="dxa"/>
          </w:tcPr>
          <w:p>
            <w:pPr>
              <w:pStyle w:val="nTable"/>
              <w:spacing w:after="40"/>
            </w:pPr>
            <w:r>
              <w:t>1 Sep 2009</w:t>
            </w:r>
          </w:p>
        </w:tc>
        <w:tc>
          <w:tcPr>
            <w:tcW w:w="2552" w:type="dxa"/>
          </w:tcPr>
          <w:p>
            <w:pPr>
              <w:pStyle w:val="nTable"/>
              <w:spacing w:after="40"/>
            </w:pPr>
            <w:r>
              <w:t xml:space="preserve">1 Jan 2010 (see s. 2(b) and </w:t>
            </w:r>
            <w:r>
              <w:rPr>
                <w:i/>
                <w:iCs/>
              </w:rPr>
              <w:t>Gazette</w:t>
            </w:r>
            <w:r>
              <w:t xml:space="preserve"> 31 Dec 2009 p. 5327</w:t>
            </w:r>
          </w:p>
        </w:tc>
      </w:tr>
      <w:tr>
        <w:trPr>
          <w:cantSplit/>
        </w:trPr>
        <w:tc>
          <w:tcPr>
            <w:tcW w:w="2264" w:type="dxa"/>
          </w:tcPr>
          <w:p>
            <w:pPr>
              <w:pStyle w:val="nTable"/>
              <w:spacing w:after="40"/>
              <w:rPr>
                <w:iCs/>
                <w:snapToGrid w:val="0"/>
                <w:vertAlign w:val="superscript"/>
              </w:rPr>
            </w:pPr>
            <w:r>
              <w:rPr>
                <w:i/>
                <w:snapToGrid w:val="0"/>
              </w:rPr>
              <w:t>Approvals and Related Reforms (No. 3) (Crown Land) Act 2010</w:t>
            </w:r>
            <w:r>
              <w:rPr>
                <w:iCs/>
                <w:snapToGrid w:val="0"/>
              </w:rPr>
              <w:t xml:space="preserve"> Pt. 7</w:t>
            </w:r>
          </w:p>
        </w:tc>
        <w:tc>
          <w:tcPr>
            <w:tcW w:w="1134" w:type="dxa"/>
          </w:tcPr>
          <w:p>
            <w:pPr>
              <w:pStyle w:val="nTable"/>
              <w:spacing w:after="40"/>
            </w:pPr>
            <w:r>
              <w:t>8 of 2010</w:t>
            </w:r>
          </w:p>
        </w:tc>
        <w:tc>
          <w:tcPr>
            <w:tcW w:w="1137" w:type="dxa"/>
          </w:tcPr>
          <w:p>
            <w:pPr>
              <w:pStyle w:val="nTable"/>
              <w:spacing w:after="40"/>
            </w:pPr>
            <w:r>
              <w:t>3 Jun 2010</w:t>
            </w:r>
          </w:p>
        </w:tc>
        <w:tc>
          <w:tcPr>
            <w:tcW w:w="2552" w:type="dxa"/>
          </w:tcPr>
          <w:p>
            <w:pPr>
              <w:pStyle w:val="nTable"/>
              <w:spacing w:after="40"/>
            </w:pPr>
            <w:r>
              <w:t xml:space="preserve">18 Sep 2010 (see s. 2(b) and </w:t>
            </w:r>
            <w:r>
              <w:rPr>
                <w:i/>
                <w:iCs/>
              </w:rPr>
              <w:t>Gazette</w:t>
            </w:r>
            <w:r>
              <w:t xml:space="preserve"> 17 Sep 2010 p. 4757)</w:t>
            </w:r>
          </w:p>
        </w:tc>
      </w:tr>
      <w:tr>
        <w:trPr>
          <w:cantSplit/>
        </w:trPr>
        <w:tc>
          <w:tcPr>
            <w:tcW w:w="7087" w:type="dxa"/>
            <w:gridSpan w:val="4"/>
          </w:tcPr>
          <w:p>
            <w:pPr>
              <w:pStyle w:val="nTable"/>
              <w:spacing w:after="40"/>
            </w:pPr>
            <w:r>
              <w:rPr>
                <w:b/>
                <w:bCs/>
              </w:rPr>
              <w:t xml:space="preserve">Reprint 4: The </w:t>
            </w:r>
            <w:r>
              <w:rPr>
                <w:b/>
                <w:bCs/>
                <w:i/>
              </w:rPr>
              <w:t>Petroleum Pipelines Act 1969</w:t>
            </w:r>
            <w:r>
              <w:rPr>
                <w:b/>
                <w:bCs/>
              </w:rPr>
              <w:t xml:space="preserve"> as at 1 Oct 2010</w:t>
            </w:r>
            <w:r>
              <w:t xml:space="preserve"> (includes amendments listed above)</w:t>
            </w:r>
          </w:p>
        </w:tc>
      </w:tr>
      <w:tr>
        <w:trPr>
          <w:cantSplit/>
        </w:trPr>
        <w:tc>
          <w:tcPr>
            <w:tcW w:w="2264" w:type="dxa"/>
          </w:tcPr>
          <w:p>
            <w:pPr>
              <w:pStyle w:val="nTable"/>
              <w:spacing w:after="40"/>
              <w:rPr>
                <w:iCs/>
                <w:snapToGrid w:val="0"/>
                <w:vertAlign w:val="superscript"/>
              </w:rPr>
            </w:pPr>
            <w:r>
              <w:rPr>
                <w:i/>
                <w:snapToGrid w:val="0"/>
              </w:rPr>
              <w:t>Petroleum and Energy Legislation Amendment Act 2010</w:t>
            </w:r>
            <w:r>
              <w:rPr>
                <w:snapToGrid w:val="0"/>
              </w:rPr>
              <w:t xml:space="preserve"> Pt. 4</w:t>
            </w:r>
          </w:p>
        </w:tc>
        <w:tc>
          <w:tcPr>
            <w:tcW w:w="1134" w:type="dxa"/>
          </w:tcPr>
          <w:p>
            <w:pPr>
              <w:pStyle w:val="nTable"/>
              <w:spacing w:after="40"/>
            </w:pPr>
            <w:r>
              <w:t>42 of 2010</w:t>
            </w:r>
          </w:p>
        </w:tc>
        <w:tc>
          <w:tcPr>
            <w:tcW w:w="1137" w:type="dxa"/>
          </w:tcPr>
          <w:p>
            <w:pPr>
              <w:pStyle w:val="nTable"/>
              <w:spacing w:after="40"/>
            </w:pPr>
            <w:r>
              <w:t>28 Oct 2010</w:t>
            </w:r>
          </w:p>
        </w:tc>
        <w:tc>
          <w:tcPr>
            <w:tcW w:w="2552" w:type="dxa"/>
          </w:tcPr>
          <w:p>
            <w:pPr>
              <w:pStyle w:val="nTable"/>
              <w:spacing w:after="40"/>
            </w:pPr>
            <w:r>
              <w:t xml:space="preserve">25 May 2011 (see s. 2(b) and </w:t>
            </w:r>
            <w:r>
              <w:rPr>
                <w:i/>
              </w:rPr>
              <w:t>Gazette</w:t>
            </w:r>
            <w:r>
              <w:t xml:space="preserve"> 24 May 2011 p. 1892)</w:t>
            </w:r>
          </w:p>
        </w:tc>
      </w:tr>
      <w:tr>
        <w:trPr>
          <w:cantSplit/>
        </w:trPr>
        <w:tc>
          <w:tcPr>
            <w:tcW w:w="2264" w:type="dxa"/>
          </w:tcPr>
          <w:p>
            <w:pPr>
              <w:pStyle w:val="nTable"/>
              <w:spacing w:after="40"/>
              <w:rPr>
                <w:i/>
                <w:snapToGrid w:val="0"/>
              </w:rPr>
            </w:pPr>
            <w:r>
              <w:rPr>
                <w:i/>
                <w:snapToGrid w:val="0"/>
              </w:rPr>
              <w:t>Personal Property Securities (Consequential Repeals and Amendments) Act 2011</w:t>
            </w:r>
            <w:r>
              <w:rPr>
                <w:snapToGrid w:val="0"/>
              </w:rPr>
              <w:t xml:space="preserve"> Pt. 9 Div. 4</w:t>
            </w:r>
          </w:p>
        </w:tc>
        <w:tc>
          <w:tcPr>
            <w:tcW w:w="1134" w:type="dxa"/>
          </w:tcPr>
          <w:p>
            <w:pPr>
              <w:pStyle w:val="nTable"/>
              <w:spacing w:after="40"/>
            </w:pPr>
            <w:r>
              <w:rPr>
                <w:snapToGrid w:val="0"/>
              </w:rPr>
              <w:t>42 of 2011</w:t>
            </w:r>
          </w:p>
        </w:tc>
        <w:tc>
          <w:tcPr>
            <w:tcW w:w="1137" w:type="dxa"/>
          </w:tcPr>
          <w:p>
            <w:pPr>
              <w:pStyle w:val="nTable"/>
              <w:spacing w:after="40"/>
            </w:pPr>
            <w:r>
              <w:t>4 Oct 2011</w:t>
            </w:r>
          </w:p>
        </w:tc>
        <w:tc>
          <w:tcPr>
            <w:tcW w:w="2552" w:type="dxa"/>
          </w:tcPr>
          <w:p>
            <w:pPr>
              <w:pStyle w:val="nTable"/>
              <w:spacing w:after="40"/>
            </w:pPr>
            <w:r>
              <w:rPr>
                <w:snapToGrid w:val="0"/>
              </w:rPr>
              <w:t>30 Jan 2012 (see s. 2(c) and Cwlth Legislative Instrument No. F2011L02397 cl. 5 registered 21 Nov 2011)</w:t>
            </w:r>
          </w:p>
        </w:tc>
      </w:tr>
      <w:tr>
        <w:trPr>
          <w:cantSplit/>
        </w:trPr>
        <w:tc>
          <w:tcPr>
            <w:tcW w:w="2264" w:type="dxa"/>
          </w:tcPr>
          <w:p>
            <w:pPr>
              <w:pStyle w:val="nTable"/>
              <w:spacing w:after="40"/>
              <w:rPr>
                <w:snapToGrid w:val="0"/>
              </w:rPr>
            </w:pPr>
            <w:r>
              <w:rPr>
                <w:i/>
                <w:snapToGrid w:val="0"/>
              </w:rPr>
              <w:t>Statutes (Repeals and Minor Amendments) Act 2011</w:t>
            </w:r>
            <w:r>
              <w:rPr>
                <w:snapToGrid w:val="0"/>
              </w:rPr>
              <w:t xml:space="preserve"> s. 15 and 16</w:t>
            </w:r>
          </w:p>
        </w:tc>
        <w:tc>
          <w:tcPr>
            <w:tcW w:w="1134" w:type="dxa"/>
          </w:tcPr>
          <w:p>
            <w:pPr>
              <w:pStyle w:val="nTable"/>
              <w:spacing w:after="40"/>
            </w:pPr>
            <w:r>
              <w:rPr>
                <w:snapToGrid w:val="0"/>
              </w:rPr>
              <w:t>47 of 2011</w:t>
            </w:r>
          </w:p>
        </w:tc>
        <w:tc>
          <w:tcPr>
            <w:tcW w:w="1137" w:type="dxa"/>
          </w:tcPr>
          <w:p>
            <w:pPr>
              <w:pStyle w:val="nTable"/>
              <w:spacing w:after="40"/>
            </w:pPr>
            <w:r>
              <w:rPr>
                <w:snapToGrid w:val="0"/>
              </w:rPr>
              <w:t>25 Oct 2011</w:t>
            </w:r>
          </w:p>
        </w:tc>
        <w:tc>
          <w:tcPr>
            <w:tcW w:w="2552" w:type="dxa"/>
          </w:tcPr>
          <w:p>
            <w:pPr>
              <w:pStyle w:val="nTable"/>
              <w:spacing w:after="40"/>
            </w:pPr>
            <w:r>
              <w:rPr>
                <w:snapToGrid w:val="0"/>
              </w:rPr>
              <w:t>26 Oct 2011 (see s. 2(b))</w:t>
            </w:r>
          </w:p>
        </w:tc>
      </w:tr>
      <w:tr>
        <w:trPr>
          <w:cantSplit/>
        </w:trPr>
        <w:tc>
          <w:tcPr>
            <w:tcW w:w="2264" w:type="dxa"/>
            <w:tcBorders>
              <w:bottom w:val="single" w:sz="4" w:space="0" w:color="auto"/>
            </w:tcBorders>
          </w:tcPr>
          <w:p>
            <w:pPr>
              <w:pStyle w:val="nTable"/>
              <w:spacing w:after="40"/>
              <w:rPr>
                <w:snapToGrid w:val="0"/>
              </w:rPr>
            </w:pPr>
            <w:r>
              <w:rPr>
                <w:i/>
                <w:snapToGrid w:val="0"/>
              </w:rPr>
              <w:t>Statutes (Repeals and Minor Amendments) Act 2014</w:t>
            </w:r>
            <w:r>
              <w:rPr>
                <w:snapToGrid w:val="0"/>
              </w:rPr>
              <w:t xml:space="preserve"> s. 9</w:t>
            </w:r>
          </w:p>
        </w:tc>
        <w:tc>
          <w:tcPr>
            <w:tcW w:w="1134" w:type="dxa"/>
            <w:tcBorders>
              <w:bottom w:val="single" w:sz="4" w:space="0" w:color="auto"/>
            </w:tcBorders>
          </w:tcPr>
          <w:p>
            <w:pPr>
              <w:pStyle w:val="nTable"/>
              <w:spacing w:after="40"/>
              <w:rPr>
                <w:snapToGrid w:val="0"/>
              </w:rPr>
            </w:pPr>
            <w:r>
              <w:rPr>
                <w:snapToGrid w:val="0"/>
              </w:rPr>
              <w:t>17 of 2014</w:t>
            </w:r>
          </w:p>
        </w:tc>
        <w:tc>
          <w:tcPr>
            <w:tcW w:w="1137" w:type="dxa"/>
            <w:tcBorders>
              <w:bottom w:val="single" w:sz="4" w:space="0" w:color="auto"/>
            </w:tcBorders>
          </w:tcPr>
          <w:p>
            <w:pPr>
              <w:pStyle w:val="nTable"/>
              <w:spacing w:after="40"/>
              <w:rPr>
                <w:snapToGrid w:val="0"/>
              </w:rPr>
            </w:pPr>
            <w:r>
              <w:rPr>
                <w:snapToGrid w:val="0"/>
              </w:rPr>
              <w:t>2 Jul 2014</w:t>
            </w:r>
          </w:p>
        </w:tc>
        <w:tc>
          <w:tcPr>
            <w:tcW w:w="2552" w:type="dxa"/>
            <w:tcBorders>
              <w:bottom w:val="single" w:sz="4" w:space="0" w:color="auto"/>
            </w:tcBorders>
          </w:tcPr>
          <w:p>
            <w:pPr>
              <w:pStyle w:val="nTable"/>
              <w:spacing w:after="40"/>
              <w:rPr>
                <w:snapToGrid w:val="0"/>
              </w:rPr>
            </w:pPr>
            <w:r>
              <w:rPr>
                <w:snapToGrid w:val="0"/>
              </w:rPr>
              <w:t xml:space="preserve">6 Sep 2014 (see s. 2(b) and </w:t>
            </w:r>
            <w:r>
              <w:rPr>
                <w:i/>
                <w:snapToGrid w:val="0"/>
              </w:rPr>
              <w:t>Gazette</w:t>
            </w:r>
            <w:r>
              <w:rPr>
                <w:snapToGrid w:val="0"/>
              </w:rPr>
              <w:t xml:space="preserve"> 5 Sep 2014 p. 3213)</w:t>
            </w:r>
          </w:p>
        </w:tc>
      </w:tr>
    </w:tbl>
    <w:p>
      <w:pPr>
        <w:pStyle w:val="nHeading3"/>
      </w:pPr>
      <w:bookmarkStart w:id="220" w:name="_Toc33609965"/>
      <w:r>
        <w:t>Uncommenced provisions table</w:t>
      </w:r>
      <w:bookmarkEnd w:id="220"/>
    </w:p>
    <w:p>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tblGrid>
      <w:tr>
        <w:trPr>
          <w:tblHeader/>
        </w:trPr>
        <w:tc>
          <w:tcPr>
            <w:tcW w:w="2273" w:type="dxa"/>
            <w:tcBorders>
              <w:top w:val="single" w:sz="4" w:space="0" w:color="auto"/>
              <w:bottom w:val="single" w:sz="4" w:space="0" w:color="auto"/>
            </w:tcBorders>
          </w:tcPr>
          <w:p>
            <w:pPr>
              <w:pStyle w:val="nTable"/>
              <w:keepNext/>
              <w:keepLines/>
              <w:spacing w:after="40"/>
              <w:rPr>
                <w:b/>
              </w:rPr>
            </w:pPr>
            <w:r>
              <w:rPr>
                <w:b/>
              </w:rPr>
              <w:t>Short title</w:t>
            </w:r>
          </w:p>
        </w:tc>
        <w:tc>
          <w:tcPr>
            <w:tcW w:w="1134" w:type="dxa"/>
            <w:tcBorders>
              <w:top w:val="single" w:sz="4" w:space="0" w:color="auto"/>
              <w:bottom w:val="single" w:sz="4" w:space="0" w:color="auto"/>
            </w:tcBorders>
          </w:tcPr>
          <w:p>
            <w:pPr>
              <w:pStyle w:val="nTable"/>
              <w:keepNext/>
              <w:keepLines/>
              <w:spacing w:after="40"/>
              <w:rPr>
                <w:b/>
              </w:rPr>
            </w:pPr>
            <w:r>
              <w:rPr>
                <w:b/>
              </w:rPr>
              <w:t>Number and year</w:t>
            </w:r>
          </w:p>
        </w:tc>
        <w:tc>
          <w:tcPr>
            <w:tcW w:w="1134" w:type="dxa"/>
            <w:tcBorders>
              <w:top w:val="single" w:sz="4" w:space="0" w:color="auto"/>
              <w:bottom w:val="single" w:sz="4" w:space="0" w:color="auto"/>
            </w:tcBorders>
          </w:tcPr>
          <w:p>
            <w:pPr>
              <w:pStyle w:val="nTable"/>
              <w:keepNext/>
              <w:keepLines/>
              <w:spacing w:after="40"/>
              <w:rPr>
                <w:b/>
              </w:rPr>
            </w:pPr>
            <w:r>
              <w:rPr>
                <w:b/>
              </w:rPr>
              <w:t>Assent</w:t>
            </w:r>
          </w:p>
        </w:tc>
        <w:tc>
          <w:tcPr>
            <w:tcW w:w="2552" w:type="dxa"/>
            <w:tcBorders>
              <w:top w:val="single" w:sz="4" w:space="0" w:color="auto"/>
              <w:bottom w:val="single" w:sz="4" w:space="0" w:color="auto"/>
            </w:tcBorders>
          </w:tcPr>
          <w:p>
            <w:pPr>
              <w:pStyle w:val="nTable"/>
              <w:keepNext/>
              <w:keepLines/>
              <w:spacing w:after="40"/>
              <w:rPr>
                <w:b/>
              </w:rPr>
            </w:pPr>
            <w:r>
              <w:rPr>
                <w:b/>
              </w:rPr>
              <w:t>Commencement</w:t>
            </w:r>
          </w:p>
        </w:tc>
      </w:tr>
      <w:tr>
        <w:tc>
          <w:tcPr>
            <w:tcW w:w="2273" w:type="dxa"/>
            <w:tcBorders>
              <w:top w:val="single" w:sz="4" w:space="0" w:color="auto"/>
              <w:bottom w:val="single" w:sz="4" w:space="0" w:color="auto"/>
            </w:tcBorders>
          </w:tcPr>
          <w:p>
            <w:pPr>
              <w:pStyle w:val="nTable"/>
              <w:spacing w:after="40"/>
              <w:rPr>
                <w:i/>
                <w:vertAlign w:val="superscript"/>
              </w:rPr>
            </w:pPr>
            <w:r>
              <w:rPr>
                <w:i/>
                <w:snapToGrid w:val="0"/>
              </w:rPr>
              <w:t>Native Title (State Provisions) Act </w:t>
            </w:r>
            <w:r>
              <w:rPr>
                <w:i/>
                <w:iCs/>
                <w:snapToGrid w:val="0"/>
              </w:rPr>
              <w:t>1999</w:t>
            </w:r>
            <w:r>
              <w:rPr>
                <w:snapToGrid w:val="0"/>
              </w:rPr>
              <w:t xml:space="preserve"> s. 7.3</w:t>
            </w:r>
          </w:p>
        </w:tc>
        <w:tc>
          <w:tcPr>
            <w:tcW w:w="1134" w:type="dxa"/>
            <w:tcBorders>
              <w:top w:val="single" w:sz="4" w:space="0" w:color="auto"/>
              <w:bottom w:val="single" w:sz="4" w:space="0" w:color="auto"/>
            </w:tcBorders>
          </w:tcPr>
          <w:p>
            <w:pPr>
              <w:pStyle w:val="nTable"/>
              <w:spacing w:after="40"/>
            </w:pPr>
            <w:r>
              <w:t>60 of 1999</w:t>
            </w:r>
          </w:p>
        </w:tc>
        <w:tc>
          <w:tcPr>
            <w:tcW w:w="1134" w:type="dxa"/>
            <w:tcBorders>
              <w:top w:val="single" w:sz="4" w:space="0" w:color="auto"/>
              <w:bottom w:val="single" w:sz="4" w:space="0" w:color="auto"/>
            </w:tcBorders>
          </w:tcPr>
          <w:p>
            <w:pPr>
              <w:pStyle w:val="nTable"/>
              <w:spacing w:after="40"/>
            </w:pPr>
            <w:r>
              <w:t>10 Jan 2000</w:t>
            </w:r>
          </w:p>
        </w:tc>
        <w:tc>
          <w:tcPr>
            <w:tcW w:w="2552" w:type="dxa"/>
            <w:tcBorders>
              <w:top w:val="single" w:sz="4" w:space="0" w:color="auto"/>
              <w:bottom w:val="single" w:sz="4" w:space="0" w:color="auto"/>
            </w:tcBorders>
          </w:tcPr>
          <w:p>
            <w:pPr>
              <w:pStyle w:val="nTable"/>
              <w:spacing w:after="40"/>
            </w:pPr>
            <w:r>
              <w:t>Operative on earliest of commencement of Pt. 2 (except s. 2.2), Pt. 3 (except s. 3.1) and Pt. 4</w:t>
            </w:r>
          </w:p>
        </w:tc>
      </w:tr>
    </w:tbl>
    <w:p>
      <w:pPr>
        <w:pStyle w:val="nHeading3"/>
      </w:pPr>
      <w:bookmarkStart w:id="221" w:name="_Toc33609966"/>
      <w:r>
        <w:t>Other notes</w:t>
      </w:r>
      <w:bookmarkEnd w:id="221"/>
    </w:p>
    <w:p>
      <w:pPr>
        <w:pStyle w:val="nNote"/>
        <w:keepNext/>
        <w:spacing w:before="240"/>
        <w:rPr>
          <w:snapToGrid w:val="0"/>
        </w:rPr>
      </w:pPr>
      <w:r>
        <w:rPr>
          <w:snapToGrid w:val="0"/>
          <w:vertAlign w:val="superscript"/>
        </w:rPr>
        <w:t>1</w:t>
      </w:r>
      <w:r>
        <w:rPr>
          <w:snapToGrid w:val="0"/>
        </w:rPr>
        <w:tab/>
        <w:t>Footnote no longer required.</w:t>
      </w:r>
    </w:p>
    <w:p>
      <w:pPr>
        <w:pStyle w:val="nNote"/>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Note"/>
      </w:pPr>
      <w:r>
        <w:rPr>
          <w:snapToGrid w:val="0"/>
          <w:vertAlign w:val="superscript"/>
        </w:rPr>
        <w:t>3</w:t>
      </w:r>
      <w:r>
        <w:rPr>
          <w:snapToGrid w:val="0"/>
        </w:rPr>
        <w:tab/>
        <w:t xml:space="preserve">The </w:t>
      </w:r>
      <w:r>
        <w:t xml:space="preserve">Gas Pipelines Access (Western Australia) Law) ceased to apply when the </w:t>
      </w:r>
      <w:r>
        <w:rPr>
          <w:i/>
          <w:iCs/>
        </w:rPr>
        <w:t>National Act Access (WA) Act 2009</w:t>
      </w:r>
      <w:r>
        <w:t xml:space="preserve"> commenced on 1 Jan 2010.</w:t>
      </w:r>
    </w:p>
    <w:p>
      <w:pPr>
        <w:pStyle w:val="nNote"/>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Note"/>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Note"/>
        <w:spacing w:before="60"/>
      </w:pPr>
      <w:r>
        <w:rPr>
          <w:vertAlign w:val="superscript"/>
        </w:rPr>
        <w:t>6</w:t>
      </w:r>
      <w:r>
        <w:tab/>
        <w:t xml:space="preserve">As at the date this compilation was prepared, these offices (of the former Department of Mines) no longer exist.  </w:t>
      </w:r>
    </w:p>
    <w:p>
      <w:pPr>
        <w:pStyle w:val="nNote"/>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Note"/>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Note"/>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Note"/>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 that was to amend this Act was deleted by the </w:t>
      </w:r>
      <w:r>
        <w:rPr>
          <w:i/>
          <w:iCs/>
          <w:snapToGrid w:val="0"/>
        </w:rPr>
        <w:t>Petroleum Legislation Amendment and Repeal Act 2005</w:t>
      </w:r>
      <w:r>
        <w:rPr>
          <w:snapToGrid w:val="0"/>
        </w:rPr>
        <w:t xml:space="preserve"> s. 51 before the amendment came into operation.</w:t>
      </w:r>
    </w:p>
    <w:p>
      <w:pPr>
        <w:pStyle w:val="nNote"/>
        <w:spacing w:before="60"/>
      </w:pPr>
      <w:r>
        <w:rPr>
          <w:vertAlign w:val="superscript"/>
        </w:rPr>
        <w:t>11</w:t>
      </w:r>
      <w:r>
        <w:tab/>
        <w:t xml:space="preserve">The Fourth Schedule was inserted by the </w:t>
      </w:r>
      <w:r>
        <w:rPr>
          <w:i/>
        </w:rPr>
        <w:t>Metric Conversion Act Amendment Act 1975</w:t>
      </w:r>
      <w:r>
        <w:t>.</w:t>
      </w:r>
    </w:p>
    <w:p>
      <w:pPr>
        <w:pStyle w:val="nNote"/>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Note"/>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Note"/>
        <w:rPr>
          <w:snapToGrid w:val="0"/>
        </w:rPr>
      </w:pPr>
      <w:r>
        <w:rPr>
          <w:snapToGrid w:val="0"/>
          <w:vertAlign w:val="superscript"/>
        </w:rPr>
        <w:t>14</w:t>
      </w:r>
      <w:r>
        <w:rPr>
          <w:snapToGrid w:val="0"/>
          <w:vertAlign w:val="superscript"/>
        </w:rPr>
        <w:tab/>
      </w:r>
      <w:r>
        <w:rPr>
          <w:snapToGrid w:val="0"/>
        </w:rPr>
        <w:t>Footnote no longer required.</w:t>
      </w:r>
    </w:p>
    <w:p>
      <w:pPr>
        <w:pStyle w:val="nNote"/>
        <w:rPr>
          <w:snapToGrid w:val="0"/>
        </w:rPr>
      </w:pPr>
      <w:r>
        <w:rPr>
          <w:snapToGrid w:val="0"/>
          <w:vertAlign w:val="superscript"/>
        </w:rPr>
        <w:t>15</w:t>
      </w:r>
      <w:r>
        <w:rPr>
          <w:snapToGrid w:val="0"/>
        </w:rPr>
        <w:tab/>
        <w:t xml:space="preserve">The </w:t>
      </w:r>
      <w:r>
        <w:rPr>
          <w:i/>
          <w:snapToGrid w:val="0"/>
        </w:rPr>
        <w:t>Petroleum Legislation Amendment and Repeal Act 2005</w:t>
      </w:r>
      <w:r>
        <w:rPr>
          <w:snapToGrid w:val="0"/>
        </w:rPr>
        <w:t xml:space="preserve"> s. 29(2) had not come into operation when it was deleted by the </w:t>
      </w:r>
      <w:r>
        <w:rPr>
          <w:i/>
          <w:snapToGrid w:val="0"/>
        </w:rPr>
        <w:t>Statutes (Repeals and Minor Amendments) Act 2014</w:t>
      </w:r>
      <w:r>
        <w:rPr>
          <w:snapToGrid w:val="0"/>
        </w:rPr>
        <w:t xml:space="preserve"> s.</w:t>
      </w:r>
      <w:r>
        <w:t> 31</w:t>
      </w:r>
      <w:r>
        <w:rPr>
          <w:snapToGrid w:val="0"/>
        </w:rPr>
        <w:t>.</w:t>
      </w:r>
    </w:p>
    <w:p>
      <w:pPr>
        <w:pStyle w:val="nNote"/>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
      <w:pPr>
        <w:sectPr>
          <w:headerReference w:type="even" r:id="rId27"/>
          <w:headerReference w:type="default" r:id="rId28"/>
          <w:pgSz w:w="11907" w:h="16840" w:code="9"/>
          <w:pgMar w:top="2376" w:right="2405" w:bottom="3542" w:left="2405" w:header="706" w:footer="3380" w:gutter="0"/>
          <w:cols w:space="720"/>
          <w:noEndnote/>
          <w:docGrid w:linePitch="326"/>
        </w:sectPr>
      </w:pPr>
    </w:p>
    <w:p>
      <w:pPr>
        <w:pStyle w:val="nHeading2"/>
        <w:rPr>
          <w:sz w:val="28"/>
        </w:rPr>
      </w:pPr>
      <w:bookmarkStart w:id="223" w:name="_Toc33609775"/>
      <w:bookmarkStart w:id="224" w:name="_Toc33609967"/>
      <w:r>
        <w:rPr>
          <w:sz w:val="28"/>
        </w:rPr>
        <w:t>Defined terms</w:t>
      </w:r>
      <w:bookmarkEnd w:id="223"/>
      <w:bookmarkEnd w:id="22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accident</w:t>
      </w:r>
      <w:r>
        <w:tab/>
        <w:t>Sch. 1 cl. 3</w:t>
      </w:r>
    </w:p>
    <w:p>
      <w:pPr>
        <w:pStyle w:val="DefinedTerms"/>
      </w:pPr>
      <w:r>
        <w:t>actual supplier</w:t>
      </w:r>
      <w:r>
        <w:tab/>
        <w:t>Sch. 1 cl. 11(2)</w:t>
      </w:r>
    </w:p>
    <w:p>
      <w:pPr>
        <w:pStyle w:val="DefinedTerms"/>
      </w:pPr>
      <w:r>
        <w:t>amending Act</w:t>
      </w:r>
      <w:r>
        <w:tab/>
        <w:t>14(4)</w:t>
      </w:r>
    </w:p>
    <w:p>
      <w:pPr>
        <w:pStyle w:val="DefinedTerms"/>
      </w:pPr>
      <w:r>
        <w:t>approved</w:t>
      </w:r>
      <w:r>
        <w:tab/>
        <w:t>4(1)</w:t>
      </w:r>
    </w:p>
    <w:p>
      <w:pPr>
        <w:pStyle w:val="DefinedTerms"/>
      </w:pPr>
      <w:r>
        <w:t>Australian Standard</w:t>
      </w:r>
      <w:r>
        <w:tab/>
        <w:t>66BB(4)</w:t>
      </w:r>
    </w:p>
    <w:p>
      <w:pPr>
        <w:pStyle w:val="DefinedTerms"/>
      </w:pPr>
      <w:r>
        <w:t>Australian/New Zealand Standard</w:t>
      </w:r>
      <w:r>
        <w:tab/>
        <w:t>66BB(4)</w:t>
      </w:r>
    </w:p>
    <w:p>
      <w:pPr>
        <w:pStyle w:val="DefinedTerms"/>
      </w:pPr>
      <w:r>
        <w:t>CEO</w:t>
      </w:r>
      <w:r>
        <w:tab/>
        <w:t>66BB(4)</w:t>
      </w:r>
    </w:p>
    <w:p>
      <w:pPr>
        <w:pStyle w:val="DefinedTerms"/>
      </w:pPr>
      <w:r>
        <w:t>charge</w:t>
      </w:r>
      <w:r>
        <w:tab/>
        <w:t>47(15)</w:t>
      </w:r>
    </w:p>
    <w:p>
      <w:pPr>
        <w:pStyle w:val="DefinedTerms"/>
      </w:pPr>
      <w:r>
        <w:t>contract</w:t>
      </w:r>
      <w:r>
        <w:tab/>
        <w:t>Sch. 1 cl. 3</w:t>
      </w:r>
    </w:p>
    <w:p>
      <w:pPr>
        <w:pStyle w:val="DefinedTerms"/>
      </w:pPr>
      <w:r>
        <w:t>contractor</w:t>
      </w:r>
      <w:r>
        <w:tab/>
        <w:t>Sch. 1 cl. 3 and 6</w:t>
      </w:r>
    </w:p>
    <w:p>
      <w:pPr>
        <w:pStyle w:val="DefinedTerms"/>
      </w:pPr>
      <w:r>
        <w:t>dangerous occurrence</w:t>
      </w:r>
      <w:r>
        <w:tab/>
        <w:t>Sch. 1 cl. 3</w:t>
      </w:r>
    </w:p>
    <w:p>
      <w:pPr>
        <w:pStyle w:val="DefinedTerms"/>
      </w:pPr>
      <w:r>
        <w:t>debenture</w:t>
      </w:r>
      <w:r>
        <w:tab/>
        <w:t>47(15)</w:t>
      </w:r>
    </w:p>
    <w:p>
      <w:pPr>
        <w:pStyle w:val="DefinedTerms"/>
      </w:pPr>
      <w:r>
        <w:t>designated work group</w:t>
      </w:r>
      <w:r>
        <w:tab/>
        <w:t>Sch. 1 cl. 3</w:t>
      </w:r>
    </w:p>
    <w:p>
      <w:pPr>
        <w:pStyle w:val="DefinedTerms"/>
      </w:pPr>
      <w:r>
        <w:t>employee</w:t>
      </w:r>
      <w:r>
        <w:tab/>
        <w:t>Sch. 1 cl. 3</w:t>
      </w:r>
    </w:p>
    <w:p>
      <w:pPr>
        <w:pStyle w:val="DefinedTerms"/>
      </w:pPr>
      <w:r>
        <w:t>employer</w:t>
      </w:r>
      <w:r>
        <w:tab/>
        <w:t>Sch. 1 cl. 3</w:t>
      </w:r>
    </w:p>
    <w:p>
      <w:pPr>
        <w:pStyle w:val="DefinedTerms"/>
      </w:pPr>
      <w:r>
        <w:t>equipment supplier</w:t>
      </w:r>
      <w:r>
        <w:tab/>
        <w:t>Sch. 1 cl. 13(1)</w:t>
      </w:r>
    </w:p>
    <w:p>
      <w:pPr>
        <w:pStyle w:val="DefinedTerms"/>
      </w:pPr>
      <w:r>
        <w:t>group member</w:t>
      </w:r>
      <w:r>
        <w:tab/>
        <w:t>Sch. 1 cl. 3</w:t>
      </w:r>
    </w:p>
    <w:p>
      <w:pPr>
        <w:pStyle w:val="DefinedTerms"/>
      </w:pPr>
      <w:r>
        <w:t>improvement notice</w:t>
      </w:r>
      <w:r>
        <w:tab/>
        <w:t>Sch. 1 cl. 3</w:t>
      </w:r>
    </w:p>
    <w:p>
      <w:pPr>
        <w:pStyle w:val="DefinedTerms"/>
      </w:pPr>
      <w:r>
        <w:t>inspection</w:t>
      </w:r>
      <w:r>
        <w:tab/>
        <w:t>Sch. 1 cl. 3</w:t>
      </w:r>
    </w:p>
    <w:p>
      <w:pPr>
        <w:pStyle w:val="DefinedTerms"/>
      </w:pPr>
      <w:r>
        <w:t>inspector</w:t>
      </w:r>
      <w:r>
        <w:tab/>
        <w:t>4(1)</w:t>
      </w:r>
    </w:p>
    <w:p>
      <w:pPr>
        <w:pStyle w:val="DefinedTerms"/>
      </w:pPr>
      <w:r>
        <w:t>land</w:t>
      </w:r>
      <w:r>
        <w:tab/>
        <w:t>19(3)</w:t>
      </w:r>
    </w:p>
    <w:p>
      <w:pPr>
        <w:pStyle w:val="DefinedTerms"/>
      </w:pPr>
      <w:r>
        <w:t>licence</w:t>
      </w:r>
      <w:r>
        <w:tab/>
        <w:t>4(1)</w:t>
      </w:r>
    </w:p>
    <w:p>
      <w:pPr>
        <w:pStyle w:val="DefinedTerms"/>
      </w:pPr>
      <w:r>
        <w:t>licence area</w:t>
      </w:r>
      <w:r>
        <w:tab/>
        <w:t>4(1)</w:t>
      </w:r>
    </w:p>
    <w:p>
      <w:pPr>
        <w:pStyle w:val="DefinedTerms"/>
      </w:pPr>
      <w:r>
        <w:t>licensee</w:t>
      </w:r>
      <w:r>
        <w:tab/>
        <w:t>4(1), Sch. 1 cl. 3</w:t>
      </w:r>
    </w:p>
    <w:p>
      <w:pPr>
        <w:pStyle w:val="DefinedTerms"/>
      </w:pPr>
      <w:r>
        <w:t>licensee’s representative</w:t>
      </w:r>
      <w:r>
        <w:tab/>
        <w:t>Sch. 1 cl. 3 and 4(1)</w:t>
      </w:r>
    </w:p>
    <w:p>
      <w:pPr>
        <w:pStyle w:val="DefinedTerms"/>
      </w:pPr>
      <w:r>
        <w:t>listed OSH law</w:t>
      </w:r>
      <w:r>
        <w:tab/>
        <w:t>4(1)</w:t>
      </w:r>
    </w:p>
    <w:p>
      <w:pPr>
        <w:pStyle w:val="DefinedTerms"/>
      </w:pPr>
      <w:r>
        <w:t>member of the workforce</w:t>
      </w:r>
      <w:r>
        <w:tab/>
        <w:t>Sch. 1 cl. 3</w:t>
      </w:r>
    </w:p>
    <w:p>
      <w:pPr>
        <w:pStyle w:val="DefinedTerms"/>
      </w:pPr>
      <w:r>
        <w:t>Minister for Lands</w:t>
      </w:r>
      <w:r>
        <w:tab/>
        <w:t>4(1)</w:t>
      </w:r>
    </w:p>
    <w:p>
      <w:pPr>
        <w:pStyle w:val="DefinedTerms"/>
      </w:pPr>
      <w:r>
        <w:t>ostensible supplier</w:t>
      </w:r>
      <w:r>
        <w:tab/>
        <w:t>Sch. 1 cl. 11(2)</w:t>
      </w:r>
    </w:p>
    <w:p>
      <w:pPr>
        <w:pStyle w:val="DefinedTerms"/>
      </w:pPr>
      <w:r>
        <w:t>other protected person</w:t>
      </w:r>
      <w:r>
        <w:tab/>
        <w:t>4(1)</w:t>
      </w:r>
    </w:p>
    <w:p>
      <w:pPr>
        <w:pStyle w:val="DefinedTerms"/>
      </w:pPr>
      <w:r>
        <w:t>own</w:t>
      </w:r>
      <w:r>
        <w:tab/>
        <w:t>Sch. 1 cl. 3</w:t>
      </w:r>
    </w:p>
    <w:p>
      <w:pPr>
        <w:pStyle w:val="DefinedTerms"/>
      </w:pPr>
      <w:r>
        <w:t>owned</w:t>
      </w:r>
      <w:r>
        <w:tab/>
        <w:t>4(1)</w:t>
      </w:r>
    </w:p>
    <w:p>
      <w:pPr>
        <w:pStyle w:val="DefinedTerms"/>
      </w:pPr>
      <w:r>
        <w:t>owner</w:t>
      </w:r>
      <w:r>
        <w:tab/>
        <w:t>4(1)</w:t>
      </w:r>
    </w:p>
    <w:p>
      <w:pPr>
        <w:pStyle w:val="DefinedTerms"/>
      </w:pPr>
      <w:r>
        <w:t>partly cancelled</w:t>
      </w:r>
      <w:r>
        <w:tab/>
        <w:t>4(1)</w:t>
      </w:r>
    </w:p>
    <w:p>
      <w:pPr>
        <w:pStyle w:val="DefinedTerms"/>
      </w:pPr>
      <w:r>
        <w:t>petroleum</w:t>
      </w:r>
      <w:r>
        <w:tab/>
        <w:t>4(1)</w:t>
      </w:r>
    </w:p>
    <w:p>
      <w:pPr>
        <w:pStyle w:val="DefinedTerms"/>
      </w:pPr>
      <w:r>
        <w:t>pipeline</w:t>
      </w:r>
      <w:r>
        <w:tab/>
        <w:t>4(1)</w:t>
      </w:r>
    </w:p>
    <w:p>
      <w:pPr>
        <w:pStyle w:val="DefinedTerms"/>
      </w:pPr>
      <w:r>
        <w:t>pipeline operation</w:t>
      </w:r>
      <w:r>
        <w:tab/>
        <w:t>4(1)</w:t>
      </w:r>
    </w:p>
    <w:p>
      <w:pPr>
        <w:pStyle w:val="DefinedTerms"/>
      </w:pPr>
      <w:r>
        <w:t>plant</w:t>
      </w:r>
      <w:r>
        <w:tab/>
        <w:t>Sch. 1 cl. 3</w:t>
      </w:r>
    </w:p>
    <w:p>
      <w:pPr>
        <w:pStyle w:val="DefinedTerms"/>
      </w:pPr>
      <w:r>
        <w:t>premises</w:t>
      </w:r>
      <w:r>
        <w:tab/>
        <w:t>Sch. 1 cl. 3</w:t>
      </w:r>
    </w:p>
    <w:p>
      <w:pPr>
        <w:pStyle w:val="DefinedTerms"/>
      </w:pPr>
      <w:r>
        <w:t>prescribed occupational safety and health laws</w:t>
      </w:r>
      <w:r>
        <w:tab/>
        <w:t>5AA(2)</w:t>
      </w:r>
    </w:p>
    <w:p>
      <w:pPr>
        <w:pStyle w:val="DefinedTerms"/>
      </w:pPr>
      <w:r>
        <w:t>Principal Registrar</w:t>
      </w:r>
      <w:r>
        <w:tab/>
        <w:t>59(2)</w:t>
      </w:r>
    </w:p>
    <w:p>
      <w:pPr>
        <w:pStyle w:val="DefinedTerms"/>
      </w:pPr>
      <w:r>
        <w:t>prohibition notice</w:t>
      </w:r>
      <w:r>
        <w:tab/>
        <w:t>Sch. 1 cl. 3</w:t>
      </w:r>
    </w:p>
    <w:p>
      <w:pPr>
        <w:pStyle w:val="DefinedTerms"/>
      </w:pPr>
      <w:r>
        <w:t>public authority</w:t>
      </w:r>
      <w:r>
        <w:tab/>
        <w:t>4(1)</w:t>
      </w:r>
    </w:p>
    <w:p>
      <w:pPr>
        <w:pStyle w:val="DefinedTerms"/>
      </w:pPr>
      <w:r>
        <w:t>register</w:t>
      </w:r>
      <w:r>
        <w:tab/>
        <w:t>4(1)</w:t>
      </w:r>
    </w:p>
    <w:p>
      <w:pPr>
        <w:pStyle w:val="DefinedTerms"/>
      </w:pPr>
      <w:r>
        <w:t>registered holder</w:t>
      </w:r>
      <w:r>
        <w:tab/>
        <w:t>4(1)</w:t>
      </w:r>
    </w:p>
    <w:p>
      <w:pPr>
        <w:pStyle w:val="DefinedTerms"/>
      </w:pPr>
      <w:r>
        <w:t>registered organisation</w:t>
      </w:r>
      <w:r>
        <w:tab/>
        <w:t>Sch. 1 cl. 3</w:t>
      </w:r>
    </w:p>
    <w:p>
      <w:pPr>
        <w:pStyle w:val="DefinedTerms"/>
      </w:pPr>
      <w:r>
        <w:t>regulated business premises</w:t>
      </w:r>
      <w:r>
        <w:tab/>
        <w:t>Sch. 1 cl. 3</w:t>
      </w:r>
    </w:p>
    <w:p>
      <w:pPr>
        <w:pStyle w:val="DefinedTerms"/>
      </w:pPr>
      <w:r>
        <w:t>regulations</w:t>
      </w:r>
      <w:r>
        <w:tab/>
        <w:t>Sch. 1 cl. 3</w:t>
      </w:r>
    </w:p>
    <w:p>
      <w:pPr>
        <w:pStyle w:val="DefinedTerms"/>
      </w:pPr>
      <w:r>
        <w:t>relevant person</w:t>
      </w:r>
      <w:r>
        <w:tab/>
        <w:t>Sch. 1 cl. 6</w:t>
      </w:r>
    </w:p>
    <w:p>
      <w:pPr>
        <w:pStyle w:val="DefinedTerms"/>
      </w:pPr>
      <w:r>
        <w:t>relinquished area</w:t>
      </w:r>
      <w:r>
        <w:tab/>
        <w:t>4(1)</w:t>
      </w:r>
    </w:p>
    <w:p>
      <w:pPr>
        <w:pStyle w:val="DefinedTerms"/>
      </w:pPr>
      <w:r>
        <w:t>responsible person</w:t>
      </w:r>
      <w:r>
        <w:tab/>
        <w:t>Sch. 1 cl. 36(2) and 60(1)</w:t>
      </w:r>
    </w:p>
    <w:p>
      <w:pPr>
        <w:pStyle w:val="DefinedTerms"/>
      </w:pPr>
      <w:r>
        <w:t>reviewing authority</w:t>
      </w:r>
      <w:r>
        <w:tab/>
        <w:t>Sch. 1 cl. 21(5) and 64(10)</w:t>
      </w:r>
    </w:p>
    <w:p>
      <w:pPr>
        <w:pStyle w:val="DefinedTerms"/>
      </w:pPr>
      <w:r>
        <w:t>supervisor</w:t>
      </w:r>
      <w:r>
        <w:tab/>
        <w:t>Sch. 1 cl. 42(1)</w:t>
      </w:r>
    </w:p>
    <w:p>
      <w:pPr>
        <w:pStyle w:val="DefinedTerms"/>
      </w:pPr>
      <w:r>
        <w:t>this Schedule</w:t>
      </w:r>
      <w:r>
        <w:tab/>
        <w:t>Sch. 1 cl. 81(4)</w:t>
      </w:r>
    </w:p>
    <w:p>
      <w:pPr>
        <w:pStyle w:val="DefinedTerms"/>
      </w:pPr>
      <w:r>
        <w:t>Tribunal</w:t>
      </w:r>
      <w:r>
        <w:tab/>
        <w:t>Sch. 1 cl. 3</w:t>
      </w:r>
    </w:p>
    <w:p>
      <w:pPr>
        <w:pStyle w:val="DefinedTerms"/>
      </w:pPr>
      <w:r>
        <w:t>Under Secretary</w:t>
      </w:r>
      <w:r>
        <w:tab/>
        <w:t>59(2)</w:t>
      </w:r>
    </w:p>
    <w:p>
      <w:pPr>
        <w:pStyle w:val="DefinedTerms"/>
      </w:pPr>
      <w:r>
        <w:t>wholly cancelled</w:t>
      </w:r>
      <w:r>
        <w:tab/>
        <w:t>4(1)</w:t>
      </w:r>
    </w:p>
    <w:p>
      <w:pPr>
        <w:pStyle w:val="DefinedTerms"/>
      </w:pPr>
      <w:r>
        <w:t>work</w:t>
      </w:r>
      <w:r>
        <w:tab/>
        <w:t>Sch. 1 cl. 3</w:t>
      </w:r>
    </w:p>
    <w:p>
      <w:pPr>
        <w:pStyle w:val="DefinedTerms"/>
      </w:pPr>
      <w:r>
        <w:t>work group employer</w:t>
      </w:r>
      <w:r>
        <w:tab/>
        <w:t>Sch. 1 cl. 3</w:t>
      </w:r>
    </w:p>
    <w:p>
      <w:pPr>
        <w:pStyle w:val="DefinedTerms"/>
      </w:pPr>
      <w:r>
        <w:t>workforce representative</w:t>
      </w:r>
      <w:r>
        <w:tab/>
        <w:t>Sch. 1 cl. 3</w:t>
      </w:r>
    </w:p>
    <w:p>
      <w:pPr>
        <w:pStyle w:val="DefinedTerms"/>
      </w:pPr>
      <w:r>
        <w:t>workplace</w:t>
      </w:r>
      <w:r>
        <w:tab/>
        <w:t>Sch. 1 cl. 3</w:t>
      </w:r>
    </w:p>
    <w:p>
      <w:pPr>
        <w:pStyle w:val="DefinedTerms"/>
        <w:sectPr>
          <w:headerReference w:type="even" r:id="rId29"/>
          <w:headerReference w:type="default" r:id="rId30"/>
          <w:pgSz w:w="11907" w:h="16840" w:code="9"/>
          <w:pgMar w:top="2381" w:right="2409" w:bottom="3543" w:left="2409" w:header="720" w:footer="3380"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04-h0-05</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06 Sep 2014</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Sep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04-h0-05</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Sep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04-h0-05</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04-h0-05</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06 Sep 2014</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Sep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04-h0-05</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Sep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04-h0-05</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5</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I</w: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5AA</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216" w:name="Schedule"/>
    <w:bookmarkEnd w:id="216"/>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222" w:name="Compilation"/>
    <w:bookmarkEnd w:id="222"/>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25" w:name="DefinedTerms"/>
    <w:bookmarkEnd w:id="225"/>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26" w:name="Coversheet"/>
    <w:bookmarkEnd w:id="22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3C2808C0"/>
    <w:multiLevelType w:val="singleLevel"/>
    <w:tmpl w:val="68CE288E"/>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5"/>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226113126"/>
    <w:docVar w:name="WAFER_20140123102952" w:val="RemoveTocBookmarks,RemoveUnusedBookmarks,RemoveLanguageTags,UsedStyles,ResetPageSize,UpdateArrangement"/>
    <w:docVar w:name="WAFER_20140123102952_GUID" w:val="3766b133-72d2-4131-8e5a-067dfa1b756e"/>
    <w:docVar w:name="WAFER_20140123110753" w:val="RemoveTocBookmarks,RunningHeaders"/>
    <w:docVar w:name="WAFER_20140123110753_GUID" w:val="980753bf-6d86-4bb6-92e0-2b1a6c11e7fc"/>
    <w:docVar w:name="WAFER_20150709161221" w:val="ResetPageSize,UpdateArrangement,UpdateNTable"/>
    <w:docVar w:name="WAFER_20150709161221_GUID" w:val="ac1a3e56-2668-4eac-9bf4-da47f19bbc8a"/>
    <w:docVar w:name="WAFER_20151109112530" w:val="UpdateStyles,UsedStyles"/>
    <w:docVar w:name="WAFER_20151109112530_GUID" w:val="c36a22a9-463c-41a9-a4c8-d0d3812c7a6c"/>
    <w:docVar w:name="WAFER_20200226113126"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26113126_GUID" w:val="fa9d4a7d-849b-448a-8942-0cab67bf62c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8.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166</Pages>
  <Words>45141</Words>
  <Characters>215327</Characters>
  <Application>Microsoft Office Word</Application>
  <DocSecurity>0</DocSecurity>
  <Lines>5521</Lines>
  <Paragraphs>3028</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257440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1969 - 04-h0-05</dc:title>
  <dc:subject/>
  <dc:creator/>
  <cp:keywords/>
  <dc:description/>
  <cp:lastModifiedBy>svcMRProcess</cp:lastModifiedBy>
  <cp:revision>4</cp:revision>
  <cp:lastPrinted>2011-06-27T02:16:00Z</cp:lastPrinted>
  <dcterms:created xsi:type="dcterms:W3CDTF">2020-02-26T05:44:00Z</dcterms:created>
  <dcterms:modified xsi:type="dcterms:W3CDTF">2020-02-26T05:44:00Z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20140906</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ReprintedAsAt">
    <vt:filetime>2010-09-30T16:00:00Z</vt:filetime>
  </property>
  <property fmtid="{D5CDD505-2E9C-101B-9397-08002B2CF9AE}" pid="8" name="ThisVersion">
    <vt:lpwstr>04-c0-04</vt:lpwstr>
  </property>
  <property fmtid="{D5CDD505-2E9C-101B-9397-08002B2CF9AE}" pid="9" name="AsAtDate">
    <vt:lpwstr>06 Sep 2014</vt:lpwstr>
  </property>
  <property fmtid="{D5CDD505-2E9C-101B-9397-08002B2CF9AE}" pid="10" name="Suffix">
    <vt:lpwstr>04-h0-05</vt:lpwstr>
  </property>
</Properties>
</file>