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Water Services Act 2012</w:t>
      </w:r>
    </w:p>
    <w:p>
      <w:pPr>
        <w:pStyle w:val="NameofActRegPage1"/>
        <w:spacing w:before="1800" w:after="420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_Toc398816369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_Toc398816370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_Toc398816371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_Toc398816373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_Toc398816374 \h </w:instrText>
      </w:r>
      <w:r>
        <w:fldChar w:fldCharType="separate"/>
      </w:r>
      <w:r>
        <w:t>3</w:t>
      </w:r>
      <w:r>
        <w:fldChar w:fldCharType="end"/>
      </w:r>
    </w:p>
    <w:p>
      <w:pPr>
        <w:pStyle w:val="TOC2"/>
        <w:tabs>
          <w:tab w:val="right" w:leader="dot" w:pos="7086"/>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_Toc398816376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_Toc398816377 \h </w:instrText>
      </w:r>
      <w:r>
        <w:fldChar w:fldCharType="separate"/>
      </w:r>
      <w:r>
        <w:t>4</w:t>
      </w:r>
      <w:r>
        <w:fldChar w:fldCharType="end"/>
      </w:r>
    </w:p>
    <w:p>
      <w:pPr>
        <w:pStyle w:val="TOC8"/>
        <w:rPr>
          <w:rFonts w:asciiTheme="minorHAnsi" w:eastAsiaTheme="minorEastAsia" w:hAnsiTheme="minorHAnsi" w:cstheme="minorBidi"/>
          <w:szCs w:val="22"/>
        </w:rPr>
      </w:pPr>
      <w:r>
        <w:t>8.</w:t>
      </w:r>
      <w:r>
        <w:tab/>
        <w:t>Miscellaneous charges</w:t>
      </w:r>
      <w:r>
        <w:tab/>
      </w:r>
      <w:r>
        <w:fldChar w:fldCharType="begin"/>
      </w:r>
      <w:r>
        <w:instrText xml:space="preserve"> PAGEREF _Toc398816378 \h </w:instrText>
      </w:r>
      <w:r>
        <w:fldChar w:fldCharType="separate"/>
      </w:r>
      <w:r>
        <w:t>4</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_Toc398816379 \h </w:instrText>
      </w:r>
      <w:r>
        <w:fldChar w:fldCharType="separate"/>
      </w:r>
      <w:r>
        <w:t>5</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_Toc398816380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_Toc398816382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_Toc398816383 \h </w:instrText>
      </w:r>
      <w:r>
        <w:fldChar w:fldCharType="separate"/>
      </w:r>
      <w:r>
        <w:t>7</w:t>
      </w:r>
      <w:r>
        <w:fldChar w:fldCharType="end"/>
      </w:r>
    </w:p>
    <w:p>
      <w:pPr>
        <w:pStyle w:val="TOC8"/>
        <w:rPr>
          <w:rFonts w:asciiTheme="minorHAnsi" w:eastAsiaTheme="minorEastAsia" w:hAnsiTheme="minorHAnsi" w:cstheme="minorBidi"/>
          <w:szCs w:val="22"/>
        </w:rPr>
      </w:pPr>
      <w:r>
        <w:t>13.</w:t>
      </w:r>
      <w:r>
        <w:tab/>
        <w:t>Miscellaneous charges</w:t>
      </w:r>
      <w:r>
        <w:tab/>
      </w:r>
      <w:r>
        <w:fldChar w:fldCharType="begin"/>
      </w:r>
      <w:r>
        <w:instrText xml:space="preserve"> PAGEREF _Toc398816384 \h </w:instrText>
      </w:r>
      <w:r>
        <w:fldChar w:fldCharType="separate"/>
      </w:r>
      <w:r>
        <w:t>8</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_Toc398816385 \h </w:instrText>
      </w:r>
      <w:r>
        <w:fldChar w:fldCharType="separate"/>
      </w:r>
      <w:r>
        <w:t>8</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_Toc398816386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rPr>
      </w:pPr>
      <w:r>
        <w:t>Part 5 — Charges for the Water Corporation</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_Toc398816389 \h </w:instrText>
      </w:r>
      <w:r>
        <w:fldChar w:fldCharType="separate"/>
      </w:r>
      <w:r>
        <w:t>10</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_Toc398816390 \h </w:instrText>
      </w:r>
      <w:r>
        <w:fldChar w:fldCharType="separate"/>
      </w:r>
      <w:r>
        <w:t>15</w:t>
      </w:r>
      <w:r>
        <w:fldChar w:fldCharType="end"/>
      </w:r>
    </w:p>
    <w:p>
      <w:pPr>
        <w:pStyle w:val="TOC4"/>
        <w:tabs>
          <w:tab w:val="right" w:leader="dot" w:pos="7086"/>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_Toc398816392 \h </w:instrText>
      </w:r>
      <w:r>
        <w:fldChar w:fldCharType="separate"/>
      </w:r>
      <w:r>
        <w:t>18</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_Toc398816393 \h </w:instrText>
      </w:r>
      <w:r>
        <w:fldChar w:fldCharType="separate"/>
      </w:r>
      <w:r>
        <w:t>18</w:t>
      </w:r>
      <w:r>
        <w:fldChar w:fldCharType="end"/>
      </w:r>
    </w:p>
    <w:p>
      <w:pPr>
        <w:pStyle w:val="TOC8"/>
        <w:rPr>
          <w:rFonts w:asciiTheme="minorHAnsi" w:eastAsiaTheme="minorEastAsia" w:hAnsiTheme="minorHAnsi" w:cstheme="minorBidi"/>
          <w:szCs w:val="22"/>
        </w:rPr>
      </w:pPr>
      <w:r>
        <w:t>20.</w:t>
      </w:r>
      <w:r>
        <w:tab/>
        <w:t>Charge for payment using a credit card</w:t>
      </w:r>
      <w:r>
        <w:tab/>
      </w:r>
      <w:r>
        <w:fldChar w:fldCharType="begin"/>
      </w:r>
      <w:r>
        <w:instrText xml:space="preserve"> PAGEREF _Toc398816394 \h </w:instrText>
      </w:r>
      <w:r>
        <w:fldChar w:fldCharType="separate"/>
      </w:r>
      <w:r>
        <w:t>19</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_Toc398816395 \h </w:instrText>
      </w:r>
      <w:r>
        <w:fldChar w:fldCharType="separate"/>
      </w:r>
      <w:r>
        <w:t>19</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_Toc398816396 \h </w:instrText>
      </w:r>
      <w:r>
        <w:fldChar w:fldCharType="separate"/>
      </w:r>
      <w:r>
        <w:t>20</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_Toc398816397 \h </w:instrText>
      </w:r>
      <w:r>
        <w:fldChar w:fldCharType="separate"/>
      </w:r>
      <w:r>
        <w:t>21</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_Toc398816398 \h </w:instrText>
      </w:r>
      <w:r>
        <w:fldChar w:fldCharType="separate"/>
      </w:r>
      <w:r>
        <w:t>23</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_Toc398816399 \h </w:instrText>
      </w:r>
      <w:r>
        <w:fldChar w:fldCharType="separate"/>
      </w:r>
      <w:r>
        <w:t>23</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_Toc398816400 \h </w:instrText>
      </w:r>
      <w:r>
        <w:fldChar w:fldCharType="separate"/>
      </w:r>
      <w:r>
        <w:t>24</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_Toc398816401 \h </w:instrText>
      </w:r>
      <w:r>
        <w:fldChar w:fldCharType="separate"/>
      </w:r>
      <w:r>
        <w:t>24</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_Toc398816402 \h </w:instrText>
      </w:r>
      <w:r>
        <w:fldChar w:fldCharType="separate"/>
      </w:r>
      <w:r>
        <w:t>25</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_Toc398816403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_Toc398816405 \h </w:instrText>
      </w:r>
      <w:r>
        <w:fldChar w:fldCharType="separate"/>
      </w:r>
      <w:r>
        <w:t>27</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_Toc398816406 \h </w:instrText>
      </w:r>
      <w:r>
        <w:fldChar w:fldCharType="separate"/>
      </w:r>
      <w:r>
        <w:t>27</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_Toc398816407 \h </w:instrText>
      </w:r>
      <w:r>
        <w:fldChar w:fldCharType="separate"/>
      </w:r>
      <w:r>
        <w:t>28</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_Toc398816408 \h </w:instrText>
      </w:r>
      <w:r>
        <w:fldChar w:fldCharType="separate"/>
      </w:r>
      <w:r>
        <w:t>31</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_Toc398816409 \h </w:instrText>
      </w:r>
      <w:r>
        <w:fldChar w:fldCharType="separate"/>
      </w:r>
      <w:r>
        <w:t>31</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_Toc398816410 \h </w:instrText>
      </w:r>
      <w:r>
        <w:fldChar w:fldCharType="separate"/>
      </w:r>
      <w:r>
        <w:t>33</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_Toc398816411 \h </w:instrText>
      </w:r>
      <w:r>
        <w:fldChar w:fldCharType="separate"/>
      </w:r>
      <w:r>
        <w:t>35</w:t>
      </w:r>
      <w:r>
        <w:fldChar w:fldCharType="end"/>
      </w:r>
    </w:p>
    <w:p>
      <w:pPr>
        <w:pStyle w:val="TOC4"/>
        <w:tabs>
          <w:tab w:val="right" w:leader="dot" w:pos="7086"/>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_Toc398816413 \h </w:instrText>
      </w:r>
      <w:r>
        <w:fldChar w:fldCharType="separate"/>
      </w:r>
      <w:r>
        <w:t>35</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_Toc398816414 \h </w:instrText>
      </w:r>
      <w:r>
        <w:fldChar w:fldCharType="separate"/>
      </w:r>
      <w:r>
        <w:t>36</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_Toc398816415 \h </w:instrText>
      </w:r>
      <w:r>
        <w:fldChar w:fldCharType="separate"/>
      </w:r>
      <w:r>
        <w:t>36</w:t>
      </w:r>
      <w:r>
        <w:fldChar w:fldCharType="end"/>
      </w:r>
    </w:p>
    <w:p>
      <w:pPr>
        <w:pStyle w:val="TOC8"/>
        <w:rPr>
          <w:rFonts w:asciiTheme="minorHAnsi" w:eastAsiaTheme="minorEastAsia" w:hAnsiTheme="minorHAnsi" w:cstheme="minorBidi"/>
          <w:szCs w:val="22"/>
        </w:rPr>
      </w:pPr>
      <w:r>
        <w:t>40.</w:t>
      </w:r>
      <w:r>
        <w:tab/>
        <w:t>Classification of land</w:t>
      </w:r>
      <w:r>
        <w:tab/>
      </w:r>
      <w:r>
        <w:fldChar w:fldCharType="begin"/>
      </w:r>
      <w:r>
        <w:instrText xml:space="preserve"> PAGEREF _Toc398816416 \h </w:instrText>
      </w:r>
      <w:r>
        <w:fldChar w:fldCharType="separate"/>
      </w:r>
      <w:r>
        <w:t>37</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_Toc398816417 \h </w:instrText>
      </w:r>
      <w:r>
        <w:fldChar w:fldCharType="separate"/>
      </w:r>
      <w:r>
        <w:t>39</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_Toc398816418 \h </w:instrText>
      </w:r>
      <w:r>
        <w:fldChar w:fldCharType="separate"/>
      </w:r>
      <w:r>
        <w:t>40</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_Toc398816419 \h </w:instrText>
      </w:r>
      <w:r>
        <w:fldChar w:fldCharType="separate"/>
      </w:r>
      <w:r>
        <w:t>41</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_Toc398816420 \h </w:instrText>
      </w:r>
      <w:r>
        <w:fldChar w:fldCharType="separate"/>
      </w:r>
      <w:r>
        <w:t>41</w:t>
      </w:r>
      <w:r>
        <w:fldChar w:fldCharType="end"/>
      </w:r>
    </w:p>
    <w:p>
      <w:pPr>
        <w:pStyle w:val="TOC4"/>
        <w:tabs>
          <w:tab w:val="right" w:leader="dot" w:pos="7086"/>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_Toc398816422 \h </w:instrText>
      </w:r>
      <w:r>
        <w:fldChar w:fldCharType="separate"/>
      </w:r>
      <w:r>
        <w:t>42</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_Toc398816423 \h </w:instrText>
      </w:r>
      <w:r>
        <w:fldChar w:fldCharType="separate"/>
      </w:r>
      <w:r>
        <w:t>43</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_Toc398816424 \h </w:instrText>
      </w:r>
      <w:r>
        <w:fldChar w:fldCharType="separate"/>
      </w:r>
      <w:r>
        <w:t>44</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_Toc398816425 \h </w:instrText>
      </w:r>
      <w:r>
        <w:fldChar w:fldCharType="separate"/>
      </w:r>
      <w:r>
        <w:t>45</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_Toc398816426 \h </w:instrText>
      </w:r>
      <w:r>
        <w:fldChar w:fldCharType="separate"/>
      </w:r>
      <w:r>
        <w:t>46</w:t>
      </w:r>
      <w:r>
        <w:fldChar w:fldCharType="end"/>
      </w:r>
    </w:p>
    <w:p>
      <w:pPr>
        <w:pStyle w:val="TOC4"/>
        <w:tabs>
          <w:tab w:val="right" w:leader="dot" w:pos="7086"/>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_Toc398816428 \h </w:instrText>
      </w:r>
      <w:r>
        <w:fldChar w:fldCharType="separate"/>
      </w:r>
      <w:r>
        <w:t>46</w:t>
      </w:r>
      <w:r>
        <w:fldChar w:fldCharType="end"/>
      </w:r>
    </w:p>
    <w:p>
      <w:pPr>
        <w:pStyle w:val="TOC4"/>
        <w:tabs>
          <w:tab w:val="right" w:leader="dot" w:pos="7086"/>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_Toc398816430 \h </w:instrText>
      </w:r>
      <w:r>
        <w:fldChar w:fldCharType="separate"/>
      </w:r>
      <w:r>
        <w:t>47</w:t>
      </w:r>
      <w:r>
        <w:fldChar w:fldCharType="end"/>
      </w:r>
    </w:p>
    <w:p>
      <w:pPr>
        <w:pStyle w:val="TOC2"/>
        <w:tabs>
          <w:tab w:val="right" w:leader="dot" w:pos="7086"/>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86"/>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_Toc398816433 \h </w:instrText>
      </w:r>
      <w:r>
        <w:fldChar w:fldCharType="separate"/>
      </w:r>
      <w:r>
        <w:t>48</w:t>
      </w:r>
      <w:r>
        <w:fldChar w:fldCharType="end"/>
      </w:r>
    </w:p>
    <w:p>
      <w:pPr>
        <w:pStyle w:val="TOC4"/>
        <w:tabs>
          <w:tab w:val="right" w:leader="dot" w:pos="7086"/>
        </w:tabs>
        <w:rPr>
          <w:rFonts w:asciiTheme="minorHAnsi" w:eastAsiaTheme="minorEastAsia" w:hAnsiTheme="minorHAnsi" w:cstheme="minorBidi"/>
          <w:b w:val="0"/>
          <w:szCs w:val="22"/>
        </w:rPr>
      </w:pPr>
      <w:r>
        <w:t>Division 2 — Transitional provisions</w:t>
      </w:r>
    </w:p>
    <w:p>
      <w:pPr>
        <w:pStyle w:val="TOC6"/>
        <w:tabs>
          <w:tab w:val="right" w:leader="dot" w:pos="7086"/>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_Toc398816436 \h </w:instrText>
      </w:r>
      <w:r>
        <w:fldChar w:fldCharType="separate"/>
      </w:r>
      <w:r>
        <w:t>48</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_Toc398816437 \h </w:instrText>
      </w:r>
      <w:r>
        <w:fldChar w:fldCharType="separate"/>
      </w:r>
      <w:r>
        <w:t>48</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_Toc398816438 \h </w:instrText>
      </w:r>
      <w:r>
        <w:fldChar w:fldCharType="separate"/>
      </w:r>
      <w:r>
        <w:t>48</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_Toc398816439 \h </w:instrText>
      </w:r>
      <w:r>
        <w:fldChar w:fldCharType="separate"/>
      </w:r>
      <w:r>
        <w:t>49</w:t>
      </w:r>
      <w:r>
        <w:fldChar w:fldCharType="end"/>
      </w:r>
    </w:p>
    <w:p>
      <w:pPr>
        <w:pStyle w:val="TOC6"/>
        <w:tabs>
          <w:tab w:val="right" w:leader="dot" w:pos="7086"/>
        </w:tabs>
        <w:rPr>
          <w:rFonts w:asciiTheme="minorHAnsi" w:eastAsiaTheme="minorEastAsia" w:hAnsiTheme="minorHAnsi" w:cstheme="minorBidi"/>
          <w:b w:val="0"/>
          <w:sz w:val="22"/>
          <w:szCs w:val="22"/>
        </w:rPr>
      </w:pPr>
      <w:r>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_Toc398816441 \h </w:instrText>
      </w:r>
      <w:r>
        <w:fldChar w:fldCharType="separate"/>
      </w:r>
      <w:r>
        <w:t>49</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_Toc398816442 \h </w:instrText>
      </w:r>
      <w:r>
        <w:fldChar w:fldCharType="separate"/>
      </w:r>
      <w:r>
        <w:t>49</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_Toc398816443 \h </w:instrText>
      </w:r>
      <w:r>
        <w:fldChar w:fldCharType="separate"/>
      </w:r>
      <w:r>
        <w:t>50</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_Toc398816444 \h </w:instrText>
      </w:r>
      <w:r>
        <w:fldChar w:fldCharType="separate"/>
      </w:r>
      <w:r>
        <w:t>50</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_Toc398816445 \h </w:instrText>
      </w:r>
      <w:r>
        <w:fldChar w:fldCharType="separate"/>
      </w:r>
      <w:r>
        <w:t>50</w:t>
      </w:r>
      <w:r>
        <w:fldChar w:fldCharType="end"/>
      </w:r>
    </w:p>
    <w:p>
      <w:pPr>
        <w:pStyle w:val="TOC2"/>
        <w:tabs>
          <w:tab w:val="right" w:leader="dot" w:pos="7086"/>
        </w:tabs>
        <w:rPr>
          <w:rFonts w:asciiTheme="minorHAnsi" w:eastAsiaTheme="minorEastAsia" w:hAnsiTheme="minorHAnsi" w:cstheme="minorBidi"/>
          <w:b w:val="0"/>
          <w:sz w:val="22"/>
          <w:szCs w:val="22"/>
        </w:rPr>
      </w:pPr>
      <w:r>
        <w:t>Schedule 1 — Charges for Bunbury Water Corporation</w:t>
      </w:r>
    </w:p>
    <w:p>
      <w:pPr>
        <w:pStyle w:val="TOC4"/>
        <w:tabs>
          <w:tab w:val="right" w:leader="dot" w:pos="7086"/>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2014/15 year and subsequent years</w:t>
      </w:r>
      <w:r>
        <w:tab/>
      </w:r>
      <w:r>
        <w:fldChar w:fldCharType="begin"/>
      </w:r>
      <w:r>
        <w:instrText xml:space="preserve"> PAGEREF _Toc398816448 \h </w:instrText>
      </w:r>
      <w:r>
        <w:fldChar w:fldCharType="separate"/>
      </w:r>
      <w:r>
        <w:t>52</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_Toc398816449 \h </w:instrText>
      </w:r>
      <w:r>
        <w:fldChar w:fldCharType="separate"/>
      </w:r>
      <w:r>
        <w:t>52</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_Toc398816450 \h </w:instrText>
      </w:r>
      <w:r>
        <w:fldChar w:fldCharType="separate"/>
      </w:r>
      <w:r>
        <w:t>52</w:t>
      </w:r>
      <w:r>
        <w:fldChar w:fldCharType="end"/>
      </w:r>
    </w:p>
    <w:p>
      <w:pPr>
        <w:pStyle w:val="TOC4"/>
        <w:tabs>
          <w:tab w:val="right" w:leader="dot" w:pos="7086"/>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4.</w:t>
      </w:r>
      <w:r>
        <w:tab/>
        <w:t>Consumption charges for 2014/15 year and subsequent years</w:t>
      </w:r>
      <w:r>
        <w:tab/>
      </w:r>
      <w:r>
        <w:fldChar w:fldCharType="begin"/>
      </w:r>
      <w:r>
        <w:instrText xml:space="preserve"> PAGEREF _Toc398816452 \h </w:instrText>
      </w:r>
      <w:r>
        <w:fldChar w:fldCharType="separate"/>
      </w:r>
      <w:r>
        <w:t>52</w:t>
      </w:r>
      <w:r>
        <w:fldChar w:fldCharType="end"/>
      </w:r>
    </w:p>
    <w:p>
      <w:pPr>
        <w:pStyle w:val="TOC8"/>
        <w:rPr>
          <w:rFonts w:asciiTheme="minorHAnsi" w:eastAsiaTheme="minorEastAsia" w:hAnsiTheme="minorHAnsi" w:cstheme="minorBidi"/>
          <w:szCs w:val="22"/>
        </w:rPr>
      </w:pPr>
      <w:r>
        <w:t>5.</w:t>
      </w:r>
      <w:r>
        <w:tab/>
        <w:t>Residential lots</w:t>
      </w:r>
      <w:r>
        <w:tab/>
      </w:r>
      <w:r>
        <w:fldChar w:fldCharType="begin"/>
      </w:r>
      <w:r>
        <w:instrText xml:space="preserve"> PAGEREF _Toc398816453 \h </w:instrText>
      </w:r>
      <w:r>
        <w:fldChar w:fldCharType="separate"/>
      </w:r>
      <w:r>
        <w:t>52</w:t>
      </w:r>
      <w:r>
        <w:fldChar w:fldCharType="end"/>
      </w:r>
    </w:p>
    <w:p>
      <w:pPr>
        <w:pStyle w:val="TOC8"/>
        <w:rPr>
          <w:rFonts w:asciiTheme="minorHAnsi" w:eastAsiaTheme="minorEastAsia" w:hAnsiTheme="minorHAnsi" w:cstheme="minorBidi"/>
          <w:szCs w:val="22"/>
        </w:rPr>
      </w:pPr>
      <w:r>
        <w:t>6.</w:t>
      </w:r>
      <w:r>
        <w:tab/>
        <w:t>Non</w:t>
      </w:r>
      <w:r>
        <w:noBreakHyphen/>
        <w:t>residential lots</w:t>
      </w:r>
      <w:r>
        <w:tab/>
      </w:r>
      <w:r>
        <w:fldChar w:fldCharType="begin"/>
      </w:r>
      <w:r>
        <w:instrText xml:space="preserve"> PAGEREF _Toc398816454 \h </w:instrText>
      </w:r>
      <w:r>
        <w:fldChar w:fldCharType="separate"/>
      </w:r>
      <w:r>
        <w:t>53</w:t>
      </w:r>
      <w:r>
        <w:fldChar w:fldCharType="end"/>
      </w:r>
    </w:p>
    <w:p>
      <w:pPr>
        <w:pStyle w:val="TOC4"/>
        <w:tabs>
          <w:tab w:val="right" w:leader="dot" w:pos="7086"/>
        </w:tabs>
        <w:rPr>
          <w:rFonts w:asciiTheme="minorHAnsi" w:eastAsiaTheme="minorEastAsia" w:hAnsiTheme="minorHAnsi" w:cstheme="minorBidi"/>
          <w:b w:val="0"/>
          <w:szCs w:val="22"/>
        </w:rPr>
      </w:pPr>
      <w:r>
        <w:t>Division 3 — Miscellaneous charges</w:t>
      </w:r>
    </w:p>
    <w:p>
      <w:pPr>
        <w:pStyle w:val="TOC8"/>
        <w:rPr>
          <w:rFonts w:asciiTheme="minorHAnsi" w:eastAsiaTheme="minorEastAsia" w:hAnsiTheme="minorHAnsi" w:cstheme="minorBidi"/>
          <w:szCs w:val="22"/>
        </w:rPr>
      </w:pPr>
      <w:r>
        <w:t>7.</w:t>
      </w:r>
      <w:r>
        <w:tab/>
        <w:t>Meters: multi</w:t>
      </w:r>
      <w:r>
        <w:noBreakHyphen/>
        <w:t>unit developments</w:t>
      </w:r>
      <w:r>
        <w:tab/>
      </w:r>
      <w:r>
        <w:fldChar w:fldCharType="begin"/>
      </w:r>
      <w:r>
        <w:instrText xml:space="preserve"> PAGEREF _Toc398816456 \h </w:instrText>
      </w:r>
      <w:r>
        <w:fldChar w:fldCharType="separate"/>
      </w:r>
      <w:r>
        <w:t>53</w:t>
      </w:r>
      <w:r>
        <w:fldChar w:fldCharType="end"/>
      </w:r>
    </w:p>
    <w:p>
      <w:pPr>
        <w:pStyle w:val="TOC8"/>
        <w:rPr>
          <w:rFonts w:asciiTheme="minorHAnsi" w:eastAsiaTheme="minorEastAsia" w:hAnsiTheme="minorHAnsi" w:cstheme="minorBidi"/>
          <w:szCs w:val="22"/>
        </w:rPr>
      </w:pPr>
      <w:r>
        <w:t>8.</w:t>
      </w:r>
      <w:r>
        <w:tab/>
        <w:t>Assessing meters: multi</w:t>
      </w:r>
      <w:r>
        <w:noBreakHyphen/>
        <w:t>unit developments</w:t>
      </w:r>
      <w:r>
        <w:tab/>
      </w:r>
      <w:r>
        <w:fldChar w:fldCharType="begin"/>
      </w:r>
      <w:r>
        <w:instrText xml:space="preserve"> PAGEREF _Toc398816457 \h </w:instrText>
      </w:r>
      <w:r>
        <w:fldChar w:fldCharType="separate"/>
      </w:r>
      <w:r>
        <w:t>53</w:t>
      </w:r>
      <w:r>
        <w:fldChar w:fldCharType="end"/>
      </w:r>
    </w:p>
    <w:p>
      <w:pPr>
        <w:pStyle w:val="TOC8"/>
        <w:rPr>
          <w:rFonts w:asciiTheme="minorHAnsi" w:eastAsiaTheme="minorEastAsia" w:hAnsiTheme="minorHAnsi" w:cstheme="minorBidi"/>
          <w:szCs w:val="22"/>
        </w:rPr>
      </w:pPr>
      <w:r>
        <w:t>9.</w:t>
      </w:r>
      <w:r>
        <w:tab/>
        <w:t>Testing meters</w:t>
      </w:r>
      <w:r>
        <w:tab/>
      </w:r>
      <w:r>
        <w:fldChar w:fldCharType="begin"/>
      </w:r>
      <w:r>
        <w:instrText xml:space="preserve"> PAGEREF _Toc398816458 \h </w:instrText>
      </w:r>
      <w:r>
        <w:fldChar w:fldCharType="separate"/>
      </w:r>
      <w:r>
        <w:t>53</w:t>
      </w:r>
      <w:r>
        <w:fldChar w:fldCharType="end"/>
      </w:r>
    </w:p>
    <w:p>
      <w:pPr>
        <w:pStyle w:val="TOC8"/>
        <w:rPr>
          <w:rFonts w:asciiTheme="minorHAnsi" w:eastAsiaTheme="minorEastAsia" w:hAnsiTheme="minorHAnsi" w:cstheme="minorBidi"/>
          <w:szCs w:val="22"/>
        </w:rPr>
      </w:pPr>
      <w:r>
        <w:t>10.</w:t>
      </w:r>
      <w:r>
        <w:tab/>
        <w:t>Copies of records</w:t>
      </w:r>
      <w:r>
        <w:tab/>
      </w:r>
      <w:r>
        <w:fldChar w:fldCharType="begin"/>
      </w:r>
      <w:r>
        <w:instrText xml:space="preserve"> PAGEREF _Toc398816459 \h </w:instrText>
      </w:r>
      <w:r>
        <w:fldChar w:fldCharType="separate"/>
      </w:r>
      <w:r>
        <w:t>54</w:t>
      </w:r>
      <w:r>
        <w:fldChar w:fldCharType="end"/>
      </w:r>
    </w:p>
    <w:p>
      <w:pPr>
        <w:pStyle w:val="TOC2"/>
        <w:tabs>
          <w:tab w:val="right" w:leader="dot" w:pos="7086"/>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86"/>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2014/15 year and subsequent years</w:t>
      </w:r>
      <w:r>
        <w:tab/>
      </w:r>
      <w:r>
        <w:fldChar w:fldCharType="begin"/>
      </w:r>
      <w:r>
        <w:instrText xml:space="preserve"> PAGEREF _Toc398816462 \h </w:instrText>
      </w:r>
      <w:r>
        <w:fldChar w:fldCharType="separate"/>
      </w:r>
      <w:r>
        <w:t>55</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_Toc398816463 \h </w:instrText>
      </w:r>
      <w:r>
        <w:fldChar w:fldCharType="separate"/>
      </w:r>
      <w:r>
        <w:t>55</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_Toc398816464 \h </w:instrText>
      </w:r>
      <w:r>
        <w:fldChar w:fldCharType="separate"/>
      </w:r>
      <w:r>
        <w:t>55</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_Toc398816465 \h </w:instrText>
      </w:r>
      <w:r>
        <w:fldChar w:fldCharType="separate"/>
      </w:r>
      <w:r>
        <w:t>55</w:t>
      </w:r>
      <w:r>
        <w:fldChar w:fldCharType="end"/>
      </w:r>
    </w:p>
    <w:p>
      <w:pPr>
        <w:pStyle w:val="TOC8"/>
        <w:rPr>
          <w:rFonts w:asciiTheme="minorHAnsi" w:eastAsiaTheme="minorEastAsia" w:hAnsiTheme="minorHAnsi" w:cstheme="minorBidi"/>
          <w:szCs w:val="22"/>
        </w:rPr>
      </w:pPr>
      <w:r>
        <w:t>5.</w:t>
      </w:r>
      <w:r>
        <w:tab/>
        <w:t>Fire services</w:t>
      </w:r>
      <w:r>
        <w:tab/>
      </w:r>
      <w:r>
        <w:fldChar w:fldCharType="begin"/>
      </w:r>
      <w:r>
        <w:instrText xml:space="preserve"> PAGEREF _Toc398816466 \h </w:instrText>
      </w:r>
      <w:r>
        <w:fldChar w:fldCharType="separate"/>
      </w:r>
      <w:r>
        <w:t>55</w:t>
      </w:r>
      <w:r>
        <w:fldChar w:fldCharType="end"/>
      </w:r>
    </w:p>
    <w:p>
      <w:pPr>
        <w:pStyle w:val="TOC4"/>
        <w:tabs>
          <w:tab w:val="right" w:leader="dot" w:pos="7086"/>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6.</w:t>
      </w:r>
      <w:r>
        <w:tab/>
        <w:t>Consumption charges for 2014/15 year and subsequent years</w:t>
      </w:r>
      <w:r>
        <w:tab/>
      </w:r>
      <w:r>
        <w:fldChar w:fldCharType="begin"/>
      </w:r>
      <w:r>
        <w:instrText xml:space="preserve"> PAGEREF _Toc398816468 \h </w:instrText>
      </w:r>
      <w:r>
        <w:fldChar w:fldCharType="separate"/>
      </w:r>
      <w:r>
        <w:t>56</w:t>
      </w:r>
      <w:r>
        <w:fldChar w:fldCharType="end"/>
      </w:r>
    </w:p>
    <w:p>
      <w:pPr>
        <w:pStyle w:val="TOC8"/>
        <w:rPr>
          <w:rFonts w:asciiTheme="minorHAnsi" w:eastAsiaTheme="minorEastAsia" w:hAnsiTheme="minorHAnsi" w:cstheme="minorBidi"/>
          <w:szCs w:val="22"/>
        </w:rPr>
      </w:pPr>
      <w:r>
        <w:t>7.</w:t>
      </w:r>
      <w:r>
        <w:tab/>
        <w:t>Residential lots</w:t>
      </w:r>
      <w:r>
        <w:tab/>
      </w:r>
      <w:r>
        <w:fldChar w:fldCharType="begin"/>
      </w:r>
      <w:r>
        <w:instrText xml:space="preserve"> PAGEREF _Toc398816469 \h </w:instrText>
      </w:r>
      <w:r>
        <w:fldChar w:fldCharType="separate"/>
      </w:r>
      <w:r>
        <w:t>56</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_Toc398816470 \h </w:instrText>
      </w:r>
      <w:r>
        <w:fldChar w:fldCharType="separate"/>
      </w:r>
      <w:r>
        <w:t>56</w:t>
      </w:r>
      <w:r>
        <w:fldChar w:fldCharType="end"/>
      </w:r>
    </w:p>
    <w:p>
      <w:pPr>
        <w:pStyle w:val="TOC8"/>
        <w:rPr>
          <w:rFonts w:asciiTheme="minorHAnsi" w:eastAsiaTheme="minorEastAsia" w:hAnsiTheme="minorHAnsi" w:cstheme="minorBidi"/>
          <w:szCs w:val="22"/>
        </w:rPr>
      </w:pPr>
      <w:r>
        <w:t>9.</w:t>
      </w:r>
      <w:r>
        <w:tab/>
        <w:t>Fire services</w:t>
      </w:r>
      <w:r>
        <w:tab/>
      </w:r>
      <w:r>
        <w:fldChar w:fldCharType="begin"/>
      </w:r>
      <w:r>
        <w:instrText xml:space="preserve"> PAGEREF _Toc398816471 \h </w:instrText>
      </w:r>
      <w:r>
        <w:fldChar w:fldCharType="separate"/>
      </w:r>
      <w:r>
        <w:t>56</w:t>
      </w:r>
      <w:r>
        <w:fldChar w:fldCharType="end"/>
      </w:r>
    </w:p>
    <w:p>
      <w:pPr>
        <w:pStyle w:val="TOC4"/>
        <w:tabs>
          <w:tab w:val="right" w:leader="dot" w:pos="7086"/>
        </w:tabs>
        <w:rPr>
          <w:rFonts w:asciiTheme="minorHAnsi" w:eastAsiaTheme="minorEastAsia" w:hAnsiTheme="minorHAnsi" w:cstheme="minorBidi"/>
          <w:b w:val="0"/>
          <w:szCs w:val="22"/>
        </w:rPr>
      </w:pPr>
      <w:r>
        <w:t>Division 3 — Miscellaneous charges</w:t>
      </w:r>
    </w:p>
    <w:p>
      <w:pPr>
        <w:pStyle w:val="TOC8"/>
        <w:rPr>
          <w:rFonts w:asciiTheme="minorHAnsi" w:eastAsiaTheme="minorEastAsia" w:hAnsiTheme="minorHAnsi" w:cstheme="minorBidi"/>
          <w:szCs w:val="22"/>
        </w:rPr>
      </w:pPr>
      <w:r>
        <w:t>10.</w:t>
      </w:r>
      <w:r>
        <w:tab/>
        <w:t>Meters: multi</w:t>
      </w:r>
      <w:r>
        <w:noBreakHyphen/>
        <w:t>unit developments</w:t>
      </w:r>
      <w:r>
        <w:tab/>
      </w:r>
      <w:r>
        <w:fldChar w:fldCharType="begin"/>
      </w:r>
      <w:r>
        <w:instrText xml:space="preserve"> PAGEREF _Toc398816473 \h </w:instrText>
      </w:r>
      <w:r>
        <w:fldChar w:fldCharType="separate"/>
      </w:r>
      <w:r>
        <w:t>56</w:t>
      </w:r>
      <w:r>
        <w:fldChar w:fldCharType="end"/>
      </w:r>
    </w:p>
    <w:p>
      <w:pPr>
        <w:pStyle w:val="TOC8"/>
        <w:rPr>
          <w:rFonts w:asciiTheme="minorHAnsi" w:eastAsiaTheme="minorEastAsia" w:hAnsiTheme="minorHAnsi" w:cstheme="minorBidi"/>
          <w:szCs w:val="22"/>
        </w:rPr>
      </w:pPr>
      <w:r>
        <w:t>11.</w:t>
      </w:r>
      <w:r>
        <w:tab/>
        <w:t>Assessing meters: multi</w:t>
      </w:r>
      <w:r>
        <w:noBreakHyphen/>
        <w:t>unit developments</w:t>
      </w:r>
      <w:r>
        <w:tab/>
      </w:r>
      <w:r>
        <w:fldChar w:fldCharType="begin"/>
      </w:r>
      <w:r>
        <w:instrText xml:space="preserve"> PAGEREF _Toc398816474 \h </w:instrText>
      </w:r>
      <w:r>
        <w:fldChar w:fldCharType="separate"/>
      </w:r>
      <w:r>
        <w:t>57</w:t>
      </w:r>
      <w:r>
        <w:fldChar w:fldCharType="end"/>
      </w:r>
    </w:p>
    <w:p>
      <w:pPr>
        <w:pStyle w:val="TOC8"/>
        <w:rPr>
          <w:rFonts w:asciiTheme="minorHAnsi" w:eastAsiaTheme="minorEastAsia" w:hAnsiTheme="minorHAnsi" w:cstheme="minorBidi"/>
          <w:szCs w:val="22"/>
        </w:rPr>
      </w:pPr>
      <w:r>
        <w:t>12.</w:t>
      </w:r>
      <w:r>
        <w:tab/>
        <w:t>Testing meters</w:t>
      </w:r>
      <w:r>
        <w:tab/>
      </w:r>
      <w:r>
        <w:fldChar w:fldCharType="begin"/>
      </w:r>
      <w:r>
        <w:instrText xml:space="preserve"> PAGEREF _Toc398816475 \h </w:instrText>
      </w:r>
      <w:r>
        <w:fldChar w:fldCharType="separate"/>
      </w:r>
      <w:r>
        <w:t>57</w:t>
      </w:r>
      <w:r>
        <w:fldChar w:fldCharType="end"/>
      </w:r>
    </w:p>
    <w:p>
      <w:pPr>
        <w:pStyle w:val="TOC8"/>
        <w:rPr>
          <w:rFonts w:asciiTheme="minorHAnsi" w:eastAsiaTheme="minorEastAsia" w:hAnsiTheme="minorHAnsi" w:cstheme="minorBidi"/>
          <w:szCs w:val="22"/>
        </w:rPr>
      </w:pPr>
      <w:r>
        <w:t>13.</w:t>
      </w:r>
      <w:r>
        <w:tab/>
        <w:t>Copies of records</w:t>
      </w:r>
      <w:r>
        <w:tab/>
      </w:r>
      <w:r>
        <w:fldChar w:fldCharType="begin"/>
      </w:r>
      <w:r>
        <w:instrText xml:space="preserve"> PAGEREF _Toc398816476 \h </w:instrText>
      </w:r>
      <w:r>
        <w:fldChar w:fldCharType="separate"/>
      </w:r>
      <w:r>
        <w:t>57</w:t>
      </w:r>
      <w:r>
        <w:fldChar w:fldCharType="end"/>
      </w:r>
    </w:p>
    <w:p>
      <w:pPr>
        <w:pStyle w:val="TOC2"/>
        <w:tabs>
          <w:tab w:val="right" w:leader="dot" w:pos="7086"/>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86"/>
        </w:tabs>
        <w:rPr>
          <w:rFonts w:asciiTheme="minorHAnsi" w:eastAsiaTheme="minorEastAsia" w:hAnsiTheme="minorHAnsi" w:cstheme="minorBidi"/>
          <w:b w:val="0"/>
          <w:szCs w:val="22"/>
        </w:rPr>
      </w:pPr>
      <w:r>
        <w:t>Division 1 — Service charges</w:t>
      </w:r>
    </w:p>
    <w:p>
      <w:pPr>
        <w:pStyle w:val="TOC6"/>
        <w:tabs>
          <w:tab w:val="right" w:leader="dot" w:pos="7086"/>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1.</w:t>
      </w:r>
      <w:r>
        <w:tab/>
        <w:t>Service charges for 2014/15 year and subsequent years</w:t>
      </w:r>
      <w:r>
        <w:tab/>
      </w:r>
      <w:r>
        <w:fldChar w:fldCharType="begin"/>
      </w:r>
      <w:r>
        <w:instrText xml:space="preserve"> PAGEREF _Toc398816480 \h </w:instrText>
      </w:r>
      <w:r>
        <w:fldChar w:fldCharType="separate"/>
      </w:r>
      <w:r>
        <w:t>58</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_Toc398816481 \h </w:instrText>
      </w:r>
      <w:r>
        <w:fldChar w:fldCharType="separate"/>
      </w:r>
      <w:r>
        <w:t>58</w:t>
      </w:r>
      <w:r>
        <w:fldChar w:fldCharType="end"/>
      </w:r>
    </w:p>
    <w:p>
      <w:pPr>
        <w:pStyle w:val="TOC6"/>
        <w:tabs>
          <w:tab w:val="right" w:leader="dot" w:pos="7086"/>
        </w:tabs>
        <w:rPr>
          <w:rFonts w:asciiTheme="minorHAnsi" w:eastAsiaTheme="minorEastAsia" w:hAnsiTheme="minorHAnsi" w:cstheme="minorBidi"/>
          <w:b w:val="0"/>
          <w:sz w:val="22"/>
          <w:szCs w:val="22"/>
        </w:rPr>
      </w:pPr>
      <w:r>
        <w:t>Subdivision 2</w:t>
      </w:r>
      <w:r>
        <w:rPr>
          <w:b w:val="0"/>
        </w:rPr>
        <w:t> — </w:t>
      </w:r>
      <w:r>
        <w:t>Service charges that apply in respect of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_Toc398816483 \h </w:instrText>
      </w:r>
      <w:r>
        <w:fldChar w:fldCharType="separate"/>
      </w:r>
      <w:r>
        <w:t>59</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_Toc398816484 \h </w:instrText>
      </w:r>
      <w:r>
        <w:fldChar w:fldCharType="separate"/>
      </w:r>
      <w:r>
        <w:t>59</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_Toc398816485 \h </w:instrText>
      </w:r>
      <w:r>
        <w:fldChar w:fldCharType="separate"/>
      </w:r>
      <w:r>
        <w:t>59</w:t>
      </w:r>
      <w:r>
        <w:fldChar w:fldCharType="end"/>
      </w:r>
    </w:p>
    <w:p>
      <w:pPr>
        <w:pStyle w:val="TOC8"/>
        <w:rPr>
          <w:rFonts w:asciiTheme="minorHAnsi" w:eastAsiaTheme="minorEastAsia" w:hAnsiTheme="minorHAnsi" w:cstheme="minorBidi"/>
          <w:szCs w:val="22"/>
        </w:rPr>
      </w:pPr>
      <w:r>
        <w:t>6.</w:t>
      </w:r>
      <w:r>
        <w:tab/>
        <w:t>Strata</w:t>
      </w:r>
      <w:r>
        <w:noBreakHyphen/>
        <w:t>titled storage units or parking bays</w:t>
      </w:r>
      <w:r>
        <w:tab/>
      </w:r>
      <w:r>
        <w:fldChar w:fldCharType="begin"/>
      </w:r>
      <w:r>
        <w:instrText xml:space="preserve"> PAGEREF _Toc398816486 \h </w:instrText>
      </w:r>
      <w:r>
        <w:fldChar w:fldCharType="separate"/>
      </w:r>
      <w:r>
        <w:t>59</w:t>
      </w:r>
      <w:r>
        <w:fldChar w:fldCharType="end"/>
      </w:r>
    </w:p>
    <w:p>
      <w:pPr>
        <w:pStyle w:val="TOC8"/>
        <w:rPr>
          <w:rFonts w:asciiTheme="minorHAnsi" w:eastAsiaTheme="minorEastAsia" w:hAnsiTheme="minorHAnsi" w:cstheme="minorBidi"/>
          <w:szCs w:val="22"/>
        </w:rPr>
      </w:pPr>
      <w:r>
        <w:t>7.</w:t>
      </w:r>
      <w:r>
        <w:tab/>
        <w:t>Non</w:t>
      </w:r>
      <w:r>
        <w:noBreakHyphen/>
        <w:t>residential strata</w:t>
      </w:r>
      <w:r>
        <w:noBreakHyphen/>
        <w:t>titled units that share a service</w:t>
      </w:r>
      <w:r>
        <w:tab/>
      </w:r>
      <w:r>
        <w:fldChar w:fldCharType="begin"/>
      </w:r>
      <w:r>
        <w:instrText xml:space="preserve"> PAGEREF _Toc398816487 \h </w:instrText>
      </w:r>
      <w:r>
        <w:fldChar w:fldCharType="separate"/>
      </w:r>
      <w:r>
        <w:t>59</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_Toc398816488 \h </w:instrText>
      </w:r>
      <w:r>
        <w:fldChar w:fldCharType="separate"/>
      </w:r>
      <w:r>
        <w:t>60</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_Toc398816489 \h </w:instrText>
      </w:r>
      <w:r>
        <w:fldChar w:fldCharType="separate"/>
      </w:r>
      <w:r>
        <w:t>60</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_Toc398816490 \h </w:instrText>
      </w:r>
      <w:r>
        <w:fldChar w:fldCharType="separate"/>
      </w:r>
      <w:r>
        <w:t>60</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certain strata</w:t>
      </w:r>
      <w:r>
        <w:noBreakHyphen/>
        <w:t>titled units)</w:t>
      </w:r>
      <w:r>
        <w:tab/>
      </w:r>
      <w:r>
        <w:fldChar w:fldCharType="begin"/>
      </w:r>
      <w:r>
        <w:instrText xml:space="preserve"> PAGEREF _Toc398816491 \h </w:instrText>
      </w:r>
      <w:r>
        <w:fldChar w:fldCharType="separate"/>
      </w:r>
      <w:r>
        <w:t>60</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_Toc398816492 \h </w:instrText>
      </w:r>
      <w:r>
        <w:fldChar w:fldCharType="separate"/>
      </w:r>
      <w:r>
        <w:t>61</w:t>
      </w:r>
      <w:r>
        <w:fldChar w:fldCharType="end"/>
      </w:r>
    </w:p>
    <w:p>
      <w:pPr>
        <w:pStyle w:val="TOC8"/>
        <w:rPr>
          <w:rFonts w:asciiTheme="minorHAnsi" w:eastAsiaTheme="minorEastAsia" w:hAnsiTheme="minorHAnsi" w:cstheme="minorBidi"/>
          <w:szCs w:val="22"/>
        </w:rPr>
      </w:pPr>
      <w:r>
        <w:t>13.</w:t>
      </w:r>
      <w:r>
        <w:tab/>
        <w:t>Farmland</w:t>
      </w:r>
      <w:r>
        <w:tab/>
      </w:r>
      <w:r>
        <w:fldChar w:fldCharType="begin"/>
      </w:r>
      <w:r>
        <w:instrText xml:space="preserve"> PAGEREF _Toc398816493 \h </w:instrText>
      </w:r>
      <w:r>
        <w:fldChar w:fldCharType="separate"/>
      </w:r>
      <w:r>
        <w:t>62</w:t>
      </w:r>
      <w:r>
        <w:fldChar w:fldCharType="end"/>
      </w:r>
    </w:p>
    <w:p>
      <w:pPr>
        <w:pStyle w:val="TOC8"/>
        <w:rPr>
          <w:rFonts w:asciiTheme="minorHAnsi" w:eastAsiaTheme="minorEastAsia" w:hAnsiTheme="minorHAnsi" w:cstheme="minorBidi"/>
          <w:szCs w:val="22"/>
        </w:rPr>
      </w:pPr>
      <w:r>
        <w:t>14.</w:t>
      </w:r>
      <w:r>
        <w:tab/>
        <w:t>Vacant land</w:t>
      </w:r>
      <w:r>
        <w:tab/>
      </w:r>
      <w:r>
        <w:fldChar w:fldCharType="begin"/>
      </w:r>
      <w:r>
        <w:instrText xml:space="preserve"> PAGEREF _Toc398816494 \h </w:instrText>
      </w:r>
      <w:r>
        <w:fldChar w:fldCharType="separate"/>
      </w:r>
      <w:r>
        <w:t>62</w:t>
      </w:r>
      <w:r>
        <w:fldChar w:fldCharType="end"/>
      </w:r>
    </w:p>
    <w:p>
      <w:pPr>
        <w:pStyle w:val="TOC8"/>
        <w:rPr>
          <w:rFonts w:asciiTheme="minorHAnsi" w:eastAsiaTheme="minorEastAsia" w:hAnsiTheme="minorHAnsi" w:cstheme="minorBidi"/>
          <w:szCs w:val="22"/>
        </w:rPr>
      </w:pPr>
      <w:r>
        <w:t>15.</w:t>
      </w:r>
      <w:r>
        <w:tab/>
        <w:t>Garden supply</w:t>
      </w:r>
      <w:r>
        <w:tab/>
      </w:r>
      <w:r>
        <w:fldChar w:fldCharType="begin"/>
      </w:r>
      <w:r>
        <w:instrText xml:space="preserve"> PAGEREF _Toc398816495 \h </w:instrText>
      </w:r>
      <w:r>
        <w:fldChar w:fldCharType="separate"/>
      </w:r>
      <w:r>
        <w:t>62</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_Toc398816496 \h </w:instrText>
      </w:r>
      <w:r>
        <w:fldChar w:fldCharType="separate"/>
      </w:r>
      <w:r>
        <w:t>63</w:t>
      </w:r>
      <w:r>
        <w:fldChar w:fldCharType="end"/>
      </w:r>
    </w:p>
    <w:p>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_Toc398816497 \h </w:instrText>
      </w:r>
      <w:r>
        <w:fldChar w:fldCharType="separate"/>
      </w:r>
      <w:r>
        <w:t>64</w:t>
      </w:r>
      <w:r>
        <w:fldChar w:fldCharType="end"/>
      </w:r>
    </w:p>
    <w:p>
      <w:pPr>
        <w:pStyle w:val="TOC8"/>
        <w:rPr>
          <w:rFonts w:asciiTheme="minorHAnsi" w:eastAsiaTheme="minorEastAsia" w:hAnsiTheme="minorHAnsi" w:cstheme="minorBidi"/>
          <w:szCs w:val="22"/>
        </w:rPr>
      </w:pPr>
      <w:r>
        <w:t>18.</w:t>
      </w:r>
      <w:r>
        <w:tab/>
        <w:t>Capital infrastructure charges</w:t>
      </w:r>
      <w:r>
        <w:tab/>
      </w:r>
      <w:r>
        <w:fldChar w:fldCharType="begin"/>
      </w:r>
      <w:r>
        <w:instrText xml:space="preserve"> PAGEREF _Toc398816498 \h </w:instrText>
      </w:r>
      <w:r>
        <w:fldChar w:fldCharType="separate"/>
      </w:r>
      <w:r>
        <w:t>64</w:t>
      </w:r>
      <w:r>
        <w:fldChar w:fldCharType="end"/>
      </w:r>
    </w:p>
    <w:p>
      <w:pPr>
        <w:pStyle w:val="TOC6"/>
        <w:tabs>
          <w:tab w:val="right" w:leader="dot" w:pos="7086"/>
        </w:tabs>
        <w:rPr>
          <w:rFonts w:asciiTheme="minorHAnsi" w:eastAsiaTheme="minorEastAsia" w:hAnsiTheme="minorHAnsi" w:cstheme="minorBidi"/>
          <w:b w:val="0"/>
          <w:sz w:val="22"/>
          <w:szCs w:val="22"/>
        </w:rPr>
      </w:pPr>
      <w:r>
        <w:t>Subdivision 3</w:t>
      </w:r>
      <w:r>
        <w:rPr>
          <w:b w:val="0"/>
        </w:rPr>
        <w:t> — </w:t>
      </w:r>
      <w:r>
        <w:t>Other service charges</w:t>
      </w:r>
    </w:p>
    <w:p>
      <w:pPr>
        <w:pStyle w:val="TOC8"/>
        <w:rPr>
          <w:rFonts w:asciiTheme="minorHAnsi" w:eastAsiaTheme="minorEastAsia" w:hAnsiTheme="minorHAnsi" w:cstheme="minorBidi"/>
          <w:szCs w:val="22"/>
        </w:rPr>
      </w:pPr>
      <w:r>
        <w:t>19.</w:t>
      </w:r>
      <w:r>
        <w:tab/>
        <w:t>Stock</w:t>
      </w:r>
      <w:r>
        <w:tab/>
      </w:r>
      <w:r>
        <w:fldChar w:fldCharType="begin"/>
      </w:r>
      <w:r>
        <w:instrText xml:space="preserve"> PAGEREF _Toc398816500 \h </w:instrText>
      </w:r>
      <w:r>
        <w:fldChar w:fldCharType="separate"/>
      </w:r>
      <w:r>
        <w:t>65</w:t>
      </w:r>
      <w:r>
        <w:fldChar w:fldCharType="end"/>
      </w:r>
    </w:p>
    <w:p>
      <w:pPr>
        <w:pStyle w:val="TOC8"/>
        <w:rPr>
          <w:rFonts w:asciiTheme="minorHAnsi" w:eastAsiaTheme="minorEastAsia" w:hAnsiTheme="minorHAnsi" w:cstheme="minorBidi"/>
          <w:szCs w:val="22"/>
        </w:rPr>
      </w:pPr>
      <w:r>
        <w:t>20.</w:t>
      </w:r>
      <w:r>
        <w:tab/>
        <w:t>Shipping</w:t>
      </w:r>
      <w:r>
        <w:tab/>
      </w:r>
      <w:r>
        <w:fldChar w:fldCharType="begin"/>
      </w:r>
      <w:r>
        <w:instrText xml:space="preserve"> PAGEREF _Toc398816501 \h </w:instrText>
      </w:r>
      <w:r>
        <w:fldChar w:fldCharType="separate"/>
      </w:r>
      <w:r>
        <w:t>65</w:t>
      </w:r>
      <w:r>
        <w:fldChar w:fldCharType="end"/>
      </w:r>
    </w:p>
    <w:p>
      <w:pPr>
        <w:pStyle w:val="TOC8"/>
        <w:rPr>
          <w:rFonts w:asciiTheme="minorHAnsi" w:eastAsiaTheme="minorEastAsia" w:hAnsiTheme="minorHAnsi" w:cstheme="minorBidi"/>
          <w:szCs w:val="22"/>
        </w:rPr>
      </w:pPr>
      <w:r>
        <w:t>21.</w:t>
      </w:r>
      <w:r>
        <w:tab/>
        <w:t>Local government standpipes</w:t>
      </w:r>
      <w:r>
        <w:tab/>
      </w:r>
      <w:r>
        <w:fldChar w:fldCharType="begin"/>
      </w:r>
      <w:r>
        <w:instrText xml:space="preserve"> PAGEREF _Toc398816502 \h </w:instrText>
      </w:r>
      <w:r>
        <w:fldChar w:fldCharType="separate"/>
      </w:r>
      <w:r>
        <w:t>65</w:t>
      </w:r>
      <w:r>
        <w:fldChar w:fldCharType="end"/>
      </w:r>
    </w:p>
    <w:p>
      <w:pPr>
        <w:pStyle w:val="TOC8"/>
        <w:rPr>
          <w:rFonts w:asciiTheme="minorHAnsi" w:eastAsiaTheme="minorEastAsia" w:hAnsiTheme="minorHAnsi" w:cstheme="minorBidi"/>
          <w:szCs w:val="22"/>
        </w:rPr>
      </w:pPr>
      <w:r>
        <w:t>22.</w:t>
      </w:r>
      <w:r>
        <w:tab/>
        <w:t>Fire service connections</w:t>
      </w:r>
      <w:r>
        <w:tab/>
      </w:r>
      <w:r>
        <w:fldChar w:fldCharType="begin"/>
      </w:r>
      <w:r>
        <w:instrText xml:space="preserve"> PAGEREF _Toc398816503 \h </w:instrText>
      </w:r>
      <w:r>
        <w:fldChar w:fldCharType="separate"/>
      </w:r>
      <w:r>
        <w:t>66</w:t>
      </w:r>
      <w:r>
        <w:fldChar w:fldCharType="end"/>
      </w:r>
    </w:p>
    <w:p>
      <w:pPr>
        <w:pStyle w:val="TOC4"/>
        <w:tabs>
          <w:tab w:val="right" w:leader="dot" w:pos="7086"/>
        </w:tabs>
        <w:rPr>
          <w:rFonts w:asciiTheme="minorHAnsi" w:eastAsiaTheme="minorEastAsia" w:hAnsiTheme="minorHAnsi" w:cstheme="minorBidi"/>
          <w:b w:val="0"/>
          <w:szCs w:val="22"/>
        </w:rPr>
      </w:pPr>
      <w:r>
        <w:t>Division 2 — Consumption charges</w:t>
      </w:r>
    </w:p>
    <w:p>
      <w:pPr>
        <w:pStyle w:val="TOC6"/>
        <w:tabs>
          <w:tab w:val="right" w:leader="dot" w:pos="7086"/>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23.</w:t>
      </w:r>
      <w:r>
        <w:tab/>
        <w:t>Consumption charges for 2014/15 year and subsequent years</w:t>
      </w:r>
      <w:r>
        <w:tab/>
      </w:r>
      <w:r>
        <w:fldChar w:fldCharType="begin"/>
      </w:r>
      <w:r>
        <w:instrText xml:space="preserve"> PAGEREF _Toc398816506 \h </w:instrText>
      </w:r>
      <w:r>
        <w:fldChar w:fldCharType="separate"/>
      </w:r>
      <w:r>
        <w:t>66</w:t>
      </w:r>
      <w:r>
        <w:fldChar w:fldCharType="end"/>
      </w:r>
    </w:p>
    <w:p>
      <w:pPr>
        <w:pStyle w:val="TOC8"/>
        <w:rPr>
          <w:rFonts w:asciiTheme="minorHAnsi" w:eastAsiaTheme="minorEastAsia" w:hAnsiTheme="minorHAnsi" w:cstheme="minorBidi"/>
          <w:szCs w:val="22"/>
        </w:rPr>
      </w:pPr>
      <w:r>
        <w:t>24.</w:t>
      </w:r>
      <w:r>
        <w:tab/>
        <w:t>Residential or non</w:t>
      </w:r>
      <w:r>
        <w:noBreakHyphen/>
        <w:t>residential class of town or area</w:t>
      </w:r>
      <w:r>
        <w:tab/>
      </w:r>
      <w:r>
        <w:fldChar w:fldCharType="begin"/>
      </w:r>
      <w:r>
        <w:instrText xml:space="preserve"> PAGEREF _Toc398816507 \h </w:instrText>
      </w:r>
      <w:r>
        <w:fldChar w:fldCharType="separate"/>
      </w:r>
      <w:r>
        <w:t>66</w:t>
      </w:r>
      <w:r>
        <w:fldChar w:fldCharType="end"/>
      </w:r>
    </w:p>
    <w:p>
      <w:pPr>
        <w:pStyle w:val="TOC8"/>
        <w:rPr>
          <w:rFonts w:asciiTheme="minorHAnsi" w:eastAsiaTheme="minorEastAsia" w:hAnsiTheme="minorHAnsi" w:cstheme="minorBidi"/>
          <w:szCs w:val="22"/>
        </w:rPr>
      </w:pPr>
      <w:r>
        <w:t>25.</w:t>
      </w:r>
      <w:r>
        <w:tab/>
        <w:t>Table of class</w:t>
      </w:r>
      <w:r>
        <w:noBreakHyphen/>
        <w:t>based charges</w:t>
      </w:r>
      <w:r>
        <w:tab/>
      </w:r>
      <w:r>
        <w:fldChar w:fldCharType="begin"/>
      </w:r>
      <w:r>
        <w:instrText xml:space="preserve"> PAGEREF _Toc398816508 \h </w:instrText>
      </w:r>
      <w:r>
        <w:fldChar w:fldCharType="separate"/>
      </w:r>
      <w:r>
        <w:t>66</w:t>
      </w:r>
      <w:r>
        <w:fldChar w:fldCharType="end"/>
      </w:r>
    </w:p>
    <w:p>
      <w:pPr>
        <w:pStyle w:val="TOC6"/>
        <w:tabs>
          <w:tab w:val="right" w:leader="dot" w:pos="7086"/>
        </w:tabs>
        <w:rPr>
          <w:rFonts w:asciiTheme="minorHAnsi" w:eastAsiaTheme="minorEastAsia" w:hAnsiTheme="minorHAnsi" w:cstheme="minorBidi"/>
          <w:b w:val="0"/>
          <w:sz w:val="22"/>
          <w:szCs w:val="22"/>
        </w:rPr>
      </w:pPr>
      <w:r>
        <w:t>Subdivision 2</w:t>
      </w:r>
      <w:r>
        <w:rPr>
          <w:b w:val="0"/>
        </w:rPr>
        <w:t> — </w:t>
      </w:r>
      <w:r>
        <w:t>Consumption charges that apply in respect of land</w:t>
      </w:r>
    </w:p>
    <w:p>
      <w:pPr>
        <w:pStyle w:val="TOC8"/>
        <w:rPr>
          <w:rFonts w:asciiTheme="minorHAnsi" w:eastAsiaTheme="minorEastAsia" w:hAnsiTheme="minorHAnsi" w:cstheme="minorBidi"/>
          <w:szCs w:val="22"/>
        </w:rPr>
      </w:pPr>
      <w:r>
        <w:t>26.</w:t>
      </w:r>
      <w:r>
        <w:tab/>
        <w:t>Metropolitan residential and semi</w:t>
      </w:r>
      <w:r>
        <w:noBreakHyphen/>
        <w:t>rural residential</w:t>
      </w:r>
      <w:r>
        <w:tab/>
      </w:r>
      <w:r>
        <w:fldChar w:fldCharType="begin"/>
      </w:r>
      <w:r>
        <w:instrText xml:space="preserve"> PAGEREF _Toc398816510 \h </w:instrText>
      </w:r>
      <w:r>
        <w:fldChar w:fldCharType="separate"/>
      </w:r>
      <w:r>
        <w:t>67</w:t>
      </w:r>
      <w:r>
        <w:fldChar w:fldCharType="end"/>
      </w:r>
    </w:p>
    <w:p>
      <w:pPr>
        <w:pStyle w:val="TOC8"/>
        <w:rPr>
          <w:rFonts w:asciiTheme="minorHAnsi" w:eastAsiaTheme="minorEastAsia" w:hAnsiTheme="minorHAnsi" w:cstheme="minorBidi"/>
          <w:szCs w:val="22"/>
        </w:rPr>
      </w:pPr>
      <w:r>
        <w:t>27.</w:t>
      </w:r>
      <w:r>
        <w:tab/>
        <w:t>Metropolitan non</w:t>
      </w:r>
      <w:r>
        <w:noBreakHyphen/>
        <w:t>residential</w:t>
      </w:r>
      <w:r>
        <w:tab/>
      </w:r>
      <w:r>
        <w:fldChar w:fldCharType="begin"/>
      </w:r>
      <w:r>
        <w:instrText xml:space="preserve"> PAGEREF _Toc398816511 \h </w:instrText>
      </w:r>
      <w:r>
        <w:fldChar w:fldCharType="separate"/>
      </w:r>
      <w:r>
        <w:t>67</w:t>
      </w:r>
      <w:r>
        <w:fldChar w:fldCharType="end"/>
      </w:r>
    </w:p>
    <w:p>
      <w:pPr>
        <w:pStyle w:val="TOC8"/>
        <w:rPr>
          <w:rFonts w:asciiTheme="minorHAnsi" w:eastAsiaTheme="minorEastAsia" w:hAnsiTheme="minorHAnsi" w:cstheme="minorBidi"/>
          <w:szCs w:val="22"/>
        </w:rPr>
      </w:pPr>
      <w:r>
        <w:t>28.</w:t>
      </w:r>
      <w:r>
        <w:tab/>
        <w:t>Metropolitan non</w:t>
      </w:r>
      <w:r>
        <w:noBreakHyphen/>
        <w:t>residential concessional</w:t>
      </w:r>
      <w:r>
        <w:tab/>
      </w:r>
      <w:r>
        <w:fldChar w:fldCharType="begin"/>
      </w:r>
      <w:r>
        <w:instrText xml:space="preserve"> PAGEREF _Toc398816512 \h </w:instrText>
      </w:r>
      <w:r>
        <w:fldChar w:fldCharType="separate"/>
      </w:r>
      <w:r>
        <w:t>68</w:t>
      </w:r>
      <w:r>
        <w:fldChar w:fldCharType="end"/>
      </w:r>
    </w:p>
    <w:p>
      <w:pPr>
        <w:pStyle w:val="TOC8"/>
        <w:rPr>
          <w:rFonts w:asciiTheme="minorHAnsi" w:eastAsiaTheme="minorEastAsia" w:hAnsiTheme="minorHAnsi" w:cstheme="minorBidi"/>
          <w:szCs w:val="22"/>
        </w:rPr>
      </w:pPr>
      <w:r>
        <w:t>29.</w:t>
      </w:r>
      <w:r>
        <w:tab/>
        <w:t>Community residential</w:t>
      </w:r>
      <w:r>
        <w:tab/>
      </w:r>
      <w:r>
        <w:fldChar w:fldCharType="begin"/>
      </w:r>
      <w:r>
        <w:instrText xml:space="preserve"> PAGEREF _Toc398816513 \h </w:instrText>
      </w:r>
      <w:r>
        <w:fldChar w:fldCharType="separate"/>
      </w:r>
      <w:r>
        <w:t>68</w:t>
      </w:r>
      <w:r>
        <w:fldChar w:fldCharType="end"/>
      </w:r>
    </w:p>
    <w:p>
      <w:pPr>
        <w:pStyle w:val="TOC8"/>
        <w:rPr>
          <w:rFonts w:asciiTheme="minorHAnsi" w:eastAsiaTheme="minorEastAsia" w:hAnsiTheme="minorHAnsi" w:cstheme="minorBidi"/>
          <w:szCs w:val="22"/>
        </w:rPr>
      </w:pPr>
      <w:r>
        <w:t>30.</w:t>
      </w:r>
      <w:r>
        <w:tab/>
        <w:t>Non</w:t>
      </w:r>
      <w:r>
        <w:noBreakHyphen/>
        <w:t>metropolitan residential</w:t>
      </w:r>
      <w:r>
        <w:tab/>
      </w:r>
      <w:r>
        <w:fldChar w:fldCharType="begin"/>
      </w:r>
      <w:r>
        <w:instrText xml:space="preserve"> PAGEREF _Toc398816514 \h </w:instrText>
      </w:r>
      <w:r>
        <w:fldChar w:fldCharType="separate"/>
      </w:r>
      <w:r>
        <w:t>70</w:t>
      </w:r>
      <w:r>
        <w:fldChar w:fldCharType="end"/>
      </w:r>
    </w:p>
    <w:p>
      <w:pPr>
        <w:pStyle w:val="TOC8"/>
        <w:rPr>
          <w:rFonts w:asciiTheme="minorHAnsi" w:eastAsiaTheme="minorEastAsia" w:hAnsiTheme="minorHAnsi" w:cstheme="minorBidi"/>
          <w:szCs w:val="22"/>
        </w:rPr>
      </w:pPr>
      <w:r>
        <w:t>31.</w:t>
      </w:r>
      <w:r>
        <w:tab/>
        <w:t>Non</w:t>
      </w:r>
      <w:r>
        <w:noBreakHyphen/>
        <w:t>metropolitan non</w:t>
      </w:r>
      <w:r>
        <w:noBreakHyphen/>
        <w:t>residential</w:t>
      </w:r>
      <w:r>
        <w:tab/>
      </w:r>
      <w:r>
        <w:fldChar w:fldCharType="begin"/>
      </w:r>
      <w:r>
        <w:instrText xml:space="preserve"> PAGEREF _Toc398816515 \h </w:instrText>
      </w:r>
      <w:r>
        <w:fldChar w:fldCharType="separate"/>
      </w:r>
      <w:r>
        <w:t>71</w:t>
      </w:r>
      <w:r>
        <w:fldChar w:fldCharType="end"/>
      </w:r>
    </w:p>
    <w:p>
      <w:pPr>
        <w:pStyle w:val="TOC8"/>
        <w:rPr>
          <w:rFonts w:asciiTheme="minorHAnsi" w:eastAsiaTheme="minorEastAsia" w:hAnsiTheme="minorHAnsi" w:cstheme="minorBidi"/>
          <w:szCs w:val="22"/>
        </w:rPr>
      </w:pPr>
      <w:r>
        <w:t>32.</w:t>
      </w:r>
      <w:r>
        <w:tab/>
        <w:t>Non</w:t>
      </w:r>
      <w:r>
        <w:noBreakHyphen/>
        <w:t>metropolitan residential concessional</w:t>
      </w:r>
      <w:r>
        <w:tab/>
      </w:r>
      <w:r>
        <w:fldChar w:fldCharType="begin"/>
      </w:r>
      <w:r>
        <w:instrText xml:space="preserve"> PAGEREF _Toc398816516 \h </w:instrText>
      </w:r>
      <w:r>
        <w:fldChar w:fldCharType="separate"/>
      </w:r>
      <w:r>
        <w:t>72</w:t>
      </w:r>
      <w:r>
        <w:fldChar w:fldCharType="end"/>
      </w:r>
    </w:p>
    <w:p>
      <w:pPr>
        <w:pStyle w:val="TOC8"/>
        <w:rPr>
          <w:rFonts w:asciiTheme="minorHAnsi" w:eastAsiaTheme="minorEastAsia" w:hAnsiTheme="minorHAnsi" w:cstheme="minorBidi"/>
          <w:szCs w:val="22"/>
        </w:rPr>
      </w:pPr>
      <w:r>
        <w:t>33.</w:t>
      </w:r>
      <w:r>
        <w:tab/>
        <w:t>Strata</w:t>
      </w:r>
      <w:r>
        <w:noBreakHyphen/>
        <w:t>titled or long</w:t>
      </w:r>
      <w:r>
        <w:noBreakHyphen/>
        <w:t>term residential caravan bays</w:t>
      </w:r>
      <w:r>
        <w:tab/>
      </w:r>
      <w:r>
        <w:fldChar w:fldCharType="begin"/>
      </w:r>
      <w:r>
        <w:instrText xml:space="preserve"> PAGEREF _Toc398816517 \h </w:instrText>
      </w:r>
      <w:r>
        <w:fldChar w:fldCharType="separate"/>
      </w:r>
      <w:r>
        <w:t>72</w:t>
      </w:r>
      <w:r>
        <w:fldChar w:fldCharType="end"/>
      </w:r>
    </w:p>
    <w:p>
      <w:pPr>
        <w:pStyle w:val="TOC8"/>
        <w:rPr>
          <w:rFonts w:asciiTheme="minorHAnsi" w:eastAsiaTheme="minorEastAsia" w:hAnsiTheme="minorHAnsi" w:cstheme="minorBidi"/>
          <w:szCs w:val="22"/>
        </w:rPr>
      </w:pPr>
      <w:r>
        <w:t>34.</w:t>
      </w:r>
      <w:r>
        <w:tab/>
        <w:t>Government trading organisations and non</w:t>
      </w:r>
      <w:r>
        <w:noBreakHyphen/>
        <w:t>commercial government property</w:t>
      </w:r>
      <w:r>
        <w:tab/>
      </w:r>
      <w:r>
        <w:fldChar w:fldCharType="begin"/>
      </w:r>
      <w:r>
        <w:instrText xml:space="preserve"> PAGEREF _Toc398816518 \h </w:instrText>
      </w:r>
      <w:r>
        <w:fldChar w:fldCharType="separate"/>
      </w:r>
      <w:r>
        <w:t>73</w:t>
      </w:r>
      <w:r>
        <w:fldChar w:fldCharType="end"/>
      </w:r>
    </w:p>
    <w:p>
      <w:pPr>
        <w:pStyle w:val="TOC8"/>
        <w:rPr>
          <w:rFonts w:asciiTheme="minorHAnsi" w:eastAsiaTheme="minorEastAsia" w:hAnsiTheme="minorHAnsi" w:cstheme="minorBidi"/>
          <w:szCs w:val="22"/>
        </w:rPr>
      </w:pPr>
      <w:r>
        <w:t>35.</w:t>
      </w:r>
      <w:r>
        <w:tab/>
        <w:t>Coral Bay desalinated</w:t>
      </w:r>
      <w:r>
        <w:tab/>
      </w:r>
      <w:r>
        <w:fldChar w:fldCharType="begin"/>
      </w:r>
      <w:r>
        <w:instrText xml:space="preserve"> PAGEREF _Toc398816519 \h </w:instrText>
      </w:r>
      <w:r>
        <w:fldChar w:fldCharType="separate"/>
      </w:r>
      <w:r>
        <w:t>73</w:t>
      </w:r>
      <w:r>
        <w:fldChar w:fldCharType="end"/>
      </w:r>
    </w:p>
    <w:p>
      <w:pPr>
        <w:pStyle w:val="TOC8"/>
        <w:rPr>
          <w:rFonts w:asciiTheme="minorHAnsi" w:eastAsiaTheme="minorEastAsia" w:hAnsiTheme="minorHAnsi" w:cstheme="minorBidi"/>
          <w:szCs w:val="22"/>
        </w:rPr>
      </w:pPr>
      <w:r>
        <w:t>36.</w:t>
      </w:r>
      <w:r>
        <w:tab/>
        <w:t>Denham desalinated</w:t>
      </w:r>
      <w:r>
        <w:tab/>
      </w:r>
      <w:r>
        <w:fldChar w:fldCharType="begin"/>
      </w:r>
      <w:r>
        <w:instrText xml:space="preserve"> PAGEREF _Toc398816520 \h </w:instrText>
      </w:r>
      <w:r>
        <w:fldChar w:fldCharType="separate"/>
      </w:r>
      <w:r>
        <w:t>73</w:t>
      </w:r>
      <w:r>
        <w:fldChar w:fldCharType="end"/>
      </w:r>
    </w:p>
    <w:p>
      <w:pPr>
        <w:pStyle w:val="TOC8"/>
        <w:rPr>
          <w:rFonts w:asciiTheme="minorHAnsi" w:eastAsiaTheme="minorEastAsia" w:hAnsiTheme="minorHAnsi" w:cstheme="minorBidi"/>
          <w:szCs w:val="22"/>
        </w:rPr>
      </w:pPr>
      <w:r>
        <w:t>37.</w:t>
      </w:r>
      <w:r>
        <w:tab/>
        <w:t>Garden supply: Mulataga</w:t>
      </w:r>
      <w:r>
        <w:tab/>
      </w:r>
      <w:r>
        <w:fldChar w:fldCharType="begin"/>
      </w:r>
      <w:r>
        <w:instrText xml:space="preserve"> PAGEREF _Toc398816521 \h </w:instrText>
      </w:r>
      <w:r>
        <w:fldChar w:fldCharType="separate"/>
      </w:r>
      <w:r>
        <w:t>74</w:t>
      </w:r>
      <w:r>
        <w:fldChar w:fldCharType="end"/>
      </w:r>
    </w:p>
    <w:p>
      <w:pPr>
        <w:pStyle w:val="TOC6"/>
        <w:tabs>
          <w:tab w:val="right" w:leader="dot" w:pos="7086"/>
        </w:tabs>
        <w:rPr>
          <w:rFonts w:asciiTheme="minorHAnsi" w:eastAsiaTheme="minorEastAsia" w:hAnsiTheme="minorHAnsi" w:cstheme="minorBidi"/>
          <w:b w:val="0"/>
          <w:sz w:val="22"/>
          <w:szCs w:val="22"/>
        </w:rPr>
      </w:pPr>
      <w:r>
        <w:t>Subdivision 3</w:t>
      </w:r>
      <w:r>
        <w:rPr>
          <w:b w:val="0"/>
        </w:rPr>
        <w:t> — </w:t>
      </w:r>
      <w:r>
        <w:t>Other consumption charges</w:t>
      </w:r>
    </w:p>
    <w:p>
      <w:pPr>
        <w:pStyle w:val="TOC8"/>
        <w:rPr>
          <w:rFonts w:asciiTheme="minorHAnsi" w:eastAsiaTheme="minorEastAsia" w:hAnsiTheme="minorHAnsi" w:cstheme="minorBidi"/>
          <w:szCs w:val="22"/>
        </w:rPr>
      </w:pPr>
      <w:r>
        <w:t>38.</w:t>
      </w:r>
      <w:r>
        <w:tab/>
        <w:t>Local government standpipes</w:t>
      </w:r>
      <w:r>
        <w:tab/>
      </w:r>
      <w:r>
        <w:fldChar w:fldCharType="begin"/>
      </w:r>
      <w:r>
        <w:instrText xml:space="preserve"> PAGEREF _Toc398816523 \h </w:instrText>
      </w:r>
      <w:r>
        <w:fldChar w:fldCharType="separate"/>
      </w:r>
      <w:r>
        <w:t>74</w:t>
      </w:r>
      <w:r>
        <w:fldChar w:fldCharType="end"/>
      </w:r>
    </w:p>
    <w:p>
      <w:pPr>
        <w:pStyle w:val="TOC8"/>
        <w:rPr>
          <w:rFonts w:asciiTheme="minorHAnsi" w:eastAsiaTheme="minorEastAsia" w:hAnsiTheme="minorHAnsi" w:cstheme="minorBidi"/>
          <w:szCs w:val="22"/>
        </w:rPr>
      </w:pPr>
      <w:r>
        <w:t>39.</w:t>
      </w:r>
      <w:r>
        <w:tab/>
        <w:t>Shipping</w:t>
      </w:r>
      <w:r>
        <w:tab/>
      </w:r>
      <w:r>
        <w:fldChar w:fldCharType="begin"/>
      </w:r>
      <w:r>
        <w:instrText xml:space="preserve"> PAGEREF _Toc398816524 \h </w:instrText>
      </w:r>
      <w:r>
        <w:fldChar w:fldCharType="separate"/>
      </w:r>
      <w:r>
        <w:t>75</w:t>
      </w:r>
      <w:r>
        <w:fldChar w:fldCharType="end"/>
      </w:r>
    </w:p>
    <w:p>
      <w:pPr>
        <w:pStyle w:val="TOC8"/>
        <w:rPr>
          <w:rFonts w:asciiTheme="minorHAnsi" w:eastAsiaTheme="minorEastAsia" w:hAnsiTheme="minorHAnsi" w:cstheme="minorBidi"/>
          <w:szCs w:val="22"/>
        </w:rPr>
      </w:pPr>
      <w:r>
        <w:t>40.</w:t>
      </w:r>
      <w:r>
        <w:tab/>
        <w:t>Stock</w:t>
      </w:r>
      <w:r>
        <w:tab/>
      </w:r>
      <w:r>
        <w:fldChar w:fldCharType="begin"/>
      </w:r>
      <w:r>
        <w:instrText xml:space="preserve"> PAGEREF _Toc398816525 \h </w:instrText>
      </w:r>
      <w:r>
        <w:fldChar w:fldCharType="separate"/>
      </w:r>
      <w:r>
        <w:t>75</w:t>
      </w:r>
      <w:r>
        <w:fldChar w:fldCharType="end"/>
      </w:r>
    </w:p>
    <w:p>
      <w:pPr>
        <w:pStyle w:val="TOC8"/>
        <w:rPr>
          <w:rFonts w:asciiTheme="minorHAnsi" w:eastAsiaTheme="minorEastAsia" w:hAnsiTheme="minorHAnsi" w:cstheme="minorBidi"/>
          <w:szCs w:val="22"/>
        </w:rPr>
      </w:pPr>
      <w:r>
        <w:t>41.</w:t>
      </w:r>
      <w:r>
        <w:tab/>
        <w:t>Hydrant standpipes</w:t>
      </w:r>
      <w:r>
        <w:tab/>
      </w:r>
      <w:r>
        <w:fldChar w:fldCharType="begin"/>
      </w:r>
      <w:r>
        <w:instrText xml:space="preserve"> PAGEREF _Toc398816526 \h </w:instrText>
      </w:r>
      <w:r>
        <w:fldChar w:fldCharType="separate"/>
      </w:r>
      <w:r>
        <w:t>75</w:t>
      </w:r>
      <w:r>
        <w:fldChar w:fldCharType="end"/>
      </w:r>
    </w:p>
    <w:p>
      <w:pPr>
        <w:pStyle w:val="TOC2"/>
        <w:tabs>
          <w:tab w:val="right" w:leader="dot" w:pos="7086"/>
        </w:tabs>
        <w:rPr>
          <w:rFonts w:asciiTheme="minorHAnsi" w:eastAsiaTheme="minorEastAsia" w:hAnsiTheme="minorHAnsi" w:cstheme="minorBidi"/>
          <w:b w:val="0"/>
          <w:sz w:val="22"/>
          <w:szCs w:val="22"/>
        </w:rPr>
      </w:pPr>
      <w:r>
        <w:t>Schedule 4 — Sewerage charges for the Water Corporation</w:t>
      </w:r>
    </w:p>
    <w:p>
      <w:pPr>
        <w:pStyle w:val="TOC4"/>
        <w:tabs>
          <w:tab w:val="right" w:leader="dot" w:pos="7086"/>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2014/15 year and subsequent years</w:t>
      </w:r>
      <w:r>
        <w:tab/>
      </w:r>
      <w:r>
        <w:fldChar w:fldCharType="begin"/>
      </w:r>
      <w:r>
        <w:instrText xml:space="preserve"> PAGEREF _Toc398816529 \h </w:instrText>
      </w:r>
      <w:r>
        <w:fldChar w:fldCharType="separate"/>
      </w:r>
      <w:r>
        <w:t>76</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_Toc398816530 \h </w:instrText>
      </w:r>
      <w:r>
        <w:fldChar w:fldCharType="separate"/>
      </w:r>
      <w:r>
        <w:t>76</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_Toc398816531 \h </w:instrText>
      </w:r>
      <w:r>
        <w:fldChar w:fldCharType="separate"/>
      </w:r>
      <w:r>
        <w:t>76</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_Toc398816532 \h </w:instrText>
      </w:r>
      <w:r>
        <w:fldChar w:fldCharType="separate"/>
      </w:r>
      <w:r>
        <w:t>76</w:t>
      </w:r>
      <w:r>
        <w:fldChar w:fldCharType="end"/>
      </w:r>
    </w:p>
    <w:p>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_Toc398816533 \h </w:instrText>
      </w:r>
      <w:r>
        <w:fldChar w:fldCharType="separate"/>
      </w:r>
      <w:r>
        <w:t>77</w:t>
      </w:r>
      <w:r>
        <w:fldChar w:fldCharType="end"/>
      </w:r>
    </w:p>
    <w:p>
      <w:pPr>
        <w:pStyle w:val="TOC8"/>
        <w:rPr>
          <w:rFonts w:asciiTheme="minorHAnsi" w:eastAsiaTheme="minorEastAsia" w:hAnsiTheme="minorHAnsi" w:cstheme="minorBidi"/>
          <w:szCs w:val="22"/>
        </w:rPr>
      </w:pPr>
      <w:r>
        <w:t>6.</w:t>
      </w:r>
      <w:r>
        <w:tab/>
        <w:t>Strata</w:t>
      </w:r>
      <w:r>
        <w:noBreakHyphen/>
        <w:t>titled storage unit or strata</w:t>
      </w:r>
      <w:r>
        <w:noBreakHyphen/>
        <w:t>titled parking bay</w:t>
      </w:r>
      <w:r>
        <w:tab/>
      </w:r>
      <w:r>
        <w:fldChar w:fldCharType="begin"/>
      </w:r>
      <w:r>
        <w:instrText xml:space="preserve"> PAGEREF _Toc398816534 \h </w:instrText>
      </w:r>
      <w:r>
        <w:fldChar w:fldCharType="separate"/>
      </w:r>
      <w:r>
        <w:t>77</w:t>
      </w:r>
      <w:r>
        <w:fldChar w:fldCharType="end"/>
      </w:r>
    </w:p>
    <w:p>
      <w:pPr>
        <w:pStyle w:val="TOC8"/>
        <w:rPr>
          <w:rFonts w:asciiTheme="minorHAnsi" w:eastAsiaTheme="minorEastAsia" w:hAnsiTheme="minorHAnsi" w:cstheme="minorBidi"/>
          <w:szCs w:val="22"/>
        </w:rPr>
      </w:pPr>
      <w:r>
        <w:t>7.</w:t>
      </w:r>
      <w:r>
        <w:tab/>
        <w:t>Land from which trade waste is discharged into a sewer</w:t>
      </w:r>
      <w:r>
        <w:tab/>
      </w:r>
      <w:r>
        <w:fldChar w:fldCharType="begin"/>
      </w:r>
      <w:r>
        <w:instrText xml:space="preserve"> PAGEREF _Toc398816535 \h </w:instrText>
      </w:r>
      <w:r>
        <w:fldChar w:fldCharType="separate"/>
      </w:r>
      <w:r>
        <w:t>77</w:t>
      </w:r>
      <w:r>
        <w:fldChar w:fldCharType="end"/>
      </w:r>
    </w:p>
    <w:p>
      <w:pPr>
        <w:pStyle w:val="TOC8"/>
        <w:rPr>
          <w:rFonts w:asciiTheme="minorHAnsi" w:eastAsiaTheme="minorEastAsia" w:hAnsiTheme="minorHAnsi" w:cstheme="minorBidi"/>
          <w:szCs w:val="22"/>
        </w:rPr>
      </w:pPr>
      <w:r>
        <w:t>8.</w:t>
      </w:r>
      <w:r>
        <w:tab/>
        <w:t>Land from which trade waste is discharged into a sewer through a grease arrestor</w:t>
      </w:r>
      <w:r>
        <w:tab/>
      </w:r>
      <w:r>
        <w:fldChar w:fldCharType="begin"/>
      </w:r>
      <w:r>
        <w:instrText xml:space="preserve"> PAGEREF _Toc398816536 \h </w:instrText>
      </w:r>
      <w:r>
        <w:fldChar w:fldCharType="separate"/>
      </w:r>
      <w:r>
        <w:t>78</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_Toc398816537 \h </w:instrText>
      </w:r>
      <w:r>
        <w:fldChar w:fldCharType="separate"/>
      </w:r>
      <w:r>
        <w:t>78</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_Toc398816538 \h </w:instrText>
      </w:r>
      <w:r>
        <w:fldChar w:fldCharType="separate"/>
      </w:r>
      <w:r>
        <w:t>79</w:t>
      </w:r>
      <w:r>
        <w:fldChar w:fldCharType="end"/>
      </w:r>
    </w:p>
    <w:p>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_Toc398816539 \h </w:instrText>
      </w:r>
      <w:r>
        <w:fldChar w:fldCharType="separate"/>
      </w:r>
      <w:r>
        <w:t>79</w:t>
      </w:r>
      <w:r>
        <w:fldChar w:fldCharType="end"/>
      </w:r>
    </w:p>
    <w:p>
      <w:pPr>
        <w:pStyle w:val="TOC4"/>
        <w:tabs>
          <w:tab w:val="right" w:leader="dot" w:pos="7086"/>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86"/>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12.</w:t>
      </w:r>
      <w:r>
        <w:tab/>
        <w:t>Combined charges for 2014/15 year and subsequent years</w:t>
      </w:r>
      <w:r>
        <w:tab/>
      </w:r>
      <w:r>
        <w:fldChar w:fldCharType="begin"/>
      </w:r>
      <w:r>
        <w:instrText xml:space="preserve"> PAGEREF _Toc398816542 \h </w:instrText>
      </w:r>
      <w:r>
        <w:fldChar w:fldCharType="separate"/>
      </w:r>
      <w:r>
        <w:t>84</w:t>
      </w:r>
      <w:r>
        <w:fldChar w:fldCharType="end"/>
      </w:r>
    </w:p>
    <w:p>
      <w:pPr>
        <w:pStyle w:val="TOC6"/>
        <w:tabs>
          <w:tab w:val="right" w:leader="dot" w:pos="7086"/>
        </w:tabs>
        <w:rPr>
          <w:rFonts w:asciiTheme="minorHAnsi" w:eastAsiaTheme="minorEastAsia" w:hAnsiTheme="minorHAnsi" w:cstheme="minorBidi"/>
          <w:b w:val="0"/>
          <w:sz w:val="22"/>
          <w:szCs w:val="22"/>
        </w:rPr>
      </w:pPr>
      <w:r>
        <w:t>Subdivision 2</w:t>
      </w:r>
      <w:r>
        <w:rPr>
          <w:b w:val="0"/>
        </w:rPr>
        <w:t> — </w:t>
      </w:r>
      <w:r>
        <w:t>Combined charges: metropolitan</w:t>
      </w:r>
    </w:p>
    <w:p>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_Toc398816544 \h </w:instrText>
      </w:r>
      <w:r>
        <w:fldChar w:fldCharType="separate"/>
      </w:r>
      <w:r>
        <w:t>84</w:t>
      </w:r>
      <w:r>
        <w:fldChar w:fldCharType="end"/>
      </w:r>
    </w:p>
    <w:p>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_Toc398816545 \h </w:instrText>
      </w:r>
      <w:r>
        <w:fldChar w:fldCharType="separate"/>
      </w:r>
      <w:r>
        <w:t>85</w:t>
      </w:r>
      <w:r>
        <w:fldChar w:fldCharType="end"/>
      </w:r>
    </w:p>
    <w:p>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_Toc398816546 \h </w:instrText>
      </w:r>
      <w:r>
        <w:fldChar w:fldCharType="separate"/>
      </w:r>
      <w:r>
        <w:t>85</w:t>
      </w:r>
      <w:r>
        <w:fldChar w:fldCharType="end"/>
      </w:r>
    </w:p>
    <w:p>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_Toc398816547 \h </w:instrText>
      </w:r>
      <w:r>
        <w:fldChar w:fldCharType="separate"/>
      </w:r>
      <w:r>
        <w:t>87</w:t>
      </w:r>
      <w:r>
        <w:fldChar w:fldCharType="end"/>
      </w:r>
    </w:p>
    <w:p>
      <w:pPr>
        <w:pStyle w:val="TOC8"/>
        <w:rPr>
          <w:rFonts w:asciiTheme="minorHAnsi" w:eastAsiaTheme="minorEastAsia" w:hAnsiTheme="minorHAnsi" w:cstheme="minorBidi"/>
          <w:szCs w:val="22"/>
        </w:rPr>
      </w:pPr>
      <w:r>
        <w:t>17.</w:t>
      </w:r>
      <w:r>
        <w:tab/>
        <w:t>Certain metropolitan strata</w:t>
      </w:r>
      <w:r>
        <w:noBreakHyphen/>
        <w:t>titled units</w:t>
      </w:r>
      <w:r>
        <w:tab/>
      </w:r>
      <w:r>
        <w:fldChar w:fldCharType="begin"/>
      </w:r>
      <w:r>
        <w:instrText xml:space="preserve"> PAGEREF _Toc398816548 \h </w:instrText>
      </w:r>
      <w:r>
        <w:fldChar w:fldCharType="separate"/>
      </w:r>
      <w:r>
        <w:t>87</w:t>
      </w:r>
      <w:r>
        <w:fldChar w:fldCharType="end"/>
      </w:r>
    </w:p>
    <w:p>
      <w:pPr>
        <w:pStyle w:val="TOC6"/>
        <w:tabs>
          <w:tab w:val="right" w:leader="dot" w:pos="7086"/>
        </w:tabs>
        <w:rPr>
          <w:rFonts w:asciiTheme="minorHAnsi" w:eastAsiaTheme="minorEastAsia" w:hAnsiTheme="minorHAnsi" w:cstheme="minorBidi"/>
          <w:b w:val="0"/>
          <w:sz w:val="22"/>
          <w:szCs w:val="22"/>
        </w:rPr>
      </w:pPr>
      <w:r>
        <w:t>Subdivision 3</w:t>
      </w:r>
      <w:r>
        <w:rPr>
          <w:b w:val="0"/>
        </w:rPr>
        <w:t> — </w:t>
      </w:r>
      <w:r>
        <w:t>Calculation of certain factors for the purposes of Subdivision 2</w:t>
      </w:r>
    </w:p>
    <w:p>
      <w:pPr>
        <w:pStyle w:val="TOC8"/>
        <w:rPr>
          <w:rFonts w:asciiTheme="minorHAnsi" w:eastAsiaTheme="minorEastAsia" w:hAnsiTheme="minorHAnsi" w:cstheme="minorBidi"/>
          <w:szCs w:val="22"/>
        </w:rPr>
      </w:pPr>
      <w:r>
        <w:t>18.</w:t>
      </w:r>
      <w:r>
        <w:tab/>
        <w:t>Service charge</w:t>
      </w:r>
      <w:r>
        <w:tab/>
      </w:r>
      <w:r>
        <w:fldChar w:fldCharType="begin"/>
      </w:r>
      <w:r>
        <w:instrText xml:space="preserve"> PAGEREF _Toc398816550 \h </w:instrText>
      </w:r>
      <w:r>
        <w:fldChar w:fldCharType="separate"/>
      </w:r>
      <w:r>
        <w:t>88</w:t>
      </w:r>
      <w:r>
        <w:fldChar w:fldCharType="end"/>
      </w:r>
    </w:p>
    <w:p>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_Toc398816551 \h </w:instrText>
      </w:r>
      <w:r>
        <w:fldChar w:fldCharType="separate"/>
      </w:r>
      <w:r>
        <w:t>89</w:t>
      </w:r>
      <w:r>
        <w:fldChar w:fldCharType="end"/>
      </w:r>
    </w:p>
    <w:p>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_Toc398816552 \h </w:instrText>
      </w:r>
      <w:r>
        <w:fldChar w:fldCharType="separate"/>
      </w:r>
      <w:r>
        <w:t>89</w:t>
      </w:r>
      <w:r>
        <w:fldChar w:fldCharType="end"/>
      </w:r>
    </w:p>
    <w:p>
      <w:pPr>
        <w:pStyle w:val="TOC6"/>
        <w:tabs>
          <w:tab w:val="right" w:leader="dot" w:pos="7086"/>
        </w:tabs>
        <w:rPr>
          <w:rFonts w:asciiTheme="minorHAnsi" w:eastAsiaTheme="minorEastAsia" w:hAnsiTheme="minorHAnsi" w:cstheme="minorBidi"/>
          <w:b w:val="0"/>
          <w:sz w:val="22"/>
          <w:szCs w:val="22"/>
        </w:rPr>
      </w:pPr>
      <w:r>
        <w:t>Subdivision 4</w:t>
      </w:r>
      <w:r>
        <w:rPr>
          <w:b w:val="0"/>
        </w:rPr>
        <w:t> — </w:t>
      </w:r>
      <w:r>
        <w:t>Combined charges: non</w:t>
      </w:r>
      <w:r>
        <w:noBreakHyphen/>
        <w:t>metropolitan</w:t>
      </w:r>
    </w:p>
    <w:p>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_Toc398816554 \h </w:instrText>
      </w:r>
      <w:r>
        <w:fldChar w:fldCharType="separate"/>
      </w:r>
      <w:r>
        <w:t>90</w:t>
      </w:r>
      <w:r>
        <w:fldChar w:fldCharType="end"/>
      </w:r>
    </w:p>
    <w:p>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_Toc398816555 \h </w:instrText>
      </w:r>
      <w:r>
        <w:fldChar w:fldCharType="separate"/>
      </w:r>
      <w:r>
        <w:t>91</w:t>
      </w:r>
      <w:r>
        <w:fldChar w:fldCharType="end"/>
      </w:r>
    </w:p>
    <w:p>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_Toc398816556 \h </w:instrText>
      </w:r>
      <w:r>
        <w:fldChar w:fldCharType="separate"/>
      </w:r>
      <w:r>
        <w:t>92</w:t>
      </w:r>
      <w:r>
        <w:fldChar w:fldCharType="end"/>
      </w:r>
    </w:p>
    <w:p>
      <w:pPr>
        <w:pStyle w:val="TOC8"/>
        <w:rPr>
          <w:rFonts w:asciiTheme="minorHAnsi" w:eastAsiaTheme="minorEastAsia" w:hAnsiTheme="minorHAnsi" w:cstheme="minorBidi"/>
          <w:szCs w:val="22"/>
        </w:rPr>
      </w:pPr>
      <w:r>
        <w:t>24.</w:t>
      </w:r>
      <w:r>
        <w:tab/>
        <w:t>Certain non</w:t>
      </w:r>
      <w:r>
        <w:noBreakHyphen/>
        <w:t>metropolitan strata</w:t>
      </w:r>
      <w:r>
        <w:noBreakHyphen/>
        <w:t>titled units</w:t>
      </w:r>
      <w:r>
        <w:tab/>
      </w:r>
      <w:r>
        <w:fldChar w:fldCharType="begin"/>
      </w:r>
      <w:r>
        <w:instrText xml:space="preserve"> PAGEREF _Toc398816557 \h </w:instrText>
      </w:r>
      <w:r>
        <w:fldChar w:fldCharType="separate"/>
      </w:r>
      <w:r>
        <w:t>92</w:t>
      </w:r>
      <w:r>
        <w:fldChar w:fldCharType="end"/>
      </w:r>
    </w:p>
    <w:p>
      <w:pPr>
        <w:pStyle w:val="TOC6"/>
        <w:tabs>
          <w:tab w:val="right" w:leader="dot" w:pos="7086"/>
        </w:tabs>
        <w:rPr>
          <w:rFonts w:asciiTheme="minorHAnsi" w:eastAsiaTheme="minorEastAsia" w:hAnsiTheme="minorHAnsi" w:cstheme="minorBidi"/>
          <w:b w:val="0"/>
          <w:sz w:val="22"/>
          <w:szCs w:val="22"/>
        </w:rPr>
      </w:pPr>
      <w:r>
        <w:t>Subdivision 5</w:t>
      </w:r>
      <w:r>
        <w:rPr>
          <w:b w:val="0"/>
        </w:rPr>
        <w:t> — </w:t>
      </w:r>
      <w:r>
        <w:t>Calculation of certain factors for the purposes of Subdivision 4</w:t>
      </w:r>
    </w:p>
    <w:p>
      <w:pPr>
        <w:pStyle w:val="TOC8"/>
        <w:rPr>
          <w:rFonts w:asciiTheme="minorHAnsi" w:eastAsiaTheme="minorEastAsia" w:hAnsiTheme="minorHAnsi" w:cstheme="minorBidi"/>
          <w:szCs w:val="22"/>
        </w:rPr>
      </w:pPr>
      <w:r>
        <w:t>25.</w:t>
      </w:r>
      <w:r>
        <w:tab/>
        <w:t>Service charge</w:t>
      </w:r>
      <w:r>
        <w:tab/>
      </w:r>
      <w:r>
        <w:fldChar w:fldCharType="begin"/>
      </w:r>
      <w:r>
        <w:instrText xml:space="preserve"> PAGEREF _Toc398816559 \h </w:instrText>
      </w:r>
      <w:r>
        <w:fldChar w:fldCharType="separate"/>
      </w:r>
      <w:r>
        <w:t>93</w:t>
      </w:r>
      <w:r>
        <w:fldChar w:fldCharType="end"/>
      </w:r>
    </w:p>
    <w:p>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_Toc398816560 \h </w:instrText>
      </w:r>
      <w:r>
        <w:fldChar w:fldCharType="separate"/>
      </w:r>
      <w:r>
        <w:t>94</w:t>
      </w:r>
      <w:r>
        <w:fldChar w:fldCharType="end"/>
      </w:r>
    </w:p>
    <w:p>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_Toc398816561 \h </w:instrText>
      </w:r>
      <w:r>
        <w:fldChar w:fldCharType="separate"/>
      </w:r>
      <w:r>
        <w:t>94</w:t>
      </w:r>
      <w:r>
        <w:fldChar w:fldCharType="end"/>
      </w:r>
    </w:p>
    <w:p>
      <w:pPr>
        <w:pStyle w:val="TOC8"/>
        <w:rPr>
          <w:rFonts w:asciiTheme="minorHAnsi" w:eastAsiaTheme="minorEastAsia" w:hAnsiTheme="minorHAnsi" w:cstheme="minorBidi"/>
          <w:szCs w:val="22"/>
        </w:rPr>
      </w:pPr>
      <w:r>
        <w:t>28.</w:t>
      </w:r>
      <w:r>
        <w:tab/>
        <w:t>Maximum charge</w:t>
      </w:r>
      <w:r>
        <w:tab/>
      </w:r>
      <w:r>
        <w:fldChar w:fldCharType="begin"/>
      </w:r>
      <w:r>
        <w:instrText xml:space="preserve"> PAGEREF _Toc398816562 \h </w:instrText>
      </w:r>
      <w:r>
        <w:fldChar w:fldCharType="separate"/>
      </w:r>
      <w:r>
        <w:t>95</w:t>
      </w:r>
      <w:r>
        <w:fldChar w:fldCharType="end"/>
      </w:r>
    </w:p>
    <w:p>
      <w:pPr>
        <w:pStyle w:val="TOC4"/>
        <w:tabs>
          <w:tab w:val="right" w:leader="dot" w:pos="7086"/>
        </w:tabs>
        <w:rPr>
          <w:rFonts w:asciiTheme="minorHAnsi" w:eastAsiaTheme="minorEastAsia" w:hAnsiTheme="minorHAnsi" w:cstheme="minorBidi"/>
          <w:b w:val="0"/>
          <w:szCs w:val="22"/>
        </w:rPr>
      </w:pPr>
      <w:r>
        <w:t>Division 3 — Discharge charges: trade waste and effluent</w:t>
      </w:r>
    </w:p>
    <w:p>
      <w:pPr>
        <w:pStyle w:val="TOC8"/>
        <w:rPr>
          <w:rFonts w:asciiTheme="minorHAnsi" w:eastAsiaTheme="minorEastAsia" w:hAnsiTheme="minorHAnsi" w:cstheme="minorBidi"/>
          <w:szCs w:val="22"/>
        </w:rPr>
      </w:pPr>
      <w:r>
        <w:t>29.</w:t>
      </w:r>
      <w:r>
        <w:tab/>
        <w:t>Discharge charges for 2014/15 year and subsequent years</w:t>
      </w:r>
      <w:r>
        <w:tab/>
      </w:r>
      <w:r>
        <w:fldChar w:fldCharType="begin"/>
      </w:r>
      <w:r>
        <w:instrText xml:space="preserve"> PAGEREF _Toc398816564 \h </w:instrText>
      </w:r>
      <w:r>
        <w:fldChar w:fldCharType="separate"/>
      </w:r>
      <w:r>
        <w:t>96</w:t>
      </w:r>
      <w:r>
        <w:fldChar w:fldCharType="end"/>
      </w:r>
    </w:p>
    <w:p>
      <w:pPr>
        <w:pStyle w:val="TOC8"/>
        <w:rPr>
          <w:rFonts w:asciiTheme="minorHAnsi" w:eastAsiaTheme="minorEastAsia" w:hAnsiTheme="minorHAnsi" w:cstheme="minorBidi"/>
          <w:szCs w:val="22"/>
        </w:rPr>
      </w:pPr>
      <w:r>
        <w:t>30.</w:t>
      </w:r>
      <w:r>
        <w:tab/>
        <w:t>Trade waste discharged into a sewer under an approval</w:t>
      </w:r>
      <w:r>
        <w:tab/>
      </w:r>
      <w:r>
        <w:fldChar w:fldCharType="begin"/>
      </w:r>
      <w:r>
        <w:instrText xml:space="preserve"> PAGEREF _Toc398816565 \h </w:instrText>
      </w:r>
      <w:r>
        <w:fldChar w:fldCharType="separate"/>
      </w:r>
      <w:r>
        <w:t>96</w:t>
      </w:r>
      <w:r>
        <w:fldChar w:fldCharType="end"/>
      </w:r>
    </w:p>
    <w:p>
      <w:pPr>
        <w:pStyle w:val="TOC8"/>
        <w:rPr>
          <w:rFonts w:asciiTheme="minorHAnsi" w:eastAsiaTheme="minorEastAsia" w:hAnsiTheme="minorHAnsi" w:cstheme="minorBidi"/>
          <w:szCs w:val="22"/>
        </w:rPr>
      </w:pPr>
      <w:r>
        <w:t>31.</w:t>
      </w:r>
      <w:r>
        <w:tab/>
        <w:t>Effluent discharged from a septic tank effluent pumping system into a sewer</w:t>
      </w:r>
      <w:r>
        <w:tab/>
      </w:r>
      <w:r>
        <w:fldChar w:fldCharType="begin"/>
      </w:r>
      <w:r>
        <w:instrText xml:space="preserve"> PAGEREF _Toc398816566 \h </w:instrText>
      </w:r>
      <w:r>
        <w:fldChar w:fldCharType="separate"/>
      </w:r>
      <w:r>
        <w:t>99</w:t>
      </w:r>
      <w:r>
        <w:fldChar w:fldCharType="end"/>
      </w:r>
    </w:p>
    <w:p>
      <w:pPr>
        <w:pStyle w:val="TOC2"/>
        <w:tabs>
          <w:tab w:val="right" w:leader="dot" w:pos="7086"/>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2014/15 year and subsequent years</w:t>
      </w:r>
      <w:r>
        <w:tab/>
      </w:r>
      <w:r>
        <w:fldChar w:fldCharType="begin"/>
      </w:r>
      <w:r>
        <w:instrText xml:space="preserve"> PAGEREF _Toc398816568 \h </w:instrText>
      </w:r>
      <w:r>
        <w:fldChar w:fldCharType="separate"/>
      </w:r>
      <w:r>
        <w:t>100</w:t>
      </w:r>
      <w:r>
        <w:fldChar w:fldCharType="end"/>
      </w:r>
    </w:p>
    <w:p>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_Toc398816569 \h </w:instrText>
      </w:r>
      <w:r>
        <w:fldChar w:fldCharType="separate"/>
      </w:r>
      <w:r>
        <w:t>100</w:t>
      </w:r>
      <w:r>
        <w:fldChar w:fldCharType="end"/>
      </w:r>
    </w:p>
    <w:p>
      <w:pPr>
        <w:pStyle w:val="TOC8"/>
        <w:rPr>
          <w:rFonts w:asciiTheme="minorHAnsi" w:eastAsiaTheme="minorEastAsia" w:hAnsiTheme="minorHAnsi" w:cstheme="minorBidi"/>
          <w:szCs w:val="22"/>
        </w:rPr>
      </w:pPr>
      <w:r>
        <w:t>3.</w:t>
      </w:r>
      <w:r>
        <w:tab/>
        <w:t>Strata</w:t>
      </w:r>
      <w:r>
        <w:noBreakHyphen/>
        <w:t>titled storage unit or strata</w:t>
      </w:r>
      <w:r>
        <w:noBreakHyphen/>
        <w:t>titled parking bay</w:t>
      </w:r>
      <w:r>
        <w:tab/>
      </w:r>
      <w:r>
        <w:fldChar w:fldCharType="begin"/>
      </w:r>
      <w:r>
        <w:instrText xml:space="preserve"> PAGEREF _Toc398816570 \h </w:instrText>
      </w:r>
      <w:r>
        <w:fldChar w:fldCharType="separate"/>
      </w:r>
      <w:r>
        <w:t>100</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_Toc398816571 \h </w:instrText>
      </w:r>
      <w:r>
        <w:fldChar w:fldCharType="separate"/>
      </w:r>
      <w:r>
        <w:t>100</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_Toc398816572 \h </w:instrText>
      </w:r>
      <w:r>
        <w:fldChar w:fldCharType="separate"/>
      </w:r>
      <w:r>
        <w:t>100</w:t>
      </w:r>
      <w:r>
        <w:fldChar w:fldCharType="end"/>
      </w:r>
    </w:p>
    <w:p>
      <w:pPr>
        <w:pStyle w:val="TOC8"/>
        <w:rPr>
          <w:rFonts w:asciiTheme="minorHAnsi" w:eastAsiaTheme="minorEastAsia" w:hAnsiTheme="minorHAnsi" w:cstheme="minorBidi"/>
          <w:szCs w:val="22"/>
        </w:rPr>
      </w:pPr>
      <w:r>
        <w:t>6.</w:t>
      </w:r>
      <w:r>
        <w:tab/>
        <w:t>Non</w:t>
      </w:r>
      <w:r>
        <w:noBreakHyphen/>
        <w:t>residential (except certain strata</w:t>
      </w:r>
      <w:r>
        <w:noBreakHyphen/>
        <w:t>titled units)</w:t>
      </w:r>
      <w:r>
        <w:tab/>
      </w:r>
      <w:r>
        <w:fldChar w:fldCharType="begin"/>
      </w:r>
      <w:r>
        <w:instrText xml:space="preserve"> PAGEREF _Toc398816573 \h </w:instrText>
      </w:r>
      <w:r>
        <w:fldChar w:fldCharType="separate"/>
      </w:r>
      <w:r>
        <w:t>100</w:t>
      </w:r>
      <w:r>
        <w:fldChar w:fldCharType="end"/>
      </w:r>
    </w:p>
    <w:p>
      <w:pPr>
        <w:pStyle w:val="TOC2"/>
        <w:tabs>
          <w:tab w:val="right" w:leader="dot" w:pos="7086"/>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2014/15 year and subsequent years</w:t>
      </w:r>
      <w:r>
        <w:tab/>
      </w:r>
      <w:r>
        <w:fldChar w:fldCharType="begin"/>
      </w:r>
      <w:r>
        <w:instrText xml:space="preserve"> PAGEREF _Toc398816575 \h </w:instrText>
      </w:r>
      <w:r>
        <w:fldChar w:fldCharType="separate"/>
      </w:r>
      <w:r>
        <w:t>101</w:t>
      </w:r>
      <w:r>
        <w:fldChar w:fldCharType="end"/>
      </w:r>
    </w:p>
    <w:p>
      <w:pPr>
        <w:pStyle w:val="TOC8"/>
        <w:rPr>
          <w:rFonts w:asciiTheme="minorHAnsi" w:eastAsiaTheme="minorEastAsia" w:hAnsiTheme="minorHAnsi" w:cstheme="minorBidi"/>
          <w:szCs w:val="22"/>
        </w:rPr>
      </w:pPr>
      <w:r>
        <w:t>2.</w:t>
      </w:r>
      <w:r>
        <w:tab/>
        <w:t>Water supplied for irrigation</w:t>
      </w:r>
      <w:r>
        <w:tab/>
      </w:r>
      <w:r>
        <w:fldChar w:fldCharType="begin"/>
      </w:r>
      <w:r>
        <w:instrText xml:space="preserve"> PAGEREF _Toc398816576 \h </w:instrText>
      </w:r>
      <w:r>
        <w:fldChar w:fldCharType="separate"/>
      </w:r>
      <w:r>
        <w:t>101</w:t>
      </w:r>
      <w:r>
        <w:fldChar w:fldCharType="end"/>
      </w:r>
    </w:p>
    <w:p>
      <w:pPr>
        <w:pStyle w:val="TOC8"/>
        <w:rPr>
          <w:rFonts w:asciiTheme="minorHAnsi" w:eastAsiaTheme="minorEastAsia" w:hAnsiTheme="minorHAnsi" w:cstheme="minorBidi"/>
          <w:szCs w:val="22"/>
        </w:rPr>
      </w:pPr>
      <w:r>
        <w:t>3.</w:t>
      </w:r>
      <w:r>
        <w:tab/>
        <w:t>Water supplied for watering stock or dust prevention</w:t>
      </w:r>
      <w:r>
        <w:tab/>
      </w:r>
      <w:r>
        <w:fldChar w:fldCharType="begin"/>
      </w:r>
      <w:r>
        <w:instrText xml:space="preserve"> PAGEREF _Toc398816577 \h </w:instrText>
      </w:r>
      <w:r>
        <w:fldChar w:fldCharType="separate"/>
      </w:r>
      <w:r>
        <w:t>101</w:t>
      </w:r>
      <w:r>
        <w:fldChar w:fldCharType="end"/>
      </w:r>
    </w:p>
    <w:p>
      <w:pPr>
        <w:pStyle w:val="TOC8"/>
        <w:rPr>
          <w:rFonts w:asciiTheme="minorHAnsi" w:eastAsiaTheme="minorEastAsia" w:hAnsiTheme="minorHAnsi" w:cstheme="minorBidi"/>
          <w:szCs w:val="22"/>
        </w:rPr>
      </w:pPr>
      <w:r>
        <w:t>4.</w:t>
      </w:r>
      <w:r>
        <w:tab/>
        <w:t>Water supplied for purposes other than irrigation, watering stock or dust prevention</w:t>
      </w:r>
      <w:r>
        <w:tab/>
      </w:r>
      <w:r>
        <w:fldChar w:fldCharType="begin"/>
      </w:r>
      <w:r>
        <w:instrText xml:space="preserve"> PAGEREF _Toc398816578 \h </w:instrText>
      </w:r>
      <w:r>
        <w:fldChar w:fldCharType="separate"/>
      </w:r>
      <w:r>
        <w:t>101</w:t>
      </w:r>
      <w:r>
        <w:fldChar w:fldCharType="end"/>
      </w:r>
    </w:p>
    <w:p>
      <w:pPr>
        <w:pStyle w:val="TOC2"/>
        <w:tabs>
          <w:tab w:val="right" w:leader="dot" w:pos="7086"/>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Meters: multi</w:t>
      </w:r>
      <w:r>
        <w:noBreakHyphen/>
        <w:t>unit developments</w:t>
      </w:r>
      <w:r>
        <w:tab/>
      </w:r>
      <w:r>
        <w:fldChar w:fldCharType="begin"/>
      </w:r>
      <w:r>
        <w:instrText xml:space="preserve"> PAGEREF _Toc398816580 \h </w:instrText>
      </w:r>
      <w:r>
        <w:fldChar w:fldCharType="separate"/>
      </w:r>
      <w:r>
        <w:t>103</w:t>
      </w:r>
      <w:r>
        <w:fldChar w:fldCharType="end"/>
      </w:r>
    </w:p>
    <w:p>
      <w:pPr>
        <w:pStyle w:val="TOC8"/>
        <w:rPr>
          <w:rFonts w:asciiTheme="minorHAnsi" w:eastAsiaTheme="minorEastAsia" w:hAnsiTheme="minorHAnsi" w:cstheme="minorBidi"/>
          <w:szCs w:val="22"/>
        </w:rPr>
      </w:pPr>
      <w:r>
        <w:t>2.</w:t>
      </w:r>
      <w:r>
        <w:tab/>
        <w:t>Assessing meters: multi</w:t>
      </w:r>
      <w:r>
        <w:noBreakHyphen/>
        <w:t>unit developments</w:t>
      </w:r>
      <w:r>
        <w:tab/>
      </w:r>
      <w:r>
        <w:fldChar w:fldCharType="begin"/>
      </w:r>
      <w:r>
        <w:instrText xml:space="preserve"> PAGEREF _Toc398816581 \h </w:instrText>
      </w:r>
      <w:r>
        <w:fldChar w:fldCharType="separate"/>
      </w:r>
      <w:r>
        <w:t>103</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_Toc398816582 \h </w:instrText>
      </w:r>
      <w:r>
        <w:fldChar w:fldCharType="separate"/>
      </w:r>
      <w:r>
        <w:t>103</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_Toc398816583 \h </w:instrText>
      </w:r>
      <w:r>
        <w:fldChar w:fldCharType="separate"/>
      </w:r>
      <w:r>
        <w:t>103</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_Toc398816584 \h </w:instrText>
      </w:r>
      <w:r>
        <w:fldChar w:fldCharType="separate"/>
      </w:r>
      <w:r>
        <w:t>104</w:t>
      </w:r>
      <w:r>
        <w:fldChar w:fldCharType="end"/>
      </w:r>
    </w:p>
    <w:p>
      <w:pPr>
        <w:pStyle w:val="TOC8"/>
        <w:rPr>
          <w:rFonts w:asciiTheme="minorHAnsi" w:eastAsiaTheme="minorEastAsia" w:hAnsiTheme="minorHAnsi" w:cstheme="minorBidi"/>
          <w:szCs w:val="22"/>
        </w:rPr>
      </w:pPr>
      <w:r>
        <w:t>6.</w:t>
      </w:r>
      <w:r>
        <w:tab/>
        <w:t>Disconnecting a water supply connection</w:t>
      </w:r>
      <w:r>
        <w:tab/>
      </w:r>
      <w:r>
        <w:fldChar w:fldCharType="begin"/>
      </w:r>
      <w:r>
        <w:instrText xml:space="preserve"> PAGEREF _Toc398816585 \h </w:instrText>
      </w:r>
      <w:r>
        <w:fldChar w:fldCharType="separate"/>
      </w:r>
      <w:r>
        <w:t>104</w:t>
      </w:r>
      <w:r>
        <w:fldChar w:fldCharType="end"/>
      </w:r>
    </w:p>
    <w:p>
      <w:pPr>
        <w:pStyle w:val="TOC8"/>
        <w:rPr>
          <w:rFonts w:asciiTheme="minorHAnsi" w:eastAsiaTheme="minorEastAsia" w:hAnsiTheme="minorHAnsi" w:cstheme="minorBidi"/>
          <w:szCs w:val="22"/>
        </w:rPr>
      </w:pPr>
      <w:r>
        <w:t>7.</w:t>
      </w:r>
      <w:r>
        <w:tab/>
        <w:t>Reconnecting a water supply connection</w:t>
      </w:r>
      <w:r>
        <w:tab/>
      </w:r>
      <w:r>
        <w:fldChar w:fldCharType="begin"/>
      </w:r>
      <w:r>
        <w:instrText xml:space="preserve"> PAGEREF _Toc398816586 \h </w:instrText>
      </w:r>
      <w:r>
        <w:fldChar w:fldCharType="separate"/>
      </w:r>
      <w:r>
        <w:t>104</w:t>
      </w:r>
      <w:r>
        <w:fldChar w:fldCharType="end"/>
      </w:r>
    </w:p>
    <w:p>
      <w:pPr>
        <w:pStyle w:val="TOC8"/>
        <w:rPr>
          <w:rFonts w:asciiTheme="minorHAnsi" w:eastAsiaTheme="minorEastAsia" w:hAnsiTheme="minorHAnsi" w:cstheme="minorBidi"/>
          <w:szCs w:val="22"/>
        </w:rPr>
      </w:pPr>
      <w:r>
        <w:t>8.</w:t>
      </w:r>
      <w:r>
        <w:tab/>
        <w:t>Relocating a water supply connection</w:t>
      </w:r>
      <w:r>
        <w:tab/>
      </w:r>
      <w:r>
        <w:fldChar w:fldCharType="begin"/>
      </w:r>
      <w:r>
        <w:instrText xml:space="preserve"> PAGEREF _Toc398816587 \h </w:instrText>
      </w:r>
      <w:r>
        <w:fldChar w:fldCharType="separate"/>
      </w:r>
      <w:r>
        <w:t>105</w:t>
      </w:r>
      <w:r>
        <w:fldChar w:fldCharType="end"/>
      </w:r>
    </w:p>
    <w:p>
      <w:pPr>
        <w:pStyle w:val="TOC8"/>
        <w:rPr>
          <w:rFonts w:asciiTheme="minorHAnsi" w:eastAsiaTheme="minorEastAsia" w:hAnsiTheme="minorHAnsi" w:cstheme="minorBidi"/>
          <w:szCs w:val="22"/>
        </w:rPr>
      </w:pPr>
      <w:r>
        <w:t>9.</w:t>
      </w:r>
      <w:r>
        <w:tab/>
        <w:t>Proposal to connect to sewer</w:t>
      </w:r>
      <w:r>
        <w:tab/>
      </w:r>
      <w:r>
        <w:fldChar w:fldCharType="begin"/>
      </w:r>
      <w:r>
        <w:instrText xml:space="preserve"> PAGEREF _Toc398816588 \h </w:instrText>
      </w:r>
      <w:r>
        <w:fldChar w:fldCharType="separate"/>
      </w:r>
      <w:r>
        <w:t>106</w:t>
      </w:r>
      <w:r>
        <w:fldChar w:fldCharType="end"/>
      </w:r>
    </w:p>
    <w:p>
      <w:pPr>
        <w:pStyle w:val="TOC8"/>
        <w:rPr>
          <w:rFonts w:asciiTheme="minorHAnsi" w:eastAsiaTheme="minorEastAsia" w:hAnsiTheme="minorHAnsi" w:cstheme="minorBidi"/>
          <w:szCs w:val="22"/>
        </w:rPr>
      </w:pPr>
      <w:r>
        <w:t>10.</w:t>
      </w:r>
      <w:r>
        <w:tab/>
        <w:t>Installing sewer junction</w:t>
      </w:r>
      <w:r>
        <w:tab/>
      </w:r>
      <w:r>
        <w:fldChar w:fldCharType="begin"/>
      </w:r>
      <w:r>
        <w:instrText xml:space="preserve"> PAGEREF _Toc398816589 \h </w:instrText>
      </w:r>
      <w:r>
        <w:fldChar w:fldCharType="separate"/>
      </w:r>
      <w:r>
        <w:t>106</w:t>
      </w:r>
      <w:r>
        <w:fldChar w:fldCharType="end"/>
      </w:r>
    </w:p>
    <w:p>
      <w:pPr>
        <w:pStyle w:val="TOC8"/>
        <w:rPr>
          <w:rFonts w:asciiTheme="minorHAnsi" w:eastAsiaTheme="minorEastAsia" w:hAnsiTheme="minorHAnsi" w:cstheme="minorBidi"/>
          <w:szCs w:val="22"/>
        </w:rPr>
      </w:pPr>
      <w:r>
        <w:t>11.</w:t>
      </w:r>
      <w:r>
        <w:tab/>
        <w:t>Hire of standpipe for fire hydrant</w:t>
      </w:r>
      <w:r>
        <w:tab/>
      </w:r>
      <w:r>
        <w:fldChar w:fldCharType="begin"/>
      </w:r>
      <w:r>
        <w:instrText xml:space="preserve"> PAGEREF _Toc398816590 \h </w:instrText>
      </w:r>
      <w:r>
        <w:fldChar w:fldCharType="separate"/>
      </w:r>
      <w:r>
        <w:t>106</w:t>
      </w:r>
      <w:r>
        <w:fldChar w:fldCharType="end"/>
      </w:r>
    </w:p>
    <w:p>
      <w:pPr>
        <w:pStyle w:val="TOC8"/>
        <w:rPr>
          <w:rFonts w:asciiTheme="minorHAnsi" w:eastAsiaTheme="minorEastAsia" w:hAnsiTheme="minorHAnsi" w:cstheme="minorBidi"/>
          <w:szCs w:val="22"/>
        </w:rPr>
      </w:pPr>
      <w:r>
        <w:t>12.</w:t>
      </w:r>
      <w:r>
        <w:tab/>
        <w:t>Trade waste: routine services</w:t>
      </w:r>
      <w:r>
        <w:tab/>
      </w:r>
      <w:r>
        <w:fldChar w:fldCharType="begin"/>
      </w:r>
      <w:r>
        <w:instrText xml:space="preserve"> PAGEREF _Toc398816591 \h </w:instrText>
      </w:r>
      <w:r>
        <w:fldChar w:fldCharType="separate"/>
      </w:r>
      <w:r>
        <w:t>107</w:t>
      </w:r>
      <w:r>
        <w:fldChar w:fldCharType="end"/>
      </w:r>
    </w:p>
    <w:p>
      <w:pPr>
        <w:pStyle w:val="TOC8"/>
        <w:rPr>
          <w:rFonts w:asciiTheme="minorHAnsi" w:eastAsiaTheme="minorEastAsia" w:hAnsiTheme="minorHAnsi" w:cstheme="minorBidi"/>
          <w:szCs w:val="22"/>
        </w:rPr>
      </w:pPr>
      <w:r>
        <w:t>13.</w:t>
      </w:r>
      <w:r>
        <w:tab/>
        <w:t>Trade waste: ad hoc services</w:t>
      </w:r>
      <w:r>
        <w:tab/>
      </w:r>
      <w:r>
        <w:fldChar w:fldCharType="begin"/>
      </w:r>
      <w:r>
        <w:instrText xml:space="preserve"> PAGEREF _Toc398816592 \h </w:instrText>
      </w:r>
      <w:r>
        <w:fldChar w:fldCharType="separate"/>
      </w:r>
      <w:r>
        <w:t>107</w:t>
      </w:r>
      <w:r>
        <w:fldChar w:fldCharType="end"/>
      </w:r>
    </w:p>
    <w:p>
      <w:pPr>
        <w:pStyle w:val="TOC8"/>
        <w:rPr>
          <w:rFonts w:asciiTheme="minorHAnsi" w:eastAsiaTheme="minorEastAsia" w:hAnsiTheme="minorHAnsi" w:cstheme="minorBidi"/>
          <w:szCs w:val="22"/>
        </w:rPr>
      </w:pPr>
      <w:r>
        <w:t>14.</w:t>
      </w:r>
      <w:r>
        <w:tab/>
        <w:t>Trade waste: one</w:t>
      </w:r>
      <w:r>
        <w:noBreakHyphen/>
        <w:t>off discharge services</w:t>
      </w:r>
      <w:r>
        <w:tab/>
      </w:r>
      <w:r>
        <w:fldChar w:fldCharType="begin"/>
      </w:r>
      <w:r>
        <w:instrText xml:space="preserve"> PAGEREF _Toc398816593 \h </w:instrText>
      </w:r>
      <w:r>
        <w:fldChar w:fldCharType="separate"/>
      </w:r>
      <w:r>
        <w:t>108</w:t>
      </w:r>
      <w:r>
        <w:fldChar w:fldCharType="end"/>
      </w:r>
    </w:p>
    <w:p>
      <w:pPr>
        <w:pStyle w:val="TOC8"/>
        <w:rPr>
          <w:rFonts w:asciiTheme="minorHAnsi" w:eastAsiaTheme="minorEastAsia" w:hAnsiTheme="minorHAnsi" w:cstheme="minorBidi"/>
          <w:szCs w:val="22"/>
        </w:rPr>
      </w:pPr>
      <w:r>
        <w:t>15.</w:t>
      </w:r>
      <w:r>
        <w:tab/>
        <w:t>Meter reading and other information</w:t>
      </w:r>
      <w:r>
        <w:tab/>
      </w:r>
      <w:r>
        <w:fldChar w:fldCharType="begin"/>
      </w:r>
      <w:r>
        <w:instrText xml:space="preserve"> PAGEREF _Toc398816594 \h </w:instrText>
      </w:r>
      <w:r>
        <w:fldChar w:fldCharType="separate"/>
      </w:r>
      <w:r>
        <w:t>108</w:t>
      </w:r>
      <w:r>
        <w:fldChar w:fldCharType="end"/>
      </w:r>
    </w:p>
    <w:p>
      <w:pPr>
        <w:pStyle w:val="TOC8"/>
        <w:rPr>
          <w:rFonts w:asciiTheme="minorHAnsi" w:eastAsiaTheme="minorEastAsia" w:hAnsiTheme="minorHAnsi" w:cstheme="minorBidi"/>
          <w:szCs w:val="22"/>
        </w:rPr>
      </w:pPr>
      <w:r>
        <w:t>16.</w:t>
      </w:r>
      <w:r>
        <w:tab/>
        <w:t>Plans and diagrams of property sewer connections or sewerage works</w:t>
      </w:r>
      <w:r>
        <w:tab/>
      </w:r>
      <w:r>
        <w:fldChar w:fldCharType="begin"/>
      </w:r>
      <w:r>
        <w:instrText xml:space="preserve"> PAGEREF _Toc398816595 \h </w:instrText>
      </w:r>
      <w:r>
        <w:fldChar w:fldCharType="separate"/>
      </w:r>
      <w:r>
        <w:t>108</w:t>
      </w:r>
      <w:r>
        <w:fldChar w:fldCharType="end"/>
      </w:r>
    </w:p>
    <w:p>
      <w:pPr>
        <w:pStyle w:val="TOC8"/>
        <w:rPr>
          <w:rFonts w:asciiTheme="minorHAnsi" w:eastAsiaTheme="minorEastAsia" w:hAnsiTheme="minorHAnsi" w:cstheme="minorBidi"/>
          <w:szCs w:val="22"/>
        </w:rPr>
      </w:pPr>
      <w:r>
        <w:t>17.</w:t>
      </w:r>
      <w:r>
        <w:tab/>
        <w:t>Copies of records</w:t>
      </w:r>
      <w:r>
        <w:tab/>
      </w:r>
      <w:r>
        <w:fldChar w:fldCharType="begin"/>
      </w:r>
      <w:r>
        <w:instrText xml:space="preserve"> PAGEREF _Toc398816596 \h </w:instrText>
      </w:r>
      <w:r>
        <w:fldChar w:fldCharType="separate"/>
      </w:r>
      <w:r>
        <w:t>109</w:t>
      </w:r>
      <w:r>
        <w:fldChar w:fldCharType="end"/>
      </w:r>
    </w:p>
    <w:p>
      <w:pPr>
        <w:pStyle w:val="TOC2"/>
        <w:tabs>
          <w:tab w:val="right" w:leader="dot" w:pos="7086"/>
        </w:tabs>
        <w:rPr>
          <w:rFonts w:asciiTheme="minorHAnsi" w:eastAsiaTheme="minorEastAsia" w:hAnsiTheme="minorHAnsi" w:cstheme="minorBidi"/>
          <w:b w:val="0"/>
          <w:sz w:val="22"/>
          <w:szCs w:val="22"/>
        </w:rPr>
      </w:pPr>
      <w:r>
        <w:t>Schedule 8 — Government trading organisations</w:t>
      </w:r>
    </w:p>
    <w:p>
      <w:pPr>
        <w:pStyle w:val="TOC2"/>
        <w:tabs>
          <w:tab w:val="right" w:leader="dot" w:pos="7086"/>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_Toc398816599 \h </w:instrText>
      </w:r>
      <w:r>
        <w:fldChar w:fldCharType="separate"/>
      </w:r>
      <w:r>
        <w:t>112</w:t>
      </w:r>
      <w:r>
        <w:fldChar w:fldCharType="end"/>
      </w:r>
    </w:p>
    <w:p>
      <w:pPr>
        <w:pStyle w:val="TOC2"/>
        <w:tabs>
          <w:tab w:val="right" w:leader="dot" w:pos="7086"/>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86"/>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_Toc398816603 \h </w:instrText>
      </w:r>
      <w:r>
        <w:fldChar w:fldCharType="separate"/>
      </w:r>
      <w:r>
        <w:t>132</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1" w:name="_Toc398816368"/>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398816369"/>
      <w:r>
        <w:rPr>
          <w:rStyle w:val="CharSectno"/>
        </w:rPr>
        <w:t>1</w:t>
      </w:r>
      <w:r>
        <w:t>.</w:t>
      </w:r>
      <w:r>
        <w:tab/>
        <w:t>Citation</w:t>
      </w:r>
      <w:bookmarkEnd w:id="2"/>
    </w:p>
    <w:p>
      <w:pPr>
        <w:pStyle w:val="Subsection"/>
      </w:pPr>
      <w:r>
        <w:tab/>
      </w:r>
      <w:r>
        <w:tab/>
      </w:r>
      <w:bookmarkStart w:id="3" w:name="Start_Cursor"/>
      <w:bookmarkEnd w:id="3"/>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4" w:name="_Toc398816370"/>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5" w:name="_Toc398816371"/>
      <w:r>
        <w:rPr>
          <w:rStyle w:val="CharSectno"/>
        </w:rPr>
        <w:t>3</w:t>
      </w:r>
      <w:r>
        <w:t>.</w:t>
      </w:r>
      <w:r>
        <w:tab/>
        <w:t>Terms used</w:t>
      </w:r>
      <w:bookmarkEnd w:id="5"/>
    </w:p>
    <w:p>
      <w:pPr>
        <w:pStyle w:val="Subsection"/>
      </w:pPr>
      <w:r>
        <w:tab/>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has the meaning given in the </w:t>
      </w:r>
      <w:r>
        <w:rPr>
          <w:i/>
        </w:rPr>
        <w:t>Rates and Charges (Rebates and Deferments) Act 1992</w:t>
      </w:r>
      <w:r>
        <w:t xml:space="preserve"> section 3(1);</w:t>
      </w:r>
    </w:p>
    <w:p>
      <w:pPr>
        <w:pStyle w:val="Defstart"/>
      </w:pPr>
      <w:r>
        <w:tab/>
      </w:r>
      <w:r>
        <w:rPr>
          <w:rStyle w:val="CharDefText"/>
        </w:rPr>
        <w:t>multi</w:t>
      </w:r>
      <w:r>
        <w:rPr>
          <w:rStyle w:val="CharDefText"/>
        </w:rPr>
        <w:noBreakHyphen/>
        <w:t>unit development</w:t>
      </w:r>
      <w:r>
        <w:t xml:space="preserve"> has the meaning given in the </w:t>
      </w:r>
      <w:r>
        <w:rPr>
          <w:i/>
        </w:rPr>
        <w:t>Water Services Regulations 2013</w:t>
      </w:r>
      <w:r>
        <w:t xml:space="preserve"> regulation 3(1);</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Defstart"/>
      </w:pPr>
      <w:r>
        <w:tab/>
      </w:r>
      <w:r>
        <w:rPr>
          <w:rStyle w:val="CharDefText"/>
        </w:rPr>
        <w:t>water supply connection</w:t>
      </w:r>
      <w:r>
        <w:t xml:space="preserve"> has the meaning given in the </w:t>
      </w:r>
      <w:r>
        <w:rPr>
          <w:i/>
        </w:rPr>
        <w:t>Water Services Regulations 2013</w:t>
      </w:r>
      <w:r>
        <w:t xml:space="preserve"> regulation 3(1).</w:t>
      </w:r>
    </w:p>
    <w:p>
      <w:pPr>
        <w:pStyle w:val="Heading2"/>
      </w:pPr>
      <w:bookmarkStart w:id="6" w:name="_Toc398816372"/>
      <w:r>
        <w:rPr>
          <w:rStyle w:val="CharPartNo"/>
        </w:rPr>
        <w:t>Part 2</w:t>
      </w:r>
      <w:r>
        <w:rPr>
          <w:rStyle w:val="CharDivNo"/>
        </w:rPr>
        <w:t> </w:t>
      </w:r>
      <w:r>
        <w:t>—</w:t>
      </w:r>
      <w:r>
        <w:rPr>
          <w:rStyle w:val="CharDivText"/>
        </w:rPr>
        <w:t> </w:t>
      </w:r>
      <w:r>
        <w:rPr>
          <w:rStyle w:val="CharPartText"/>
        </w:rPr>
        <w:t>General provisions</w:t>
      </w:r>
      <w:bookmarkEnd w:id="6"/>
    </w:p>
    <w:p>
      <w:pPr>
        <w:pStyle w:val="Heading5"/>
      </w:pPr>
      <w:bookmarkStart w:id="7" w:name="_Toc398816373"/>
      <w:r>
        <w:rPr>
          <w:rStyle w:val="CharSectno"/>
        </w:rPr>
        <w:t>4</w:t>
      </w:r>
      <w:r>
        <w:t>.</w:t>
      </w:r>
      <w:r>
        <w:tab/>
        <w:t>Annual charges and pro rata annual charges</w:t>
      </w:r>
      <w:bookmarkEnd w:id="7"/>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8" w:name="_Toc398816374"/>
      <w:r>
        <w:rPr>
          <w:rStyle w:val="CharSectno"/>
        </w:rPr>
        <w:t>5</w:t>
      </w:r>
      <w:r>
        <w:t>.</w:t>
      </w:r>
      <w:r>
        <w:tab/>
        <w:t>Amendment of consumption or discharge charges during charge period</w:t>
      </w:r>
      <w:bookmarkEnd w:id="8"/>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9" w:name="_Toc398816375"/>
      <w:r>
        <w:rPr>
          <w:rStyle w:val="CharPartNo"/>
        </w:rPr>
        <w:t>Part 3</w:t>
      </w:r>
      <w:r>
        <w:rPr>
          <w:rStyle w:val="CharDivNo"/>
        </w:rPr>
        <w:t> </w:t>
      </w:r>
      <w:r>
        <w:t>—</w:t>
      </w:r>
      <w:r>
        <w:rPr>
          <w:rStyle w:val="CharDivText"/>
        </w:rPr>
        <w:t> </w:t>
      </w:r>
      <w:r>
        <w:rPr>
          <w:rStyle w:val="CharPartText"/>
        </w:rPr>
        <w:t>Charges for Bunbury Water Corporation</w:t>
      </w:r>
      <w:bookmarkEnd w:id="9"/>
    </w:p>
    <w:p>
      <w:pPr>
        <w:pStyle w:val="Heading5"/>
      </w:pPr>
      <w:bookmarkStart w:id="10" w:name="_Toc398816376"/>
      <w:r>
        <w:rPr>
          <w:rStyle w:val="CharSectno"/>
        </w:rPr>
        <w:t>6</w:t>
      </w:r>
      <w:r>
        <w:t>.</w:t>
      </w:r>
      <w:r>
        <w:tab/>
        <w:t>Terms used</w:t>
      </w:r>
      <w:bookmarkEnd w:id="10"/>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11" w:name="_Toc398816377"/>
      <w:r>
        <w:rPr>
          <w:rStyle w:val="CharSectno"/>
        </w:rPr>
        <w:t>7</w:t>
      </w:r>
      <w:r>
        <w:t>.</w:t>
      </w:r>
      <w:r>
        <w:tab/>
        <w:t>Water supply charges</w:t>
      </w:r>
      <w:bookmarkEnd w:id="11"/>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Heading5"/>
      </w:pPr>
      <w:bookmarkStart w:id="12" w:name="_Toc398816378"/>
      <w:r>
        <w:rPr>
          <w:rStyle w:val="CharSectno"/>
        </w:rPr>
        <w:t>8</w:t>
      </w:r>
      <w:r>
        <w:t>.</w:t>
      </w:r>
      <w:r>
        <w:tab/>
        <w:t>Miscellaneous charges</w:t>
      </w:r>
      <w:bookmarkEnd w:id="12"/>
    </w:p>
    <w:p>
      <w:pPr>
        <w:pStyle w:val="Subsection"/>
      </w:pPr>
      <w:r>
        <w:tab/>
        <w:t>(1)</w:t>
      </w:r>
      <w:r>
        <w:tab/>
        <w:t>Schedule 1 Division 3 sets out charges for certain things done, or goods and services provided, by the Bunbury Water Corporation as part of or incidental to the provision of a water service.</w:t>
      </w:r>
    </w:p>
    <w:p>
      <w:pPr>
        <w:pStyle w:val="Subsection"/>
      </w:pPr>
      <w:r>
        <w:tab/>
        <w:t>(2)</w:t>
      </w:r>
      <w:r>
        <w:tab/>
        <w:t xml:space="preserve">The Bunbury Water Corporation may — </w:t>
      </w:r>
    </w:p>
    <w:p>
      <w:pPr>
        <w:pStyle w:val="Indenta"/>
      </w:pPr>
      <w:r>
        <w:tab/>
        <w:t>(a)</w:t>
      </w:r>
      <w:r>
        <w:tab/>
        <w:t>require payment of a charge, set out in Schedule 1 Division 3, in advance; and</w:t>
      </w:r>
    </w:p>
    <w:p>
      <w:pPr>
        <w:pStyle w:val="Indenta"/>
      </w:pPr>
      <w:r>
        <w:tab/>
        <w:t>(b)</w:t>
      </w:r>
      <w:r>
        <w:tab/>
        <w:t>reduce or waive a charge in a particular case, or generally, if it considers that to be appropriate.</w:t>
      </w:r>
    </w:p>
    <w:p>
      <w:pPr>
        <w:pStyle w:val="Heading5"/>
      </w:pPr>
      <w:bookmarkStart w:id="13" w:name="_Toc398816379"/>
      <w:r>
        <w:rPr>
          <w:rStyle w:val="CharSectno"/>
        </w:rPr>
        <w:t>9</w:t>
      </w:r>
      <w:r>
        <w:t>.</w:t>
      </w:r>
      <w:r>
        <w:tab/>
        <w:t>Concessions</w:t>
      </w:r>
      <w:bookmarkEnd w:id="13"/>
    </w:p>
    <w:p>
      <w:pPr>
        <w:pStyle w:val="Subsection"/>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14" w:name="_Toc398816380"/>
      <w:r>
        <w:rPr>
          <w:rStyle w:val="CharSectno"/>
        </w:rPr>
        <w:t>10</w:t>
      </w:r>
      <w:r>
        <w:t>.</w:t>
      </w:r>
      <w:r>
        <w:tab/>
        <w:t>Interest accruing on overdue amounts</w:t>
      </w:r>
      <w:bookmarkEnd w:id="14"/>
    </w:p>
    <w:p>
      <w:pPr>
        <w:pStyle w:val="Subsection"/>
      </w:pPr>
      <w:r>
        <w:tab/>
      </w:r>
      <w:r>
        <w:tab/>
        <w:t>If an amount payable under this Part is overdue, interest accrues daily on any part of that amount unpaid after the day on which the amount was due, at the rate of 10% per annum.</w:t>
      </w:r>
    </w:p>
    <w:p>
      <w:pPr>
        <w:pStyle w:val="Heading2"/>
      </w:pPr>
      <w:bookmarkStart w:id="15" w:name="_Toc398816381"/>
      <w:r>
        <w:rPr>
          <w:rStyle w:val="CharPartNo"/>
        </w:rPr>
        <w:t>Part 4</w:t>
      </w:r>
      <w:r>
        <w:rPr>
          <w:rStyle w:val="CharDivNo"/>
        </w:rPr>
        <w:t> </w:t>
      </w:r>
      <w:r>
        <w:t>—</w:t>
      </w:r>
      <w:r>
        <w:rPr>
          <w:rStyle w:val="CharDivText"/>
        </w:rPr>
        <w:t> </w:t>
      </w:r>
      <w:r>
        <w:rPr>
          <w:rStyle w:val="CharPartText"/>
        </w:rPr>
        <w:t>Charges for Busselton Water Corporation</w:t>
      </w:r>
      <w:bookmarkEnd w:id="15"/>
    </w:p>
    <w:p>
      <w:pPr>
        <w:pStyle w:val="Heading5"/>
      </w:pPr>
      <w:bookmarkStart w:id="16" w:name="_Toc398816382"/>
      <w:r>
        <w:rPr>
          <w:rStyle w:val="CharSectno"/>
        </w:rPr>
        <w:t>11</w:t>
      </w:r>
      <w:r>
        <w:t>.</w:t>
      </w:r>
      <w:r>
        <w:tab/>
        <w:t>Terms used</w:t>
      </w:r>
      <w:bookmarkEnd w:id="16"/>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fire service connection</w:t>
      </w:r>
      <w:r>
        <w:t xml:space="preserve"> means a water supply connection provided exclusively for the purposes of fighting fires;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17" w:name="_Toc398816383"/>
      <w:r>
        <w:rPr>
          <w:rStyle w:val="CharSectno"/>
        </w:rPr>
        <w:t>12</w:t>
      </w:r>
      <w:r>
        <w:t>.</w:t>
      </w:r>
      <w:r>
        <w:tab/>
        <w:t>Water supply charges</w:t>
      </w:r>
      <w:bookmarkEnd w:id="17"/>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Heading5"/>
      </w:pPr>
      <w:bookmarkStart w:id="18" w:name="_Toc398816384"/>
      <w:r>
        <w:rPr>
          <w:rStyle w:val="CharSectno"/>
        </w:rPr>
        <w:t>13</w:t>
      </w:r>
      <w:r>
        <w:t>.</w:t>
      </w:r>
      <w:r>
        <w:tab/>
        <w:t>Miscellaneous charges</w:t>
      </w:r>
      <w:bookmarkEnd w:id="18"/>
    </w:p>
    <w:p>
      <w:pPr>
        <w:pStyle w:val="Subsection"/>
      </w:pPr>
      <w:r>
        <w:tab/>
        <w:t>(1)</w:t>
      </w:r>
      <w:r>
        <w:tab/>
        <w:t>Schedule 2 Division 3 sets out charges for certain things done, or goods and services provided, by the Busselton Water Corporation as part of or incidental to the provision of a water service.</w:t>
      </w:r>
    </w:p>
    <w:p>
      <w:pPr>
        <w:pStyle w:val="Subsection"/>
      </w:pPr>
      <w:r>
        <w:tab/>
        <w:t>(2)</w:t>
      </w:r>
      <w:r>
        <w:tab/>
        <w:t xml:space="preserve">The Busselton Water Corporation may — </w:t>
      </w:r>
    </w:p>
    <w:p>
      <w:pPr>
        <w:pStyle w:val="Indenta"/>
      </w:pPr>
      <w:r>
        <w:tab/>
        <w:t>(a)</w:t>
      </w:r>
      <w:r>
        <w:tab/>
        <w:t>require payment of a charge, set out in Schedule 2 Division 3, in advance; and</w:t>
      </w:r>
    </w:p>
    <w:p>
      <w:pPr>
        <w:pStyle w:val="Indenta"/>
      </w:pPr>
      <w:r>
        <w:tab/>
        <w:t>(b)</w:t>
      </w:r>
      <w:r>
        <w:tab/>
        <w:t>reduce or waive a charge in a particular case, or generally, if it considers that to be appropriate.</w:t>
      </w:r>
    </w:p>
    <w:p>
      <w:pPr>
        <w:pStyle w:val="Heading5"/>
      </w:pPr>
      <w:bookmarkStart w:id="19" w:name="_Toc398816385"/>
      <w:r>
        <w:rPr>
          <w:rStyle w:val="CharSectno"/>
        </w:rPr>
        <w:t>14</w:t>
      </w:r>
      <w:r>
        <w:t>.</w:t>
      </w:r>
      <w:r>
        <w:tab/>
        <w:t>Concessions</w:t>
      </w:r>
      <w:bookmarkEnd w:id="19"/>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0" w:name="_Toc398816386"/>
      <w:r>
        <w:rPr>
          <w:rStyle w:val="CharSectno"/>
        </w:rPr>
        <w:t>15</w:t>
      </w:r>
      <w:r>
        <w:t>.</w:t>
      </w:r>
      <w:r>
        <w:tab/>
        <w:t>Interest accruing on overdue amounts</w:t>
      </w:r>
      <w:bookmarkEnd w:id="20"/>
    </w:p>
    <w:p>
      <w:pPr>
        <w:pStyle w:val="Subsection"/>
      </w:pPr>
      <w:r>
        <w:tab/>
      </w:r>
      <w:r>
        <w:tab/>
        <w:t>If an amount payable under this Part is overdue, interest accrues daily on any part of that amount unpaid after the day on which the amount was due, at the rate of 12.38% per annum.</w:t>
      </w:r>
    </w:p>
    <w:p>
      <w:pPr>
        <w:pStyle w:val="Heading2"/>
      </w:pPr>
      <w:bookmarkStart w:id="21" w:name="_Toc398816387"/>
      <w:r>
        <w:rPr>
          <w:rStyle w:val="CharPartNo"/>
        </w:rPr>
        <w:t>Part 5</w:t>
      </w:r>
      <w:r>
        <w:t> — </w:t>
      </w:r>
      <w:r>
        <w:rPr>
          <w:rStyle w:val="CharPartText"/>
        </w:rPr>
        <w:t>Charges for the Water Corporation</w:t>
      </w:r>
      <w:bookmarkEnd w:id="21"/>
    </w:p>
    <w:p>
      <w:pPr>
        <w:pStyle w:val="Heading3"/>
        <w:rPr>
          <w:rStyle w:val="CharDivText"/>
        </w:rPr>
      </w:pPr>
      <w:bookmarkStart w:id="22" w:name="_Toc398816388"/>
      <w:r>
        <w:rPr>
          <w:rStyle w:val="CharDivNo"/>
        </w:rPr>
        <w:t>Division 1</w:t>
      </w:r>
      <w:r>
        <w:t> — </w:t>
      </w:r>
      <w:r>
        <w:rPr>
          <w:rStyle w:val="CharDivText"/>
        </w:rPr>
        <w:t>Preliminary</w:t>
      </w:r>
      <w:bookmarkEnd w:id="22"/>
    </w:p>
    <w:p>
      <w:pPr>
        <w:pStyle w:val="Heading5"/>
      </w:pPr>
      <w:bookmarkStart w:id="23" w:name="_Toc398816389"/>
      <w:r>
        <w:rPr>
          <w:rStyle w:val="CharSectno"/>
        </w:rPr>
        <w:t>16</w:t>
      </w:r>
      <w:r>
        <w:t>.</w:t>
      </w:r>
      <w:r>
        <w:tab/>
        <w:t>Terms used</w:t>
      </w:r>
      <w:bookmarkEnd w:id="23"/>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concessional land</w:t>
      </w:r>
      <w:r>
        <w:t xml:space="preserve"> has the meaning given in regulation 17;</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farmland</w:t>
      </w:r>
      <w:r>
        <w:t xml:space="preserve"> has the meaning given in the </w:t>
      </w:r>
      <w:r>
        <w:rPr>
          <w:i/>
        </w:rPr>
        <w:t>Water Services Regulations 2013</w:t>
      </w:r>
      <w:r>
        <w:t xml:space="preserve"> regulation 3(1);</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metropolitan area</w:t>
      </w:r>
      <w:r>
        <w:t xml:space="preserve"> has the meaning given in the </w:t>
      </w:r>
      <w:r>
        <w:rPr>
          <w:i/>
        </w:rPr>
        <w:t>Water Services Regulations 2013</w:t>
      </w:r>
      <w:r>
        <w:t xml:space="preserve"> regulation 3(1);</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sewer junction</w:t>
      </w:r>
      <w:r>
        <w:t xml:space="preserve"> has the meaning given in the </w:t>
      </w:r>
      <w:r>
        <w:rPr>
          <w:i/>
        </w:rPr>
        <w:t>Water Services Regulations 2013</w:t>
      </w:r>
      <w:r>
        <w:t xml:space="preserve"> regulation 3(1);</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Heading5"/>
      </w:pPr>
      <w:bookmarkStart w:id="24" w:name="_Toc398816390"/>
      <w:r>
        <w:rPr>
          <w:rStyle w:val="CharSectno"/>
        </w:rPr>
        <w:t>17</w:t>
      </w:r>
      <w:r>
        <w:t>.</w:t>
      </w:r>
      <w:r>
        <w:tab/>
        <w:t>Concessional land</w:t>
      </w:r>
      <w:bookmarkEnd w:id="24"/>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25" w:name="_Toc398816391"/>
      <w:r>
        <w:rPr>
          <w:rStyle w:val="CharDivNo"/>
        </w:rPr>
        <w:t>Division 2</w:t>
      </w:r>
      <w:r>
        <w:t> — </w:t>
      </w:r>
      <w:r>
        <w:rPr>
          <w:rStyle w:val="CharDivText"/>
        </w:rPr>
        <w:t>Provisions of general application</w:t>
      </w:r>
      <w:bookmarkEnd w:id="25"/>
    </w:p>
    <w:p>
      <w:pPr>
        <w:pStyle w:val="Heading5"/>
      </w:pPr>
      <w:bookmarkStart w:id="26" w:name="_Toc398816392"/>
      <w:r>
        <w:rPr>
          <w:rStyle w:val="CharSectno"/>
        </w:rPr>
        <w:t>18</w:t>
      </w:r>
      <w:r>
        <w:t>.</w:t>
      </w:r>
      <w:r>
        <w:tab/>
        <w:t>Application of this Division</w:t>
      </w:r>
      <w:bookmarkEnd w:id="26"/>
    </w:p>
    <w:p>
      <w:pPr>
        <w:pStyle w:val="Subsection"/>
      </w:pPr>
      <w:r>
        <w:tab/>
      </w:r>
      <w:r>
        <w:tab/>
        <w:t>This Division applies to water service charges applicable under Divisions 3, 4, 5 and 6.</w:t>
      </w:r>
    </w:p>
    <w:p>
      <w:pPr>
        <w:pStyle w:val="Heading5"/>
      </w:pPr>
      <w:bookmarkStart w:id="27" w:name="_Toc398816393"/>
      <w:r>
        <w:rPr>
          <w:rStyle w:val="CharSectno"/>
        </w:rPr>
        <w:t>19</w:t>
      </w:r>
      <w:r>
        <w:t>.</w:t>
      </w:r>
      <w:r>
        <w:tab/>
        <w:t>Payment of charges</w:t>
      </w:r>
      <w:bookmarkEnd w:id="27"/>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28" w:name="_Toc398816394"/>
      <w:r>
        <w:rPr>
          <w:rStyle w:val="CharSectno"/>
        </w:rPr>
        <w:t>20</w:t>
      </w:r>
      <w:r>
        <w:t>.</w:t>
      </w:r>
      <w:r>
        <w:tab/>
        <w:t>Charge for payment using a credit card</w:t>
      </w:r>
      <w:bookmarkEnd w:id="28"/>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0.53% of the amount paid.</w:t>
      </w:r>
    </w:p>
    <w:p>
      <w:pPr>
        <w:pStyle w:val="Heading5"/>
      </w:pPr>
      <w:bookmarkStart w:id="29" w:name="_Toc398816395"/>
      <w:r>
        <w:rPr>
          <w:rStyle w:val="CharSectno"/>
        </w:rPr>
        <w:t>21</w:t>
      </w:r>
      <w:r>
        <w:t>.</w:t>
      </w:r>
      <w:r>
        <w:tab/>
        <w:t>Special payment arrangements</w:t>
      </w:r>
      <w:bookmarkEnd w:id="29"/>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30" w:name="_Toc398816396"/>
      <w:r>
        <w:rPr>
          <w:rStyle w:val="CharSectno"/>
        </w:rPr>
        <w:t>22</w:t>
      </w:r>
      <w:r>
        <w:t>.</w:t>
      </w:r>
      <w:r>
        <w:tab/>
        <w:t>Estimating quantity of water or wastewater supplied, discharged or drained</w:t>
      </w:r>
      <w:bookmarkEnd w:id="30"/>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31" w:name="_Toc398816397"/>
      <w:r>
        <w:rPr>
          <w:rStyle w:val="CharSectno"/>
        </w:rPr>
        <w:t>23</w:t>
      </w:r>
      <w:r>
        <w:t>.</w:t>
      </w:r>
      <w:r>
        <w:tab/>
        <w:t>Determining quality and quantity of trade waste discharged</w:t>
      </w:r>
      <w:bookmarkEnd w:id="31"/>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32" w:name="_Toc398816398"/>
      <w:r>
        <w:rPr>
          <w:rStyle w:val="CharSectno"/>
        </w:rPr>
        <w:t>24</w:t>
      </w:r>
      <w:r>
        <w:t>.</w:t>
      </w:r>
      <w:r>
        <w:tab/>
        <w:t>Vacant land: minimum charges before revaluation</w:t>
      </w:r>
      <w:bookmarkEnd w:id="32"/>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33" w:name="_Toc398816399"/>
      <w:r>
        <w:rPr>
          <w:rStyle w:val="CharSectno"/>
        </w:rPr>
        <w:t>25</w:t>
      </w:r>
      <w:r>
        <w:t>.</w:t>
      </w:r>
      <w:r>
        <w:tab/>
        <w:t>Classification of land</w:t>
      </w:r>
      <w:bookmarkEnd w:id="33"/>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pPr>
      <w:bookmarkStart w:id="34" w:name="_Toc398816400"/>
      <w:r>
        <w:rPr>
          <w:rStyle w:val="CharSectno"/>
        </w:rPr>
        <w:t>26</w:t>
      </w:r>
      <w:r>
        <w:t>.</w:t>
      </w:r>
      <w:r>
        <w:tab/>
        <w:t>Classification of land: holiday accommodation</w:t>
      </w:r>
      <w:bookmarkEnd w:id="34"/>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pPr>
      <w:bookmarkStart w:id="35" w:name="_Toc398816401"/>
      <w:r>
        <w:rPr>
          <w:rStyle w:val="CharSectno"/>
        </w:rPr>
        <w:t>27</w:t>
      </w:r>
      <w:r>
        <w:t>.</w:t>
      </w:r>
      <w:r>
        <w:tab/>
        <w:t>Commercial caravan parks</w:t>
      </w:r>
      <w:bookmarkEnd w:id="35"/>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31.5pt">
            <v:imagedata r:id="rId20" o:title=""/>
          </v:shape>
        </w:pict>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NotesPerm"/>
        <w:tabs>
          <w:tab w:val="clear" w:pos="879"/>
          <w:tab w:val="left" w:pos="851"/>
        </w:tabs>
        <w:ind w:left="1418" w:hanging="1418"/>
      </w:pPr>
      <w:r>
        <w:tab/>
        <w:t>Note:</w:t>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36" w:name="_Toc398816402"/>
      <w:r>
        <w:rPr>
          <w:rStyle w:val="CharSectno"/>
        </w:rPr>
        <w:t>28</w:t>
      </w:r>
      <w:r>
        <w:t>.</w:t>
      </w:r>
      <w:r>
        <w:tab/>
        <w:t>Maximum increases for various GRV based charges</w:t>
      </w:r>
      <w:bookmarkEnd w:id="36"/>
    </w:p>
    <w:p>
      <w:pPr>
        <w:pStyle w:val="Subsection"/>
      </w:pPr>
      <w:r>
        <w:tab/>
        <w:t>(1)</w:t>
      </w:r>
      <w:r>
        <w:tab/>
        <w:t>If, for a financial year, a water service charge calculated in respect of land under Schedule 4 item 2, 3 or 11 or Schedule 5 item 6 is more than 12.6% greater than the charge payable in respect of the land for the same service under the same circumstances in the previous financial year, the charge payable for the financial year cannot be more than 12.6%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Heading5"/>
      </w:pPr>
      <w:bookmarkStart w:id="37" w:name="_Toc398816403"/>
      <w:r>
        <w:rPr>
          <w:rStyle w:val="CharSectno"/>
        </w:rPr>
        <w:t>29</w:t>
      </w:r>
      <w:r>
        <w:t>.</w:t>
      </w:r>
      <w:r>
        <w:tab/>
        <w:t>Interest accruing on overdue amounts</w:t>
      </w:r>
      <w:bookmarkEnd w:id="37"/>
    </w:p>
    <w:p>
      <w:pPr>
        <w:pStyle w:val="Subsection"/>
      </w:pPr>
      <w:r>
        <w:tab/>
      </w:r>
      <w:r>
        <w:tab/>
        <w:t>If an amount payable under this Part is overdue, interest accrues daily on any part of that amount unpaid after the day on which the amount was due, at the rate of 12.38% per annum.</w:t>
      </w:r>
    </w:p>
    <w:p>
      <w:pPr>
        <w:pStyle w:val="Heading3"/>
      </w:pPr>
      <w:bookmarkStart w:id="38" w:name="_Toc398816404"/>
      <w:r>
        <w:rPr>
          <w:rStyle w:val="CharDivNo"/>
        </w:rPr>
        <w:t>Division 3</w:t>
      </w:r>
      <w:r>
        <w:t> — </w:t>
      </w:r>
      <w:r>
        <w:rPr>
          <w:rStyle w:val="CharDivText"/>
        </w:rPr>
        <w:t>Water supply charges</w:t>
      </w:r>
      <w:bookmarkEnd w:id="38"/>
    </w:p>
    <w:p>
      <w:pPr>
        <w:pStyle w:val="Heading5"/>
      </w:pPr>
      <w:bookmarkStart w:id="39" w:name="_Toc398816405"/>
      <w:r>
        <w:rPr>
          <w:rStyle w:val="CharSectno"/>
        </w:rPr>
        <w:t>30</w:t>
      </w:r>
      <w:r>
        <w:t>.</w:t>
      </w:r>
      <w:r>
        <w:tab/>
        <w:t>Land connected to water supply works</w:t>
      </w:r>
      <w:bookmarkEnd w:id="39"/>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40" w:name="_Toc398816406"/>
      <w:r>
        <w:rPr>
          <w:rStyle w:val="CharSectno"/>
        </w:rPr>
        <w:t>31</w:t>
      </w:r>
      <w:r>
        <w:t>.</w:t>
      </w:r>
      <w:r>
        <w:tab/>
        <w:t>Water supply charges</w:t>
      </w:r>
      <w:bookmarkEnd w:id="40"/>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pPr>
      <w:bookmarkStart w:id="41" w:name="_Toc398816407"/>
      <w:r>
        <w:rPr>
          <w:rStyle w:val="CharSectno"/>
        </w:rPr>
        <w:t>32</w:t>
      </w:r>
      <w:r>
        <w:t>.</w:t>
      </w:r>
      <w:r>
        <w:tab/>
        <w:t>Classification of land</w:t>
      </w:r>
      <w:bookmarkEnd w:id="41"/>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kilometres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42" w:name="_Toc398816408"/>
      <w:r>
        <w:rPr>
          <w:rStyle w:val="CharSectno"/>
        </w:rPr>
        <w:t>33</w:t>
      </w:r>
      <w:r>
        <w:t>.</w:t>
      </w:r>
      <w:r>
        <w:tab/>
        <w:t>Change of occupancy during year</w:t>
      </w:r>
      <w:bookmarkEnd w:id="42"/>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that does not exceed 350 kL by the following fraction — </w:t>
      </w:r>
    </w:p>
    <w:p>
      <w:pPr>
        <w:pStyle w:val="Subsection"/>
      </w:pPr>
      <w:r>
        <w:tab/>
      </w:r>
      <w:r>
        <w:tab/>
      </w:r>
      <w:r>
        <w:rPr>
          <w:position w:val="-24"/>
        </w:rPr>
        <w:pict>
          <v:shape id="_x0000_i1026" type="#_x0000_t75" style="width:15.75pt;height:31.5pt">
            <v:imagedata r:id="rId21" o:title=""/>
          </v:shape>
        </w:pict>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Heading5"/>
      </w:pPr>
      <w:bookmarkStart w:id="43" w:name="_Toc398816409"/>
      <w:r>
        <w:rPr>
          <w:rStyle w:val="CharSectno"/>
        </w:rPr>
        <w:t>34</w:t>
      </w:r>
      <w:r>
        <w:t>.</w:t>
      </w:r>
      <w:r>
        <w:tab/>
        <w:t>Concessions: consumption charges</w:t>
      </w:r>
      <w:bookmarkEnd w:id="43"/>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pPr>
      <w:bookmarkStart w:id="44" w:name="_Toc398816410"/>
      <w:r>
        <w:rPr>
          <w:rStyle w:val="CharSectno"/>
        </w:rPr>
        <w:t>35</w:t>
      </w:r>
      <w:r>
        <w:t>.</w:t>
      </w:r>
      <w:r>
        <w:tab/>
        <w:t>Concessions: certain occupiers of multi</w:t>
      </w:r>
      <w:r>
        <w:noBreakHyphen/>
        <w:t>unit developments</w:t>
      </w:r>
      <w:bookmarkEnd w:id="44"/>
    </w:p>
    <w:p>
      <w:pPr>
        <w:pStyle w:val="Subsection"/>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45" w:name="_Toc398816411"/>
      <w:r>
        <w:rPr>
          <w:rStyle w:val="CharSectno"/>
        </w:rPr>
        <w:t>36</w:t>
      </w:r>
      <w:r>
        <w:t>.</w:t>
      </w:r>
      <w:r>
        <w:tab/>
        <w:t>Concessions: certain retirement village residents</w:t>
      </w:r>
      <w:bookmarkEnd w:id="45"/>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$104.08.</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Heading3"/>
        <w:keepNext w:val="0"/>
        <w:widowControl w:val="0"/>
      </w:pPr>
      <w:bookmarkStart w:id="46" w:name="_Toc398816412"/>
      <w:r>
        <w:rPr>
          <w:rStyle w:val="CharDivNo"/>
        </w:rPr>
        <w:t>Division 4</w:t>
      </w:r>
      <w:r>
        <w:t> — </w:t>
      </w:r>
      <w:r>
        <w:rPr>
          <w:rStyle w:val="CharDivText"/>
        </w:rPr>
        <w:t>Sewerage charges</w:t>
      </w:r>
      <w:bookmarkEnd w:id="46"/>
    </w:p>
    <w:p>
      <w:pPr>
        <w:pStyle w:val="Heading5"/>
      </w:pPr>
      <w:bookmarkStart w:id="47" w:name="_Toc398816413"/>
      <w:r>
        <w:rPr>
          <w:rStyle w:val="CharSectno"/>
        </w:rPr>
        <w:t>37</w:t>
      </w:r>
      <w:r>
        <w:t>.</w:t>
      </w:r>
      <w:r>
        <w:tab/>
        <w:t>Land connected to sewerage works</w:t>
      </w:r>
      <w:bookmarkEnd w:id="47"/>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48" w:name="_Toc398816414"/>
      <w:r>
        <w:rPr>
          <w:rStyle w:val="CharSectno"/>
        </w:rPr>
        <w:t>38</w:t>
      </w:r>
      <w:r>
        <w:t>.</w:t>
      </w:r>
      <w:r>
        <w:tab/>
        <w:t>Sewerage areas</w:t>
      </w:r>
      <w:bookmarkEnd w:id="48"/>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t xml:space="preserve"> section 4.</w:t>
      </w:r>
    </w:p>
    <w:p>
      <w:pPr>
        <w:pStyle w:val="Heading5"/>
      </w:pPr>
      <w:bookmarkStart w:id="49" w:name="_Toc398816415"/>
      <w:r>
        <w:rPr>
          <w:rStyle w:val="CharSectno"/>
        </w:rPr>
        <w:t>39</w:t>
      </w:r>
      <w:r>
        <w:t>.</w:t>
      </w:r>
      <w:r>
        <w:tab/>
        <w:t>Sewerage charges</w:t>
      </w:r>
      <w:bookmarkEnd w:id="49"/>
    </w:p>
    <w:p>
      <w:pPr>
        <w:pStyle w:val="Subsection"/>
      </w:pPr>
      <w:r>
        <w:tab/>
        <w:t>(1)</w:t>
      </w:r>
      <w:r>
        <w:tab/>
        <w:t>The water service charges set out in Schedule 4, other than in Division 3, apply, in accordance with the Schedule, in respect of land in respect of which a sewerage service is provided by the Water Corporation.</w:t>
      </w:r>
    </w:p>
    <w:p>
      <w:pPr>
        <w:pStyle w:val="Subsection"/>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50" w:name="_Toc398816416"/>
      <w:r>
        <w:rPr>
          <w:rStyle w:val="CharSectno"/>
        </w:rPr>
        <w:t>40</w:t>
      </w:r>
      <w:r>
        <w:t>.</w:t>
      </w:r>
      <w:r>
        <w:tab/>
        <w:t>Classification of land</w:t>
      </w:r>
      <w:bookmarkEnd w:id="50"/>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51" w:name="_Toc398816417"/>
      <w:r>
        <w:rPr>
          <w:rStyle w:val="CharSectno"/>
        </w:rPr>
        <w:t>41</w:t>
      </w:r>
      <w:r>
        <w:t>.</w:t>
      </w:r>
      <w:r>
        <w:tab/>
        <w:t>Minimum charges: Schedule 4 Division 2</w:t>
      </w:r>
      <w:bookmarkEnd w:id="51"/>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52" w:name="_Toc398816418"/>
      <w:r>
        <w:rPr>
          <w:rStyle w:val="CharSectno"/>
        </w:rPr>
        <w:t>42</w:t>
      </w:r>
      <w:r>
        <w:t>.</w:t>
      </w:r>
      <w:r>
        <w:tab/>
        <w:t>Estimating charge, or volume discharged, for previous year: Schedule 4 Division 2</w:t>
      </w:r>
      <w:bookmarkEnd w:id="52"/>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53" w:name="_Toc398816419"/>
      <w:r>
        <w:rPr>
          <w:rStyle w:val="CharSectno"/>
        </w:rPr>
        <w:t>43</w:t>
      </w:r>
      <w:r>
        <w:t>.</w:t>
      </w:r>
      <w:r>
        <w:tab/>
        <w:t>Determining number of major fixtures: Schedule 4 Division 2</w:t>
      </w:r>
      <w:bookmarkEnd w:id="53"/>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54" w:name="_Toc398816420"/>
      <w:r>
        <w:rPr>
          <w:rStyle w:val="CharSectno"/>
        </w:rPr>
        <w:t>44</w:t>
      </w:r>
      <w:r>
        <w:t>.</w:t>
      </w:r>
      <w:r>
        <w:tab/>
        <w:t>Concessions: certain retirement village residents</w:t>
      </w:r>
      <w:bookmarkEnd w:id="54"/>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$216.68.</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Heading3"/>
      </w:pPr>
      <w:bookmarkStart w:id="55" w:name="_Toc398816421"/>
      <w:r>
        <w:rPr>
          <w:rStyle w:val="CharDivNo"/>
        </w:rPr>
        <w:t>Division 5</w:t>
      </w:r>
      <w:r>
        <w:t> — </w:t>
      </w:r>
      <w:r>
        <w:rPr>
          <w:rStyle w:val="CharDivText"/>
        </w:rPr>
        <w:t>Drainage charges</w:t>
      </w:r>
      <w:bookmarkEnd w:id="55"/>
    </w:p>
    <w:p>
      <w:pPr>
        <w:pStyle w:val="Heading5"/>
      </w:pPr>
      <w:bookmarkStart w:id="56" w:name="_Toc398816422"/>
      <w:r>
        <w:rPr>
          <w:rStyle w:val="CharSectno"/>
        </w:rPr>
        <w:t>45</w:t>
      </w:r>
      <w:r>
        <w:t>.</w:t>
      </w:r>
      <w:r>
        <w:tab/>
        <w:t>Drainage areas</w:t>
      </w:r>
      <w:bookmarkEnd w:id="56"/>
    </w:p>
    <w:p>
      <w:pPr>
        <w:pStyle w:val="Subsection"/>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pPr>
      <w:r>
        <w:tab/>
        <w:t>(2)</w:t>
      </w:r>
      <w:r>
        <w:tab/>
        <w:t>An area cannot be designated as a drainage area unless it is within the operating area of the Water Corporation’s licence for drainage services.</w:t>
      </w:r>
    </w:p>
    <w:p>
      <w:pPr>
        <w:pStyle w:val="Subsection"/>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57" w:name="_Toc398816423"/>
      <w:r>
        <w:rPr>
          <w:rStyle w:val="CharSectno"/>
        </w:rPr>
        <w:t>46</w:t>
      </w:r>
      <w:r>
        <w:t>.</w:t>
      </w:r>
      <w:r>
        <w:tab/>
        <w:t>Drainage areas: notice of and objections to proposed designation</w:t>
      </w:r>
      <w:bookmarkEnd w:id="57"/>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(as defined in the </w:t>
      </w:r>
      <w:r>
        <w:rPr>
          <w:i/>
        </w:rPr>
        <w:t>Water Services Regulations 2013</w:t>
      </w:r>
      <w:r>
        <w:t xml:space="preserve"> regulation 3(1)); and</w:t>
      </w:r>
    </w:p>
    <w:p>
      <w:pPr>
        <w:pStyle w:val="Indenta"/>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Heading5"/>
      </w:pPr>
      <w:bookmarkStart w:id="58" w:name="_Toc398816424"/>
      <w:r>
        <w:rPr>
          <w:rStyle w:val="CharSectno"/>
        </w:rPr>
        <w:t>47</w:t>
      </w:r>
      <w:r>
        <w:t>.</w:t>
      </w:r>
      <w:r>
        <w:tab/>
        <w:t>Drainage charges</w:t>
      </w:r>
      <w:bookmarkEnd w:id="58"/>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59" w:name="_Toc398816425"/>
      <w:r>
        <w:rPr>
          <w:rStyle w:val="CharSectno"/>
        </w:rPr>
        <w:t>48</w:t>
      </w:r>
      <w:r>
        <w:t>.</w:t>
      </w:r>
      <w:r>
        <w:tab/>
        <w:t>Classification of land</w:t>
      </w:r>
      <w:bookmarkEnd w:id="59"/>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60" w:name="_Toc398816426"/>
      <w:r>
        <w:rPr>
          <w:rStyle w:val="CharSectno"/>
        </w:rPr>
        <w:t>49</w:t>
      </w:r>
      <w:r>
        <w:t>.</w:t>
      </w:r>
      <w:r>
        <w:tab/>
        <w:t>Concessions: certain retirement village residents</w:t>
      </w:r>
      <w:bookmarkEnd w:id="60"/>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$27.32.</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Heading3"/>
      </w:pPr>
      <w:bookmarkStart w:id="61" w:name="_Toc398816427"/>
      <w:r>
        <w:rPr>
          <w:rStyle w:val="CharDivNo"/>
        </w:rPr>
        <w:t>Division 6</w:t>
      </w:r>
      <w:r>
        <w:t> — </w:t>
      </w:r>
      <w:r>
        <w:rPr>
          <w:rStyle w:val="CharDivText"/>
        </w:rPr>
        <w:t>Irrigation charges</w:t>
      </w:r>
      <w:bookmarkEnd w:id="61"/>
    </w:p>
    <w:p>
      <w:pPr>
        <w:pStyle w:val="Heading5"/>
      </w:pPr>
      <w:bookmarkStart w:id="62" w:name="_Toc398816428"/>
      <w:r>
        <w:rPr>
          <w:rStyle w:val="CharSectno"/>
        </w:rPr>
        <w:t>50</w:t>
      </w:r>
      <w:r>
        <w:t>.</w:t>
      </w:r>
      <w:r>
        <w:tab/>
        <w:t>Charges for water supplied from certain irrigation works</w:t>
      </w:r>
      <w:bookmarkEnd w:id="62"/>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pPr>
      <w:bookmarkStart w:id="63" w:name="_Toc398816429"/>
      <w:r>
        <w:rPr>
          <w:rStyle w:val="CharDivNo"/>
        </w:rPr>
        <w:t>Division 7</w:t>
      </w:r>
      <w:r>
        <w:t> — </w:t>
      </w:r>
      <w:r>
        <w:rPr>
          <w:rStyle w:val="CharDivText"/>
        </w:rPr>
        <w:t>Miscellaneous charges</w:t>
      </w:r>
      <w:bookmarkEnd w:id="63"/>
    </w:p>
    <w:p>
      <w:pPr>
        <w:pStyle w:val="Heading5"/>
      </w:pPr>
      <w:bookmarkStart w:id="64" w:name="_Toc398816430"/>
      <w:r>
        <w:rPr>
          <w:rStyle w:val="CharSectno"/>
        </w:rPr>
        <w:t>51</w:t>
      </w:r>
      <w:r>
        <w:t>.</w:t>
      </w:r>
      <w:r>
        <w:tab/>
        <w:t>Miscellaneous charges</w:t>
      </w:r>
      <w:bookmarkEnd w:id="64"/>
    </w:p>
    <w:p>
      <w:pPr>
        <w:pStyle w:val="Subsection"/>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65" w:name="_Toc398816431"/>
      <w:r>
        <w:rPr>
          <w:rStyle w:val="CharPartNo"/>
        </w:rPr>
        <w:t>Part 6</w:t>
      </w:r>
      <w:r>
        <w:t> — </w:t>
      </w:r>
      <w:r>
        <w:rPr>
          <w:rStyle w:val="CharPartText"/>
        </w:rPr>
        <w:t>Repeal of regulations and transitional provisions</w:t>
      </w:r>
      <w:bookmarkEnd w:id="65"/>
    </w:p>
    <w:p>
      <w:pPr>
        <w:pStyle w:val="Heading3"/>
      </w:pPr>
      <w:bookmarkStart w:id="66" w:name="_Toc398816432"/>
      <w:r>
        <w:rPr>
          <w:rStyle w:val="CharDivNo"/>
        </w:rPr>
        <w:t>Division 1</w:t>
      </w:r>
      <w:r>
        <w:t> — </w:t>
      </w:r>
      <w:r>
        <w:rPr>
          <w:rStyle w:val="CharDivText"/>
          <w:i/>
        </w:rPr>
        <w:t>Water Services (Water Corporations Charges) Regulations 2013</w:t>
      </w:r>
      <w:r>
        <w:rPr>
          <w:rStyle w:val="CharDivText"/>
        </w:rPr>
        <w:t xml:space="preserve"> repealed</w:t>
      </w:r>
      <w:bookmarkEnd w:id="66"/>
    </w:p>
    <w:p>
      <w:pPr>
        <w:pStyle w:val="Heading5"/>
        <w:jc w:val="both"/>
        <w:rPr>
          <w:b w:val="0"/>
        </w:rPr>
      </w:pPr>
      <w:bookmarkStart w:id="67" w:name="_Toc398816433"/>
      <w:r>
        <w:rPr>
          <w:rStyle w:val="CharSectno"/>
        </w:rPr>
        <w:t>52</w:t>
      </w:r>
      <w:r>
        <w:t>.</w:t>
      </w:r>
      <w:r>
        <w:tab/>
      </w:r>
      <w:r>
        <w:rPr>
          <w:i/>
        </w:rPr>
        <w:t>Water Services (Water Corporations Charges) Regulations 2013</w:t>
      </w:r>
      <w:r>
        <w:t xml:space="preserve"> repealed</w:t>
      </w:r>
      <w:bookmarkEnd w:id="67"/>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68" w:name="_Toc398816434"/>
      <w:r>
        <w:rPr>
          <w:rStyle w:val="CharDivNo"/>
        </w:rPr>
        <w:t>Division 2</w:t>
      </w:r>
      <w:r>
        <w:t> — </w:t>
      </w:r>
      <w:r>
        <w:rPr>
          <w:rStyle w:val="CharDivText"/>
        </w:rPr>
        <w:t>Transitional provisions</w:t>
      </w:r>
      <w:bookmarkEnd w:id="68"/>
    </w:p>
    <w:p>
      <w:pPr>
        <w:pStyle w:val="Heading4"/>
      </w:pPr>
      <w:bookmarkStart w:id="69" w:name="_Toc398816435"/>
      <w:r>
        <w:t>Subdivision 1 — General provisions</w:t>
      </w:r>
      <w:bookmarkEnd w:id="69"/>
    </w:p>
    <w:p>
      <w:pPr>
        <w:pStyle w:val="Heading5"/>
        <w:rPr>
          <w:b w:val="0"/>
        </w:rPr>
      </w:pPr>
      <w:bookmarkStart w:id="70" w:name="_Toc398816436"/>
      <w:r>
        <w:rPr>
          <w:rStyle w:val="CharSectno"/>
        </w:rPr>
        <w:t>53</w:t>
      </w:r>
      <w:r>
        <w:t>.</w:t>
      </w:r>
      <w:r>
        <w:tab/>
        <w:t xml:space="preserve">Application of the </w:t>
      </w:r>
      <w:r>
        <w:rPr>
          <w:i/>
        </w:rPr>
        <w:t>Interpretation Act 1984</w:t>
      </w:r>
      <w:bookmarkEnd w:id="70"/>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71" w:name="_Toc398816437"/>
      <w:r>
        <w:rPr>
          <w:rStyle w:val="CharSectno"/>
        </w:rPr>
        <w:t>54</w:t>
      </w:r>
      <w:r>
        <w:t>.</w:t>
      </w:r>
      <w:r>
        <w:tab/>
        <w:t>Liability to water service charges</w:t>
      </w:r>
      <w:bookmarkEnd w:id="71"/>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t xml:space="preserve"> had instead been amended to provide for water service charges in the terms in which they are provided for by these regulations.</w:t>
      </w:r>
    </w:p>
    <w:p>
      <w:pPr>
        <w:pStyle w:val="Heading5"/>
      </w:pPr>
      <w:bookmarkStart w:id="72" w:name="_Toc398816438"/>
      <w:r>
        <w:rPr>
          <w:rStyle w:val="CharSectno"/>
        </w:rPr>
        <w:t>55</w:t>
      </w:r>
      <w:r>
        <w:t>.</w:t>
      </w:r>
      <w:r>
        <w:tab/>
        <w:t>Continuing effect of things done before 1 July 2014</w:t>
      </w:r>
      <w:bookmarkEnd w:id="72"/>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73" w:name="_Toc398816439"/>
      <w:r>
        <w:rPr>
          <w:rStyle w:val="CharSectno"/>
        </w:rPr>
        <w:t>56</w:t>
      </w:r>
      <w:r>
        <w:t>.</w:t>
      </w:r>
      <w:r>
        <w:tab/>
        <w:t>Relationship between Subdivision 1 and Subdivision 2</w:t>
      </w:r>
      <w:bookmarkEnd w:id="73"/>
    </w:p>
    <w:p>
      <w:pPr>
        <w:pStyle w:val="Subsection"/>
      </w:pPr>
      <w:r>
        <w:tab/>
      </w:r>
      <w:r>
        <w:tab/>
        <w:t>The generality of the provisions in this Subdivision is not limited by the specificity of the provisions in Subdivision 2.</w:t>
      </w:r>
    </w:p>
    <w:p>
      <w:pPr>
        <w:pStyle w:val="Heading4"/>
      </w:pPr>
      <w:bookmarkStart w:id="74" w:name="_Toc398816440"/>
      <w:r>
        <w:t>Subdivision 2 — Specific provisions</w:t>
      </w:r>
      <w:bookmarkEnd w:id="74"/>
    </w:p>
    <w:p>
      <w:pPr>
        <w:pStyle w:val="Heading5"/>
      </w:pPr>
      <w:bookmarkStart w:id="75" w:name="_Toc398816441"/>
      <w:r>
        <w:rPr>
          <w:rStyle w:val="CharSectno"/>
        </w:rPr>
        <w:t>57</w:t>
      </w:r>
      <w:r>
        <w:t>.</w:t>
      </w:r>
      <w:r>
        <w:tab/>
        <w:t>Commencement of these regulations during charge period</w:t>
      </w:r>
      <w:bookmarkEnd w:id="75"/>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t xml:space="preserve"> as in effect immediately before 1 July 2014.</w:t>
      </w:r>
    </w:p>
    <w:p>
      <w:pPr>
        <w:pStyle w:val="Heading5"/>
      </w:pPr>
      <w:bookmarkStart w:id="76" w:name="_Toc398816442"/>
      <w:r>
        <w:rPr>
          <w:rStyle w:val="CharSectno"/>
        </w:rPr>
        <w:t>58</w:t>
      </w:r>
      <w:r>
        <w:t>.</w:t>
      </w:r>
      <w:r>
        <w:tab/>
        <w:t>Special payment arrangements</w:t>
      </w:r>
      <w:bookmarkEnd w:id="76"/>
    </w:p>
    <w:p>
      <w:pPr>
        <w:pStyle w:val="Subsection"/>
      </w:pPr>
      <w:r>
        <w:tab/>
      </w:r>
      <w:r>
        <w:tab/>
        <w:t xml:space="preserve">A special payment arrangement for the payment of charges entered into under the </w:t>
      </w:r>
      <w:r>
        <w:rPr>
          <w:i/>
        </w:rPr>
        <w:t>Water Agencies (Charges) By</w:t>
      </w:r>
      <w:r>
        <w:rPr>
          <w:i/>
        </w:rPr>
        <w:noBreakHyphen/>
        <w:t>laws 1987</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77" w:name="_Toc398816443"/>
      <w:r>
        <w:rPr>
          <w:rStyle w:val="CharSectno"/>
        </w:rPr>
        <w:t>59</w:t>
      </w:r>
      <w:r>
        <w:t>.</w:t>
      </w:r>
      <w:r>
        <w:tab/>
        <w:t>Commercial caravan parks</w:t>
      </w:r>
      <w:bookmarkEnd w:id="77"/>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t xml:space="preserve"> by</w:t>
      </w:r>
      <w:r>
        <w:noBreakHyphen/>
        <w:t>law 17A, has effect for the purposes of these regulations as if made under regulation 27.</w:t>
      </w:r>
    </w:p>
    <w:p>
      <w:pPr>
        <w:pStyle w:val="Heading5"/>
      </w:pPr>
      <w:bookmarkStart w:id="78" w:name="_Toc398816444"/>
      <w:r>
        <w:rPr>
          <w:rStyle w:val="CharSectno"/>
        </w:rPr>
        <w:t>60</w:t>
      </w:r>
      <w:r>
        <w:t>.</w:t>
      </w:r>
      <w:r>
        <w:tab/>
        <w:t>Certain charges and discharge volumes before 1 July 2014</w:t>
      </w:r>
      <w:bookmarkEnd w:id="78"/>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t xml:space="preserve"> 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t>, as in effect at the relevant time, are to be used.</w:t>
      </w:r>
    </w:p>
    <w:p>
      <w:pPr>
        <w:pStyle w:val="Heading5"/>
      </w:pPr>
      <w:bookmarkStart w:id="79" w:name="_Toc398816445"/>
      <w:r>
        <w:rPr>
          <w:rStyle w:val="CharSectno"/>
        </w:rPr>
        <w:t>61</w:t>
      </w:r>
      <w:r>
        <w:t>.</w:t>
      </w:r>
      <w:r>
        <w:tab/>
        <w:t>Concessions: r. 34 and 35</w:t>
      </w:r>
      <w:bookmarkEnd w:id="79"/>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t xml:space="preserve"> by</w:t>
      </w:r>
      <w:r>
        <w:noBreakHyphen/>
        <w:t>law 18B becomes, on 1 July 2014, a person registered with the Water Corporation for the purposes of regulation 35.</w:t>
      </w:r>
    </w:p>
    <w:p>
      <w:pPr>
        <w:pStyle w:val="ByCommand"/>
        <w:sectPr>
          <w:headerReference w:type="even" r:id="rId22"/>
          <w:headerReference w:type="default" r:id="rId23"/>
          <w:footerReference w:type="even" r:id="rId24"/>
          <w:footerReference w:type="default" r:id="rId25"/>
          <w:footerReference w:type="first" r:id="rId26"/>
          <w:endnotePr>
            <w:numFmt w:val="decimal"/>
          </w:endnotePr>
          <w:pgSz w:w="11906" w:h="16838" w:code="9"/>
          <w:pgMar w:top="2381" w:right="2410" w:bottom="3544" w:left="2410" w:header="720" w:footer="3380" w:gutter="0"/>
          <w:pgNumType w:start="1"/>
          <w:cols w:space="720"/>
          <w:noEndnote/>
          <w:titlePg/>
          <w:docGrid w:linePitch="326"/>
        </w:sectPr>
      </w:pPr>
    </w:p>
    <w:p>
      <w:pPr>
        <w:pStyle w:val="yScheduleHeading"/>
      </w:pPr>
      <w:bookmarkStart w:id="80" w:name="_Toc398816446"/>
      <w:r>
        <w:rPr>
          <w:rStyle w:val="CharSchNo"/>
        </w:rPr>
        <w:t>Schedule 1</w:t>
      </w:r>
      <w:r>
        <w:t> — </w:t>
      </w:r>
      <w:r>
        <w:rPr>
          <w:rStyle w:val="CharSchText"/>
        </w:rPr>
        <w:t>Charges for Bunbury Water Corporation</w:t>
      </w:r>
      <w:bookmarkEnd w:id="80"/>
    </w:p>
    <w:p>
      <w:pPr>
        <w:pStyle w:val="yShoulderClause"/>
      </w:pPr>
      <w:r>
        <w:t>[r. 7 and 8]</w:t>
      </w:r>
    </w:p>
    <w:p>
      <w:pPr>
        <w:pStyle w:val="yHeading3"/>
      </w:pPr>
      <w:bookmarkStart w:id="81" w:name="_Toc398816447"/>
      <w:r>
        <w:rPr>
          <w:rStyle w:val="CharSDivNo"/>
        </w:rPr>
        <w:t>Division 1</w:t>
      </w:r>
      <w:r>
        <w:t> — </w:t>
      </w:r>
      <w:r>
        <w:rPr>
          <w:rStyle w:val="CharSDivText"/>
        </w:rPr>
        <w:t>Service charges</w:t>
      </w:r>
      <w:bookmarkEnd w:id="81"/>
    </w:p>
    <w:p>
      <w:pPr>
        <w:pStyle w:val="yHeading5"/>
      </w:pPr>
      <w:bookmarkStart w:id="82" w:name="_Toc398816448"/>
      <w:r>
        <w:rPr>
          <w:rStyle w:val="CharSClsNo"/>
        </w:rPr>
        <w:t>1</w:t>
      </w:r>
      <w:r>
        <w:t>.</w:t>
      </w:r>
      <w:r>
        <w:tab/>
        <w:t>Service charges for 2014/15 year and subsequent years</w:t>
      </w:r>
      <w:bookmarkEnd w:id="82"/>
    </w:p>
    <w:p>
      <w:pPr>
        <w:pStyle w:val="yMiscellaneousBody"/>
        <w:tabs>
          <w:tab w:val="right" w:pos="709"/>
          <w:tab w:val="left" w:pos="851"/>
        </w:tabs>
        <w:ind w:left="851" w:hanging="851"/>
      </w:pPr>
      <w:r>
        <w:tab/>
      </w:r>
      <w:r>
        <w:tab/>
        <w:t>The charges set out in this Division apply for water supply services provided in the 2014/15 financial year and each subsequent year.</w:t>
      </w:r>
    </w:p>
    <w:p>
      <w:pPr>
        <w:pStyle w:val="yHeading5"/>
      </w:pPr>
      <w:bookmarkStart w:id="83" w:name="_Toc398816449"/>
      <w:r>
        <w:rPr>
          <w:rStyle w:val="CharSClsNo"/>
        </w:rPr>
        <w:t>2</w:t>
      </w:r>
      <w:r>
        <w:t>.</w:t>
      </w:r>
      <w:r>
        <w:tab/>
        <w:t>Residential lots</w:t>
      </w:r>
      <w:bookmarkEnd w:id="83"/>
    </w:p>
    <w:p>
      <w:pPr>
        <w:pStyle w:val="yMiscellaneousBody"/>
        <w:tabs>
          <w:tab w:val="right" w:leader="dot" w:pos="6804"/>
        </w:tabs>
        <w:ind w:left="879" w:right="1985" w:hanging="879"/>
      </w:pPr>
      <w:r>
        <w:tab/>
        <w:t xml:space="preserve">In respect of a residential lot, the charge is </w:t>
      </w:r>
      <w:r>
        <w:tab/>
        <w:t xml:space="preserve"> $190.04</w:t>
      </w:r>
    </w:p>
    <w:p>
      <w:pPr>
        <w:pStyle w:val="yHeading5"/>
      </w:pPr>
      <w:bookmarkStart w:id="84" w:name="_Toc398816450"/>
      <w:r>
        <w:rPr>
          <w:rStyle w:val="CharSClsNo"/>
        </w:rPr>
        <w:t>3</w:t>
      </w:r>
      <w:r>
        <w:t>.</w:t>
      </w:r>
      <w:r>
        <w:tab/>
        <w:t>Non</w:t>
      </w:r>
      <w:r>
        <w:noBreakHyphen/>
        <w:t>residential lots</w:t>
      </w:r>
      <w:bookmarkEnd w:id="84"/>
    </w:p>
    <w:p>
      <w:pPr>
        <w:pStyle w:val="yMiscellaneousBody"/>
        <w:tabs>
          <w:tab w:val="right" w:leader="dot" w:pos="6804"/>
        </w:tabs>
        <w:spacing w:after="120"/>
        <w:ind w:left="879" w:right="1985" w:hanging="879"/>
      </w:pPr>
      <w:r>
        <w:tab/>
        <w:t>In respect of a non</w:t>
      </w:r>
      <w:r>
        <w:noBreakHyphen/>
        <w:t>residential lot, the charge, according to the size of the meter, is —</w:t>
      </w:r>
    </w:p>
    <w:p>
      <w:pPr>
        <w:pStyle w:val="yMiscellaneousBody"/>
        <w:tabs>
          <w:tab w:val="right" w:leader="dot" w:pos="6804"/>
        </w:tabs>
        <w:spacing w:before="120"/>
        <w:ind w:left="1134" w:right="2268" w:hanging="879"/>
      </w:pPr>
      <w:r>
        <w:tab/>
        <w:t xml:space="preserve">20 mm </w:t>
      </w:r>
      <w:r>
        <w:tab/>
        <w:t xml:space="preserve"> $190.04</w:t>
      </w:r>
    </w:p>
    <w:p>
      <w:pPr>
        <w:pStyle w:val="yMiscellaneousBody"/>
        <w:tabs>
          <w:tab w:val="right" w:leader="dot" w:pos="6804"/>
        </w:tabs>
        <w:spacing w:before="120"/>
        <w:ind w:left="1134" w:right="2268" w:hanging="879"/>
      </w:pPr>
      <w:r>
        <w:tab/>
        <w:t xml:space="preserve">25 mm </w:t>
      </w:r>
      <w:r>
        <w:tab/>
        <w:t xml:space="preserve"> $296.95</w:t>
      </w:r>
    </w:p>
    <w:p>
      <w:pPr>
        <w:pStyle w:val="yMiscellaneousBody"/>
        <w:tabs>
          <w:tab w:val="right" w:leader="dot" w:pos="6804"/>
        </w:tabs>
        <w:spacing w:before="120"/>
        <w:ind w:left="1134" w:right="2268" w:hanging="879"/>
      </w:pPr>
      <w:r>
        <w:tab/>
        <w:t xml:space="preserve">40 mm </w:t>
      </w:r>
      <w:r>
        <w:tab/>
        <w:t xml:space="preserve"> $760.19</w:t>
      </w:r>
    </w:p>
    <w:p>
      <w:pPr>
        <w:pStyle w:val="yMiscellaneousBody"/>
        <w:tabs>
          <w:tab w:val="right" w:leader="dot" w:pos="6804"/>
        </w:tabs>
        <w:spacing w:before="120"/>
        <w:ind w:left="1134" w:right="2268" w:hanging="879"/>
      </w:pPr>
      <w:r>
        <w:tab/>
        <w:t xml:space="preserve">50 mm </w:t>
      </w:r>
      <w:r>
        <w:tab/>
        <w:t xml:space="preserve"> $1 187.79</w:t>
      </w:r>
    </w:p>
    <w:p>
      <w:pPr>
        <w:pStyle w:val="yMiscellaneousBody"/>
        <w:tabs>
          <w:tab w:val="right" w:leader="dot" w:pos="6804"/>
        </w:tabs>
        <w:spacing w:before="120"/>
        <w:ind w:left="1134" w:right="2268" w:hanging="879"/>
      </w:pPr>
      <w:r>
        <w:tab/>
        <w:t xml:space="preserve">80 mm </w:t>
      </w:r>
      <w:r>
        <w:tab/>
        <w:t xml:space="preserve"> $3 040.74</w:t>
      </w:r>
    </w:p>
    <w:p>
      <w:pPr>
        <w:pStyle w:val="yMiscellaneousBody"/>
        <w:tabs>
          <w:tab w:val="right" w:leader="dot" w:pos="6804"/>
        </w:tabs>
        <w:spacing w:before="120"/>
        <w:ind w:left="1134" w:right="2268" w:hanging="879"/>
      </w:pPr>
      <w:r>
        <w:tab/>
        <w:t xml:space="preserve">100 mm </w:t>
      </w:r>
      <w:r>
        <w:tab/>
        <w:t xml:space="preserve"> $4 751.16</w:t>
      </w:r>
    </w:p>
    <w:p>
      <w:pPr>
        <w:pStyle w:val="yMiscellaneousBody"/>
        <w:tabs>
          <w:tab w:val="right" w:leader="dot" w:pos="6804"/>
        </w:tabs>
        <w:spacing w:before="120"/>
        <w:ind w:left="1134" w:right="2268" w:hanging="879"/>
      </w:pPr>
      <w:r>
        <w:tab/>
        <w:t xml:space="preserve">150 mm </w:t>
      </w:r>
      <w:r>
        <w:tab/>
        <w:t xml:space="preserve"> $10 690.12</w:t>
      </w:r>
    </w:p>
    <w:p>
      <w:pPr>
        <w:pStyle w:val="yHeading3"/>
      </w:pPr>
      <w:bookmarkStart w:id="85" w:name="_Toc398816451"/>
      <w:r>
        <w:rPr>
          <w:rStyle w:val="CharSDivNo"/>
        </w:rPr>
        <w:t>Division 2</w:t>
      </w:r>
      <w:r>
        <w:t> — </w:t>
      </w:r>
      <w:r>
        <w:rPr>
          <w:rStyle w:val="CharSDivText"/>
        </w:rPr>
        <w:t>Consumption charges</w:t>
      </w:r>
      <w:bookmarkEnd w:id="85"/>
    </w:p>
    <w:p>
      <w:pPr>
        <w:pStyle w:val="yHeading5"/>
      </w:pPr>
      <w:bookmarkStart w:id="86" w:name="_Toc398816452"/>
      <w:r>
        <w:rPr>
          <w:rStyle w:val="CharSClsNo"/>
        </w:rPr>
        <w:t>4</w:t>
      </w:r>
      <w:r>
        <w:t>.</w:t>
      </w:r>
      <w:r>
        <w:tab/>
        <w:t>Consumption charges for 2014/15 year and subsequent years</w:t>
      </w:r>
      <w:bookmarkEnd w:id="86"/>
    </w:p>
    <w:p>
      <w:pPr>
        <w:pStyle w:val="yMiscellaneousBody"/>
        <w:tabs>
          <w:tab w:val="right" w:pos="709"/>
          <w:tab w:val="left" w:pos="851"/>
        </w:tabs>
        <w:ind w:left="851" w:hanging="851"/>
      </w:pPr>
      <w:r>
        <w:tab/>
      </w:r>
      <w:r>
        <w:tab/>
        <w:t>The charges set out in this Division apply for water supplied in the 2014/15 financial year and each subsequent year.</w:t>
      </w:r>
    </w:p>
    <w:p>
      <w:pPr>
        <w:pStyle w:val="yHeading5"/>
      </w:pPr>
      <w:bookmarkStart w:id="87" w:name="_Toc398816453"/>
      <w:r>
        <w:rPr>
          <w:rStyle w:val="CharSClsNo"/>
        </w:rPr>
        <w:t>5</w:t>
      </w:r>
      <w:r>
        <w:t>.</w:t>
      </w:r>
      <w:r>
        <w:tab/>
        <w:t>Residential lots</w:t>
      </w:r>
      <w:bookmarkEnd w:id="87"/>
    </w:p>
    <w:p>
      <w:pPr>
        <w:pStyle w:val="yMiscellaneousBody"/>
        <w:tabs>
          <w:tab w:val="left" w:pos="284"/>
          <w:tab w:val="right" w:leader="dot" w:pos="6804"/>
        </w:tabs>
        <w:ind w:left="879" w:right="1983" w:hanging="879"/>
      </w:pPr>
      <w:r>
        <w:tab/>
        <w:t>(1)</w:t>
      </w:r>
      <w:r>
        <w:tab/>
        <w:t>For each kilolitre of water supplied to a residential lot, the charge is —</w:t>
      </w:r>
    </w:p>
    <w:p>
      <w:pPr>
        <w:pStyle w:val="yMiscellaneousBody"/>
        <w:tabs>
          <w:tab w:val="right" w:leader="dot" w:pos="6804"/>
        </w:tabs>
        <w:spacing w:before="120"/>
        <w:ind w:left="1134" w:right="2268" w:hanging="879"/>
      </w:pPr>
      <w:r>
        <w:tab/>
        <w:t xml:space="preserve">up to 150 kL </w:t>
      </w:r>
      <w:r>
        <w:tab/>
        <w:t xml:space="preserve"> $0.79</w:t>
      </w:r>
    </w:p>
    <w:p>
      <w:pPr>
        <w:pStyle w:val="yMiscellaneousBody"/>
        <w:tabs>
          <w:tab w:val="right" w:leader="dot" w:pos="6804"/>
        </w:tabs>
        <w:spacing w:before="120"/>
        <w:ind w:left="1134" w:right="2268" w:hanging="879"/>
      </w:pPr>
      <w:r>
        <w:tab/>
        <w:t xml:space="preserve">over 150 but not over 350 kL </w:t>
      </w:r>
      <w:r>
        <w:tab/>
        <w:t xml:space="preserve"> $1.46</w:t>
      </w:r>
    </w:p>
    <w:p>
      <w:pPr>
        <w:pStyle w:val="yMiscellaneousBody"/>
        <w:tabs>
          <w:tab w:val="right" w:leader="dot" w:pos="6804"/>
        </w:tabs>
        <w:spacing w:before="120"/>
        <w:ind w:left="1134" w:right="2268" w:hanging="879"/>
      </w:pPr>
      <w:r>
        <w:tab/>
        <w:t xml:space="preserve">over 350 but not over 500 kL </w:t>
      </w:r>
      <w:r>
        <w:tab/>
        <w:t xml:space="preserve"> $2.09</w:t>
      </w:r>
    </w:p>
    <w:p>
      <w:pPr>
        <w:pStyle w:val="yMiscellaneousBody"/>
        <w:tabs>
          <w:tab w:val="right" w:leader="dot" w:pos="6804"/>
        </w:tabs>
        <w:spacing w:before="120"/>
        <w:ind w:left="1134" w:right="2268" w:hanging="879"/>
      </w:pPr>
      <w:r>
        <w:tab/>
        <w:t xml:space="preserve">over 500 but not over 700 kL </w:t>
      </w:r>
      <w:r>
        <w:tab/>
        <w:t xml:space="preserve"> $2.76</w:t>
      </w:r>
    </w:p>
    <w:p>
      <w:pPr>
        <w:pStyle w:val="yMiscellaneousBody"/>
        <w:tabs>
          <w:tab w:val="right" w:leader="dot" w:pos="6804"/>
        </w:tabs>
        <w:spacing w:before="120"/>
        <w:ind w:left="1134" w:right="2268" w:hanging="879"/>
      </w:pPr>
      <w:r>
        <w:tab/>
        <w:t xml:space="preserve">over 700 kL </w:t>
      </w:r>
      <w:r>
        <w:tab/>
        <w:t xml:space="preserve"> $3.03</w:t>
      </w:r>
    </w:p>
    <w:p>
      <w:pPr>
        <w:pStyle w:val="yMiscellaneousBody"/>
        <w:tabs>
          <w:tab w:val="left" w:pos="284"/>
          <w:tab w:val="right" w:leader="dot" w:pos="6804"/>
        </w:tabs>
        <w:ind w:left="879" w:right="1983" w:hanging="879"/>
      </w:pPr>
      <w:r>
        <w:tab/>
        <w:t>(2)</w:t>
      </w:r>
      <w:r>
        <w:tab/>
        <w:t>The volumetric ranges in this item have effect by reference to the volume of water supplied in the current consumption year.</w:t>
      </w:r>
    </w:p>
    <w:p>
      <w:pPr>
        <w:pStyle w:val="yHeading5"/>
      </w:pPr>
      <w:bookmarkStart w:id="88" w:name="_Toc398816454"/>
      <w:r>
        <w:rPr>
          <w:rStyle w:val="CharSClsNo"/>
        </w:rPr>
        <w:t>6</w:t>
      </w:r>
      <w:r>
        <w:t>.</w:t>
      </w:r>
      <w:r>
        <w:tab/>
        <w:t>Non</w:t>
      </w:r>
      <w:r>
        <w:noBreakHyphen/>
        <w:t>residential lots</w:t>
      </w:r>
      <w:bookmarkEnd w:id="88"/>
    </w:p>
    <w:p>
      <w:pPr>
        <w:pStyle w:val="yMiscellaneousBody"/>
        <w:tabs>
          <w:tab w:val="left" w:pos="284"/>
          <w:tab w:val="right" w:leader="dot" w:pos="6804"/>
        </w:tabs>
        <w:ind w:left="879" w:right="1985" w:hanging="879"/>
      </w:pPr>
      <w:r>
        <w:tab/>
      </w:r>
      <w:r>
        <w:tab/>
        <w:t>For each kilolitre of water supplied to a non</w:t>
      </w:r>
      <w:r>
        <w:noBreakHyphen/>
        <w:t xml:space="preserve">residential lot, the charge is </w:t>
      </w:r>
      <w:r>
        <w:tab/>
        <w:t xml:space="preserve"> $2.09</w:t>
      </w:r>
    </w:p>
    <w:p>
      <w:pPr>
        <w:pStyle w:val="yHeading3"/>
      </w:pPr>
      <w:bookmarkStart w:id="89" w:name="_Toc398816455"/>
      <w:r>
        <w:rPr>
          <w:rStyle w:val="CharSDivNo"/>
        </w:rPr>
        <w:t>Division 3</w:t>
      </w:r>
      <w:r>
        <w:t> — </w:t>
      </w:r>
      <w:r>
        <w:rPr>
          <w:rStyle w:val="CharSDivText"/>
        </w:rPr>
        <w:t>Miscellaneous charges</w:t>
      </w:r>
      <w:bookmarkEnd w:id="89"/>
    </w:p>
    <w:p>
      <w:pPr>
        <w:pStyle w:val="yHeading5"/>
      </w:pPr>
      <w:bookmarkStart w:id="90" w:name="_Toc398816456"/>
      <w:r>
        <w:rPr>
          <w:rStyle w:val="CharSClsNo"/>
        </w:rPr>
        <w:t>7</w:t>
      </w:r>
      <w:r>
        <w:t>.</w:t>
      </w:r>
      <w:r>
        <w:tab/>
        <w:t>Meters: multi</w:t>
      </w:r>
      <w:r>
        <w:noBreakHyphen/>
        <w:t>unit developments</w:t>
      </w:r>
      <w:bookmarkEnd w:id="90"/>
    </w:p>
    <w:p>
      <w:pPr>
        <w:pStyle w:val="yMiscellaneousBody"/>
        <w:tabs>
          <w:tab w:val="left" w:pos="284"/>
          <w:tab w:val="right" w:leader="dot" w:pos="6804"/>
        </w:tabs>
        <w:ind w:left="879" w:right="1983" w:hanging="879"/>
      </w:pPr>
      <w:r>
        <w:tab/>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$61.65</w:t>
      </w:r>
    </w:p>
    <w:p>
      <w:pPr>
        <w:pStyle w:val="yHeading5"/>
      </w:pPr>
      <w:bookmarkStart w:id="91" w:name="_Toc398816457"/>
      <w:r>
        <w:rPr>
          <w:rStyle w:val="CharSClsNo"/>
        </w:rPr>
        <w:t>8</w:t>
      </w:r>
      <w:r>
        <w:t>.</w:t>
      </w:r>
      <w:r>
        <w:tab/>
        <w:t>Assessing meters: multi</w:t>
      </w:r>
      <w:r>
        <w:noBreakHyphen/>
        <w:t>unit developments</w:t>
      </w:r>
      <w:bookmarkEnd w:id="91"/>
    </w:p>
    <w:p>
      <w:pPr>
        <w:pStyle w:val="yMiscellaneousBody"/>
        <w:tabs>
          <w:tab w:val="left" w:pos="284"/>
          <w:tab w:val="right" w:leader="dot" w:pos="6804"/>
        </w:tabs>
        <w:ind w:left="879" w:right="1983"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$61.65</w:t>
      </w:r>
    </w:p>
    <w:p>
      <w:pPr>
        <w:pStyle w:val="yHeading5"/>
      </w:pPr>
      <w:bookmarkStart w:id="92" w:name="_Toc398816458"/>
      <w:r>
        <w:rPr>
          <w:rStyle w:val="CharSClsNo"/>
        </w:rPr>
        <w:t>9</w:t>
      </w:r>
      <w:r>
        <w:t>.</w:t>
      </w:r>
      <w:r>
        <w:tab/>
        <w:t>Testing meters</w:t>
      </w:r>
      <w:bookmarkEnd w:id="92"/>
    </w:p>
    <w:p>
      <w:pPr>
        <w:pStyle w:val="yMiscellaneousBody"/>
        <w:tabs>
          <w:tab w:val="left" w:pos="284"/>
          <w:tab w:val="right" w:leader="dot" w:pos="6804"/>
        </w:tabs>
        <w:ind w:left="879" w:right="1983"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left" w:leader="dot" w:pos="6117"/>
          <w:tab w:val="right" w:pos="7088"/>
        </w:tabs>
        <w:spacing w:before="120"/>
        <w:ind w:left="1134"/>
      </w:pPr>
      <w:r>
        <w:t xml:space="preserve">20 mm (no calibration) </w:t>
      </w:r>
      <w:r>
        <w:tab/>
        <w:t xml:space="preserve"> $34.75</w:t>
      </w:r>
    </w:p>
    <w:p>
      <w:pPr>
        <w:pStyle w:val="yMiscellaneousBody"/>
        <w:tabs>
          <w:tab w:val="left" w:leader="dot" w:pos="6096"/>
          <w:tab w:val="right" w:pos="7088"/>
        </w:tabs>
        <w:spacing w:before="120"/>
        <w:ind w:left="1134"/>
      </w:pPr>
      <w:r>
        <w:t xml:space="preserve">20 mm (with calibration) </w:t>
      </w:r>
      <w:r>
        <w:tab/>
        <w:t xml:space="preserve"> an amount</w:t>
      </w:r>
    </w:p>
    <w:p>
      <w:pPr>
        <w:pStyle w:val="yMiscellaneousBody"/>
        <w:tabs>
          <w:tab w:val="left" w:pos="6096"/>
          <w:tab w:val="right" w:pos="7088"/>
        </w:tabs>
        <w:spacing w:before="0"/>
        <w:ind w:left="1134"/>
      </w:pPr>
      <w:r>
        <w:tab/>
        <w:t xml:space="preserve"> equal to</w:t>
      </w:r>
      <w:r>
        <w:br/>
      </w:r>
      <w:r>
        <w:tab/>
        <w:t xml:space="preserve"> the actual</w:t>
      </w:r>
      <w:r>
        <w:br/>
      </w:r>
      <w:r>
        <w:tab/>
        <w:t xml:space="preserve"> cost of</w:t>
      </w:r>
      <w:r>
        <w:br/>
      </w:r>
      <w:r>
        <w:tab/>
        <w:t xml:space="preserve"> testing</w:t>
      </w:r>
    </w:p>
    <w:p>
      <w:pPr>
        <w:pStyle w:val="yMiscellaneousBody"/>
        <w:tabs>
          <w:tab w:val="left" w:leader="dot" w:pos="6096"/>
          <w:tab w:val="right" w:pos="7088"/>
        </w:tabs>
        <w:spacing w:before="120"/>
        <w:ind w:left="1134"/>
      </w:pPr>
      <w:r>
        <w:t xml:space="preserve">more than 20 mm </w:t>
      </w:r>
      <w:r>
        <w:tab/>
        <w:t xml:space="preserve"> an amount</w:t>
      </w:r>
    </w:p>
    <w:p>
      <w:pPr>
        <w:pStyle w:val="yMiscellaneousBody"/>
        <w:tabs>
          <w:tab w:val="left" w:pos="6096"/>
          <w:tab w:val="right" w:pos="7088"/>
        </w:tabs>
        <w:spacing w:before="0"/>
        <w:ind w:left="1134"/>
      </w:pPr>
      <w:r>
        <w:tab/>
        <w:t xml:space="preserve"> equal to</w:t>
      </w:r>
      <w:r>
        <w:br/>
      </w:r>
      <w:r>
        <w:tab/>
        <w:t xml:space="preserve"> the actual</w:t>
      </w:r>
      <w:r>
        <w:br/>
      </w:r>
      <w:r>
        <w:tab/>
        <w:t xml:space="preserve"> cost of</w:t>
      </w:r>
      <w:r>
        <w:br/>
      </w:r>
      <w:r>
        <w:tab/>
        <w:t xml:space="preserve"> testing</w:t>
      </w:r>
    </w:p>
    <w:p>
      <w:pPr>
        <w:pStyle w:val="yHeading5"/>
      </w:pPr>
      <w:bookmarkStart w:id="93" w:name="_Toc398816459"/>
      <w:r>
        <w:rPr>
          <w:rStyle w:val="CharSClsNo"/>
        </w:rPr>
        <w:t>10</w:t>
      </w:r>
      <w:r>
        <w:t>.</w:t>
      </w:r>
      <w:r>
        <w:tab/>
        <w:t>Copies of records</w:t>
      </w:r>
      <w:bookmarkEnd w:id="93"/>
    </w:p>
    <w:p>
      <w:pPr>
        <w:pStyle w:val="yMiscellaneousBody"/>
        <w:tabs>
          <w:tab w:val="left" w:pos="284"/>
          <w:tab w:val="right" w:leader="dot" w:pos="6804"/>
        </w:tabs>
        <w:ind w:left="879" w:right="1983" w:hanging="879"/>
      </w:pPr>
      <w:r>
        <w:tab/>
      </w:r>
      <w:r>
        <w:tab/>
        <w:t xml:space="preserve">For a copy of records under the </w:t>
      </w:r>
      <w:r>
        <w:rPr>
          <w:i/>
        </w:rPr>
        <w:t>Water Services Regulations 2013</w:t>
      </w:r>
      <w:r>
        <w:t xml:space="preserve"> regulation 65(4)(b), the charge is </w:t>
      </w:r>
      <w:r>
        <w:tab/>
        <w:t xml:space="preserve"> </w:t>
      </w:r>
      <w:r>
        <w:rPr>
          <w:szCs w:val="22"/>
        </w:rPr>
        <w:t>$10.00</w:t>
      </w:r>
    </w:p>
    <w:p>
      <w:pPr>
        <w:pStyle w:val="yScheduleHeading"/>
      </w:pPr>
      <w:bookmarkStart w:id="94" w:name="_Toc398816460"/>
      <w:r>
        <w:rPr>
          <w:rStyle w:val="CharSchNo"/>
        </w:rPr>
        <w:t>Schedule 2</w:t>
      </w:r>
      <w:r>
        <w:t> — </w:t>
      </w:r>
      <w:r>
        <w:rPr>
          <w:rStyle w:val="CharSchText"/>
        </w:rPr>
        <w:t>Charges for Busselton Water Corporation</w:t>
      </w:r>
      <w:bookmarkEnd w:id="94"/>
    </w:p>
    <w:p>
      <w:pPr>
        <w:pStyle w:val="yShoulderClause"/>
      </w:pPr>
      <w:r>
        <w:t>[r. 12 and 13]</w:t>
      </w:r>
    </w:p>
    <w:p>
      <w:pPr>
        <w:pStyle w:val="yHeading3"/>
        <w:rPr>
          <w:rStyle w:val="CharSDivText"/>
        </w:rPr>
      </w:pPr>
      <w:bookmarkStart w:id="95" w:name="_Toc398816461"/>
      <w:r>
        <w:rPr>
          <w:rStyle w:val="CharSDivNo"/>
        </w:rPr>
        <w:t>Division 1</w:t>
      </w:r>
      <w:r>
        <w:t> — </w:t>
      </w:r>
      <w:r>
        <w:rPr>
          <w:rStyle w:val="CharSDivText"/>
        </w:rPr>
        <w:t>Service Charges</w:t>
      </w:r>
      <w:bookmarkEnd w:id="95"/>
    </w:p>
    <w:p>
      <w:pPr>
        <w:pStyle w:val="yHeading5"/>
      </w:pPr>
      <w:bookmarkStart w:id="96" w:name="_Toc398816462"/>
      <w:r>
        <w:rPr>
          <w:rStyle w:val="CharSClsNo"/>
        </w:rPr>
        <w:t>1</w:t>
      </w:r>
      <w:r>
        <w:t>.</w:t>
      </w:r>
      <w:r>
        <w:tab/>
        <w:t>Service charges for 2014/15 year and subsequent years</w:t>
      </w:r>
      <w:bookmarkEnd w:id="96"/>
    </w:p>
    <w:p>
      <w:pPr>
        <w:pStyle w:val="yMiscellaneousBody"/>
        <w:tabs>
          <w:tab w:val="right" w:pos="709"/>
          <w:tab w:val="left" w:pos="851"/>
        </w:tabs>
        <w:ind w:left="851" w:hanging="851"/>
      </w:pPr>
      <w:r>
        <w:tab/>
      </w:r>
      <w:r>
        <w:tab/>
        <w:t>The charges set out in this Division apply for water supply services provided in the 2014/15 financial year and each subsequent year.</w:t>
      </w:r>
    </w:p>
    <w:p>
      <w:pPr>
        <w:pStyle w:val="yHeading5"/>
      </w:pPr>
      <w:bookmarkStart w:id="97" w:name="_Toc398816463"/>
      <w:r>
        <w:rPr>
          <w:rStyle w:val="CharSClsNo"/>
        </w:rPr>
        <w:t>2</w:t>
      </w:r>
      <w:r>
        <w:t>.</w:t>
      </w:r>
      <w:r>
        <w:tab/>
        <w:t>Residential lots</w:t>
      </w:r>
      <w:bookmarkEnd w:id="97"/>
    </w:p>
    <w:p>
      <w:pPr>
        <w:pStyle w:val="yMiscellaneousBody"/>
        <w:tabs>
          <w:tab w:val="right" w:leader="dot" w:pos="6804"/>
        </w:tabs>
        <w:ind w:left="879" w:right="1985" w:hanging="879"/>
      </w:pPr>
      <w:r>
        <w:tab/>
        <w:t>In respect of a residential lot, the charge is</w:t>
      </w:r>
      <w:r>
        <w:tab/>
        <w:t xml:space="preserve"> $185.27</w:t>
      </w:r>
    </w:p>
    <w:p>
      <w:pPr>
        <w:pStyle w:val="yHeading5"/>
      </w:pPr>
      <w:bookmarkStart w:id="98" w:name="_Toc398816464"/>
      <w:r>
        <w:rPr>
          <w:rStyle w:val="CharSClsNo"/>
        </w:rPr>
        <w:t>3</w:t>
      </w:r>
      <w:r>
        <w:t>.</w:t>
      </w:r>
      <w:r>
        <w:tab/>
        <w:t>Non</w:t>
      </w:r>
      <w:r>
        <w:noBreakHyphen/>
        <w:t>residential lots</w:t>
      </w:r>
      <w:bookmarkEnd w:id="98"/>
    </w:p>
    <w:p>
      <w:pPr>
        <w:pStyle w:val="yMiscellaneousBody"/>
        <w:tabs>
          <w:tab w:val="right" w:leader="dot" w:pos="6804"/>
        </w:tabs>
        <w:ind w:left="879" w:right="1985" w:hanging="879"/>
      </w:pPr>
      <w:r>
        <w:tab/>
        <w:t>In respect of a non</w:t>
      </w:r>
      <w:r>
        <w:noBreakHyphen/>
        <w:t>residential lot, the charge, according to the size of the meter, is —</w:t>
      </w:r>
    </w:p>
    <w:p>
      <w:pPr>
        <w:pStyle w:val="yMiscellaneousBody"/>
        <w:tabs>
          <w:tab w:val="right" w:leader="dot" w:pos="6804"/>
        </w:tabs>
        <w:spacing w:before="120"/>
        <w:ind w:left="1134" w:right="2268" w:hanging="879"/>
      </w:pPr>
      <w:r>
        <w:tab/>
        <w:t xml:space="preserve">20 mm </w:t>
      </w:r>
      <w:r>
        <w:tab/>
        <w:t xml:space="preserve"> $185.27</w:t>
      </w:r>
    </w:p>
    <w:p>
      <w:pPr>
        <w:pStyle w:val="yMiscellaneousBody"/>
        <w:tabs>
          <w:tab w:val="right" w:leader="dot" w:pos="6804"/>
        </w:tabs>
        <w:spacing w:before="120"/>
        <w:ind w:left="1134" w:right="2268" w:hanging="879"/>
      </w:pPr>
      <w:r>
        <w:tab/>
        <w:t xml:space="preserve">25 mm </w:t>
      </w:r>
      <w:r>
        <w:tab/>
        <w:t xml:space="preserve"> $289.48</w:t>
      </w:r>
    </w:p>
    <w:p>
      <w:pPr>
        <w:pStyle w:val="yMiscellaneousBody"/>
        <w:tabs>
          <w:tab w:val="right" w:leader="dot" w:pos="6804"/>
        </w:tabs>
        <w:spacing w:before="120"/>
        <w:ind w:left="1134" w:right="2268" w:hanging="879"/>
      </w:pPr>
      <w:r>
        <w:tab/>
        <w:t xml:space="preserve">40 mm </w:t>
      </w:r>
      <w:r>
        <w:tab/>
        <w:t xml:space="preserve"> $741.07</w:t>
      </w:r>
    </w:p>
    <w:p>
      <w:pPr>
        <w:pStyle w:val="yMiscellaneousBody"/>
        <w:tabs>
          <w:tab w:val="right" w:leader="dot" w:pos="6804"/>
        </w:tabs>
        <w:spacing w:before="120"/>
        <w:ind w:left="1134" w:right="2268" w:hanging="879"/>
      </w:pPr>
      <w:r>
        <w:tab/>
        <w:t xml:space="preserve">50 mm </w:t>
      </w:r>
      <w:r>
        <w:tab/>
        <w:t xml:space="preserve"> $1 157.92</w:t>
      </w:r>
    </w:p>
    <w:p>
      <w:pPr>
        <w:pStyle w:val="yMiscellaneousBody"/>
        <w:tabs>
          <w:tab w:val="right" w:leader="dot" w:pos="6804"/>
        </w:tabs>
        <w:spacing w:before="120"/>
        <w:ind w:left="1134" w:right="2268" w:hanging="879"/>
      </w:pPr>
      <w:r>
        <w:tab/>
        <w:t xml:space="preserve">80 mm </w:t>
      </w:r>
      <w:r>
        <w:tab/>
        <w:t xml:space="preserve"> $2 964.27</w:t>
      </w:r>
    </w:p>
    <w:p>
      <w:pPr>
        <w:pStyle w:val="yMiscellaneousBody"/>
        <w:tabs>
          <w:tab w:val="right" w:leader="dot" w:pos="6804"/>
        </w:tabs>
        <w:spacing w:before="120"/>
        <w:ind w:left="1134" w:right="2268" w:hanging="879"/>
      </w:pPr>
      <w:r>
        <w:tab/>
        <w:t xml:space="preserve">100 mm </w:t>
      </w:r>
      <w:r>
        <w:tab/>
        <w:t xml:space="preserve"> $4 631.67</w:t>
      </w:r>
    </w:p>
    <w:p>
      <w:pPr>
        <w:pStyle w:val="yMiscellaneousBody"/>
        <w:tabs>
          <w:tab w:val="right" w:leader="dot" w:pos="6804"/>
        </w:tabs>
        <w:spacing w:before="120"/>
        <w:ind w:left="1134" w:right="2268" w:hanging="879"/>
      </w:pPr>
      <w:r>
        <w:tab/>
        <w:t xml:space="preserve">150 mm </w:t>
      </w:r>
      <w:r>
        <w:tab/>
        <w:t xml:space="preserve"> $10 421.26</w:t>
      </w:r>
    </w:p>
    <w:p>
      <w:pPr>
        <w:pStyle w:val="yHeading5"/>
      </w:pPr>
      <w:bookmarkStart w:id="99" w:name="_Toc398816465"/>
      <w:r>
        <w:rPr>
          <w:rStyle w:val="CharSClsNo"/>
        </w:rPr>
        <w:t>4</w:t>
      </w:r>
      <w:r>
        <w:t>.</w:t>
      </w:r>
      <w:r>
        <w:tab/>
        <w:t>Vacant land</w:t>
      </w:r>
      <w:bookmarkEnd w:id="99"/>
    </w:p>
    <w:p>
      <w:pPr>
        <w:pStyle w:val="yMiscellaneousBody"/>
        <w:tabs>
          <w:tab w:val="right" w:leader="dot" w:pos="6804"/>
        </w:tabs>
        <w:ind w:left="879" w:right="1985" w:hanging="879"/>
      </w:pPr>
      <w:r>
        <w:tab/>
        <w:t xml:space="preserve">In respect of vacant land, the charge is </w:t>
      </w:r>
      <w:r>
        <w:tab/>
        <w:t xml:space="preserve"> $185.27</w:t>
      </w:r>
    </w:p>
    <w:p>
      <w:pPr>
        <w:pStyle w:val="yHeading5"/>
      </w:pPr>
      <w:bookmarkStart w:id="100" w:name="_Toc398816466"/>
      <w:r>
        <w:rPr>
          <w:rStyle w:val="CharSClsNo"/>
        </w:rPr>
        <w:t>5</w:t>
      </w:r>
      <w:r>
        <w:t>.</w:t>
      </w:r>
      <w:r>
        <w:tab/>
        <w:t>Fire services</w:t>
      </w:r>
      <w:bookmarkEnd w:id="100"/>
    </w:p>
    <w:p>
      <w:pPr>
        <w:pStyle w:val="yMiscellaneousBody"/>
        <w:tabs>
          <w:tab w:val="right" w:leader="dot" w:pos="6804"/>
        </w:tabs>
        <w:ind w:left="879" w:right="1985" w:hanging="879"/>
      </w:pPr>
      <w:r>
        <w:tab/>
        <w:t xml:space="preserve">In respect of a fire service connection, the charge is </w:t>
      </w:r>
      <w:r>
        <w:tab/>
        <w:t xml:space="preserve"> $185.27</w:t>
      </w:r>
    </w:p>
    <w:p>
      <w:pPr>
        <w:pStyle w:val="yHeading3"/>
        <w:rPr>
          <w:rStyle w:val="CharSDivText"/>
        </w:rPr>
      </w:pPr>
      <w:bookmarkStart w:id="101" w:name="_Toc398816467"/>
      <w:r>
        <w:rPr>
          <w:rStyle w:val="CharSDivNo"/>
        </w:rPr>
        <w:t>Division 2</w:t>
      </w:r>
      <w:r>
        <w:t> — </w:t>
      </w:r>
      <w:r>
        <w:rPr>
          <w:rStyle w:val="CharSDivText"/>
        </w:rPr>
        <w:t>Consumption charges</w:t>
      </w:r>
      <w:bookmarkEnd w:id="101"/>
    </w:p>
    <w:p>
      <w:pPr>
        <w:pStyle w:val="yHeading5"/>
      </w:pPr>
      <w:bookmarkStart w:id="102" w:name="_Toc398816468"/>
      <w:r>
        <w:rPr>
          <w:rStyle w:val="CharSClsNo"/>
        </w:rPr>
        <w:t>6</w:t>
      </w:r>
      <w:r>
        <w:t>.</w:t>
      </w:r>
      <w:r>
        <w:tab/>
        <w:t>Consumption charges for 2014/15 year and subsequent years</w:t>
      </w:r>
      <w:bookmarkEnd w:id="102"/>
    </w:p>
    <w:p>
      <w:pPr>
        <w:pStyle w:val="yMiscellaneousBody"/>
        <w:tabs>
          <w:tab w:val="right" w:pos="709"/>
          <w:tab w:val="left" w:pos="851"/>
        </w:tabs>
        <w:ind w:left="851" w:hanging="851"/>
      </w:pPr>
      <w:r>
        <w:tab/>
      </w:r>
      <w:r>
        <w:tab/>
        <w:t>The charges set out in this Division apply for water supplied in the 2014/15 financial year and each subsequent year.</w:t>
      </w:r>
    </w:p>
    <w:p>
      <w:pPr>
        <w:pStyle w:val="yHeading5"/>
      </w:pPr>
      <w:bookmarkStart w:id="103" w:name="_Toc398816469"/>
      <w:r>
        <w:rPr>
          <w:rStyle w:val="CharSClsNo"/>
        </w:rPr>
        <w:t>7</w:t>
      </w:r>
      <w:r>
        <w:t>.</w:t>
      </w:r>
      <w:r>
        <w:tab/>
        <w:t>Residential lots</w:t>
      </w:r>
      <w:bookmarkEnd w:id="103"/>
    </w:p>
    <w:p>
      <w:pPr>
        <w:pStyle w:val="yMiscellaneousBody"/>
        <w:tabs>
          <w:tab w:val="left" w:pos="284"/>
          <w:tab w:val="right" w:leader="dot" w:pos="6804"/>
        </w:tabs>
        <w:ind w:left="879" w:right="1983" w:hanging="879"/>
      </w:pPr>
      <w:r>
        <w:tab/>
        <w:t>(1)</w:t>
      </w:r>
      <w:r>
        <w:tab/>
        <w:t>For each kilolitre of water supplied to a residential lot, the charge is —</w:t>
      </w:r>
    </w:p>
    <w:p>
      <w:pPr>
        <w:pStyle w:val="yMiscellaneousBody"/>
        <w:tabs>
          <w:tab w:val="right" w:leader="dot" w:pos="6804"/>
        </w:tabs>
        <w:spacing w:before="120"/>
        <w:ind w:left="1134" w:right="2268" w:hanging="879"/>
      </w:pPr>
      <w:r>
        <w:tab/>
        <w:t xml:space="preserve">up to 150 kL </w:t>
      </w:r>
      <w:r>
        <w:tab/>
        <w:t xml:space="preserve"> $0.92</w:t>
      </w:r>
    </w:p>
    <w:p>
      <w:pPr>
        <w:pStyle w:val="yMiscellaneousBody"/>
        <w:tabs>
          <w:tab w:val="right" w:leader="dot" w:pos="6804"/>
        </w:tabs>
        <w:spacing w:before="120"/>
        <w:ind w:left="1134" w:right="2268" w:hanging="879"/>
      </w:pPr>
      <w:r>
        <w:tab/>
        <w:t xml:space="preserve">over 150 but not over 350 kL </w:t>
      </w:r>
      <w:r>
        <w:tab/>
        <w:t xml:space="preserve"> $1.29</w:t>
      </w:r>
    </w:p>
    <w:p>
      <w:pPr>
        <w:pStyle w:val="yMiscellaneousBody"/>
        <w:tabs>
          <w:tab w:val="right" w:leader="dot" w:pos="6804"/>
        </w:tabs>
        <w:spacing w:before="120"/>
        <w:ind w:left="1134" w:right="2268" w:hanging="879"/>
      </w:pPr>
      <w:r>
        <w:tab/>
        <w:t xml:space="preserve">over 350 but not over 500 kL </w:t>
      </w:r>
      <w:r>
        <w:tab/>
        <w:t xml:space="preserve"> $1.46</w:t>
      </w:r>
    </w:p>
    <w:p>
      <w:pPr>
        <w:pStyle w:val="yMiscellaneousBody"/>
        <w:tabs>
          <w:tab w:val="right" w:leader="dot" w:pos="6804"/>
        </w:tabs>
        <w:spacing w:before="120"/>
        <w:ind w:left="1134" w:right="2268" w:hanging="879"/>
      </w:pPr>
      <w:r>
        <w:tab/>
        <w:t xml:space="preserve">over 500 but not over 700 kL </w:t>
      </w:r>
      <w:r>
        <w:tab/>
        <w:t xml:space="preserve"> $1.95</w:t>
      </w:r>
    </w:p>
    <w:p>
      <w:pPr>
        <w:pStyle w:val="yMiscellaneousBody"/>
        <w:tabs>
          <w:tab w:val="right" w:leader="dot" w:pos="6804"/>
        </w:tabs>
        <w:spacing w:before="120"/>
        <w:ind w:left="1134" w:right="2268" w:hanging="879"/>
      </w:pPr>
      <w:r>
        <w:tab/>
        <w:t xml:space="preserve">over 700 but not over 1 000 kL </w:t>
      </w:r>
      <w:r>
        <w:tab/>
        <w:t xml:space="preserve"> $2.72</w:t>
      </w:r>
    </w:p>
    <w:p>
      <w:pPr>
        <w:pStyle w:val="yMiscellaneousBody"/>
        <w:tabs>
          <w:tab w:val="right" w:leader="dot" w:pos="6804"/>
        </w:tabs>
        <w:spacing w:before="120"/>
        <w:ind w:left="1134" w:right="2268" w:hanging="879"/>
      </w:pPr>
      <w:r>
        <w:tab/>
        <w:t xml:space="preserve">over 1 000 kL </w:t>
      </w:r>
      <w:r>
        <w:tab/>
        <w:t xml:space="preserve"> $2.79</w:t>
      </w:r>
    </w:p>
    <w:p>
      <w:pPr>
        <w:pStyle w:val="yMiscellaneousBody"/>
        <w:tabs>
          <w:tab w:val="left" w:pos="284"/>
          <w:tab w:val="right" w:leader="dot" w:pos="6804"/>
        </w:tabs>
        <w:ind w:left="879" w:right="1983" w:hanging="879"/>
      </w:pPr>
      <w:r>
        <w:tab/>
        <w:t>(2)</w:t>
      </w:r>
      <w:r>
        <w:tab/>
        <w:t>The volumetric ranges in this item have effect by reference to the volume of water supplied in the current consumption year.</w:t>
      </w:r>
    </w:p>
    <w:p>
      <w:pPr>
        <w:pStyle w:val="yHeading5"/>
      </w:pPr>
      <w:bookmarkStart w:id="104" w:name="_Toc398816470"/>
      <w:r>
        <w:rPr>
          <w:rStyle w:val="CharSClsNo"/>
        </w:rPr>
        <w:t>8</w:t>
      </w:r>
      <w:r>
        <w:t>.</w:t>
      </w:r>
      <w:r>
        <w:tab/>
        <w:t>Non</w:t>
      </w:r>
      <w:r>
        <w:noBreakHyphen/>
        <w:t>residential lots</w:t>
      </w:r>
      <w:bookmarkEnd w:id="104"/>
    </w:p>
    <w:p>
      <w:pPr>
        <w:pStyle w:val="yMiscellaneousBody"/>
        <w:tabs>
          <w:tab w:val="left" w:pos="284"/>
          <w:tab w:val="right" w:leader="dot" w:pos="6804"/>
        </w:tabs>
        <w:ind w:left="879" w:right="1983" w:hanging="879"/>
      </w:pPr>
      <w:r>
        <w:tab/>
      </w:r>
      <w:r>
        <w:tab/>
        <w:t>For each kilolitre of water supplied to a non</w:t>
      </w:r>
      <w:r>
        <w:noBreakHyphen/>
        <w:t xml:space="preserve">residential lot, the charge is </w:t>
      </w:r>
      <w:r>
        <w:tab/>
        <w:t xml:space="preserve"> $1.46</w:t>
      </w:r>
    </w:p>
    <w:p>
      <w:pPr>
        <w:pStyle w:val="yHeading5"/>
      </w:pPr>
      <w:bookmarkStart w:id="105" w:name="_Toc398816471"/>
      <w:r>
        <w:rPr>
          <w:rStyle w:val="CharSClsNo"/>
        </w:rPr>
        <w:t>9</w:t>
      </w:r>
      <w:r>
        <w:t>.</w:t>
      </w:r>
      <w:r>
        <w:tab/>
        <w:t>Fire services</w:t>
      </w:r>
      <w:bookmarkEnd w:id="105"/>
    </w:p>
    <w:p>
      <w:pPr>
        <w:pStyle w:val="yMiscellaneousBody"/>
        <w:tabs>
          <w:tab w:val="left" w:pos="284"/>
          <w:tab w:val="right" w:leader="dot" w:pos="6804"/>
        </w:tabs>
        <w:ind w:left="879" w:right="1983" w:hanging="879"/>
      </w:pPr>
      <w:r>
        <w:tab/>
      </w:r>
      <w:r>
        <w:tab/>
        <w:t xml:space="preserve">For each kilolitre of water supplied through a fire service connection, the charge is </w:t>
      </w:r>
      <w:r>
        <w:tab/>
        <w:t xml:space="preserve"> $1.90</w:t>
      </w:r>
    </w:p>
    <w:p>
      <w:pPr>
        <w:pStyle w:val="yHeading3"/>
        <w:rPr>
          <w:rStyle w:val="CharSDivText"/>
        </w:rPr>
      </w:pPr>
      <w:bookmarkStart w:id="106" w:name="_Toc398816472"/>
      <w:r>
        <w:rPr>
          <w:rStyle w:val="CharSDivNo"/>
        </w:rPr>
        <w:t>Division 3</w:t>
      </w:r>
      <w:r>
        <w:t> — </w:t>
      </w:r>
      <w:r>
        <w:rPr>
          <w:rStyle w:val="CharSDivText"/>
        </w:rPr>
        <w:t>Miscellaneous charges</w:t>
      </w:r>
      <w:bookmarkEnd w:id="106"/>
    </w:p>
    <w:p>
      <w:pPr>
        <w:pStyle w:val="yHeading5"/>
      </w:pPr>
      <w:bookmarkStart w:id="107" w:name="_Toc398816473"/>
      <w:r>
        <w:rPr>
          <w:rStyle w:val="CharSClsNo"/>
        </w:rPr>
        <w:t>10</w:t>
      </w:r>
      <w:r>
        <w:t>.</w:t>
      </w:r>
      <w:r>
        <w:tab/>
        <w:t>Meters: multi</w:t>
      </w:r>
      <w:r>
        <w:noBreakHyphen/>
        <w:t>unit developments</w:t>
      </w:r>
      <w:bookmarkEnd w:id="107"/>
    </w:p>
    <w:p>
      <w:pPr>
        <w:pStyle w:val="yMiscellaneousBody"/>
        <w:tabs>
          <w:tab w:val="left" w:pos="284"/>
          <w:tab w:val="right" w:leader="dot" w:pos="6804"/>
        </w:tabs>
        <w:ind w:left="879" w:right="1983" w:hanging="879"/>
      </w:pPr>
      <w:r>
        <w:tab/>
        <w:t>(1)</w:t>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$271.00</w:t>
      </w:r>
    </w:p>
    <w:p>
      <w:pPr>
        <w:pStyle w:val="yMiscellaneousBody"/>
        <w:tabs>
          <w:tab w:val="left" w:pos="284"/>
          <w:tab w:val="right" w:leader="dot" w:pos="6804"/>
        </w:tabs>
        <w:ind w:left="879" w:right="1983" w:hanging="879"/>
      </w:pPr>
      <w:r>
        <w:tab/>
        <w:t>(2)</w:t>
      </w:r>
      <w:r>
        <w:tab/>
        <w:t>For supplying a meter for connection to a pipe supplying water to a unit in a multi</w:t>
      </w:r>
      <w:r>
        <w:noBreakHyphen/>
        <w:t xml:space="preserve">unit development, the charge is </w:t>
      </w:r>
      <w:r>
        <w:tab/>
        <w:t xml:space="preserve"> $191.00</w:t>
      </w:r>
    </w:p>
    <w:p>
      <w:pPr>
        <w:pStyle w:val="yHeading5"/>
      </w:pPr>
      <w:bookmarkStart w:id="108" w:name="_Toc398816474"/>
      <w:r>
        <w:rPr>
          <w:rStyle w:val="CharSClsNo"/>
        </w:rPr>
        <w:t>11</w:t>
      </w:r>
      <w:r>
        <w:t>.</w:t>
      </w:r>
      <w:r>
        <w:tab/>
        <w:t>Assessing meters: multi</w:t>
      </w:r>
      <w:r>
        <w:noBreakHyphen/>
        <w:t>unit developments</w:t>
      </w:r>
      <w:bookmarkEnd w:id="108"/>
    </w:p>
    <w:p>
      <w:pPr>
        <w:pStyle w:val="yMiscellaneousBody"/>
        <w:tabs>
          <w:tab w:val="left" w:pos="284"/>
          <w:tab w:val="right" w:leader="dot" w:pos="6804"/>
        </w:tabs>
        <w:ind w:left="879" w:right="1983"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$54.50</w:t>
      </w:r>
    </w:p>
    <w:p>
      <w:pPr>
        <w:pStyle w:val="yHeading5"/>
      </w:pPr>
      <w:bookmarkStart w:id="109" w:name="_Toc398816475"/>
      <w:r>
        <w:rPr>
          <w:rStyle w:val="CharSClsNo"/>
        </w:rPr>
        <w:t>12</w:t>
      </w:r>
      <w:r>
        <w:t>.</w:t>
      </w:r>
      <w:r>
        <w:tab/>
        <w:t>Testing meters</w:t>
      </w:r>
      <w:bookmarkEnd w:id="109"/>
    </w:p>
    <w:p>
      <w:pPr>
        <w:pStyle w:val="yMiscellaneousBody"/>
        <w:tabs>
          <w:tab w:val="left" w:pos="284"/>
          <w:tab w:val="right" w:leader="dot" w:pos="6804"/>
        </w:tabs>
        <w:ind w:left="879" w:right="1983"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$47.00</w:t>
      </w:r>
    </w:p>
    <w:p>
      <w:pPr>
        <w:pStyle w:val="yMiscellaneousBody"/>
        <w:tabs>
          <w:tab w:val="left" w:leader="dot" w:pos="6096"/>
          <w:tab w:val="right" w:pos="7088"/>
        </w:tabs>
        <w:spacing w:before="120"/>
        <w:ind w:left="1134"/>
      </w:pPr>
      <w:r>
        <w:t xml:space="preserve">more than 25 mm </w:t>
      </w:r>
      <w:r>
        <w:tab/>
        <w:t xml:space="preserve"> an amount</w:t>
      </w:r>
    </w:p>
    <w:p>
      <w:pPr>
        <w:pStyle w:val="yMiscellaneousBody"/>
        <w:tabs>
          <w:tab w:val="left" w:pos="6096"/>
          <w:tab w:val="right" w:pos="7088"/>
        </w:tabs>
        <w:spacing w:before="0"/>
        <w:ind w:left="1134"/>
      </w:pPr>
      <w:r>
        <w:tab/>
        <w:t xml:space="preserve"> equal to</w:t>
      </w:r>
      <w:r>
        <w:br/>
      </w:r>
      <w:r>
        <w:tab/>
        <w:t xml:space="preserve"> the actual</w:t>
      </w:r>
      <w:r>
        <w:br/>
      </w:r>
      <w:r>
        <w:tab/>
        <w:t xml:space="preserve"> cost of</w:t>
      </w:r>
      <w:r>
        <w:br/>
      </w:r>
      <w:r>
        <w:tab/>
        <w:t xml:space="preserve"> testing</w:t>
      </w:r>
    </w:p>
    <w:p>
      <w:pPr>
        <w:pStyle w:val="yHeading5"/>
      </w:pPr>
      <w:bookmarkStart w:id="110" w:name="_Toc398816476"/>
      <w:r>
        <w:rPr>
          <w:rStyle w:val="CharSClsNo"/>
        </w:rPr>
        <w:t>13</w:t>
      </w:r>
      <w:r>
        <w:t>.</w:t>
      </w:r>
      <w:r>
        <w:tab/>
        <w:t>Copies of records</w:t>
      </w:r>
      <w:bookmarkEnd w:id="110"/>
    </w:p>
    <w:p>
      <w:pPr>
        <w:pStyle w:val="yMiscellaneousBody"/>
        <w:tabs>
          <w:tab w:val="left" w:pos="284"/>
          <w:tab w:val="right" w:leader="dot" w:pos="6804"/>
        </w:tabs>
        <w:ind w:left="879" w:right="1983" w:hanging="879"/>
      </w:pPr>
      <w:r>
        <w:tab/>
      </w:r>
      <w:r>
        <w:tab/>
        <w:t xml:space="preserve">For a copy of records under the </w:t>
      </w:r>
      <w:r>
        <w:rPr>
          <w:i/>
        </w:rPr>
        <w:t>Water Services Regulations 2013</w:t>
      </w:r>
      <w:r>
        <w:t xml:space="preserve"> regulation 65(4)(b), the charge is </w:t>
      </w:r>
      <w:r>
        <w:tab/>
        <w:t xml:space="preserve"> </w:t>
      </w:r>
      <w:r>
        <w:rPr>
          <w:szCs w:val="22"/>
        </w:rPr>
        <w:t>$6.70</w:t>
      </w:r>
    </w:p>
    <w:p>
      <w:pPr>
        <w:pStyle w:val="yScheduleHeading"/>
      </w:pPr>
      <w:bookmarkStart w:id="111" w:name="_Toc398816477"/>
      <w:r>
        <w:rPr>
          <w:rStyle w:val="CharSchNo"/>
        </w:rPr>
        <w:t>Schedule 3</w:t>
      </w:r>
      <w:r>
        <w:t> — </w:t>
      </w:r>
      <w:r>
        <w:rPr>
          <w:rStyle w:val="CharSchText"/>
        </w:rPr>
        <w:t>Water supply charges for the Water Corporation</w:t>
      </w:r>
      <w:bookmarkEnd w:id="111"/>
    </w:p>
    <w:p>
      <w:pPr>
        <w:pStyle w:val="yShoulderClause"/>
      </w:pPr>
      <w:r>
        <w:t>[r. 31]</w:t>
      </w:r>
    </w:p>
    <w:p>
      <w:pPr>
        <w:pStyle w:val="yHeading3"/>
      </w:pPr>
      <w:bookmarkStart w:id="112" w:name="_Toc398816478"/>
      <w:r>
        <w:rPr>
          <w:rStyle w:val="CharSDivNo"/>
        </w:rPr>
        <w:t>Division 1</w:t>
      </w:r>
      <w:r>
        <w:t> — </w:t>
      </w:r>
      <w:r>
        <w:rPr>
          <w:rStyle w:val="CharSDivText"/>
        </w:rPr>
        <w:t>Service charges</w:t>
      </w:r>
      <w:bookmarkEnd w:id="112"/>
    </w:p>
    <w:p>
      <w:pPr>
        <w:pStyle w:val="yHeading4"/>
      </w:pPr>
      <w:bookmarkStart w:id="113" w:name="_Toc398816479"/>
      <w:r>
        <w:t>Subdivision 1</w:t>
      </w:r>
      <w:r>
        <w:rPr>
          <w:b w:val="0"/>
        </w:rPr>
        <w:t> — </w:t>
      </w:r>
      <w:r>
        <w:t>Preliminary</w:t>
      </w:r>
      <w:bookmarkEnd w:id="113"/>
    </w:p>
    <w:p>
      <w:pPr>
        <w:pStyle w:val="yHeading5"/>
      </w:pPr>
      <w:bookmarkStart w:id="114" w:name="_Toc398816480"/>
      <w:r>
        <w:rPr>
          <w:rStyle w:val="CharSClsNo"/>
        </w:rPr>
        <w:t>1</w:t>
      </w:r>
      <w:r>
        <w:t>.</w:t>
      </w:r>
      <w:r>
        <w:tab/>
        <w:t>Service charges for 2014/15 year and subsequent years</w:t>
      </w:r>
      <w:bookmarkEnd w:id="114"/>
    </w:p>
    <w:p>
      <w:pPr>
        <w:pStyle w:val="yMiscellaneousBody"/>
        <w:tabs>
          <w:tab w:val="right" w:pos="709"/>
          <w:tab w:val="left" w:pos="851"/>
        </w:tabs>
        <w:ind w:left="851" w:hanging="851"/>
      </w:pPr>
      <w:r>
        <w:tab/>
      </w:r>
      <w:r>
        <w:tab/>
        <w:t>The charges set out in this Division apply for water supply services provided in the 2014/15 financial year and each subsequent year.</w:t>
      </w:r>
    </w:p>
    <w:p>
      <w:pPr>
        <w:pStyle w:val="yHeading5"/>
      </w:pPr>
      <w:bookmarkStart w:id="115" w:name="_Toc398816481"/>
      <w:r>
        <w:rPr>
          <w:rStyle w:val="CharSClsNo"/>
        </w:rPr>
        <w:t>2</w:t>
      </w:r>
      <w:r>
        <w:t>.</w:t>
      </w:r>
      <w:r>
        <w:tab/>
        <w:t>Table of meter</w:t>
      </w:r>
      <w:r>
        <w:noBreakHyphen/>
        <w:t>based charges</w:t>
      </w:r>
      <w:bookmarkEnd w:id="115"/>
    </w:p>
    <w:p>
      <w:pPr>
        <w:pStyle w:val="yMiscellaneousBody"/>
        <w:tabs>
          <w:tab w:val="right" w:pos="709"/>
          <w:tab w:val="left" w:pos="851"/>
        </w:tabs>
        <w:ind w:left="851" w:hanging="851"/>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Ind w:w="62" w:type="dxa"/>
        <w:tblLayout w:type="fixed"/>
        <w:tblLook w:val="0000" w:firstRow="0" w:lastRow="0" w:firstColumn="0" w:lastColumn="0" w:noHBand="0" w:noVBand="0"/>
      </w:tblPr>
      <w:tblGrid>
        <w:gridCol w:w="2466"/>
        <w:gridCol w:w="2467"/>
      </w:tblGrid>
      <w:tr>
        <w:trPr>
          <w:cantSplit/>
          <w:tblHeader/>
          <w:jc w:val="center"/>
        </w:trPr>
        <w:tc>
          <w:tcPr>
            <w:tcW w:w="2466" w:type="dxa"/>
            <w:tcBorders>
              <w:top w:val="single" w:sz="4" w:space="0" w:color="auto"/>
              <w:bottom w:val="single" w:sz="4" w:space="0" w:color="auto"/>
            </w:tcBorders>
          </w:tcPr>
          <w:p>
            <w:pPr>
              <w:pStyle w:val="yTableNAm"/>
              <w:jc w:val="center"/>
            </w:pPr>
            <w:r>
              <w:rPr>
                <w:b/>
                <w:bCs/>
              </w:rPr>
              <w:t>Meter size</w:t>
            </w:r>
            <w:r>
              <w:rPr>
                <w:b/>
                <w:bCs/>
              </w:rPr>
              <w:br/>
              <w:t>mm</w:t>
            </w:r>
          </w:p>
        </w:tc>
        <w:tc>
          <w:tcPr>
            <w:tcW w:w="2467"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466" w:type="dxa"/>
          </w:tcPr>
          <w:p>
            <w:pPr>
              <w:pStyle w:val="yTableNAm"/>
              <w:jc w:val="center"/>
            </w:pPr>
            <w:r>
              <w:t>15, 20</w:t>
            </w:r>
          </w:p>
        </w:tc>
        <w:tc>
          <w:tcPr>
            <w:tcW w:w="2467" w:type="dxa"/>
            <w:vAlign w:val="bottom"/>
          </w:tcPr>
          <w:p>
            <w:pPr>
              <w:pStyle w:val="yTableNAm"/>
              <w:jc w:val="center"/>
            </w:pPr>
            <w:r>
              <w:t>218.05</w:t>
            </w:r>
          </w:p>
        </w:tc>
      </w:tr>
      <w:tr>
        <w:trPr>
          <w:cantSplit/>
          <w:jc w:val="center"/>
        </w:trPr>
        <w:tc>
          <w:tcPr>
            <w:tcW w:w="2466" w:type="dxa"/>
          </w:tcPr>
          <w:p>
            <w:pPr>
              <w:pStyle w:val="yTableNAm"/>
              <w:jc w:val="center"/>
            </w:pPr>
            <w:r>
              <w:t>25</w:t>
            </w:r>
          </w:p>
        </w:tc>
        <w:tc>
          <w:tcPr>
            <w:tcW w:w="2467" w:type="dxa"/>
            <w:vAlign w:val="bottom"/>
          </w:tcPr>
          <w:p>
            <w:pPr>
              <w:pStyle w:val="yTableNAm"/>
              <w:jc w:val="center"/>
            </w:pPr>
            <w:r>
              <w:t>340.70</w:t>
            </w:r>
          </w:p>
        </w:tc>
      </w:tr>
      <w:tr>
        <w:trPr>
          <w:cantSplit/>
          <w:jc w:val="center"/>
        </w:trPr>
        <w:tc>
          <w:tcPr>
            <w:tcW w:w="2466" w:type="dxa"/>
          </w:tcPr>
          <w:p>
            <w:pPr>
              <w:pStyle w:val="yTableNAm"/>
              <w:jc w:val="center"/>
            </w:pPr>
            <w:r>
              <w:t>30</w:t>
            </w:r>
          </w:p>
        </w:tc>
        <w:tc>
          <w:tcPr>
            <w:tcW w:w="2467" w:type="dxa"/>
            <w:vAlign w:val="bottom"/>
          </w:tcPr>
          <w:p>
            <w:pPr>
              <w:pStyle w:val="yTableNAm"/>
              <w:jc w:val="center"/>
            </w:pPr>
            <w:r>
              <w:t>490.58</w:t>
            </w:r>
          </w:p>
        </w:tc>
      </w:tr>
      <w:tr>
        <w:trPr>
          <w:cantSplit/>
          <w:jc w:val="center"/>
        </w:trPr>
        <w:tc>
          <w:tcPr>
            <w:tcW w:w="2466" w:type="dxa"/>
          </w:tcPr>
          <w:p>
            <w:pPr>
              <w:pStyle w:val="yTableNAm"/>
              <w:jc w:val="center"/>
            </w:pPr>
            <w:r>
              <w:t>35, 38, 40</w:t>
            </w:r>
          </w:p>
        </w:tc>
        <w:tc>
          <w:tcPr>
            <w:tcW w:w="2467" w:type="dxa"/>
            <w:vAlign w:val="bottom"/>
          </w:tcPr>
          <w:p>
            <w:pPr>
              <w:pStyle w:val="yTableNAm"/>
              <w:jc w:val="center"/>
            </w:pPr>
            <w:r>
              <w:t>872.19</w:t>
            </w:r>
          </w:p>
        </w:tc>
      </w:tr>
      <w:tr>
        <w:trPr>
          <w:cantSplit/>
          <w:jc w:val="center"/>
        </w:trPr>
        <w:tc>
          <w:tcPr>
            <w:tcW w:w="2466" w:type="dxa"/>
          </w:tcPr>
          <w:p>
            <w:pPr>
              <w:pStyle w:val="yTableNAm"/>
              <w:jc w:val="center"/>
            </w:pPr>
            <w:r>
              <w:t>50</w:t>
            </w:r>
          </w:p>
        </w:tc>
        <w:tc>
          <w:tcPr>
            <w:tcW w:w="2467" w:type="dxa"/>
            <w:vAlign w:val="bottom"/>
          </w:tcPr>
          <w:p>
            <w:pPr>
              <w:pStyle w:val="yTableNAm"/>
              <w:jc w:val="center"/>
            </w:pPr>
            <w:r>
              <w:t>1 362.79</w:t>
            </w:r>
          </w:p>
        </w:tc>
      </w:tr>
      <w:tr>
        <w:trPr>
          <w:cantSplit/>
          <w:jc w:val="center"/>
        </w:trPr>
        <w:tc>
          <w:tcPr>
            <w:tcW w:w="2466" w:type="dxa"/>
          </w:tcPr>
          <w:p>
            <w:pPr>
              <w:pStyle w:val="yTableNAm"/>
              <w:jc w:val="center"/>
            </w:pPr>
            <w:r>
              <w:t>70, 75, 80</w:t>
            </w:r>
          </w:p>
        </w:tc>
        <w:tc>
          <w:tcPr>
            <w:tcW w:w="2467" w:type="dxa"/>
            <w:vAlign w:val="bottom"/>
          </w:tcPr>
          <w:p>
            <w:pPr>
              <w:pStyle w:val="yTableNAm"/>
              <w:jc w:val="center"/>
            </w:pPr>
            <w:r>
              <w:t>3 488.75</w:t>
            </w:r>
          </w:p>
        </w:tc>
      </w:tr>
      <w:tr>
        <w:trPr>
          <w:cantSplit/>
          <w:jc w:val="center"/>
        </w:trPr>
        <w:tc>
          <w:tcPr>
            <w:tcW w:w="2466" w:type="dxa"/>
          </w:tcPr>
          <w:p>
            <w:pPr>
              <w:pStyle w:val="yTableNAm"/>
              <w:jc w:val="center"/>
            </w:pPr>
            <w:r>
              <w:t>100</w:t>
            </w:r>
          </w:p>
        </w:tc>
        <w:tc>
          <w:tcPr>
            <w:tcW w:w="2467" w:type="dxa"/>
            <w:vAlign w:val="bottom"/>
          </w:tcPr>
          <w:p>
            <w:pPr>
              <w:pStyle w:val="yTableNAm"/>
              <w:jc w:val="center"/>
            </w:pPr>
            <w:r>
              <w:t>5 451.17</w:t>
            </w:r>
          </w:p>
        </w:tc>
      </w:tr>
      <w:tr>
        <w:trPr>
          <w:cantSplit/>
          <w:jc w:val="center"/>
        </w:trPr>
        <w:tc>
          <w:tcPr>
            <w:tcW w:w="2466" w:type="dxa"/>
          </w:tcPr>
          <w:p>
            <w:pPr>
              <w:pStyle w:val="yTableNAm"/>
              <w:jc w:val="center"/>
            </w:pPr>
            <w:r>
              <w:t>140, 150</w:t>
            </w:r>
          </w:p>
        </w:tc>
        <w:tc>
          <w:tcPr>
            <w:tcW w:w="2467" w:type="dxa"/>
            <w:vAlign w:val="bottom"/>
          </w:tcPr>
          <w:p>
            <w:pPr>
              <w:pStyle w:val="yTableNAm"/>
              <w:jc w:val="center"/>
            </w:pPr>
            <w:r>
              <w:t>12 265.13</w:t>
            </w:r>
          </w:p>
        </w:tc>
      </w:tr>
      <w:tr>
        <w:trPr>
          <w:cantSplit/>
          <w:jc w:val="center"/>
        </w:trPr>
        <w:tc>
          <w:tcPr>
            <w:tcW w:w="2466" w:type="dxa"/>
          </w:tcPr>
          <w:p>
            <w:pPr>
              <w:pStyle w:val="yTableNAm"/>
              <w:jc w:val="center"/>
            </w:pPr>
            <w:r>
              <w:t>200</w:t>
            </w:r>
          </w:p>
        </w:tc>
        <w:tc>
          <w:tcPr>
            <w:tcW w:w="2467" w:type="dxa"/>
            <w:vAlign w:val="bottom"/>
          </w:tcPr>
          <w:p>
            <w:pPr>
              <w:pStyle w:val="yTableNAm"/>
              <w:jc w:val="center"/>
            </w:pPr>
            <w:r>
              <w:t>21 804.68</w:t>
            </w:r>
          </w:p>
        </w:tc>
      </w:tr>
      <w:tr>
        <w:trPr>
          <w:cantSplit/>
          <w:jc w:val="center"/>
        </w:trPr>
        <w:tc>
          <w:tcPr>
            <w:tcW w:w="2466" w:type="dxa"/>
          </w:tcPr>
          <w:p>
            <w:pPr>
              <w:pStyle w:val="yTableNAm"/>
              <w:jc w:val="center"/>
            </w:pPr>
            <w:r>
              <w:t>250</w:t>
            </w:r>
          </w:p>
        </w:tc>
        <w:tc>
          <w:tcPr>
            <w:tcW w:w="2467" w:type="dxa"/>
            <w:vAlign w:val="bottom"/>
          </w:tcPr>
          <w:p>
            <w:pPr>
              <w:pStyle w:val="yTableNAm"/>
              <w:jc w:val="center"/>
            </w:pPr>
            <w:r>
              <w:t>34 069.79</w:t>
            </w:r>
          </w:p>
        </w:tc>
      </w:tr>
      <w:tr>
        <w:trPr>
          <w:cantSplit/>
          <w:jc w:val="center"/>
        </w:trPr>
        <w:tc>
          <w:tcPr>
            <w:tcW w:w="2466" w:type="dxa"/>
          </w:tcPr>
          <w:p>
            <w:pPr>
              <w:pStyle w:val="yTableNAm"/>
              <w:jc w:val="center"/>
            </w:pPr>
            <w:r>
              <w:t>300</w:t>
            </w:r>
          </w:p>
        </w:tc>
        <w:tc>
          <w:tcPr>
            <w:tcW w:w="2467" w:type="dxa"/>
            <w:vAlign w:val="bottom"/>
          </w:tcPr>
          <w:p>
            <w:pPr>
              <w:pStyle w:val="yTableNAm"/>
              <w:jc w:val="center"/>
            </w:pPr>
            <w:r>
              <w:t>49 060.53</w:t>
            </w:r>
          </w:p>
        </w:tc>
      </w:tr>
      <w:tr>
        <w:trPr>
          <w:cantSplit/>
          <w:jc w:val="center"/>
        </w:trPr>
        <w:tc>
          <w:tcPr>
            <w:tcW w:w="2466" w:type="dxa"/>
            <w:tcBorders>
              <w:bottom w:val="single" w:sz="4" w:space="0" w:color="auto"/>
            </w:tcBorders>
          </w:tcPr>
          <w:p>
            <w:pPr>
              <w:pStyle w:val="yTableNAm"/>
              <w:jc w:val="center"/>
            </w:pPr>
            <w:r>
              <w:t>350</w:t>
            </w:r>
          </w:p>
        </w:tc>
        <w:tc>
          <w:tcPr>
            <w:tcW w:w="2467" w:type="dxa"/>
            <w:tcBorders>
              <w:bottom w:val="single" w:sz="4" w:space="0" w:color="auto"/>
            </w:tcBorders>
            <w:vAlign w:val="bottom"/>
          </w:tcPr>
          <w:p>
            <w:pPr>
              <w:pStyle w:val="yTableNAm"/>
              <w:jc w:val="center"/>
            </w:pPr>
            <w:r>
              <w:t>66 776.84</w:t>
            </w:r>
          </w:p>
        </w:tc>
      </w:tr>
    </w:tbl>
    <w:p>
      <w:pPr>
        <w:pStyle w:val="yHeading4"/>
      </w:pPr>
      <w:bookmarkStart w:id="116" w:name="_Toc398816482"/>
      <w:r>
        <w:t>Subdivision 2</w:t>
      </w:r>
      <w:r>
        <w:rPr>
          <w:b w:val="0"/>
        </w:rPr>
        <w:t> — </w:t>
      </w:r>
      <w:r>
        <w:t>Service charges that apply in respect of land</w:t>
      </w:r>
      <w:bookmarkEnd w:id="116"/>
    </w:p>
    <w:p>
      <w:pPr>
        <w:pStyle w:val="yHeading5"/>
      </w:pPr>
      <w:bookmarkStart w:id="117" w:name="_Toc398816483"/>
      <w:r>
        <w:rPr>
          <w:rStyle w:val="CharSClsNo"/>
        </w:rPr>
        <w:t>3</w:t>
      </w:r>
      <w:r>
        <w:t>.</w:t>
      </w:r>
      <w:r>
        <w:tab/>
        <w:t>Residential</w:t>
      </w:r>
      <w:bookmarkEnd w:id="117"/>
    </w:p>
    <w:p>
      <w:pPr>
        <w:pStyle w:val="yMiscellaneousBody"/>
        <w:tabs>
          <w:tab w:val="left" w:pos="284"/>
          <w:tab w:val="right" w:leader="dot" w:pos="6804"/>
        </w:tabs>
        <w:ind w:left="879" w:right="1983" w:hanging="879"/>
      </w:pPr>
      <w:r>
        <w:tab/>
      </w:r>
      <w:r>
        <w:tab/>
        <w:t xml:space="preserve">In respect of a residential property not covered by item 4, 5, 8, 9 or 10, the charge is </w:t>
      </w:r>
      <w:r>
        <w:tab/>
        <w:t xml:space="preserve"> $218.05</w:t>
      </w:r>
    </w:p>
    <w:p>
      <w:pPr>
        <w:pStyle w:val="yHeading5"/>
        <w:rPr>
          <w:b w:val="0"/>
        </w:rPr>
      </w:pPr>
      <w:bookmarkStart w:id="118" w:name="_Toc398816484"/>
      <w:r>
        <w:rPr>
          <w:rStyle w:val="CharSClsNo"/>
        </w:rPr>
        <w:t>4</w:t>
      </w:r>
      <w:r>
        <w:t>.</w:t>
      </w:r>
      <w:r>
        <w:tab/>
        <w:t>Metropolitan concessional</w:t>
      </w:r>
      <w:bookmarkEnd w:id="118"/>
    </w:p>
    <w:p>
      <w:pPr>
        <w:pStyle w:val="yMiscellaneousBody"/>
        <w:tabs>
          <w:tab w:val="left" w:pos="284"/>
          <w:tab w:val="right" w:leader="dot" w:pos="6804"/>
        </w:tabs>
        <w:ind w:left="879" w:right="1983" w:hanging="879"/>
      </w:pPr>
      <w:r>
        <w:tab/>
        <w:t>(1)</w:t>
      </w:r>
      <w:r>
        <w:tab/>
        <w:t>In respect of land in the metropolitan area that is classified as aged home, community purpose or charitable purposes, the charge, per water supply connection, is the charge set out in the Table in item 2, according to the relevant meter size, less a discount of 100%.</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Heading5"/>
      </w:pPr>
      <w:bookmarkStart w:id="119" w:name="_Toc398816485"/>
      <w:r>
        <w:rPr>
          <w:rStyle w:val="CharSClsNo"/>
        </w:rPr>
        <w:t>5</w:t>
      </w:r>
      <w:r>
        <w:t>.</w:t>
      </w:r>
      <w:r>
        <w:tab/>
        <w:t>Strata</w:t>
      </w:r>
      <w:r>
        <w:noBreakHyphen/>
        <w:t>titled or long</w:t>
      </w:r>
      <w:r>
        <w:noBreakHyphen/>
        <w:t>term residential caravan bays</w:t>
      </w:r>
      <w:bookmarkEnd w:id="119"/>
    </w:p>
    <w:p>
      <w:pPr>
        <w:pStyle w:val="yMiscellaneousBody"/>
        <w:tabs>
          <w:tab w:val="left" w:pos="284"/>
          <w:tab w:val="right" w:leader="dot" w:pos="6804"/>
        </w:tabs>
        <w:ind w:left="879" w:right="1928" w:hanging="879"/>
      </w:pPr>
      <w:r>
        <w:rPr>
          <w:szCs w:val="22"/>
        </w:rPr>
        <w:tab/>
      </w:r>
      <w:r>
        <w:rPr>
          <w:szCs w:val="22"/>
        </w:rPr>
        <w:tab/>
        <w:t>In respect of a strata</w:t>
      </w:r>
      <w:r>
        <w:rPr>
          <w:szCs w:val="22"/>
        </w:rPr>
        <w:noBreakHyphen/>
        <w:t>titled caravan bay or a long</w:t>
      </w:r>
      <w:r>
        <w:rPr>
          <w:szCs w:val="22"/>
        </w:rPr>
        <w:noBreakHyphen/>
        <w:t xml:space="preserve">term residential caravan bay, the charge is </w:t>
      </w:r>
      <w:r>
        <w:rPr>
          <w:szCs w:val="22"/>
        </w:rPr>
        <w:tab/>
        <w:t xml:space="preserve"> </w:t>
      </w:r>
      <w:r>
        <w:t>$153.24</w:t>
      </w:r>
    </w:p>
    <w:p>
      <w:pPr>
        <w:pStyle w:val="yHeading5"/>
      </w:pPr>
      <w:bookmarkStart w:id="120" w:name="_Toc398816486"/>
      <w:r>
        <w:rPr>
          <w:rStyle w:val="CharSClsNo"/>
        </w:rPr>
        <w:t>6</w:t>
      </w:r>
      <w:r>
        <w:t>.</w:t>
      </w:r>
      <w:r>
        <w:tab/>
        <w:t>Strata</w:t>
      </w:r>
      <w:r>
        <w:noBreakHyphen/>
        <w:t>titled storage units or parking bays</w:t>
      </w:r>
      <w:bookmarkEnd w:id="120"/>
    </w:p>
    <w:p>
      <w:pPr>
        <w:pStyle w:val="yMiscellaneousBody"/>
        <w:tabs>
          <w:tab w:val="left" w:pos="284"/>
          <w:tab w:val="right" w:leader="dot" w:pos="6804"/>
        </w:tabs>
        <w:ind w:left="879" w:right="1983" w:hanging="879"/>
      </w:pPr>
      <w:r>
        <w:rPr>
          <w:szCs w:val="22"/>
        </w:rPr>
        <w:tab/>
      </w:r>
      <w:r>
        <w:rPr>
          <w:szCs w:val="22"/>
        </w:rPr>
        <w:tab/>
        <w:t xml:space="preserve">In respect of a lot that is used for storage purposes or as a parking bay, the charge is </w:t>
      </w:r>
      <w:r>
        <w:rPr>
          <w:szCs w:val="22"/>
        </w:rPr>
        <w:tab/>
        <w:t xml:space="preserve"> </w:t>
      </w:r>
      <w:r>
        <w:t>$76.74</w:t>
      </w:r>
    </w:p>
    <w:p>
      <w:pPr>
        <w:pStyle w:val="yHeading5"/>
      </w:pPr>
      <w:bookmarkStart w:id="121" w:name="_Toc398816487"/>
      <w:r>
        <w:rPr>
          <w:rStyle w:val="CharSClsNo"/>
        </w:rPr>
        <w:t>7</w:t>
      </w:r>
      <w:r>
        <w:t>.</w:t>
      </w:r>
      <w:r>
        <w:tab/>
        <w:t>Non</w:t>
      </w:r>
      <w:r>
        <w:noBreakHyphen/>
        <w:t>residential strata</w:t>
      </w:r>
      <w:r>
        <w:noBreakHyphen/>
        <w:t>titled units that share a service</w:t>
      </w:r>
      <w:bookmarkEnd w:id="121"/>
    </w:p>
    <w:p>
      <w:pPr>
        <w:pStyle w:val="yMiscellaneousBody"/>
        <w:tabs>
          <w:tab w:val="left" w:pos="284"/>
          <w:tab w:val="right" w:leader="dot" w:pos="6804"/>
        </w:tabs>
        <w:ind w:left="879" w:right="1983" w:hanging="879"/>
      </w:pPr>
      <w:r>
        <w:tab/>
      </w:r>
      <w:r>
        <w:tab/>
        <w:t>In respect of land that —</w:t>
      </w:r>
    </w:p>
    <w:p>
      <w:pPr>
        <w:pStyle w:val="yMiscellaneousBody"/>
        <w:tabs>
          <w:tab w:val="left" w:pos="1134"/>
          <w:tab w:val="left" w:pos="1560"/>
          <w:tab w:val="right" w:leader="dot" w:pos="6804"/>
        </w:tabs>
        <w:spacing w:before="80"/>
        <w:ind w:left="1559" w:right="1985" w:hanging="1559"/>
      </w:pPr>
      <w:r>
        <w:tab/>
        <w:t>(a)</w:t>
      </w:r>
      <w:r>
        <w:tab/>
        <w:t>is contained in a lot; and</w:t>
      </w:r>
    </w:p>
    <w:p>
      <w:pPr>
        <w:pStyle w:val="yMiscellaneousBody"/>
        <w:tabs>
          <w:tab w:val="left" w:pos="1134"/>
          <w:tab w:val="left" w:pos="1560"/>
          <w:tab w:val="right" w:leader="dot" w:pos="6804"/>
        </w:tabs>
        <w:spacing w:before="80"/>
        <w:ind w:left="1559" w:right="1985" w:hanging="1559"/>
      </w:pPr>
      <w:r>
        <w:tab/>
        <w:t>(b)</w:t>
      </w:r>
      <w:r>
        <w:tab/>
        <w:t>is classified as non</w:t>
      </w:r>
      <w:r>
        <w:noBreakHyphen/>
        <w:t>residential; and</w:t>
      </w:r>
    </w:p>
    <w:p>
      <w:pPr>
        <w:pStyle w:val="yMiscellaneousBody"/>
        <w:tabs>
          <w:tab w:val="left" w:pos="1134"/>
          <w:tab w:val="left" w:pos="1560"/>
          <w:tab w:val="right" w:leader="dot" w:pos="6804"/>
        </w:tabs>
        <w:spacing w:before="80"/>
        <w:ind w:left="1559" w:right="1985" w:hanging="1559"/>
      </w:pPr>
      <w:r>
        <w:tab/>
        <w:t>(c)</w:t>
      </w:r>
      <w:r>
        <w:tab/>
        <w:t>is not covered by item 5 or 6; and</w:t>
      </w:r>
    </w:p>
    <w:p>
      <w:pPr>
        <w:pStyle w:val="yMiscellaneousBody"/>
        <w:tabs>
          <w:tab w:val="left" w:pos="1134"/>
          <w:tab w:val="left" w:pos="1560"/>
          <w:tab w:val="right" w:leader="dot" w:pos="6804"/>
        </w:tabs>
        <w:spacing w:before="120"/>
        <w:ind w:left="1559" w:right="1985" w:hanging="1559"/>
      </w:pPr>
      <w:r>
        <w:tab/>
        <w:t>(d)</w:t>
      </w:r>
      <w:r>
        <w:tab/>
        <w:t>shares a water supply connection with other such land,</w:t>
      </w:r>
    </w:p>
    <w:p>
      <w:pPr>
        <w:pStyle w:val="yMiscellaneousBody"/>
        <w:tabs>
          <w:tab w:val="left" w:pos="284"/>
          <w:tab w:val="right" w:leader="dot" w:pos="6804"/>
        </w:tabs>
        <w:ind w:left="879" w:right="1983" w:hanging="879"/>
      </w:pPr>
      <w:r>
        <w:tab/>
      </w:r>
      <w:r>
        <w:tab/>
        <w:t xml:space="preserve">the charge is </w:t>
      </w:r>
      <w:r>
        <w:tab/>
        <w:t xml:space="preserve"> $218.05</w:t>
      </w:r>
    </w:p>
    <w:p>
      <w:pPr>
        <w:pStyle w:val="yHeading5"/>
        <w:rPr>
          <w:b w:val="0"/>
        </w:rPr>
      </w:pPr>
      <w:bookmarkStart w:id="122" w:name="_Toc398816488"/>
      <w:r>
        <w:rPr>
          <w:rStyle w:val="CharSClsNo"/>
        </w:rPr>
        <w:t>8</w:t>
      </w:r>
      <w:r>
        <w:t>.</w:t>
      </w:r>
      <w:r>
        <w:tab/>
        <w:t>Community residential</w:t>
      </w:r>
      <w:bookmarkEnd w:id="122"/>
    </w:p>
    <w:p>
      <w:pPr>
        <w:pStyle w:val="yMiscellaneousBody"/>
        <w:tabs>
          <w:tab w:val="left" w:pos="284"/>
          <w:tab w:val="right" w:leader="dot" w:pos="6804"/>
        </w:tabs>
        <w:ind w:left="879" w:right="1983" w:hanging="879"/>
      </w:pPr>
      <w:r>
        <w:tab/>
        <w:t>(1)</w:t>
      </w:r>
      <w:r>
        <w:tab/>
        <w:t>In respect of land that is classified as community residential, the charge is, for each residential unit equivalent, 50% of the charge payable for a residential property under item 3.</w:t>
      </w:r>
    </w:p>
    <w:p>
      <w:pPr>
        <w:pStyle w:val="yMiscellaneousBody"/>
        <w:tabs>
          <w:tab w:val="left" w:pos="284"/>
          <w:tab w:val="right" w:leader="dot" w:pos="6804"/>
        </w:tabs>
        <w:ind w:left="879" w:right="1983" w:hanging="879"/>
      </w:pPr>
      <w:r>
        <w:tab/>
        <w:t>(2)</w:t>
      </w:r>
      <w:r>
        <w:tab/>
        <w:t>The Water Corporation must determine, by reference to the anticipated water supply requirements of the communal property, the number of residential unit equivalents to which the communal property equates.</w:t>
      </w:r>
    </w:p>
    <w:p>
      <w:pPr>
        <w:pStyle w:val="yHeading5"/>
        <w:rPr>
          <w:b w:val="0"/>
        </w:rPr>
      </w:pPr>
      <w:bookmarkStart w:id="123" w:name="_Toc398816489"/>
      <w:r>
        <w:rPr>
          <w:rStyle w:val="CharSClsNo"/>
        </w:rPr>
        <w:t>9</w:t>
      </w:r>
      <w:r>
        <w:t>.</w:t>
      </w:r>
      <w:r>
        <w:tab/>
        <w:t>Semi</w:t>
      </w:r>
      <w:r>
        <w:noBreakHyphen/>
        <w:t>rural residential</w:t>
      </w:r>
      <w:bookmarkEnd w:id="123"/>
    </w:p>
    <w:p>
      <w:pPr>
        <w:pStyle w:val="yMiscellaneousBody"/>
        <w:tabs>
          <w:tab w:val="left" w:pos="284"/>
          <w:tab w:val="right" w:leader="dot" w:pos="6804"/>
        </w:tabs>
        <w:ind w:left="879" w:right="1983" w:hanging="879"/>
      </w:pPr>
      <w:r>
        <w:tab/>
      </w:r>
      <w:r>
        <w:tab/>
      </w:r>
      <w:r>
        <w:rPr>
          <w:szCs w:val="22"/>
        </w:rPr>
        <w:t>In respect of a semi</w:t>
      </w:r>
      <w:r>
        <w:rPr>
          <w:szCs w:val="22"/>
        </w:rPr>
        <w:noBreakHyphen/>
        <w:t>rural residential property not covered by item </w:t>
      </w:r>
      <w:r>
        <w:t>4</w:t>
      </w:r>
      <w:r>
        <w:rPr>
          <w:szCs w:val="22"/>
        </w:rPr>
        <w:t xml:space="preserve">, the charge is </w:t>
      </w:r>
      <w:r>
        <w:rPr>
          <w:szCs w:val="22"/>
        </w:rPr>
        <w:tab/>
        <w:t xml:space="preserve"> </w:t>
      </w:r>
      <w:r>
        <w:t>$218.05</w:t>
      </w:r>
    </w:p>
    <w:p>
      <w:pPr>
        <w:pStyle w:val="yHeading5"/>
      </w:pPr>
      <w:bookmarkStart w:id="124" w:name="_Toc398816490"/>
      <w:r>
        <w:rPr>
          <w:rStyle w:val="CharSClsNo"/>
        </w:rPr>
        <w:t>10</w:t>
      </w:r>
      <w:r>
        <w:t>.</w:t>
      </w:r>
      <w:r>
        <w:tab/>
        <w:t>Non</w:t>
      </w:r>
      <w:r>
        <w:noBreakHyphen/>
        <w:t>metropolitan concessional</w:t>
      </w:r>
      <w:bookmarkEnd w:id="124"/>
    </w:p>
    <w:p>
      <w:pPr>
        <w:pStyle w:val="yMiscellaneousBody"/>
        <w:tabs>
          <w:tab w:val="left" w:pos="284"/>
          <w:tab w:val="right" w:leader="dot" w:pos="6804"/>
        </w:tabs>
        <w:ind w:left="879" w:right="1983" w:hanging="879"/>
      </w:pPr>
      <w:r>
        <w:tab/>
        <w:t>(1)</w:t>
      </w:r>
      <w:r>
        <w:tab/>
      </w:r>
      <w:r>
        <w:rPr>
          <w:szCs w:val="22"/>
        </w:rPr>
        <w:t xml:space="preserve">In respect of land </w:t>
      </w:r>
      <w:r>
        <w:t>in the non</w:t>
      </w:r>
      <w:r>
        <w:noBreakHyphen/>
        <w:t>metropolitan area that</w:t>
      </w:r>
      <w:r>
        <w:rPr>
          <w:szCs w:val="22"/>
        </w:rPr>
        <w:t> —</w:t>
      </w:r>
    </w:p>
    <w:p>
      <w:pPr>
        <w:pStyle w:val="yMiscellaneousBody"/>
        <w:tabs>
          <w:tab w:val="left" w:pos="1134"/>
          <w:tab w:val="left" w:pos="1560"/>
          <w:tab w:val="right" w:leader="dot" w:pos="6804"/>
        </w:tabs>
        <w:spacing w:before="80"/>
        <w:ind w:left="1559" w:right="1985" w:hanging="1559"/>
      </w:pPr>
      <w:r>
        <w:tab/>
        <w:t>(a)</w:t>
      </w:r>
      <w:r>
        <w:tab/>
        <w:t>is concessional land contained in a residential property; or</w:t>
      </w:r>
    </w:p>
    <w:p>
      <w:pPr>
        <w:pStyle w:val="yMiscellaneousBody"/>
        <w:tabs>
          <w:tab w:val="left" w:pos="1134"/>
          <w:tab w:val="left" w:pos="1560"/>
          <w:tab w:val="right" w:leader="dot" w:pos="6804"/>
        </w:tabs>
        <w:spacing w:before="80"/>
        <w:ind w:left="1559" w:right="1985" w:hanging="1559"/>
      </w:pPr>
      <w:r>
        <w:tab/>
        <w:t>(b)</w:t>
      </w:r>
      <w:r>
        <w:tab/>
        <w:t>is classified as charitable purposes, institutional public or local government and not contained in a residential property,</w:t>
      </w:r>
    </w:p>
    <w:p>
      <w:pPr>
        <w:pStyle w:val="yMiscellaneousBody"/>
        <w:tabs>
          <w:tab w:val="left" w:pos="284"/>
          <w:tab w:val="right" w:leader="dot" w:pos="6804"/>
        </w:tabs>
        <w:ind w:left="879" w:right="1983" w:hanging="879"/>
      </w:pPr>
      <w:r>
        <w:tab/>
      </w:r>
      <w:r>
        <w:tab/>
        <w:t>the charge, per water supply connection, is the charge set out in the Table in item 2, according to the relevant meter size, less a discount of 100%.</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Heading5"/>
        <w:rPr>
          <w:b w:val="0"/>
        </w:rPr>
      </w:pPr>
      <w:bookmarkStart w:id="125" w:name="_Toc398816491"/>
      <w:r>
        <w:rPr>
          <w:rStyle w:val="CharSClsNo"/>
        </w:rPr>
        <w:t>11</w:t>
      </w:r>
      <w:r>
        <w:t>.</w:t>
      </w:r>
      <w:r>
        <w:tab/>
        <w:t>Non</w:t>
      </w:r>
      <w:r>
        <w:noBreakHyphen/>
        <w:t>residential or commercial residential (except certain strata</w:t>
      </w:r>
      <w:r>
        <w:noBreakHyphen/>
        <w:t>titled units)</w:t>
      </w:r>
      <w:bookmarkEnd w:id="125"/>
    </w:p>
    <w:p>
      <w:pPr>
        <w:pStyle w:val="yMiscellaneousBody"/>
        <w:tabs>
          <w:tab w:val="left" w:pos="284"/>
          <w:tab w:val="right" w:leader="dot" w:pos="6804"/>
        </w:tabs>
        <w:ind w:left="879" w:right="1983" w:hanging="879"/>
      </w:pPr>
      <w:r>
        <w:tab/>
        <w:t>(1)</w:t>
      </w:r>
      <w:r>
        <w:tab/>
      </w:r>
      <w:r>
        <w:rPr>
          <w:szCs w:val="22"/>
        </w:rPr>
        <w:t>In respect of land that —</w:t>
      </w:r>
    </w:p>
    <w:p>
      <w:pPr>
        <w:pStyle w:val="yMiscellaneousBody"/>
        <w:tabs>
          <w:tab w:val="left" w:pos="1134"/>
          <w:tab w:val="left" w:pos="1560"/>
          <w:tab w:val="right" w:leader="dot" w:pos="6804"/>
        </w:tabs>
        <w:spacing w:before="80"/>
        <w:ind w:left="1559" w:right="1985" w:hanging="1559"/>
      </w:pPr>
      <w:r>
        <w:tab/>
        <w:t>(a)</w:t>
      </w:r>
      <w:r>
        <w:tab/>
        <w:t>is classified as non</w:t>
      </w:r>
      <w:r>
        <w:noBreakHyphen/>
        <w:t>residential or commercial residential; and</w:t>
      </w:r>
    </w:p>
    <w:p>
      <w:pPr>
        <w:pStyle w:val="yMiscellaneousBody"/>
        <w:tabs>
          <w:tab w:val="left" w:pos="1134"/>
          <w:tab w:val="left" w:pos="1560"/>
          <w:tab w:val="right" w:leader="dot" w:pos="6804"/>
        </w:tabs>
        <w:spacing w:before="80"/>
        <w:ind w:left="1559" w:right="1985" w:hanging="1559"/>
      </w:pPr>
      <w:r>
        <w:tab/>
        <w:t>(b)</w:t>
      </w:r>
      <w:r>
        <w:tab/>
        <w:t>is not contained in a residential property; and</w:t>
      </w:r>
    </w:p>
    <w:p>
      <w:pPr>
        <w:pStyle w:val="yMiscellaneousBody"/>
        <w:tabs>
          <w:tab w:val="left" w:pos="1134"/>
          <w:tab w:val="left" w:pos="1560"/>
          <w:tab w:val="right" w:leader="dot" w:pos="6804"/>
        </w:tabs>
        <w:spacing w:before="80"/>
        <w:ind w:left="1559" w:right="1985" w:hanging="1559"/>
      </w:pPr>
      <w:r>
        <w:tab/>
        <w:t>(c)</w:t>
      </w:r>
      <w:r>
        <w:tab/>
        <w:t>is not covered by item 5, 6 or 7,</w:t>
      </w:r>
    </w:p>
    <w:p>
      <w:pPr>
        <w:pStyle w:val="yMiscellaneousBody"/>
        <w:tabs>
          <w:tab w:val="left" w:pos="284"/>
          <w:tab w:val="right" w:leader="dot" w:pos="6804"/>
        </w:tabs>
        <w:ind w:left="879" w:right="1983" w:hanging="879"/>
      </w:pPr>
      <w:r>
        <w:tab/>
      </w:r>
      <w:r>
        <w:tab/>
        <w:t>the charge is the charge set out in the Table in item 2, according to the relevant meter size.</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MiscellaneousBody"/>
        <w:tabs>
          <w:tab w:val="left" w:pos="284"/>
          <w:tab w:val="right" w:leader="dot" w:pos="6804"/>
        </w:tabs>
        <w:ind w:left="879" w:right="1983" w:hanging="879"/>
      </w:pPr>
      <w:r>
        <w:tab/>
        <w:t>(3)</w:t>
      </w:r>
      <w:r>
        <w:tab/>
      </w:r>
      <w:r>
        <w:rPr>
          <w:szCs w:val="22"/>
        </w:rPr>
        <w:t>If land covered by sub</w:t>
      </w:r>
      <w:r>
        <w:rPr>
          <w:szCs w:val="22"/>
        </w:rPr>
        <w:noBreakHyphen/>
        <w:t xml:space="preserve">item (1) is </w:t>
      </w:r>
      <w:r>
        <w:t>connected to the water supply works of the Water Corporation but not metered, the charge is to be calculated as if the connection were metered through a meter of the same diameter as the pipe with which the connection is made.</w:t>
      </w:r>
    </w:p>
    <w:p>
      <w:pPr>
        <w:pStyle w:val="yMiscellaneousBody"/>
        <w:tabs>
          <w:tab w:val="left" w:pos="284"/>
          <w:tab w:val="right" w:leader="dot" w:pos="6804"/>
        </w:tabs>
        <w:ind w:left="879" w:right="1983" w:hanging="879"/>
      </w:pPr>
      <w:r>
        <w:tab/>
        <w:t>(4)</w:t>
      </w:r>
      <w:r>
        <w:tab/>
      </w:r>
      <w:r>
        <w:rPr>
          <w:szCs w:val="22"/>
        </w:rPr>
        <w:t>If land covered by sub</w:t>
      </w:r>
      <w:r>
        <w:rPr>
          <w:szCs w:val="22"/>
        </w:rPr>
        <w:noBreakHyphen/>
        <w:t xml:space="preserve">item (1) is </w:t>
      </w:r>
      <w:r>
        <w:t>not connected to the water supply works of the Water Corporation, the charge is to be calculated as if the land were connected and the connection metered through a 20 mm meter.</w:t>
      </w:r>
    </w:p>
    <w:p>
      <w:pPr>
        <w:pStyle w:val="yHeading5"/>
      </w:pPr>
      <w:bookmarkStart w:id="126" w:name="_Toc398816492"/>
      <w:r>
        <w:rPr>
          <w:rStyle w:val="CharSClsNo"/>
        </w:rPr>
        <w:t>12</w:t>
      </w:r>
      <w:r>
        <w:t>.</w:t>
      </w:r>
      <w:r>
        <w:tab/>
        <w:t>Additional connections</w:t>
      </w:r>
      <w:bookmarkEnd w:id="126"/>
    </w:p>
    <w:p>
      <w:pPr>
        <w:pStyle w:val="yMiscellaneousBody"/>
        <w:tabs>
          <w:tab w:val="left" w:pos="284"/>
          <w:tab w:val="right" w:leader="dot" w:pos="6804"/>
        </w:tabs>
        <w:ind w:left="879" w:right="1983" w:hanging="879"/>
      </w:pPr>
      <w:r>
        <w:tab/>
        <w:t>(1)</w:t>
      </w:r>
      <w:r>
        <w:tab/>
      </w:r>
      <w:r>
        <w:rPr>
          <w:szCs w:val="22"/>
        </w:rPr>
        <w:t>In respect of land supplied water through more than one water supply connection, the charge, for each additional connection, is —</w:t>
      </w:r>
    </w:p>
    <w:p>
      <w:pPr>
        <w:pStyle w:val="yMiscellaneousBody"/>
        <w:tabs>
          <w:tab w:val="left" w:pos="1134"/>
          <w:tab w:val="left" w:pos="1560"/>
          <w:tab w:val="right" w:leader="dot" w:pos="6804"/>
        </w:tabs>
        <w:spacing w:before="80"/>
        <w:ind w:left="1559" w:right="1985" w:hanging="1559"/>
      </w:pPr>
      <w:r>
        <w:tab/>
        <w:t>(a)</w:t>
      </w:r>
      <w:r>
        <w:tab/>
        <w:t>for land that is classified as non</w:t>
      </w:r>
      <w:r>
        <w:noBreakHyphen/>
        <w:t>residential or commercial residential, the charge set out in the Table in item 2, according to the relevant meter size; and</w:t>
      </w:r>
    </w:p>
    <w:p>
      <w:pPr>
        <w:pStyle w:val="yMiscellaneousBody"/>
        <w:tabs>
          <w:tab w:val="left" w:pos="1134"/>
          <w:tab w:val="left" w:pos="1560"/>
          <w:tab w:val="right" w:leader="dot" w:pos="6804"/>
        </w:tabs>
        <w:spacing w:before="80"/>
        <w:ind w:left="1559" w:right="1985" w:hanging="1559"/>
      </w:pPr>
      <w:r>
        <w:tab/>
        <w:t>(b)</w:t>
      </w:r>
      <w:r>
        <w:tab/>
        <w:t xml:space="preserve">for land to which paragraph (a) does not apply </w:t>
      </w:r>
      <w:r>
        <w:tab/>
        <w:t xml:space="preserve"> $218.05</w:t>
      </w:r>
    </w:p>
    <w:p>
      <w:pPr>
        <w:pStyle w:val="yMiscellaneousBody"/>
        <w:tabs>
          <w:tab w:val="left" w:pos="284"/>
          <w:tab w:val="right" w:leader="dot" w:pos="6804"/>
        </w:tabs>
        <w:ind w:left="879" w:right="1983" w:hanging="879"/>
      </w:pPr>
      <w:r>
        <w:tab/>
        <w:t>(2)</w:t>
      </w:r>
      <w:r>
        <w:tab/>
      </w:r>
      <w:r>
        <w:rPr>
          <w:szCs w:val="22"/>
        </w:rPr>
        <w:t>Sub</w:t>
      </w:r>
      <w:r>
        <w:rPr>
          <w:szCs w:val="22"/>
        </w:rPr>
        <w:noBreakHyphen/>
        <w:t>item (1) does not apply to —</w:t>
      </w:r>
    </w:p>
    <w:p>
      <w:pPr>
        <w:pStyle w:val="yMiscellaneousBody"/>
        <w:tabs>
          <w:tab w:val="left" w:pos="1134"/>
          <w:tab w:val="left" w:pos="1560"/>
          <w:tab w:val="right" w:leader="dot" w:pos="6804"/>
        </w:tabs>
        <w:spacing w:before="80"/>
        <w:ind w:left="1559" w:right="1985" w:hanging="1559"/>
      </w:pPr>
      <w:r>
        <w:tab/>
        <w:t>(a)</w:t>
      </w:r>
      <w:r>
        <w:tab/>
        <w:t>land covered by item 4 or 10; and</w:t>
      </w:r>
    </w:p>
    <w:p>
      <w:pPr>
        <w:pStyle w:val="yMiscellaneousBody"/>
        <w:tabs>
          <w:tab w:val="left" w:pos="1134"/>
          <w:tab w:val="left" w:pos="1560"/>
          <w:tab w:val="right" w:leader="dot" w:pos="6804"/>
        </w:tabs>
        <w:spacing w:before="80"/>
        <w:ind w:left="1559" w:right="1985" w:hanging="1559"/>
      </w:pPr>
      <w:r>
        <w:tab/>
        <w:t>(b)</w:t>
      </w:r>
      <w:r>
        <w:tab/>
        <w:t>a connection for a water supply covered by item 15; and</w:t>
      </w:r>
    </w:p>
    <w:p>
      <w:pPr>
        <w:pStyle w:val="yMiscellaneousBody"/>
        <w:tabs>
          <w:tab w:val="left" w:pos="1134"/>
          <w:tab w:val="left" w:pos="1560"/>
          <w:tab w:val="right" w:leader="dot" w:pos="6804"/>
        </w:tabs>
        <w:spacing w:before="80"/>
        <w:ind w:left="1559" w:right="1985" w:hanging="1559"/>
      </w:pPr>
      <w:r>
        <w:tab/>
        <w:t>(c)</w:t>
      </w:r>
      <w:r>
        <w:tab/>
        <w:t>a connection covered by item 22.</w:t>
      </w:r>
    </w:p>
    <w:p>
      <w:pPr>
        <w:pStyle w:val="yMiscellaneousBody"/>
        <w:tabs>
          <w:tab w:val="left" w:pos="284"/>
          <w:tab w:val="right" w:leader="dot" w:pos="6804"/>
        </w:tabs>
        <w:ind w:left="879" w:right="1983" w:hanging="879"/>
      </w:pPr>
      <w:r>
        <w:tab/>
        <w:t>(3)</w:t>
      </w:r>
      <w:r>
        <w:tab/>
      </w:r>
      <w:r>
        <w:rPr>
          <w:szCs w:val="22"/>
        </w:rPr>
        <w:t>The charge under sub</w:t>
      </w:r>
      <w:r>
        <w:rPr>
          <w:szCs w:val="22"/>
        </w:rPr>
        <w:noBreakHyphen/>
        <w:t>item (1) is in addition to any other charge applicable to the land under this Schedule</w:t>
      </w:r>
      <w:r>
        <w:t>.</w:t>
      </w:r>
    </w:p>
    <w:p>
      <w:pPr>
        <w:pStyle w:val="yMiscellaneousBody"/>
        <w:tabs>
          <w:tab w:val="left" w:pos="284"/>
          <w:tab w:val="right" w:leader="dot" w:pos="6804"/>
        </w:tabs>
        <w:ind w:left="879" w:right="1983" w:hanging="879"/>
      </w:pPr>
      <w:r>
        <w:tab/>
        <w:t>(4)</w:t>
      </w:r>
      <w:r>
        <w:tab/>
      </w:r>
      <w:r>
        <w:rPr>
          <w:szCs w:val="22"/>
        </w:rPr>
        <w:t>If a connection to which sub</w:t>
      </w:r>
      <w:r>
        <w:rPr>
          <w:szCs w:val="22"/>
        </w:rPr>
        <w:noBreakHyphen/>
        <w:t xml:space="preserve">item (1)(a) applies is </w:t>
      </w:r>
      <w:r>
        <w:t>not metered, the charge is to be calculated as if the connection were metered through a meter of a size equal to the diameter of the pipe making the connection.</w:t>
      </w:r>
    </w:p>
    <w:p>
      <w:pPr>
        <w:pStyle w:val="yHeading5"/>
      </w:pPr>
      <w:bookmarkStart w:id="127" w:name="_Toc398816493"/>
      <w:r>
        <w:rPr>
          <w:rStyle w:val="CharSClsNo"/>
        </w:rPr>
        <w:t>13</w:t>
      </w:r>
      <w:r>
        <w:t>.</w:t>
      </w:r>
      <w:r>
        <w:tab/>
        <w:t>Farmland</w:t>
      </w:r>
      <w:bookmarkEnd w:id="127"/>
    </w:p>
    <w:p>
      <w:pPr>
        <w:pStyle w:val="yMiscellaneousBody"/>
        <w:tabs>
          <w:tab w:val="left" w:pos="284"/>
          <w:tab w:val="right" w:leader="dot" w:pos="6804"/>
        </w:tabs>
        <w:ind w:left="879" w:right="1983" w:hanging="879"/>
      </w:pPr>
      <w:r>
        <w:rPr>
          <w:szCs w:val="22"/>
        </w:rPr>
        <w:tab/>
      </w:r>
      <w:r>
        <w:rPr>
          <w:szCs w:val="22"/>
        </w:rPr>
        <w:tab/>
        <w:t xml:space="preserve">In respect of land that is classified as farmland, the charge is </w:t>
      </w:r>
      <w:r>
        <w:rPr>
          <w:szCs w:val="22"/>
        </w:rPr>
        <w:tab/>
        <w:t xml:space="preserve"> </w:t>
      </w:r>
      <w:r>
        <w:t>$218.05</w:t>
      </w:r>
    </w:p>
    <w:p>
      <w:pPr>
        <w:pStyle w:val="yHeading5"/>
      </w:pPr>
      <w:bookmarkStart w:id="128" w:name="_Toc398816494"/>
      <w:r>
        <w:rPr>
          <w:rStyle w:val="CharSClsNo"/>
        </w:rPr>
        <w:t>14</w:t>
      </w:r>
      <w:r>
        <w:t>.</w:t>
      </w:r>
      <w:r>
        <w:tab/>
        <w:t>Vacant land</w:t>
      </w:r>
      <w:bookmarkEnd w:id="128"/>
    </w:p>
    <w:p>
      <w:pPr>
        <w:pStyle w:val="yMiscellaneousBody"/>
        <w:tabs>
          <w:tab w:val="left" w:pos="284"/>
          <w:tab w:val="right" w:leader="dot" w:pos="6804"/>
        </w:tabs>
        <w:ind w:left="879" w:right="1983" w:hanging="879"/>
      </w:pPr>
      <w:r>
        <w:rPr>
          <w:szCs w:val="22"/>
        </w:rPr>
        <w:tab/>
      </w:r>
      <w:r>
        <w:rPr>
          <w:szCs w:val="22"/>
        </w:rPr>
        <w:tab/>
        <w:t xml:space="preserve">In respect of land that is classified as vacant land, the charge is </w:t>
      </w:r>
      <w:r>
        <w:rPr>
          <w:szCs w:val="22"/>
        </w:rPr>
        <w:tab/>
        <w:t xml:space="preserve"> $</w:t>
      </w:r>
      <w:r>
        <w:t>218.05</w:t>
      </w:r>
    </w:p>
    <w:p>
      <w:pPr>
        <w:pStyle w:val="yHeading5"/>
      </w:pPr>
      <w:bookmarkStart w:id="129" w:name="_Toc398816495"/>
      <w:r>
        <w:rPr>
          <w:rStyle w:val="CharSClsNo"/>
        </w:rPr>
        <w:t>15</w:t>
      </w:r>
      <w:r>
        <w:t>.</w:t>
      </w:r>
      <w:r>
        <w:tab/>
        <w:t>Garden supply</w:t>
      </w:r>
      <w:bookmarkEnd w:id="129"/>
    </w:p>
    <w:p>
      <w:pPr>
        <w:pStyle w:val="yMiscellaneousBody"/>
        <w:tabs>
          <w:tab w:val="left" w:pos="284"/>
          <w:tab w:val="right" w:leader="dot" w:pos="6804"/>
        </w:tabs>
        <w:spacing w:before="120"/>
        <w:ind w:left="879" w:right="1985" w:hanging="879"/>
      </w:pPr>
      <w:r>
        <w:tab/>
        <w:t>(1)</w:t>
      </w:r>
      <w:r>
        <w:tab/>
        <w:t>In this item —</w:t>
      </w:r>
    </w:p>
    <w:p>
      <w:pPr>
        <w:pStyle w:val="yMiscellaneousBody"/>
        <w:spacing w:before="120"/>
        <w:ind w:left="1134" w:right="1985" w:hanging="1134"/>
      </w:pPr>
      <w:r>
        <w:tab/>
      </w:r>
      <w:r>
        <w:rPr>
          <w:rStyle w:val="CharDefText"/>
        </w:rPr>
        <w:t>garden use</w:t>
      </w:r>
      <w:r>
        <w:t>, in relation to the supply of water, means the use of water for watering lawns and gardens in the area associated with a dwelling and in a street or road adjoining the land on which the dwelling is located.</w:t>
      </w:r>
    </w:p>
    <w:p>
      <w:pPr>
        <w:pStyle w:val="yMiscellaneousBody"/>
        <w:tabs>
          <w:tab w:val="left" w:pos="284"/>
          <w:tab w:val="right" w:leader="dot" w:pos="6804"/>
        </w:tabs>
        <w:spacing w:before="120"/>
        <w:ind w:left="879" w:right="1985" w:hanging="879"/>
      </w:pPr>
      <w:r>
        <w:tab/>
        <w:t>(2)</w:t>
      </w:r>
      <w:r>
        <w:tab/>
        <w:t>Sub</w:t>
      </w:r>
      <w:r>
        <w:noBreakHyphen/>
        <w:t>item (3) applies to land in the suburb of Butler (in the metropolitan area) that is provided with a water supply solely for garden use and reticulated separately from any other water supply provided in respect of the land.</w:t>
      </w:r>
    </w:p>
    <w:p>
      <w:pPr>
        <w:pStyle w:val="yMiscellaneousBody"/>
        <w:tabs>
          <w:tab w:val="left" w:pos="284"/>
          <w:tab w:val="right" w:leader="dot" w:pos="6804"/>
        </w:tabs>
        <w:spacing w:before="120"/>
        <w:ind w:left="879" w:right="1985" w:hanging="879"/>
      </w:pPr>
      <w:r>
        <w:tab/>
        <w:t>(3)</w:t>
      </w:r>
      <w:r>
        <w:tab/>
        <w:t xml:space="preserve">In respect of — </w:t>
      </w:r>
    </w:p>
    <w:p>
      <w:pPr>
        <w:pStyle w:val="yMiscellaneousBody"/>
        <w:tabs>
          <w:tab w:val="left" w:pos="1134"/>
          <w:tab w:val="left" w:pos="1560"/>
          <w:tab w:val="right" w:leader="dot" w:pos="6804"/>
        </w:tabs>
        <w:spacing w:before="80"/>
        <w:ind w:left="1559" w:right="1985" w:hanging="1559"/>
      </w:pPr>
      <w:r>
        <w:tab/>
        <w:t>(a)</w:t>
      </w:r>
      <w:r>
        <w:tab/>
        <w:t>each residential property that is not covered by item 4, 5, 8, 9 or 10; and</w:t>
      </w:r>
    </w:p>
    <w:p>
      <w:pPr>
        <w:pStyle w:val="yMiscellaneousBody"/>
        <w:tabs>
          <w:tab w:val="left" w:pos="1134"/>
          <w:tab w:val="left" w:pos="1560"/>
          <w:tab w:val="right" w:leader="dot" w:pos="6804"/>
        </w:tabs>
        <w:spacing w:before="80"/>
        <w:ind w:left="1559" w:right="1985" w:hanging="1559"/>
      </w:pPr>
      <w:r>
        <w:tab/>
        <w:t>(b)</w:t>
      </w:r>
      <w:r>
        <w:tab/>
        <w:t>land that is classified as vacant land,</w:t>
      </w:r>
    </w:p>
    <w:p>
      <w:pPr>
        <w:pStyle w:val="yMiscellaneousBody"/>
        <w:tabs>
          <w:tab w:val="left" w:pos="284"/>
          <w:tab w:val="right" w:leader="dot" w:pos="6804"/>
        </w:tabs>
        <w:spacing w:before="120"/>
        <w:ind w:left="879" w:right="1985" w:hanging="879"/>
      </w:pPr>
      <w:r>
        <w:tab/>
      </w:r>
      <w:r>
        <w:tab/>
        <w:t xml:space="preserve">the charge, which is in addition to any other charge applicable to the land under this Schedule, is — </w:t>
      </w:r>
    </w:p>
    <w:p>
      <w:pPr>
        <w:pStyle w:val="yMiscellaneousBody"/>
        <w:tabs>
          <w:tab w:val="left" w:pos="1134"/>
          <w:tab w:val="left" w:pos="1560"/>
          <w:tab w:val="right" w:leader="dot" w:pos="6804"/>
        </w:tabs>
        <w:spacing w:before="80"/>
        <w:ind w:left="1559" w:right="1985" w:hanging="1559"/>
      </w:pPr>
      <w:r>
        <w:tab/>
        <w:t>for land with an area of less than 400 m</w:t>
      </w:r>
      <w:r>
        <w:rPr>
          <w:vertAlign w:val="superscript"/>
        </w:rPr>
        <w:t>2</w:t>
      </w:r>
      <w:r>
        <w:t xml:space="preserve"> </w:t>
      </w:r>
      <w:r>
        <w:tab/>
        <w:t xml:space="preserve"> $77.44</w:t>
      </w:r>
    </w:p>
    <w:p>
      <w:pPr>
        <w:pStyle w:val="yMiscellaneousBody"/>
        <w:tabs>
          <w:tab w:val="left" w:pos="1134"/>
          <w:tab w:val="right" w:leader="dot" w:pos="6804"/>
        </w:tabs>
        <w:spacing w:before="80"/>
        <w:ind w:left="1134" w:right="1985" w:hanging="1134"/>
      </w:pPr>
      <w:r>
        <w:tab/>
        <w:t>for land with an area equal to or greater than 400 m</w:t>
      </w:r>
      <w:r>
        <w:rPr>
          <w:vertAlign w:val="superscript"/>
        </w:rPr>
        <w:t>2</w:t>
      </w:r>
      <w:r>
        <w:t xml:space="preserve"> </w:t>
      </w:r>
      <w:r>
        <w:tab/>
        <w:t xml:space="preserve"> $154.88</w:t>
      </w:r>
    </w:p>
    <w:p>
      <w:pPr>
        <w:pStyle w:val="yMiscellaneousBody"/>
        <w:tabs>
          <w:tab w:val="left" w:pos="284"/>
          <w:tab w:val="right" w:leader="dot" w:pos="6804"/>
        </w:tabs>
        <w:spacing w:before="120"/>
        <w:ind w:left="879" w:right="1985" w:hanging="879"/>
      </w:pPr>
      <w:r>
        <w:tab/>
        <w:t>(4)</w:t>
      </w:r>
      <w:r>
        <w:tab/>
        <w:t>Sub</w:t>
      </w:r>
      <w:r>
        <w:noBreakHyphen/>
        <w:t>item (5) applies to land in the suburb of Mulataga (in Karratha) that is provided with a water supply solely for garden use and reticulated separately from any other water supply provided in respect of the land.</w:t>
      </w:r>
    </w:p>
    <w:p>
      <w:pPr>
        <w:pStyle w:val="yMiscellaneousBody"/>
        <w:tabs>
          <w:tab w:val="left" w:pos="284"/>
          <w:tab w:val="right" w:leader="dot" w:pos="6804"/>
        </w:tabs>
        <w:spacing w:before="120"/>
        <w:ind w:left="879" w:right="1985" w:hanging="879"/>
      </w:pPr>
      <w:r>
        <w:tab/>
        <w:t>(5)</w:t>
      </w:r>
      <w:r>
        <w:tab/>
        <w:t xml:space="preserve">In respect of — </w:t>
      </w:r>
    </w:p>
    <w:p>
      <w:pPr>
        <w:pStyle w:val="yMiscellaneousBody"/>
        <w:tabs>
          <w:tab w:val="left" w:pos="1134"/>
          <w:tab w:val="left" w:pos="1560"/>
          <w:tab w:val="right" w:leader="dot" w:pos="6804"/>
        </w:tabs>
        <w:spacing w:before="80"/>
        <w:ind w:left="1559" w:right="1985" w:hanging="1559"/>
      </w:pPr>
      <w:r>
        <w:tab/>
        <w:t>(a)</w:t>
      </w:r>
      <w:r>
        <w:tab/>
        <w:t>each residential property that is not covered by item 4, 5, 8, 9 or 10; and</w:t>
      </w:r>
    </w:p>
    <w:p>
      <w:pPr>
        <w:pStyle w:val="yMiscellaneousBody"/>
        <w:tabs>
          <w:tab w:val="left" w:pos="1134"/>
          <w:tab w:val="left" w:pos="1560"/>
          <w:tab w:val="right" w:leader="dot" w:pos="6804"/>
        </w:tabs>
        <w:spacing w:before="80"/>
        <w:ind w:left="1559" w:right="1985" w:hanging="1559"/>
      </w:pPr>
      <w:r>
        <w:tab/>
        <w:t>(b)</w:t>
      </w:r>
      <w:r>
        <w:tab/>
        <w:t>land that is classified as vacant land,</w:t>
      </w:r>
    </w:p>
    <w:p>
      <w:pPr>
        <w:pStyle w:val="yMiscellaneousBody"/>
        <w:tabs>
          <w:tab w:val="left" w:pos="284"/>
          <w:tab w:val="right" w:leader="dot" w:pos="6804"/>
        </w:tabs>
        <w:spacing w:before="120"/>
        <w:ind w:left="879" w:right="1985" w:hanging="879"/>
      </w:pPr>
      <w:r>
        <w:tab/>
      </w:r>
      <w:r>
        <w:tab/>
        <w:t xml:space="preserve">the charge, which is in addition to any other charge applicable to the land under this Schedule, is </w:t>
      </w:r>
      <w:r>
        <w:tab/>
        <w:t xml:space="preserve"> $50.00</w:t>
      </w:r>
    </w:p>
    <w:p>
      <w:pPr>
        <w:pStyle w:val="yHeading5"/>
        <w:rPr>
          <w:b w:val="0"/>
        </w:rPr>
      </w:pPr>
      <w:bookmarkStart w:id="130" w:name="_Toc398816496"/>
      <w:r>
        <w:rPr>
          <w:rStyle w:val="CharSClsNo"/>
        </w:rPr>
        <w:t>16</w:t>
      </w:r>
      <w:r>
        <w:t>.</w:t>
      </w:r>
      <w:r>
        <w:tab/>
        <w:t>Government trading organisations and non</w:t>
      </w:r>
      <w:r>
        <w:noBreakHyphen/>
        <w:t>commercial government property</w:t>
      </w:r>
      <w:bookmarkEnd w:id="130"/>
    </w:p>
    <w:p>
      <w:pPr>
        <w:pStyle w:val="yMiscellaneousBody"/>
        <w:tabs>
          <w:tab w:val="left" w:pos="284"/>
          <w:tab w:val="right" w:leader="dot" w:pos="6804"/>
        </w:tabs>
        <w:spacing w:before="120"/>
        <w:ind w:left="879" w:right="1985" w:hanging="879"/>
        <w:rPr>
          <w:szCs w:val="22"/>
        </w:rPr>
      </w:pPr>
      <w:r>
        <w:tab/>
        <w:t>(1)</w:t>
      </w:r>
      <w:r>
        <w:tab/>
      </w:r>
      <w:r>
        <w:rPr>
          <w:szCs w:val="22"/>
        </w:rPr>
        <w:t>This item applies to land held by a government trading organisation, or a public authority that holds non</w:t>
      </w:r>
      <w:r>
        <w:rPr>
          <w:szCs w:val="22"/>
        </w:rPr>
        <w:noBreakHyphen/>
        <w:t>commercial government property, in respect of which a water service charge set out in item </w:t>
      </w:r>
      <w:r>
        <w:t>4 or 10</w:t>
      </w:r>
      <w:r>
        <w:rPr>
          <w:szCs w:val="22"/>
        </w:rPr>
        <w:t xml:space="preserve"> would, but for this item, apply.</w:t>
      </w:r>
    </w:p>
    <w:p>
      <w:pPr>
        <w:pStyle w:val="yMiscellaneousBody"/>
        <w:tabs>
          <w:tab w:val="left" w:pos="284"/>
          <w:tab w:val="right" w:leader="dot" w:pos="6804"/>
        </w:tabs>
        <w:spacing w:before="120"/>
        <w:ind w:left="879" w:right="1985" w:hanging="879"/>
        <w:rPr>
          <w:szCs w:val="22"/>
        </w:rPr>
      </w:pPr>
      <w:r>
        <w:tab/>
        <w:t>(2)</w:t>
      </w:r>
      <w:r>
        <w:tab/>
      </w:r>
      <w:r>
        <w:rPr>
          <w:szCs w:val="22"/>
        </w:rPr>
        <w:t>This item does not apply to public land.</w:t>
      </w:r>
    </w:p>
    <w:p>
      <w:pPr>
        <w:pStyle w:val="yMiscellaneousBody"/>
        <w:tabs>
          <w:tab w:val="left" w:pos="284"/>
          <w:tab w:val="right" w:leader="dot" w:pos="6804"/>
        </w:tabs>
        <w:spacing w:before="120"/>
        <w:ind w:left="879" w:right="1985" w:hanging="879"/>
        <w:rPr>
          <w:szCs w:val="22"/>
        </w:rPr>
      </w:pPr>
      <w:r>
        <w:rPr>
          <w:szCs w:val="22"/>
        </w:rPr>
        <w:tab/>
        <w:t>(3)</w:t>
      </w:r>
      <w:r>
        <w:rPr>
          <w:szCs w:val="22"/>
        </w:rPr>
        <w:tab/>
        <w:t xml:space="preserve">In respect of land to which this item applies — </w:t>
      </w:r>
    </w:p>
    <w:p>
      <w:pPr>
        <w:pStyle w:val="yMiscellaneousBody"/>
        <w:tabs>
          <w:tab w:val="left" w:pos="1134"/>
          <w:tab w:val="left" w:pos="1560"/>
          <w:tab w:val="right" w:leader="dot" w:pos="6804"/>
        </w:tabs>
        <w:spacing w:before="80"/>
        <w:ind w:left="1559" w:right="1985" w:hanging="1559"/>
      </w:pPr>
      <w:r>
        <w:tab/>
        <w:t>(a)</w:t>
      </w:r>
      <w:r>
        <w:tab/>
        <w:t>the charge referred to in sub</w:t>
      </w:r>
      <w:r>
        <w:noBreakHyphen/>
        <w:t>item (1) that would otherwise apply, does not; and</w:t>
      </w:r>
    </w:p>
    <w:p>
      <w:pPr>
        <w:pStyle w:val="yMiscellaneousBody"/>
        <w:tabs>
          <w:tab w:val="left" w:pos="1134"/>
          <w:tab w:val="left" w:pos="1560"/>
          <w:tab w:val="right" w:leader="dot" w:pos="6804"/>
        </w:tabs>
        <w:spacing w:before="80"/>
        <w:ind w:left="1559" w:right="1985" w:hanging="1559"/>
      </w:pPr>
      <w:r>
        <w:tab/>
        <w:t>(b)</w:t>
      </w:r>
      <w:r>
        <w:tab/>
        <w:t>the charge, per water supply connection, is the charge set out in the Table in item 2 according to the relevant meter size.</w:t>
      </w:r>
    </w:p>
    <w:p>
      <w:pPr>
        <w:pStyle w:val="yMiscellaneousBody"/>
        <w:tabs>
          <w:tab w:val="left" w:pos="284"/>
          <w:tab w:val="right" w:leader="dot" w:pos="6804"/>
        </w:tabs>
        <w:spacing w:before="120"/>
        <w:ind w:left="879" w:right="1985" w:hanging="879"/>
        <w:rPr>
          <w:szCs w:val="22"/>
        </w:rPr>
      </w:pPr>
      <w:r>
        <w:tab/>
        <w:t>(4)</w:t>
      </w:r>
      <w:r>
        <w:tab/>
      </w:r>
      <w:r>
        <w:rPr>
          <w:szCs w:val="22"/>
        </w:rPr>
        <w:t>If a connection to which sub</w:t>
      </w:r>
      <w:r>
        <w:rPr>
          <w:szCs w:val="22"/>
        </w:rPr>
        <w:noBreakHyphen/>
        <w:t xml:space="preserve">item (3)(b) applies is </w:t>
      </w:r>
      <w:r>
        <w:t>not metered, the charge is to be calculated as if the connection were metered through a 20 mm meter.</w:t>
      </w:r>
    </w:p>
    <w:p>
      <w:pPr>
        <w:pStyle w:val="yHeading5"/>
      </w:pPr>
      <w:bookmarkStart w:id="131" w:name="_Toc398816497"/>
      <w:r>
        <w:rPr>
          <w:rStyle w:val="CharSClsNo"/>
        </w:rPr>
        <w:t>17</w:t>
      </w:r>
      <w:r>
        <w:t>.</w:t>
      </w:r>
      <w:r>
        <w:tab/>
        <w:t>Government trading organisations and non</w:t>
      </w:r>
      <w:r>
        <w:noBreakHyphen/>
        <w:t>commercial government property: on</w:t>
      </w:r>
      <w:r>
        <w:noBreakHyphen/>
        <w:t>supply to lessees or ships</w:t>
      </w:r>
      <w:bookmarkEnd w:id="131"/>
    </w:p>
    <w:p>
      <w:pPr>
        <w:pStyle w:val="yMiscellaneousBody"/>
        <w:tabs>
          <w:tab w:val="left" w:pos="284"/>
          <w:tab w:val="right" w:leader="dot" w:pos="6804"/>
        </w:tabs>
        <w:spacing w:before="120"/>
        <w:ind w:left="879" w:right="1985" w:hanging="879"/>
      </w:pPr>
      <w:r>
        <w:tab/>
        <w:t>(1)</w:t>
      </w:r>
      <w:r>
        <w:tab/>
      </w:r>
      <w:r>
        <w:rPr>
          <w:szCs w:val="22"/>
        </w:rPr>
        <w:t>This item applies to land held by a government trading organisation, or a public authority that holds non</w:t>
      </w:r>
      <w:r>
        <w:rPr>
          <w:szCs w:val="22"/>
        </w:rPr>
        <w:noBreakHyphen/>
        <w:t xml:space="preserve">commercial government property, </w:t>
      </w:r>
      <w:r>
        <w:t>if —</w:t>
      </w:r>
    </w:p>
    <w:p>
      <w:pPr>
        <w:pStyle w:val="yMiscellaneousBody"/>
        <w:tabs>
          <w:tab w:val="left" w:pos="1134"/>
          <w:tab w:val="left" w:pos="1560"/>
          <w:tab w:val="right" w:leader="dot" w:pos="6804"/>
        </w:tabs>
        <w:spacing w:before="80"/>
        <w:ind w:left="1559" w:right="1985" w:hanging="1559"/>
      </w:pPr>
      <w:r>
        <w:tab/>
        <w:t>(a)</w:t>
      </w:r>
      <w:r>
        <w:tab/>
      </w:r>
      <w:r>
        <w:rPr>
          <w:szCs w:val="22"/>
        </w:rPr>
        <w:t>the land is connected to the water supply works of the Water Corporation</w:t>
      </w:r>
      <w:r>
        <w:t>; and</w:t>
      </w:r>
    </w:p>
    <w:p>
      <w:pPr>
        <w:pStyle w:val="yMiscellaneousBody"/>
        <w:tabs>
          <w:tab w:val="left" w:pos="1134"/>
          <w:tab w:val="left" w:pos="1560"/>
          <w:tab w:val="right" w:leader="dot" w:pos="6804"/>
        </w:tabs>
        <w:spacing w:before="80"/>
        <w:ind w:left="1559" w:right="1985" w:hanging="1559"/>
      </w:pPr>
      <w:r>
        <w:tab/>
        <w:t>(b)</w:t>
      </w:r>
      <w:r>
        <w:tab/>
      </w:r>
      <w:r>
        <w:rPr>
          <w:szCs w:val="22"/>
        </w:rPr>
        <w:t>a meter is connected to the property water supply connection with which the Water Corporation supplies water to the land</w:t>
      </w:r>
      <w:r>
        <w:t>; and</w:t>
      </w:r>
    </w:p>
    <w:p>
      <w:pPr>
        <w:pStyle w:val="yMiscellaneousBody"/>
        <w:tabs>
          <w:tab w:val="left" w:pos="1134"/>
          <w:tab w:val="left" w:pos="1560"/>
          <w:tab w:val="right" w:leader="dot" w:pos="6804"/>
        </w:tabs>
        <w:spacing w:before="80"/>
        <w:ind w:left="1559" w:right="1985" w:hanging="1559"/>
      </w:pPr>
      <w:r>
        <w:tab/>
        <w:t>(c)</w:t>
      </w:r>
      <w:r>
        <w:tab/>
        <w:t>at least some of the water supplied through the meter referred to in paragraph (b) is supplied, through a meter, to one or more lessees of any of the land or to ships in port.</w:t>
      </w:r>
    </w:p>
    <w:p>
      <w:pPr>
        <w:pStyle w:val="yMiscellaneousBody"/>
        <w:tabs>
          <w:tab w:val="left" w:pos="284"/>
          <w:tab w:val="right" w:leader="dot" w:pos="6804"/>
        </w:tabs>
        <w:spacing w:before="120"/>
        <w:ind w:left="879" w:right="1985" w:hanging="879"/>
        <w:rPr>
          <w:szCs w:val="22"/>
        </w:rPr>
      </w:pPr>
      <w:r>
        <w:tab/>
        <w:t>(2)</w:t>
      </w:r>
      <w:r>
        <w:tab/>
      </w:r>
      <w:r>
        <w:rPr>
          <w:szCs w:val="22"/>
        </w:rPr>
        <w:t>In respect of land to which this item applies, the charge for the supply of water referred to in sub</w:t>
      </w:r>
      <w:r>
        <w:rPr>
          <w:szCs w:val="22"/>
        </w:rPr>
        <w:noBreakHyphen/>
        <w:t xml:space="preserve">item (1)(b) is reduced by the charge </w:t>
      </w:r>
      <w:r>
        <w:t xml:space="preserve">set out in the Table in item 2 </w:t>
      </w:r>
      <w:r>
        <w:rPr>
          <w:szCs w:val="22"/>
        </w:rPr>
        <w:t>for a meter of the size that would be required to supply, in aggregate, water as described in sub</w:t>
      </w:r>
      <w:r>
        <w:rPr>
          <w:szCs w:val="22"/>
        </w:rPr>
        <w:noBreakHyphen/>
        <w:t>item (1)(c).</w:t>
      </w:r>
    </w:p>
    <w:p>
      <w:pPr>
        <w:pStyle w:val="yMiscellaneousBody"/>
        <w:tabs>
          <w:tab w:val="left" w:pos="284"/>
          <w:tab w:val="right" w:leader="dot" w:pos="6804"/>
        </w:tabs>
        <w:spacing w:before="120"/>
        <w:ind w:left="879" w:right="1985" w:hanging="879"/>
        <w:rPr>
          <w:szCs w:val="22"/>
        </w:rPr>
      </w:pPr>
      <w:r>
        <w:rPr>
          <w:szCs w:val="22"/>
        </w:rPr>
        <w:tab/>
        <w:t>(3)</w:t>
      </w:r>
      <w:r>
        <w:rPr>
          <w:szCs w:val="22"/>
        </w:rPr>
        <w:tab/>
        <w:t xml:space="preserve">This item does not apply if the meter </w:t>
      </w:r>
      <w:r>
        <w:t>referred to in sub</w:t>
      </w:r>
      <w:r>
        <w:noBreakHyphen/>
        <w:t xml:space="preserve">item (1)(b) </w:t>
      </w:r>
      <w:r>
        <w:rPr>
          <w:szCs w:val="22"/>
        </w:rPr>
        <w:t xml:space="preserve">would be the same size whether or not </w:t>
      </w:r>
      <w:r>
        <w:t xml:space="preserve">the organisation or authority </w:t>
      </w:r>
      <w:r>
        <w:rPr>
          <w:szCs w:val="22"/>
        </w:rPr>
        <w:t>supplied water as described in sub</w:t>
      </w:r>
      <w:r>
        <w:rPr>
          <w:szCs w:val="22"/>
        </w:rPr>
        <w:noBreakHyphen/>
        <w:t>item (1)(c).</w:t>
      </w:r>
    </w:p>
    <w:p>
      <w:pPr>
        <w:pStyle w:val="yHeading5"/>
      </w:pPr>
      <w:bookmarkStart w:id="132" w:name="_Toc398816498"/>
      <w:r>
        <w:rPr>
          <w:rStyle w:val="CharSClsNo"/>
        </w:rPr>
        <w:t>18</w:t>
      </w:r>
      <w:r>
        <w:t>.</w:t>
      </w:r>
      <w:r>
        <w:tab/>
        <w:t>Capital infrastructure charges</w:t>
      </w:r>
      <w:bookmarkEnd w:id="132"/>
    </w:p>
    <w:p>
      <w:pPr>
        <w:pStyle w:val="yMiscellaneousBody"/>
        <w:tabs>
          <w:tab w:val="left" w:pos="284"/>
          <w:tab w:val="right" w:leader="dot" w:pos="6804"/>
        </w:tabs>
        <w:spacing w:before="120"/>
        <w:ind w:left="879" w:right="1985" w:hanging="879"/>
      </w:pPr>
      <w:r>
        <w:tab/>
        <w:t>(1)</w:t>
      </w:r>
      <w:r>
        <w:tab/>
      </w:r>
      <w:r>
        <w:rPr>
          <w:szCs w:val="22"/>
        </w:rPr>
        <w:t xml:space="preserve">In respect of land or, if there is more than one dwelling on the land, each residential property, </w:t>
      </w:r>
      <w:r>
        <w:t>that</w:t>
      </w:r>
      <w:r>
        <w:rPr>
          <w:szCs w:val="22"/>
        </w:rPr>
        <w:t> —</w:t>
      </w:r>
    </w:p>
    <w:p>
      <w:pPr>
        <w:pStyle w:val="yMiscellaneousBody"/>
        <w:tabs>
          <w:tab w:val="left" w:pos="1134"/>
          <w:tab w:val="left" w:pos="1560"/>
          <w:tab w:val="right" w:leader="dot" w:pos="6804"/>
        </w:tabs>
        <w:spacing w:before="80"/>
        <w:ind w:left="1559" w:right="1985" w:hanging="1559"/>
      </w:pPr>
      <w:r>
        <w:tab/>
        <w:t>(a)</w:t>
      </w:r>
      <w:r>
        <w:tab/>
        <w:t>is in the locality of Nilgen; and</w:t>
      </w:r>
    </w:p>
    <w:p>
      <w:pPr>
        <w:pStyle w:val="yMiscellaneousBody"/>
        <w:tabs>
          <w:tab w:val="left" w:pos="1134"/>
          <w:tab w:val="left" w:pos="1560"/>
          <w:tab w:val="right" w:leader="dot" w:pos="6804"/>
        </w:tabs>
        <w:spacing w:before="80"/>
        <w:ind w:left="1559" w:right="1985" w:hanging="1559"/>
      </w:pPr>
      <w:r>
        <w:tab/>
        <w:t>(b)</w:t>
      </w:r>
      <w:r>
        <w:tab/>
        <w:t>is classified as capital infrastructure,</w:t>
      </w:r>
    </w:p>
    <w:p>
      <w:pPr>
        <w:pStyle w:val="yMiscellaneousBody"/>
        <w:tabs>
          <w:tab w:val="left" w:pos="284"/>
          <w:tab w:val="right" w:leader="dot" w:pos="6804"/>
        </w:tabs>
        <w:ind w:left="879" w:right="1983" w:hanging="879"/>
      </w:pPr>
      <w:r>
        <w:tab/>
      </w:r>
      <w:r>
        <w:tab/>
        <w:t xml:space="preserve">the charge, which is in addition to any other charge applicable to the land under this Schedule, is </w:t>
      </w:r>
      <w:r>
        <w:tab/>
        <w:t xml:space="preserve"> $463.80</w:t>
      </w:r>
    </w:p>
    <w:p>
      <w:pPr>
        <w:pStyle w:val="yMiscellaneousBody"/>
        <w:tabs>
          <w:tab w:val="left" w:pos="284"/>
          <w:tab w:val="right" w:leader="dot" w:pos="6804"/>
        </w:tabs>
        <w:spacing w:before="120"/>
        <w:ind w:left="879" w:right="1985" w:hanging="879"/>
      </w:pPr>
      <w:r>
        <w:tab/>
        <w:t>(2)</w:t>
      </w:r>
      <w:r>
        <w:tab/>
      </w:r>
      <w:r>
        <w:rPr>
          <w:szCs w:val="22"/>
        </w:rPr>
        <w:t>The charge under sub</w:t>
      </w:r>
      <w:r>
        <w:rPr>
          <w:szCs w:val="22"/>
        </w:rPr>
        <w:noBreakHyphen/>
        <w:t>item (1) does not apply after 30 September 2016.</w:t>
      </w:r>
    </w:p>
    <w:p>
      <w:pPr>
        <w:pStyle w:val="yMiscellaneousBody"/>
        <w:tabs>
          <w:tab w:val="left" w:pos="284"/>
          <w:tab w:val="right" w:leader="dot" w:pos="6804"/>
        </w:tabs>
        <w:ind w:left="879" w:right="1983" w:hanging="879"/>
      </w:pPr>
      <w:r>
        <w:tab/>
        <w:t>(3)</w:t>
      </w:r>
      <w:r>
        <w:tab/>
      </w:r>
      <w:r>
        <w:rPr>
          <w:szCs w:val="22"/>
        </w:rPr>
        <w:t>A person liable to pay a charge under sub</w:t>
      </w:r>
      <w:r>
        <w:rPr>
          <w:szCs w:val="22"/>
        </w:rPr>
        <w:noBreakHyphen/>
        <w:t xml:space="preserve">item (1) may, within 28 days of receiving an invoice for the charge from the Water Corporation, elect to pay the following charge (the </w:t>
      </w:r>
      <w:r>
        <w:rPr>
          <w:rStyle w:val="CharDefText"/>
        </w:rPr>
        <w:t>single capital infrastructure charge</w:t>
      </w:r>
      <w:r>
        <w:rPr>
          <w:szCs w:val="22"/>
        </w:rPr>
        <w:t xml:space="preserve">) </w:t>
      </w:r>
      <w:r>
        <w:rPr>
          <w:szCs w:val="22"/>
        </w:rPr>
        <w:tab/>
        <w:t xml:space="preserve"> </w:t>
      </w:r>
      <w:r>
        <w:t>$3 120.00</w:t>
      </w:r>
    </w:p>
    <w:p>
      <w:pPr>
        <w:pStyle w:val="yMiscellaneousBody"/>
        <w:tabs>
          <w:tab w:val="left" w:pos="284"/>
          <w:tab w:val="right" w:leader="dot" w:pos="6804"/>
        </w:tabs>
        <w:spacing w:before="120"/>
        <w:ind w:left="879" w:right="1985" w:hanging="879"/>
      </w:pPr>
      <w:r>
        <w:tab/>
        <w:t>(4)</w:t>
      </w:r>
      <w:r>
        <w:tab/>
      </w:r>
      <w:r>
        <w:rPr>
          <w:szCs w:val="22"/>
        </w:rPr>
        <w:t>If a person elects to pay a single capital infrastructure charge the single charge is payable in respect of the land instead of the annual charges under sub</w:t>
      </w:r>
      <w:r>
        <w:rPr>
          <w:szCs w:val="22"/>
        </w:rPr>
        <w:noBreakHyphen/>
        <w:t>item (1).</w:t>
      </w:r>
    </w:p>
    <w:p>
      <w:pPr>
        <w:pStyle w:val="yHeading4"/>
      </w:pPr>
      <w:bookmarkStart w:id="133" w:name="_Toc398816499"/>
      <w:r>
        <w:t>Subdivision 3</w:t>
      </w:r>
      <w:r>
        <w:rPr>
          <w:b w:val="0"/>
        </w:rPr>
        <w:t> — </w:t>
      </w:r>
      <w:r>
        <w:t>Other service charges</w:t>
      </w:r>
      <w:bookmarkEnd w:id="133"/>
    </w:p>
    <w:p>
      <w:pPr>
        <w:pStyle w:val="yHeading5"/>
      </w:pPr>
      <w:bookmarkStart w:id="134" w:name="_Toc398816500"/>
      <w:r>
        <w:rPr>
          <w:rStyle w:val="CharSClsNo"/>
        </w:rPr>
        <w:t>19</w:t>
      </w:r>
      <w:r>
        <w:t>.</w:t>
      </w:r>
      <w:r>
        <w:tab/>
        <w:t>Stock</w:t>
      </w:r>
      <w:bookmarkEnd w:id="134"/>
    </w:p>
    <w:p>
      <w:pPr>
        <w:pStyle w:val="yMiscellaneousBody"/>
        <w:tabs>
          <w:tab w:val="left" w:pos="284"/>
          <w:tab w:val="right" w:leader="dot" w:pos="6804"/>
        </w:tabs>
        <w:ind w:left="879" w:right="1983" w:hanging="879"/>
      </w:pPr>
      <w:r>
        <w:rPr>
          <w:szCs w:val="22"/>
        </w:rPr>
        <w:tab/>
      </w:r>
      <w:r>
        <w:rPr>
          <w:szCs w:val="22"/>
        </w:rPr>
        <w:tab/>
        <w:t xml:space="preserve">For each water supply connection provided for the purpose of watering stock on land that is not covered by item 13, the charge is </w:t>
      </w:r>
      <w:r>
        <w:rPr>
          <w:szCs w:val="22"/>
        </w:rPr>
        <w:tab/>
        <w:t>$</w:t>
      </w:r>
      <w:r>
        <w:t>218.05</w:t>
      </w:r>
    </w:p>
    <w:p>
      <w:pPr>
        <w:pStyle w:val="yHeading5"/>
      </w:pPr>
      <w:bookmarkStart w:id="135" w:name="_Toc398816501"/>
      <w:r>
        <w:rPr>
          <w:rStyle w:val="CharSClsNo"/>
        </w:rPr>
        <w:t>20</w:t>
      </w:r>
      <w:r>
        <w:t>.</w:t>
      </w:r>
      <w:r>
        <w:tab/>
        <w:t>Shipping</w:t>
      </w:r>
      <w:bookmarkEnd w:id="135"/>
    </w:p>
    <w:p>
      <w:pPr>
        <w:pStyle w:val="yMiscellaneousBody"/>
        <w:tabs>
          <w:tab w:val="left" w:pos="284"/>
          <w:tab w:val="right" w:leader="dot" w:pos="6804"/>
        </w:tabs>
        <w:spacing w:before="120"/>
        <w:ind w:left="879" w:right="1985" w:hanging="879"/>
      </w:pPr>
      <w:r>
        <w:rPr>
          <w:szCs w:val="22"/>
        </w:rPr>
        <w:tab/>
      </w:r>
      <w:r>
        <w:rPr>
          <w:szCs w:val="22"/>
        </w:rPr>
        <w:tab/>
        <w:t>For each water supply connection provided for the purpose of water being taken on board any ship in a port, the charge</w:t>
      </w:r>
      <w:r>
        <w:t xml:space="preserve"> is the charge set out in the Table in item 2 according to the relevant meter size.</w:t>
      </w:r>
    </w:p>
    <w:p>
      <w:pPr>
        <w:pStyle w:val="yHeading5"/>
      </w:pPr>
      <w:bookmarkStart w:id="136" w:name="_Toc398816502"/>
      <w:r>
        <w:rPr>
          <w:rStyle w:val="CharSClsNo"/>
        </w:rPr>
        <w:t>21</w:t>
      </w:r>
      <w:r>
        <w:t>.</w:t>
      </w:r>
      <w:r>
        <w:tab/>
        <w:t>Local government standpipes</w:t>
      </w:r>
      <w:bookmarkEnd w:id="136"/>
    </w:p>
    <w:p>
      <w:pPr>
        <w:pStyle w:val="yMiscellaneousBody"/>
        <w:tabs>
          <w:tab w:val="left" w:pos="284"/>
          <w:tab w:val="right" w:leader="dot" w:pos="6804"/>
        </w:tabs>
        <w:spacing w:before="120"/>
        <w:ind w:left="879" w:right="1985" w:hanging="879"/>
      </w:pPr>
      <w:r>
        <w:rPr>
          <w:szCs w:val="22"/>
        </w:rPr>
        <w:tab/>
      </w:r>
      <w:r>
        <w:rPr>
          <w:szCs w:val="22"/>
        </w:rPr>
        <w:tab/>
        <w:t xml:space="preserve">For each local government standpipe, the charge is </w:t>
      </w:r>
      <w:r>
        <w:rPr>
          <w:szCs w:val="22"/>
        </w:rPr>
        <w:tab/>
        <w:t xml:space="preserve"> </w:t>
      </w:r>
      <w:r>
        <w:t>$218.05</w:t>
      </w:r>
    </w:p>
    <w:p>
      <w:pPr>
        <w:pStyle w:val="yHeading5"/>
      </w:pPr>
      <w:bookmarkStart w:id="137" w:name="_Toc398816503"/>
      <w:r>
        <w:rPr>
          <w:rStyle w:val="CharSClsNo"/>
        </w:rPr>
        <w:t>22</w:t>
      </w:r>
      <w:r>
        <w:t>.</w:t>
      </w:r>
      <w:r>
        <w:tab/>
        <w:t>Fire service connections</w:t>
      </w:r>
      <w:bookmarkEnd w:id="137"/>
    </w:p>
    <w:p>
      <w:pPr>
        <w:pStyle w:val="yMiscellaneousBody"/>
        <w:tabs>
          <w:tab w:val="left" w:pos="284"/>
          <w:tab w:val="right" w:leader="dot" w:pos="6804"/>
        </w:tabs>
        <w:spacing w:before="120"/>
        <w:ind w:left="879" w:right="1985" w:hanging="879"/>
      </w:pPr>
      <w:r>
        <w:rPr>
          <w:szCs w:val="22"/>
        </w:rPr>
        <w:tab/>
      </w:r>
      <w:r>
        <w:rPr>
          <w:szCs w:val="22"/>
        </w:rPr>
        <w:tab/>
        <w:t xml:space="preserve">For each water supply connection provided exclusively for the purpose of firefighting, the charge is </w:t>
      </w:r>
      <w:r>
        <w:rPr>
          <w:szCs w:val="22"/>
        </w:rPr>
        <w:tab/>
        <w:t xml:space="preserve"> </w:t>
      </w:r>
      <w:r>
        <w:t>$218.05</w:t>
      </w:r>
    </w:p>
    <w:p>
      <w:pPr>
        <w:pStyle w:val="yHeading3"/>
      </w:pPr>
      <w:bookmarkStart w:id="138" w:name="_Toc398816504"/>
      <w:r>
        <w:rPr>
          <w:rStyle w:val="CharSDivNo"/>
        </w:rPr>
        <w:t>Division 2</w:t>
      </w:r>
      <w:r>
        <w:t> — </w:t>
      </w:r>
      <w:r>
        <w:rPr>
          <w:rStyle w:val="CharSDivText"/>
        </w:rPr>
        <w:t>Consumption charges</w:t>
      </w:r>
      <w:bookmarkEnd w:id="138"/>
    </w:p>
    <w:p>
      <w:pPr>
        <w:pStyle w:val="yHeading4"/>
      </w:pPr>
      <w:bookmarkStart w:id="139" w:name="_Toc398816505"/>
      <w:r>
        <w:t>Subdivision 1</w:t>
      </w:r>
      <w:r>
        <w:rPr>
          <w:b w:val="0"/>
        </w:rPr>
        <w:t> — </w:t>
      </w:r>
      <w:r>
        <w:t>Preliminary</w:t>
      </w:r>
      <w:bookmarkEnd w:id="139"/>
    </w:p>
    <w:p>
      <w:pPr>
        <w:pStyle w:val="yHeading5"/>
      </w:pPr>
      <w:bookmarkStart w:id="140" w:name="_Toc398816506"/>
      <w:r>
        <w:rPr>
          <w:rStyle w:val="CharSClsNo"/>
        </w:rPr>
        <w:t>23</w:t>
      </w:r>
      <w:r>
        <w:t>.</w:t>
      </w:r>
      <w:r>
        <w:tab/>
        <w:t>Consumption charges for 2014/15 year and subsequent years</w:t>
      </w:r>
      <w:bookmarkEnd w:id="140"/>
    </w:p>
    <w:p>
      <w:pPr>
        <w:pStyle w:val="yMiscellaneousBody"/>
        <w:tabs>
          <w:tab w:val="left" w:pos="284"/>
          <w:tab w:val="right" w:leader="dot" w:pos="6804"/>
        </w:tabs>
        <w:spacing w:before="120"/>
        <w:ind w:left="879" w:hanging="879"/>
      </w:pPr>
      <w:r>
        <w:tab/>
        <w:t>(1)</w:t>
      </w:r>
      <w:r>
        <w:tab/>
        <w:t>The charges set out in this Division apply for water supplied in the 2014/15 financial year and each subsequent year.</w:t>
      </w:r>
    </w:p>
    <w:p>
      <w:pPr>
        <w:pStyle w:val="yMiscellaneousBody"/>
        <w:tabs>
          <w:tab w:val="left" w:pos="284"/>
          <w:tab w:val="right" w:leader="dot" w:pos="6804"/>
        </w:tabs>
        <w:spacing w:before="120"/>
        <w:ind w:left="879" w:hanging="879"/>
      </w:pPr>
      <w:r>
        <w:tab/>
        <w:t>(2)</w:t>
      </w:r>
      <w:r>
        <w:tab/>
        <w:t>Volumetric ranges in an item of this Division have effect by reference to the volume of water supplied in the current consumption year.</w:t>
      </w:r>
    </w:p>
    <w:p>
      <w:pPr>
        <w:pStyle w:val="yHeading5"/>
      </w:pPr>
      <w:bookmarkStart w:id="141" w:name="_Toc398816507"/>
      <w:r>
        <w:rPr>
          <w:rStyle w:val="CharSClsNo"/>
        </w:rPr>
        <w:t>24</w:t>
      </w:r>
      <w:r>
        <w:t>.</w:t>
      </w:r>
      <w:r>
        <w:tab/>
        <w:t>Residential or non</w:t>
      </w:r>
      <w:r>
        <w:noBreakHyphen/>
        <w:t>residential class of town or area</w:t>
      </w:r>
      <w:bookmarkEnd w:id="141"/>
    </w:p>
    <w:p>
      <w:pPr>
        <w:pStyle w:val="yMiscellaneousBody"/>
        <w:tabs>
          <w:tab w:val="left" w:pos="284"/>
          <w:tab w:val="right" w:leader="dot" w:pos="6804"/>
        </w:tabs>
        <w:spacing w:before="120"/>
        <w:ind w:left="879" w:hanging="879"/>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142" w:name="_Toc398816508"/>
      <w:r>
        <w:rPr>
          <w:rStyle w:val="CharSClsNo"/>
        </w:rPr>
        <w:t>25</w:t>
      </w:r>
      <w:r>
        <w:t>.</w:t>
      </w:r>
      <w:r>
        <w:tab/>
        <w:t>Table of class</w:t>
      </w:r>
      <w:r>
        <w:noBreakHyphen/>
        <w:t>based charges</w:t>
      </w:r>
      <w:bookmarkEnd w:id="142"/>
    </w:p>
    <w:p>
      <w:pPr>
        <w:pStyle w:val="yMiscellaneousBody"/>
        <w:tabs>
          <w:tab w:val="left" w:pos="284"/>
          <w:tab w:val="right" w:leader="dot" w:pos="6804"/>
        </w:tabs>
        <w:spacing w:before="120"/>
        <w:ind w:left="879" w:hanging="879"/>
      </w:pPr>
      <w:r>
        <w:tab/>
      </w:r>
      <w:r>
        <w:tab/>
        <w:t>For the purposes of this Division, class</w:t>
      </w:r>
      <w:r>
        <w:noBreakHyphen/>
        <w:t>based charges are set out in the Table.</w:t>
      </w:r>
    </w:p>
    <w:p>
      <w:pPr>
        <w:pStyle w:val="yTHeadingNAm"/>
      </w:pPr>
      <w:r>
        <w:t>Table of class</w:t>
      </w:r>
      <w:r>
        <w:noBreakHyphen/>
        <w:t>based charges</w:t>
      </w:r>
    </w:p>
    <w:tbl>
      <w:tblPr>
        <w:tblW w:w="4820" w:type="dxa"/>
        <w:tblInd w:w="1162" w:type="dxa"/>
        <w:tblLayout w:type="fixed"/>
        <w:tblCellMar>
          <w:left w:w="28" w:type="dxa"/>
          <w:right w:w="28" w:type="dxa"/>
        </w:tblCellMar>
        <w:tblLook w:val="0000" w:firstRow="0" w:lastRow="0" w:firstColumn="0" w:lastColumn="0" w:noHBand="0" w:noVBand="0"/>
      </w:tblPr>
      <w:tblGrid>
        <w:gridCol w:w="2410"/>
        <w:gridCol w:w="2410"/>
      </w:tblGrid>
      <w:tr>
        <w:trPr>
          <w:cantSplit/>
          <w:trHeight w:val="217"/>
          <w:tblHeader/>
        </w:trPr>
        <w:tc>
          <w:tcPr>
            <w:tcW w:w="2410" w:type="dxa"/>
            <w:tcBorders>
              <w:top w:val="single" w:sz="4" w:space="0" w:color="auto"/>
              <w:bottom w:val="single" w:sz="4" w:space="0" w:color="auto"/>
            </w:tcBorders>
            <w:vAlign w:val="center"/>
          </w:tcPr>
          <w:p>
            <w:pPr>
              <w:pStyle w:val="yTableNAm"/>
              <w:jc w:val="center"/>
            </w:pPr>
            <w:r>
              <w:rPr>
                <w:b/>
                <w:bCs/>
              </w:rPr>
              <w:t>Class</w:t>
            </w:r>
          </w:p>
        </w:tc>
        <w:tc>
          <w:tcPr>
            <w:tcW w:w="2410" w:type="dxa"/>
            <w:tcBorders>
              <w:top w:val="single" w:sz="4" w:space="0" w:color="auto"/>
              <w:bottom w:val="single" w:sz="4" w:space="0" w:color="auto"/>
            </w:tcBorders>
          </w:tcPr>
          <w:p>
            <w:pPr>
              <w:pStyle w:val="yTableNAm"/>
              <w:jc w:val="center"/>
            </w:pPr>
            <w:r>
              <w:rPr>
                <w:b/>
                <w:bCs/>
              </w:rPr>
              <w:t>Charge (cents)</w:t>
            </w:r>
          </w:p>
        </w:tc>
      </w:tr>
      <w:tr>
        <w:tc>
          <w:tcPr>
            <w:tcW w:w="2410" w:type="dxa"/>
            <w:tcBorders>
              <w:top w:val="single" w:sz="4" w:space="0" w:color="auto"/>
            </w:tcBorders>
            <w:vAlign w:val="center"/>
          </w:tcPr>
          <w:p>
            <w:pPr>
              <w:pStyle w:val="yTableNAm"/>
              <w:jc w:val="center"/>
            </w:pPr>
            <w:r>
              <w:rPr>
                <w:bCs/>
              </w:rPr>
              <w:t>1</w:t>
            </w:r>
          </w:p>
        </w:tc>
        <w:tc>
          <w:tcPr>
            <w:tcW w:w="2410" w:type="dxa"/>
            <w:tcBorders>
              <w:top w:val="single" w:sz="4" w:space="0" w:color="auto"/>
            </w:tcBorders>
            <w:vAlign w:val="bottom"/>
          </w:tcPr>
          <w:p>
            <w:pPr>
              <w:pStyle w:val="yTableNAm"/>
              <w:jc w:val="center"/>
              <w:rPr>
                <w:rFonts w:ascii="Arial" w:hAnsi="Arial"/>
                <w:b/>
              </w:rPr>
            </w:pPr>
            <w:r>
              <w:t>208.3</w:t>
            </w:r>
          </w:p>
        </w:tc>
      </w:tr>
      <w:tr>
        <w:tc>
          <w:tcPr>
            <w:tcW w:w="2410" w:type="dxa"/>
            <w:vAlign w:val="center"/>
          </w:tcPr>
          <w:p>
            <w:pPr>
              <w:pStyle w:val="yTableNAm"/>
              <w:jc w:val="center"/>
            </w:pPr>
            <w:r>
              <w:rPr>
                <w:bCs/>
              </w:rPr>
              <w:t>2</w:t>
            </w:r>
          </w:p>
        </w:tc>
        <w:tc>
          <w:tcPr>
            <w:tcW w:w="2410" w:type="dxa"/>
            <w:vAlign w:val="bottom"/>
          </w:tcPr>
          <w:p>
            <w:pPr>
              <w:pStyle w:val="yTableNAm"/>
              <w:jc w:val="center"/>
              <w:rPr>
                <w:rFonts w:ascii="Arial" w:hAnsi="Arial"/>
                <w:b/>
              </w:rPr>
            </w:pPr>
            <w:r>
              <w:t>226.8</w:t>
            </w:r>
          </w:p>
        </w:tc>
      </w:tr>
      <w:tr>
        <w:tc>
          <w:tcPr>
            <w:tcW w:w="2410" w:type="dxa"/>
            <w:vAlign w:val="center"/>
          </w:tcPr>
          <w:p>
            <w:pPr>
              <w:pStyle w:val="yTableNAm"/>
              <w:jc w:val="center"/>
            </w:pPr>
            <w:r>
              <w:rPr>
                <w:bCs/>
              </w:rPr>
              <w:t>3</w:t>
            </w:r>
          </w:p>
        </w:tc>
        <w:tc>
          <w:tcPr>
            <w:tcW w:w="2410" w:type="dxa"/>
            <w:vAlign w:val="bottom"/>
          </w:tcPr>
          <w:p>
            <w:pPr>
              <w:pStyle w:val="yTableNAm"/>
              <w:jc w:val="center"/>
              <w:rPr>
                <w:rFonts w:ascii="Arial" w:hAnsi="Arial"/>
                <w:b/>
              </w:rPr>
            </w:pPr>
            <w:r>
              <w:t>246.8</w:t>
            </w:r>
          </w:p>
        </w:tc>
      </w:tr>
      <w:tr>
        <w:tc>
          <w:tcPr>
            <w:tcW w:w="2410" w:type="dxa"/>
            <w:vAlign w:val="center"/>
          </w:tcPr>
          <w:p>
            <w:pPr>
              <w:pStyle w:val="yTableNAm"/>
              <w:jc w:val="center"/>
            </w:pPr>
            <w:r>
              <w:rPr>
                <w:bCs/>
              </w:rPr>
              <w:t>4</w:t>
            </w:r>
          </w:p>
        </w:tc>
        <w:tc>
          <w:tcPr>
            <w:tcW w:w="2410" w:type="dxa"/>
            <w:vAlign w:val="bottom"/>
          </w:tcPr>
          <w:p>
            <w:pPr>
              <w:pStyle w:val="yTableNAm"/>
              <w:jc w:val="center"/>
              <w:rPr>
                <w:rFonts w:ascii="Arial" w:hAnsi="Arial"/>
                <w:b/>
              </w:rPr>
            </w:pPr>
            <w:r>
              <w:t>268.8</w:t>
            </w:r>
          </w:p>
        </w:tc>
      </w:tr>
      <w:tr>
        <w:tc>
          <w:tcPr>
            <w:tcW w:w="2410" w:type="dxa"/>
            <w:vAlign w:val="center"/>
          </w:tcPr>
          <w:p>
            <w:pPr>
              <w:pStyle w:val="yTableNAm"/>
              <w:jc w:val="center"/>
            </w:pPr>
            <w:r>
              <w:rPr>
                <w:bCs/>
              </w:rPr>
              <w:t>5</w:t>
            </w:r>
          </w:p>
        </w:tc>
        <w:tc>
          <w:tcPr>
            <w:tcW w:w="2410" w:type="dxa"/>
            <w:vAlign w:val="bottom"/>
          </w:tcPr>
          <w:p>
            <w:pPr>
              <w:pStyle w:val="yTableNAm"/>
              <w:jc w:val="center"/>
              <w:rPr>
                <w:rFonts w:ascii="Arial" w:hAnsi="Arial"/>
                <w:b/>
              </w:rPr>
            </w:pPr>
            <w:r>
              <w:t>292.7</w:t>
            </w:r>
          </w:p>
        </w:tc>
      </w:tr>
      <w:tr>
        <w:tc>
          <w:tcPr>
            <w:tcW w:w="2410" w:type="dxa"/>
            <w:vAlign w:val="center"/>
          </w:tcPr>
          <w:p>
            <w:pPr>
              <w:pStyle w:val="yTableNAm"/>
              <w:jc w:val="center"/>
            </w:pPr>
            <w:r>
              <w:rPr>
                <w:bCs/>
              </w:rPr>
              <w:t>6</w:t>
            </w:r>
          </w:p>
        </w:tc>
        <w:tc>
          <w:tcPr>
            <w:tcW w:w="2410" w:type="dxa"/>
            <w:vAlign w:val="bottom"/>
          </w:tcPr>
          <w:p>
            <w:pPr>
              <w:pStyle w:val="yTableNAm"/>
              <w:jc w:val="center"/>
              <w:rPr>
                <w:rFonts w:ascii="Arial" w:hAnsi="Arial"/>
                <w:b/>
              </w:rPr>
            </w:pPr>
            <w:r>
              <w:t>318.7</w:t>
            </w:r>
          </w:p>
        </w:tc>
      </w:tr>
      <w:tr>
        <w:tc>
          <w:tcPr>
            <w:tcW w:w="2410" w:type="dxa"/>
            <w:vAlign w:val="center"/>
          </w:tcPr>
          <w:p>
            <w:pPr>
              <w:pStyle w:val="yTableNAm"/>
              <w:jc w:val="center"/>
            </w:pPr>
            <w:r>
              <w:rPr>
                <w:bCs/>
              </w:rPr>
              <w:t>7</w:t>
            </w:r>
          </w:p>
        </w:tc>
        <w:tc>
          <w:tcPr>
            <w:tcW w:w="2410" w:type="dxa"/>
            <w:vAlign w:val="bottom"/>
          </w:tcPr>
          <w:p>
            <w:pPr>
              <w:pStyle w:val="yTableNAm"/>
              <w:jc w:val="center"/>
              <w:rPr>
                <w:rFonts w:ascii="Arial" w:hAnsi="Arial"/>
                <w:b/>
              </w:rPr>
            </w:pPr>
            <w:r>
              <w:t>347.2</w:t>
            </w:r>
          </w:p>
        </w:tc>
      </w:tr>
      <w:tr>
        <w:tc>
          <w:tcPr>
            <w:tcW w:w="2410" w:type="dxa"/>
            <w:vAlign w:val="center"/>
          </w:tcPr>
          <w:p>
            <w:pPr>
              <w:pStyle w:val="yTableNAm"/>
              <w:jc w:val="center"/>
            </w:pPr>
            <w:r>
              <w:rPr>
                <w:bCs/>
              </w:rPr>
              <w:t>8</w:t>
            </w:r>
          </w:p>
        </w:tc>
        <w:tc>
          <w:tcPr>
            <w:tcW w:w="2410" w:type="dxa"/>
            <w:vAlign w:val="bottom"/>
          </w:tcPr>
          <w:p>
            <w:pPr>
              <w:pStyle w:val="yTableNAm"/>
              <w:jc w:val="center"/>
              <w:rPr>
                <w:rFonts w:ascii="Arial" w:hAnsi="Arial"/>
                <w:b/>
              </w:rPr>
            </w:pPr>
            <w:r>
              <w:t>378.0</w:t>
            </w:r>
          </w:p>
        </w:tc>
      </w:tr>
      <w:tr>
        <w:tc>
          <w:tcPr>
            <w:tcW w:w="2410" w:type="dxa"/>
            <w:vAlign w:val="center"/>
          </w:tcPr>
          <w:p>
            <w:pPr>
              <w:pStyle w:val="yTableNAm"/>
              <w:jc w:val="center"/>
            </w:pPr>
            <w:r>
              <w:rPr>
                <w:bCs/>
              </w:rPr>
              <w:t>9</w:t>
            </w:r>
          </w:p>
        </w:tc>
        <w:tc>
          <w:tcPr>
            <w:tcW w:w="2410" w:type="dxa"/>
            <w:vAlign w:val="bottom"/>
          </w:tcPr>
          <w:p>
            <w:pPr>
              <w:pStyle w:val="yTableNAm"/>
              <w:jc w:val="center"/>
              <w:rPr>
                <w:rFonts w:ascii="Arial" w:hAnsi="Arial"/>
                <w:b/>
              </w:rPr>
            </w:pPr>
            <w:r>
              <w:t>411.6</w:t>
            </w:r>
          </w:p>
        </w:tc>
      </w:tr>
      <w:tr>
        <w:tc>
          <w:tcPr>
            <w:tcW w:w="2410" w:type="dxa"/>
            <w:vAlign w:val="center"/>
          </w:tcPr>
          <w:p>
            <w:pPr>
              <w:pStyle w:val="yTableNAm"/>
              <w:jc w:val="center"/>
            </w:pPr>
            <w:r>
              <w:rPr>
                <w:bCs/>
              </w:rPr>
              <w:t>10</w:t>
            </w:r>
          </w:p>
        </w:tc>
        <w:tc>
          <w:tcPr>
            <w:tcW w:w="2410" w:type="dxa"/>
            <w:vAlign w:val="bottom"/>
          </w:tcPr>
          <w:p>
            <w:pPr>
              <w:pStyle w:val="yTableNAm"/>
              <w:jc w:val="center"/>
              <w:rPr>
                <w:rFonts w:ascii="Arial" w:hAnsi="Arial"/>
                <w:b/>
              </w:rPr>
            </w:pPr>
            <w:r>
              <w:t>448.3</w:t>
            </w:r>
          </w:p>
        </w:tc>
      </w:tr>
      <w:tr>
        <w:tc>
          <w:tcPr>
            <w:tcW w:w="2410" w:type="dxa"/>
            <w:vAlign w:val="center"/>
          </w:tcPr>
          <w:p>
            <w:pPr>
              <w:pStyle w:val="yTableNAm"/>
              <w:jc w:val="center"/>
            </w:pPr>
            <w:r>
              <w:rPr>
                <w:bCs/>
              </w:rPr>
              <w:t>11</w:t>
            </w:r>
          </w:p>
        </w:tc>
        <w:tc>
          <w:tcPr>
            <w:tcW w:w="2410" w:type="dxa"/>
            <w:vAlign w:val="bottom"/>
          </w:tcPr>
          <w:p>
            <w:pPr>
              <w:pStyle w:val="yTableNAm"/>
              <w:jc w:val="center"/>
              <w:rPr>
                <w:rFonts w:ascii="Arial" w:hAnsi="Arial"/>
                <w:b/>
              </w:rPr>
            </w:pPr>
            <w:r>
              <w:t>488.0</w:t>
            </w:r>
          </w:p>
        </w:tc>
      </w:tr>
      <w:tr>
        <w:tc>
          <w:tcPr>
            <w:tcW w:w="2410" w:type="dxa"/>
            <w:vAlign w:val="center"/>
          </w:tcPr>
          <w:p>
            <w:pPr>
              <w:pStyle w:val="yTableNAm"/>
              <w:jc w:val="center"/>
            </w:pPr>
            <w:r>
              <w:rPr>
                <w:bCs/>
              </w:rPr>
              <w:t>12</w:t>
            </w:r>
          </w:p>
        </w:tc>
        <w:tc>
          <w:tcPr>
            <w:tcW w:w="2410" w:type="dxa"/>
            <w:vAlign w:val="bottom"/>
          </w:tcPr>
          <w:p>
            <w:pPr>
              <w:pStyle w:val="yTableNAm"/>
              <w:jc w:val="center"/>
              <w:rPr>
                <w:rFonts w:ascii="Arial" w:hAnsi="Arial"/>
                <w:b/>
              </w:rPr>
            </w:pPr>
            <w:r>
              <w:t>531.5</w:t>
            </w:r>
          </w:p>
        </w:tc>
      </w:tr>
      <w:tr>
        <w:tc>
          <w:tcPr>
            <w:tcW w:w="2410" w:type="dxa"/>
            <w:vAlign w:val="center"/>
          </w:tcPr>
          <w:p>
            <w:pPr>
              <w:pStyle w:val="yTableNAm"/>
              <w:jc w:val="center"/>
            </w:pPr>
            <w:r>
              <w:rPr>
                <w:bCs/>
              </w:rPr>
              <w:t>13</w:t>
            </w:r>
          </w:p>
        </w:tc>
        <w:tc>
          <w:tcPr>
            <w:tcW w:w="2410" w:type="dxa"/>
            <w:vAlign w:val="bottom"/>
          </w:tcPr>
          <w:p>
            <w:pPr>
              <w:pStyle w:val="yTableNAm"/>
              <w:jc w:val="center"/>
              <w:rPr>
                <w:rFonts w:ascii="Arial" w:hAnsi="Arial"/>
                <w:b/>
              </w:rPr>
            </w:pPr>
            <w:r>
              <w:t>578.8</w:t>
            </w:r>
          </w:p>
        </w:tc>
      </w:tr>
      <w:tr>
        <w:tc>
          <w:tcPr>
            <w:tcW w:w="2410" w:type="dxa"/>
            <w:vAlign w:val="center"/>
          </w:tcPr>
          <w:p>
            <w:pPr>
              <w:pStyle w:val="yTableNAm"/>
              <w:jc w:val="center"/>
            </w:pPr>
            <w:r>
              <w:rPr>
                <w:bCs/>
              </w:rPr>
              <w:t>14</w:t>
            </w:r>
          </w:p>
        </w:tc>
        <w:tc>
          <w:tcPr>
            <w:tcW w:w="2410" w:type="dxa"/>
            <w:vAlign w:val="bottom"/>
          </w:tcPr>
          <w:p>
            <w:pPr>
              <w:pStyle w:val="yTableNAm"/>
              <w:jc w:val="center"/>
              <w:rPr>
                <w:rFonts w:ascii="Arial" w:hAnsi="Arial"/>
                <w:b/>
              </w:rPr>
            </w:pPr>
            <w:r>
              <w:t>630.3</w:t>
            </w:r>
          </w:p>
        </w:tc>
      </w:tr>
      <w:tr>
        <w:tc>
          <w:tcPr>
            <w:tcW w:w="2410" w:type="dxa"/>
            <w:tcBorders>
              <w:bottom w:val="single" w:sz="4" w:space="0" w:color="auto"/>
            </w:tcBorders>
            <w:vAlign w:val="center"/>
          </w:tcPr>
          <w:p>
            <w:pPr>
              <w:pStyle w:val="yTableNAm"/>
              <w:jc w:val="center"/>
            </w:pPr>
            <w:r>
              <w:rPr>
                <w:bCs/>
              </w:rPr>
              <w:t>15</w:t>
            </w:r>
          </w:p>
        </w:tc>
        <w:tc>
          <w:tcPr>
            <w:tcW w:w="2410" w:type="dxa"/>
            <w:tcBorders>
              <w:bottom w:val="single" w:sz="4" w:space="0" w:color="auto"/>
            </w:tcBorders>
            <w:vAlign w:val="bottom"/>
          </w:tcPr>
          <w:p>
            <w:pPr>
              <w:pStyle w:val="yTableNAm"/>
              <w:jc w:val="center"/>
              <w:rPr>
                <w:rFonts w:ascii="Arial" w:hAnsi="Arial"/>
                <w:b/>
              </w:rPr>
            </w:pPr>
            <w:r>
              <w:t>686.2</w:t>
            </w:r>
          </w:p>
        </w:tc>
      </w:tr>
    </w:tbl>
    <w:p>
      <w:pPr>
        <w:pStyle w:val="yHeading4"/>
      </w:pPr>
      <w:bookmarkStart w:id="143" w:name="_Toc398816509"/>
      <w:r>
        <w:t>Subdivision 2</w:t>
      </w:r>
      <w:r>
        <w:rPr>
          <w:b w:val="0"/>
        </w:rPr>
        <w:t> — </w:t>
      </w:r>
      <w:r>
        <w:t>Consumption charges that apply in respect of land</w:t>
      </w:r>
      <w:bookmarkEnd w:id="143"/>
    </w:p>
    <w:p>
      <w:pPr>
        <w:pStyle w:val="yHeading5"/>
      </w:pPr>
      <w:bookmarkStart w:id="144" w:name="_Toc398816510"/>
      <w:r>
        <w:rPr>
          <w:rStyle w:val="CharSClsNo"/>
        </w:rPr>
        <w:t>26</w:t>
      </w:r>
      <w:r>
        <w:t>.</w:t>
      </w:r>
      <w:r>
        <w:tab/>
        <w:t>Metropolitan residential and semi</w:t>
      </w:r>
      <w:r>
        <w:noBreakHyphen/>
        <w:t>rural residential</w:t>
      </w:r>
      <w:bookmarkEnd w:id="144"/>
    </w:p>
    <w:p>
      <w:pPr>
        <w:pStyle w:val="yMiscellaneousBody"/>
        <w:tabs>
          <w:tab w:val="left" w:pos="284"/>
          <w:tab w:val="right" w:leader="dot" w:pos="6804"/>
        </w:tabs>
        <w:spacing w:before="120"/>
        <w:ind w:left="879" w:right="1985" w:hanging="879"/>
      </w:pPr>
      <w:r>
        <w:tab/>
        <w:t>(1)</w:t>
      </w:r>
      <w:r>
        <w:tab/>
        <w:t xml:space="preserve">For each kilolitre of water supplied to land in the metropolitan area that is — </w:t>
      </w:r>
    </w:p>
    <w:p>
      <w:pPr>
        <w:pStyle w:val="yMiscellaneousBody"/>
        <w:tabs>
          <w:tab w:val="left" w:pos="1134"/>
          <w:tab w:val="left" w:pos="1560"/>
          <w:tab w:val="right" w:leader="dot" w:pos="6804"/>
        </w:tabs>
        <w:spacing w:before="80"/>
        <w:ind w:left="1559" w:right="1985" w:hanging="1559"/>
      </w:pPr>
      <w:r>
        <w:rPr>
          <w:szCs w:val="22"/>
        </w:rPr>
        <w:tab/>
        <w:t>(a)</w:t>
      </w:r>
      <w:r>
        <w:rPr>
          <w:szCs w:val="22"/>
        </w:rPr>
        <w:tab/>
      </w:r>
      <w:r>
        <w:t>a residential property; or</w:t>
      </w:r>
    </w:p>
    <w:p>
      <w:pPr>
        <w:pStyle w:val="yMiscellaneousBody"/>
        <w:tabs>
          <w:tab w:val="left" w:pos="1134"/>
          <w:tab w:val="left" w:pos="1560"/>
          <w:tab w:val="right" w:leader="dot" w:pos="6804"/>
        </w:tabs>
        <w:spacing w:before="80"/>
        <w:ind w:left="1559" w:right="1985" w:hanging="1559"/>
      </w:pPr>
      <w:r>
        <w:rPr>
          <w:szCs w:val="22"/>
        </w:rPr>
        <w:tab/>
        <w:t>(b)</w:t>
      </w:r>
      <w:r>
        <w:rPr>
          <w:szCs w:val="22"/>
        </w:rPr>
        <w:tab/>
      </w:r>
      <w:r>
        <w:t>classified as vacant land but held for residential purposes; or</w:t>
      </w:r>
    </w:p>
    <w:p>
      <w:pPr>
        <w:pStyle w:val="yMiscellaneousBody"/>
        <w:tabs>
          <w:tab w:val="left" w:pos="1134"/>
          <w:tab w:val="left" w:pos="1560"/>
          <w:tab w:val="right" w:leader="dot" w:pos="6804"/>
        </w:tabs>
        <w:spacing w:before="80"/>
        <w:ind w:left="1559" w:right="1985" w:hanging="1559"/>
      </w:pPr>
      <w:r>
        <w:rPr>
          <w:szCs w:val="22"/>
        </w:rPr>
        <w:tab/>
        <w:t>(c)</w:t>
      </w:r>
      <w:r>
        <w:rPr>
          <w:szCs w:val="22"/>
        </w:rPr>
        <w:tab/>
      </w:r>
      <w:r>
        <w:t>a semi</w:t>
      </w:r>
      <w:r>
        <w:noBreakHyphen/>
        <w:t>rural residential property,</w:t>
      </w:r>
    </w:p>
    <w:p>
      <w:pPr>
        <w:pStyle w:val="yMiscellaneousBody"/>
        <w:tabs>
          <w:tab w:val="left" w:pos="284"/>
          <w:tab w:val="right" w:leader="dot" w:pos="6804"/>
        </w:tabs>
        <w:spacing w:before="120"/>
        <w:ind w:left="879" w:right="1985" w:hanging="879"/>
      </w:pPr>
      <w:r>
        <w:tab/>
      </w:r>
      <w:r>
        <w:tab/>
        <w:t xml:space="preserve">the charge is — </w:t>
      </w:r>
    </w:p>
    <w:p>
      <w:pPr>
        <w:pStyle w:val="yMiscellaneousBody"/>
        <w:tabs>
          <w:tab w:val="left" w:pos="1134"/>
          <w:tab w:val="left" w:pos="1560"/>
          <w:tab w:val="right" w:leader="dot" w:pos="6804"/>
        </w:tabs>
        <w:spacing w:before="80"/>
        <w:ind w:left="1559" w:right="1985" w:hanging="1559"/>
        <w:rPr>
          <w:szCs w:val="22"/>
        </w:rPr>
      </w:pPr>
      <w:r>
        <w:tab/>
        <w:t xml:space="preserve">up to 150 kL </w:t>
      </w:r>
      <w:r>
        <w:tab/>
        <w:t xml:space="preserve"> 146</w:t>
      </w:r>
      <w:r>
        <w:rPr>
          <w:szCs w:val="22"/>
        </w:rPr>
        <w:t>.4 cents</w:t>
      </w:r>
    </w:p>
    <w:p>
      <w:pPr>
        <w:pStyle w:val="yMiscellaneousBody"/>
        <w:tabs>
          <w:tab w:val="left" w:pos="1134"/>
          <w:tab w:val="left" w:pos="1560"/>
          <w:tab w:val="right" w:leader="dot" w:pos="6804"/>
        </w:tabs>
        <w:spacing w:before="80"/>
        <w:ind w:left="1559" w:right="1985" w:hanging="1559"/>
        <w:rPr>
          <w:szCs w:val="22"/>
        </w:rPr>
      </w:pPr>
      <w:r>
        <w:tab/>
        <w:t xml:space="preserve">over 150 but not over 500 kL </w:t>
      </w:r>
      <w:r>
        <w:tab/>
        <w:t xml:space="preserve"> </w:t>
      </w:r>
      <w:r>
        <w:rPr>
          <w:szCs w:val="22"/>
        </w:rPr>
        <w:t>195.1 cents</w:t>
      </w:r>
    </w:p>
    <w:p>
      <w:pPr>
        <w:pStyle w:val="yMiscellaneousBody"/>
        <w:tabs>
          <w:tab w:val="left" w:pos="1134"/>
          <w:tab w:val="left" w:pos="1560"/>
          <w:tab w:val="right" w:leader="dot" w:pos="6804"/>
        </w:tabs>
        <w:spacing w:before="80"/>
        <w:ind w:left="1559" w:right="1985" w:hanging="1559"/>
        <w:rPr>
          <w:szCs w:val="22"/>
        </w:rPr>
      </w:pPr>
      <w:r>
        <w:tab/>
        <w:t xml:space="preserve">over 500 kL </w:t>
      </w:r>
      <w:r>
        <w:tab/>
        <w:t xml:space="preserve"> </w:t>
      </w:r>
      <w:r>
        <w:rPr>
          <w:szCs w:val="22"/>
        </w:rPr>
        <w:t>276.3 cents</w:t>
      </w:r>
    </w:p>
    <w:p>
      <w:pPr>
        <w:pStyle w:val="yMiscellaneousBody"/>
        <w:tabs>
          <w:tab w:val="left" w:pos="284"/>
          <w:tab w:val="right" w:leader="dot" w:pos="6804"/>
        </w:tabs>
        <w:spacing w:before="120"/>
        <w:ind w:left="879" w:right="1985" w:hanging="879"/>
      </w:pPr>
      <w:r>
        <w:tab/>
        <w:t>(2)</w:t>
      </w:r>
      <w:r>
        <w:tab/>
        <w:t>The charge under sub</w:t>
      </w:r>
      <w:r>
        <w:noBreakHyphen/>
        <w:t>item (1) does not apply to the supply of water for which a more specific charge is provided in this Subdivision or the supply of water covered by item 15.</w:t>
      </w:r>
    </w:p>
    <w:p>
      <w:pPr>
        <w:pStyle w:val="yHeading5"/>
      </w:pPr>
      <w:bookmarkStart w:id="145" w:name="_Toc398816511"/>
      <w:r>
        <w:rPr>
          <w:rStyle w:val="CharSClsNo"/>
        </w:rPr>
        <w:t>27</w:t>
      </w:r>
      <w:r>
        <w:t>.</w:t>
      </w:r>
      <w:r>
        <w:tab/>
        <w:t>Metropolitan non</w:t>
      </w:r>
      <w:r>
        <w:noBreakHyphen/>
        <w:t>residential</w:t>
      </w:r>
      <w:bookmarkEnd w:id="145"/>
    </w:p>
    <w:p>
      <w:pPr>
        <w:pStyle w:val="yMiscellaneousBody"/>
        <w:tabs>
          <w:tab w:val="left" w:pos="284"/>
          <w:tab w:val="right" w:leader="dot" w:pos="6804"/>
        </w:tabs>
        <w:spacing w:before="120"/>
        <w:ind w:left="879" w:right="1985" w:hanging="879"/>
        <w:rPr>
          <w:szCs w:val="22"/>
        </w:rPr>
      </w:pPr>
      <w:r>
        <w:tab/>
        <w:t>(1)</w:t>
      </w:r>
      <w:r>
        <w:tab/>
      </w:r>
      <w:r>
        <w:rPr>
          <w:szCs w:val="22"/>
        </w:rPr>
        <w:t xml:space="preserve">For each </w:t>
      </w:r>
      <w:r>
        <w:t>kilolitre of water supplied to land in the metropolitan</w:t>
      </w:r>
      <w:r>
        <w:rPr>
          <w:szCs w:val="22"/>
        </w:rPr>
        <w:t xml:space="preserve"> area </w:t>
      </w:r>
      <w:r>
        <w:t xml:space="preserve">that is </w:t>
      </w:r>
      <w:r>
        <w:rPr>
          <w:szCs w:val="22"/>
        </w:rPr>
        <w:t xml:space="preserve">neither classified as residential nor </w:t>
      </w:r>
      <w:r>
        <w:t>classified as vacant land but held for residential purposes,</w:t>
      </w:r>
      <w:r>
        <w:rPr>
          <w:szCs w:val="22"/>
        </w:rPr>
        <w:t xml:space="preserve"> the charge is —</w:t>
      </w:r>
    </w:p>
    <w:p>
      <w:pPr>
        <w:pStyle w:val="yMiscellaneousBody"/>
        <w:tabs>
          <w:tab w:val="left" w:pos="1134"/>
          <w:tab w:val="left" w:pos="1560"/>
          <w:tab w:val="right" w:leader="dot" w:pos="6804"/>
        </w:tabs>
        <w:spacing w:before="80"/>
        <w:ind w:left="1559" w:right="1985" w:hanging="1559"/>
      </w:pPr>
      <w:r>
        <w:rPr>
          <w:szCs w:val="22"/>
        </w:rPr>
        <w:tab/>
        <w:t>(a)</w:t>
      </w:r>
      <w:r>
        <w:rPr>
          <w:szCs w:val="22"/>
        </w:rPr>
        <w:tab/>
      </w:r>
      <w:r>
        <w:t>if the land is classified as commercial residential —</w:t>
      </w:r>
    </w:p>
    <w:p>
      <w:pPr>
        <w:pStyle w:val="yMiscellaneousBody"/>
        <w:tabs>
          <w:tab w:val="left" w:pos="1134"/>
          <w:tab w:val="right" w:leader="dot" w:pos="6804"/>
        </w:tabs>
        <w:spacing w:before="80"/>
        <w:ind w:left="1560" w:right="1985" w:hanging="1701"/>
        <w:rPr>
          <w:szCs w:val="22"/>
        </w:rPr>
      </w:pPr>
      <w:r>
        <w:tab/>
      </w:r>
      <w:r>
        <w:tab/>
        <w:t xml:space="preserve">up to 150 kL </w:t>
      </w:r>
      <w:r>
        <w:tab/>
        <w:t xml:space="preserve"> </w:t>
      </w:r>
      <w:r>
        <w:rPr>
          <w:szCs w:val="22"/>
        </w:rPr>
        <w:t>146.4 cents</w:t>
      </w:r>
    </w:p>
    <w:p>
      <w:pPr>
        <w:pStyle w:val="yMiscellaneousBody"/>
        <w:tabs>
          <w:tab w:val="left" w:pos="1134"/>
          <w:tab w:val="right" w:leader="dot" w:pos="6804"/>
        </w:tabs>
        <w:spacing w:before="80"/>
        <w:ind w:left="1560" w:right="1985" w:hanging="1701"/>
        <w:rPr>
          <w:szCs w:val="22"/>
        </w:rPr>
      </w:pPr>
      <w:r>
        <w:rPr>
          <w:szCs w:val="22"/>
        </w:rPr>
        <w:tab/>
      </w:r>
      <w:r>
        <w:rPr>
          <w:szCs w:val="22"/>
        </w:rPr>
        <w:tab/>
      </w:r>
      <w:r>
        <w:t xml:space="preserve">over 150 kL </w:t>
      </w:r>
      <w:r>
        <w:tab/>
        <w:t xml:space="preserve"> </w:t>
      </w:r>
      <w:r>
        <w:rPr>
          <w:szCs w:val="22"/>
        </w:rPr>
        <w:t>205.6 cents</w:t>
      </w:r>
    </w:p>
    <w:p>
      <w:pPr>
        <w:pStyle w:val="yMiscellaneousBody"/>
        <w:tabs>
          <w:tab w:val="left" w:pos="1134"/>
          <w:tab w:val="left" w:pos="1560"/>
          <w:tab w:val="right" w:leader="dot" w:pos="6804"/>
        </w:tabs>
        <w:spacing w:before="80"/>
        <w:ind w:left="1559" w:right="1985" w:hanging="1559"/>
        <w:rPr>
          <w:szCs w:val="22"/>
        </w:rPr>
      </w:pPr>
      <w:r>
        <w:tab/>
        <w:t>(b)</w:t>
      </w:r>
      <w:r>
        <w:tab/>
        <w:t xml:space="preserve">if paragraph (a) does not apply </w:t>
      </w:r>
      <w:r>
        <w:tab/>
        <w:t xml:space="preserve"> 205.6 </w:t>
      </w:r>
      <w:r>
        <w:rPr>
          <w:szCs w:val="22"/>
        </w:rPr>
        <w:t>cents</w:t>
      </w:r>
    </w:p>
    <w:p>
      <w:pPr>
        <w:pStyle w:val="yMiscellaneousBody"/>
        <w:tabs>
          <w:tab w:val="left" w:pos="284"/>
          <w:tab w:val="right" w:leader="dot" w:pos="6804"/>
        </w:tabs>
        <w:spacing w:before="120"/>
        <w:ind w:left="879" w:right="1985" w:hanging="879"/>
        <w:rPr>
          <w:szCs w:val="22"/>
        </w:rPr>
      </w:pPr>
      <w:r>
        <w:rPr>
          <w:szCs w:val="22"/>
        </w:rPr>
        <w:tab/>
        <w:t>(2)</w:t>
      </w:r>
      <w:r>
        <w:rPr>
          <w:szCs w:val="22"/>
        </w:rPr>
        <w:tab/>
      </w:r>
      <w:r>
        <w:t>A charge under sub</w:t>
      </w:r>
      <w:r>
        <w:noBreakHyphen/>
        <w:t>item (1) does not apply to the supply of water for which a more specific charge is provided in this Subdivision.</w:t>
      </w:r>
    </w:p>
    <w:p>
      <w:pPr>
        <w:pStyle w:val="yHeading5"/>
      </w:pPr>
      <w:bookmarkStart w:id="146" w:name="_Toc398816512"/>
      <w:r>
        <w:rPr>
          <w:rStyle w:val="CharSClsNo"/>
        </w:rPr>
        <w:t>28</w:t>
      </w:r>
      <w:r>
        <w:t>.</w:t>
      </w:r>
      <w:r>
        <w:tab/>
        <w:t>Metropolitan non</w:t>
      </w:r>
      <w:r>
        <w:noBreakHyphen/>
        <w:t>residential concessional</w:t>
      </w:r>
      <w:bookmarkEnd w:id="146"/>
    </w:p>
    <w:p>
      <w:pPr>
        <w:pStyle w:val="yMiscellaneousBody"/>
        <w:tabs>
          <w:tab w:val="left" w:pos="284"/>
          <w:tab w:val="right" w:leader="dot" w:pos="6804"/>
        </w:tabs>
        <w:ind w:left="879" w:right="1983" w:hanging="879"/>
      </w:pPr>
      <w:r>
        <w:tab/>
        <w:t>(1)</w:t>
      </w:r>
      <w:r>
        <w:tab/>
      </w:r>
      <w:r>
        <w:rPr>
          <w:szCs w:val="22"/>
        </w:rPr>
        <w:t xml:space="preserve">For each </w:t>
      </w:r>
      <w:r>
        <w:t>kilolitre of water supplied to concessional land that is in the metropolitan</w:t>
      </w:r>
      <w:r>
        <w:rPr>
          <w:szCs w:val="22"/>
        </w:rPr>
        <w:t xml:space="preserve"> area and is not classified as residential, the charge is </w:t>
      </w:r>
      <w:r>
        <w:rPr>
          <w:szCs w:val="22"/>
        </w:rPr>
        <w:tab/>
        <w:t xml:space="preserve"> </w:t>
      </w:r>
      <w:r>
        <w:t>205.6 cents</w:t>
      </w:r>
    </w:p>
    <w:p>
      <w:pPr>
        <w:pStyle w:val="yMiscellaneousBody"/>
        <w:tabs>
          <w:tab w:val="left" w:pos="284"/>
          <w:tab w:val="right" w:leader="dot" w:pos="6804"/>
        </w:tabs>
        <w:ind w:left="879" w:right="1983" w:hanging="879"/>
      </w:pPr>
      <w:r>
        <w:tab/>
        <w:t>(2)</w:t>
      </w:r>
      <w:r>
        <w:tab/>
      </w:r>
      <w:r>
        <w:rPr>
          <w:szCs w:val="22"/>
        </w:rPr>
        <w:t>Sub</w:t>
      </w:r>
      <w:r>
        <w:rPr>
          <w:szCs w:val="22"/>
        </w:rPr>
        <w:noBreakHyphen/>
        <w:t xml:space="preserve">item (1) does not apply if the supply of water is </w:t>
      </w:r>
      <w:r>
        <w:t>covered by</w:t>
      </w:r>
      <w:r>
        <w:rPr>
          <w:szCs w:val="22"/>
        </w:rPr>
        <w:t xml:space="preserve"> item </w:t>
      </w:r>
      <w:r>
        <w:t>39</w:t>
      </w:r>
      <w:r>
        <w:rPr>
          <w:szCs w:val="22"/>
        </w:rPr>
        <w:t>.</w:t>
      </w:r>
    </w:p>
    <w:p>
      <w:pPr>
        <w:pStyle w:val="yHeading5"/>
      </w:pPr>
      <w:bookmarkStart w:id="147" w:name="_Toc398816513"/>
      <w:r>
        <w:rPr>
          <w:rStyle w:val="CharSClsNo"/>
        </w:rPr>
        <w:t>29</w:t>
      </w:r>
      <w:r>
        <w:t>.</w:t>
      </w:r>
      <w:r>
        <w:tab/>
        <w:t>Community residential</w:t>
      </w:r>
      <w:bookmarkEnd w:id="147"/>
    </w:p>
    <w:p>
      <w:pPr>
        <w:pStyle w:val="yMiscellaneousBody"/>
        <w:tabs>
          <w:tab w:val="left" w:pos="284"/>
          <w:tab w:val="right" w:leader="dot" w:pos="6804"/>
        </w:tabs>
        <w:ind w:left="879" w:right="1983" w:hanging="879"/>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MiscellaneousBody"/>
        <w:tabs>
          <w:tab w:val="left" w:pos="284"/>
          <w:tab w:val="right" w:leader="dot" w:pos="6804"/>
        </w:tabs>
        <w:ind w:left="879" w:right="1983" w:hanging="879"/>
      </w:pPr>
      <w:r>
        <w:tab/>
        <w:t>(2)</w:t>
      </w:r>
      <w:r>
        <w:tab/>
        <w:t>For each kilolitre of water supplied to land in the metropolitan area that is classified as community residential, the charge is —</w:t>
      </w:r>
    </w:p>
    <w:p>
      <w:pPr>
        <w:pStyle w:val="yMiscellaneousBody"/>
        <w:tabs>
          <w:tab w:val="left" w:pos="1134"/>
          <w:tab w:val="left" w:pos="1560"/>
          <w:tab w:val="right" w:leader="dot" w:pos="6804"/>
        </w:tabs>
        <w:spacing w:before="80"/>
        <w:ind w:left="1559" w:right="1985" w:hanging="1559"/>
        <w:rPr>
          <w:szCs w:val="22"/>
        </w:rPr>
      </w:pPr>
      <w:r>
        <w:tab/>
        <w:t xml:space="preserve">up to 150 kL </w:t>
      </w:r>
      <w:r>
        <w:tab/>
        <w:t xml:space="preserve"> 73</w:t>
      </w:r>
      <w:r>
        <w:rPr>
          <w:szCs w:val="22"/>
        </w:rPr>
        <w:t>.2 cents</w:t>
      </w:r>
    </w:p>
    <w:p>
      <w:pPr>
        <w:pStyle w:val="yMiscellaneousBody"/>
        <w:tabs>
          <w:tab w:val="left" w:pos="1134"/>
          <w:tab w:val="left" w:pos="1560"/>
          <w:tab w:val="right" w:leader="dot" w:pos="6804"/>
        </w:tabs>
        <w:spacing w:before="80"/>
        <w:ind w:left="1559" w:right="1985" w:hanging="1559"/>
        <w:rPr>
          <w:szCs w:val="22"/>
        </w:rPr>
      </w:pPr>
      <w:r>
        <w:rPr>
          <w:szCs w:val="22"/>
        </w:rPr>
        <w:tab/>
      </w:r>
      <w:r>
        <w:t xml:space="preserve">over 150 kL but not over 500 kL </w:t>
      </w:r>
      <w:r>
        <w:tab/>
        <w:t xml:space="preserve"> 195</w:t>
      </w:r>
      <w:r>
        <w:rPr>
          <w:szCs w:val="22"/>
        </w:rPr>
        <w:t>.1 cents</w:t>
      </w:r>
    </w:p>
    <w:p>
      <w:pPr>
        <w:pStyle w:val="yMiscellaneousBody"/>
        <w:tabs>
          <w:tab w:val="left" w:pos="1134"/>
          <w:tab w:val="left" w:pos="1560"/>
          <w:tab w:val="right" w:leader="dot" w:pos="6804"/>
        </w:tabs>
        <w:spacing w:before="80"/>
        <w:ind w:left="1559" w:right="1985" w:hanging="1559"/>
        <w:rPr>
          <w:szCs w:val="22"/>
        </w:rPr>
      </w:pPr>
      <w:r>
        <w:tab/>
        <w:t xml:space="preserve">over 500 kL </w:t>
      </w:r>
      <w:r>
        <w:tab/>
        <w:t xml:space="preserve"> 276.3</w:t>
      </w:r>
      <w:r>
        <w:rPr>
          <w:szCs w:val="22"/>
        </w:rPr>
        <w:t xml:space="preserve"> cents</w:t>
      </w:r>
    </w:p>
    <w:p>
      <w:pPr>
        <w:pStyle w:val="yMiscellaneousBody"/>
        <w:tabs>
          <w:tab w:val="left" w:pos="284"/>
          <w:tab w:val="right" w:leader="dot" w:pos="6804"/>
        </w:tabs>
        <w:spacing w:after="160"/>
        <w:ind w:left="879" w:right="1985" w:hanging="879"/>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454" w:type="dxa"/>
        <w:tblCellMar>
          <w:left w:w="28" w:type="dxa"/>
          <w:right w:w="28" w:type="dxa"/>
        </w:tblCellMar>
        <w:tblLook w:val="0000" w:firstRow="0" w:lastRow="0" w:firstColumn="0" w:lastColumn="0" w:noHBand="0" w:noVBand="0"/>
      </w:tblPr>
      <w:tblGrid>
        <w:gridCol w:w="1417"/>
        <w:gridCol w:w="992"/>
        <w:gridCol w:w="992"/>
        <w:gridCol w:w="992"/>
        <w:gridCol w:w="992"/>
        <w:gridCol w:w="994"/>
      </w:tblGrid>
      <w:tr>
        <w:trPr>
          <w:cantSplit/>
          <w:tblHeader/>
        </w:trPr>
        <w:tc>
          <w:tcPr>
            <w:tcW w:w="1417" w:type="dxa"/>
            <w:tcBorders>
              <w:top w:val="single" w:sz="4" w:space="0" w:color="auto"/>
              <w:bottom w:val="single" w:sz="4" w:space="0" w:color="auto"/>
            </w:tcBorders>
          </w:tcPr>
          <w:p>
            <w:pPr>
              <w:pStyle w:val="yTableNAm"/>
            </w:pPr>
            <w:r>
              <w:rPr>
                <w:b/>
                <w:bCs/>
                <w:szCs w:val="22"/>
              </w:rPr>
              <w:br w:type="page"/>
              <w:t>Consumption (kL)</w:t>
            </w:r>
          </w:p>
        </w:tc>
        <w:tc>
          <w:tcPr>
            <w:tcW w:w="992"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994"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417" w:type="dxa"/>
          </w:tcPr>
          <w:p>
            <w:pPr>
              <w:pStyle w:val="yTableNAm"/>
            </w:pPr>
            <w:r>
              <w:rPr>
                <w:szCs w:val="22"/>
              </w:rPr>
              <w:t>Up to 150</w:t>
            </w:r>
          </w:p>
        </w:tc>
        <w:tc>
          <w:tcPr>
            <w:tcW w:w="992" w:type="dxa"/>
            <w:vAlign w:val="bottom"/>
          </w:tcPr>
          <w:p>
            <w:pPr>
              <w:pStyle w:val="yTableNAm"/>
              <w:jc w:val="center"/>
              <w:rPr>
                <w:rFonts w:ascii="Arial" w:hAnsi="Arial"/>
                <w:b/>
              </w:rPr>
            </w:pPr>
            <w:r>
              <w:rPr>
                <w:szCs w:val="22"/>
              </w:rPr>
              <w:t>55.9</w:t>
            </w:r>
          </w:p>
        </w:tc>
        <w:tc>
          <w:tcPr>
            <w:tcW w:w="992" w:type="dxa"/>
            <w:vAlign w:val="bottom"/>
          </w:tcPr>
          <w:p>
            <w:pPr>
              <w:pStyle w:val="yTableNAm"/>
              <w:jc w:val="center"/>
              <w:rPr>
                <w:rFonts w:ascii="Arial" w:hAnsi="Arial"/>
                <w:b/>
              </w:rPr>
            </w:pPr>
            <w:r>
              <w:rPr>
                <w:szCs w:val="22"/>
              </w:rPr>
              <w:t>73.2</w:t>
            </w:r>
          </w:p>
        </w:tc>
        <w:tc>
          <w:tcPr>
            <w:tcW w:w="992" w:type="dxa"/>
            <w:vAlign w:val="bottom"/>
          </w:tcPr>
          <w:p>
            <w:pPr>
              <w:pStyle w:val="yTableNAm"/>
              <w:jc w:val="center"/>
              <w:rPr>
                <w:rFonts w:ascii="Arial" w:hAnsi="Arial"/>
                <w:b/>
              </w:rPr>
            </w:pPr>
            <w:r>
              <w:rPr>
                <w:szCs w:val="22"/>
              </w:rPr>
              <w:t>73.2</w:t>
            </w:r>
          </w:p>
        </w:tc>
        <w:tc>
          <w:tcPr>
            <w:tcW w:w="992" w:type="dxa"/>
            <w:vAlign w:val="bottom"/>
          </w:tcPr>
          <w:p>
            <w:pPr>
              <w:pStyle w:val="yTableNAm"/>
              <w:jc w:val="center"/>
              <w:rPr>
                <w:rFonts w:ascii="Arial" w:hAnsi="Arial"/>
                <w:b/>
              </w:rPr>
            </w:pPr>
            <w:r>
              <w:rPr>
                <w:szCs w:val="22"/>
              </w:rPr>
              <w:t>73.2</w:t>
            </w:r>
          </w:p>
        </w:tc>
        <w:tc>
          <w:tcPr>
            <w:tcW w:w="994" w:type="dxa"/>
            <w:vAlign w:val="bottom"/>
          </w:tcPr>
          <w:p>
            <w:pPr>
              <w:pStyle w:val="yTableNAm"/>
              <w:jc w:val="center"/>
              <w:rPr>
                <w:rFonts w:ascii="Arial" w:hAnsi="Arial"/>
                <w:b/>
              </w:rPr>
            </w:pPr>
            <w:r>
              <w:rPr>
                <w:szCs w:val="22"/>
              </w:rPr>
              <w:t>73.2</w:t>
            </w:r>
          </w:p>
        </w:tc>
      </w:tr>
      <w:tr>
        <w:trPr>
          <w:cantSplit/>
        </w:trPr>
        <w:tc>
          <w:tcPr>
            <w:tcW w:w="1417" w:type="dxa"/>
          </w:tcPr>
          <w:p>
            <w:pPr>
              <w:pStyle w:val="yTableNAm"/>
            </w:pPr>
            <w:r>
              <w:rPr>
                <w:szCs w:val="22"/>
              </w:rPr>
              <w:t>Over 150 but not over 300</w:t>
            </w:r>
          </w:p>
        </w:tc>
        <w:tc>
          <w:tcPr>
            <w:tcW w:w="992" w:type="dxa"/>
            <w:vAlign w:val="bottom"/>
          </w:tcPr>
          <w:p>
            <w:pPr>
              <w:pStyle w:val="yTableNAm"/>
              <w:jc w:val="center"/>
              <w:rPr>
                <w:rFonts w:ascii="Arial" w:hAnsi="Arial"/>
                <w:b/>
              </w:rPr>
            </w:pPr>
            <w:r>
              <w:rPr>
                <w:szCs w:val="22"/>
              </w:rPr>
              <w:t>74.4</w:t>
            </w:r>
          </w:p>
        </w:tc>
        <w:tc>
          <w:tcPr>
            <w:tcW w:w="992" w:type="dxa"/>
            <w:vAlign w:val="bottom"/>
          </w:tcPr>
          <w:p>
            <w:pPr>
              <w:pStyle w:val="yTableNAm"/>
              <w:jc w:val="center"/>
              <w:rPr>
                <w:rFonts w:ascii="Arial" w:hAnsi="Arial"/>
                <w:b/>
              </w:rPr>
            </w:pPr>
            <w:r>
              <w:rPr>
                <w:szCs w:val="22"/>
              </w:rPr>
              <w:t>97.6</w:t>
            </w:r>
          </w:p>
        </w:tc>
        <w:tc>
          <w:tcPr>
            <w:tcW w:w="992" w:type="dxa"/>
            <w:vAlign w:val="bottom"/>
          </w:tcPr>
          <w:p>
            <w:pPr>
              <w:pStyle w:val="yTableNAm"/>
              <w:jc w:val="center"/>
              <w:rPr>
                <w:rFonts w:ascii="Arial" w:hAnsi="Arial"/>
                <w:b/>
              </w:rPr>
            </w:pPr>
            <w:r>
              <w:rPr>
                <w:szCs w:val="22"/>
              </w:rPr>
              <w:t>97.6</w:t>
            </w:r>
          </w:p>
        </w:tc>
        <w:tc>
          <w:tcPr>
            <w:tcW w:w="992" w:type="dxa"/>
            <w:vAlign w:val="bottom"/>
          </w:tcPr>
          <w:p>
            <w:pPr>
              <w:pStyle w:val="yTableNAm"/>
              <w:jc w:val="center"/>
              <w:rPr>
                <w:rFonts w:ascii="Arial" w:hAnsi="Arial"/>
                <w:b/>
              </w:rPr>
            </w:pPr>
            <w:r>
              <w:rPr>
                <w:szCs w:val="22"/>
              </w:rPr>
              <w:t>97.6</w:t>
            </w:r>
          </w:p>
        </w:tc>
        <w:tc>
          <w:tcPr>
            <w:tcW w:w="994" w:type="dxa"/>
            <w:vAlign w:val="bottom"/>
          </w:tcPr>
          <w:p>
            <w:pPr>
              <w:pStyle w:val="yTableNAm"/>
              <w:jc w:val="center"/>
              <w:rPr>
                <w:rFonts w:ascii="Arial" w:hAnsi="Arial"/>
                <w:b/>
              </w:rPr>
            </w:pPr>
            <w:r>
              <w:rPr>
                <w:szCs w:val="22"/>
              </w:rPr>
              <w:t>97.6</w:t>
            </w:r>
          </w:p>
        </w:tc>
      </w:tr>
      <w:tr>
        <w:trPr>
          <w:cantSplit/>
        </w:trPr>
        <w:tc>
          <w:tcPr>
            <w:tcW w:w="1417" w:type="dxa"/>
          </w:tcPr>
          <w:p>
            <w:pPr>
              <w:pStyle w:val="yTableNAm"/>
            </w:pPr>
            <w:r>
              <w:rPr>
                <w:szCs w:val="22"/>
              </w:rPr>
              <w:t>Over 300 but not over 400</w:t>
            </w:r>
          </w:p>
        </w:tc>
        <w:tc>
          <w:tcPr>
            <w:tcW w:w="992" w:type="dxa"/>
            <w:vAlign w:val="bottom"/>
          </w:tcPr>
          <w:p>
            <w:pPr>
              <w:pStyle w:val="yTableNAm"/>
              <w:jc w:val="center"/>
              <w:rPr>
                <w:rFonts w:ascii="Arial" w:hAnsi="Arial"/>
                <w:b/>
              </w:rPr>
            </w:pPr>
            <w:r>
              <w:rPr>
                <w:szCs w:val="22"/>
              </w:rPr>
              <w:t>78.8</w:t>
            </w:r>
          </w:p>
        </w:tc>
        <w:tc>
          <w:tcPr>
            <w:tcW w:w="992" w:type="dxa"/>
            <w:vAlign w:val="bottom"/>
          </w:tcPr>
          <w:p>
            <w:pPr>
              <w:pStyle w:val="yTableNAm"/>
              <w:jc w:val="center"/>
              <w:rPr>
                <w:rFonts w:ascii="Arial" w:hAnsi="Arial"/>
                <w:b/>
              </w:rPr>
            </w:pPr>
            <w:r>
              <w:rPr>
                <w:szCs w:val="22"/>
              </w:rPr>
              <w:t>108.3</w:t>
            </w:r>
          </w:p>
        </w:tc>
        <w:tc>
          <w:tcPr>
            <w:tcW w:w="992" w:type="dxa"/>
            <w:vAlign w:val="bottom"/>
          </w:tcPr>
          <w:p>
            <w:pPr>
              <w:pStyle w:val="yTableNAm"/>
              <w:jc w:val="center"/>
              <w:rPr>
                <w:rFonts w:ascii="Arial" w:hAnsi="Arial"/>
                <w:b/>
              </w:rPr>
            </w:pPr>
            <w:r>
              <w:rPr>
                <w:szCs w:val="22"/>
              </w:rPr>
              <w:t>144.2</w:t>
            </w:r>
          </w:p>
        </w:tc>
        <w:tc>
          <w:tcPr>
            <w:tcW w:w="992" w:type="dxa"/>
            <w:vAlign w:val="bottom"/>
          </w:tcPr>
          <w:p>
            <w:pPr>
              <w:pStyle w:val="yTableNAm"/>
              <w:jc w:val="center"/>
              <w:rPr>
                <w:rFonts w:ascii="Arial" w:hAnsi="Arial"/>
                <w:b/>
              </w:rPr>
            </w:pPr>
            <w:r>
              <w:rPr>
                <w:szCs w:val="22"/>
              </w:rPr>
              <w:t>169.7</w:t>
            </w:r>
          </w:p>
        </w:tc>
        <w:tc>
          <w:tcPr>
            <w:tcW w:w="994" w:type="dxa"/>
            <w:vAlign w:val="bottom"/>
          </w:tcPr>
          <w:p>
            <w:pPr>
              <w:pStyle w:val="yTableNAm"/>
              <w:jc w:val="center"/>
              <w:rPr>
                <w:rFonts w:ascii="Arial" w:hAnsi="Arial"/>
                <w:b/>
              </w:rPr>
            </w:pPr>
            <w:r>
              <w:rPr>
                <w:szCs w:val="22"/>
              </w:rPr>
              <w:t>199.6</w:t>
            </w:r>
          </w:p>
        </w:tc>
      </w:tr>
      <w:tr>
        <w:trPr>
          <w:cantSplit/>
        </w:trPr>
        <w:tc>
          <w:tcPr>
            <w:tcW w:w="1417" w:type="dxa"/>
          </w:tcPr>
          <w:p>
            <w:pPr>
              <w:pStyle w:val="yTableNAm"/>
            </w:pPr>
            <w:r>
              <w:rPr>
                <w:szCs w:val="22"/>
              </w:rPr>
              <w:t>Over 400 but not over 550</w:t>
            </w:r>
          </w:p>
        </w:tc>
        <w:tc>
          <w:tcPr>
            <w:tcW w:w="992" w:type="dxa"/>
            <w:vAlign w:val="bottom"/>
          </w:tcPr>
          <w:p>
            <w:pPr>
              <w:pStyle w:val="yTableNAm"/>
              <w:jc w:val="center"/>
              <w:rPr>
                <w:rFonts w:ascii="Arial" w:hAnsi="Arial"/>
                <w:b/>
              </w:rPr>
            </w:pPr>
            <w:r>
              <w:rPr>
                <w:szCs w:val="22"/>
              </w:rPr>
              <w:t>157.5</w:t>
            </w:r>
          </w:p>
        </w:tc>
        <w:tc>
          <w:tcPr>
            <w:tcW w:w="992" w:type="dxa"/>
            <w:vAlign w:val="bottom"/>
          </w:tcPr>
          <w:p>
            <w:pPr>
              <w:pStyle w:val="yTableNAm"/>
              <w:jc w:val="center"/>
              <w:rPr>
                <w:rFonts w:ascii="Arial" w:hAnsi="Arial"/>
                <w:b/>
              </w:rPr>
            </w:pPr>
            <w:r>
              <w:rPr>
                <w:szCs w:val="22"/>
              </w:rPr>
              <w:t>216.5</w:t>
            </w:r>
          </w:p>
        </w:tc>
        <w:tc>
          <w:tcPr>
            <w:tcW w:w="992" w:type="dxa"/>
            <w:vAlign w:val="bottom"/>
          </w:tcPr>
          <w:p>
            <w:pPr>
              <w:pStyle w:val="yTableNAm"/>
              <w:jc w:val="center"/>
              <w:rPr>
                <w:rFonts w:ascii="Arial" w:hAnsi="Arial"/>
                <w:b/>
              </w:rPr>
            </w:pPr>
            <w:r>
              <w:rPr>
                <w:szCs w:val="22"/>
              </w:rPr>
              <w:t>288.5</w:t>
            </w:r>
          </w:p>
        </w:tc>
        <w:tc>
          <w:tcPr>
            <w:tcW w:w="992" w:type="dxa"/>
            <w:vAlign w:val="bottom"/>
          </w:tcPr>
          <w:p>
            <w:pPr>
              <w:pStyle w:val="yTableNAm"/>
              <w:jc w:val="center"/>
              <w:rPr>
                <w:rFonts w:ascii="Arial" w:hAnsi="Arial"/>
                <w:b/>
              </w:rPr>
            </w:pPr>
            <w:r>
              <w:rPr>
                <w:szCs w:val="22"/>
              </w:rPr>
              <w:t>339.3</w:t>
            </w:r>
          </w:p>
        </w:tc>
        <w:tc>
          <w:tcPr>
            <w:tcW w:w="994" w:type="dxa"/>
            <w:vAlign w:val="bottom"/>
          </w:tcPr>
          <w:p>
            <w:pPr>
              <w:pStyle w:val="yTableNAm"/>
              <w:jc w:val="center"/>
              <w:rPr>
                <w:rFonts w:ascii="Arial" w:hAnsi="Arial"/>
                <w:b/>
              </w:rPr>
            </w:pPr>
            <w:r>
              <w:rPr>
                <w:szCs w:val="22"/>
              </w:rPr>
              <w:t>399.1</w:t>
            </w:r>
          </w:p>
        </w:tc>
      </w:tr>
      <w:tr>
        <w:trPr>
          <w:cantSplit/>
        </w:trPr>
        <w:tc>
          <w:tcPr>
            <w:tcW w:w="1417" w:type="dxa"/>
            <w:tcBorders>
              <w:bottom w:val="single" w:sz="4" w:space="0" w:color="auto"/>
            </w:tcBorders>
          </w:tcPr>
          <w:p>
            <w:pPr>
              <w:pStyle w:val="yTableNAm"/>
            </w:pPr>
            <w:r>
              <w:rPr>
                <w:szCs w:val="22"/>
              </w:rPr>
              <w:t>Over 550</w:t>
            </w:r>
          </w:p>
        </w:tc>
        <w:tc>
          <w:tcPr>
            <w:tcW w:w="992" w:type="dxa"/>
            <w:tcBorders>
              <w:bottom w:val="single" w:sz="4" w:space="0" w:color="auto"/>
            </w:tcBorders>
            <w:vAlign w:val="bottom"/>
          </w:tcPr>
          <w:p>
            <w:pPr>
              <w:pStyle w:val="yTableNAm"/>
              <w:jc w:val="center"/>
              <w:rPr>
                <w:rFonts w:ascii="Arial" w:hAnsi="Arial"/>
                <w:b/>
              </w:rPr>
            </w:pPr>
            <w:r>
              <w:rPr>
                <w:szCs w:val="22"/>
              </w:rPr>
              <w:t>183.8</w:t>
            </w:r>
          </w:p>
        </w:tc>
        <w:tc>
          <w:tcPr>
            <w:tcW w:w="992" w:type="dxa"/>
            <w:tcBorders>
              <w:bottom w:val="single" w:sz="4" w:space="0" w:color="auto"/>
            </w:tcBorders>
            <w:vAlign w:val="bottom"/>
          </w:tcPr>
          <w:p>
            <w:pPr>
              <w:pStyle w:val="yTableNAm"/>
              <w:jc w:val="center"/>
              <w:rPr>
                <w:rFonts w:ascii="Arial" w:hAnsi="Arial"/>
                <w:b/>
              </w:rPr>
            </w:pPr>
            <w:r>
              <w:rPr>
                <w:szCs w:val="22"/>
              </w:rPr>
              <w:t>276.3</w:t>
            </w:r>
          </w:p>
        </w:tc>
        <w:tc>
          <w:tcPr>
            <w:tcW w:w="992" w:type="dxa"/>
            <w:tcBorders>
              <w:bottom w:val="single" w:sz="4" w:space="0" w:color="auto"/>
            </w:tcBorders>
            <w:vAlign w:val="bottom"/>
          </w:tcPr>
          <w:p>
            <w:pPr>
              <w:pStyle w:val="yTableNAm"/>
              <w:jc w:val="center"/>
              <w:rPr>
                <w:rFonts w:ascii="Arial" w:hAnsi="Arial"/>
                <w:b/>
              </w:rPr>
            </w:pPr>
            <w:r>
              <w:rPr>
                <w:szCs w:val="22"/>
              </w:rPr>
              <w:t>367.8</w:t>
            </w:r>
          </w:p>
        </w:tc>
        <w:tc>
          <w:tcPr>
            <w:tcW w:w="992" w:type="dxa"/>
            <w:tcBorders>
              <w:bottom w:val="single" w:sz="4" w:space="0" w:color="auto"/>
            </w:tcBorders>
            <w:vAlign w:val="bottom"/>
          </w:tcPr>
          <w:p>
            <w:pPr>
              <w:pStyle w:val="yTableNAm"/>
              <w:jc w:val="center"/>
              <w:rPr>
                <w:rFonts w:ascii="Arial" w:hAnsi="Arial"/>
                <w:b/>
              </w:rPr>
            </w:pPr>
            <w:r>
              <w:rPr>
                <w:szCs w:val="22"/>
              </w:rPr>
              <w:t>508.8</w:t>
            </w:r>
          </w:p>
        </w:tc>
        <w:tc>
          <w:tcPr>
            <w:tcW w:w="994" w:type="dxa"/>
            <w:tcBorders>
              <w:bottom w:val="single" w:sz="4" w:space="0" w:color="auto"/>
            </w:tcBorders>
            <w:vAlign w:val="bottom"/>
          </w:tcPr>
          <w:p>
            <w:pPr>
              <w:pStyle w:val="yTableNAm"/>
              <w:jc w:val="center"/>
              <w:rPr>
                <w:rFonts w:ascii="Arial" w:hAnsi="Arial"/>
                <w:b/>
              </w:rPr>
            </w:pPr>
            <w:r>
              <w:rPr>
                <w:szCs w:val="22"/>
              </w:rPr>
              <w:t>686.2</w:t>
            </w:r>
          </w:p>
        </w:tc>
      </w:tr>
    </w:tbl>
    <w:p>
      <w:pPr>
        <w:pStyle w:val="yMiscellaneousBody"/>
        <w:tabs>
          <w:tab w:val="left" w:pos="284"/>
          <w:tab w:val="right" w:leader="dot" w:pos="6804"/>
        </w:tabs>
        <w:ind w:left="879" w:right="1983" w:hanging="879"/>
      </w:pPr>
      <w:r>
        <w:tab/>
        <w:t>(4)</w:t>
      </w:r>
      <w:r>
        <w:tab/>
        <w:t>Sub</w:t>
      </w:r>
      <w:r>
        <w:noBreakHyphen/>
        <w:t>item (3) applies unless the land is located —</w:t>
      </w:r>
    </w:p>
    <w:p>
      <w:pPr>
        <w:pStyle w:val="yMiscellaneousBody"/>
        <w:tabs>
          <w:tab w:val="left" w:pos="1134"/>
          <w:tab w:val="left" w:pos="1560"/>
          <w:tab w:val="right" w:leader="dot" w:pos="6804"/>
        </w:tabs>
        <w:spacing w:before="80"/>
        <w:ind w:left="1559" w:right="1985" w:hanging="1559"/>
      </w:pPr>
      <w:r>
        <w:tab/>
        <w:t>(a)</w:t>
      </w:r>
      <w:r>
        <w:tab/>
        <w:t>in the town of Cue, Laverton, Leonora, Meekatharra, Menzies, Mount Magnet, Mullewa, Sandstone, Wiluna or Yalgoo; or</w:t>
      </w:r>
    </w:p>
    <w:p>
      <w:pPr>
        <w:pStyle w:val="yMiscellaneousBody"/>
        <w:tabs>
          <w:tab w:val="left" w:pos="1134"/>
          <w:tab w:val="left" w:pos="1560"/>
          <w:tab w:val="right" w:leader="dot" w:pos="6804"/>
        </w:tabs>
        <w:spacing w:before="80"/>
        <w:ind w:left="1559" w:right="1985" w:hanging="1559"/>
      </w:pPr>
      <w:r>
        <w:tab/>
        <w:t>(b)</w:t>
      </w:r>
      <w:r>
        <w:tab/>
        <w:t>north of 26ºS Latitude,</w:t>
      </w:r>
    </w:p>
    <w:p>
      <w:pPr>
        <w:pStyle w:val="yMiscellaneousBody"/>
        <w:tabs>
          <w:tab w:val="left" w:pos="284"/>
          <w:tab w:val="right" w:leader="dot" w:pos="6804"/>
        </w:tabs>
        <w:spacing w:after="160"/>
        <w:ind w:left="879" w:right="1985" w:hanging="879"/>
      </w:pPr>
      <w:r>
        <w:tab/>
      </w:r>
      <w:r>
        <w:tab/>
        <w:t>in which case the charge, according to the residential class of the town or area in which the land is located, is —</w:t>
      </w:r>
    </w:p>
    <w:tbl>
      <w:tblPr>
        <w:tblW w:w="0" w:type="auto"/>
        <w:tblInd w:w="454" w:type="dxa"/>
        <w:tblCellMar>
          <w:left w:w="28" w:type="dxa"/>
          <w:right w:w="28" w:type="dxa"/>
        </w:tblCellMar>
        <w:tblLook w:val="0000" w:firstRow="0" w:lastRow="0" w:firstColumn="0" w:lastColumn="0" w:noHBand="0" w:noVBand="0"/>
      </w:tblPr>
      <w:tblGrid>
        <w:gridCol w:w="1417"/>
        <w:gridCol w:w="992"/>
        <w:gridCol w:w="992"/>
        <w:gridCol w:w="992"/>
        <w:gridCol w:w="992"/>
        <w:gridCol w:w="994"/>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992" w:type="dxa"/>
            <w:tcBorders>
              <w:top w:val="single" w:sz="4" w:space="0" w:color="auto"/>
              <w:bottom w:val="single" w:sz="4" w:space="0" w:color="auto"/>
            </w:tcBorders>
          </w:tcPr>
          <w:p>
            <w:pPr>
              <w:pStyle w:val="yTableNAm"/>
              <w:jc w:val="center"/>
            </w:pPr>
            <w:r>
              <w:rPr>
                <w:b/>
                <w:bCs/>
              </w:rPr>
              <w:t>Class 1 (cents)</w:t>
            </w:r>
          </w:p>
        </w:tc>
        <w:tc>
          <w:tcPr>
            <w:tcW w:w="992" w:type="dxa"/>
            <w:tcBorders>
              <w:top w:val="single" w:sz="4" w:space="0" w:color="auto"/>
              <w:bottom w:val="single" w:sz="4" w:space="0" w:color="auto"/>
            </w:tcBorders>
          </w:tcPr>
          <w:p>
            <w:pPr>
              <w:pStyle w:val="yTableNAm"/>
              <w:jc w:val="center"/>
            </w:pPr>
            <w:r>
              <w:rPr>
                <w:b/>
                <w:bCs/>
              </w:rPr>
              <w:t>Class 2 (cents)</w:t>
            </w:r>
          </w:p>
        </w:tc>
        <w:tc>
          <w:tcPr>
            <w:tcW w:w="992" w:type="dxa"/>
            <w:tcBorders>
              <w:top w:val="single" w:sz="4" w:space="0" w:color="auto"/>
              <w:bottom w:val="single" w:sz="4" w:space="0" w:color="auto"/>
            </w:tcBorders>
          </w:tcPr>
          <w:p>
            <w:pPr>
              <w:pStyle w:val="yTableNAm"/>
              <w:jc w:val="center"/>
            </w:pPr>
            <w:r>
              <w:rPr>
                <w:b/>
                <w:bCs/>
              </w:rPr>
              <w:t>Class 3 (cents)</w:t>
            </w:r>
          </w:p>
        </w:tc>
        <w:tc>
          <w:tcPr>
            <w:tcW w:w="992" w:type="dxa"/>
            <w:tcBorders>
              <w:top w:val="single" w:sz="4" w:space="0" w:color="auto"/>
              <w:bottom w:val="single" w:sz="4" w:space="0" w:color="auto"/>
            </w:tcBorders>
          </w:tcPr>
          <w:p>
            <w:pPr>
              <w:pStyle w:val="yTableNAm"/>
              <w:jc w:val="center"/>
            </w:pPr>
            <w:r>
              <w:rPr>
                <w:b/>
                <w:bCs/>
              </w:rPr>
              <w:t>Class 4 (cents)</w:t>
            </w:r>
          </w:p>
        </w:tc>
        <w:tc>
          <w:tcPr>
            <w:tcW w:w="994"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992" w:type="dxa"/>
            <w:vAlign w:val="bottom"/>
          </w:tcPr>
          <w:p>
            <w:pPr>
              <w:pStyle w:val="yTableNAm"/>
              <w:jc w:val="center"/>
              <w:rPr>
                <w:rFonts w:ascii="Arial" w:hAnsi="Arial"/>
                <w:b/>
              </w:rPr>
            </w:pPr>
            <w:r>
              <w:rPr>
                <w:szCs w:val="22"/>
              </w:rPr>
              <w:t>55.9</w:t>
            </w:r>
          </w:p>
        </w:tc>
        <w:tc>
          <w:tcPr>
            <w:tcW w:w="992" w:type="dxa"/>
            <w:vAlign w:val="bottom"/>
          </w:tcPr>
          <w:p>
            <w:pPr>
              <w:pStyle w:val="yTableNAm"/>
              <w:jc w:val="center"/>
              <w:rPr>
                <w:rFonts w:ascii="Arial" w:hAnsi="Arial"/>
                <w:b/>
              </w:rPr>
            </w:pPr>
            <w:r>
              <w:rPr>
                <w:szCs w:val="22"/>
              </w:rPr>
              <w:t>73.2</w:t>
            </w:r>
          </w:p>
        </w:tc>
        <w:tc>
          <w:tcPr>
            <w:tcW w:w="992" w:type="dxa"/>
            <w:vAlign w:val="bottom"/>
          </w:tcPr>
          <w:p>
            <w:pPr>
              <w:pStyle w:val="yTableNAm"/>
              <w:jc w:val="center"/>
              <w:rPr>
                <w:rFonts w:ascii="Arial" w:hAnsi="Arial"/>
                <w:b/>
              </w:rPr>
            </w:pPr>
            <w:r>
              <w:rPr>
                <w:szCs w:val="22"/>
              </w:rPr>
              <w:t>73.2</w:t>
            </w:r>
          </w:p>
        </w:tc>
        <w:tc>
          <w:tcPr>
            <w:tcW w:w="992" w:type="dxa"/>
            <w:vAlign w:val="bottom"/>
          </w:tcPr>
          <w:p>
            <w:pPr>
              <w:pStyle w:val="yTableNAm"/>
              <w:jc w:val="center"/>
              <w:rPr>
                <w:rFonts w:ascii="Arial" w:hAnsi="Arial"/>
                <w:b/>
              </w:rPr>
            </w:pPr>
            <w:r>
              <w:rPr>
                <w:szCs w:val="22"/>
              </w:rPr>
              <w:t>73.2</w:t>
            </w:r>
          </w:p>
        </w:tc>
        <w:tc>
          <w:tcPr>
            <w:tcW w:w="994" w:type="dxa"/>
            <w:vAlign w:val="bottom"/>
          </w:tcPr>
          <w:p>
            <w:pPr>
              <w:pStyle w:val="yTableNAm"/>
              <w:jc w:val="center"/>
              <w:rPr>
                <w:rFonts w:ascii="Arial" w:hAnsi="Arial"/>
                <w:b/>
              </w:rPr>
            </w:pPr>
            <w:r>
              <w:rPr>
                <w:szCs w:val="22"/>
              </w:rPr>
              <w:t>73.2</w:t>
            </w:r>
          </w:p>
        </w:tc>
      </w:tr>
      <w:tr>
        <w:trPr>
          <w:cantSplit/>
        </w:trPr>
        <w:tc>
          <w:tcPr>
            <w:tcW w:w="1417" w:type="dxa"/>
          </w:tcPr>
          <w:p>
            <w:pPr>
              <w:pStyle w:val="yTableNAm"/>
            </w:pPr>
            <w:r>
              <w:t>Over 350 but not over 500</w:t>
            </w:r>
          </w:p>
        </w:tc>
        <w:tc>
          <w:tcPr>
            <w:tcW w:w="992" w:type="dxa"/>
            <w:vAlign w:val="bottom"/>
          </w:tcPr>
          <w:p>
            <w:pPr>
              <w:pStyle w:val="yTableNAm"/>
              <w:jc w:val="center"/>
              <w:rPr>
                <w:rFonts w:ascii="Arial" w:hAnsi="Arial"/>
                <w:b/>
              </w:rPr>
            </w:pPr>
            <w:r>
              <w:rPr>
                <w:szCs w:val="22"/>
              </w:rPr>
              <w:t>74.4</w:t>
            </w:r>
          </w:p>
        </w:tc>
        <w:tc>
          <w:tcPr>
            <w:tcW w:w="992" w:type="dxa"/>
            <w:vAlign w:val="bottom"/>
          </w:tcPr>
          <w:p>
            <w:pPr>
              <w:pStyle w:val="yTableNAm"/>
              <w:jc w:val="center"/>
              <w:rPr>
                <w:rFonts w:ascii="Arial" w:hAnsi="Arial"/>
                <w:b/>
              </w:rPr>
            </w:pPr>
            <w:r>
              <w:rPr>
                <w:szCs w:val="22"/>
              </w:rPr>
              <w:t>97.6</w:t>
            </w:r>
          </w:p>
        </w:tc>
        <w:tc>
          <w:tcPr>
            <w:tcW w:w="992" w:type="dxa"/>
            <w:vAlign w:val="bottom"/>
          </w:tcPr>
          <w:p>
            <w:pPr>
              <w:pStyle w:val="yTableNAm"/>
              <w:jc w:val="center"/>
              <w:rPr>
                <w:rFonts w:ascii="Arial" w:hAnsi="Arial"/>
                <w:b/>
              </w:rPr>
            </w:pPr>
            <w:r>
              <w:rPr>
                <w:szCs w:val="22"/>
              </w:rPr>
              <w:t>97.6</w:t>
            </w:r>
          </w:p>
        </w:tc>
        <w:tc>
          <w:tcPr>
            <w:tcW w:w="992" w:type="dxa"/>
            <w:vAlign w:val="bottom"/>
          </w:tcPr>
          <w:p>
            <w:pPr>
              <w:pStyle w:val="yTableNAm"/>
              <w:jc w:val="center"/>
              <w:rPr>
                <w:rFonts w:ascii="Arial" w:hAnsi="Arial"/>
                <w:b/>
              </w:rPr>
            </w:pPr>
            <w:r>
              <w:rPr>
                <w:szCs w:val="22"/>
              </w:rPr>
              <w:t>97.6</w:t>
            </w:r>
          </w:p>
        </w:tc>
        <w:tc>
          <w:tcPr>
            <w:tcW w:w="994" w:type="dxa"/>
            <w:vAlign w:val="bottom"/>
          </w:tcPr>
          <w:p>
            <w:pPr>
              <w:pStyle w:val="yTableNAm"/>
              <w:jc w:val="center"/>
              <w:rPr>
                <w:rFonts w:ascii="Arial" w:hAnsi="Arial"/>
                <w:b/>
              </w:rPr>
            </w:pPr>
            <w:r>
              <w:rPr>
                <w:szCs w:val="22"/>
              </w:rPr>
              <w:t>97.6</w:t>
            </w:r>
          </w:p>
        </w:tc>
      </w:tr>
      <w:tr>
        <w:trPr>
          <w:cantSplit/>
        </w:trPr>
        <w:tc>
          <w:tcPr>
            <w:tcW w:w="1417" w:type="dxa"/>
          </w:tcPr>
          <w:p>
            <w:pPr>
              <w:pStyle w:val="yTableNAm"/>
            </w:pPr>
            <w:r>
              <w:t>Over 500 but not over 600</w:t>
            </w:r>
          </w:p>
        </w:tc>
        <w:tc>
          <w:tcPr>
            <w:tcW w:w="992" w:type="dxa"/>
            <w:vAlign w:val="bottom"/>
          </w:tcPr>
          <w:p>
            <w:pPr>
              <w:pStyle w:val="yTableNAm"/>
              <w:jc w:val="center"/>
              <w:rPr>
                <w:rFonts w:ascii="Arial" w:hAnsi="Arial"/>
                <w:b/>
              </w:rPr>
            </w:pPr>
            <w:r>
              <w:rPr>
                <w:szCs w:val="22"/>
              </w:rPr>
              <w:t>78.8</w:t>
            </w:r>
          </w:p>
        </w:tc>
        <w:tc>
          <w:tcPr>
            <w:tcW w:w="992" w:type="dxa"/>
            <w:vAlign w:val="bottom"/>
          </w:tcPr>
          <w:p>
            <w:pPr>
              <w:pStyle w:val="yTableNAm"/>
              <w:jc w:val="center"/>
              <w:rPr>
                <w:rFonts w:ascii="Arial" w:hAnsi="Arial"/>
                <w:b/>
              </w:rPr>
            </w:pPr>
            <w:r>
              <w:rPr>
                <w:szCs w:val="22"/>
              </w:rPr>
              <w:t>108.3</w:t>
            </w:r>
          </w:p>
        </w:tc>
        <w:tc>
          <w:tcPr>
            <w:tcW w:w="992" w:type="dxa"/>
            <w:vAlign w:val="bottom"/>
          </w:tcPr>
          <w:p>
            <w:pPr>
              <w:pStyle w:val="yTableNAm"/>
              <w:jc w:val="center"/>
              <w:rPr>
                <w:rFonts w:ascii="Arial" w:hAnsi="Arial"/>
                <w:b/>
              </w:rPr>
            </w:pPr>
            <w:r>
              <w:rPr>
                <w:szCs w:val="22"/>
              </w:rPr>
              <w:t>144.2</w:t>
            </w:r>
          </w:p>
        </w:tc>
        <w:tc>
          <w:tcPr>
            <w:tcW w:w="992" w:type="dxa"/>
            <w:vAlign w:val="bottom"/>
          </w:tcPr>
          <w:p>
            <w:pPr>
              <w:pStyle w:val="yTableNAm"/>
              <w:jc w:val="center"/>
              <w:rPr>
                <w:rFonts w:ascii="Arial" w:hAnsi="Arial"/>
                <w:b/>
              </w:rPr>
            </w:pPr>
            <w:r>
              <w:rPr>
                <w:szCs w:val="22"/>
              </w:rPr>
              <w:t>169.7</w:t>
            </w:r>
          </w:p>
        </w:tc>
        <w:tc>
          <w:tcPr>
            <w:tcW w:w="994" w:type="dxa"/>
            <w:vAlign w:val="bottom"/>
          </w:tcPr>
          <w:p>
            <w:pPr>
              <w:pStyle w:val="yTableNAm"/>
              <w:jc w:val="center"/>
              <w:rPr>
                <w:rFonts w:ascii="Arial" w:hAnsi="Arial"/>
                <w:b/>
              </w:rPr>
            </w:pPr>
            <w:r>
              <w:rPr>
                <w:szCs w:val="22"/>
              </w:rPr>
              <w:t>199.6</w:t>
            </w:r>
          </w:p>
        </w:tc>
      </w:tr>
      <w:tr>
        <w:trPr>
          <w:cantSplit/>
        </w:trPr>
        <w:tc>
          <w:tcPr>
            <w:tcW w:w="1417" w:type="dxa"/>
          </w:tcPr>
          <w:p>
            <w:pPr>
              <w:pStyle w:val="yTableNAm"/>
            </w:pPr>
            <w:r>
              <w:t>Over 600 but not over 750</w:t>
            </w:r>
          </w:p>
        </w:tc>
        <w:tc>
          <w:tcPr>
            <w:tcW w:w="992" w:type="dxa"/>
            <w:vAlign w:val="bottom"/>
          </w:tcPr>
          <w:p>
            <w:pPr>
              <w:pStyle w:val="yTableNAm"/>
              <w:jc w:val="center"/>
              <w:rPr>
                <w:rFonts w:ascii="Arial" w:hAnsi="Arial"/>
                <w:b/>
              </w:rPr>
            </w:pPr>
            <w:r>
              <w:rPr>
                <w:szCs w:val="22"/>
              </w:rPr>
              <w:t>157.5</w:t>
            </w:r>
          </w:p>
        </w:tc>
        <w:tc>
          <w:tcPr>
            <w:tcW w:w="992" w:type="dxa"/>
            <w:vAlign w:val="bottom"/>
          </w:tcPr>
          <w:p>
            <w:pPr>
              <w:pStyle w:val="yTableNAm"/>
              <w:jc w:val="center"/>
              <w:rPr>
                <w:rFonts w:ascii="Arial" w:hAnsi="Arial"/>
                <w:b/>
              </w:rPr>
            </w:pPr>
            <w:r>
              <w:rPr>
                <w:szCs w:val="22"/>
              </w:rPr>
              <w:t>216.5</w:t>
            </w:r>
          </w:p>
        </w:tc>
        <w:tc>
          <w:tcPr>
            <w:tcW w:w="992" w:type="dxa"/>
            <w:vAlign w:val="bottom"/>
          </w:tcPr>
          <w:p>
            <w:pPr>
              <w:pStyle w:val="yTableNAm"/>
              <w:jc w:val="center"/>
              <w:rPr>
                <w:rFonts w:ascii="Arial" w:hAnsi="Arial"/>
                <w:b/>
              </w:rPr>
            </w:pPr>
            <w:r>
              <w:rPr>
                <w:szCs w:val="22"/>
              </w:rPr>
              <w:t>288.5</w:t>
            </w:r>
          </w:p>
        </w:tc>
        <w:tc>
          <w:tcPr>
            <w:tcW w:w="992" w:type="dxa"/>
            <w:vAlign w:val="bottom"/>
          </w:tcPr>
          <w:p>
            <w:pPr>
              <w:pStyle w:val="yTableNAm"/>
              <w:jc w:val="center"/>
              <w:rPr>
                <w:rFonts w:ascii="Arial" w:hAnsi="Arial"/>
                <w:b/>
              </w:rPr>
            </w:pPr>
            <w:r>
              <w:rPr>
                <w:szCs w:val="22"/>
              </w:rPr>
              <w:t>339.3</w:t>
            </w:r>
          </w:p>
        </w:tc>
        <w:tc>
          <w:tcPr>
            <w:tcW w:w="994" w:type="dxa"/>
            <w:vAlign w:val="bottom"/>
          </w:tcPr>
          <w:p>
            <w:pPr>
              <w:pStyle w:val="yTableNAm"/>
              <w:jc w:val="center"/>
              <w:rPr>
                <w:rFonts w:ascii="Arial" w:hAnsi="Arial"/>
                <w:b/>
              </w:rPr>
            </w:pPr>
            <w:r>
              <w:rPr>
                <w:szCs w:val="22"/>
              </w:rPr>
              <w:t>399.1</w:t>
            </w:r>
          </w:p>
        </w:tc>
      </w:tr>
      <w:tr>
        <w:trPr>
          <w:cantSplit/>
        </w:trPr>
        <w:tc>
          <w:tcPr>
            <w:tcW w:w="1417" w:type="dxa"/>
            <w:tcBorders>
              <w:bottom w:val="single" w:sz="4" w:space="0" w:color="auto"/>
            </w:tcBorders>
          </w:tcPr>
          <w:p>
            <w:pPr>
              <w:pStyle w:val="yTableNAm"/>
            </w:pPr>
            <w:r>
              <w:t>Over 750</w:t>
            </w:r>
          </w:p>
        </w:tc>
        <w:tc>
          <w:tcPr>
            <w:tcW w:w="992" w:type="dxa"/>
            <w:tcBorders>
              <w:bottom w:val="single" w:sz="4" w:space="0" w:color="auto"/>
            </w:tcBorders>
            <w:vAlign w:val="bottom"/>
          </w:tcPr>
          <w:p>
            <w:pPr>
              <w:pStyle w:val="yTableNAm"/>
              <w:jc w:val="center"/>
              <w:rPr>
                <w:rFonts w:ascii="Arial" w:hAnsi="Arial"/>
                <w:b/>
              </w:rPr>
            </w:pPr>
            <w:r>
              <w:rPr>
                <w:szCs w:val="22"/>
              </w:rPr>
              <w:t>183.8</w:t>
            </w:r>
          </w:p>
        </w:tc>
        <w:tc>
          <w:tcPr>
            <w:tcW w:w="992" w:type="dxa"/>
            <w:tcBorders>
              <w:bottom w:val="single" w:sz="4" w:space="0" w:color="auto"/>
            </w:tcBorders>
            <w:vAlign w:val="bottom"/>
          </w:tcPr>
          <w:p>
            <w:pPr>
              <w:pStyle w:val="yTableNAm"/>
              <w:jc w:val="center"/>
              <w:rPr>
                <w:rFonts w:ascii="Arial" w:hAnsi="Arial"/>
                <w:b/>
              </w:rPr>
            </w:pPr>
            <w:r>
              <w:rPr>
                <w:szCs w:val="22"/>
              </w:rPr>
              <w:t>276.3</w:t>
            </w:r>
          </w:p>
        </w:tc>
        <w:tc>
          <w:tcPr>
            <w:tcW w:w="992" w:type="dxa"/>
            <w:tcBorders>
              <w:bottom w:val="single" w:sz="4" w:space="0" w:color="auto"/>
            </w:tcBorders>
            <w:vAlign w:val="bottom"/>
          </w:tcPr>
          <w:p>
            <w:pPr>
              <w:pStyle w:val="yTableNAm"/>
              <w:jc w:val="center"/>
              <w:rPr>
                <w:rFonts w:ascii="Arial" w:hAnsi="Arial"/>
                <w:b/>
              </w:rPr>
            </w:pPr>
            <w:r>
              <w:rPr>
                <w:szCs w:val="22"/>
              </w:rPr>
              <w:t>367.8</w:t>
            </w:r>
          </w:p>
        </w:tc>
        <w:tc>
          <w:tcPr>
            <w:tcW w:w="992" w:type="dxa"/>
            <w:tcBorders>
              <w:bottom w:val="single" w:sz="4" w:space="0" w:color="auto"/>
            </w:tcBorders>
            <w:vAlign w:val="bottom"/>
          </w:tcPr>
          <w:p>
            <w:pPr>
              <w:pStyle w:val="yTableNAm"/>
              <w:jc w:val="center"/>
              <w:rPr>
                <w:rFonts w:ascii="Arial" w:hAnsi="Arial"/>
                <w:b/>
              </w:rPr>
            </w:pPr>
            <w:r>
              <w:rPr>
                <w:szCs w:val="22"/>
              </w:rPr>
              <w:t>508.8</w:t>
            </w:r>
          </w:p>
        </w:tc>
        <w:tc>
          <w:tcPr>
            <w:tcW w:w="994" w:type="dxa"/>
            <w:tcBorders>
              <w:bottom w:val="single" w:sz="4" w:space="0" w:color="auto"/>
            </w:tcBorders>
            <w:vAlign w:val="bottom"/>
          </w:tcPr>
          <w:p>
            <w:pPr>
              <w:pStyle w:val="yTableNAm"/>
              <w:jc w:val="center"/>
              <w:rPr>
                <w:rFonts w:ascii="Arial" w:hAnsi="Arial"/>
                <w:b/>
              </w:rPr>
            </w:pPr>
            <w:r>
              <w:rPr>
                <w:szCs w:val="22"/>
              </w:rPr>
              <w:t>686.2</w:t>
            </w:r>
          </w:p>
        </w:tc>
      </w:tr>
    </w:tbl>
    <w:p>
      <w:pPr>
        <w:pStyle w:val="yHeading5"/>
      </w:pPr>
      <w:bookmarkStart w:id="148" w:name="_Toc398816514"/>
      <w:r>
        <w:rPr>
          <w:rStyle w:val="CharSClsNo"/>
        </w:rPr>
        <w:t>30</w:t>
      </w:r>
      <w:r>
        <w:t>.</w:t>
      </w:r>
      <w:r>
        <w:tab/>
        <w:t>Non</w:t>
      </w:r>
      <w:r>
        <w:noBreakHyphen/>
        <w:t>metropolitan residential</w:t>
      </w:r>
      <w:bookmarkEnd w:id="148"/>
    </w:p>
    <w:p>
      <w:pPr>
        <w:pStyle w:val="yMiscellaneousBody"/>
        <w:tabs>
          <w:tab w:val="left" w:pos="284"/>
          <w:tab w:val="right" w:leader="dot" w:pos="6804"/>
        </w:tabs>
        <w:spacing w:after="160"/>
        <w:ind w:left="879" w:right="1985" w:hanging="879"/>
      </w:pPr>
      <w:r>
        <w:tab/>
        <w:t>(1)</w:t>
      </w:r>
      <w:r>
        <w:tab/>
        <w:t>For each kilolitre of water supplied to land in the non</w:t>
      </w:r>
      <w:r>
        <w:noBreakHyphen/>
        <w:t xml:space="preserve">metropolitan area that is — </w:t>
      </w:r>
    </w:p>
    <w:p>
      <w:pPr>
        <w:pStyle w:val="yMiscellaneousBody"/>
        <w:tabs>
          <w:tab w:val="left" w:pos="1134"/>
          <w:tab w:val="left" w:pos="1560"/>
          <w:tab w:val="right" w:leader="dot" w:pos="6804"/>
        </w:tabs>
        <w:spacing w:before="80"/>
        <w:ind w:left="1559" w:right="1985" w:hanging="1559"/>
      </w:pPr>
      <w:r>
        <w:rPr>
          <w:szCs w:val="22"/>
        </w:rPr>
        <w:tab/>
        <w:t>(a)</w:t>
      </w:r>
      <w:r>
        <w:rPr>
          <w:szCs w:val="22"/>
        </w:rPr>
        <w:tab/>
      </w:r>
      <w:r>
        <w:t>a residential property; or</w:t>
      </w:r>
    </w:p>
    <w:p>
      <w:pPr>
        <w:pStyle w:val="yMiscellaneousBody"/>
        <w:tabs>
          <w:tab w:val="left" w:pos="1134"/>
          <w:tab w:val="left" w:pos="1560"/>
          <w:tab w:val="right" w:leader="dot" w:pos="6804"/>
        </w:tabs>
        <w:spacing w:before="80"/>
        <w:ind w:left="1559" w:right="1985" w:hanging="1559"/>
      </w:pPr>
      <w:r>
        <w:rPr>
          <w:szCs w:val="22"/>
        </w:rPr>
        <w:tab/>
        <w:t>(b)</w:t>
      </w:r>
      <w:r>
        <w:rPr>
          <w:szCs w:val="22"/>
        </w:rPr>
        <w:tab/>
      </w:r>
      <w:r>
        <w:t>classified as vacant land but held for residential purposes,</w:t>
      </w:r>
    </w:p>
    <w:p>
      <w:pPr>
        <w:pStyle w:val="yMiscellaneousBody"/>
        <w:tabs>
          <w:tab w:val="left" w:pos="284"/>
          <w:tab w:val="right" w:leader="dot" w:pos="6804"/>
        </w:tabs>
        <w:spacing w:before="120"/>
        <w:ind w:left="879" w:right="1985" w:hanging="879"/>
      </w:pPr>
      <w:r>
        <w:tab/>
      </w:r>
      <w:r>
        <w:tab/>
        <w:t xml:space="preserve">the charge, according to the residential class of the town or area in which the land is located, is — </w:t>
      </w:r>
    </w:p>
    <w:tbl>
      <w:tblPr>
        <w:tblW w:w="0" w:type="auto"/>
        <w:tblInd w:w="454" w:type="dxa"/>
        <w:tblCellMar>
          <w:left w:w="28" w:type="dxa"/>
          <w:right w:w="28" w:type="dxa"/>
        </w:tblCellMar>
        <w:tblLook w:val="0000" w:firstRow="0" w:lastRow="0" w:firstColumn="0" w:lastColumn="0" w:noHBand="0" w:noVBand="0"/>
      </w:tblPr>
      <w:tblGrid>
        <w:gridCol w:w="1417"/>
        <w:gridCol w:w="992"/>
        <w:gridCol w:w="992"/>
        <w:gridCol w:w="992"/>
        <w:gridCol w:w="992"/>
        <w:gridCol w:w="994"/>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992" w:type="dxa"/>
            <w:tcBorders>
              <w:top w:val="single" w:sz="4" w:space="0" w:color="auto"/>
              <w:bottom w:val="single" w:sz="4" w:space="0" w:color="auto"/>
            </w:tcBorders>
          </w:tcPr>
          <w:p>
            <w:pPr>
              <w:pStyle w:val="yTableNAm"/>
            </w:pPr>
            <w:r>
              <w:rPr>
                <w:b/>
                <w:bCs/>
              </w:rPr>
              <w:t>Class 1 (cents)</w:t>
            </w:r>
          </w:p>
        </w:tc>
        <w:tc>
          <w:tcPr>
            <w:tcW w:w="992" w:type="dxa"/>
            <w:tcBorders>
              <w:top w:val="single" w:sz="4" w:space="0" w:color="auto"/>
              <w:bottom w:val="single" w:sz="4" w:space="0" w:color="auto"/>
            </w:tcBorders>
          </w:tcPr>
          <w:p>
            <w:pPr>
              <w:pStyle w:val="yTableNAm"/>
            </w:pPr>
            <w:r>
              <w:rPr>
                <w:b/>
                <w:bCs/>
              </w:rPr>
              <w:t>Class 2 (cents)</w:t>
            </w:r>
          </w:p>
        </w:tc>
        <w:tc>
          <w:tcPr>
            <w:tcW w:w="992" w:type="dxa"/>
            <w:tcBorders>
              <w:top w:val="single" w:sz="4" w:space="0" w:color="auto"/>
              <w:bottom w:val="single" w:sz="4" w:space="0" w:color="auto"/>
            </w:tcBorders>
          </w:tcPr>
          <w:p>
            <w:pPr>
              <w:pStyle w:val="yTableNAm"/>
            </w:pPr>
            <w:r>
              <w:rPr>
                <w:b/>
                <w:bCs/>
              </w:rPr>
              <w:t>Class 3 (cents)</w:t>
            </w:r>
          </w:p>
        </w:tc>
        <w:tc>
          <w:tcPr>
            <w:tcW w:w="992" w:type="dxa"/>
            <w:tcBorders>
              <w:top w:val="single" w:sz="4" w:space="0" w:color="auto"/>
              <w:bottom w:val="single" w:sz="4" w:space="0" w:color="auto"/>
            </w:tcBorders>
          </w:tcPr>
          <w:p>
            <w:pPr>
              <w:pStyle w:val="yTableNAm"/>
            </w:pPr>
            <w:r>
              <w:rPr>
                <w:b/>
                <w:bCs/>
              </w:rPr>
              <w:t>Class 4 (cents)</w:t>
            </w:r>
          </w:p>
        </w:tc>
        <w:tc>
          <w:tcPr>
            <w:tcW w:w="994" w:type="dxa"/>
            <w:tcBorders>
              <w:top w:val="single" w:sz="4" w:space="0" w:color="auto"/>
              <w:bottom w:val="single" w:sz="4" w:space="0" w:color="auto"/>
            </w:tcBorders>
          </w:tcPr>
          <w:p>
            <w:pPr>
              <w:pStyle w:val="yTableNAm"/>
            </w:pPr>
            <w:r>
              <w:rPr>
                <w:b/>
                <w:bCs/>
              </w:rPr>
              <w:t>Class 5 (cents)</w:t>
            </w:r>
          </w:p>
        </w:tc>
      </w:tr>
      <w:tr>
        <w:trPr>
          <w:cantSplit/>
        </w:trPr>
        <w:tc>
          <w:tcPr>
            <w:tcW w:w="1417" w:type="dxa"/>
          </w:tcPr>
          <w:p>
            <w:pPr>
              <w:pStyle w:val="yTableNAm"/>
            </w:pPr>
            <w:r>
              <w:t>Up to 150</w:t>
            </w:r>
          </w:p>
        </w:tc>
        <w:tc>
          <w:tcPr>
            <w:tcW w:w="992" w:type="dxa"/>
            <w:vAlign w:val="bottom"/>
          </w:tcPr>
          <w:p>
            <w:pPr>
              <w:pStyle w:val="yTableNAm"/>
            </w:pPr>
            <w:r>
              <w:rPr>
                <w:szCs w:val="22"/>
              </w:rPr>
              <w:t>111.8</w:t>
            </w:r>
          </w:p>
        </w:tc>
        <w:tc>
          <w:tcPr>
            <w:tcW w:w="992" w:type="dxa"/>
            <w:vAlign w:val="bottom"/>
          </w:tcPr>
          <w:p>
            <w:pPr>
              <w:pStyle w:val="yTableNAm"/>
            </w:pPr>
            <w:r>
              <w:rPr>
                <w:szCs w:val="22"/>
              </w:rPr>
              <w:t>146.4</w:t>
            </w:r>
          </w:p>
        </w:tc>
        <w:tc>
          <w:tcPr>
            <w:tcW w:w="992" w:type="dxa"/>
            <w:vAlign w:val="bottom"/>
          </w:tcPr>
          <w:p>
            <w:pPr>
              <w:pStyle w:val="yTableNAm"/>
            </w:pPr>
            <w:r>
              <w:rPr>
                <w:szCs w:val="22"/>
              </w:rPr>
              <w:t>146.4</w:t>
            </w:r>
          </w:p>
        </w:tc>
        <w:tc>
          <w:tcPr>
            <w:tcW w:w="992" w:type="dxa"/>
            <w:vAlign w:val="bottom"/>
          </w:tcPr>
          <w:p>
            <w:pPr>
              <w:pStyle w:val="yTableNAm"/>
            </w:pPr>
            <w:r>
              <w:rPr>
                <w:szCs w:val="22"/>
              </w:rPr>
              <w:t>146.4</w:t>
            </w:r>
          </w:p>
        </w:tc>
        <w:tc>
          <w:tcPr>
            <w:tcW w:w="994" w:type="dxa"/>
            <w:vAlign w:val="bottom"/>
          </w:tcPr>
          <w:p>
            <w:pPr>
              <w:pStyle w:val="yTableNAm"/>
            </w:pPr>
            <w:r>
              <w:rPr>
                <w:szCs w:val="22"/>
              </w:rPr>
              <w:t>146.4</w:t>
            </w:r>
          </w:p>
        </w:tc>
      </w:tr>
      <w:tr>
        <w:trPr>
          <w:cantSplit/>
        </w:trPr>
        <w:tc>
          <w:tcPr>
            <w:tcW w:w="1417" w:type="dxa"/>
          </w:tcPr>
          <w:p>
            <w:pPr>
              <w:pStyle w:val="yTableNAm"/>
            </w:pPr>
            <w:r>
              <w:t>Over 150 but not over 300</w:t>
            </w:r>
          </w:p>
        </w:tc>
        <w:tc>
          <w:tcPr>
            <w:tcW w:w="992" w:type="dxa"/>
            <w:vAlign w:val="bottom"/>
          </w:tcPr>
          <w:p>
            <w:pPr>
              <w:pStyle w:val="yTableNAm"/>
            </w:pPr>
            <w:r>
              <w:rPr>
                <w:szCs w:val="22"/>
              </w:rPr>
              <w:t>148.8</w:t>
            </w:r>
          </w:p>
        </w:tc>
        <w:tc>
          <w:tcPr>
            <w:tcW w:w="992" w:type="dxa"/>
            <w:vAlign w:val="bottom"/>
          </w:tcPr>
          <w:p>
            <w:pPr>
              <w:pStyle w:val="yTableNAm"/>
            </w:pPr>
            <w:r>
              <w:rPr>
                <w:szCs w:val="22"/>
              </w:rPr>
              <w:t>195.1</w:t>
            </w:r>
          </w:p>
        </w:tc>
        <w:tc>
          <w:tcPr>
            <w:tcW w:w="992" w:type="dxa"/>
            <w:vAlign w:val="bottom"/>
          </w:tcPr>
          <w:p>
            <w:pPr>
              <w:pStyle w:val="yTableNAm"/>
            </w:pPr>
            <w:r>
              <w:rPr>
                <w:szCs w:val="22"/>
              </w:rPr>
              <w:t>195.1</w:t>
            </w:r>
          </w:p>
        </w:tc>
        <w:tc>
          <w:tcPr>
            <w:tcW w:w="992" w:type="dxa"/>
            <w:vAlign w:val="bottom"/>
          </w:tcPr>
          <w:p>
            <w:pPr>
              <w:pStyle w:val="yTableNAm"/>
            </w:pPr>
            <w:r>
              <w:rPr>
                <w:szCs w:val="22"/>
              </w:rPr>
              <w:t>195.1</w:t>
            </w:r>
          </w:p>
        </w:tc>
        <w:tc>
          <w:tcPr>
            <w:tcW w:w="994" w:type="dxa"/>
            <w:vAlign w:val="bottom"/>
          </w:tcPr>
          <w:p>
            <w:pPr>
              <w:pStyle w:val="yTableNAm"/>
            </w:pPr>
            <w:r>
              <w:rPr>
                <w:szCs w:val="22"/>
              </w:rPr>
              <w:t>195.1</w:t>
            </w:r>
          </w:p>
        </w:tc>
      </w:tr>
      <w:tr>
        <w:trPr>
          <w:cantSplit/>
        </w:trPr>
        <w:tc>
          <w:tcPr>
            <w:tcW w:w="1417" w:type="dxa"/>
          </w:tcPr>
          <w:p>
            <w:pPr>
              <w:pStyle w:val="yTableNAm"/>
            </w:pPr>
            <w:r>
              <w:t>Over 300 but not over 550</w:t>
            </w:r>
          </w:p>
        </w:tc>
        <w:tc>
          <w:tcPr>
            <w:tcW w:w="992" w:type="dxa"/>
            <w:vAlign w:val="bottom"/>
          </w:tcPr>
          <w:p>
            <w:pPr>
              <w:pStyle w:val="yTableNAm"/>
            </w:pPr>
            <w:r>
              <w:rPr>
                <w:szCs w:val="22"/>
              </w:rPr>
              <w:t>157.5</w:t>
            </w:r>
          </w:p>
        </w:tc>
        <w:tc>
          <w:tcPr>
            <w:tcW w:w="992" w:type="dxa"/>
            <w:vAlign w:val="bottom"/>
          </w:tcPr>
          <w:p>
            <w:pPr>
              <w:pStyle w:val="yTableNAm"/>
            </w:pPr>
            <w:r>
              <w:rPr>
                <w:szCs w:val="22"/>
              </w:rPr>
              <w:t>216.5</w:t>
            </w:r>
          </w:p>
        </w:tc>
        <w:tc>
          <w:tcPr>
            <w:tcW w:w="992" w:type="dxa"/>
            <w:vAlign w:val="bottom"/>
          </w:tcPr>
          <w:p>
            <w:pPr>
              <w:pStyle w:val="yTableNAm"/>
            </w:pPr>
            <w:r>
              <w:rPr>
                <w:szCs w:val="22"/>
              </w:rPr>
              <w:t>288.5</w:t>
            </w:r>
          </w:p>
        </w:tc>
        <w:tc>
          <w:tcPr>
            <w:tcW w:w="992" w:type="dxa"/>
            <w:vAlign w:val="bottom"/>
          </w:tcPr>
          <w:p>
            <w:pPr>
              <w:pStyle w:val="yTableNAm"/>
            </w:pPr>
            <w:r>
              <w:rPr>
                <w:szCs w:val="22"/>
              </w:rPr>
              <w:t>339.3</w:t>
            </w:r>
          </w:p>
        </w:tc>
        <w:tc>
          <w:tcPr>
            <w:tcW w:w="994" w:type="dxa"/>
            <w:vAlign w:val="bottom"/>
          </w:tcPr>
          <w:p>
            <w:pPr>
              <w:pStyle w:val="yTableNAm"/>
            </w:pPr>
            <w:r>
              <w:rPr>
                <w:szCs w:val="22"/>
              </w:rPr>
              <w:t>399.1</w:t>
            </w:r>
          </w:p>
        </w:tc>
      </w:tr>
      <w:tr>
        <w:trPr>
          <w:cantSplit/>
        </w:trPr>
        <w:tc>
          <w:tcPr>
            <w:tcW w:w="1417" w:type="dxa"/>
            <w:tcBorders>
              <w:bottom w:val="single" w:sz="4" w:space="0" w:color="auto"/>
            </w:tcBorders>
          </w:tcPr>
          <w:p>
            <w:pPr>
              <w:pStyle w:val="yTableNAm"/>
            </w:pPr>
            <w:r>
              <w:t>Over 550</w:t>
            </w:r>
          </w:p>
        </w:tc>
        <w:tc>
          <w:tcPr>
            <w:tcW w:w="992" w:type="dxa"/>
            <w:tcBorders>
              <w:bottom w:val="single" w:sz="4" w:space="0" w:color="auto"/>
            </w:tcBorders>
            <w:vAlign w:val="bottom"/>
          </w:tcPr>
          <w:p>
            <w:pPr>
              <w:pStyle w:val="yTableNAm"/>
            </w:pPr>
            <w:r>
              <w:rPr>
                <w:szCs w:val="22"/>
              </w:rPr>
              <w:t>183.8</w:t>
            </w:r>
          </w:p>
        </w:tc>
        <w:tc>
          <w:tcPr>
            <w:tcW w:w="992" w:type="dxa"/>
            <w:tcBorders>
              <w:bottom w:val="single" w:sz="4" w:space="0" w:color="auto"/>
            </w:tcBorders>
            <w:vAlign w:val="bottom"/>
          </w:tcPr>
          <w:p>
            <w:pPr>
              <w:pStyle w:val="yTableNAm"/>
            </w:pPr>
            <w:r>
              <w:rPr>
                <w:szCs w:val="22"/>
              </w:rPr>
              <w:t>276.3</w:t>
            </w:r>
          </w:p>
        </w:tc>
        <w:tc>
          <w:tcPr>
            <w:tcW w:w="992" w:type="dxa"/>
            <w:tcBorders>
              <w:bottom w:val="single" w:sz="4" w:space="0" w:color="auto"/>
            </w:tcBorders>
            <w:vAlign w:val="bottom"/>
          </w:tcPr>
          <w:p>
            <w:pPr>
              <w:pStyle w:val="yTableNAm"/>
            </w:pPr>
            <w:r>
              <w:rPr>
                <w:szCs w:val="22"/>
              </w:rPr>
              <w:t>367.8</w:t>
            </w:r>
          </w:p>
        </w:tc>
        <w:tc>
          <w:tcPr>
            <w:tcW w:w="992" w:type="dxa"/>
            <w:tcBorders>
              <w:bottom w:val="single" w:sz="4" w:space="0" w:color="auto"/>
            </w:tcBorders>
            <w:vAlign w:val="bottom"/>
          </w:tcPr>
          <w:p>
            <w:pPr>
              <w:pStyle w:val="yTableNAm"/>
            </w:pPr>
            <w:r>
              <w:rPr>
                <w:szCs w:val="22"/>
              </w:rPr>
              <w:t>508.8</w:t>
            </w:r>
          </w:p>
        </w:tc>
        <w:tc>
          <w:tcPr>
            <w:tcW w:w="994" w:type="dxa"/>
            <w:tcBorders>
              <w:bottom w:val="single" w:sz="4" w:space="0" w:color="auto"/>
            </w:tcBorders>
            <w:vAlign w:val="bottom"/>
          </w:tcPr>
          <w:p>
            <w:pPr>
              <w:pStyle w:val="yTableNAm"/>
            </w:pPr>
            <w:r>
              <w:rPr>
                <w:szCs w:val="22"/>
              </w:rPr>
              <w:t>686.2</w:t>
            </w:r>
          </w:p>
        </w:tc>
      </w:tr>
    </w:tbl>
    <w:p>
      <w:pPr>
        <w:pStyle w:val="yMiscellaneousBody"/>
        <w:tabs>
          <w:tab w:val="left" w:pos="284"/>
          <w:tab w:val="right" w:leader="dot" w:pos="6804"/>
        </w:tabs>
        <w:ind w:left="879" w:right="1983" w:hanging="879"/>
      </w:pPr>
      <w:r>
        <w:tab/>
        <w:t>(2)</w:t>
      </w:r>
      <w:r>
        <w:tab/>
        <w:t>Sub</w:t>
      </w:r>
      <w:r>
        <w:noBreakHyphen/>
        <w:t xml:space="preserve">item (1) applies unless the land is located — </w:t>
      </w:r>
    </w:p>
    <w:p>
      <w:pPr>
        <w:pStyle w:val="yMiscellaneousBody"/>
        <w:tabs>
          <w:tab w:val="left" w:pos="1134"/>
          <w:tab w:val="left" w:pos="1560"/>
          <w:tab w:val="right" w:leader="dot" w:pos="6804"/>
        </w:tabs>
        <w:spacing w:before="80"/>
        <w:ind w:left="1559" w:right="1985" w:hanging="1559"/>
      </w:pPr>
      <w:r>
        <w:tab/>
        <w:t>(a)</w:t>
      </w:r>
      <w:r>
        <w:tab/>
        <w:t>in the town of Cue, Laverton, Leonora, Meekatharra, Menzies, Mount Magnet, Mullewa, Sandstone, Wiluna or Yalgoo; or</w:t>
      </w:r>
    </w:p>
    <w:p>
      <w:pPr>
        <w:pStyle w:val="yMiscellaneousBody"/>
        <w:tabs>
          <w:tab w:val="left" w:pos="1134"/>
          <w:tab w:val="left" w:pos="1560"/>
          <w:tab w:val="right" w:leader="dot" w:pos="6804"/>
        </w:tabs>
        <w:spacing w:before="80"/>
        <w:ind w:left="1559" w:right="1985" w:hanging="1559"/>
      </w:pPr>
      <w:r>
        <w:tab/>
        <w:t>(b)</w:t>
      </w:r>
      <w:r>
        <w:tab/>
        <w:t>north of 26ºS Latitude,</w:t>
      </w:r>
    </w:p>
    <w:p>
      <w:pPr>
        <w:pStyle w:val="yMiscellaneousBody"/>
        <w:tabs>
          <w:tab w:val="left" w:pos="284"/>
          <w:tab w:val="right" w:leader="dot" w:pos="6804"/>
        </w:tabs>
        <w:spacing w:after="160"/>
        <w:ind w:left="879" w:right="1985" w:hanging="879"/>
      </w:pPr>
      <w:r>
        <w:tab/>
      </w:r>
      <w:r>
        <w:tab/>
        <w:t>in which case the charge, according to the residential class of the town or area in which the land is located, is —</w:t>
      </w:r>
    </w:p>
    <w:tbl>
      <w:tblPr>
        <w:tblW w:w="0" w:type="auto"/>
        <w:tblInd w:w="454" w:type="dxa"/>
        <w:tblCellMar>
          <w:left w:w="28" w:type="dxa"/>
          <w:right w:w="28" w:type="dxa"/>
        </w:tblCellMar>
        <w:tblLook w:val="0000" w:firstRow="0" w:lastRow="0" w:firstColumn="0" w:lastColumn="0" w:noHBand="0" w:noVBand="0"/>
      </w:tblPr>
      <w:tblGrid>
        <w:gridCol w:w="1417"/>
        <w:gridCol w:w="992"/>
        <w:gridCol w:w="992"/>
        <w:gridCol w:w="992"/>
        <w:gridCol w:w="992"/>
        <w:gridCol w:w="1074"/>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992" w:type="dxa"/>
            <w:tcBorders>
              <w:top w:val="single" w:sz="4" w:space="0" w:color="auto"/>
              <w:bottom w:val="single" w:sz="4" w:space="0" w:color="auto"/>
            </w:tcBorders>
          </w:tcPr>
          <w:p>
            <w:pPr>
              <w:pStyle w:val="yTableNAm"/>
            </w:pPr>
            <w:r>
              <w:rPr>
                <w:b/>
                <w:bCs/>
              </w:rPr>
              <w:t>Class 1 (cents)</w:t>
            </w:r>
          </w:p>
        </w:tc>
        <w:tc>
          <w:tcPr>
            <w:tcW w:w="992" w:type="dxa"/>
            <w:tcBorders>
              <w:top w:val="single" w:sz="4" w:space="0" w:color="auto"/>
              <w:bottom w:val="single" w:sz="4" w:space="0" w:color="auto"/>
            </w:tcBorders>
          </w:tcPr>
          <w:p>
            <w:pPr>
              <w:pStyle w:val="yTableNAm"/>
            </w:pPr>
            <w:r>
              <w:rPr>
                <w:b/>
                <w:bCs/>
              </w:rPr>
              <w:t>Class 2 (cents)</w:t>
            </w:r>
          </w:p>
        </w:tc>
        <w:tc>
          <w:tcPr>
            <w:tcW w:w="992" w:type="dxa"/>
            <w:tcBorders>
              <w:top w:val="single" w:sz="4" w:space="0" w:color="auto"/>
              <w:bottom w:val="single" w:sz="4" w:space="0" w:color="auto"/>
            </w:tcBorders>
          </w:tcPr>
          <w:p>
            <w:pPr>
              <w:pStyle w:val="yTableNAm"/>
            </w:pPr>
            <w:r>
              <w:rPr>
                <w:b/>
                <w:bCs/>
              </w:rPr>
              <w:t>Class 3 (cents)</w:t>
            </w:r>
          </w:p>
        </w:tc>
        <w:tc>
          <w:tcPr>
            <w:tcW w:w="992" w:type="dxa"/>
            <w:tcBorders>
              <w:top w:val="single" w:sz="4" w:space="0" w:color="auto"/>
              <w:bottom w:val="single" w:sz="4" w:space="0" w:color="auto"/>
            </w:tcBorders>
          </w:tcPr>
          <w:p>
            <w:pPr>
              <w:pStyle w:val="yTableNAm"/>
            </w:pPr>
            <w:r>
              <w:rPr>
                <w:b/>
                <w:bCs/>
              </w:rPr>
              <w:t>Class 4 (cents)</w:t>
            </w:r>
          </w:p>
        </w:tc>
        <w:tc>
          <w:tcPr>
            <w:tcW w:w="1074" w:type="dxa"/>
            <w:tcBorders>
              <w:top w:val="single" w:sz="4" w:space="0" w:color="auto"/>
              <w:bottom w:val="single" w:sz="4" w:space="0" w:color="auto"/>
            </w:tcBorders>
          </w:tcPr>
          <w:p>
            <w:pPr>
              <w:pStyle w:val="yTableNAm"/>
            </w:pPr>
            <w:r>
              <w:rPr>
                <w:b/>
                <w:bCs/>
              </w:rPr>
              <w:t>Class 5 (cents)</w:t>
            </w:r>
          </w:p>
        </w:tc>
      </w:tr>
      <w:tr>
        <w:trPr>
          <w:cantSplit/>
        </w:trPr>
        <w:tc>
          <w:tcPr>
            <w:tcW w:w="1417" w:type="dxa"/>
          </w:tcPr>
          <w:p>
            <w:pPr>
              <w:pStyle w:val="yTableNAm"/>
            </w:pPr>
            <w:r>
              <w:t>Up to 350</w:t>
            </w:r>
          </w:p>
        </w:tc>
        <w:tc>
          <w:tcPr>
            <w:tcW w:w="992" w:type="dxa"/>
            <w:vAlign w:val="bottom"/>
          </w:tcPr>
          <w:p>
            <w:pPr>
              <w:pStyle w:val="yTableNAm"/>
            </w:pPr>
            <w:r>
              <w:rPr>
                <w:szCs w:val="22"/>
              </w:rPr>
              <w:t>111.8</w:t>
            </w:r>
          </w:p>
        </w:tc>
        <w:tc>
          <w:tcPr>
            <w:tcW w:w="992" w:type="dxa"/>
            <w:vAlign w:val="bottom"/>
          </w:tcPr>
          <w:p>
            <w:pPr>
              <w:pStyle w:val="yTableNAm"/>
            </w:pPr>
            <w:r>
              <w:rPr>
                <w:szCs w:val="22"/>
              </w:rPr>
              <w:t>146.4</w:t>
            </w:r>
          </w:p>
        </w:tc>
        <w:tc>
          <w:tcPr>
            <w:tcW w:w="992" w:type="dxa"/>
            <w:vAlign w:val="bottom"/>
          </w:tcPr>
          <w:p>
            <w:pPr>
              <w:pStyle w:val="yTableNAm"/>
            </w:pPr>
            <w:r>
              <w:rPr>
                <w:szCs w:val="22"/>
              </w:rPr>
              <w:t>146.4</w:t>
            </w:r>
          </w:p>
        </w:tc>
        <w:tc>
          <w:tcPr>
            <w:tcW w:w="992" w:type="dxa"/>
            <w:vAlign w:val="bottom"/>
          </w:tcPr>
          <w:p>
            <w:pPr>
              <w:pStyle w:val="yTableNAm"/>
            </w:pPr>
            <w:r>
              <w:rPr>
                <w:szCs w:val="22"/>
              </w:rPr>
              <w:t>146.4</w:t>
            </w:r>
          </w:p>
        </w:tc>
        <w:tc>
          <w:tcPr>
            <w:tcW w:w="1074" w:type="dxa"/>
            <w:vAlign w:val="bottom"/>
          </w:tcPr>
          <w:p>
            <w:pPr>
              <w:pStyle w:val="yTableNAm"/>
            </w:pPr>
            <w:r>
              <w:rPr>
                <w:szCs w:val="22"/>
              </w:rPr>
              <w:t>146.4</w:t>
            </w:r>
          </w:p>
        </w:tc>
      </w:tr>
      <w:tr>
        <w:trPr>
          <w:cantSplit/>
        </w:trPr>
        <w:tc>
          <w:tcPr>
            <w:tcW w:w="1417" w:type="dxa"/>
          </w:tcPr>
          <w:p>
            <w:pPr>
              <w:pStyle w:val="yTableNAm"/>
            </w:pPr>
            <w:r>
              <w:t>Over 350 but not over 500</w:t>
            </w:r>
          </w:p>
        </w:tc>
        <w:tc>
          <w:tcPr>
            <w:tcW w:w="992" w:type="dxa"/>
            <w:vAlign w:val="bottom"/>
          </w:tcPr>
          <w:p>
            <w:pPr>
              <w:pStyle w:val="yTableNAm"/>
            </w:pPr>
            <w:r>
              <w:rPr>
                <w:szCs w:val="22"/>
              </w:rPr>
              <w:t>148.8</w:t>
            </w:r>
          </w:p>
        </w:tc>
        <w:tc>
          <w:tcPr>
            <w:tcW w:w="992" w:type="dxa"/>
            <w:vAlign w:val="bottom"/>
          </w:tcPr>
          <w:p>
            <w:pPr>
              <w:pStyle w:val="yTableNAm"/>
            </w:pPr>
            <w:r>
              <w:rPr>
                <w:szCs w:val="22"/>
              </w:rPr>
              <w:t>195.1</w:t>
            </w:r>
          </w:p>
        </w:tc>
        <w:tc>
          <w:tcPr>
            <w:tcW w:w="992" w:type="dxa"/>
            <w:vAlign w:val="bottom"/>
          </w:tcPr>
          <w:p>
            <w:pPr>
              <w:pStyle w:val="yTableNAm"/>
            </w:pPr>
            <w:r>
              <w:rPr>
                <w:szCs w:val="22"/>
              </w:rPr>
              <w:t>195.1</w:t>
            </w:r>
          </w:p>
        </w:tc>
        <w:tc>
          <w:tcPr>
            <w:tcW w:w="992" w:type="dxa"/>
            <w:vAlign w:val="bottom"/>
          </w:tcPr>
          <w:p>
            <w:pPr>
              <w:pStyle w:val="yTableNAm"/>
            </w:pPr>
            <w:r>
              <w:rPr>
                <w:szCs w:val="22"/>
              </w:rPr>
              <w:t>195.1</w:t>
            </w:r>
          </w:p>
        </w:tc>
        <w:tc>
          <w:tcPr>
            <w:tcW w:w="1074" w:type="dxa"/>
            <w:vAlign w:val="bottom"/>
          </w:tcPr>
          <w:p>
            <w:pPr>
              <w:pStyle w:val="yTableNAm"/>
            </w:pPr>
            <w:r>
              <w:rPr>
                <w:szCs w:val="22"/>
              </w:rPr>
              <w:t>195.1</w:t>
            </w:r>
          </w:p>
        </w:tc>
      </w:tr>
      <w:tr>
        <w:trPr>
          <w:cantSplit/>
        </w:trPr>
        <w:tc>
          <w:tcPr>
            <w:tcW w:w="1417" w:type="dxa"/>
          </w:tcPr>
          <w:p>
            <w:pPr>
              <w:pStyle w:val="yTableNAm"/>
            </w:pPr>
            <w:r>
              <w:t>Over 500 but not over 750</w:t>
            </w:r>
          </w:p>
        </w:tc>
        <w:tc>
          <w:tcPr>
            <w:tcW w:w="992" w:type="dxa"/>
            <w:vAlign w:val="bottom"/>
          </w:tcPr>
          <w:p>
            <w:pPr>
              <w:pStyle w:val="yTableNAm"/>
            </w:pPr>
            <w:r>
              <w:rPr>
                <w:szCs w:val="22"/>
              </w:rPr>
              <w:t>157.5</w:t>
            </w:r>
          </w:p>
        </w:tc>
        <w:tc>
          <w:tcPr>
            <w:tcW w:w="992" w:type="dxa"/>
            <w:vAlign w:val="bottom"/>
          </w:tcPr>
          <w:p>
            <w:pPr>
              <w:pStyle w:val="yTableNAm"/>
            </w:pPr>
            <w:r>
              <w:rPr>
                <w:szCs w:val="22"/>
              </w:rPr>
              <w:t>216.5</w:t>
            </w:r>
          </w:p>
        </w:tc>
        <w:tc>
          <w:tcPr>
            <w:tcW w:w="992" w:type="dxa"/>
            <w:vAlign w:val="bottom"/>
          </w:tcPr>
          <w:p>
            <w:pPr>
              <w:pStyle w:val="yTableNAm"/>
            </w:pPr>
            <w:r>
              <w:rPr>
                <w:szCs w:val="22"/>
              </w:rPr>
              <w:t>288.5</w:t>
            </w:r>
          </w:p>
        </w:tc>
        <w:tc>
          <w:tcPr>
            <w:tcW w:w="992" w:type="dxa"/>
            <w:vAlign w:val="bottom"/>
          </w:tcPr>
          <w:p>
            <w:pPr>
              <w:pStyle w:val="yTableNAm"/>
            </w:pPr>
            <w:r>
              <w:rPr>
                <w:szCs w:val="22"/>
              </w:rPr>
              <w:t>339.3</w:t>
            </w:r>
          </w:p>
        </w:tc>
        <w:tc>
          <w:tcPr>
            <w:tcW w:w="1074" w:type="dxa"/>
            <w:vAlign w:val="bottom"/>
          </w:tcPr>
          <w:p>
            <w:pPr>
              <w:pStyle w:val="yTableNAm"/>
            </w:pPr>
            <w:r>
              <w:rPr>
                <w:szCs w:val="22"/>
              </w:rPr>
              <w:t>399.1</w:t>
            </w:r>
          </w:p>
        </w:tc>
      </w:tr>
      <w:tr>
        <w:trPr>
          <w:cantSplit/>
        </w:trPr>
        <w:tc>
          <w:tcPr>
            <w:tcW w:w="1417" w:type="dxa"/>
            <w:tcBorders>
              <w:bottom w:val="single" w:sz="4" w:space="0" w:color="auto"/>
            </w:tcBorders>
          </w:tcPr>
          <w:p>
            <w:pPr>
              <w:pStyle w:val="yTableNAm"/>
            </w:pPr>
            <w:r>
              <w:t>Over 750</w:t>
            </w:r>
          </w:p>
        </w:tc>
        <w:tc>
          <w:tcPr>
            <w:tcW w:w="992" w:type="dxa"/>
            <w:tcBorders>
              <w:bottom w:val="single" w:sz="4" w:space="0" w:color="auto"/>
            </w:tcBorders>
            <w:vAlign w:val="bottom"/>
          </w:tcPr>
          <w:p>
            <w:pPr>
              <w:pStyle w:val="yTableNAm"/>
            </w:pPr>
            <w:r>
              <w:rPr>
                <w:szCs w:val="22"/>
              </w:rPr>
              <w:t>183.8</w:t>
            </w:r>
          </w:p>
        </w:tc>
        <w:tc>
          <w:tcPr>
            <w:tcW w:w="992" w:type="dxa"/>
            <w:tcBorders>
              <w:bottom w:val="single" w:sz="4" w:space="0" w:color="auto"/>
            </w:tcBorders>
            <w:vAlign w:val="bottom"/>
          </w:tcPr>
          <w:p>
            <w:pPr>
              <w:pStyle w:val="yTableNAm"/>
            </w:pPr>
            <w:r>
              <w:rPr>
                <w:szCs w:val="22"/>
              </w:rPr>
              <w:t>276.3</w:t>
            </w:r>
          </w:p>
        </w:tc>
        <w:tc>
          <w:tcPr>
            <w:tcW w:w="992" w:type="dxa"/>
            <w:tcBorders>
              <w:bottom w:val="single" w:sz="4" w:space="0" w:color="auto"/>
            </w:tcBorders>
            <w:vAlign w:val="bottom"/>
          </w:tcPr>
          <w:p>
            <w:pPr>
              <w:pStyle w:val="yTableNAm"/>
            </w:pPr>
            <w:r>
              <w:rPr>
                <w:szCs w:val="22"/>
              </w:rPr>
              <w:t>367.8</w:t>
            </w:r>
          </w:p>
        </w:tc>
        <w:tc>
          <w:tcPr>
            <w:tcW w:w="992" w:type="dxa"/>
            <w:tcBorders>
              <w:bottom w:val="single" w:sz="4" w:space="0" w:color="auto"/>
            </w:tcBorders>
            <w:vAlign w:val="bottom"/>
          </w:tcPr>
          <w:p>
            <w:pPr>
              <w:pStyle w:val="yTableNAm"/>
            </w:pPr>
            <w:r>
              <w:rPr>
                <w:szCs w:val="22"/>
              </w:rPr>
              <w:t>508.8</w:t>
            </w:r>
          </w:p>
        </w:tc>
        <w:tc>
          <w:tcPr>
            <w:tcW w:w="1074" w:type="dxa"/>
            <w:tcBorders>
              <w:bottom w:val="single" w:sz="4" w:space="0" w:color="auto"/>
            </w:tcBorders>
            <w:vAlign w:val="bottom"/>
          </w:tcPr>
          <w:p>
            <w:pPr>
              <w:pStyle w:val="yTableNAm"/>
            </w:pPr>
            <w:r>
              <w:rPr>
                <w:szCs w:val="22"/>
              </w:rPr>
              <w:t>686.2</w:t>
            </w:r>
          </w:p>
        </w:tc>
      </w:tr>
    </w:tbl>
    <w:p>
      <w:pPr>
        <w:pStyle w:val="yMiscellaneousBody"/>
        <w:tabs>
          <w:tab w:val="left" w:pos="284"/>
          <w:tab w:val="right" w:leader="dot" w:pos="6804"/>
        </w:tabs>
        <w:spacing w:after="160"/>
        <w:ind w:left="879" w:right="1985" w:hanging="879"/>
      </w:pPr>
      <w:r>
        <w:tab/>
        <w:t>(3)</w:t>
      </w:r>
      <w:r>
        <w:tab/>
        <w:t>A charge under sub</w:t>
      </w:r>
      <w:r>
        <w:noBreakHyphen/>
        <w:t>item (1) or (2) does not apply to the supply of water for which a more specific charge is provided in this Subdivision.</w:t>
      </w:r>
    </w:p>
    <w:p>
      <w:pPr>
        <w:pStyle w:val="yHeading5"/>
      </w:pPr>
      <w:bookmarkStart w:id="149" w:name="_Toc398816515"/>
      <w:r>
        <w:rPr>
          <w:rStyle w:val="CharSClsNo"/>
        </w:rPr>
        <w:t>31</w:t>
      </w:r>
      <w:r>
        <w:t>.</w:t>
      </w:r>
      <w:r>
        <w:tab/>
        <w:t>Non</w:t>
      </w:r>
      <w:r>
        <w:noBreakHyphen/>
        <w:t>metropolitan non</w:t>
      </w:r>
      <w:r>
        <w:noBreakHyphen/>
        <w:t>residential</w:t>
      </w:r>
      <w:bookmarkEnd w:id="149"/>
    </w:p>
    <w:p>
      <w:pPr>
        <w:pStyle w:val="yMiscellaneousBody"/>
        <w:tabs>
          <w:tab w:val="left" w:pos="284"/>
          <w:tab w:val="right" w:leader="dot" w:pos="6804"/>
        </w:tabs>
        <w:spacing w:after="160"/>
        <w:ind w:left="879" w:right="1985" w:hanging="879"/>
        <w:rPr>
          <w:szCs w:val="22"/>
        </w:rPr>
      </w:pPr>
      <w:r>
        <w:tab/>
        <w:t>(1)</w:t>
      </w:r>
      <w:r>
        <w:tab/>
      </w:r>
      <w:r>
        <w:rPr>
          <w:szCs w:val="22"/>
        </w:rPr>
        <w:t xml:space="preserve">For each </w:t>
      </w:r>
      <w:r>
        <w:t>kilolitre of water supplied to land in the non</w:t>
      </w:r>
      <w:r>
        <w:noBreakHyphen/>
        <w:t>metropolitan</w:t>
      </w:r>
      <w:r>
        <w:rPr>
          <w:szCs w:val="22"/>
        </w:rPr>
        <w:t xml:space="preserve"> area </w:t>
      </w:r>
      <w:r>
        <w:t>that is</w:t>
      </w:r>
      <w:r>
        <w:rPr>
          <w:szCs w:val="22"/>
        </w:rPr>
        <w:t xml:space="preserve"> neither classified as residential nor </w:t>
      </w:r>
      <w:r>
        <w:t>classified as vacant land but held for residential purposes,</w:t>
      </w:r>
      <w:r>
        <w:rPr>
          <w:szCs w:val="22"/>
        </w:rPr>
        <w:t xml:space="preserve"> the charge is —</w:t>
      </w:r>
    </w:p>
    <w:p>
      <w:pPr>
        <w:pStyle w:val="yMiscellaneousBody"/>
        <w:tabs>
          <w:tab w:val="left" w:pos="1134"/>
          <w:tab w:val="right" w:leader="dot" w:pos="6804"/>
        </w:tabs>
        <w:spacing w:before="80"/>
        <w:ind w:left="1560" w:right="1985" w:hanging="1701"/>
      </w:pPr>
      <w:r>
        <w:rPr>
          <w:szCs w:val="22"/>
        </w:rPr>
        <w:tab/>
        <w:t>(a)</w:t>
      </w:r>
      <w:r>
        <w:rPr>
          <w:szCs w:val="22"/>
        </w:rPr>
        <w:tab/>
      </w:r>
      <w:r>
        <w:t xml:space="preserve">if the land is classified as local government, institutional public or charitable purposes </w:t>
      </w:r>
      <w:r>
        <w:tab/>
        <w:t xml:space="preserve"> 208.3 cents</w:t>
      </w:r>
    </w:p>
    <w:p>
      <w:pPr>
        <w:pStyle w:val="yMiscellaneousBody"/>
        <w:tabs>
          <w:tab w:val="left" w:pos="1134"/>
          <w:tab w:val="right" w:leader="dot" w:pos="6804"/>
        </w:tabs>
        <w:spacing w:before="80"/>
        <w:ind w:left="1560" w:right="1985" w:hanging="1701"/>
      </w:pPr>
      <w:r>
        <w:tab/>
        <w:t>(b)</w:t>
      </w:r>
      <w:r>
        <w:tab/>
        <w:t xml:space="preserve">if the land is classified as farmland </w:t>
      </w:r>
      <w:r>
        <w:tab/>
        <w:t xml:space="preserve"> 190.9 cents</w:t>
      </w:r>
    </w:p>
    <w:p>
      <w:pPr>
        <w:pStyle w:val="yMiscellaneousBody"/>
        <w:tabs>
          <w:tab w:val="left" w:pos="1134"/>
          <w:tab w:val="right" w:leader="dot" w:pos="6804"/>
        </w:tabs>
        <w:spacing w:before="80"/>
        <w:ind w:left="1560" w:right="1985" w:hanging="1701"/>
        <w:rPr>
          <w:szCs w:val="22"/>
        </w:rPr>
      </w:pPr>
      <w:r>
        <w:tab/>
        <w:t>(c)</w:t>
      </w:r>
      <w:r>
        <w:tab/>
        <w:t>if the land is classified as mining</w:t>
      </w:r>
      <w:r>
        <w:rPr>
          <w:szCs w:val="22"/>
        </w:rPr>
        <w:t> — the charge applicable in the Table in item 25 according to the non</w:t>
      </w:r>
      <w:r>
        <w:rPr>
          <w:szCs w:val="22"/>
        </w:rPr>
        <w:noBreakHyphen/>
        <w:t>residential class of the town or area in which the land is located, except that the Table is to have effect as if the charge for classes 10 to 15 were 442.0 cents;</w:t>
      </w:r>
    </w:p>
    <w:p>
      <w:pPr>
        <w:pStyle w:val="yMiscellaneousBody"/>
        <w:tabs>
          <w:tab w:val="left" w:pos="1134"/>
          <w:tab w:val="right" w:leader="dot" w:pos="6804"/>
        </w:tabs>
        <w:spacing w:before="80"/>
        <w:ind w:left="1560" w:right="1985" w:hanging="1701"/>
        <w:rPr>
          <w:szCs w:val="22"/>
        </w:rPr>
      </w:pPr>
      <w:r>
        <w:tab/>
        <w:t>(d)</w:t>
      </w:r>
      <w:r>
        <w:tab/>
        <w:t>if the land is classified as non</w:t>
      </w:r>
      <w:r>
        <w:noBreakHyphen/>
        <w:t>residential or vacant land</w:t>
      </w:r>
      <w:r>
        <w:rPr>
          <w:szCs w:val="22"/>
        </w:rPr>
        <w:t> — the charge applicable in the Table in item 25 according to the non</w:t>
      </w:r>
      <w:r>
        <w:rPr>
          <w:szCs w:val="22"/>
        </w:rPr>
        <w:noBreakHyphen/>
        <w:t>residential class of the town or area in which the land is located;</w:t>
      </w:r>
    </w:p>
    <w:p>
      <w:pPr>
        <w:pStyle w:val="yMiscellaneousBody"/>
        <w:tabs>
          <w:tab w:val="left" w:pos="1134"/>
          <w:tab w:val="right" w:leader="dot" w:pos="6804"/>
        </w:tabs>
        <w:spacing w:before="80"/>
        <w:ind w:left="1560" w:right="1985" w:hanging="1701"/>
        <w:rPr>
          <w:szCs w:val="22"/>
        </w:rPr>
      </w:pPr>
      <w:r>
        <w:rPr>
          <w:szCs w:val="22"/>
        </w:rPr>
        <w:tab/>
        <w:t>(e)</w:t>
      </w:r>
      <w:r>
        <w:rPr>
          <w:szCs w:val="22"/>
        </w:rPr>
        <w:tab/>
      </w:r>
      <w:r>
        <w:t>if the land is classified as commercial residential</w:t>
      </w:r>
      <w:r>
        <w:rPr>
          <w:szCs w:val="22"/>
        </w:rPr>
        <w:t> —</w:t>
      </w:r>
    </w:p>
    <w:p>
      <w:pPr>
        <w:pStyle w:val="yMiscellaneousBody"/>
        <w:tabs>
          <w:tab w:val="left" w:pos="1134"/>
          <w:tab w:val="right" w:leader="dot" w:pos="6804"/>
        </w:tabs>
        <w:spacing w:before="80"/>
        <w:ind w:left="1701" w:right="1985" w:hanging="1842"/>
        <w:rPr>
          <w:szCs w:val="22"/>
        </w:rPr>
      </w:pPr>
      <w:r>
        <w:tab/>
      </w:r>
      <w:r>
        <w:tab/>
        <w:t xml:space="preserve">up to 150 kL </w:t>
      </w:r>
      <w:r>
        <w:tab/>
        <w:t xml:space="preserve"> </w:t>
      </w:r>
      <w:r>
        <w:rPr>
          <w:szCs w:val="22"/>
        </w:rPr>
        <w:t>146.4 cents</w:t>
      </w:r>
    </w:p>
    <w:p>
      <w:pPr>
        <w:pStyle w:val="yMiscellaneousBody"/>
        <w:tabs>
          <w:tab w:val="left" w:pos="1134"/>
          <w:tab w:val="right" w:leader="dot" w:pos="6804"/>
        </w:tabs>
        <w:spacing w:before="80"/>
        <w:ind w:left="1701" w:right="1985" w:hanging="1842"/>
        <w:rPr>
          <w:szCs w:val="22"/>
        </w:rPr>
      </w:pPr>
      <w:r>
        <w:tab/>
      </w:r>
      <w:r>
        <w:tab/>
        <w:t>over 150 kL</w:t>
      </w:r>
      <w:r>
        <w:rPr>
          <w:szCs w:val="22"/>
        </w:rPr>
        <w:t> — the charge applicable in the Table in item 25 according to the non</w:t>
      </w:r>
      <w:r>
        <w:rPr>
          <w:szCs w:val="22"/>
        </w:rPr>
        <w:noBreakHyphen/>
        <w:t>residential class of the town or area in which the land is located.</w:t>
      </w:r>
    </w:p>
    <w:p>
      <w:pPr>
        <w:pStyle w:val="yMiscellaneousBody"/>
        <w:tabs>
          <w:tab w:val="left" w:pos="284"/>
          <w:tab w:val="right" w:leader="dot" w:pos="6804"/>
        </w:tabs>
        <w:spacing w:after="160"/>
        <w:ind w:left="879" w:right="1985" w:hanging="879"/>
      </w:pPr>
      <w:r>
        <w:rPr>
          <w:szCs w:val="22"/>
        </w:rPr>
        <w:tab/>
        <w:t>(2)</w:t>
      </w:r>
      <w:r>
        <w:rPr>
          <w:szCs w:val="22"/>
        </w:rPr>
        <w:tab/>
      </w:r>
      <w:r>
        <w:t>A charge under sub</w:t>
      </w:r>
      <w:r>
        <w:noBreakHyphen/>
        <w:t>item (1) does not apply to the supply of water for which a more specific charge is provided in this Subdivision.</w:t>
      </w:r>
    </w:p>
    <w:p>
      <w:pPr>
        <w:pStyle w:val="yHeading5"/>
      </w:pPr>
      <w:bookmarkStart w:id="150" w:name="_Toc398816516"/>
      <w:r>
        <w:rPr>
          <w:rStyle w:val="CharSClsNo"/>
        </w:rPr>
        <w:t>32</w:t>
      </w:r>
      <w:r>
        <w:t>.</w:t>
      </w:r>
      <w:r>
        <w:tab/>
        <w:t>Non</w:t>
      </w:r>
      <w:r>
        <w:noBreakHyphen/>
        <w:t>metropolitan residential concessional</w:t>
      </w:r>
      <w:bookmarkEnd w:id="150"/>
    </w:p>
    <w:p>
      <w:pPr>
        <w:pStyle w:val="yMiscellaneousBody"/>
        <w:tabs>
          <w:tab w:val="left" w:pos="284"/>
          <w:tab w:val="right" w:leader="dot" w:pos="6804"/>
        </w:tabs>
        <w:spacing w:after="160"/>
        <w:ind w:left="879" w:right="1985" w:hanging="879"/>
      </w:pPr>
      <w:r>
        <w:tab/>
        <w:t>(1)</w:t>
      </w:r>
      <w:r>
        <w:tab/>
      </w:r>
      <w:r>
        <w:rPr>
          <w:szCs w:val="22"/>
        </w:rPr>
        <w:t xml:space="preserve">For each </w:t>
      </w:r>
      <w:r>
        <w:t>kilolitre of water supplied to concessional land in the non</w:t>
      </w:r>
      <w:r>
        <w:noBreakHyphen/>
        <w:t>metropolitan</w:t>
      </w:r>
      <w:r>
        <w:rPr>
          <w:szCs w:val="22"/>
        </w:rPr>
        <w:t xml:space="preserve"> area </w:t>
      </w:r>
      <w:r>
        <w:t xml:space="preserve">that is contained in a </w:t>
      </w:r>
      <w:r>
        <w:rPr>
          <w:szCs w:val="22"/>
        </w:rPr>
        <w:t xml:space="preserve">residential </w:t>
      </w:r>
      <w:r>
        <w:t>property</w:t>
      </w:r>
      <w:r>
        <w:rPr>
          <w:szCs w:val="22"/>
        </w:rPr>
        <w:t xml:space="preserve">, the charge is </w:t>
      </w:r>
      <w:r>
        <w:rPr>
          <w:szCs w:val="22"/>
        </w:rPr>
        <w:tab/>
        <w:t xml:space="preserve"> 208</w:t>
      </w:r>
      <w:r>
        <w:t>.3 cents</w:t>
      </w:r>
    </w:p>
    <w:p>
      <w:pPr>
        <w:pStyle w:val="yMiscellaneousBody"/>
        <w:tabs>
          <w:tab w:val="left" w:pos="284"/>
          <w:tab w:val="right" w:leader="dot" w:pos="6804"/>
        </w:tabs>
        <w:spacing w:after="160"/>
        <w:ind w:left="879" w:right="1985" w:hanging="879"/>
      </w:pPr>
      <w:r>
        <w:tab/>
        <w:t>(2)</w:t>
      </w:r>
      <w:r>
        <w:tab/>
        <w:t>A charge under sub</w:t>
      </w:r>
      <w:r>
        <w:noBreakHyphen/>
        <w:t>item (1) does not apply to the supply of water for which a more specific charge is provided in this Subdivision.</w:t>
      </w:r>
    </w:p>
    <w:p>
      <w:pPr>
        <w:pStyle w:val="yHeading5"/>
      </w:pPr>
      <w:bookmarkStart w:id="151" w:name="_Toc398816517"/>
      <w:r>
        <w:rPr>
          <w:rStyle w:val="CharSClsNo"/>
        </w:rPr>
        <w:t>33</w:t>
      </w:r>
      <w:r>
        <w:t>.</w:t>
      </w:r>
      <w:r>
        <w:tab/>
        <w:t>Strata</w:t>
      </w:r>
      <w:r>
        <w:noBreakHyphen/>
        <w:t>titled or long</w:t>
      </w:r>
      <w:r>
        <w:noBreakHyphen/>
        <w:t>term residential caravan bays</w:t>
      </w:r>
      <w:bookmarkEnd w:id="151"/>
    </w:p>
    <w:p>
      <w:pPr>
        <w:pStyle w:val="yMiscellaneousBody"/>
        <w:tabs>
          <w:tab w:val="left" w:pos="284"/>
          <w:tab w:val="right" w:leader="dot" w:pos="6804"/>
        </w:tabs>
        <w:spacing w:after="160"/>
        <w:ind w:left="879" w:right="1985" w:hanging="879"/>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tabs>
          <w:tab w:val="left" w:pos="1134"/>
          <w:tab w:val="right" w:leader="dot" w:pos="6804"/>
        </w:tabs>
        <w:spacing w:before="80"/>
        <w:ind w:left="1560" w:right="1985" w:hanging="1701"/>
      </w:pPr>
      <w:r>
        <w:tab/>
        <w:t xml:space="preserve">up to 150 kL </w:t>
      </w:r>
      <w:r>
        <w:tab/>
        <w:t xml:space="preserve"> 146.4 cents</w:t>
      </w:r>
    </w:p>
    <w:p>
      <w:pPr>
        <w:pStyle w:val="yMiscellaneousBody"/>
        <w:tabs>
          <w:tab w:val="left" w:pos="1134"/>
          <w:tab w:val="right" w:leader="dot" w:pos="6804"/>
        </w:tabs>
        <w:spacing w:before="80"/>
        <w:ind w:left="1560" w:right="1985" w:hanging="1701"/>
      </w:pPr>
      <w:r>
        <w:tab/>
        <w:t xml:space="preserve">over 150 kL </w:t>
      </w:r>
      <w:r>
        <w:tab/>
        <w:t xml:space="preserve"> 205.6 cents</w:t>
      </w:r>
    </w:p>
    <w:p>
      <w:pPr>
        <w:pStyle w:val="yMiscellaneousBody"/>
        <w:tabs>
          <w:tab w:val="left" w:pos="284"/>
          <w:tab w:val="right" w:leader="dot" w:pos="6804"/>
        </w:tabs>
        <w:spacing w:after="160"/>
        <w:ind w:left="879" w:right="1985" w:hanging="879"/>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tabs>
          <w:tab w:val="left" w:pos="1134"/>
          <w:tab w:val="right" w:leader="dot" w:pos="6804"/>
        </w:tabs>
        <w:spacing w:before="80"/>
        <w:ind w:left="1560" w:right="1985" w:hanging="1701"/>
      </w:pPr>
      <w:r>
        <w:tab/>
        <w:t xml:space="preserve">up to 150 kL </w:t>
      </w:r>
      <w:r>
        <w:tab/>
        <w:t xml:space="preserve"> 146.4 cents</w:t>
      </w:r>
    </w:p>
    <w:p>
      <w:pPr>
        <w:pStyle w:val="yMiscellaneousBody"/>
        <w:tabs>
          <w:tab w:val="left" w:pos="1134"/>
          <w:tab w:val="right" w:leader="dot" w:pos="6804"/>
        </w:tabs>
        <w:spacing w:before="80"/>
        <w:ind w:left="1134" w:right="1985" w:hanging="1701"/>
      </w:pPr>
      <w:r>
        <w:tab/>
        <w:t xml:space="preserve">over 150 kL — the </w:t>
      </w:r>
      <w:r>
        <w:rPr>
          <w:szCs w:val="22"/>
        </w:rPr>
        <w:t xml:space="preserve">charge applicable in the Table in item 25 </w:t>
      </w:r>
      <w:r>
        <w:t>according to the residential class of the town or area in which the bay is located.</w:t>
      </w:r>
    </w:p>
    <w:p>
      <w:pPr>
        <w:pStyle w:val="yMiscellaneousBody"/>
        <w:tabs>
          <w:tab w:val="left" w:pos="284"/>
          <w:tab w:val="right" w:leader="dot" w:pos="6804"/>
        </w:tabs>
        <w:spacing w:after="160"/>
        <w:ind w:left="879" w:right="1985" w:hanging="879"/>
      </w:pPr>
      <w:r>
        <w:tab/>
        <w:t>(3)</w:t>
      </w:r>
      <w:r>
        <w:tab/>
        <w:t>Sub</w:t>
      </w:r>
      <w:r>
        <w:noBreakHyphen/>
        <w:t>items (1) and (2) do not apply to long</w:t>
      </w:r>
      <w:r>
        <w:noBreakHyphen/>
        <w:t>term residential caravan bays referred to in regulation 27(2)(a).</w:t>
      </w:r>
    </w:p>
    <w:p>
      <w:pPr>
        <w:pStyle w:val="yHeading5"/>
      </w:pPr>
      <w:bookmarkStart w:id="152" w:name="_Toc398816518"/>
      <w:r>
        <w:rPr>
          <w:rStyle w:val="CharSClsNo"/>
        </w:rPr>
        <w:t>34</w:t>
      </w:r>
      <w:r>
        <w:t>.</w:t>
      </w:r>
      <w:r>
        <w:tab/>
        <w:t>Government trading organisations and non</w:t>
      </w:r>
      <w:r>
        <w:noBreakHyphen/>
        <w:t>commercial government property</w:t>
      </w:r>
      <w:bookmarkEnd w:id="152"/>
    </w:p>
    <w:p>
      <w:pPr>
        <w:pStyle w:val="yMiscellaneousBody"/>
        <w:tabs>
          <w:tab w:val="left" w:pos="284"/>
          <w:tab w:val="right" w:leader="dot" w:pos="6804"/>
        </w:tabs>
        <w:spacing w:after="160"/>
        <w:ind w:left="879" w:right="1985" w:hanging="879"/>
      </w:pPr>
      <w:r>
        <w:tab/>
        <w:t>(1)</w:t>
      </w:r>
      <w:r>
        <w:tab/>
      </w:r>
      <w:r>
        <w:rPr>
          <w:szCs w:val="22"/>
        </w:rPr>
        <w:t>This item applies to land held by a government trading organisation, or a public authority that holds non</w:t>
      </w:r>
      <w:r>
        <w:rPr>
          <w:szCs w:val="22"/>
        </w:rPr>
        <w:noBreakHyphen/>
        <w:t>commercial government property, in respect of which a water service charge set out in item 28 or 31(1)(a) would, but for this item, apply.</w:t>
      </w:r>
    </w:p>
    <w:p>
      <w:pPr>
        <w:pStyle w:val="yMiscellaneousBody"/>
        <w:tabs>
          <w:tab w:val="left" w:pos="284"/>
          <w:tab w:val="right" w:leader="dot" w:pos="6804"/>
        </w:tabs>
        <w:spacing w:after="160"/>
        <w:ind w:left="879" w:right="1985" w:hanging="879"/>
      </w:pPr>
      <w:r>
        <w:tab/>
        <w:t>(2)</w:t>
      </w:r>
      <w:r>
        <w:tab/>
      </w:r>
      <w:r>
        <w:rPr>
          <w:szCs w:val="22"/>
        </w:rPr>
        <w:t>This item does not apply to public land or land classified as vacant land.</w:t>
      </w:r>
    </w:p>
    <w:p>
      <w:pPr>
        <w:pStyle w:val="yMiscellaneousBody"/>
        <w:tabs>
          <w:tab w:val="left" w:pos="284"/>
          <w:tab w:val="right" w:leader="dot" w:pos="6804"/>
        </w:tabs>
        <w:spacing w:after="160"/>
        <w:ind w:left="879" w:right="1985" w:hanging="879"/>
      </w:pPr>
      <w:r>
        <w:tab/>
        <w:t>(3)</w:t>
      </w:r>
      <w:r>
        <w:tab/>
      </w:r>
      <w:r>
        <w:rPr>
          <w:szCs w:val="22"/>
        </w:rPr>
        <w:t>In respect of land to which this item applies, the charge under sub</w:t>
      </w:r>
      <w:r>
        <w:rPr>
          <w:szCs w:val="22"/>
        </w:rPr>
        <w:noBreakHyphen/>
        <w:t>item (4) or (5) applies instead of the charge referred to in sub</w:t>
      </w:r>
      <w:r>
        <w:rPr>
          <w:szCs w:val="22"/>
        </w:rPr>
        <w:noBreakHyphen/>
        <w:t>item (1).</w:t>
      </w:r>
    </w:p>
    <w:p>
      <w:pPr>
        <w:pStyle w:val="yMiscellaneousBody"/>
        <w:tabs>
          <w:tab w:val="left" w:pos="284"/>
          <w:tab w:val="right" w:leader="dot" w:pos="6804"/>
        </w:tabs>
        <w:spacing w:after="160"/>
        <w:ind w:left="879" w:right="1985" w:hanging="879"/>
      </w:pPr>
      <w:r>
        <w:tab/>
        <w:t>(4)</w:t>
      </w:r>
      <w:r>
        <w:tab/>
        <w:t xml:space="preserve">For each kilolitre of water supplied to land in the metropolitan area, the charge is </w:t>
      </w:r>
      <w:r>
        <w:tab/>
        <w:t xml:space="preserve"> 205.6 cents</w:t>
      </w:r>
    </w:p>
    <w:p>
      <w:pPr>
        <w:pStyle w:val="yMiscellaneousBody"/>
        <w:tabs>
          <w:tab w:val="left" w:pos="284"/>
          <w:tab w:val="right" w:leader="dot" w:pos="6804"/>
        </w:tabs>
        <w:spacing w:after="160"/>
        <w:ind w:left="879" w:right="1985" w:hanging="879"/>
      </w:pPr>
      <w:r>
        <w:tab/>
        <w:t>(5)</w:t>
      </w:r>
      <w:r>
        <w:tab/>
        <w:t>For each kilolitre of water supplied to land in the non</w:t>
      </w:r>
      <w:r>
        <w:noBreakHyphen/>
        <w:t xml:space="preserve">metropolitan area, the charge is </w:t>
      </w:r>
      <w:r>
        <w:rPr>
          <w:szCs w:val="22"/>
        </w:rPr>
        <w:t>the charge applicable in the Table in item 25 according to the non</w:t>
      </w:r>
      <w:r>
        <w:rPr>
          <w:szCs w:val="22"/>
        </w:rPr>
        <w:noBreakHyphen/>
        <w:t>residential class of the town or area in which the land is located.</w:t>
      </w:r>
    </w:p>
    <w:p>
      <w:pPr>
        <w:pStyle w:val="yHeading5"/>
      </w:pPr>
      <w:bookmarkStart w:id="153" w:name="_Toc398816519"/>
      <w:r>
        <w:rPr>
          <w:rStyle w:val="CharSClsNo"/>
        </w:rPr>
        <w:t>35</w:t>
      </w:r>
      <w:r>
        <w:t>.</w:t>
      </w:r>
      <w:r>
        <w:tab/>
        <w:t>Coral Bay desalinated</w:t>
      </w:r>
      <w:bookmarkEnd w:id="153"/>
    </w:p>
    <w:p>
      <w:pPr>
        <w:pStyle w:val="yMiscellaneousBody"/>
        <w:tabs>
          <w:tab w:val="left" w:pos="284"/>
          <w:tab w:val="right" w:leader="dot" w:pos="6804"/>
        </w:tabs>
        <w:spacing w:after="160"/>
        <w:ind w:left="879" w:right="1985" w:hanging="879"/>
      </w:pPr>
      <w:r>
        <w:tab/>
      </w:r>
      <w:r>
        <w:tab/>
        <w:t xml:space="preserve">For each kilolitre of desalinated water supplied to land in Coral Bay that is not classified as residential, the charge is </w:t>
      </w:r>
      <w:r>
        <w:tab/>
        <w:t xml:space="preserve"> 692.7 cents</w:t>
      </w:r>
    </w:p>
    <w:p>
      <w:pPr>
        <w:pStyle w:val="yHeading5"/>
      </w:pPr>
      <w:bookmarkStart w:id="154" w:name="_Toc398816520"/>
      <w:r>
        <w:rPr>
          <w:rStyle w:val="CharSClsNo"/>
        </w:rPr>
        <w:t>36</w:t>
      </w:r>
      <w:r>
        <w:t>.</w:t>
      </w:r>
      <w:r>
        <w:tab/>
        <w:t>Denham desalinated</w:t>
      </w:r>
      <w:bookmarkEnd w:id="154"/>
    </w:p>
    <w:p>
      <w:pPr>
        <w:pStyle w:val="yMiscellaneousBody"/>
        <w:tabs>
          <w:tab w:val="left" w:pos="284"/>
          <w:tab w:val="right" w:leader="dot" w:pos="6804"/>
        </w:tabs>
        <w:spacing w:after="160"/>
        <w:ind w:left="879" w:right="1985" w:hanging="879"/>
      </w:pPr>
      <w:r>
        <w:tab/>
        <w:t>(1)</w:t>
      </w:r>
      <w:r>
        <w:tab/>
        <w:t>For each kilolitre of desalinated water supplied, in a charge period, to land in Denham that is classified as residential, the charge is —</w:t>
      </w:r>
    </w:p>
    <w:p>
      <w:pPr>
        <w:pStyle w:val="yMiscellaneousBody"/>
        <w:tabs>
          <w:tab w:val="left" w:pos="1134"/>
          <w:tab w:val="right" w:leader="dot" w:pos="6804"/>
        </w:tabs>
        <w:spacing w:before="80"/>
        <w:ind w:left="1560" w:right="1985" w:hanging="1701"/>
      </w:pPr>
      <w:r>
        <w:tab/>
        <w:t xml:space="preserve">up to quota </w:t>
      </w:r>
      <w:r>
        <w:tab/>
        <w:t xml:space="preserve"> 63.8 cents</w:t>
      </w:r>
    </w:p>
    <w:p>
      <w:pPr>
        <w:pStyle w:val="yMiscellaneousBody"/>
        <w:tabs>
          <w:tab w:val="right" w:leader="dot" w:pos="6804"/>
        </w:tabs>
        <w:spacing w:before="80"/>
        <w:ind w:left="1134" w:right="1985" w:hanging="1275"/>
      </w:pPr>
      <w:r>
        <w:tab/>
        <w:t xml:space="preserve">over quota but by not more than the shoulder amount </w:t>
      </w:r>
      <w:r>
        <w:tab/>
        <w:t xml:space="preserve"> 468.6 cents</w:t>
      </w:r>
    </w:p>
    <w:p>
      <w:pPr>
        <w:pStyle w:val="yMiscellaneousBody"/>
        <w:tabs>
          <w:tab w:val="right" w:leader="dot" w:pos="6804"/>
        </w:tabs>
        <w:spacing w:before="80"/>
        <w:ind w:left="1134" w:right="1985" w:hanging="1275"/>
      </w:pPr>
      <w:r>
        <w:tab/>
        <w:t xml:space="preserve">over quota by more than the shoulder amount </w:t>
      </w:r>
      <w:r>
        <w:tab/>
        <w:t xml:space="preserve"> 1 459.8 cents</w:t>
      </w:r>
    </w:p>
    <w:p>
      <w:pPr>
        <w:pStyle w:val="yMiscellaneousBody"/>
        <w:tabs>
          <w:tab w:val="left" w:pos="284"/>
          <w:tab w:val="right" w:leader="dot" w:pos="6804"/>
        </w:tabs>
        <w:spacing w:after="160"/>
        <w:ind w:left="879" w:right="1985" w:hanging="879"/>
      </w:pPr>
      <w:r>
        <w:tab/>
        <w:t>(2)</w:t>
      </w:r>
      <w:r>
        <w:tab/>
        <w:t>In sub</w:t>
      </w:r>
      <w:r>
        <w:noBreakHyphen/>
        <w:t xml:space="preserve">item (1) — </w:t>
      </w:r>
    </w:p>
    <w:p>
      <w:pPr>
        <w:pStyle w:val="yMiscellaneousBody"/>
        <w:tabs>
          <w:tab w:val="left" w:pos="1134"/>
          <w:tab w:val="right" w:leader="dot" w:pos="6804"/>
        </w:tabs>
        <w:spacing w:before="80"/>
        <w:ind w:left="1560" w:right="1985" w:hanging="1701"/>
        <w:rPr>
          <w:szCs w:val="22"/>
        </w:rPr>
      </w:pPr>
      <w:r>
        <w:tab/>
        <w:t>(a)</w:t>
      </w:r>
      <w:r>
        <w:tab/>
        <w:t>the quota for the charge period is 18 kL plus 4 kL for each resident on the land in excess of 4</w:t>
      </w:r>
      <w:r>
        <w:rPr>
          <w:szCs w:val="22"/>
        </w:rPr>
        <w:t>; and</w:t>
      </w:r>
    </w:p>
    <w:p>
      <w:pPr>
        <w:pStyle w:val="yMiscellaneousBody"/>
        <w:tabs>
          <w:tab w:val="left" w:pos="1134"/>
          <w:tab w:val="right" w:leader="dot" w:pos="6804"/>
        </w:tabs>
        <w:spacing w:before="80"/>
        <w:ind w:left="1560" w:right="1985" w:hanging="1701"/>
      </w:pPr>
      <w:r>
        <w:rPr>
          <w:szCs w:val="22"/>
        </w:rPr>
        <w:tab/>
        <w:t>(b)</w:t>
      </w:r>
      <w:r>
        <w:rPr>
          <w:szCs w:val="22"/>
        </w:rPr>
        <w:tab/>
      </w:r>
      <w:r>
        <w:t>the shoulder amount for the charge period is 3 kL plus 1 kL for each resident on the land in excess of 4.</w:t>
      </w:r>
    </w:p>
    <w:p>
      <w:pPr>
        <w:pStyle w:val="yMiscellaneousBody"/>
        <w:tabs>
          <w:tab w:val="left" w:pos="284"/>
          <w:tab w:val="right" w:leader="dot" w:pos="6804"/>
        </w:tabs>
        <w:spacing w:after="160"/>
        <w:ind w:left="879" w:right="1985" w:hanging="879"/>
      </w:pPr>
      <w:r>
        <w:tab/>
        <w:t>(3)</w:t>
      </w:r>
      <w:r>
        <w:tab/>
        <w:t>For each kilolitre of desalinated water supplied to land in Denham that is not classified as residential, the charge is —</w:t>
      </w:r>
    </w:p>
    <w:p>
      <w:pPr>
        <w:pStyle w:val="yMiscellaneousBody"/>
        <w:tabs>
          <w:tab w:val="left" w:pos="1134"/>
          <w:tab w:val="right" w:leader="dot" w:pos="6804"/>
        </w:tabs>
        <w:spacing w:before="80"/>
        <w:ind w:left="1560" w:right="1985" w:hanging="1701"/>
      </w:pPr>
      <w:r>
        <w:tab/>
        <w:t xml:space="preserve">up to quota </w:t>
      </w:r>
      <w:r>
        <w:tab/>
        <w:t xml:space="preserve"> 63.8 cents</w:t>
      </w:r>
    </w:p>
    <w:p>
      <w:pPr>
        <w:pStyle w:val="yMiscellaneousBody"/>
        <w:tabs>
          <w:tab w:val="left" w:pos="1134"/>
          <w:tab w:val="right" w:leader="dot" w:pos="6804"/>
        </w:tabs>
        <w:spacing w:before="80"/>
        <w:ind w:left="1560" w:right="1985" w:hanging="1701"/>
      </w:pPr>
      <w:r>
        <w:tab/>
        <w:t xml:space="preserve">over quota </w:t>
      </w:r>
      <w:r>
        <w:tab/>
        <w:t xml:space="preserve"> 1 459.8 cents</w:t>
      </w:r>
    </w:p>
    <w:p>
      <w:pPr>
        <w:pStyle w:val="yMiscellaneousBody"/>
        <w:tabs>
          <w:tab w:val="left" w:pos="284"/>
          <w:tab w:val="right" w:leader="dot" w:pos="6804"/>
        </w:tabs>
        <w:spacing w:after="160"/>
        <w:ind w:left="879" w:right="1985" w:hanging="879"/>
      </w:pPr>
      <w:r>
        <w:tab/>
        <w:t>(4)</w:t>
      </w:r>
      <w:r>
        <w:tab/>
        <w:t>In sub</w:t>
      </w:r>
      <w:r>
        <w:noBreakHyphen/>
        <w:t>item (3), the quota for the land for the current consumption year is 108 kL or a greater amount specified for the land for the year by the Water Corporation.</w:t>
      </w:r>
    </w:p>
    <w:p>
      <w:pPr>
        <w:pStyle w:val="yHeading5"/>
        <w:rPr>
          <w:b w:val="0"/>
          <w:sz w:val="20"/>
        </w:rPr>
      </w:pPr>
      <w:bookmarkStart w:id="155" w:name="_Toc398816521"/>
      <w:r>
        <w:rPr>
          <w:rStyle w:val="CharSClsNo"/>
        </w:rPr>
        <w:t>37</w:t>
      </w:r>
      <w:r>
        <w:t>.</w:t>
      </w:r>
      <w:r>
        <w:tab/>
        <w:t>Garden supply: Mulataga</w:t>
      </w:r>
      <w:bookmarkEnd w:id="155"/>
    </w:p>
    <w:p>
      <w:pPr>
        <w:pStyle w:val="yMiscellaneousBody"/>
        <w:tabs>
          <w:tab w:val="left" w:pos="284"/>
          <w:tab w:val="right" w:leader="dot" w:pos="6804"/>
        </w:tabs>
        <w:spacing w:after="160"/>
        <w:ind w:left="879" w:right="1985" w:hanging="879"/>
      </w:pPr>
      <w:r>
        <w:tab/>
      </w:r>
      <w:r>
        <w:tab/>
        <w:t xml:space="preserve">For each kilolitre of water supplied to land in the suburb of Mulataga (in Karratha) under a water supply described in item 15(4), the charge is </w:t>
      </w:r>
      <w:r>
        <w:tab/>
        <w:t xml:space="preserve"> 146.4 cents</w:t>
      </w:r>
    </w:p>
    <w:p>
      <w:pPr>
        <w:pStyle w:val="yHeading4"/>
      </w:pPr>
      <w:bookmarkStart w:id="156" w:name="_Toc398816522"/>
      <w:r>
        <w:t>Subdivision 3</w:t>
      </w:r>
      <w:r>
        <w:rPr>
          <w:b w:val="0"/>
        </w:rPr>
        <w:t> — </w:t>
      </w:r>
      <w:r>
        <w:t>Other consumption charges</w:t>
      </w:r>
      <w:bookmarkEnd w:id="156"/>
    </w:p>
    <w:p>
      <w:pPr>
        <w:pStyle w:val="yHeading5"/>
      </w:pPr>
      <w:bookmarkStart w:id="157" w:name="_Toc398816523"/>
      <w:r>
        <w:rPr>
          <w:rStyle w:val="CharSClsNo"/>
        </w:rPr>
        <w:t>38</w:t>
      </w:r>
      <w:r>
        <w:t>.</w:t>
      </w:r>
      <w:r>
        <w:tab/>
        <w:t>Local government standpipes</w:t>
      </w:r>
      <w:bookmarkEnd w:id="157"/>
    </w:p>
    <w:p>
      <w:pPr>
        <w:pStyle w:val="yMiscellaneousBody"/>
        <w:tabs>
          <w:tab w:val="left" w:pos="284"/>
          <w:tab w:val="right" w:leader="dot" w:pos="6804"/>
        </w:tabs>
        <w:spacing w:after="160"/>
        <w:ind w:left="879" w:right="1985" w:hanging="879"/>
      </w:pPr>
      <w:r>
        <w:tab/>
      </w:r>
      <w:r>
        <w:tab/>
        <w:t xml:space="preserve">For each kilolitre of water supplied through a local government standpipe, the charge is </w:t>
      </w:r>
      <w:r>
        <w:tab/>
        <w:t xml:space="preserve"> 190.9 cents</w:t>
      </w:r>
    </w:p>
    <w:p>
      <w:pPr>
        <w:pStyle w:val="yHeading5"/>
      </w:pPr>
      <w:bookmarkStart w:id="158" w:name="_Toc398816524"/>
      <w:r>
        <w:rPr>
          <w:rStyle w:val="CharSClsNo"/>
        </w:rPr>
        <w:t>39</w:t>
      </w:r>
      <w:r>
        <w:t>.</w:t>
      </w:r>
      <w:r>
        <w:tab/>
        <w:t>Shipping</w:t>
      </w:r>
      <w:bookmarkEnd w:id="158"/>
    </w:p>
    <w:p>
      <w:pPr>
        <w:pStyle w:val="yMiscellaneousBody"/>
        <w:tabs>
          <w:tab w:val="left" w:pos="284"/>
          <w:tab w:val="right" w:leader="dot" w:pos="6804"/>
        </w:tabs>
        <w:spacing w:after="160"/>
        <w:ind w:left="879" w:right="1985" w:hanging="879"/>
      </w:pPr>
      <w:r>
        <w:tab/>
      </w:r>
      <w:r>
        <w:tab/>
        <w:t>For each kilolitre of water supplied for the purpose of being taken on board any ship in port —</w:t>
      </w:r>
    </w:p>
    <w:p>
      <w:pPr>
        <w:pStyle w:val="yMiscellaneousBody"/>
        <w:tabs>
          <w:tab w:val="left" w:pos="1134"/>
          <w:tab w:val="right" w:leader="dot" w:pos="6804"/>
        </w:tabs>
        <w:spacing w:before="80"/>
        <w:ind w:left="1560" w:right="1985" w:hanging="1701"/>
      </w:pPr>
      <w:r>
        <w:tab/>
        <w:t>(a)</w:t>
      </w:r>
      <w:r>
        <w:tab/>
        <w:t xml:space="preserve">for a port in the metropolitan area, the charge is </w:t>
      </w:r>
      <w:r>
        <w:tab/>
        <w:t xml:space="preserve"> 205.6 cents</w:t>
      </w:r>
    </w:p>
    <w:p>
      <w:pPr>
        <w:pStyle w:val="yMiscellaneousBody"/>
        <w:tabs>
          <w:tab w:val="left" w:pos="1134"/>
          <w:tab w:val="right" w:leader="dot" w:pos="6804"/>
        </w:tabs>
        <w:spacing w:before="80"/>
        <w:ind w:left="1560" w:right="1985" w:hanging="1701"/>
        <w:rPr>
          <w:szCs w:val="22"/>
        </w:rPr>
      </w:pPr>
      <w:r>
        <w:tab/>
        <w:t>(b)</w:t>
      </w:r>
      <w:r>
        <w:tab/>
        <w:t>for a port in the non</w:t>
      </w:r>
      <w:r>
        <w:noBreakHyphen/>
        <w:t xml:space="preserve">metropolitan area, the charge is the charge </w:t>
      </w:r>
      <w:r>
        <w:rPr>
          <w:szCs w:val="22"/>
        </w:rPr>
        <w:t>applicable in the Table in item 25 according to the non</w:t>
      </w:r>
      <w:r>
        <w:rPr>
          <w:szCs w:val="22"/>
        </w:rPr>
        <w:noBreakHyphen/>
        <w:t>residential class of the town or area in which the port is located.</w:t>
      </w:r>
    </w:p>
    <w:p>
      <w:pPr>
        <w:pStyle w:val="yHeading5"/>
      </w:pPr>
      <w:bookmarkStart w:id="159" w:name="_Toc398816525"/>
      <w:r>
        <w:rPr>
          <w:rStyle w:val="CharSClsNo"/>
        </w:rPr>
        <w:t>40</w:t>
      </w:r>
      <w:r>
        <w:t>.</w:t>
      </w:r>
      <w:r>
        <w:tab/>
        <w:t>Stock</w:t>
      </w:r>
      <w:bookmarkEnd w:id="159"/>
    </w:p>
    <w:p>
      <w:pPr>
        <w:pStyle w:val="yMiscellaneousBody"/>
        <w:tabs>
          <w:tab w:val="left" w:pos="284"/>
          <w:tab w:val="right" w:leader="dot" w:pos="6804"/>
        </w:tabs>
        <w:spacing w:after="160"/>
        <w:ind w:left="879" w:right="1985" w:hanging="879"/>
      </w:pPr>
      <w:r>
        <w:tab/>
      </w:r>
      <w:r>
        <w:tab/>
        <w:t xml:space="preserve">For each kilolitre of water supplied through a water supply connection solely for the purpose of watering stock, the charge is </w:t>
      </w:r>
      <w:r>
        <w:tab/>
        <w:t xml:space="preserve"> 190.9 cents</w:t>
      </w:r>
    </w:p>
    <w:p>
      <w:pPr>
        <w:pStyle w:val="yHeading5"/>
      </w:pPr>
      <w:bookmarkStart w:id="160" w:name="_Toc398816526"/>
      <w:r>
        <w:rPr>
          <w:rStyle w:val="CharSClsNo"/>
        </w:rPr>
        <w:t>41</w:t>
      </w:r>
      <w:r>
        <w:t>.</w:t>
      </w:r>
      <w:r>
        <w:tab/>
        <w:t>Hydrant standpipes</w:t>
      </w:r>
      <w:bookmarkEnd w:id="160"/>
    </w:p>
    <w:p>
      <w:pPr>
        <w:pStyle w:val="yMiscellaneousBody"/>
        <w:tabs>
          <w:tab w:val="left" w:pos="284"/>
          <w:tab w:val="right" w:leader="dot" w:pos="6804"/>
        </w:tabs>
        <w:spacing w:after="160"/>
        <w:ind w:left="879" w:right="1985" w:hanging="879"/>
      </w:pPr>
      <w:r>
        <w:tab/>
      </w:r>
      <w:r>
        <w:tab/>
        <w:t xml:space="preserve">For each kilolitre of water supplied through a hydrant standpipe, the charge is </w:t>
      </w:r>
      <w:r>
        <w:tab/>
        <w:t xml:space="preserve"> 205.6 cents</w:t>
      </w:r>
    </w:p>
    <w:p>
      <w:pPr>
        <w:pStyle w:val="yScheduleHeading"/>
      </w:pPr>
      <w:bookmarkStart w:id="161" w:name="_Toc398816527"/>
      <w:r>
        <w:rPr>
          <w:rStyle w:val="CharSchNo"/>
        </w:rPr>
        <w:t>Schedule 4</w:t>
      </w:r>
      <w:r>
        <w:t> — </w:t>
      </w:r>
      <w:r>
        <w:rPr>
          <w:rStyle w:val="CharSchText"/>
        </w:rPr>
        <w:t>Sewerage charges for the Water Corporation</w:t>
      </w:r>
      <w:bookmarkEnd w:id="161"/>
    </w:p>
    <w:p>
      <w:pPr>
        <w:pStyle w:val="yShoulderClause"/>
      </w:pPr>
      <w:r>
        <w:t>[r. 39]</w:t>
      </w:r>
    </w:p>
    <w:p>
      <w:pPr>
        <w:pStyle w:val="yHeading3"/>
      </w:pPr>
      <w:bookmarkStart w:id="162" w:name="_Toc398816528"/>
      <w:r>
        <w:rPr>
          <w:rStyle w:val="CharSDivNo"/>
        </w:rPr>
        <w:t>Division 1</w:t>
      </w:r>
      <w:r>
        <w:t> — </w:t>
      </w:r>
      <w:r>
        <w:rPr>
          <w:rStyle w:val="CharSDivText"/>
        </w:rPr>
        <w:t>Service charges</w:t>
      </w:r>
      <w:bookmarkEnd w:id="162"/>
    </w:p>
    <w:p>
      <w:pPr>
        <w:pStyle w:val="yHeading5"/>
      </w:pPr>
      <w:bookmarkStart w:id="163" w:name="_Toc398816529"/>
      <w:r>
        <w:rPr>
          <w:rStyle w:val="CharSClsNo"/>
        </w:rPr>
        <w:t>1</w:t>
      </w:r>
      <w:r>
        <w:t>.</w:t>
      </w:r>
      <w:r>
        <w:tab/>
        <w:t>Service charges for 2014/15 year and subsequent years</w:t>
      </w:r>
      <w:bookmarkEnd w:id="163"/>
    </w:p>
    <w:p>
      <w:pPr>
        <w:pStyle w:val="yMiscellaneousBody"/>
        <w:tabs>
          <w:tab w:val="right" w:pos="709"/>
          <w:tab w:val="left" w:pos="851"/>
        </w:tabs>
        <w:ind w:left="851" w:hanging="851"/>
      </w:pPr>
      <w:r>
        <w:tab/>
      </w:r>
      <w:r>
        <w:tab/>
        <w:t>The charges set out in this Division apply for sewerage services provided in the 2014/15 financial year and each subsequent year.</w:t>
      </w:r>
    </w:p>
    <w:p>
      <w:pPr>
        <w:pStyle w:val="yHeading5"/>
      </w:pPr>
      <w:bookmarkStart w:id="164" w:name="_Toc398816530"/>
      <w:r>
        <w:rPr>
          <w:rStyle w:val="CharSClsNo"/>
        </w:rPr>
        <w:t>2</w:t>
      </w:r>
      <w:r>
        <w:t>.</w:t>
      </w:r>
      <w:r>
        <w:tab/>
        <w:t>Metropolitan residential</w:t>
      </w:r>
      <w:bookmarkEnd w:id="164"/>
    </w:p>
    <w:p>
      <w:pPr>
        <w:pStyle w:val="yMiscellaneousBody"/>
        <w:tabs>
          <w:tab w:val="left" w:pos="284"/>
          <w:tab w:val="right" w:leader="dot" w:pos="6804"/>
        </w:tabs>
        <w:spacing w:after="160"/>
        <w:ind w:left="879" w:right="1985" w:hanging="879"/>
      </w:pPr>
      <w:r>
        <w:tab/>
        <w:t>(1)</w:t>
      </w:r>
      <w:r>
        <w:tab/>
        <w:t>In respect of each residential property in the metropolitan area that —</w:t>
      </w:r>
    </w:p>
    <w:p>
      <w:pPr>
        <w:pStyle w:val="yMiscellaneousBody"/>
        <w:tabs>
          <w:tab w:val="left" w:pos="1134"/>
          <w:tab w:val="right" w:leader="dot" w:pos="6804"/>
        </w:tabs>
        <w:spacing w:before="80"/>
        <w:ind w:left="1560" w:right="1985" w:hanging="1701"/>
      </w:pPr>
      <w:r>
        <w:tab/>
        <w:t>(a)</w:t>
      </w:r>
      <w:r>
        <w:tab/>
        <w:t>is not covered by item 4 or 5; and</w:t>
      </w:r>
    </w:p>
    <w:p>
      <w:pPr>
        <w:pStyle w:val="yMiscellaneousBody"/>
        <w:tabs>
          <w:tab w:val="left" w:pos="1134"/>
          <w:tab w:val="right" w:leader="dot" w:pos="6804"/>
        </w:tabs>
        <w:spacing w:before="80"/>
        <w:ind w:left="1560" w:right="1985" w:hanging="1701"/>
      </w:pPr>
      <w:r>
        <w:tab/>
        <w:t>(b)</w:t>
      </w:r>
      <w:r>
        <w:tab/>
        <w:t>is not a caravan park or a nursing home,</w:t>
      </w:r>
    </w:p>
    <w:p>
      <w:pPr>
        <w:pStyle w:val="yMiscellaneousBody"/>
        <w:tabs>
          <w:tab w:val="left" w:pos="284"/>
          <w:tab w:val="right" w:leader="dot" w:pos="6804"/>
        </w:tabs>
        <w:spacing w:after="160"/>
        <w:ind w:left="879" w:right="1985" w:hanging="879"/>
      </w:pPr>
      <w:r>
        <w:tab/>
      </w:r>
      <w:r>
        <w:tab/>
        <w:t>the charge is —</w:t>
      </w:r>
    </w:p>
    <w:p>
      <w:pPr>
        <w:pStyle w:val="yMiscellaneousBody"/>
        <w:tabs>
          <w:tab w:val="right" w:leader="dot" w:pos="6804"/>
        </w:tabs>
        <w:spacing w:before="120"/>
        <w:ind w:left="1134" w:right="284"/>
      </w:pPr>
      <w:r>
        <w:t xml:space="preserve">up to $21 100 GRV </w:t>
      </w:r>
      <w:r>
        <w:tab/>
        <w:t xml:space="preserve"> 3.790 cents/$ </w:t>
      </w:r>
    </w:p>
    <w:p>
      <w:pPr>
        <w:pStyle w:val="yMiscellaneousBody"/>
        <w:tabs>
          <w:tab w:val="right" w:pos="6804"/>
        </w:tabs>
        <w:spacing w:before="0"/>
        <w:ind w:left="1134" w:right="851"/>
      </w:pPr>
      <w:r>
        <w:tab/>
        <w:t>of GRV</w:t>
      </w:r>
    </w:p>
    <w:p>
      <w:pPr>
        <w:pStyle w:val="yMiscellaneousBody"/>
        <w:tabs>
          <w:tab w:val="right" w:leader="dot" w:pos="6804"/>
        </w:tabs>
        <w:spacing w:before="120"/>
        <w:ind w:left="1134" w:right="284"/>
      </w:pPr>
      <w:r>
        <w:t xml:space="preserve">over $21 100 GRV </w:t>
      </w:r>
      <w:r>
        <w:tab/>
        <w:t xml:space="preserve"> 0.830 cents/$ </w:t>
      </w:r>
    </w:p>
    <w:p>
      <w:pPr>
        <w:pStyle w:val="yMiscellaneousBody"/>
        <w:tabs>
          <w:tab w:val="right" w:pos="6804"/>
        </w:tabs>
        <w:spacing w:before="0"/>
        <w:ind w:left="1134" w:right="851"/>
      </w:pP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$351.91</w:t>
      </w:r>
    </w:p>
    <w:p>
      <w:pPr>
        <w:pStyle w:val="yHeading5"/>
        <w:spacing w:after="160"/>
      </w:pPr>
      <w:bookmarkStart w:id="165" w:name="_Toc398816531"/>
      <w:r>
        <w:rPr>
          <w:rStyle w:val="CharSClsNo"/>
        </w:rPr>
        <w:t>3</w:t>
      </w:r>
      <w:r>
        <w:t>.</w:t>
      </w:r>
      <w:r>
        <w:tab/>
        <w:t>Metropolitan vacant land</w:t>
      </w:r>
      <w:bookmarkEnd w:id="165"/>
    </w:p>
    <w:p>
      <w:pPr>
        <w:pStyle w:val="yMiscellaneousBody"/>
        <w:tabs>
          <w:tab w:val="left" w:pos="284"/>
          <w:tab w:val="right" w:leader="dot" w:pos="6804"/>
        </w:tabs>
        <w:spacing w:before="0"/>
        <w:ind w:left="879" w:right="2552" w:hanging="879"/>
      </w:pPr>
      <w:r>
        <w:tab/>
        <w:t>(1)</w:t>
      </w:r>
      <w:r>
        <w:tab/>
        <w:t xml:space="preserve">In respect of land in the metropolitan area that is classified as vacant land, the charge is </w:t>
      </w:r>
      <w:r>
        <w:tab/>
        <w:t xml:space="preserve"> 2.292 cents/$ </w:t>
      </w:r>
    </w:p>
    <w:p>
      <w:pPr>
        <w:pStyle w:val="yMiscellaneousBody"/>
        <w:tabs>
          <w:tab w:val="right" w:pos="6804"/>
        </w:tabs>
        <w:spacing w:before="0"/>
        <w:ind w:left="1134" w:right="282"/>
      </w:pP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$264.61</w:t>
      </w:r>
    </w:p>
    <w:p>
      <w:pPr>
        <w:pStyle w:val="yHeading5"/>
      </w:pPr>
      <w:bookmarkStart w:id="166" w:name="_Toc398816532"/>
      <w:r>
        <w:rPr>
          <w:rStyle w:val="CharSClsNo"/>
        </w:rPr>
        <w:t>4</w:t>
      </w:r>
      <w:r>
        <w:t>.</w:t>
      </w:r>
      <w:r>
        <w:tab/>
        <w:t>Metropolitan concessional</w:t>
      </w:r>
      <w:bookmarkEnd w:id="166"/>
    </w:p>
    <w:p>
      <w:pPr>
        <w:pStyle w:val="yMiscellaneousBody"/>
        <w:tabs>
          <w:tab w:val="left" w:pos="284"/>
          <w:tab w:val="right" w:leader="dot" w:pos="6804"/>
        </w:tabs>
        <w:spacing w:after="160"/>
        <w:ind w:left="879" w:right="1985" w:hanging="879"/>
      </w:pPr>
      <w:r>
        <w:tab/>
      </w:r>
      <w:r>
        <w:tab/>
        <w:t>In respect of land in the metropolitan area that is classified as —</w:t>
      </w:r>
    </w:p>
    <w:p>
      <w:pPr>
        <w:pStyle w:val="yMiscellaneousBody"/>
        <w:tabs>
          <w:tab w:val="left" w:pos="1134"/>
          <w:tab w:val="right" w:leader="dot" w:pos="6804"/>
        </w:tabs>
        <w:spacing w:before="80"/>
        <w:ind w:left="1560" w:right="1985" w:hanging="1701"/>
      </w:pPr>
      <w:r>
        <w:tab/>
        <w:t>(a)</w:t>
      </w:r>
      <w:r>
        <w:tab/>
        <w:t>aged home; or</w:t>
      </w:r>
    </w:p>
    <w:p>
      <w:pPr>
        <w:pStyle w:val="yMiscellaneousBody"/>
        <w:tabs>
          <w:tab w:val="left" w:pos="1134"/>
          <w:tab w:val="right" w:leader="dot" w:pos="6804"/>
        </w:tabs>
        <w:spacing w:before="80"/>
        <w:ind w:left="1560" w:right="1985" w:hanging="1701"/>
      </w:pPr>
      <w:r>
        <w:tab/>
        <w:t>(b)</w:t>
      </w:r>
      <w:r>
        <w:tab/>
        <w:t>charitable purposes or community purpose,</w:t>
      </w:r>
    </w:p>
    <w:p>
      <w:pPr>
        <w:pStyle w:val="yMiscellaneousBody"/>
        <w:tabs>
          <w:tab w:val="left" w:pos="284"/>
          <w:tab w:val="right" w:leader="dot" w:pos="6804"/>
        </w:tabs>
        <w:spacing w:after="160"/>
        <w:ind w:left="879" w:right="1985" w:hanging="879"/>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6266" w:type="dxa"/>
        <w:jc w:val="center"/>
        <w:tblInd w:w="1463" w:type="dxa"/>
        <w:tblLayout w:type="fixed"/>
        <w:tblLook w:val="0000" w:firstRow="0" w:lastRow="0" w:firstColumn="0" w:lastColumn="0" w:noHBand="0" w:noVBand="0"/>
      </w:tblPr>
      <w:tblGrid>
        <w:gridCol w:w="1997"/>
        <w:gridCol w:w="1420"/>
        <w:gridCol w:w="1420"/>
        <w:gridCol w:w="1429"/>
      </w:tblGrid>
      <w:tr>
        <w:trPr>
          <w:cantSplit/>
          <w:tblHeader/>
          <w:jc w:val="center"/>
        </w:trPr>
        <w:tc>
          <w:tcPr>
            <w:tcW w:w="2000" w:type="dxa"/>
            <w:tcBorders>
              <w:top w:val="single" w:sz="4" w:space="0" w:color="auto"/>
            </w:tcBorders>
          </w:tcPr>
          <w:p>
            <w:pPr>
              <w:pStyle w:val="yTableNAm"/>
              <w:spacing w:before="80" w:after="60"/>
              <w:jc w:val="center"/>
            </w:pPr>
          </w:p>
        </w:tc>
        <w:tc>
          <w:tcPr>
            <w:tcW w:w="1418" w:type="dxa"/>
            <w:tcBorders>
              <w:top w:val="single" w:sz="4" w:space="0" w:color="auto"/>
            </w:tcBorders>
          </w:tcPr>
          <w:p>
            <w:pPr>
              <w:pStyle w:val="yTableNAm"/>
              <w:spacing w:before="80" w:after="60"/>
              <w:jc w:val="center"/>
            </w:pPr>
            <w:r>
              <w:rPr>
                <w:b/>
                <w:bCs/>
              </w:rPr>
              <w:t>Charge</w:t>
            </w:r>
          </w:p>
        </w:tc>
        <w:tc>
          <w:tcPr>
            <w:tcW w:w="2848" w:type="dxa"/>
            <w:gridSpan w:val="2"/>
            <w:tcBorders>
              <w:top w:val="single" w:sz="4" w:space="0" w:color="auto"/>
              <w:bottom w:val="single" w:sz="4" w:space="0" w:color="auto"/>
            </w:tcBorders>
          </w:tcPr>
          <w:p>
            <w:pPr>
              <w:pStyle w:val="yTableNAm"/>
              <w:spacing w:before="80" w:after="60"/>
              <w:jc w:val="center"/>
              <w:rPr>
                <w:b/>
                <w:bCs/>
              </w:rPr>
            </w:pPr>
            <w:r>
              <w:rPr>
                <w:b/>
                <w:bCs/>
              </w:rPr>
              <w:t>Discount %</w:t>
            </w:r>
          </w:p>
        </w:tc>
      </w:tr>
      <w:tr>
        <w:trPr>
          <w:cantSplit/>
          <w:tblHeader/>
          <w:jc w:val="center"/>
        </w:trPr>
        <w:tc>
          <w:tcPr>
            <w:tcW w:w="2000" w:type="dxa"/>
            <w:tcBorders>
              <w:bottom w:val="single" w:sz="4" w:space="0" w:color="auto"/>
            </w:tcBorders>
          </w:tcPr>
          <w:p>
            <w:pPr>
              <w:pStyle w:val="yTableNAm"/>
              <w:spacing w:before="60" w:after="60"/>
              <w:jc w:val="center"/>
            </w:pPr>
          </w:p>
        </w:tc>
        <w:tc>
          <w:tcPr>
            <w:tcW w:w="1422" w:type="dxa"/>
            <w:tcBorders>
              <w:bottom w:val="single" w:sz="4" w:space="0" w:color="auto"/>
            </w:tcBorders>
          </w:tcPr>
          <w:p>
            <w:pPr>
              <w:pStyle w:val="yTableNAm"/>
              <w:spacing w:before="60" w:after="60"/>
              <w:jc w:val="center"/>
              <w:rPr>
                <w:b/>
                <w:bCs/>
              </w:rPr>
            </w:pPr>
          </w:p>
        </w:tc>
        <w:tc>
          <w:tcPr>
            <w:tcW w:w="1422" w:type="dxa"/>
            <w:tcBorders>
              <w:top w:val="single" w:sz="4" w:space="0" w:color="auto"/>
              <w:bottom w:val="single" w:sz="4" w:space="0" w:color="auto"/>
            </w:tcBorders>
          </w:tcPr>
          <w:p>
            <w:pPr>
              <w:pStyle w:val="yTableNAm"/>
              <w:spacing w:before="60" w:after="60"/>
              <w:jc w:val="center"/>
              <w:rPr>
                <w:b/>
                <w:bCs/>
              </w:rPr>
            </w:pPr>
            <w:r>
              <w:rPr>
                <w:b/>
                <w:bCs/>
              </w:rPr>
              <w:t>par. (a)</w:t>
            </w:r>
          </w:p>
        </w:tc>
        <w:tc>
          <w:tcPr>
            <w:tcW w:w="1422" w:type="dxa"/>
            <w:tcBorders>
              <w:top w:val="single" w:sz="4" w:space="0" w:color="auto"/>
              <w:bottom w:val="single" w:sz="4" w:space="0" w:color="auto"/>
            </w:tcBorders>
          </w:tcPr>
          <w:p>
            <w:pPr>
              <w:pStyle w:val="yTableNAm"/>
              <w:spacing w:before="60" w:after="60"/>
              <w:jc w:val="center"/>
              <w:rPr>
                <w:b/>
                <w:bCs/>
              </w:rPr>
            </w:pPr>
            <w:r>
              <w:rPr>
                <w:b/>
                <w:bCs/>
              </w:rPr>
              <w:t>par. (b)</w:t>
            </w:r>
          </w:p>
        </w:tc>
      </w:tr>
      <w:tr>
        <w:trPr>
          <w:cantSplit/>
          <w:jc w:val="center"/>
        </w:trPr>
        <w:tc>
          <w:tcPr>
            <w:tcW w:w="2000" w:type="dxa"/>
          </w:tcPr>
          <w:p>
            <w:pPr>
              <w:pStyle w:val="yTableNAm"/>
              <w:jc w:val="center"/>
            </w:pPr>
            <w:r>
              <w:t>1</w:t>
            </w:r>
            <w:r>
              <w:rPr>
                <w:vertAlign w:val="superscript"/>
              </w:rPr>
              <w:t>st</w:t>
            </w:r>
            <w:r>
              <w:t xml:space="preserve"> fixture</w:t>
            </w:r>
          </w:p>
        </w:tc>
        <w:tc>
          <w:tcPr>
            <w:tcW w:w="1418" w:type="dxa"/>
            <w:vAlign w:val="bottom"/>
          </w:tcPr>
          <w:p>
            <w:pPr>
              <w:pStyle w:val="yTableNAm"/>
              <w:jc w:val="center"/>
            </w:pPr>
            <w:r>
              <w:t>$818.43</w:t>
            </w:r>
          </w:p>
        </w:tc>
        <w:tc>
          <w:tcPr>
            <w:tcW w:w="1417" w:type="dxa"/>
          </w:tcPr>
          <w:p>
            <w:pPr>
              <w:pStyle w:val="yTableNAm"/>
              <w:jc w:val="center"/>
            </w:pPr>
            <w:r>
              <w:t>73.133</w:t>
            </w:r>
          </w:p>
        </w:tc>
        <w:tc>
          <w:tcPr>
            <w:tcW w:w="1431" w:type="dxa"/>
          </w:tcPr>
          <w:p>
            <w:pPr>
              <w:pStyle w:val="yTableNAm"/>
              <w:jc w:val="center"/>
            </w:pPr>
            <w:r>
              <w:t>73.133</w:t>
            </w:r>
          </w:p>
        </w:tc>
      </w:tr>
      <w:tr>
        <w:trPr>
          <w:cantSplit/>
          <w:jc w:val="center"/>
        </w:trPr>
        <w:tc>
          <w:tcPr>
            <w:tcW w:w="2000" w:type="dxa"/>
          </w:tcPr>
          <w:p>
            <w:pPr>
              <w:pStyle w:val="yTableNAm"/>
              <w:jc w:val="center"/>
            </w:pPr>
            <w:r>
              <w:t>2</w:t>
            </w:r>
            <w:r>
              <w:rPr>
                <w:vertAlign w:val="superscript"/>
              </w:rPr>
              <w:t>nd</w:t>
            </w:r>
            <w:r>
              <w:t xml:space="preserve"> fixture</w:t>
            </w:r>
          </w:p>
        </w:tc>
        <w:tc>
          <w:tcPr>
            <w:tcW w:w="1418" w:type="dxa"/>
            <w:vAlign w:val="bottom"/>
          </w:tcPr>
          <w:p>
            <w:pPr>
              <w:pStyle w:val="yTableNAm"/>
              <w:jc w:val="center"/>
            </w:pPr>
            <w:r>
              <w:t>$350.34</w:t>
            </w:r>
          </w:p>
        </w:tc>
        <w:tc>
          <w:tcPr>
            <w:tcW w:w="1417" w:type="dxa"/>
          </w:tcPr>
          <w:p>
            <w:pPr>
              <w:pStyle w:val="yTableNAm"/>
              <w:jc w:val="center"/>
            </w:pPr>
            <w:r>
              <w:t>72.385</w:t>
            </w:r>
          </w:p>
        </w:tc>
        <w:tc>
          <w:tcPr>
            <w:tcW w:w="1431" w:type="dxa"/>
          </w:tcPr>
          <w:p>
            <w:pPr>
              <w:pStyle w:val="yTableNAm"/>
              <w:jc w:val="center"/>
            </w:pPr>
            <w:r>
              <w:t>37.246</w:t>
            </w:r>
          </w:p>
        </w:tc>
      </w:tr>
      <w:tr>
        <w:trPr>
          <w:cantSplit/>
          <w:jc w:val="center"/>
        </w:trPr>
        <w:tc>
          <w:tcPr>
            <w:tcW w:w="2000" w:type="dxa"/>
          </w:tcPr>
          <w:p>
            <w:pPr>
              <w:pStyle w:val="yTableNAm"/>
              <w:jc w:val="center"/>
            </w:pPr>
            <w:r>
              <w:t>3</w:t>
            </w:r>
            <w:r>
              <w:rPr>
                <w:vertAlign w:val="superscript"/>
              </w:rPr>
              <w:t>rd</w:t>
            </w:r>
            <w:r>
              <w:t xml:space="preserve"> fixture</w:t>
            </w:r>
          </w:p>
        </w:tc>
        <w:tc>
          <w:tcPr>
            <w:tcW w:w="1418" w:type="dxa"/>
            <w:vAlign w:val="bottom"/>
          </w:tcPr>
          <w:p>
            <w:pPr>
              <w:pStyle w:val="yTableNAm"/>
              <w:jc w:val="center"/>
            </w:pPr>
            <w:r>
              <w:t>$467.86</w:t>
            </w:r>
          </w:p>
        </w:tc>
        <w:tc>
          <w:tcPr>
            <w:tcW w:w="1417" w:type="dxa"/>
          </w:tcPr>
          <w:p>
            <w:pPr>
              <w:pStyle w:val="yTableNAm"/>
              <w:jc w:val="center"/>
            </w:pPr>
            <w:r>
              <w:t>79.321</w:t>
            </w:r>
          </w:p>
        </w:tc>
        <w:tc>
          <w:tcPr>
            <w:tcW w:w="1431" w:type="dxa"/>
          </w:tcPr>
          <w:p>
            <w:pPr>
              <w:pStyle w:val="yTableNAm"/>
              <w:jc w:val="center"/>
            </w:pPr>
            <w:r>
              <w:t>53.001</w:t>
            </w:r>
          </w:p>
        </w:tc>
      </w:tr>
      <w:tr>
        <w:trPr>
          <w:cantSplit/>
          <w:jc w:val="center"/>
        </w:trPr>
        <w:tc>
          <w:tcPr>
            <w:tcW w:w="2000" w:type="dxa"/>
            <w:tcBorders>
              <w:bottom w:val="single" w:sz="4" w:space="0" w:color="auto"/>
            </w:tcBorders>
          </w:tcPr>
          <w:p>
            <w:pPr>
              <w:pStyle w:val="yTableNAm"/>
              <w:jc w:val="center"/>
            </w:pPr>
            <w:r>
              <w:t>4</w:t>
            </w:r>
            <w:r>
              <w:rPr>
                <w:vertAlign w:val="superscript"/>
              </w:rPr>
              <w:t>th</w:t>
            </w:r>
            <w:r>
              <w:t xml:space="preserve"> and subsequent fixtures</w:t>
            </w:r>
          </w:p>
        </w:tc>
        <w:tc>
          <w:tcPr>
            <w:tcW w:w="1418" w:type="dxa"/>
            <w:tcBorders>
              <w:bottom w:val="single" w:sz="4" w:space="0" w:color="auto"/>
            </w:tcBorders>
          </w:tcPr>
          <w:p>
            <w:pPr>
              <w:pStyle w:val="yTableNAm"/>
              <w:jc w:val="center"/>
            </w:pPr>
            <w:r>
              <w:t>$508.77</w:t>
            </w:r>
          </w:p>
        </w:tc>
        <w:tc>
          <w:tcPr>
            <w:tcW w:w="1417" w:type="dxa"/>
            <w:tcBorders>
              <w:bottom w:val="single" w:sz="4" w:space="0" w:color="auto"/>
            </w:tcBorders>
          </w:tcPr>
          <w:p>
            <w:pPr>
              <w:pStyle w:val="yTableNAm"/>
              <w:jc w:val="center"/>
            </w:pPr>
            <w:r>
              <w:t>80.984</w:t>
            </w:r>
          </w:p>
        </w:tc>
        <w:tc>
          <w:tcPr>
            <w:tcW w:w="1431" w:type="dxa"/>
            <w:tcBorders>
              <w:bottom w:val="single" w:sz="4" w:space="0" w:color="auto"/>
            </w:tcBorders>
          </w:tcPr>
          <w:p>
            <w:pPr>
              <w:pStyle w:val="yTableNAm"/>
              <w:jc w:val="center"/>
            </w:pPr>
            <w:r>
              <w:t>56.780</w:t>
            </w:r>
          </w:p>
        </w:tc>
      </w:tr>
    </w:tbl>
    <w:p>
      <w:pPr>
        <w:pStyle w:val="yHeading5"/>
      </w:pPr>
      <w:bookmarkStart w:id="167" w:name="_Toc398816533"/>
      <w:r>
        <w:rPr>
          <w:rStyle w:val="CharSClsNo"/>
        </w:rPr>
        <w:t>5</w:t>
      </w:r>
      <w:r>
        <w:t>.</w:t>
      </w:r>
      <w:r>
        <w:tab/>
        <w:t>Strata</w:t>
      </w:r>
      <w:r>
        <w:noBreakHyphen/>
        <w:t>titled caravan bay</w:t>
      </w:r>
      <w:bookmarkEnd w:id="167"/>
    </w:p>
    <w:p>
      <w:pPr>
        <w:pStyle w:val="yMiscellaneousBody"/>
        <w:tabs>
          <w:tab w:val="left" w:pos="284"/>
          <w:tab w:val="right" w:leader="dot" w:pos="6804"/>
        </w:tabs>
        <w:spacing w:after="160"/>
        <w:ind w:left="879" w:right="1985" w:hanging="879"/>
      </w:pPr>
      <w:r>
        <w:rPr>
          <w:szCs w:val="22"/>
        </w:rPr>
        <w:tab/>
      </w:r>
      <w:r>
        <w:rPr>
          <w:szCs w:val="22"/>
        </w:rPr>
        <w:tab/>
        <w:t>In respect of a strata</w:t>
      </w:r>
      <w:r>
        <w:rPr>
          <w:szCs w:val="22"/>
        </w:rPr>
        <w:noBreakHyphen/>
        <w:t xml:space="preserve">titled caravan bay, the charge is </w:t>
      </w:r>
      <w:r>
        <w:rPr>
          <w:szCs w:val="22"/>
        </w:rPr>
        <w:tab/>
        <w:t xml:space="preserve"> </w:t>
      </w:r>
      <w:r>
        <w:t>$270.23</w:t>
      </w:r>
    </w:p>
    <w:p>
      <w:pPr>
        <w:pStyle w:val="yHeading5"/>
      </w:pPr>
      <w:bookmarkStart w:id="168" w:name="_Toc398816534"/>
      <w:r>
        <w:rPr>
          <w:rStyle w:val="CharSClsNo"/>
        </w:rPr>
        <w:t>6</w:t>
      </w:r>
      <w:r>
        <w:t>.</w:t>
      </w:r>
      <w:r>
        <w:tab/>
        <w:t>Strata</w:t>
      </w:r>
      <w:r>
        <w:noBreakHyphen/>
        <w:t>titled storage unit or strata</w:t>
      </w:r>
      <w:r>
        <w:noBreakHyphen/>
        <w:t>titled parking bay</w:t>
      </w:r>
      <w:bookmarkEnd w:id="168"/>
    </w:p>
    <w:p>
      <w:pPr>
        <w:pStyle w:val="yMiscellaneousBody"/>
        <w:tabs>
          <w:tab w:val="left" w:pos="284"/>
          <w:tab w:val="right" w:leader="dot" w:pos="6804"/>
        </w:tabs>
        <w:spacing w:after="160"/>
        <w:ind w:left="879" w:right="1985" w:hanging="879"/>
      </w:pPr>
      <w:r>
        <w:rPr>
          <w:szCs w:val="22"/>
        </w:rPr>
        <w:tab/>
      </w:r>
      <w:r>
        <w:rPr>
          <w:szCs w:val="22"/>
        </w:rPr>
        <w:tab/>
        <w:t xml:space="preserve">In respect of a lot that is used for storage purposes or as a parking bay, the charge is </w:t>
      </w:r>
      <w:r>
        <w:rPr>
          <w:szCs w:val="22"/>
        </w:rPr>
        <w:tab/>
        <w:t xml:space="preserve"> </w:t>
      </w:r>
      <w:r>
        <w:t>$81.12</w:t>
      </w:r>
    </w:p>
    <w:p>
      <w:pPr>
        <w:pStyle w:val="yHeading5"/>
      </w:pPr>
      <w:bookmarkStart w:id="169" w:name="_Toc398816535"/>
      <w:r>
        <w:rPr>
          <w:rStyle w:val="CharSClsNo"/>
        </w:rPr>
        <w:t>7</w:t>
      </w:r>
      <w:r>
        <w:t>.</w:t>
      </w:r>
      <w:r>
        <w:tab/>
        <w:t>Land from which trade waste is discharged into a sewer</w:t>
      </w:r>
      <w:bookmarkEnd w:id="169"/>
    </w:p>
    <w:p>
      <w:pPr>
        <w:pStyle w:val="yMiscellaneousBody"/>
        <w:tabs>
          <w:tab w:val="left" w:pos="284"/>
          <w:tab w:val="right" w:leader="dot" w:pos="6804"/>
        </w:tabs>
        <w:spacing w:after="160"/>
        <w:ind w:left="879" w:right="1985" w:hanging="879"/>
      </w:pPr>
      <w:r>
        <w:tab/>
        <w:t>(1)</w:t>
      </w:r>
      <w:r>
        <w:tab/>
        <w:t xml:space="preserve">In respect of land from which there is a discharge of trade waste into a sewer of the Water Corporation under an approval of the Water Corporation, the charge, for the period for which the approval has effect, is </w:t>
      </w:r>
      <w:r>
        <w:tab/>
        <w:t xml:space="preserve"> $223.00</w:t>
      </w:r>
    </w:p>
    <w:p>
      <w:pPr>
        <w:pStyle w:val="yMiscellaneousBody"/>
        <w:tabs>
          <w:tab w:val="left" w:pos="284"/>
          <w:tab w:val="right" w:leader="dot" w:pos="6804"/>
        </w:tabs>
        <w:spacing w:after="160"/>
        <w:ind w:left="879" w:right="1985" w:hanging="879"/>
      </w:pPr>
      <w:r>
        <w:tab/>
        <w:t>(2)</w:t>
      </w:r>
      <w:r>
        <w:tab/>
        <w:t>The charge under this item is in addition to any other charge applicable to the land under this Schedule.</w:t>
      </w:r>
    </w:p>
    <w:p>
      <w:pPr>
        <w:pStyle w:val="yHeading5"/>
      </w:pPr>
      <w:bookmarkStart w:id="170" w:name="_Toc398816536"/>
      <w:r>
        <w:rPr>
          <w:rStyle w:val="CharSClsNo"/>
        </w:rPr>
        <w:t>8</w:t>
      </w:r>
      <w:r>
        <w:t>.</w:t>
      </w:r>
      <w:r>
        <w:tab/>
        <w:t>Land from which trade waste is discharged into a sewer through a grease arrestor</w:t>
      </w:r>
      <w:bookmarkEnd w:id="170"/>
    </w:p>
    <w:p>
      <w:pPr>
        <w:pStyle w:val="yMiscellaneousBody"/>
        <w:tabs>
          <w:tab w:val="left" w:pos="284"/>
          <w:tab w:val="right" w:leader="dot" w:pos="6804"/>
        </w:tabs>
        <w:spacing w:after="160"/>
        <w:ind w:left="879" w:right="1985" w:hanging="879"/>
      </w:pPr>
      <w:r>
        <w:tab/>
        <w:t>(1)</w:t>
      </w:r>
      <w:r>
        <w:tab/>
        <w:t>In this item —</w:t>
      </w:r>
    </w:p>
    <w:p>
      <w:pPr>
        <w:pStyle w:val="yDefstart"/>
        <w:ind w:right="1983"/>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spacing w:after="160"/>
        <w:ind w:left="879" w:right="1985" w:hanging="879"/>
      </w:pPr>
      <w:r>
        <w:tab/>
        <w:t>(2)</w:t>
      </w:r>
      <w:r>
        <w:tab/>
        <w:t>In respect of land from which there is a discharge of trade waste into a sewer of the Water Corporation through one or more grease arrestors under an approval of the Water Corporation, the charge, for the period for which the approval has effect, is —</w:t>
      </w:r>
    </w:p>
    <w:p>
      <w:pPr>
        <w:pStyle w:val="yMiscellaneousBody"/>
        <w:tabs>
          <w:tab w:val="left" w:pos="1134"/>
          <w:tab w:val="right" w:leader="dot" w:pos="6804"/>
        </w:tabs>
        <w:spacing w:before="80"/>
        <w:ind w:left="1560" w:right="1985" w:hanging="1701"/>
      </w:pPr>
      <w:r>
        <w:tab/>
        <w:t>(a)</w:t>
      </w:r>
      <w:r>
        <w:tab/>
        <w:t xml:space="preserve">in respect of each grease arrestor other than a shared grease arrestor </w:t>
      </w:r>
      <w:r>
        <w:tab/>
        <w:t xml:space="preserve"> $97.98</w:t>
      </w:r>
    </w:p>
    <w:p>
      <w:pPr>
        <w:pStyle w:val="yMiscellaneousBody"/>
        <w:tabs>
          <w:tab w:val="left" w:pos="1134"/>
          <w:tab w:val="right" w:leader="dot" w:pos="6804"/>
        </w:tabs>
        <w:spacing w:before="80"/>
        <w:ind w:left="1559" w:right="1871" w:hanging="1701"/>
      </w:pPr>
      <w:r>
        <w:tab/>
        <w:t>(b)</w:t>
      </w:r>
      <w:r>
        <w:tab/>
        <w:t xml:space="preserve">in respect of each shared grease arrestor </w:t>
      </w:r>
      <w:r>
        <w:tab/>
        <w:t xml:space="preserve"> $53.51</w:t>
      </w:r>
    </w:p>
    <w:p>
      <w:pPr>
        <w:pStyle w:val="yMiscellaneousBody"/>
        <w:tabs>
          <w:tab w:val="left" w:pos="284"/>
          <w:tab w:val="right" w:leader="dot" w:pos="6804"/>
        </w:tabs>
        <w:spacing w:after="160"/>
        <w:ind w:left="879" w:right="1985" w:hanging="879"/>
      </w:pPr>
      <w:r>
        <w:tab/>
        <w:t>(3)</w:t>
      </w:r>
      <w:r>
        <w:tab/>
        <w:t>The charge under this item is in addition to any other charge applicable to the land under this Schedule.</w:t>
      </w:r>
    </w:p>
    <w:p>
      <w:pPr>
        <w:pStyle w:val="yHeading5"/>
      </w:pPr>
      <w:bookmarkStart w:id="171" w:name="_Toc398816537"/>
      <w:r>
        <w:rPr>
          <w:rStyle w:val="CharSClsNo"/>
        </w:rPr>
        <w:t>9</w:t>
      </w:r>
      <w:r>
        <w:t>.</w:t>
      </w:r>
      <w:r>
        <w:tab/>
        <w:t>Trade waste discharged from open area</w:t>
      </w:r>
      <w:bookmarkEnd w:id="171"/>
    </w:p>
    <w:p>
      <w:pPr>
        <w:pStyle w:val="yMiscellaneousBody"/>
        <w:tabs>
          <w:tab w:val="left" w:pos="284"/>
          <w:tab w:val="right" w:leader="dot" w:pos="6804"/>
        </w:tabs>
        <w:ind w:left="879" w:right="1985" w:hanging="879"/>
      </w:pPr>
      <w:r>
        <w:tab/>
        <w:t>(1)</w:t>
      </w:r>
      <w:r>
        <w:tab/>
        <w:t xml:space="preserve">In respect of land from which there is a discharge of trade waste from an open area under an approval of the Water Corporation, the charge, for the period for which the approval has effect, is </w:t>
      </w:r>
      <w:r>
        <w:tab/>
        <w:t xml:space="preserve"> $1.49/m</w:t>
      </w:r>
      <w:r>
        <w:rPr>
          <w:vertAlign w:val="superscript"/>
        </w:rPr>
        <w:t>2</w:t>
      </w:r>
    </w:p>
    <w:p>
      <w:pPr>
        <w:pStyle w:val="yMiscellaneousBody"/>
        <w:tabs>
          <w:tab w:val="left" w:pos="284"/>
          <w:tab w:val="right" w:pos="6804"/>
        </w:tabs>
        <w:spacing w:before="0"/>
        <w:ind w:left="879" w:right="1985" w:hanging="879"/>
      </w:pPr>
      <w:r>
        <w:tab/>
      </w:r>
      <w:r>
        <w:tab/>
      </w:r>
      <w:r>
        <w:tab/>
        <w:t xml:space="preserve"> of open area</w:t>
      </w:r>
    </w:p>
    <w:p>
      <w:pPr>
        <w:pStyle w:val="yMiscellaneousBody"/>
        <w:tabs>
          <w:tab w:val="left" w:pos="284"/>
          <w:tab w:val="right" w:leader="dot" w:pos="6804"/>
        </w:tabs>
        <w:spacing w:after="160"/>
        <w:ind w:left="879" w:right="1985" w:hanging="879"/>
      </w:pPr>
      <w:r>
        <w:tab/>
        <w:t>(2)</w:t>
      </w:r>
      <w:r>
        <w:tab/>
        <w:t>The charge under this item is in addition to any other charge applicable to the land under this Schedule.</w:t>
      </w:r>
    </w:p>
    <w:p>
      <w:pPr>
        <w:pStyle w:val="yHeading5"/>
      </w:pPr>
      <w:bookmarkStart w:id="172" w:name="_Toc398816538"/>
      <w:r>
        <w:rPr>
          <w:rStyle w:val="CharSClsNo"/>
        </w:rPr>
        <w:t>10</w:t>
      </w:r>
      <w:r>
        <w:t>.</w:t>
      </w:r>
      <w:r>
        <w:tab/>
        <w:t>Non</w:t>
      </w:r>
      <w:r>
        <w:noBreakHyphen/>
        <w:t>metropolitan concessional</w:t>
      </w:r>
      <w:bookmarkEnd w:id="172"/>
    </w:p>
    <w:p>
      <w:pPr>
        <w:pStyle w:val="yMiscellaneousBody"/>
        <w:tabs>
          <w:tab w:val="left" w:pos="284"/>
          <w:tab w:val="right" w:leader="dot" w:pos="6804"/>
        </w:tabs>
        <w:ind w:left="879" w:right="1985" w:hanging="879"/>
      </w:pPr>
      <w:r>
        <w:tab/>
      </w:r>
      <w:r>
        <w:tab/>
        <w:t>In respect of land in the non</w:t>
      </w:r>
      <w:r>
        <w:noBreakHyphen/>
        <w:t>metropolitan area that is classified as —</w:t>
      </w:r>
    </w:p>
    <w:p>
      <w:pPr>
        <w:pStyle w:val="yMiscellaneousBody"/>
        <w:tabs>
          <w:tab w:val="left" w:pos="1134"/>
          <w:tab w:val="right" w:leader="dot" w:pos="6804"/>
        </w:tabs>
        <w:spacing w:before="80"/>
        <w:ind w:left="1560" w:right="1985" w:hanging="1701"/>
      </w:pPr>
      <w:r>
        <w:tab/>
        <w:t>(a)</w:t>
      </w:r>
      <w:r>
        <w:tab/>
        <w:t>community residential; or</w:t>
      </w:r>
    </w:p>
    <w:p>
      <w:pPr>
        <w:pStyle w:val="yMiscellaneousBody"/>
        <w:tabs>
          <w:tab w:val="left" w:pos="1134"/>
          <w:tab w:val="right" w:leader="dot" w:pos="6804"/>
        </w:tabs>
        <w:spacing w:before="80"/>
        <w:ind w:left="1560" w:right="1985" w:hanging="1701"/>
      </w:pPr>
      <w:r>
        <w:tab/>
        <w:t>(b)</w:t>
      </w:r>
      <w:r>
        <w:tab/>
        <w:t>aged home, charitable purposes, community purpose, institutional public or local government,</w:t>
      </w:r>
    </w:p>
    <w:p>
      <w:pPr>
        <w:pStyle w:val="yMiscellaneousBody"/>
        <w:tabs>
          <w:tab w:val="left" w:pos="284"/>
          <w:tab w:val="right" w:leader="dot" w:pos="6804"/>
        </w:tabs>
        <w:ind w:left="879" w:right="1985" w:hanging="879"/>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6266" w:type="dxa"/>
        <w:jc w:val="center"/>
        <w:tblInd w:w="1463" w:type="dxa"/>
        <w:tblLayout w:type="fixed"/>
        <w:tblLook w:val="0000" w:firstRow="0" w:lastRow="0" w:firstColumn="0" w:lastColumn="0" w:noHBand="0" w:noVBand="0"/>
      </w:tblPr>
      <w:tblGrid>
        <w:gridCol w:w="1997"/>
        <w:gridCol w:w="1420"/>
        <w:gridCol w:w="1420"/>
        <w:gridCol w:w="1429"/>
      </w:tblGrid>
      <w:tr>
        <w:trPr>
          <w:cantSplit/>
          <w:tblHeader/>
          <w:jc w:val="center"/>
        </w:trPr>
        <w:tc>
          <w:tcPr>
            <w:tcW w:w="1997" w:type="dxa"/>
            <w:tcBorders>
              <w:top w:val="single" w:sz="4" w:space="0" w:color="auto"/>
            </w:tcBorders>
          </w:tcPr>
          <w:p>
            <w:pPr>
              <w:pStyle w:val="yTableNAm"/>
              <w:spacing w:before="80" w:after="60"/>
              <w:jc w:val="center"/>
            </w:pPr>
          </w:p>
        </w:tc>
        <w:tc>
          <w:tcPr>
            <w:tcW w:w="1420" w:type="dxa"/>
            <w:tcBorders>
              <w:top w:val="single" w:sz="4" w:space="0" w:color="auto"/>
            </w:tcBorders>
          </w:tcPr>
          <w:p>
            <w:pPr>
              <w:pStyle w:val="yTableNAm"/>
              <w:spacing w:before="80" w:after="60"/>
              <w:jc w:val="center"/>
            </w:pPr>
            <w:r>
              <w:rPr>
                <w:b/>
                <w:bCs/>
              </w:rPr>
              <w:t>Charge</w:t>
            </w:r>
          </w:p>
        </w:tc>
        <w:tc>
          <w:tcPr>
            <w:tcW w:w="2849" w:type="dxa"/>
            <w:gridSpan w:val="2"/>
            <w:tcBorders>
              <w:top w:val="single" w:sz="4" w:space="0" w:color="auto"/>
              <w:bottom w:val="single" w:sz="4" w:space="0" w:color="auto"/>
            </w:tcBorders>
          </w:tcPr>
          <w:p>
            <w:pPr>
              <w:pStyle w:val="yTableNAm"/>
              <w:spacing w:before="80" w:after="60"/>
              <w:jc w:val="center"/>
              <w:rPr>
                <w:b/>
                <w:bCs/>
              </w:rPr>
            </w:pPr>
            <w:r>
              <w:rPr>
                <w:b/>
                <w:bCs/>
              </w:rPr>
              <w:t>Discount %</w:t>
            </w:r>
          </w:p>
        </w:tc>
      </w:tr>
      <w:tr>
        <w:trPr>
          <w:cantSplit/>
          <w:tblHeader/>
          <w:jc w:val="center"/>
        </w:trPr>
        <w:tc>
          <w:tcPr>
            <w:tcW w:w="1997" w:type="dxa"/>
            <w:tcBorders>
              <w:bottom w:val="single" w:sz="4" w:space="0" w:color="auto"/>
            </w:tcBorders>
          </w:tcPr>
          <w:p>
            <w:pPr>
              <w:pStyle w:val="yTableNAm"/>
              <w:spacing w:before="60" w:after="60"/>
              <w:jc w:val="center"/>
            </w:pPr>
          </w:p>
        </w:tc>
        <w:tc>
          <w:tcPr>
            <w:tcW w:w="1420" w:type="dxa"/>
            <w:tcBorders>
              <w:bottom w:val="single" w:sz="4" w:space="0" w:color="auto"/>
            </w:tcBorders>
          </w:tcPr>
          <w:p>
            <w:pPr>
              <w:pStyle w:val="yTableNAm"/>
              <w:spacing w:before="60" w:after="60"/>
              <w:jc w:val="center"/>
              <w:rPr>
                <w:b/>
                <w:bCs/>
              </w:rPr>
            </w:pPr>
          </w:p>
        </w:tc>
        <w:tc>
          <w:tcPr>
            <w:tcW w:w="1420" w:type="dxa"/>
            <w:tcBorders>
              <w:top w:val="single" w:sz="4" w:space="0" w:color="auto"/>
              <w:bottom w:val="single" w:sz="4" w:space="0" w:color="auto"/>
            </w:tcBorders>
          </w:tcPr>
          <w:p>
            <w:pPr>
              <w:pStyle w:val="yTableNAm"/>
              <w:spacing w:before="60" w:after="60"/>
              <w:jc w:val="center"/>
              <w:rPr>
                <w:b/>
                <w:bCs/>
              </w:rPr>
            </w:pPr>
            <w:r>
              <w:rPr>
                <w:b/>
                <w:bCs/>
              </w:rPr>
              <w:t>par. (a)</w:t>
            </w:r>
          </w:p>
        </w:tc>
        <w:tc>
          <w:tcPr>
            <w:tcW w:w="1429" w:type="dxa"/>
            <w:tcBorders>
              <w:top w:val="single" w:sz="4" w:space="0" w:color="auto"/>
              <w:bottom w:val="single" w:sz="4" w:space="0" w:color="auto"/>
            </w:tcBorders>
          </w:tcPr>
          <w:p>
            <w:pPr>
              <w:pStyle w:val="yTableNAm"/>
              <w:spacing w:before="60" w:after="60"/>
              <w:jc w:val="center"/>
              <w:rPr>
                <w:b/>
                <w:bCs/>
              </w:rPr>
            </w:pPr>
            <w:r>
              <w:rPr>
                <w:b/>
                <w:bCs/>
              </w:rPr>
              <w:t>par. (b)</w:t>
            </w:r>
          </w:p>
        </w:tc>
      </w:tr>
      <w:tr>
        <w:trPr>
          <w:cantSplit/>
          <w:jc w:val="center"/>
        </w:trPr>
        <w:tc>
          <w:tcPr>
            <w:tcW w:w="1997" w:type="dxa"/>
          </w:tcPr>
          <w:p>
            <w:pPr>
              <w:pStyle w:val="yTableNAm"/>
              <w:jc w:val="center"/>
            </w:pPr>
            <w:r>
              <w:t>1</w:t>
            </w:r>
            <w:r>
              <w:rPr>
                <w:vertAlign w:val="superscript"/>
              </w:rPr>
              <w:t>st</w:t>
            </w:r>
            <w:r>
              <w:t xml:space="preserve"> fixture</w:t>
            </w:r>
          </w:p>
        </w:tc>
        <w:tc>
          <w:tcPr>
            <w:tcW w:w="1420" w:type="dxa"/>
            <w:vAlign w:val="bottom"/>
          </w:tcPr>
          <w:p>
            <w:pPr>
              <w:pStyle w:val="yTableNAm"/>
              <w:jc w:val="center"/>
            </w:pPr>
            <w:r>
              <w:t>$818.43</w:t>
            </w:r>
          </w:p>
        </w:tc>
        <w:tc>
          <w:tcPr>
            <w:tcW w:w="1420" w:type="dxa"/>
          </w:tcPr>
          <w:p>
            <w:pPr>
              <w:pStyle w:val="yTableNAm"/>
              <w:jc w:val="center"/>
            </w:pPr>
            <w:r>
              <w:t>88.179</w:t>
            </w:r>
          </w:p>
        </w:tc>
        <w:tc>
          <w:tcPr>
            <w:tcW w:w="1429" w:type="dxa"/>
          </w:tcPr>
          <w:p>
            <w:pPr>
              <w:pStyle w:val="yTableNAm"/>
              <w:jc w:val="center"/>
            </w:pPr>
            <w:r>
              <w:t>73.133</w:t>
            </w:r>
          </w:p>
        </w:tc>
      </w:tr>
      <w:tr>
        <w:trPr>
          <w:cantSplit/>
          <w:jc w:val="center"/>
        </w:trPr>
        <w:tc>
          <w:tcPr>
            <w:tcW w:w="1997" w:type="dxa"/>
          </w:tcPr>
          <w:p>
            <w:pPr>
              <w:pStyle w:val="yTableNAm"/>
              <w:jc w:val="center"/>
            </w:pPr>
            <w:r>
              <w:t>2</w:t>
            </w:r>
            <w:r>
              <w:rPr>
                <w:vertAlign w:val="superscript"/>
              </w:rPr>
              <w:t>nd</w:t>
            </w:r>
            <w:r>
              <w:t xml:space="preserve"> fixture</w:t>
            </w:r>
          </w:p>
        </w:tc>
        <w:tc>
          <w:tcPr>
            <w:tcW w:w="1420" w:type="dxa"/>
            <w:vAlign w:val="bottom"/>
          </w:tcPr>
          <w:p>
            <w:pPr>
              <w:pStyle w:val="yTableNAm"/>
              <w:jc w:val="center"/>
            </w:pPr>
            <w:r>
              <w:t>$350.34</w:t>
            </w:r>
          </w:p>
        </w:tc>
        <w:tc>
          <w:tcPr>
            <w:tcW w:w="1420" w:type="dxa"/>
          </w:tcPr>
          <w:p>
            <w:pPr>
              <w:pStyle w:val="yTableNAm"/>
              <w:jc w:val="center"/>
            </w:pPr>
            <w:r>
              <w:t>72.385</w:t>
            </w:r>
          </w:p>
        </w:tc>
        <w:tc>
          <w:tcPr>
            <w:tcW w:w="1429" w:type="dxa"/>
          </w:tcPr>
          <w:p>
            <w:pPr>
              <w:pStyle w:val="yTableNAm"/>
              <w:jc w:val="center"/>
            </w:pPr>
            <w:r>
              <w:t>72.385</w:t>
            </w:r>
          </w:p>
        </w:tc>
      </w:tr>
      <w:tr>
        <w:trPr>
          <w:cantSplit/>
          <w:jc w:val="center"/>
        </w:trPr>
        <w:tc>
          <w:tcPr>
            <w:tcW w:w="1997" w:type="dxa"/>
          </w:tcPr>
          <w:p>
            <w:pPr>
              <w:pStyle w:val="yTableNAm"/>
              <w:jc w:val="center"/>
            </w:pPr>
            <w:r>
              <w:t>3</w:t>
            </w:r>
            <w:r>
              <w:rPr>
                <w:vertAlign w:val="superscript"/>
              </w:rPr>
              <w:t>rd</w:t>
            </w:r>
            <w:r>
              <w:t xml:space="preserve"> fixture</w:t>
            </w:r>
          </w:p>
        </w:tc>
        <w:tc>
          <w:tcPr>
            <w:tcW w:w="1420" w:type="dxa"/>
            <w:vAlign w:val="bottom"/>
          </w:tcPr>
          <w:p>
            <w:pPr>
              <w:pStyle w:val="yTableNAm"/>
              <w:jc w:val="center"/>
            </w:pPr>
            <w:r>
              <w:t>$467.86</w:t>
            </w:r>
          </w:p>
        </w:tc>
        <w:tc>
          <w:tcPr>
            <w:tcW w:w="1420" w:type="dxa"/>
          </w:tcPr>
          <w:p>
            <w:pPr>
              <w:pStyle w:val="yTableNAm"/>
              <w:jc w:val="center"/>
            </w:pPr>
            <w:r>
              <w:t>79.321</w:t>
            </w:r>
          </w:p>
        </w:tc>
        <w:tc>
          <w:tcPr>
            <w:tcW w:w="1429" w:type="dxa"/>
          </w:tcPr>
          <w:p>
            <w:pPr>
              <w:pStyle w:val="yTableNAm"/>
              <w:jc w:val="center"/>
            </w:pPr>
            <w:r>
              <w:t>79.321</w:t>
            </w:r>
          </w:p>
        </w:tc>
      </w:tr>
      <w:tr>
        <w:trPr>
          <w:cantSplit/>
          <w:jc w:val="center"/>
        </w:trPr>
        <w:tc>
          <w:tcPr>
            <w:tcW w:w="1997" w:type="dxa"/>
            <w:tcBorders>
              <w:bottom w:val="single" w:sz="4" w:space="0" w:color="auto"/>
            </w:tcBorders>
          </w:tcPr>
          <w:p>
            <w:pPr>
              <w:pStyle w:val="yTableNAm"/>
              <w:jc w:val="center"/>
            </w:pPr>
            <w:r>
              <w:t>4</w:t>
            </w:r>
            <w:r>
              <w:rPr>
                <w:vertAlign w:val="superscript"/>
              </w:rPr>
              <w:t>th</w:t>
            </w:r>
            <w:r>
              <w:t xml:space="preserve"> and subsequent fixtures</w:t>
            </w:r>
          </w:p>
        </w:tc>
        <w:tc>
          <w:tcPr>
            <w:tcW w:w="1420" w:type="dxa"/>
            <w:tcBorders>
              <w:bottom w:val="single" w:sz="4" w:space="0" w:color="auto"/>
            </w:tcBorders>
          </w:tcPr>
          <w:p>
            <w:pPr>
              <w:pStyle w:val="yTableNAm"/>
              <w:jc w:val="center"/>
            </w:pPr>
            <w:r>
              <w:t>$508.77</w:t>
            </w:r>
          </w:p>
        </w:tc>
        <w:tc>
          <w:tcPr>
            <w:tcW w:w="1420" w:type="dxa"/>
            <w:tcBorders>
              <w:bottom w:val="single" w:sz="4" w:space="0" w:color="auto"/>
            </w:tcBorders>
          </w:tcPr>
          <w:p>
            <w:pPr>
              <w:pStyle w:val="yTableNAm"/>
              <w:jc w:val="center"/>
            </w:pPr>
            <w:r>
              <w:t>80.984</w:t>
            </w:r>
          </w:p>
        </w:tc>
        <w:tc>
          <w:tcPr>
            <w:tcW w:w="1429" w:type="dxa"/>
            <w:tcBorders>
              <w:bottom w:val="single" w:sz="4" w:space="0" w:color="auto"/>
            </w:tcBorders>
          </w:tcPr>
          <w:p>
            <w:pPr>
              <w:pStyle w:val="yTableNAm"/>
              <w:jc w:val="center"/>
            </w:pPr>
            <w:r>
              <w:t>80.984</w:t>
            </w:r>
          </w:p>
        </w:tc>
      </w:tr>
    </w:tbl>
    <w:p>
      <w:pPr>
        <w:pStyle w:val="yHeading5"/>
      </w:pPr>
      <w:bookmarkStart w:id="173" w:name="_Toc398816539"/>
      <w:r>
        <w:rPr>
          <w:rStyle w:val="CharSClsNo"/>
        </w:rPr>
        <w:t>11</w:t>
      </w:r>
      <w:r>
        <w:t>.</w:t>
      </w:r>
      <w:r>
        <w:tab/>
        <w:t>Non</w:t>
      </w:r>
      <w:r>
        <w:noBreakHyphen/>
        <w:t>metropolitan</w:t>
      </w:r>
      <w:bookmarkEnd w:id="173"/>
    </w:p>
    <w:p>
      <w:pPr>
        <w:pStyle w:val="yMiscellaneousBody"/>
        <w:tabs>
          <w:tab w:val="left" w:pos="284"/>
          <w:tab w:val="right" w:leader="dot" w:pos="6804"/>
        </w:tabs>
        <w:ind w:left="879" w:right="1985" w:hanging="879"/>
      </w:pPr>
      <w:r>
        <w:tab/>
        <w:t>(1)</w:t>
      </w:r>
      <w:r>
        <w:tab/>
        <w:t>In respect of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MiscellaneousBody"/>
        <w:tabs>
          <w:tab w:val="left" w:pos="284"/>
          <w:tab w:val="right" w:leader="dot" w:pos="6804"/>
        </w:tabs>
        <w:ind w:left="879" w:right="1985" w:hanging="879"/>
      </w:pPr>
      <w:r>
        <w:tab/>
        <w:t>(2)</w:t>
      </w:r>
      <w:r>
        <w:tab/>
        <w:t>Sub</w:t>
      </w:r>
      <w:r>
        <w:noBreakHyphen/>
        <w:t>item (1) does not apply to land covered by any other item in this Division (other than item 7, 8 or 9) or by Division 2.</w:t>
      </w:r>
    </w:p>
    <w:p>
      <w:pPr>
        <w:pStyle w:val="yMiscellaneousBody"/>
        <w:tabs>
          <w:tab w:val="left" w:pos="284"/>
          <w:tab w:val="right" w:leader="dot" w:pos="6804"/>
        </w:tabs>
        <w:ind w:left="879" w:right="1985" w:hanging="879"/>
      </w:pPr>
      <w:r>
        <w:tab/>
        <w:t>(3)</w:t>
      </w:r>
      <w:r>
        <w:tab/>
        <w:t>The minimum charge under this item is —</w:t>
      </w:r>
    </w:p>
    <w:p>
      <w:pPr>
        <w:pStyle w:val="yMiscellaneousBody"/>
        <w:tabs>
          <w:tab w:val="left" w:pos="1134"/>
          <w:tab w:val="right" w:leader="dot" w:pos="6804"/>
        </w:tabs>
        <w:spacing w:before="80"/>
        <w:ind w:left="1560" w:right="1985" w:hanging="1701"/>
      </w:pPr>
      <w:r>
        <w:tab/>
        <w:t>(a)</w:t>
      </w:r>
      <w:r>
        <w:tab/>
        <w:t xml:space="preserve">for land that is classified as residential </w:t>
      </w:r>
      <w:r>
        <w:tab/>
        <w:t xml:space="preserve"> $351.91</w:t>
      </w:r>
    </w:p>
    <w:p>
      <w:pPr>
        <w:pStyle w:val="yMiscellaneousBody"/>
        <w:tabs>
          <w:tab w:val="left" w:pos="1134"/>
          <w:tab w:val="right" w:leader="dot" w:pos="6804"/>
        </w:tabs>
        <w:spacing w:before="80"/>
        <w:ind w:left="1560" w:right="1985" w:hanging="1701"/>
      </w:pPr>
      <w:r>
        <w:tab/>
        <w:t>(b)</w:t>
      </w:r>
      <w:r>
        <w:tab/>
        <w:t xml:space="preserve">for land that is classified as vacant land </w:t>
      </w:r>
      <w:r>
        <w:tab/>
        <w:t xml:space="preserve"> $231.57</w:t>
      </w:r>
    </w:p>
    <w:p>
      <w:pPr>
        <w:pStyle w:val="yMiscellaneousBody"/>
        <w:tabs>
          <w:tab w:val="left" w:pos="1134"/>
          <w:tab w:val="right" w:leader="dot" w:pos="6804"/>
        </w:tabs>
        <w:spacing w:before="80"/>
        <w:ind w:left="1560" w:right="1985" w:hanging="1701"/>
      </w:pPr>
      <w:r>
        <w:tab/>
        <w:t>(c)</w:t>
      </w:r>
      <w:r>
        <w:tab/>
        <w:t xml:space="preserve">for other land </w:t>
      </w:r>
      <w:r>
        <w:tab/>
        <w:t xml:space="preserve"> $818.43</w:t>
      </w:r>
    </w:p>
    <w:p>
      <w:pPr>
        <w:pStyle w:val="yMiscellaneousBody"/>
        <w:tabs>
          <w:tab w:val="left" w:pos="284"/>
          <w:tab w:val="right" w:leader="dot" w:pos="6804"/>
        </w:tabs>
        <w:ind w:left="879" w:right="1985" w:hanging="879"/>
      </w:pPr>
      <w:r>
        <w:tab/>
        <w:t>(4)</w:t>
      </w:r>
      <w:r>
        <w:tab/>
        <w:t xml:space="preserve">The maximum charge under this item for land that is classified as residential or classified as vacant land but held for residential purposes is </w:t>
      </w:r>
      <w:r>
        <w:tab/>
        <w:t xml:space="preserve"> $876.86</w:t>
      </w:r>
    </w:p>
    <w:p>
      <w:pPr>
        <w:pStyle w:val="yTHeadingNAm"/>
      </w:pPr>
      <w:r>
        <w:t>Table of rates for sewerage areas</w:t>
      </w:r>
    </w:p>
    <w:tbl>
      <w:tblPr>
        <w:tblW w:w="0" w:type="auto"/>
        <w:tblInd w:w="680" w:type="dxa"/>
        <w:tblLayout w:type="fixed"/>
        <w:tblCellMar>
          <w:left w:w="141" w:type="dxa"/>
          <w:right w:w="141" w:type="dxa"/>
        </w:tblCellMar>
        <w:tblLook w:val="0000" w:firstRow="0" w:lastRow="0" w:firstColumn="0" w:lastColumn="0" w:noHBand="0" w:noVBand="0"/>
      </w:tblPr>
      <w:tblGrid>
        <w:gridCol w:w="1871"/>
        <w:gridCol w:w="2126"/>
        <w:gridCol w:w="2217"/>
        <w:gridCol w:w="33"/>
      </w:tblGrid>
      <w:tr>
        <w:trPr>
          <w:gridAfter w:val="1"/>
          <w:wAfter w:w="33" w:type="dxa"/>
          <w:cantSplit/>
          <w:tblHeader/>
        </w:trPr>
        <w:tc>
          <w:tcPr>
            <w:tcW w:w="1871" w:type="dxa"/>
            <w:tcBorders>
              <w:top w:val="single" w:sz="4" w:space="0" w:color="auto"/>
              <w:bottom w:val="single" w:sz="4" w:space="0" w:color="auto"/>
            </w:tcBorders>
          </w:tcPr>
          <w:p>
            <w:pPr>
              <w:pStyle w:val="yTableNAm"/>
              <w:spacing w:before="80" w:after="60"/>
              <w:jc w:val="center"/>
              <w:rPr>
                <w:rFonts w:ascii="Arial" w:hAnsi="Arial"/>
                <w:b/>
              </w:rPr>
            </w:pPr>
            <w:r>
              <w:rPr>
                <w:b/>
                <w:bCs/>
                <w:szCs w:val="22"/>
              </w:rPr>
              <w:t>Sewerage area</w:t>
            </w:r>
          </w:p>
        </w:tc>
        <w:tc>
          <w:tcPr>
            <w:tcW w:w="2126" w:type="dxa"/>
            <w:tcBorders>
              <w:top w:val="single" w:sz="4" w:space="0" w:color="auto"/>
              <w:bottom w:val="single" w:sz="4" w:space="0" w:color="auto"/>
            </w:tcBorders>
          </w:tcPr>
          <w:p>
            <w:pPr>
              <w:pStyle w:val="yTableNAm"/>
              <w:spacing w:before="80" w:after="60"/>
              <w:jc w:val="center"/>
            </w:pPr>
            <w:r>
              <w:rPr>
                <w:b/>
                <w:bCs/>
                <w:szCs w:val="22"/>
              </w:rPr>
              <w:t>Residential rate</w:t>
            </w:r>
            <w:r>
              <w:rPr>
                <w:b/>
                <w:bCs/>
                <w:szCs w:val="22"/>
              </w:rPr>
              <w:br/>
              <w:t>cents/$ of GRV</w:t>
            </w:r>
          </w:p>
        </w:tc>
        <w:tc>
          <w:tcPr>
            <w:tcW w:w="2217" w:type="dxa"/>
            <w:tcBorders>
              <w:top w:val="single" w:sz="4" w:space="0" w:color="auto"/>
              <w:bottom w:val="single" w:sz="4" w:space="0" w:color="auto"/>
            </w:tcBorders>
          </w:tcPr>
          <w:p>
            <w:pPr>
              <w:pStyle w:val="yTableNAm"/>
              <w:spacing w:before="80" w:after="60"/>
              <w:jc w:val="center"/>
            </w:pPr>
            <w:r>
              <w:rPr>
                <w:b/>
                <w:bCs/>
                <w:szCs w:val="22"/>
              </w:rPr>
              <w:t>Non</w:t>
            </w:r>
            <w:r>
              <w:rPr>
                <w:b/>
                <w:bCs/>
                <w:szCs w:val="22"/>
              </w:rPr>
              <w:noBreakHyphen/>
              <w:t>residential rate</w:t>
            </w:r>
            <w:r>
              <w:rPr>
                <w:b/>
                <w:bCs/>
                <w:szCs w:val="22"/>
              </w:rPr>
              <w:br/>
              <w:t>cents/$ of GRV</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Albany</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Augusta</w:t>
                </w:r>
              </w:smartTag>
            </w:smartTag>
          </w:p>
        </w:tc>
        <w:tc>
          <w:tcPr>
            <w:tcW w:w="2126" w:type="dxa"/>
            <w:vAlign w:val="center"/>
          </w:tcPr>
          <w:p>
            <w:pPr>
              <w:pStyle w:val="yTableNAm"/>
              <w:spacing w:before="100"/>
              <w:jc w:val="center"/>
              <w:rPr>
                <w:szCs w:val="22"/>
              </w:rPr>
            </w:pPr>
            <w:r>
              <w:rPr>
                <w:szCs w:val="22"/>
              </w:rPr>
              <w:t>10.393</w:t>
            </w:r>
          </w:p>
        </w:tc>
        <w:tc>
          <w:tcPr>
            <w:tcW w:w="2217" w:type="dxa"/>
            <w:vAlign w:val="center"/>
          </w:tcPr>
          <w:p>
            <w:pPr>
              <w:pStyle w:val="yTableNAm"/>
              <w:spacing w:before="100"/>
              <w:jc w:val="center"/>
              <w:rPr>
                <w:szCs w:val="22"/>
              </w:rPr>
            </w:pPr>
            <w:r>
              <w:rPr>
                <w:szCs w:val="22"/>
              </w:rPr>
              <w:t>7.421</w:t>
            </w:r>
          </w:p>
        </w:tc>
      </w:tr>
      <w:tr>
        <w:trPr>
          <w:gridAfter w:val="1"/>
          <w:wAfter w:w="33" w:type="dxa"/>
          <w:cantSplit/>
        </w:trPr>
        <w:tc>
          <w:tcPr>
            <w:tcW w:w="1871" w:type="dxa"/>
          </w:tcPr>
          <w:p>
            <w:pPr>
              <w:pStyle w:val="yTableNAm"/>
              <w:spacing w:before="100"/>
            </w:pPr>
            <w:r>
              <w:rPr>
                <w:szCs w:val="22"/>
              </w:rPr>
              <w:t>Australind</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2.520</w:t>
            </w:r>
          </w:p>
        </w:tc>
      </w:tr>
      <w:tr>
        <w:trPr>
          <w:gridAfter w:val="1"/>
          <w:wAfter w:w="33" w:type="dxa"/>
          <w:cantSplit/>
        </w:trPr>
        <w:tc>
          <w:tcPr>
            <w:tcW w:w="1871" w:type="dxa"/>
          </w:tcPr>
          <w:p>
            <w:pPr>
              <w:pStyle w:val="yTableNAm"/>
              <w:spacing w:before="100"/>
            </w:pPr>
            <w:r>
              <w:rPr>
                <w:szCs w:val="22"/>
              </w:rPr>
              <w:t>Beverley</w:t>
            </w:r>
          </w:p>
        </w:tc>
        <w:tc>
          <w:tcPr>
            <w:tcW w:w="2126" w:type="dxa"/>
            <w:vAlign w:val="center"/>
          </w:tcPr>
          <w:p>
            <w:pPr>
              <w:pStyle w:val="yTableNAm"/>
              <w:spacing w:before="100"/>
              <w:jc w:val="center"/>
              <w:rPr>
                <w:szCs w:val="22"/>
              </w:rPr>
            </w:pPr>
            <w:r>
              <w:rPr>
                <w:szCs w:val="22"/>
              </w:rPr>
              <w:t>10.335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Binningup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Boddington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Boyanup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7.387</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Name">
                <w:r>
                  <w:rPr>
                    <w:szCs w:val="22"/>
                  </w:rPr>
                  <w:t>Bremer</w:t>
                </w:r>
              </w:smartTag>
              <w:r>
                <w:rPr>
                  <w:szCs w:val="22"/>
                </w:rPr>
                <w:t xml:space="preserve"> </w:t>
              </w:r>
              <w:smartTag w:uri="urn:schemas-microsoft-com:office:smarttags" w:element="PlaceType">
                <w:r>
                  <w:rPr>
                    <w:szCs w:val="22"/>
                  </w:rPr>
                  <w:t>Bay</w:t>
                </w:r>
              </w:smartTag>
            </w:smartTag>
          </w:p>
        </w:tc>
        <w:tc>
          <w:tcPr>
            <w:tcW w:w="2126" w:type="dxa"/>
            <w:vAlign w:val="center"/>
          </w:tcPr>
          <w:p>
            <w:pPr>
              <w:pStyle w:val="yTableNAm"/>
              <w:spacing w:before="100"/>
              <w:jc w:val="center"/>
              <w:rPr>
                <w:szCs w:val="22"/>
              </w:rPr>
            </w:pPr>
            <w:r>
              <w:rPr>
                <w:szCs w:val="22"/>
              </w:rPr>
              <w:t>9.097</w:t>
            </w:r>
          </w:p>
        </w:tc>
        <w:tc>
          <w:tcPr>
            <w:tcW w:w="2217" w:type="dxa"/>
            <w:vAlign w:val="center"/>
          </w:tcPr>
          <w:p>
            <w:pPr>
              <w:pStyle w:val="yTableNAm"/>
              <w:spacing w:before="100"/>
              <w:jc w:val="center"/>
              <w:rPr>
                <w:szCs w:val="22"/>
              </w:rPr>
            </w:pPr>
            <w:r>
              <w:rPr>
                <w:szCs w:val="22"/>
              </w:rPr>
              <w:t>6.361</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Bridgetown</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Broome</w:t>
            </w:r>
          </w:p>
        </w:tc>
        <w:tc>
          <w:tcPr>
            <w:tcW w:w="2126" w:type="dxa"/>
            <w:vAlign w:val="center"/>
          </w:tcPr>
          <w:p>
            <w:pPr>
              <w:pStyle w:val="yTableNAm"/>
              <w:spacing w:before="100"/>
              <w:jc w:val="center"/>
              <w:rPr>
                <w:szCs w:val="22"/>
              </w:rPr>
            </w:pPr>
            <w:r>
              <w:rPr>
                <w:szCs w:val="22"/>
              </w:rPr>
              <w:t>7.023</w:t>
            </w:r>
          </w:p>
        </w:tc>
        <w:tc>
          <w:tcPr>
            <w:tcW w:w="2217" w:type="dxa"/>
            <w:vAlign w:val="center"/>
          </w:tcPr>
          <w:p>
            <w:pPr>
              <w:pStyle w:val="yTableNAm"/>
              <w:spacing w:before="100"/>
              <w:jc w:val="center"/>
              <w:rPr>
                <w:szCs w:val="22"/>
              </w:rPr>
            </w:pPr>
            <w:r>
              <w:rPr>
                <w:szCs w:val="22"/>
              </w:rPr>
              <w:t>2.863</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Brunswick</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Bunbury</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Burekup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Busselton</w:t>
            </w:r>
          </w:p>
        </w:tc>
        <w:tc>
          <w:tcPr>
            <w:tcW w:w="2126" w:type="dxa"/>
            <w:vAlign w:val="center"/>
          </w:tcPr>
          <w:p>
            <w:pPr>
              <w:pStyle w:val="yTableNAm"/>
              <w:spacing w:before="100"/>
              <w:jc w:val="center"/>
              <w:rPr>
                <w:szCs w:val="22"/>
              </w:rPr>
            </w:pPr>
            <w:r>
              <w:rPr>
                <w:szCs w:val="22"/>
              </w:rPr>
              <w:t>5.640</w:t>
            </w:r>
          </w:p>
        </w:tc>
        <w:tc>
          <w:tcPr>
            <w:tcW w:w="2217" w:type="dxa"/>
            <w:vAlign w:val="center"/>
          </w:tcPr>
          <w:p>
            <w:pPr>
              <w:pStyle w:val="yTableNAm"/>
              <w:spacing w:before="100"/>
              <w:jc w:val="center"/>
              <w:rPr>
                <w:szCs w:val="22"/>
              </w:rPr>
            </w:pPr>
            <w:r>
              <w:rPr>
                <w:szCs w:val="22"/>
              </w:rPr>
              <w:t>7.978</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Type">
                <w:r>
                  <w:rPr>
                    <w:szCs w:val="22"/>
                  </w:rPr>
                  <w:t>Cape</w:t>
                </w:r>
              </w:smartTag>
              <w:r>
                <w:rPr>
                  <w:szCs w:val="22"/>
                </w:rPr>
                <w:t xml:space="preserve"> </w:t>
              </w:r>
              <w:smartTag w:uri="urn:schemas-microsoft-com:office:smarttags" w:element="PlaceName">
                <w:r>
                  <w:rPr>
                    <w:szCs w:val="22"/>
                  </w:rPr>
                  <w:t>Burney</w:t>
                </w:r>
              </w:smartTag>
            </w:smartTag>
          </w:p>
        </w:tc>
        <w:tc>
          <w:tcPr>
            <w:tcW w:w="2126" w:type="dxa"/>
            <w:vAlign w:val="center"/>
          </w:tcPr>
          <w:p>
            <w:pPr>
              <w:pStyle w:val="yTableNAm"/>
              <w:spacing w:before="100"/>
              <w:jc w:val="center"/>
              <w:rPr>
                <w:szCs w:val="22"/>
              </w:rPr>
            </w:pPr>
            <w:r>
              <w:rPr>
                <w:szCs w:val="22"/>
              </w:rPr>
              <w:t>7.416</w:t>
            </w:r>
          </w:p>
        </w:tc>
        <w:tc>
          <w:tcPr>
            <w:tcW w:w="2217" w:type="dxa"/>
            <w:vAlign w:val="center"/>
          </w:tcPr>
          <w:p>
            <w:pPr>
              <w:pStyle w:val="yTableNAm"/>
              <w:spacing w:before="100"/>
              <w:jc w:val="center"/>
              <w:rPr>
                <w:szCs w:val="22"/>
              </w:rPr>
            </w:pPr>
            <w:r>
              <w:rPr>
                <w:szCs w:val="22"/>
              </w:rPr>
              <w:t>5.449</w:t>
            </w:r>
          </w:p>
        </w:tc>
      </w:tr>
      <w:tr>
        <w:trPr>
          <w:gridAfter w:val="1"/>
          <w:wAfter w:w="33" w:type="dxa"/>
          <w:cantSplit/>
        </w:trPr>
        <w:tc>
          <w:tcPr>
            <w:tcW w:w="1871" w:type="dxa"/>
          </w:tcPr>
          <w:p>
            <w:pPr>
              <w:pStyle w:val="yTableNAm"/>
              <w:spacing w:before="100"/>
            </w:pPr>
            <w:r>
              <w:rPr>
                <w:szCs w:val="22"/>
              </w:rPr>
              <w:t>Capel</w:t>
            </w:r>
          </w:p>
        </w:tc>
        <w:tc>
          <w:tcPr>
            <w:tcW w:w="2126" w:type="dxa"/>
            <w:vAlign w:val="center"/>
          </w:tcPr>
          <w:p>
            <w:pPr>
              <w:pStyle w:val="yTableNAm"/>
              <w:spacing w:before="100"/>
              <w:jc w:val="center"/>
              <w:rPr>
                <w:szCs w:val="22"/>
              </w:rPr>
            </w:pPr>
            <w:r>
              <w:rPr>
                <w:szCs w:val="22"/>
              </w:rPr>
              <w:t>8.525</w:t>
            </w:r>
          </w:p>
        </w:tc>
        <w:tc>
          <w:tcPr>
            <w:tcW w:w="2217" w:type="dxa"/>
            <w:vAlign w:val="center"/>
          </w:tcPr>
          <w:p>
            <w:pPr>
              <w:pStyle w:val="yTableNAm"/>
              <w:spacing w:before="100"/>
              <w:jc w:val="center"/>
              <w:rPr>
                <w:szCs w:val="22"/>
              </w:rPr>
            </w:pPr>
            <w:r>
              <w:rPr>
                <w:szCs w:val="22"/>
              </w:rPr>
              <w:t>4.932</w:t>
            </w:r>
          </w:p>
        </w:tc>
      </w:tr>
      <w:tr>
        <w:trPr>
          <w:gridAfter w:val="1"/>
          <w:wAfter w:w="33" w:type="dxa"/>
          <w:cantSplit/>
        </w:trPr>
        <w:tc>
          <w:tcPr>
            <w:tcW w:w="1871" w:type="dxa"/>
          </w:tcPr>
          <w:p>
            <w:pPr>
              <w:pStyle w:val="yTableNAm"/>
              <w:spacing w:before="100"/>
            </w:pPr>
            <w:r>
              <w:rPr>
                <w:szCs w:val="22"/>
              </w:rPr>
              <w:t>Carnarvon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Cervantes</w:t>
            </w:r>
          </w:p>
        </w:tc>
        <w:tc>
          <w:tcPr>
            <w:tcW w:w="2126" w:type="dxa"/>
            <w:vAlign w:val="center"/>
          </w:tcPr>
          <w:p>
            <w:pPr>
              <w:pStyle w:val="yTableNAm"/>
              <w:spacing w:before="100"/>
              <w:jc w:val="center"/>
              <w:rPr>
                <w:szCs w:val="22"/>
              </w:rPr>
            </w:pPr>
            <w:r>
              <w:rPr>
                <w:szCs w:val="22"/>
              </w:rPr>
              <w:t>8.904</w:t>
            </w:r>
          </w:p>
        </w:tc>
        <w:tc>
          <w:tcPr>
            <w:tcW w:w="2217" w:type="dxa"/>
            <w:vAlign w:val="center"/>
          </w:tcPr>
          <w:p>
            <w:pPr>
              <w:pStyle w:val="yTableNAm"/>
              <w:spacing w:before="100"/>
              <w:jc w:val="center"/>
              <w:rPr>
                <w:szCs w:val="22"/>
              </w:rPr>
            </w:pPr>
            <w:r>
              <w:rPr>
                <w:szCs w:val="22"/>
              </w:rPr>
              <w:t>3.467</w:t>
            </w:r>
          </w:p>
        </w:tc>
      </w:tr>
      <w:tr>
        <w:trPr>
          <w:gridAfter w:val="1"/>
          <w:wAfter w:w="33" w:type="dxa"/>
          <w:cantSplit/>
        </w:trPr>
        <w:tc>
          <w:tcPr>
            <w:tcW w:w="1871" w:type="dxa"/>
          </w:tcPr>
          <w:p>
            <w:pPr>
              <w:pStyle w:val="yTableNAm"/>
              <w:spacing w:before="100"/>
            </w:pPr>
            <w:r>
              <w:rPr>
                <w:szCs w:val="22"/>
              </w:rPr>
              <w:t>Collie</w:t>
            </w:r>
          </w:p>
        </w:tc>
        <w:tc>
          <w:tcPr>
            <w:tcW w:w="2126" w:type="dxa"/>
            <w:vAlign w:val="center"/>
          </w:tcPr>
          <w:p>
            <w:pPr>
              <w:pStyle w:val="yTableNAm"/>
              <w:spacing w:before="100"/>
              <w:jc w:val="center"/>
              <w:rPr>
                <w:szCs w:val="22"/>
              </w:rPr>
            </w:pPr>
            <w:r>
              <w:rPr>
                <w:szCs w:val="22"/>
              </w:rPr>
              <w:t>9.121</w:t>
            </w:r>
          </w:p>
        </w:tc>
        <w:tc>
          <w:tcPr>
            <w:tcW w:w="2217" w:type="dxa"/>
            <w:vAlign w:val="center"/>
          </w:tcPr>
          <w:p>
            <w:pPr>
              <w:pStyle w:val="yTableNAm"/>
              <w:spacing w:before="100"/>
              <w:jc w:val="center"/>
              <w:rPr>
                <w:szCs w:val="22"/>
              </w:rPr>
            </w:pPr>
            <w:r>
              <w:rPr>
                <w:szCs w:val="22"/>
              </w:rPr>
              <w:t>10.759</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Name">
                <w:r>
                  <w:rPr>
                    <w:szCs w:val="22"/>
                  </w:rPr>
                  <w:t>Coral</w:t>
                </w:r>
              </w:smartTag>
              <w:r>
                <w:rPr>
                  <w:szCs w:val="22"/>
                </w:rPr>
                <w:t xml:space="preserve"> </w:t>
              </w:r>
              <w:smartTag w:uri="urn:schemas-microsoft-com:office:smarttags" w:element="PlaceType">
                <w:r>
                  <w:rPr>
                    <w:szCs w:val="22"/>
                  </w:rPr>
                  <w:t>Bay</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Corrigin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Cowaramup</w:t>
            </w:r>
          </w:p>
        </w:tc>
        <w:tc>
          <w:tcPr>
            <w:tcW w:w="2126" w:type="dxa"/>
            <w:vAlign w:val="center"/>
          </w:tcPr>
          <w:p>
            <w:pPr>
              <w:pStyle w:val="yTableNAm"/>
              <w:spacing w:before="100"/>
              <w:jc w:val="center"/>
              <w:rPr>
                <w:szCs w:val="22"/>
              </w:rPr>
            </w:pPr>
            <w:r>
              <w:rPr>
                <w:szCs w:val="22"/>
              </w:rPr>
              <w:t>8.045</w:t>
            </w:r>
          </w:p>
        </w:tc>
        <w:tc>
          <w:tcPr>
            <w:tcW w:w="2217" w:type="dxa"/>
            <w:vAlign w:val="center"/>
          </w:tcPr>
          <w:p>
            <w:pPr>
              <w:pStyle w:val="yTableNAm"/>
              <w:spacing w:before="100"/>
              <w:jc w:val="center"/>
              <w:rPr>
                <w:szCs w:val="22"/>
              </w:rPr>
            </w:pPr>
            <w:r>
              <w:rPr>
                <w:szCs w:val="22"/>
              </w:rPr>
              <w:t>9.307</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Cranbrook</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Cunderdin</w:t>
            </w:r>
          </w:p>
        </w:tc>
        <w:tc>
          <w:tcPr>
            <w:tcW w:w="2126" w:type="dxa"/>
            <w:vAlign w:val="center"/>
          </w:tcPr>
          <w:p>
            <w:pPr>
              <w:pStyle w:val="yTableNAm"/>
              <w:spacing w:before="100"/>
              <w:jc w:val="center"/>
              <w:rPr>
                <w:szCs w:val="22"/>
              </w:rPr>
            </w:pPr>
            <w:r>
              <w:rPr>
                <w:szCs w:val="22"/>
              </w:rPr>
              <w:t>8.505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Dalyellup</w:t>
            </w:r>
          </w:p>
        </w:tc>
        <w:tc>
          <w:tcPr>
            <w:tcW w:w="2126" w:type="dxa"/>
            <w:vAlign w:val="center"/>
          </w:tcPr>
          <w:p>
            <w:pPr>
              <w:pStyle w:val="yTableNAm"/>
              <w:spacing w:before="100"/>
              <w:jc w:val="center"/>
              <w:rPr>
                <w:szCs w:val="22"/>
              </w:rPr>
            </w:pPr>
            <w:r>
              <w:rPr>
                <w:szCs w:val="22"/>
              </w:rPr>
              <w:t>3.991</w:t>
            </w:r>
          </w:p>
        </w:tc>
        <w:tc>
          <w:tcPr>
            <w:tcW w:w="2217" w:type="dxa"/>
            <w:vAlign w:val="center"/>
          </w:tcPr>
          <w:p>
            <w:pPr>
              <w:pStyle w:val="yTableNAm"/>
              <w:spacing w:before="100"/>
              <w:jc w:val="center"/>
              <w:rPr>
                <w:szCs w:val="22"/>
              </w:rPr>
            </w:pPr>
            <w:r>
              <w:rPr>
                <w:szCs w:val="22"/>
              </w:rPr>
              <w:t>1.871</w:t>
            </w:r>
          </w:p>
        </w:tc>
      </w:tr>
      <w:tr>
        <w:trPr>
          <w:gridAfter w:val="1"/>
          <w:wAfter w:w="33" w:type="dxa"/>
          <w:cantSplit/>
        </w:trPr>
        <w:tc>
          <w:tcPr>
            <w:tcW w:w="1871" w:type="dxa"/>
          </w:tcPr>
          <w:p>
            <w:pPr>
              <w:pStyle w:val="yTableNAm"/>
              <w:spacing w:before="100"/>
            </w:pPr>
            <w:r>
              <w:rPr>
                <w:szCs w:val="22"/>
              </w:rPr>
              <w:t>Dardanup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Denham</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ountry-region">
                <w:r>
                  <w:rPr>
                    <w:szCs w:val="22"/>
                  </w:rPr>
                  <w:t>Denmark</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10.189</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Derby</w:t>
                </w:r>
              </w:smartTag>
            </w:smartTag>
          </w:p>
        </w:tc>
        <w:tc>
          <w:tcPr>
            <w:tcW w:w="2126" w:type="dxa"/>
            <w:vAlign w:val="center"/>
          </w:tcPr>
          <w:p>
            <w:pPr>
              <w:pStyle w:val="yTableNAm"/>
              <w:spacing w:before="100"/>
              <w:jc w:val="center"/>
              <w:rPr>
                <w:szCs w:val="22"/>
              </w:rPr>
            </w:pPr>
            <w:r>
              <w:rPr>
                <w:szCs w:val="22"/>
              </w:rPr>
              <w:t>9.872</w:t>
            </w:r>
          </w:p>
        </w:tc>
        <w:tc>
          <w:tcPr>
            <w:tcW w:w="2217" w:type="dxa"/>
            <w:vAlign w:val="center"/>
          </w:tcPr>
          <w:p>
            <w:pPr>
              <w:pStyle w:val="yTableNAm"/>
              <w:spacing w:before="100"/>
              <w:jc w:val="center"/>
              <w:rPr>
                <w:szCs w:val="22"/>
              </w:rPr>
            </w:pPr>
            <w:r>
              <w:rPr>
                <w:szCs w:val="22"/>
              </w:rPr>
              <w:t>4.124</w:t>
            </w:r>
          </w:p>
        </w:tc>
      </w:tr>
      <w:tr>
        <w:trPr>
          <w:gridAfter w:val="1"/>
          <w:wAfter w:w="33" w:type="dxa"/>
          <w:cantSplit/>
        </w:trPr>
        <w:tc>
          <w:tcPr>
            <w:tcW w:w="1871" w:type="dxa"/>
          </w:tcPr>
          <w:p>
            <w:pPr>
              <w:pStyle w:val="yTableNAm"/>
              <w:spacing w:before="100"/>
            </w:pPr>
            <w:r>
              <w:rPr>
                <w:szCs w:val="22"/>
              </w:rPr>
              <w:t>Dongara</w:t>
            </w:r>
            <w:r>
              <w:rPr>
                <w:szCs w:val="22"/>
              </w:rPr>
              <w:noBreakHyphen/>
              <w:t>Denison</w:t>
            </w:r>
          </w:p>
        </w:tc>
        <w:tc>
          <w:tcPr>
            <w:tcW w:w="2126" w:type="dxa"/>
            <w:vAlign w:val="center"/>
          </w:tcPr>
          <w:p>
            <w:pPr>
              <w:pStyle w:val="yTableNAm"/>
              <w:spacing w:before="100"/>
              <w:jc w:val="center"/>
              <w:rPr>
                <w:szCs w:val="22"/>
              </w:rPr>
            </w:pPr>
            <w:r>
              <w:rPr>
                <w:szCs w:val="22"/>
              </w:rPr>
              <w:t>9.559</w:t>
            </w:r>
          </w:p>
        </w:tc>
        <w:tc>
          <w:tcPr>
            <w:tcW w:w="2217" w:type="dxa"/>
            <w:vAlign w:val="center"/>
          </w:tcPr>
          <w:p>
            <w:pPr>
              <w:pStyle w:val="yTableNAm"/>
              <w:spacing w:before="100"/>
              <w:jc w:val="center"/>
              <w:rPr>
                <w:szCs w:val="22"/>
              </w:rPr>
            </w:pPr>
            <w:r>
              <w:rPr>
                <w:szCs w:val="22"/>
              </w:rPr>
              <w:t>5.553</w:t>
            </w:r>
          </w:p>
        </w:tc>
      </w:tr>
      <w:tr>
        <w:trPr>
          <w:gridAfter w:val="1"/>
          <w:wAfter w:w="33" w:type="dxa"/>
          <w:cantSplit/>
        </w:trPr>
        <w:tc>
          <w:tcPr>
            <w:tcW w:w="1871" w:type="dxa"/>
          </w:tcPr>
          <w:p>
            <w:pPr>
              <w:pStyle w:val="yTableNAm"/>
              <w:spacing w:before="100"/>
            </w:pPr>
            <w:r>
              <w:rPr>
                <w:szCs w:val="22"/>
              </w:rPr>
              <w:t>Donnybrook</w:t>
            </w:r>
          </w:p>
        </w:tc>
        <w:tc>
          <w:tcPr>
            <w:tcW w:w="2126" w:type="dxa"/>
            <w:vAlign w:val="center"/>
          </w:tcPr>
          <w:p>
            <w:pPr>
              <w:pStyle w:val="yTableNAm"/>
              <w:spacing w:before="100"/>
              <w:jc w:val="center"/>
              <w:rPr>
                <w:szCs w:val="22"/>
              </w:rPr>
            </w:pPr>
            <w:r>
              <w:rPr>
                <w:szCs w:val="22"/>
              </w:rPr>
              <w:t>9.662</w:t>
            </w:r>
          </w:p>
        </w:tc>
        <w:tc>
          <w:tcPr>
            <w:tcW w:w="2217" w:type="dxa"/>
            <w:vAlign w:val="center"/>
          </w:tcPr>
          <w:p>
            <w:pPr>
              <w:pStyle w:val="yTableNAm"/>
              <w:spacing w:before="100"/>
              <w:jc w:val="center"/>
              <w:rPr>
                <w:szCs w:val="22"/>
              </w:rPr>
            </w:pPr>
            <w:r>
              <w:rPr>
                <w:szCs w:val="22"/>
              </w:rPr>
              <w:t>9.914</w:t>
            </w:r>
          </w:p>
        </w:tc>
      </w:tr>
      <w:tr>
        <w:trPr>
          <w:gridAfter w:val="1"/>
          <w:wAfter w:w="33" w:type="dxa"/>
          <w:cantSplit/>
        </w:trPr>
        <w:tc>
          <w:tcPr>
            <w:tcW w:w="1871" w:type="dxa"/>
          </w:tcPr>
          <w:p>
            <w:pPr>
              <w:pStyle w:val="yTableNAm"/>
              <w:spacing w:before="100"/>
            </w:pPr>
            <w:r>
              <w:rPr>
                <w:szCs w:val="22"/>
              </w:rPr>
              <w:t>Dunsborough</w:t>
            </w:r>
          </w:p>
        </w:tc>
        <w:tc>
          <w:tcPr>
            <w:tcW w:w="2126" w:type="dxa"/>
            <w:vAlign w:val="center"/>
          </w:tcPr>
          <w:p>
            <w:pPr>
              <w:pStyle w:val="yTableNAm"/>
              <w:spacing w:before="100"/>
              <w:jc w:val="center"/>
              <w:rPr>
                <w:szCs w:val="22"/>
              </w:rPr>
            </w:pPr>
            <w:r>
              <w:rPr>
                <w:szCs w:val="22"/>
              </w:rPr>
              <w:t>7.135</w:t>
            </w:r>
          </w:p>
        </w:tc>
        <w:tc>
          <w:tcPr>
            <w:tcW w:w="2217" w:type="dxa"/>
            <w:vAlign w:val="center"/>
          </w:tcPr>
          <w:p>
            <w:pPr>
              <w:pStyle w:val="yTableNAm"/>
              <w:spacing w:before="100"/>
              <w:jc w:val="center"/>
              <w:rPr>
                <w:szCs w:val="22"/>
              </w:rPr>
            </w:pPr>
            <w:r>
              <w:rPr>
                <w:szCs w:val="22"/>
              </w:rPr>
              <w:t>5.994</w:t>
            </w:r>
          </w:p>
        </w:tc>
      </w:tr>
      <w:tr>
        <w:trPr>
          <w:gridAfter w:val="1"/>
          <w:wAfter w:w="33" w:type="dxa"/>
          <w:cantSplit/>
        </w:trPr>
        <w:tc>
          <w:tcPr>
            <w:tcW w:w="1871" w:type="dxa"/>
          </w:tcPr>
          <w:p>
            <w:pPr>
              <w:pStyle w:val="yTableNAm"/>
              <w:spacing w:before="100"/>
            </w:pPr>
            <w:r>
              <w:rPr>
                <w:szCs w:val="22"/>
              </w:rPr>
              <w:t>Eaton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Eneabba</w:t>
            </w:r>
          </w:p>
        </w:tc>
        <w:tc>
          <w:tcPr>
            <w:tcW w:w="2126" w:type="dxa"/>
            <w:vAlign w:val="center"/>
          </w:tcPr>
          <w:p>
            <w:pPr>
              <w:pStyle w:val="yTableNAm"/>
              <w:spacing w:before="100"/>
              <w:jc w:val="center"/>
              <w:rPr>
                <w:szCs w:val="22"/>
              </w:rPr>
            </w:pPr>
            <w:r>
              <w:rPr>
                <w:szCs w:val="22"/>
              </w:rPr>
              <w:t>11.895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Esperance</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Exmouth</w:t>
            </w:r>
          </w:p>
        </w:tc>
        <w:tc>
          <w:tcPr>
            <w:tcW w:w="2126" w:type="dxa"/>
            <w:vAlign w:val="center"/>
          </w:tcPr>
          <w:p>
            <w:pPr>
              <w:pStyle w:val="yTableNAm"/>
              <w:spacing w:before="100"/>
              <w:jc w:val="center"/>
              <w:rPr>
                <w:szCs w:val="22"/>
              </w:rPr>
            </w:pPr>
            <w:r>
              <w:rPr>
                <w:szCs w:val="22"/>
              </w:rPr>
              <w:t>3.538</w:t>
            </w:r>
          </w:p>
        </w:tc>
        <w:tc>
          <w:tcPr>
            <w:tcW w:w="2217" w:type="dxa"/>
            <w:vAlign w:val="center"/>
          </w:tcPr>
          <w:p>
            <w:pPr>
              <w:pStyle w:val="yTableNAm"/>
              <w:spacing w:before="100"/>
              <w:jc w:val="center"/>
              <w:rPr>
                <w:szCs w:val="22"/>
              </w:rPr>
            </w:pPr>
            <w:r>
              <w:rPr>
                <w:szCs w:val="22"/>
              </w:rPr>
              <w:t>2.520</w:t>
            </w:r>
          </w:p>
        </w:tc>
      </w:tr>
      <w:tr>
        <w:trPr>
          <w:gridAfter w:val="1"/>
          <w:wAfter w:w="33" w:type="dxa"/>
          <w:cantSplit/>
        </w:trPr>
        <w:tc>
          <w:tcPr>
            <w:tcW w:w="1871" w:type="dxa"/>
          </w:tcPr>
          <w:p>
            <w:pPr>
              <w:pStyle w:val="yTableNAm"/>
              <w:spacing w:before="100"/>
            </w:pPr>
            <w:r>
              <w:rPr>
                <w:szCs w:val="22"/>
              </w:rPr>
              <w:t>Fitzroy Crossing</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Geraldton</w:t>
            </w:r>
          </w:p>
        </w:tc>
        <w:tc>
          <w:tcPr>
            <w:tcW w:w="2126" w:type="dxa"/>
            <w:vAlign w:val="center"/>
          </w:tcPr>
          <w:p>
            <w:pPr>
              <w:pStyle w:val="yTableNAm"/>
              <w:spacing w:before="100"/>
              <w:jc w:val="center"/>
              <w:rPr>
                <w:szCs w:val="22"/>
              </w:rPr>
            </w:pPr>
            <w:r>
              <w:rPr>
                <w:szCs w:val="22"/>
              </w:rPr>
              <w:t>7.624</w:t>
            </w:r>
          </w:p>
        </w:tc>
        <w:tc>
          <w:tcPr>
            <w:tcW w:w="2217" w:type="dxa"/>
            <w:vAlign w:val="center"/>
          </w:tcPr>
          <w:p>
            <w:pPr>
              <w:pStyle w:val="yTableNAm"/>
              <w:spacing w:before="100"/>
              <w:jc w:val="center"/>
              <w:rPr>
                <w:szCs w:val="22"/>
              </w:rPr>
            </w:pPr>
            <w:r>
              <w:rPr>
                <w:szCs w:val="22"/>
              </w:rPr>
              <w:t>6.815</w:t>
            </w:r>
          </w:p>
        </w:tc>
      </w:tr>
      <w:tr>
        <w:trPr>
          <w:gridAfter w:val="1"/>
          <w:wAfter w:w="33" w:type="dxa"/>
          <w:cantSplit/>
        </w:trPr>
        <w:tc>
          <w:tcPr>
            <w:tcW w:w="1871" w:type="dxa"/>
          </w:tcPr>
          <w:p>
            <w:pPr>
              <w:pStyle w:val="yTableNAm"/>
              <w:spacing w:before="100"/>
            </w:pPr>
            <w:r>
              <w:rPr>
                <w:szCs w:val="22"/>
              </w:rPr>
              <w:t>Gnarabup</w:t>
            </w:r>
          </w:p>
        </w:tc>
        <w:tc>
          <w:tcPr>
            <w:tcW w:w="2126" w:type="dxa"/>
            <w:vAlign w:val="center"/>
          </w:tcPr>
          <w:p>
            <w:pPr>
              <w:pStyle w:val="yTableNAm"/>
              <w:spacing w:before="100"/>
              <w:jc w:val="center"/>
              <w:rPr>
                <w:szCs w:val="22"/>
              </w:rPr>
            </w:pPr>
            <w:r>
              <w:rPr>
                <w:szCs w:val="22"/>
              </w:rPr>
              <w:t>6.641</w:t>
            </w:r>
          </w:p>
        </w:tc>
        <w:tc>
          <w:tcPr>
            <w:tcW w:w="2217" w:type="dxa"/>
            <w:vAlign w:val="center"/>
          </w:tcPr>
          <w:p>
            <w:pPr>
              <w:pStyle w:val="yTableNAm"/>
              <w:spacing w:before="100"/>
              <w:jc w:val="center"/>
              <w:rPr>
                <w:szCs w:val="22"/>
              </w:rPr>
            </w:pPr>
            <w:r>
              <w:rPr>
                <w:szCs w:val="22"/>
              </w:rPr>
              <w:t>6.682</w:t>
            </w:r>
          </w:p>
        </w:tc>
      </w:tr>
      <w:tr>
        <w:trPr>
          <w:gridAfter w:val="1"/>
          <w:wAfter w:w="33" w:type="dxa"/>
          <w:cantSplit/>
        </w:trPr>
        <w:tc>
          <w:tcPr>
            <w:tcW w:w="1871" w:type="dxa"/>
          </w:tcPr>
          <w:p>
            <w:pPr>
              <w:pStyle w:val="yTableNAm"/>
              <w:spacing w:before="100"/>
            </w:pPr>
            <w:r>
              <w:rPr>
                <w:szCs w:val="22"/>
              </w:rPr>
              <w:t>Gnowangerup</w:t>
            </w:r>
          </w:p>
        </w:tc>
        <w:tc>
          <w:tcPr>
            <w:tcW w:w="2126" w:type="dxa"/>
            <w:vAlign w:val="center"/>
          </w:tcPr>
          <w:p>
            <w:pPr>
              <w:pStyle w:val="yTableNAm"/>
              <w:spacing w:before="100"/>
              <w:jc w:val="center"/>
              <w:rPr>
                <w:szCs w:val="22"/>
              </w:rPr>
            </w:pPr>
            <w:r>
              <w:rPr>
                <w:szCs w:val="22"/>
              </w:rPr>
              <w:t>10.130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Greenhead</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8.353</w:t>
            </w:r>
          </w:p>
        </w:tc>
      </w:tr>
      <w:tr>
        <w:trPr>
          <w:gridAfter w:val="1"/>
          <w:wAfter w:w="33" w:type="dxa"/>
          <w:cantSplit/>
        </w:trPr>
        <w:tc>
          <w:tcPr>
            <w:tcW w:w="1871" w:type="dxa"/>
          </w:tcPr>
          <w:p>
            <w:pPr>
              <w:pStyle w:val="yTableNAm"/>
              <w:spacing w:before="100"/>
            </w:pPr>
            <w:r>
              <w:rPr>
                <w:szCs w:val="22"/>
              </w:rPr>
              <w:t>Halls Creek</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10.568</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Harvey</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Hopetoun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Horrocks</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8.973</w:t>
            </w:r>
          </w:p>
        </w:tc>
      </w:tr>
      <w:tr>
        <w:trPr>
          <w:gridAfter w:val="1"/>
          <w:wAfter w:w="33" w:type="dxa"/>
          <w:cantSplit/>
        </w:trPr>
        <w:tc>
          <w:tcPr>
            <w:tcW w:w="1871" w:type="dxa"/>
          </w:tcPr>
          <w:p>
            <w:pPr>
              <w:pStyle w:val="yTableNAm"/>
              <w:spacing w:before="100"/>
              <w:rPr>
                <w:szCs w:val="22"/>
              </w:rPr>
            </w:pPr>
            <w:r>
              <w:rPr>
                <w:szCs w:val="22"/>
              </w:rPr>
              <w:t>Hyden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Jurien Bay</w:t>
            </w:r>
          </w:p>
        </w:tc>
        <w:tc>
          <w:tcPr>
            <w:tcW w:w="2126" w:type="dxa"/>
            <w:vAlign w:val="center"/>
          </w:tcPr>
          <w:p>
            <w:pPr>
              <w:pStyle w:val="yTableNAm"/>
              <w:spacing w:before="100"/>
              <w:jc w:val="center"/>
              <w:rPr>
                <w:szCs w:val="22"/>
              </w:rPr>
            </w:pPr>
            <w:r>
              <w:rPr>
                <w:szCs w:val="22"/>
              </w:rPr>
              <w:t>8.904</w:t>
            </w:r>
          </w:p>
        </w:tc>
        <w:tc>
          <w:tcPr>
            <w:tcW w:w="2217" w:type="dxa"/>
            <w:vAlign w:val="center"/>
          </w:tcPr>
          <w:p>
            <w:pPr>
              <w:pStyle w:val="yTableNAm"/>
              <w:spacing w:before="100"/>
              <w:jc w:val="center"/>
              <w:rPr>
                <w:szCs w:val="22"/>
              </w:rPr>
            </w:pPr>
            <w:r>
              <w:rPr>
                <w:szCs w:val="22"/>
              </w:rPr>
              <w:t>7.647</w:t>
            </w:r>
          </w:p>
        </w:tc>
      </w:tr>
      <w:tr>
        <w:trPr>
          <w:gridAfter w:val="1"/>
          <w:wAfter w:w="33" w:type="dxa"/>
          <w:cantSplit/>
        </w:trPr>
        <w:tc>
          <w:tcPr>
            <w:tcW w:w="1871" w:type="dxa"/>
          </w:tcPr>
          <w:p>
            <w:pPr>
              <w:pStyle w:val="yTableNAm"/>
              <w:spacing w:before="100"/>
            </w:pPr>
            <w:r>
              <w:rPr>
                <w:szCs w:val="22"/>
              </w:rPr>
              <w:t>Kalbarri</w:t>
            </w:r>
          </w:p>
        </w:tc>
        <w:tc>
          <w:tcPr>
            <w:tcW w:w="2126" w:type="dxa"/>
            <w:vAlign w:val="center"/>
          </w:tcPr>
          <w:p>
            <w:pPr>
              <w:pStyle w:val="yTableNAm"/>
              <w:spacing w:before="100"/>
              <w:jc w:val="center"/>
              <w:rPr>
                <w:szCs w:val="22"/>
              </w:rPr>
            </w:pPr>
            <w:r>
              <w:rPr>
                <w:szCs w:val="22"/>
              </w:rPr>
              <w:t>9.291</w:t>
            </w:r>
          </w:p>
        </w:tc>
        <w:tc>
          <w:tcPr>
            <w:tcW w:w="2217" w:type="dxa"/>
            <w:vAlign w:val="center"/>
          </w:tcPr>
          <w:p>
            <w:pPr>
              <w:pStyle w:val="yTableNAm"/>
              <w:spacing w:before="100"/>
              <w:jc w:val="center"/>
              <w:rPr>
                <w:szCs w:val="22"/>
              </w:rPr>
            </w:pPr>
            <w:r>
              <w:rPr>
                <w:szCs w:val="22"/>
              </w:rPr>
              <w:t>10.616</w:t>
            </w:r>
          </w:p>
        </w:tc>
      </w:tr>
      <w:tr>
        <w:trPr>
          <w:gridAfter w:val="1"/>
          <w:wAfter w:w="33" w:type="dxa"/>
          <w:cantSplit/>
        </w:trPr>
        <w:tc>
          <w:tcPr>
            <w:tcW w:w="1871" w:type="dxa"/>
          </w:tcPr>
          <w:p>
            <w:pPr>
              <w:pStyle w:val="yTableNAm"/>
              <w:spacing w:before="100"/>
            </w:pPr>
            <w:r>
              <w:rPr>
                <w:szCs w:val="22"/>
              </w:rPr>
              <w:t>Kambalda</w:t>
            </w:r>
          </w:p>
        </w:tc>
        <w:tc>
          <w:tcPr>
            <w:tcW w:w="2126" w:type="dxa"/>
            <w:vAlign w:val="center"/>
          </w:tcPr>
          <w:p>
            <w:pPr>
              <w:pStyle w:val="yTableNAm"/>
              <w:spacing w:before="100"/>
              <w:jc w:val="center"/>
              <w:rPr>
                <w:szCs w:val="22"/>
              </w:rPr>
            </w:pPr>
            <w:r>
              <w:rPr>
                <w:szCs w:val="22"/>
              </w:rPr>
              <w:t>7.401</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Karratha</w:t>
            </w:r>
          </w:p>
        </w:tc>
        <w:tc>
          <w:tcPr>
            <w:tcW w:w="2126" w:type="dxa"/>
            <w:vAlign w:val="center"/>
          </w:tcPr>
          <w:p>
            <w:pPr>
              <w:pStyle w:val="yTableNAm"/>
              <w:spacing w:before="100"/>
              <w:jc w:val="center"/>
              <w:rPr>
                <w:szCs w:val="22"/>
              </w:rPr>
            </w:pPr>
            <w:r>
              <w:rPr>
                <w:szCs w:val="22"/>
              </w:rPr>
              <w:t>1.041</w:t>
            </w:r>
          </w:p>
        </w:tc>
        <w:tc>
          <w:tcPr>
            <w:tcW w:w="2217" w:type="dxa"/>
            <w:vAlign w:val="center"/>
          </w:tcPr>
          <w:p>
            <w:pPr>
              <w:pStyle w:val="yTableNAm"/>
              <w:spacing w:before="100"/>
              <w:jc w:val="center"/>
              <w:rPr>
                <w:szCs w:val="22"/>
              </w:rPr>
            </w:pPr>
            <w:r>
              <w:rPr>
                <w:szCs w:val="22"/>
              </w:rPr>
              <w:t>3.609</w:t>
            </w:r>
          </w:p>
        </w:tc>
      </w:tr>
      <w:tr>
        <w:trPr>
          <w:gridAfter w:val="1"/>
          <w:wAfter w:w="33" w:type="dxa"/>
          <w:cantSplit/>
        </w:trPr>
        <w:tc>
          <w:tcPr>
            <w:tcW w:w="1871" w:type="dxa"/>
          </w:tcPr>
          <w:p>
            <w:pPr>
              <w:pStyle w:val="yTableNAm"/>
              <w:spacing w:before="100"/>
            </w:pPr>
            <w:r>
              <w:rPr>
                <w:szCs w:val="22"/>
              </w:rPr>
              <w:t>Katanning</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Kellerberrin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Kojonup</w:t>
            </w:r>
          </w:p>
        </w:tc>
        <w:tc>
          <w:tcPr>
            <w:tcW w:w="2126" w:type="dxa"/>
            <w:vAlign w:val="center"/>
          </w:tcPr>
          <w:p>
            <w:pPr>
              <w:pStyle w:val="yTableNAm"/>
              <w:spacing w:before="100"/>
              <w:jc w:val="center"/>
              <w:rPr>
                <w:szCs w:val="22"/>
              </w:rPr>
            </w:pPr>
            <w:r>
              <w:rPr>
                <w:szCs w:val="22"/>
              </w:rPr>
              <w:t>10.685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Kulin</w:t>
            </w:r>
          </w:p>
        </w:tc>
        <w:tc>
          <w:tcPr>
            <w:tcW w:w="2126" w:type="dxa"/>
            <w:vAlign w:val="center"/>
          </w:tcPr>
          <w:p>
            <w:pPr>
              <w:pStyle w:val="yTableNAm"/>
              <w:spacing w:before="100"/>
              <w:jc w:val="center"/>
              <w:rPr>
                <w:szCs w:val="22"/>
              </w:rPr>
            </w:pPr>
            <w:r>
              <w:rPr>
                <w:szCs w:val="22"/>
              </w:rPr>
              <w:t>10.259</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Kununurra</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Lancelin</w:t>
            </w:r>
          </w:p>
        </w:tc>
        <w:tc>
          <w:tcPr>
            <w:tcW w:w="2126" w:type="dxa"/>
            <w:vAlign w:val="center"/>
          </w:tcPr>
          <w:p>
            <w:pPr>
              <w:pStyle w:val="yTableNAm"/>
              <w:spacing w:before="100"/>
              <w:jc w:val="center"/>
              <w:rPr>
                <w:szCs w:val="22"/>
              </w:rPr>
            </w:pPr>
            <w:r>
              <w:rPr>
                <w:szCs w:val="22"/>
              </w:rPr>
              <w:t>8.258</w:t>
            </w:r>
          </w:p>
        </w:tc>
        <w:tc>
          <w:tcPr>
            <w:tcW w:w="2217" w:type="dxa"/>
            <w:vAlign w:val="center"/>
          </w:tcPr>
          <w:p>
            <w:pPr>
              <w:pStyle w:val="yTableNAm"/>
              <w:spacing w:before="100"/>
              <w:jc w:val="center"/>
              <w:rPr>
                <w:szCs w:val="22"/>
              </w:rPr>
            </w:pPr>
            <w:r>
              <w:rPr>
                <w:szCs w:val="22"/>
              </w:rPr>
              <w:t>3.370</w:t>
            </w:r>
          </w:p>
        </w:tc>
      </w:tr>
      <w:tr>
        <w:trPr>
          <w:gridAfter w:val="1"/>
          <w:wAfter w:w="33" w:type="dxa"/>
          <w:cantSplit/>
        </w:trPr>
        <w:tc>
          <w:tcPr>
            <w:tcW w:w="1871" w:type="dxa"/>
          </w:tcPr>
          <w:p>
            <w:pPr>
              <w:pStyle w:val="yTableNAm"/>
              <w:spacing w:before="100"/>
            </w:pPr>
            <w:r>
              <w:rPr>
                <w:szCs w:val="22"/>
              </w:rPr>
              <w:t>Laverton</w:t>
            </w:r>
          </w:p>
        </w:tc>
        <w:tc>
          <w:tcPr>
            <w:tcW w:w="2126" w:type="dxa"/>
            <w:vAlign w:val="center"/>
          </w:tcPr>
          <w:p>
            <w:pPr>
              <w:pStyle w:val="yTableNAm"/>
              <w:spacing w:before="100"/>
              <w:jc w:val="center"/>
              <w:rPr>
                <w:szCs w:val="22"/>
              </w:rPr>
            </w:pPr>
            <w:r>
              <w:rPr>
                <w:szCs w:val="22"/>
              </w:rPr>
              <w:t>10.744</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Ledge Point</w:t>
            </w:r>
          </w:p>
        </w:tc>
        <w:tc>
          <w:tcPr>
            <w:tcW w:w="2126" w:type="dxa"/>
            <w:vAlign w:val="center"/>
          </w:tcPr>
          <w:p>
            <w:pPr>
              <w:pStyle w:val="yTableNAm"/>
              <w:spacing w:before="100"/>
              <w:jc w:val="center"/>
              <w:rPr>
                <w:szCs w:val="22"/>
              </w:rPr>
            </w:pPr>
            <w:r>
              <w:rPr>
                <w:szCs w:val="22"/>
              </w:rPr>
              <w:t>6.191</w:t>
            </w:r>
          </w:p>
        </w:tc>
        <w:tc>
          <w:tcPr>
            <w:tcW w:w="2217" w:type="dxa"/>
            <w:vAlign w:val="center"/>
          </w:tcPr>
          <w:p>
            <w:pPr>
              <w:pStyle w:val="yTableNAm"/>
              <w:spacing w:before="100"/>
              <w:jc w:val="center"/>
              <w:rPr>
                <w:szCs w:val="22"/>
              </w:rPr>
            </w:pPr>
            <w:r>
              <w:rPr>
                <w:szCs w:val="22"/>
              </w:rPr>
              <w:t>4.183</w:t>
            </w:r>
          </w:p>
        </w:tc>
      </w:tr>
      <w:tr>
        <w:trPr>
          <w:gridAfter w:val="1"/>
          <w:wAfter w:w="33" w:type="dxa"/>
          <w:cantSplit/>
        </w:trPr>
        <w:tc>
          <w:tcPr>
            <w:tcW w:w="1871" w:type="dxa"/>
          </w:tcPr>
          <w:p>
            <w:pPr>
              <w:pStyle w:val="yTableNAm"/>
              <w:spacing w:before="100"/>
            </w:pPr>
            <w:r>
              <w:rPr>
                <w:szCs w:val="22"/>
              </w:rPr>
              <w:t>Leeman</w:t>
            </w:r>
          </w:p>
        </w:tc>
        <w:tc>
          <w:tcPr>
            <w:tcW w:w="2126" w:type="dxa"/>
            <w:vAlign w:val="center"/>
          </w:tcPr>
          <w:p>
            <w:pPr>
              <w:pStyle w:val="yTableNAm"/>
              <w:spacing w:before="100"/>
              <w:jc w:val="center"/>
              <w:rPr>
                <w:szCs w:val="22"/>
              </w:rPr>
            </w:pPr>
            <w:r>
              <w:rPr>
                <w:szCs w:val="22"/>
              </w:rPr>
              <w:t>9.316</w:t>
            </w:r>
          </w:p>
        </w:tc>
        <w:tc>
          <w:tcPr>
            <w:tcW w:w="2217" w:type="dxa"/>
            <w:vAlign w:val="center"/>
          </w:tcPr>
          <w:p>
            <w:pPr>
              <w:pStyle w:val="yTableNAm"/>
              <w:spacing w:before="100"/>
              <w:jc w:val="center"/>
              <w:rPr>
                <w:szCs w:val="22"/>
              </w:rPr>
            </w:pPr>
            <w:r>
              <w:rPr>
                <w:szCs w:val="22"/>
              </w:rPr>
              <w:t>7.560</w:t>
            </w:r>
          </w:p>
        </w:tc>
      </w:tr>
      <w:tr>
        <w:trPr>
          <w:gridAfter w:val="1"/>
          <w:wAfter w:w="33" w:type="dxa"/>
          <w:cantSplit/>
        </w:trPr>
        <w:tc>
          <w:tcPr>
            <w:tcW w:w="1871" w:type="dxa"/>
          </w:tcPr>
          <w:p>
            <w:pPr>
              <w:pStyle w:val="yTableNAm"/>
              <w:spacing w:before="100"/>
            </w:pPr>
            <w:r>
              <w:rPr>
                <w:szCs w:val="22"/>
              </w:rPr>
              <w:t>Leonora</w:t>
            </w:r>
          </w:p>
        </w:tc>
        <w:tc>
          <w:tcPr>
            <w:tcW w:w="2126" w:type="dxa"/>
            <w:vAlign w:val="center"/>
          </w:tcPr>
          <w:p>
            <w:pPr>
              <w:pStyle w:val="yTableNAm"/>
              <w:spacing w:before="100"/>
              <w:jc w:val="center"/>
              <w:rPr>
                <w:szCs w:val="22"/>
              </w:rPr>
            </w:pPr>
            <w:r>
              <w:rPr>
                <w:szCs w:val="22"/>
              </w:rPr>
              <w:t>10.117</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Mandurah</w:t>
            </w:r>
          </w:p>
        </w:tc>
        <w:tc>
          <w:tcPr>
            <w:tcW w:w="2126" w:type="dxa"/>
            <w:vAlign w:val="center"/>
          </w:tcPr>
          <w:p>
            <w:pPr>
              <w:pStyle w:val="yTableNAm"/>
              <w:spacing w:before="100"/>
              <w:jc w:val="center"/>
              <w:rPr>
                <w:szCs w:val="22"/>
              </w:rPr>
            </w:pPr>
            <w:r>
              <w:rPr>
                <w:szCs w:val="22"/>
              </w:rPr>
              <w:t>5.707</w:t>
            </w:r>
          </w:p>
        </w:tc>
        <w:tc>
          <w:tcPr>
            <w:tcW w:w="2217" w:type="dxa"/>
            <w:vAlign w:val="center"/>
          </w:tcPr>
          <w:p>
            <w:pPr>
              <w:pStyle w:val="yTableNAm"/>
              <w:spacing w:before="100"/>
              <w:jc w:val="center"/>
              <w:rPr>
                <w:szCs w:val="22"/>
              </w:rPr>
            </w:pPr>
            <w:r>
              <w:rPr>
                <w:szCs w:val="22"/>
              </w:rPr>
              <w:t>6.713</w:t>
            </w:r>
          </w:p>
        </w:tc>
      </w:tr>
      <w:tr>
        <w:trPr>
          <w:gridAfter w:val="1"/>
          <w:wAfter w:w="33" w:type="dxa"/>
          <w:cantSplit/>
        </w:trPr>
        <w:tc>
          <w:tcPr>
            <w:tcW w:w="1871" w:type="dxa"/>
          </w:tcPr>
          <w:p>
            <w:pPr>
              <w:pStyle w:val="yTableNAm"/>
              <w:spacing w:before="100"/>
            </w:pPr>
            <w:r>
              <w:rPr>
                <w:szCs w:val="22"/>
              </w:rPr>
              <w:t>Manjimup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Name">
                <w:r>
                  <w:rPr>
                    <w:szCs w:val="22"/>
                  </w:rPr>
                  <w:t>Margaret</w:t>
                </w:r>
              </w:smartTag>
              <w:r>
                <w:rPr>
                  <w:szCs w:val="22"/>
                </w:rPr>
                <w:t xml:space="preserve"> </w:t>
              </w:r>
              <w:smartTag w:uri="urn:schemas-microsoft-com:office:smarttags" w:element="PlaceName">
                <w:r>
                  <w:rPr>
                    <w:szCs w:val="22"/>
                  </w:rPr>
                  <w:t>River</w:t>
                </w:r>
              </w:smartTag>
            </w:smartTag>
          </w:p>
        </w:tc>
        <w:tc>
          <w:tcPr>
            <w:tcW w:w="2126" w:type="dxa"/>
            <w:vAlign w:val="center"/>
          </w:tcPr>
          <w:p>
            <w:pPr>
              <w:pStyle w:val="yTableNAm"/>
              <w:spacing w:before="100"/>
              <w:jc w:val="center"/>
              <w:rPr>
                <w:szCs w:val="22"/>
              </w:rPr>
            </w:pPr>
            <w:r>
              <w:rPr>
                <w:szCs w:val="22"/>
              </w:rPr>
              <w:t>8.841</w:t>
            </w:r>
          </w:p>
        </w:tc>
        <w:tc>
          <w:tcPr>
            <w:tcW w:w="2217" w:type="dxa"/>
            <w:vAlign w:val="center"/>
          </w:tcPr>
          <w:p>
            <w:pPr>
              <w:pStyle w:val="yTableNAm"/>
              <w:spacing w:before="100"/>
              <w:jc w:val="center"/>
              <w:rPr>
                <w:szCs w:val="22"/>
              </w:rPr>
            </w:pPr>
            <w:r>
              <w:rPr>
                <w:szCs w:val="22"/>
              </w:rPr>
              <w:t>7.508</w:t>
            </w:r>
          </w:p>
        </w:tc>
      </w:tr>
      <w:tr>
        <w:trPr>
          <w:gridAfter w:val="1"/>
          <w:wAfter w:w="33" w:type="dxa"/>
          <w:cantSplit/>
        </w:trPr>
        <w:tc>
          <w:tcPr>
            <w:tcW w:w="1871" w:type="dxa"/>
          </w:tcPr>
          <w:p>
            <w:pPr>
              <w:pStyle w:val="yTableNAm"/>
              <w:spacing w:before="100"/>
            </w:pPr>
            <w:r>
              <w:rPr>
                <w:szCs w:val="22"/>
              </w:rPr>
              <w:t>Meckering</w:t>
            </w:r>
          </w:p>
        </w:tc>
        <w:tc>
          <w:tcPr>
            <w:tcW w:w="2126" w:type="dxa"/>
            <w:vAlign w:val="center"/>
          </w:tcPr>
          <w:p>
            <w:pPr>
              <w:pStyle w:val="yTableNAm"/>
              <w:spacing w:before="100"/>
              <w:jc w:val="center"/>
              <w:rPr>
                <w:szCs w:val="22"/>
              </w:rPr>
            </w:pPr>
            <w:r>
              <w:rPr>
                <w:szCs w:val="22"/>
              </w:rPr>
              <w:t>11.407</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Merredin</w:t>
            </w:r>
          </w:p>
        </w:tc>
        <w:tc>
          <w:tcPr>
            <w:tcW w:w="2126" w:type="dxa"/>
            <w:vAlign w:val="center"/>
          </w:tcPr>
          <w:p>
            <w:pPr>
              <w:pStyle w:val="yTableNAm"/>
              <w:spacing w:before="100"/>
              <w:jc w:val="center"/>
              <w:rPr>
                <w:szCs w:val="22"/>
              </w:rPr>
            </w:pPr>
            <w:r>
              <w:rPr>
                <w:szCs w:val="22"/>
              </w:rPr>
              <w:t>8.962</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Barker</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Mukinbudin</w:t>
            </w:r>
          </w:p>
        </w:tc>
        <w:tc>
          <w:tcPr>
            <w:tcW w:w="2126" w:type="dxa"/>
            <w:vAlign w:val="center"/>
          </w:tcPr>
          <w:p>
            <w:pPr>
              <w:pStyle w:val="yTableNAm"/>
              <w:spacing w:before="100"/>
              <w:jc w:val="center"/>
              <w:rPr>
                <w:szCs w:val="22"/>
              </w:rPr>
            </w:pPr>
            <w:r>
              <w:rPr>
                <w:szCs w:val="22"/>
              </w:rPr>
              <w:t>10.158</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Nannup</w:t>
            </w:r>
          </w:p>
        </w:tc>
        <w:tc>
          <w:tcPr>
            <w:tcW w:w="2126" w:type="dxa"/>
            <w:vAlign w:val="center"/>
          </w:tcPr>
          <w:p>
            <w:pPr>
              <w:pStyle w:val="yTableNAm"/>
              <w:spacing w:before="100"/>
              <w:jc w:val="center"/>
              <w:rPr>
                <w:szCs w:val="22"/>
              </w:rPr>
            </w:pPr>
            <w:r>
              <w:rPr>
                <w:szCs w:val="22"/>
              </w:rPr>
              <w:t>11.310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Narembeen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Narrogin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Newdegate</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Newman</w:t>
            </w:r>
          </w:p>
        </w:tc>
        <w:tc>
          <w:tcPr>
            <w:tcW w:w="2126" w:type="dxa"/>
            <w:vAlign w:val="center"/>
          </w:tcPr>
          <w:p>
            <w:pPr>
              <w:pStyle w:val="yTableNAm"/>
              <w:spacing w:before="100"/>
              <w:jc w:val="center"/>
              <w:rPr>
                <w:szCs w:val="22"/>
              </w:rPr>
            </w:pPr>
            <w:r>
              <w:rPr>
                <w:szCs w:val="22"/>
              </w:rPr>
              <w:t>0.936</w:t>
            </w:r>
          </w:p>
        </w:tc>
        <w:tc>
          <w:tcPr>
            <w:tcW w:w="2217" w:type="dxa"/>
            <w:vAlign w:val="center"/>
          </w:tcPr>
          <w:p>
            <w:pPr>
              <w:pStyle w:val="yTableNAm"/>
              <w:spacing w:before="100"/>
              <w:jc w:val="center"/>
              <w:rPr>
                <w:szCs w:val="22"/>
              </w:rPr>
            </w:pPr>
            <w:r>
              <w:rPr>
                <w:szCs w:val="22"/>
              </w:rPr>
              <w:t>0.813</w:t>
            </w:r>
          </w:p>
        </w:tc>
      </w:tr>
      <w:tr>
        <w:trPr>
          <w:gridAfter w:val="1"/>
          <w:wAfter w:w="33" w:type="dxa"/>
          <w:cantSplit/>
        </w:trPr>
        <w:tc>
          <w:tcPr>
            <w:tcW w:w="1871" w:type="dxa"/>
          </w:tcPr>
          <w:p>
            <w:pPr>
              <w:pStyle w:val="yTableNAm"/>
              <w:spacing w:before="100"/>
            </w:pPr>
            <w:r>
              <w:rPr>
                <w:szCs w:val="22"/>
              </w:rPr>
              <w:t>Northam</w:t>
            </w:r>
          </w:p>
        </w:tc>
        <w:tc>
          <w:tcPr>
            <w:tcW w:w="2126" w:type="dxa"/>
            <w:vAlign w:val="center"/>
          </w:tcPr>
          <w:p>
            <w:pPr>
              <w:pStyle w:val="yTableNAm"/>
              <w:spacing w:before="100"/>
              <w:jc w:val="center"/>
              <w:rPr>
                <w:szCs w:val="22"/>
              </w:rPr>
            </w:pPr>
            <w:r>
              <w:rPr>
                <w:szCs w:val="22"/>
              </w:rPr>
              <w:t>8.439</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Onslow</w:t>
            </w:r>
          </w:p>
        </w:tc>
        <w:tc>
          <w:tcPr>
            <w:tcW w:w="2126" w:type="dxa"/>
            <w:vAlign w:val="center"/>
          </w:tcPr>
          <w:p>
            <w:pPr>
              <w:pStyle w:val="yTableNAm"/>
              <w:spacing w:before="100"/>
              <w:jc w:val="center"/>
              <w:rPr>
                <w:szCs w:val="22"/>
              </w:rPr>
            </w:pPr>
            <w:r>
              <w:rPr>
                <w:szCs w:val="22"/>
              </w:rPr>
              <w:t>11.817</w:t>
            </w:r>
          </w:p>
        </w:tc>
        <w:tc>
          <w:tcPr>
            <w:tcW w:w="2217" w:type="dxa"/>
            <w:vAlign w:val="center"/>
          </w:tcPr>
          <w:p>
            <w:pPr>
              <w:pStyle w:val="yTableNAm"/>
              <w:spacing w:before="100"/>
              <w:jc w:val="center"/>
              <w:rPr>
                <w:szCs w:val="22"/>
              </w:rPr>
            </w:pPr>
            <w:r>
              <w:rPr>
                <w:szCs w:val="22"/>
              </w:rPr>
              <w:t>2.684</w:t>
            </w:r>
          </w:p>
        </w:tc>
      </w:tr>
      <w:tr>
        <w:trPr>
          <w:gridAfter w:val="1"/>
          <w:wAfter w:w="33" w:type="dxa"/>
          <w:cantSplit/>
        </w:trPr>
        <w:tc>
          <w:tcPr>
            <w:tcW w:w="1871" w:type="dxa"/>
          </w:tcPr>
          <w:p>
            <w:pPr>
              <w:pStyle w:val="yTableNAm"/>
              <w:spacing w:before="100"/>
            </w:pPr>
            <w:r>
              <w:rPr>
                <w:szCs w:val="22"/>
              </w:rPr>
              <w:t>Pemberton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Pingelly</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Pinjarra</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Port Hedland</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2.497</w:t>
            </w:r>
          </w:p>
        </w:tc>
      </w:tr>
      <w:tr>
        <w:trPr>
          <w:gridAfter w:val="1"/>
          <w:wAfter w:w="33" w:type="dxa"/>
          <w:cantSplit/>
        </w:trPr>
        <w:tc>
          <w:tcPr>
            <w:tcW w:w="1871" w:type="dxa"/>
          </w:tcPr>
          <w:p>
            <w:pPr>
              <w:pStyle w:val="yTableNAm"/>
              <w:spacing w:before="100"/>
            </w:pPr>
            <w:r>
              <w:rPr>
                <w:szCs w:val="22"/>
              </w:rPr>
              <w:t>Quairading</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11.023</w:t>
            </w:r>
          </w:p>
        </w:tc>
      </w:tr>
      <w:tr>
        <w:trPr>
          <w:gridAfter w:val="1"/>
          <w:wAfter w:w="33" w:type="dxa"/>
          <w:cantSplit/>
        </w:trPr>
        <w:tc>
          <w:tcPr>
            <w:tcW w:w="1871" w:type="dxa"/>
          </w:tcPr>
          <w:p>
            <w:pPr>
              <w:pStyle w:val="yTableNAm"/>
              <w:spacing w:before="100"/>
            </w:pPr>
            <w:r>
              <w:rPr>
                <w:szCs w:val="22"/>
              </w:rPr>
              <w:t>Roebourne</w:t>
            </w:r>
          </w:p>
        </w:tc>
        <w:tc>
          <w:tcPr>
            <w:tcW w:w="2126" w:type="dxa"/>
            <w:vAlign w:val="center"/>
          </w:tcPr>
          <w:p>
            <w:pPr>
              <w:pStyle w:val="yTableNAm"/>
              <w:spacing w:before="100"/>
              <w:jc w:val="center"/>
              <w:rPr>
                <w:szCs w:val="22"/>
              </w:rPr>
            </w:pPr>
            <w:r>
              <w:rPr>
                <w:szCs w:val="22"/>
              </w:rPr>
              <w:t>8.034</w:t>
            </w:r>
          </w:p>
        </w:tc>
        <w:tc>
          <w:tcPr>
            <w:tcW w:w="2217" w:type="dxa"/>
            <w:vAlign w:val="center"/>
          </w:tcPr>
          <w:p>
            <w:pPr>
              <w:pStyle w:val="yTableNAm"/>
              <w:spacing w:before="100"/>
              <w:jc w:val="center"/>
              <w:rPr>
                <w:szCs w:val="22"/>
              </w:rPr>
            </w:pPr>
            <w:r>
              <w:rPr>
                <w:szCs w:val="22"/>
              </w:rPr>
              <w:t>9.697</w:t>
            </w:r>
          </w:p>
        </w:tc>
      </w:tr>
      <w:tr>
        <w:trPr>
          <w:gridAfter w:val="1"/>
          <w:wAfter w:w="33" w:type="dxa"/>
          <w:cantSplit/>
        </w:trPr>
        <w:tc>
          <w:tcPr>
            <w:tcW w:w="1871" w:type="dxa"/>
          </w:tcPr>
          <w:p>
            <w:pPr>
              <w:pStyle w:val="yTableNAm"/>
              <w:spacing w:before="100"/>
            </w:pPr>
            <w:r>
              <w:rPr>
                <w:szCs w:val="22"/>
              </w:rPr>
              <w:t>Seabird</w:t>
            </w:r>
          </w:p>
        </w:tc>
        <w:tc>
          <w:tcPr>
            <w:tcW w:w="2126" w:type="dxa"/>
            <w:vAlign w:val="center"/>
          </w:tcPr>
          <w:p>
            <w:pPr>
              <w:pStyle w:val="yTableNAm"/>
              <w:spacing w:before="100"/>
              <w:jc w:val="center"/>
              <w:rPr>
                <w:szCs w:val="22"/>
              </w:rPr>
            </w:pPr>
            <w:r>
              <w:rPr>
                <w:szCs w:val="22"/>
              </w:rPr>
              <w:t>9.449</w:t>
            </w:r>
          </w:p>
        </w:tc>
        <w:tc>
          <w:tcPr>
            <w:tcW w:w="2217" w:type="dxa"/>
            <w:vAlign w:val="center"/>
          </w:tcPr>
          <w:p>
            <w:pPr>
              <w:pStyle w:val="yTableNAm"/>
              <w:spacing w:before="100"/>
              <w:jc w:val="center"/>
              <w:rPr>
                <w:szCs w:val="22"/>
              </w:rPr>
            </w:pPr>
            <w:r>
              <w:rPr>
                <w:szCs w:val="22"/>
              </w:rPr>
              <w:t>6.902</w:t>
            </w:r>
          </w:p>
        </w:tc>
      </w:tr>
      <w:tr>
        <w:tblPrEx>
          <w:tblCellMar>
            <w:left w:w="108" w:type="dxa"/>
            <w:right w:w="108" w:type="dxa"/>
          </w:tblCellMar>
        </w:tblPrEx>
        <w:trPr>
          <w:cantSplit/>
        </w:trPr>
        <w:tc>
          <w:tcPr>
            <w:tcW w:w="1871" w:type="dxa"/>
          </w:tcPr>
          <w:p>
            <w:pPr>
              <w:pStyle w:val="yTableNAm"/>
              <w:spacing w:before="100"/>
            </w:pPr>
            <w:r>
              <w:rPr>
                <w:szCs w:val="22"/>
              </w:rPr>
              <w:t>Tambellup</w:t>
            </w:r>
          </w:p>
        </w:tc>
        <w:tc>
          <w:tcPr>
            <w:tcW w:w="2126" w:type="dxa"/>
            <w:vAlign w:val="center"/>
          </w:tcPr>
          <w:p>
            <w:pPr>
              <w:pStyle w:val="yTableNAm"/>
              <w:spacing w:before="100"/>
              <w:jc w:val="center"/>
              <w:rPr>
                <w:szCs w:val="22"/>
              </w:rPr>
            </w:pPr>
            <w:r>
              <w:rPr>
                <w:szCs w:val="22"/>
              </w:rPr>
              <w:t>12.000</w:t>
            </w:r>
          </w:p>
        </w:tc>
        <w:tc>
          <w:tcPr>
            <w:tcW w:w="2217" w:type="dxa"/>
            <w:gridSpan w:val="2"/>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Three Springs</w:t>
            </w:r>
          </w:p>
        </w:tc>
        <w:tc>
          <w:tcPr>
            <w:tcW w:w="2126" w:type="dxa"/>
            <w:vAlign w:val="center"/>
          </w:tcPr>
          <w:p>
            <w:pPr>
              <w:pStyle w:val="yTableNAm"/>
              <w:spacing w:before="100"/>
              <w:jc w:val="center"/>
              <w:rPr>
                <w:szCs w:val="22"/>
              </w:rPr>
            </w:pPr>
            <w:r>
              <w:rPr>
                <w:szCs w:val="22"/>
              </w:rPr>
              <w:t>8.768</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Toodyay</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Wagin</w:t>
            </w:r>
          </w:p>
        </w:tc>
        <w:tc>
          <w:tcPr>
            <w:tcW w:w="2126" w:type="dxa"/>
            <w:vAlign w:val="center"/>
          </w:tcPr>
          <w:p>
            <w:pPr>
              <w:pStyle w:val="yTableNAm"/>
              <w:spacing w:before="100"/>
              <w:jc w:val="center"/>
              <w:rPr>
                <w:szCs w:val="22"/>
              </w:rPr>
            </w:pPr>
            <w:r>
              <w:rPr>
                <w:szCs w:val="22"/>
              </w:rPr>
              <w:t>11.939</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Walpole</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Waroona</w:t>
            </w:r>
          </w:p>
        </w:tc>
        <w:tc>
          <w:tcPr>
            <w:tcW w:w="2126" w:type="dxa"/>
            <w:vAlign w:val="center"/>
          </w:tcPr>
          <w:p>
            <w:pPr>
              <w:pStyle w:val="yTableNAm"/>
              <w:spacing w:before="100"/>
              <w:jc w:val="center"/>
              <w:rPr>
                <w:szCs w:val="22"/>
              </w:rPr>
            </w:pPr>
            <w:r>
              <w:rPr>
                <w:szCs w:val="22"/>
              </w:rPr>
              <w:t>5.652</w:t>
            </w:r>
          </w:p>
        </w:tc>
        <w:tc>
          <w:tcPr>
            <w:tcW w:w="2217" w:type="dxa"/>
            <w:vAlign w:val="center"/>
          </w:tcPr>
          <w:p>
            <w:pPr>
              <w:pStyle w:val="yTableNAm"/>
              <w:spacing w:before="100"/>
              <w:jc w:val="center"/>
              <w:rPr>
                <w:szCs w:val="22"/>
              </w:rPr>
            </w:pPr>
            <w:r>
              <w:rPr>
                <w:szCs w:val="22"/>
              </w:rPr>
              <w:t>8.237</w:t>
            </w:r>
          </w:p>
        </w:tc>
      </w:tr>
      <w:tr>
        <w:trPr>
          <w:gridAfter w:val="1"/>
          <w:wAfter w:w="33" w:type="dxa"/>
          <w:cantSplit/>
        </w:trPr>
        <w:tc>
          <w:tcPr>
            <w:tcW w:w="1871" w:type="dxa"/>
          </w:tcPr>
          <w:p>
            <w:pPr>
              <w:pStyle w:val="yTableNAm"/>
              <w:spacing w:before="100"/>
            </w:pPr>
            <w:r>
              <w:rPr>
                <w:szCs w:val="22"/>
              </w:rPr>
              <w:t>Wickham</w:t>
            </w:r>
          </w:p>
        </w:tc>
        <w:tc>
          <w:tcPr>
            <w:tcW w:w="2126" w:type="dxa"/>
            <w:vAlign w:val="center"/>
          </w:tcPr>
          <w:p>
            <w:pPr>
              <w:pStyle w:val="yTableNAm"/>
              <w:spacing w:before="100"/>
              <w:jc w:val="center"/>
              <w:rPr>
                <w:szCs w:val="22"/>
              </w:rPr>
            </w:pPr>
            <w:r>
              <w:rPr>
                <w:szCs w:val="22"/>
              </w:rPr>
              <w:t>5.449</w:t>
            </w:r>
          </w:p>
        </w:tc>
        <w:tc>
          <w:tcPr>
            <w:tcW w:w="2217" w:type="dxa"/>
            <w:vAlign w:val="center"/>
          </w:tcPr>
          <w:p>
            <w:pPr>
              <w:pStyle w:val="yTableNAm"/>
              <w:spacing w:before="100"/>
              <w:jc w:val="center"/>
              <w:rPr>
                <w:szCs w:val="22"/>
              </w:rPr>
            </w:pPr>
            <w:r>
              <w:rPr>
                <w:szCs w:val="22"/>
              </w:rPr>
              <w:t>6.118</w:t>
            </w:r>
          </w:p>
        </w:tc>
      </w:tr>
      <w:tr>
        <w:trPr>
          <w:gridAfter w:val="1"/>
          <w:wAfter w:w="33" w:type="dxa"/>
          <w:cantSplit/>
        </w:trPr>
        <w:tc>
          <w:tcPr>
            <w:tcW w:w="1871" w:type="dxa"/>
          </w:tcPr>
          <w:p>
            <w:pPr>
              <w:pStyle w:val="yTableNAm"/>
              <w:spacing w:before="100"/>
            </w:pPr>
            <w:r>
              <w:rPr>
                <w:szCs w:val="22"/>
              </w:rPr>
              <w:t>Williams</w:t>
            </w:r>
          </w:p>
        </w:tc>
        <w:tc>
          <w:tcPr>
            <w:tcW w:w="2126" w:type="dxa"/>
            <w:vAlign w:val="center"/>
          </w:tcPr>
          <w:p>
            <w:pPr>
              <w:pStyle w:val="yTableNAm"/>
              <w:spacing w:before="100"/>
              <w:jc w:val="center"/>
              <w:rPr>
                <w:szCs w:val="22"/>
              </w:rPr>
            </w:pPr>
            <w:r>
              <w:rPr>
                <w:szCs w:val="22"/>
              </w:rPr>
              <w:t>8.289</w:t>
            </w:r>
          </w:p>
        </w:tc>
        <w:tc>
          <w:tcPr>
            <w:tcW w:w="2217" w:type="dxa"/>
            <w:vAlign w:val="center"/>
          </w:tcPr>
          <w:p>
            <w:pPr>
              <w:pStyle w:val="yTableNAm"/>
              <w:spacing w:before="100"/>
              <w:jc w:val="center"/>
              <w:rPr>
                <w:szCs w:val="22"/>
              </w:rPr>
            </w:pPr>
            <w:r>
              <w:rPr>
                <w:szCs w:val="22"/>
              </w:rPr>
              <w:t>9.883</w:t>
            </w:r>
          </w:p>
        </w:tc>
      </w:tr>
      <w:tr>
        <w:tblPrEx>
          <w:tblCellMar>
            <w:left w:w="108" w:type="dxa"/>
            <w:right w:w="108" w:type="dxa"/>
          </w:tblCellMar>
        </w:tblPrEx>
        <w:trPr>
          <w:cantSplit/>
        </w:trPr>
        <w:tc>
          <w:tcPr>
            <w:tcW w:w="1871" w:type="dxa"/>
          </w:tcPr>
          <w:p>
            <w:pPr>
              <w:pStyle w:val="yTableNAm"/>
              <w:spacing w:before="100"/>
            </w:pPr>
            <w:r>
              <w:rPr>
                <w:szCs w:val="22"/>
              </w:rPr>
              <w:t>Wiluna</w:t>
            </w:r>
          </w:p>
        </w:tc>
        <w:tc>
          <w:tcPr>
            <w:tcW w:w="2126" w:type="dxa"/>
            <w:vAlign w:val="center"/>
          </w:tcPr>
          <w:p>
            <w:pPr>
              <w:pStyle w:val="yTableNAm"/>
              <w:spacing w:before="100"/>
              <w:jc w:val="center"/>
              <w:rPr>
                <w:szCs w:val="22"/>
              </w:rPr>
            </w:pPr>
            <w:r>
              <w:rPr>
                <w:szCs w:val="22"/>
              </w:rPr>
              <w:t>12.000</w:t>
            </w:r>
          </w:p>
        </w:tc>
        <w:tc>
          <w:tcPr>
            <w:tcW w:w="2217" w:type="dxa"/>
            <w:gridSpan w:val="2"/>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Wongan Hills</w:t>
            </w:r>
          </w:p>
        </w:tc>
        <w:tc>
          <w:tcPr>
            <w:tcW w:w="2126" w:type="dxa"/>
            <w:vAlign w:val="center"/>
          </w:tcPr>
          <w:p>
            <w:pPr>
              <w:pStyle w:val="yTableNAm"/>
              <w:spacing w:before="100"/>
              <w:jc w:val="center"/>
              <w:rPr>
                <w:szCs w:val="22"/>
              </w:rPr>
            </w:pPr>
            <w:r>
              <w:rPr>
                <w:szCs w:val="22"/>
              </w:rPr>
              <w:t>10.393</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Wundowie</w:t>
            </w:r>
          </w:p>
        </w:tc>
        <w:tc>
          <w:tcPr>
            <w:tcW w:w="2126" w:type="dxa"/>
            <w:vAlign w:val="center"/>
          </w:tcPr>
          <w:p>
            <w:pPr>
              <w:pStyle w:val="yTableNAm"/>
              <w:spacing w:before="100"/>
              <w:jc w:val="center"/>
              <w:rPr>
                <w:szCs w:val="22"/>
              </w:rPr>
            </w:pPr>
            <w:r>
              <w:rPr>
                <w:szCs w:val="22"/>
              </w:rPr>
              <w:t>9.396</w:t>
            </w:r>
          </w:p>
        </w:tc>
        <w:tc>
          <w:tcPr>
            <w:tcW w:w="2217" w:type="dxa"/>
            <w:vAlign w:val="center"/>
          </w:tcPr>
          <w:p>
            <w:pPr>
              <w:pStyle w:val="yTableNAm"/>
              <w:spacing w:before="100"/>
              <w:jc w:val="center"/>
              <w:rPr>
                <w:szCs w:val="22"/>
              </w:rPr>
            </w:pPr>
            <w:r>
              <w:rPr>
                <w:szCs w:val="22"/>
              </w:rPr>
              <w:t>9.837</w:t>
            </w:r>
          </w:p>
        </w:tc>
      </w:tr>
      <w:tr>
        <w:trPr>
          <w:gridAfter w:val="1"/>
          <w:wAfter w:w="33" w:type="dxa"/>
          <w:cantSplit/>
        </w:trPr>
        <w:tc>
          <w:tcPr>
            <w:tcW w:w="1871" w:type="dxa"/>
          </w:tcPr>
          <w:p>
            <w:pPr>
              <w:pStyle w:val="yTableNAm"/>
              <w:spacing w:before="100"/>
            </w:pPr>
            <w:r>
              <w:rPr>
                <w:szCs w:val="22"/>
              </w:rPr>
              <w:t>Wyalkatchem</w:t>
            </w:r>
          </w:p>
        </w:tc>
        <w:tc>
          <w:tcPr>
            <w:tcW w:w="2126" w:type="dxa"/>
            <w:vAlign w:val="center"/>
          </w:tcPr>
          <w:p>
            <w:pPr>
              <w:pStyle w:val="yTableNAm"/>
              <w:spacing w:before="100"/>
              <w:jc w:val="center"/>
              <w:rPr>
                <w:szCs w:val="22"/>
              </w:rPr>
            </w:pPr>
            <w:r>
              <w:rPr>
                <w:szCs w:val="22"/>
              </w:rPr>
              <w:t>9.265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Wyndham</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York</w:t>
                </w:r>
              </w:smartTag>
            </w:smartTag>
          </w:p>
        </w:tc>
        <w:tc>
          <w:tcPr>
            <w:tcW w:w="2126" w:type="dxa"/>
            <w:vAlign w:val="center"/>
          </w:tcPr>
          <w:p>
            <w:pPr>
              <w:pStyle w:val="yTableNAm"/>
              <w:spacing w:before="100"/>
              <w:jc w:val="center"/>
              <w:rPr>
                <w:szCs w:val="22"/>
              </w:rPr>
            </w:pPr>
            <w:r>
              <w:rPr>
                <w:szCs w:val="22"/>
              </w:rPr>
              <w:t>9.745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Borders>
              <w:bottom w:val="single" w:sz="4" w:space="0" w:color="auto"/>
            </w:tcBorders>
          </w:tcPr>
          <w:p>
            <w:pPr>
              <w:pStyle w:val="yTableNAm"/>
              <w:spacing w:before="100"/>
            </w:pPr>
            <w:r>
              <w:rPr>
                <w:szCs w:val="22"/>
              </w:rPr>
              <w:t>Yunderup</w:t>
            </w:r>
          </w:p>
        </w:tc>
        <w:tc>
          <w:tcPr>
            <w:tcW w:w="2126" w:type="dxa"/>
            <w:tcBorders>
              <w:bottom w:val="single" w:sz="4" w:space="0" w:color="auto"/>
            </w:tcBorders>
            <w:vAlign w:val="center"/>
          </w:tcPr>
          <w:p>
            <w:pPr>
              <w:pStyle w:val="yTableNAm"/>
              <w:spacing w:before="100"/>
              <w:jc w:val="center"/>
              <w:rPr>
                <w:szCs w:val="22"/>
              </w:rPr>
            </w:pPr>
            <w:r>
              <w:rPr>
                <w:szCs w:val="22"/>
              </w:rPr>
              <w:t>12.000</w:t>
            </w:r>
          </w:p>
        </w:tc>
        <w:tc>
          <w:tcPr>
            <w:tcW w:w="2217" w:type="dxa"/>
            <w:tcBorders>
              <w:bottom w:val="single" w:sz="4" w:space="0" w:color="auto"/>
            </w:tcBorders>
            <w:vAlign w:val="center"/>
          </w:tcPr>
          <w:p>
            <w:pPr>
              <w:pStyle w:val="yTableNAm"/>
              <w:spacing w:before="100"/>
              <w:jc w:val="center"/>
              <w:rPr>
                <w:szCs w:val="22"/>
              </w:rPr>
            </w:pPr>
            <w:r>
              <w:rPr>
                <w:szCs w:val="22"/>
              </w:rPr>
              <w:t>12.000</w:t>
            </w:r>
          </w:p>
        </w:tc>
      </w:tr>
    </w:tbl>
    <w:p>
      <w:pPr>
        <w:pStyle w:val="yHeading3"/>
      </w:pPr>
      <w:bookmarkStart w:id="174" w:name="_Toc398816540"/>
      <w:r>
        <w:rPr>
          <w:rStyle w:val="CharSDivNo"/>
        </w:rPr>
        <w:t>Division 2</w:t>
      </w:r>
      <w:r>
        <w:t> — </w:t>
      </w:r>
      <w:r>
        <w:rPr>
          <w:rStyle w:val="CharSDivText"/>
        </w:rPr>
        <w:t>Combined charges for certain non</w:t>
      </w:r>
      <w:r>
        <w:rPr>
          <w:rStyle w:val="CharSDivText"/>
        </w:rPr>
        <w:noBreakHyphen/>
        <w:t>residential property</w:t>
      </w:r>
      <w:bookmarkEnd w:id="174"/>
    </w:p>
    <w:p>
      <w:pPr>
        <w:pStyle w:val="yHeading4"/>
      </w:pPr>
      <w:bookmarkStart w:id="175" w:name="_Toc398816541"/>
      <w:r>
        <w:t>Subdivision 1</w:t>
      </w:r>
      <w:r>
        <w:rPr>
          <w:b w:val="0"/>
        </w:rPr>
        <w:t> — </w:t>
      </w:r>
      <w:r>
        <w:t>Preliminary</w:t>
      </w:r>
      <w:bookmarkEnd w:id="175"/>
    </w:p>
    <w:p>
      <w:pPr>
        <w:pStyle w:val="yHeading5"/>
      </w:pPr>
      <w:bookmarkStart w:id="176" w:name="_Toc398816542"/>
      <w:r>
        <w:rPr>
          <w:rStyle w:val="CharSClsNo"/>
        </w:rPr>
        <w:t>12</w:t>
      </w:r>
      <w:r>
        <w:t>.</w:t>
      </w:r>
      <w:r>
        <w:tab/>
        <w:t>Combined charges for 2014/15 year and subsequent years</w:t>
      </w:r>
      <w:bookmarkEnd w:id="176"/>
    </w:p>
    <w:p>
      <w:pPr>
        <w:pStyle w:val="yMiscellaneousBody"/>
        <w:tabs>
          <w:tab w:val="left" w:pos="284"/>
        </w:tabs>
        <w:ind w:left="879" w:right="-2" w:hanging="879"/>
      </w:pPr>
      <w:r>
        <w:tab/>
      </w:r>
      <w:r>
        <w:tab/>
        <w:t>The charges set out in this Division apply for sewerage service provided and wastewater discharged in the 2014/15 financial year and each subsequent year.</w:t>
      </w:r>
    </w:p>
    <w:p>
      <w:pPr>
        <w:pStyle w:val="yHeading4"/>
      </w:pPr>
      <w:bookmarkStart w:id="177" w:name="_Toc398816543"/>
      <w:r>
        <w:t>Subdivision 2</w:t>
      </w:r>
      <w:r>
        <w:rPr>
          <w:b w:val="0"/>
        </w:rPr>
        <w:t> — </w:t>
      </w:r>
      <w:r>
        <w:t>Combined charges: metropolitan</w:t>
      </w:r>
      <w:bookmarkEnd w:id="177"/>
    </w:p>
    <w:p>
      <w:pPr>
        <w:pStyle w:val="yHeading5"/>
      </w:pPr>
      <w:bookmarkStart w:id="178" w:name="_Toc398816544"/>
      <w:r>
        <w:rPr>
          <w:rStyle w:val="CharSClsNo"/>
        </w:rPr>
        <w:t>13</w:t>
      </w:r>
      <w:r>
        <w:t>.</w:t>
      </w:r>
      <w:r>
        <w:tab/>
        <w:t>Metropolitan non</w:t>
      </w:r>
      <w:r>
        <w:noBreakHyphen/>
        <w:t>residential</w:t>
      </w:r>
      <w:bookmarkEnd w:id="178"/>
    </w:p>
    <w:p>
      <w:pPr>
        <w:pStyle w:val="yMiscellaneousBody"/>
        <w:tabs>
          <w:tab w:val="left" w:pos="284"/>
        </w:tabs>
        <w:ind w:left="879" w:right="-2" w:hanging="879"/>
      </w:pPr>
      <w:r>
        <w:tab/>
      </w:r>
      <w:r>
        <w:tab/>
        <w:t>In respect of land in the metropolitan area that —</w:t>
      </w:r>
    </w:p>
    <w:p>
      <w:pPr>
        <w:pStyle w:val="yMiscellaneousBody"/>
        <w:tabs>
          <w:tab w:val="left" w:pos="1134"/>
        </w:tabs>
        <w:spacing w:before="80"/>
        <w:ind w:left="1560" w:right="-2" w:hanging="1701"/>
      </w:pPr>
      <w:r>
        <w:tab/>
        <w:t>(a)</w:t>
      </w:r>
      <w:r>
        <w:tab/>
        <w:t>is not contained in a residential property; and</w:t>
      </w:r>
    </w:p>
    <w:p>
      <w:pPr>
        <w:pStyle w:val="yMiscellaneousBody"/>
        <w:tabs>
          <w:tab w:val="left" w:pos="1134"/>
        </w:tabs>
        <w:spacing w:before="80"/>
        <w:ind w:left="1560" w:right="-2" w:hanging="1701"/>
      </w:pPr>
      <w:r>
        <w:tab/>
        <w:t>(b)</w:t>
      </w:r>
      <w:r>
        <w:tab/>
        <w:t>is not covered by item 3, 4, 5, 6, 14, 15, 16 or 17,</w:t>
      </w:r>
    </w:p>
    <w:p>
      <w:pPr>
        <w:pStyle w:val="yMiscellaneousBody"/>
        <w:tabs>
          <w:tab w:val="left" w:pos="284"/>
        </w:tabs>
        <w:ind w:left="879" w:right="-2" w:hanging="879"/>
      </w:pPr>
      <w:r>
        <w:tab/>
      </w:r>
      <w:r>
        <w:tab/>
        <w:t>the charge is —</w:t>
      </w:r>
    </w:p>
    <w:p>
      <w:pPr>
        <w:pStyle w:val="yMiscellaneousBody"/>
        <w:tabs>
          <w:tab w:val="left" w:pos="851"/>
        </w:tabs>
        <w:spacing w:before="120"/>
        <w:ind w:left="879" w:hanging="879"/>
      </w:pP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851"/>
        </w:tabs>
        <w:spacing w:before="120"/>
        <w:ind w:left="879" w:hanging="879"/>
      </w:pPr>
      <w:r>
        <w:tab/>
        <w:t xml:space="preserve">then </w:t>
      </w:r>
      <w:r>
        <w:rPr>
          <w:b/>
        </w:rPr>
        <w:t>P</w:t>
      </w:r>
      <w:r>
        <w:t xml:space="preserve"> + </w:t>
      </w:r>
      <w:r>
        <w:rPr>
          <w:b/>
        </w:rPr>
        <w:t>Q</w:t>
      </w:r>
    </w:p>
    <w:p>
      <w:pPr>
        <w:pStyle w:val="yMiscellaneousBody"/>
        <w:tabs>
          <w:tab w:val="left" w:pos="851"/>
        </w:tabs>
        <w:spacing w:before="120"/>
        <w:ind w:left="879" w:hanging="879"/>
      </w:pPr>
      <w:r>
        <w:tab/>
        <w:t xml:space="preserve">or if — </w:t>
      </w:r>
    </w:p>
    <w:p>
      <w:pPr>
        <w:pStyle w:val="yMiscellaneousBody"/>
        <w:tabs>
          <w:tab w:val="left" w:pos="1134"/>
        </w:tabs>
        <w:spacing w:before="120"/>
        <w:ind w:left="1985" w:hanging="1985"/>
      </w:pPr>
      <w:r>
        <w:tab/>
        <w:t>(</w:t>
      </w:r>
      <w:r>
        <w:rPr>
          <w:b/>
        </w:rPr>
        <w:t>P</w:t>
      </w:r>
      <w:r>
        <w:t xml:space="preserve"> + </w:t>
      </w:r>
      <w:r>
        <w:rPr>
          <w:b/>
        </w:rPr>
        <w:t>Q</w:t>
      </w:r>
      <w:r>
        <w:t xml:space="preserve">) &gt; </w:t>
      </w:r>
      <w:r>
        <w:rPr>
          <w:b/>
        </w:rPr>
        <w:t>R</w:t>
      </w:r>
      <w:r>
        <w:t>; and</w:t>
      </w:r>
    </w:p>
    <w:p>
      <w:pPr>
        <w:pStyle w:val="yMiscellaneousBody"/>
        <w:tabs>
          <w:tab w:val="left" w:pos="1134"/>
        </w:tabs>
        <w:spacing w:before="120"/>
        <w:ind w:left="1985" w:hanging="1985"/>
      </w:pPr>
      <w:r>
        <w:tab/>
      </w:r>
      <w:r>
        <w:rPr>
          <w:b/>
        </w:rPr>
        <w:t>N</w:t>
      </w:r>
      <w:r>
        <w:t xml:space="preserve"> </w:t>
      </w:r>
      <w:r>
        <w:sym w:font="Symbol" w:char="F0A3"/>
      </w:r>
      <w:r>
        <w:t xml:space="preserve"> </w:t>
      </w:r>
      <w:r>
        <w:rPr>
          <w:b/>
        </w:rPr>
        <w:t>W</w:t>
      </w:r>
      <w:r>
        <w:t>,</w:t>
      </w:r>
    </w:p>
    <w:p>
      <w:pPr>
        <w:pStyle w:val="yMiscellaneousBody"/>
        <w:tabs>
          <w:tab w:val="left" w:pos="851"/>
        </w:tabs>
        <w:spacing w:before="120"/>
        <w:ind w:left="1418" w:hanging="1418"/>
      </w:pPr>
      <w:r>
        <w:tab/>
        <w:t xml:space="preserve">then </w:t>
      </w:r>
      <w:r>
        <w:rPr>
          <w:b/>
        </w:rPr>
        <w:t>R</w:t>
      </w:r>
    </w:p>
    <w:p>
      <w:pPr>
        <w:pStyle w:val="yMiscellaneousBody"/>
        <w:tabs>
          <w:tab w:val="left" w:pos="851"/>
        </w:tabs>
        <w:spacing w:before="120"/>
        <w:ind w:left="1418" w:hanging="1418"/>
      </w:pPr>
      <w:r>
        <w:tab/>
        <w:t xml:space="preserve">or if — </w:t>
      </w:r>
    </w:p>
    <w:p>
      <w:pPr>
        <w:pStyle w:val="yMiscellaneousBody"/>
        <w:tabs>
          <w:tab w:val="left" w:pos="1134"/>
        </w:tabs>
        <w:spacing w:before="120"/>
        <w:ind w:left="1985" w:hanging="1985"/>
      </w:pPr>
      <w:r>
        <w:tab/>
        <w:t>(</w:t>
      </w:r>
      <w:r>
        <w:rPr>
          <w:b/>
        </w:rPr>
        <w:t>P</w:t>
      </w:r>
      <w:r>
        <w:t xml:space="preserve"> + </w:t>
      </w:r>
      <w:r>
        <w:rPr>
          <w:b/>
        </w:rPr>
        <w:t>Q</w:t>
      </w:r>
      <w:r>
        <w:t xml:space="preserve">) &gt; </w:t>
      </w:r>
      <w:r>
        <w:rPr>
          <w:b/>
        </w:rPr>
        <w:t>R</w:t>
      </w:r>
      <w:r>
        <w:t>; and</w:t>
      </w:r>
    </w:p>
    <w:p>
      <w:pPr>
        <w:pStyle w:val="yMiscellaneousBody"/>
        <w:tabs>
          <w:tab w:val="left" w:pos="1134"/>
        </w:tabs>
        <w:spacing w:before="120"/>
        <w:ind w:left="1985" w:hanging="1985"/>
      </w:pPr>
      <w:r>
        <w:tab/>
      </w:r>
      <w:r>
        <w:rPr>
          <w:b/>
        </w:rPr>
        <w:t>N</w:t>
      </w:r>
      <w:r>
        <w:t xml:space="preserve"> &gt; </w:t>
      </w:r>
      <w:r>
        <w:rPr>
          <w:b/>
        </w:rPr>
        <w:t>W</w:t>
      </w:r>
      <w:r>
        <w:t>,</w:t>
      </w:r>
    </w:p>
    <w:p>
      <w:pPr>
        <w:pStyle w:val="yMiscellaneousBody"/>
        <w:keepNext/>
        <w:tabs>
          <w:tab w:val="left" w:pos="851"/>
        </w:tabs>
        <w:spacing w:before="120"/>
        <w:ind w:left="1418" w:hanging="1418"/>
      </w:pPr>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tabs>
          <w:tab w:val="left" w:pos="851"/>
        </w:tabs>
        <w:spacing w:before="120"/>
        <w:ind w:left="1418" w:hanging="1418"/>
      </w:pP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18;</w:t>
      </w:r>
    </w:p>
    <w:p>
      <w:pPr>
        <w:pStyle w:val="yMiscellaneousBody"/>
        <w:tabs>
          <w:tab w:val="left" w:pos="1134"/>
          <w:tab w:val="left" w:pos="1701"/>
        </w:tabs>
        <w:spacing w:before="120"/>
        <w:ind w:left="1701" w:hanging="2268"/>
      </w:pPr>
      <w:r>
        <w:tab/>
      </w:r>
      <w:r>
        <w:rPr>
          <w:b/>
        </w:rPr>
        <w:t>Q</w:t>
      </w:r>
      <w:r>
        <w:t xml:space="preserve"> =</w:t>
      </w:r>
      <w:r>
        <w:tab/>
        <w:t>the discharge charge calculated in accordance with item 19;</w:t>
      </w:r>
    </w:p>
    <w:p>
      <w:pPr>
        <w:pStyle w:val="yMiscellaneousBody"/>
        <w:tabs>
          <w:tab w:val="left" w:pos="1134"/>
          <w:tab w:val="left" w:pos="1701"/>
        </w:tabs>
        <w:spacing w:before="120"/>
        <w:ind w:left="2268" w:hanging="2268"/>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s>
        <w:spacing w:before="120"/>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spacing w:before="120"/>
      </w:pPr>
      <w:r>
        <w:tab/>
      </w:r>
      <w:r>
        <w:rPr>
          <w:b/>
        </w:rPr>
        <w:t>S</w:t>
      </w:r>
      <w:r>
        <w:t xml:space="preserve"> =</w:t>
      </w:r>
      <w:r>
        <w:tab/>
        <w:t>1.126;</w:t>
      </w:r>
    </w:p>
    <w:p>
      <w:pPr>
        <w:pStyle w:val="yMiscellaneousBody"/>
        <w:tabs>
          <w:tab w:val="left" w:pos="1134"/>
          <w:tab w:val="left" w:pos="3119"/>
        </w:tabs>
        <w:spacing w:before="120"/>
        <w:ind w:left="1701" w:hanging="1701"/>
      </w:pPr>
      <w:r>
        <w:rPr>
          <w:b/>
        </w:rPr>
        <w:tab/>
        <w:t>N</w:t>
      </w:r>
      <w:r>
        <w:t xml:space="preserve"> =</w:t>
      </w:r>
      <w:r>
        <w:tab/>
        <w:t>the discharge volume for the current discharge year;</w:t>
      </w:r>
    </w:p>
    <w:p>
      <w:pPr>
        <w:pStyle w:val="yMiscellaneousBody"/>
        <w:tabs>
          <w:tab w:val="left" w:pos="1134"/>
          <w:tab w:val="left" w:pos="3119"/>
        </w:tabs>
        <w:spacing w:before="120"/>
        <w:ind w:left="1701" w:hanging="1701"/>
      </w:pPr>
      <w:r>
        <w:tab/>
      </w:r>
      <w:r>
        <w:rPr>
          <w:b/>
        </w:rPr>
        <w:t>W</w:t>
      </w:r>
      <w:r>
        <w:t xml:space="preserve"> =</w:t>
      </w:r>
      <w:r>
        <w:tab/>
        <w:t>the discharge volume for the previous discharge year;</w:t>
      </w:r>
    </w:p>
    <w:p>
      <w:pPr>
        <w:pStyle w:val="yMiscellaneousBody"/>
        <w:tabs>
          <w:tab w:val="left" w:pos="1134"/>
          <w:tab w:val="left" w:pos="3119"/>
        </w:tabs>
        <w:spacing w:before="120"/>
        <w:ind w:left="1701" w:hanging="1701"/>
      </w:pPr>
      <w:r>
        <w:tab/>
      </w:r>
      <w:r>
        <w:rPr>
          <w:b/>
        </w:rPr>
        <w:t>I</w:t>
      </w:r>
      <w:r>
        <w:t xml:space="preserve"> =</w:t>
      </w:r>
      <w:r>
        <w:tab/>
        <w:t>$3.0079.</w:t>
      </w:r>
    </w:p>
    <w:p>
      <w:pPr>
        <w:pStyle w:val="yHeading5"/>
      </w:pPr>
      <w:bookmarkStart w:id="179" w:name="_Toc398816545"/>
      <w:r>
        <w:rPr>
          <w:rStyle w:val="CharSClsNo"/>
        </w:rPr>
        <w:t>14</w:t>
      </w:r>
      <w:r>
        <w:t>.</w:t>
      </w:r>
      <w:r>
        <w:tab/>
        <w:t>Metropolitan government trading organisation and non</w:t>
      </w:r>
      <w:r>
        <w:noBreakHyphen/>
        <w:t>commercial government property</w:t>
      </w:r>
      <w:bookmarkEnd w:id="179"/>
    </w:p>
    <w:p>
      <w:pPr>
        <w:pStyle w:val="yMiscellaneousBody"/>
        <w:tabs>
          <w:tab w:val="left" w:pos="284"/>
        </w:tabs>
        <w:ind w:left="879" w:right="-2" w:hanging="879"/>
      </w:pPr>
      <w:r>
        <w:tab/>
        <w:t>(1)</w:t>
      </w:r>
      <w:r>
        <w:tab/>
        <w:t>In respect of land in the metropolitan area held by a government trading organisation or a public authority that holds non</w:t>
      </w:r>
      <w:r>
        <w:noBreakHyphen/>
        <w:t>commercial government property, the charge is —</w:t>
      </w:r>
    </w:p>
    <w:p>
      <w:pPr>
        <w:pStyle w:val="yMiscellaneousBody"/>
        <w:tabs>
          <w:tab w:val="left" w:pos="879"/>
        </w:tabs>
      </w:pPr>
      <w:r>
        <w:tab/>
      </w:r>
      <w:r>
        <w:rPr>
          <w:b/>
        </w:rPr>
        <w:t>Y</w:t>
      </w:r>
      <w:r>
        <w:t xml:space="preserve"> + </w:t>
      </w:r>
      <w:r>
        <w:rPr>
          <w:b/>
        </w:rPr>
        <w:t>Q</w:t>
      </w:r>
    </w:p>
    <w:p>
      <w:pPr>
        <w:pStyle w:val="yMiscellaneousBody"/>
        <w:ind w:left="879" w:hanging="879"/>
      </w:pPr>
      <w:r>
        <w:tab/>
        <w:t xml:space="preserve">where — </w:t>
      </w:r>
    </w:p>
    <w:p>
      <w:pPr>
        <w:pStyle w:val="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s>
        <w:ind w:left="879" w:right="-2" w:hanging="879"/>
      </w:pPr>
      <w:r>
        <w:tab/>
        <w:t>(2)</w:t>
      </w:r>
      <w:r>
        <w:tab/>
        <w:t>Sub</w:t>
      </w:r>
      <w:r>
        <w:noBreakHyphen/>
        <w:t>item (1) does not apply to public land.</w:t>
      </w:r>
    </w:p>
    <w:p>
      <w:pPr>
        <w:pStyle w:val="yHeading5"/>
      </w:pPr>
      <w:bookmarkStart w:id="180" w:name="_Toc398816546"/>
      <w:r>
        <w:rPr>
          <w:rStyle w:val="CharSClsNo"/>
        </w:rPr>
        <w:t>15</w:t>
      </w:r>
      <w:r>
        <w:t>.</w:t>
      </w:r>
      <w:r>
        <w:tab/>
        <w:t>Metropolitan non</w:t>
      </w:r>
      <w:r>
        <w:noBreakHyphen/>
        <w:t>strata titled caravan park with long</w:t>
      </w:r>
      <w:r>
        <w:noBreakHyphen/>
        <w:t>term residential caravan bays</w:t>
      </w:r>
      <w:bookmarkEnd w:id="180"/>
    </w:p>
    <w:p>
      <w:pPr>
        <w:pStyle w:val="yMiscellaneousBody"/>
        <w:tabs>
          <w:tab w:val="left" w:pos="284"/>
        </w:tabs>
        <w:ind w:left="879" w:right="-2" w:hanging="879"/>
      </w:pPr>
      <w:r>
        <w:tab/>
      </w:r>
      <w:r>
        <w:tab/>
        <w:t>In respect of a caravan park in the metropolitan area that —</w:t>
      </w:r>
    </w:p>
    <w:p>
      <w:pPr>
        <w:pStyle w:val="yMiscellaneousBody"/>
        <w:tabs>
          <w:tab w:val="left" w:pos="1134"/>
        </w:tabs>
        <w:spacing w:before="80"/>
        <w:ind w:left="1560" w:right="-2" w:hanging="1701"/>
      </w:pPr>
      <w:r>
        <w:tab/>
        <w:t>(a)</w:t>
      </w:r>
      <w:r>
        <w:tab/>
        <w:t>does not consist wholly of strata</w:t>
      </w:r>
      <w:r>
        <w:noBreakHyphen/>
        <w:t>titled caravan bays; and</w:t>
      </w:r>
    </w:p>
    <w:p>
      <w:pPr>
        <w:pStyle w:val="yMiscellaneousBody"/>
        <w:tabs>
          <w:tab w:val="left" w:pos="1134"/>
        </w:tabs>
        <w:spacing w:before="80"/>
        <w:ind w:left="1560" w:right="-2" w:hanging="1701"/>
      </w:pPr>
      <w:r>
        <w:tab/>
        <w:t>(b)</w:t>
      </w:r>
      <w:r>
        <w:tab/>
        <w:t>has long</w:t>
      </w:r>
      <w:r>
        <w:noBreakHyphen/>
        <w:t>term residential caravan bays,</w:t>
      </w:r>
    </w:p>
    <w:p>
      <w:pPr>
        <w:pStyle w:val="yMiscellaneousBody"/>
        <w:tabs>
          <w:tab w:val="left" w:pos="284"/>
        </w:tabs>
        <w:ind w:left="879" w:right="-2" w:hanging="879"/>
      </w:pPr>
      <w:r>
        <w:tab/>
      </w:r>
      <w:r>
        <w:tab/>
        <w:t>the charge is —</w:t>
      </w:r>
    </w:p>
    <w:p>
      <w:pPr>
        <w:pStyle w:val="yMiscellaneousBody"/>
        <w:tabs>
          <w:tab w:val="left" w:pos="851"/>
        </w:tabs>
      </w:pPr>
      <w:r>
        <w:tab/>
      </w:r>
      <w:r>
        <w:rPr>
          <w:b/>
        </w:rPr>
        <w:t>AA</w:t>
      </w:r>
      <w:r>
        <w:t xml:space="preserve"> + </w:t>
      </w:r>
      <w:r>
        <w:rPr>
          <w:b/>
        </w:rPr>
        <w:t>AB</w:t>
      </w:r>
    </w:p>
    <w:p>
      <w:pPr>
        <w:pStyle w:val="yMiscellaneousBody"/>
        <w:tabs>
          <w:tab w:val="left" w:pos="851"/>
          <w:tab w:val="left" w:pos="1560"/>
        </w:tabs>
        <w:ind w:left="1560" w:hanging="1560"/>
      </w:pPr>
      <w:r>
        <w:tab/>
        <w:t xml:space="preserve">where — </w:t>
      </w:r>
    </w:p>
    <w:p>
      <w:pPr>
        <w:pStyle w:val="yMiscellaneousBody"/>
        <w:tabs>
          <w:tab w:val="left" w:pos="1134"/>
          <w:tab w:val="left" w:pos="1701"/>
        </w:tabs>
        <w:ind w:left="1701" w:hanging="2268"/>
      </w:pPr>
      <w:r>
        <w:tab/>
      </w:r>
      <w:r>
        <w:rPr>
          <w:b/>
        </w:rPr>
        <w:t>AA</w:t>
      </w:r>
      <w:r>
        <w:t xml:space="preserve"> =</w:t>
      </w:r>
      <w:r>
        <w:tab/>
        <w:t>$270.23 for each long</w:t>
      </w:r>
      <w:r>
        <w:noBreakHyphen/>
        <w:t>term residential caravan bay;</w:t>
      </w:r>
    </w:p>
    <w:p>
      <w:pPr>
        <w:pStyle w:val="yMiscellaneousBody"/>
        <w:tabs>
          <w:tab w:val="left" w:pos="1134"/>
          <w:tab w:val="left" w:pos="1701"/>
        </w:tabs>
        <w:ind w:left="1701" w:hanging="2268"/>
      </w:pP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 </w:t>
      </w:r>
    </w:p>
    <w:p>
      <w:pPr>
        <w:pStyle w:val="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p>
    <w:p>
      <w:pPr>
        <w:pStyle w:val="yMiscellaneousBody"/>
        <w:keepNext/>
        <w:tabs>
          <w:tab w:val="left" w:pos="1701"/>
        </w:tabs>
      </w:pPr>
      <w:r>
        <w:tab/>
        <w:t xml:space="preserve">where — </w:t>
      </w:r>
    </w:p>
    <w:p>
      <w:pPr>
        <w:pStyle w:val="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18;</w:t>
      </w:r>
    </w:p>
    <w:p>
      <w:pPr>
        <w:pStyle w:val="yMiscellaneousBody"/>
        <w:tabs>
          <w:tab w:val="left" w:pos="1985"/>
          <w:tab w:val="left" w:pos="2552"/>
        </w:tabs>
        <w:ind w:left="2552" w:hanging="2977"/>
      </w:pPr>
      <w:r>
        <w:tab/>
      </w:r>
      <w:r>
        <w:rPr>
          <w:b/>
        </w:rPr>
        <w:t>Q</w:t>
      </w:r>
      <w:r>
        <w:t xml:space="preserve"> =</w:t>
      </w:r>
      <w:r>
        <w:tab/>
        <w:t>the discharge charge calculated in accordance with item 19;</w:t>
      </w:r>
    </w:p>
    <w:p>
      <w:pPr>
        <w:pStyle w:val="yMiscellaneousBody"/>
        <w:tabs>
          <w:tab w:val="left" w:pos="1985"/>
          <w:tab w:val="left" w:pos="2552"/>
        </w:tabs>
        <w:ind w:left="2552" w:hanging="2977"/>
      </w:pPr>
      <w:r>
        <w:tab/>
      </w:r>
      <w:r>
        <w:rPr>
          <w:b/>
        </w:rPr>
        <w:t>R</w:t>
      </w:r>
      <w:r>
        <w:t xml:space="preserve"> =</w:t>
      </w:r>
      <w:r>
        <w:tab/>
      </w:r>
      <w:r>
        <w:rPr>
          <w:b/>
        </w:rPr>
        <w:t>A</w:t>
      </w:r>
      <w:r>
        <w:t xml:space="preserve"> x </w:t>
      </w:r>
      <w:r>
        <w:rPr>
          <w:b/>
        </w:rPr>
        <w:t>S</w:t>
      </w:r>
      <w:r>
        <w:t>;</w:t>
      </w:r>
    </w:p>
    <w:p>
      <w:pPr>
        <w:pStyle w:val="yMiscellaneousBody"/>
        <w:tabs>
          <w:tab w:val="left" w:pos="1985"/>
          <w:tab w:val="left" w:pos="2552"/>
        </w:tabs>
        <w:ind w:left="2552" w:hanging="3686"/>
      </w:pPr>
      <w:r>
        <w:tab/>
      </w:r>
      <w:r>
        <w:rPr>
          <w:b/>
        </w:rPr>
        <w:t>A</w:t>
      </w:r>
      <w:r>
        <w:t xml:space="preserve"> =</w:t>
      </w:r>
      <w:r>
        <w:tab/>
        <w:t>the charge payable under this item for the previous financial year;</w:t>
      </w:r>
    </w:p>
    <w:p>
      <w:pPr>
        <w:pStyle w:val="yMiscellaneousBody"/>
        <w:tabs>
          <w:tab w:val="left" w:pos="1985"/>
          <w:tab w:val="left" w:pos="2552"/>
        </w:tabs>
        <w:ind w:left="3686" w:hanging="3686"/>
      </w:pPr>
      <w:r>
        <w:tab/>
      </w:r>
      <w:r>
        <w:rPr>
          <w:b/>
        </w:rPr>
        <w:t>S</w:t>
      </w:r>
      <w:r>
        <w:t xml:space="preserve"> =</w:t>
      </w:r>
      <w:r>
        <w:tab/>
        <w:t>1.126;</w:t>
      </w:r>
    </w:p>
    <w:p>
      <w:pPr>
        <w:pStyle w:val="yMiscellaneousBody"/>
        <w:tabs>
          <w:tab w:val="left" w:pos="1985"/>
          <w:tab w:val="left" w:pos="2552"/>
        </w:tabs>
        <w:ind w:left="2552" w:hanging="3686"/>
      </w:pPr>
      <w:r>
        <w:tab/>
      </w:r>
      <w:r>
        <w:rPr>
          <w:b/>
        </w:rPr>
        <w:t>N</w:t>
      </w:r>
      <w:r>
        <w:t xml:space="preserve"> =</w:t>
      </w:r>
      <w:r>
        <w:tab/>
        <w:t>the discharge volume for the current discharge year;</w:t>
      </w:r>
    </w:p>
    <w:p>
      <w:pPr>
        <w:pStyle w:val="yMiscellaneousBody"/>
        <w:tabs>
          <w:tab w:val="left" w:pos="1985"/>
          <w:tab w:val="left" w:pos="2552"/>
        </w:tabs>
        <w:ind w:left="2552" w:hanging="3686"/>
      </w:pPr>
      <w:r>
        <w:tab/>
      </w:r>
      <w:r>
        <w:rPr>
          <w:b/>
        </w:rPr>
        <w:t>W</w:t>
      </w:r>
      <w:r>
        <w:t xml:space="preserve"> =</w:t>
      </w:r>
      <w:r>
        <w:tab/>
        <w:t>the discharge volume for the previous discharge year;</w:t>
      </w:r>
    </w:p>
    <w:p>
      <w:pPr>
        <w:pStyle w:val="yMiscellaneousBody"/>
        <w:tabs>
          <w:tab w:val="left" w:pos="1985"/>
          <w:tab w:val="left" w:pos="2552"/>
        </w:tabs>
        <w:ind w:left="3686" w:hanging="3686"/>
      </w:pPr>
      <w:r>
        <w:tab/>
      </w:r>
      <w:r>
        <w:rPr>
          <w:b/>
        </w:rPr>
        <w:t>I</w:t>
      </w:r>
      <w:r>
        <w:t xml:space="preserve"> =</w:t>
      </w:r>
      <w:r>
        <w:tab/>
        <w:t>$3.0079.</w:t>
      </w:r>
    </w:p>
    <w:p>
      <w:pPr>
        <w:pStyle w:val="yHeading5"/>
      </w:pPr>
      <w:bookmarkStart w:id="181" w:name="_Toc398816547"/>
      <w:r>
        <w:rPr>
          <w:rStyle w:val="CharSClsNo"/>
        </w:rPr>
        <w:t>16</w:t>
      </w:r>
      <w:r>
        <w:t>.</w:t>
      </w:r>
      <w:r>
        <w:tab/>
        <w:t>Metropolitan nursing home</w:t>
      </w:r>
      <w:bookmarkEnd w:id="181"/>
    </w:p>
    <w:p>
      <w:pPr>
        <w:pStyle w:val="yMiscellaneousBody"/>
        <w:tabs>
          <w:tab w:val="left" w:pos="284"/>
        </w:tabs>
        <w:ind w:left="879" w:right="-2" w:hanging="879"/>
      </w:pPr>
      <w:r>
        <w:tab/>
      </w:r>
      <w:r>
        <w:tab/>
        <w:t>In respect of a nursing home in the metropolitan area, other than a nursing home that is, or is part of, an aged home, the charge is —</w:t>
      </w:r>
    </w:p>
    <w:p>
      <w:pPr>
        <w:pStyle w:val="yMiscellaneousBody"/>
        <w:tabs>
          <w:tab w:val="left" w:pos="851"/>
        </w:tabs>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ind w:left="879" w:hanging="879"/>
      </w:pPr>
      <w:r>
        <w:tab/>
        <w:t xml:space="preserve">then </w:t>
      </w:r>
      <w:r>
        <w:rPr>
          <w:b/>
        </w:rPr>
        <w:t>T</w:t>
      </w:r>
      <w:r>
        <w:t xml:space="preserve"> + </w:t>
      </w:r>
      <w:r>
        <w:rPr>
          <w:b/>
        </w:rPr>
        <w:t>Q</w:t>
      </w:r>
    </w:p>
    <w:p>
      <w:pPr>
        <w:pStyle w:val="yMiscellaneousBody"/>
        <w:tabs>
          <w:tab w:val="left" w:pos="851"/>
        </w:tabs>
        <w:ind w:left="879" w:hanging="879"/>
      </w:pPr>
      <w:r>
        <w:tab/>
        <w:t>or if (</w:t>
      </w:r>
      <w:r>
        <w:rPr>
          <w:b/>
        </w:rPr>
        <w:t>T</w:t>
      </w:r>
      <w:r>
        <w:t xml:space="preserve"> + </w:t>
      </w:r>
      <w:r>
        <w:rPr>
          <w:b/>
        </w:rPr>
        <w:t>Q</w:t>
      </w:r>
      <w:r>
        <w:t xml:space="preserve">) &gt; </w:t>
      </w:r>
      <w:r>
        <w:rPr>
          <w:b/>
        </w:rPr>
        <w:t>R</w:t>
      </w:r>
      <w:r>
        <w:t>,</w:t>
      </w:r>
    </w:p>
    <w:p>
      <w:pPr>
        <w:pStyle w:val="yMiscellaneousBody"/>
        <w:tabs>
          <w:tab w:val="left" w:pos="851"/>
        </w:tabs>
        <w:ind w:left="879" w:hanging="879"/>
      </w:pPr>
      <w:r>
        <w:tab/>
        <w:t xml:space="preserve">then </w:t>
      </w:r>
      <w:r>
        <w:rPr>
          <w:b/>
        </w:rPr>
        <w:t>R</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yMiscellaneousBody"/>
        <w:tabs>
          <w:tab w:val="left" w:pos="1134"/>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ind w:left="1701" w:hanging="1701"/>
      </w:pPr>
      <w:r>
        <w:tab/>
      </w:r>
      <w:r>
        <w:rPr>
          <w:b/>
        </w:rPr>
        <w:t>S</w:t>
      </w:r>
      <w:r>
        <w:t xml:space="preserve"> =</w:t>
      </w:r>
      <w:r>
        <w:tab/>
        <w:t>1.126;</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2552" w:hanging="2552"/>
      </w:pPr>
      <w:r>
        <w:tab/>
      </w:r>
      <w:r>
        <w:rPr>
          <w:b/>
        </w:rPr>
        <w:t>U</w:t>
      </w:r>
      <w:r>
        <w:t xml:space="preserve"> =</w:t>
      </w:r>
      <w:r>
        <w:tab/>
        <w:t>the number of beds in the nursing home;</w:t>
      </w:r>
    </w:p>
    <w:p>
      <w:pPr>
        <w:pStyle w:val="yMiscellaneousBody"/>
        <w:tabs>
          <w:tab w:val="left" w:pos="1134"/>
          <w:tab w:val="left" w:pos="1701"/>
        </w:tabs>
        <w:ind w:left="2552" w:hanging="2552"/>
      </w:pPr>
      <w:r>
        <w:tab/>
      </w:r>
      <w:r>
        <w:rPr>
          <w:b/>
        </w:rPr>
        <w:t>V</w:t>
      </w:r>
      <w:r>
        <w:t xml:space="preserve"> =</w:t>
      </w:r>
      <w:r>
        <w:tab/>
        <w:t>$148.09.</w:t>
      </w:r>
    </w:p>
    <w:p>
      <w:pPr>
        <w:pStyle w:val="yHeading5"/>
      </w:pPr>
      <w:bookmarkStart w:id="182" w:name="_Toc398816548"/>
      <w:r>
        <w:rPr>
          <w:rStyle w:val="CharSClsNo"/>
        </w:rPr>
        <w:t>17</w:t>
      </w:r>
      <w:r>
        <w:t>.</w:t>
      </w:r>
      <w:r>
        <w:tab/>
        <w:t>Certain metropolitan strata</w:t>
      </w:r>
      <w:r>
        <w:noBreakHyphen/>
        <w:t>titled units</w:t>
      </w:r>
      <w:bookmarkEnd w:id="182"/>
    </w:p>
    <w:p>
      <w:pPr>
        <w:pStyle w:val="yMiscellaneousBody"/>
        <w:tabs>
          <w:tab w:val="left" w:pos="284"/>
        </w:tabs>
        <w:ind w:left="879" w:right="-2" w:hanging="879"/>
      </w:pPr>
      <w:r>
        <w:tab/>
      </w:r>
      <w:r>
        <w:tab/>
        <w:t>In respect of land in the metropolitan area that —</w:t>
      </w:r>
    </w:p>
    <w:p>
      <w:pPr>
        <w:pStyle w:val="yMiscellaneousBody"/>
        <w:tabs>
          <w:tab w:val="left" w:pos="1134"/>
        </w:tabs>
        <w:spacing w:before="80"/>
        <w:ind w:left="1560" w:right="-2" w:hanging="1701"/>
      </w:pPr>
      <w:r>
        <w:tab/>
        <w:t>(a)</w:t>
      </w:r>
      <w:r>
        <w:tab/>
        <w:t>is contained in a lot; and</w:t>
      </w:r>
    </w:p>
    <w:p>
      <w:pPr>
        <w:pStyle w:val="yMiscellaneousBody"/>
        <w:tabs>
          <w:tab w:val="left" w:pos="1134"/>
        </w:tabs>
        <w:spacing w:before="80"/>
        <w:ind w:left="1560" w:right="-2" w:hanging="1701"/>
      </w:pPr>
      <w:r>
        <w:tab/>
        <w:t>(b)</w:t>
      </w:r>
      <w:r>
        <w:tab/>
        <w:t>is classified as non</w:t>
      </w:r>
      <w:r>
        <w:noBreakHyphen/>
        <w:t>residential; and</w:t>
      </w:r>
    </w:p>
    <w:p>
      <w:pPr>
        <w:pStyle w:val="yMiscellaneousBody"/>
        <w:tabs>
          <w:tab w:val="left" w:pos="1134"/>
        </w:tabs>
        <w:spacing w:before="80"/>
        <w:ind w:left="1560" w:right="-2" w:hanging="1701"/>
      </w:pPr>
      <w:r>
        <w:tab/>
        <w:t>(c)</w:t>
      </w:r>
      <w:r>
        <w:tab/>
        <w:t>is not covered by item 5 or 6; and</w:t>
      </w:r>
    </w:p>
    <w:p>
      <w:pPr>
        <w:pStyle w:val="yMiscellaneousBody"/>
        <w:tabs>
          <w:tab w:val="left" w:pos="1134"/>
        </w:tabs>
        <w:spacing w:before="80"/>
        <w:ind w:left="1560" w:right="-2" w:hanging="1701"/>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spacing w:before="80"/>
        <w:ind w:left="1560" w:right="-2" w:hanging="1701"/>
      </w:pPr>
      <w:r>
        <w:tab/>
        <w:t>(e)</w:t>
      </w:r>
      <w:r>
        <w:tab/>
        <w:t>the number of major fixtures shared by all units on the relevant strata plan is less than the number of those units,</w:t>
      </w:r>
    </w:p>
    <w:p>
      <w:pPr>
        <w:pStyle w:val="yMiscellaneousBody"/>
        <w:tabs>
          <w:tab w:val="left" w:pos="284"/>
        </w:tabs>
        <w:ind w:left="879" w:right="-2" w:hanging="879"/>
      </w:pPr>
      <w:r>
        <w:tab/>
      </w:r>
      <w:r>
        <w:tab/>
        <w:t>the charge is —</w:t>
      </w:r>
    </w:p>
    <w:p>
      <w:pPr>
        <w:pStyle w:val="yMiscellaneousBody"/>
        <w:tabs>
          <w:tab w:val="left" w:pos="851"/>
        </w:tabs>
        <w:ind w:left="879" w:hanging="879"/>
      </w:pPr>
      <w:r>
        <w:tab/>
      </w:r>
      <w:r>
        <w:rPr>
          <w:b/>
        </w:rPr>
        <w:t>T</w:t>
      </w:r>
      <w:r>
        <w:t xml:space="preserve"> + </w:t>
      </w:r>
      <w:r>
        <w:rPr>
          <w:b/>
        </w:rPr>
        <w:t>Q</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T</w:t>
      </w:r>
      <w:r>
        <w:t xml:space="preserve"> =</w:t>
      </w:r>
      <w:r>
        <w:tab/>
        <w:t>$508.77;</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pPr>
      <w:bookmarkStart w:id="183" w:name="_Toc398816549"/>
      <w:r>
        <w:t>Subdivision 3</w:t>
      </w:r>
      <w:r>
        <w:rPr>
          <w:b w:val="0"/>
        </w:rPr>
        <w:t> — </w:t>
      </w:r>
      <w:r>
        <w:t>Calculation of certain factors for the purposes of Subdivision 2</w:t>
      </w:r>
      <w:bookmarkEnd w:id="183"/>
    </w:p>
    <w:p>
      <w:pPr>
        <w:pStyle w:val="yHeading5"/>
      </w:pPr>
      <w:bookmarkStart w:id="184" w:name="_Toc398816550"/>
      <w:r>
        <w:rPr>
          <w:rStyle w:val="CharSClsNo"/>
        </w:rPr>
        <w:t>18</w:t>
      </w:r>
      <w:r>
        <w:t>.</w:t>
      </w:r>
      <w:r>
        <w:tab/>
        <w:t>Service charge</w:t>
      </w:r>
      <w:bookmarkEnd w:id="184"/>
    </w:p>
    <w:p>
      <w:pPr>
        <w:pStyle w:val="yMiscellaneousBody"/>
        <w:tabs>
          <w:tab w:val="left" w:pos="284"/>
        </w:tabs>
        <w:ind w:left="879" w:right="-2" w:hanging="879"/>
      </w:pPr>
      <w:r>
        <w:tab/>
      </w:r>
      <w:r>
        <w:tab/>
        <w:t>The service charge (</w:t>
      </w:r>
      <w:r>
        <w:rPr>
          <w:b/>
          <w:i/>
        </w:rPr>
        <w:t>P</w:t>
      </w:r>
      <w:r>
        <w:t>) is —</w:t>
      </w:r>
    </w:p>
    <w:p>
      <w:pPr>
        <w:pStyle w:val="yMiscellaneousBody"/>
        <w:tabs>
          <w:tab w:val="left" w:pos="851"/>
        </w:tabs>
        <w:ind w:left="879" w:hanging="879"/>
      </w:pPr>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851"/>
        </w:tabs>
        <w:ind w:left="879" w:hanging="879"/>
      </w:pPr>
      <w:r>
        <w:tab/>
        <w:t xml:space="preserve">then </w:t>
      </w:r>
      <w:r>
        <w:rPr>
          <w:b/>
        </w:rPr>
        <w:t>A</w:t>
      </w:r>
      <w:r>
        <w:t xml:space="preserve"> </w:t>
      </w:r>
      <w:r>
        <w:sym w:font="Symbol" w:char="F0B4"/>
      </w:r>
      <w:r>
        <w:t xml:space="preserve"> </w:t>
      </w:r>
      <w:r>
        <w:rPr>
          <w:b/>
        </w:rPr>
        <w:t>B</w:t>
      </w:r>
    </w:p>
    <w:p>
      <w:pPr>
        <w:pStyle w:val="yMiscellaneousBody"/>
        <w:tabs>
          <w:tab w:val="left" w:pos="851"/>
        </w:tabs>
        <w:ind w:left="879" w:hanging="879"/>
      </w:pPr>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851"/>
        </w:tabs>
        <w:ind w:left="879" w:hanging="879"/>
      </w:pPr>
      <w:r>
        <w:tab/>
        <w:t xml:space="preserve">then </w:t>
      </w:r>
      <w:r>
        <w:rPr>
          <w:b/>
        </w:rPr>
        <w:t>C</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yMiscellaneousBody"/>
        <w:tabs>
          <w:tab w:val="left" w:pos="1134"/>
          <w:tab w:val="left" w:pos="1701"/>
        </w:tabs>
        <w:ind w:left="1701" w:hanging="1701"/>
      </w:pPr>
      <w:r>
        <w:tab/>
      </w:r>
      <w:r>
        <w:rPr>
          <w:b/>
        </w:rPr>
        <w:t>B</w:t>
      </w:r>
      <w:r>
        <w:t xml:space="preserve"> =</w:t>
      </w:r>
      <w:r>
        <w:tab/>
        <w:t>1.126;</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19.</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Pr>
          <w:p>
            <w:pPr>
              <w:pStyle w:val="yTableNAm"/>
              <w:jc w:val="center"/>
            </w:pPr>
            <w:r>
              <w:t>1</w:t>
            </w:r>
            <w:r>
              <w:rPr>
                <w:vertAlign w:val="superscript"/>
              </w:rPr>
              <w:t>st</w:t>
            </w:r>
            <w:r>
              <w:t xml:space="preserve"> fixture</w:t>
            </w:r>
          </w:p>
        </w:tc>
        <w:tc>
          <w:tcPr>
            <w:tcW w:w="2268" w:type="dxa"/>
          </w:tcPr>
          <w:p>
            <w:pPr>
              <w:pStyle w:val="yTableNAm"/>
              <w:jc w:val="center"/>
            </w:pPr>
            <w:r>
              <w:t>$818.43</w:t>
            </w:r>
          </w:p>
        </w:tc>
      </w:tr>
      <w:tr>
        <w:tc>
          <w:tcPr>
            <w:tcW w:w="2268" w:type="dxa"/>
          </w:tcPr>
          <w:p>
            <w:pPr>
              <w:pStyle w:val="yTableNAm"/>
              <w:jc w:val="center"/>
            </w:pPr>
            <w:r>
              <w:t>2</w:t>
            </w:r>
            <w:r>
              <w:rPr>
                <w:vertAlign w:val="superscript"/>
              </w:rPr>
              <w:t>nd</w:t>
            </w:r>
            <w:r>
              <w:t xml:space="preserve"> fixture</w:t>
            </w:r>
          </w:p>
        </w:tc>
        <w:tc>
          <w:tcPr>
            <w:tcW w:w="2268" w:type="dxa"/>
          </w:tcPr>
          <w:p>
            <w:pPr>
              <w:pStyle w:val="yTableNAm"/>
              <w:jc w:val="center"/>
            </w:pPr>
            <w:r>
              <w:t>$350.34</w:t>
            </w:r>
          </w:p>
        </w:tc>
      </w:tr>
      <w:tr>
        <w:tc>
          <w:tcPr>
            <w:tcW w:w="2268" w:type="dxa"/>
          </w:tcPr>
          <w:p>
            <w:pPr>
              <w:pStyle w:val="yTableNAm"/>
              <w:jc w:val="center"/>
            </w:pPr>
            <w:r>
              <w:t>3</w:t>
            </w:r>
            <w:r>
              <w:rPr>
                <w:vertAlign w:val="superscript"/>
              </w:rPr>
              <w:t>rd</w:t>
            </w:r>
            <w:r>
              <w:t xml:space="preserve"> fixture</w:t>
            </w:r>
          </w:p>
        </w:tc>
        <w:tc>
          <w:tcPr>
            <w:tcW w:w="2268" w:type="dxa"/>
          </w:tcPr>
          <w:p>
            <w:pPr>
              <w:pStyle w:val="yTableNAm"/>
              <w:jc w:val="center"/>
            </w:pPr>
            <w:r>
              <w:t>$467.86</w:t>
            </w:r>
          </w:p>
        </w:tc>
      </w:tr>
      <w:tr>
        <w:tc>
          <w:tcPr>
            <w:tcW w:w="2268" w:type="dxa"/>
            <w:tcBorders>
              <w:bottom w:val="single" w:sz="4" w:space="0" w:color="auto"/>
            </w:tcBorders>
          </w:tcPr>
          <w:p>
            <w:pPr>
              <w:pStyle w:val="yTableNAm"/>
              <w:jc w:val="center"/>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t>$508.77</w:t>
            </w:r>
          </w:p>
        </w:tc>
      </w:tr>
    </w:tbl>
    <w:p>
      <w:pPr>
        <w:pStyle w:val="yHeading5"/>
      </w:pPr>
      <w:bookmarkStart w:id="185" w:name="_Toc398816551"/>
      <w:r>
        <w:rPr>
          <w:rStyle w:val="CharSClsNo"/>
        </w:rPr>
        <w:t>19</w:t>
      </w:r>
      <w:r>
        <w:t>.</w:t>
      </w:r>
      <w:r>
        <w:tab/>
        <w:t>Discharge charge</w:t>
      </w:r>
      <w:bookmarkEnd w:id="185"/>
    </w:p>
    <w:p>
      <w:pPr>
        <w:pStyle w:val="yMiscellaneousBody"/>
        <w:tabs>
          <w:tab w:val="left" w:pos="284"/>
        </w:tabs>
        <w:ind w:left="879" w:right="-2" w:hanging="879"/>
      </w:pPr>
      <w:r>
        <w:tab/>
      </w:r>
      <w:r>
        <w:tab/>
        <w:t>The discharge charge (</w:t>
      </w:r>
      <w:r>
        <w:rPr>
          <w:b/>
          <w:i/>
        </w:rPr>
        <w:t>Q</w:t>
      </w:r>
      <w:r>
        <w:t>) is —</w:t>
      </w:r>
    </w:p>
    <w:p>
      <w:pPr>
        <w:pStyle w:val="yMiscellaneousBody"/>
        <w:tabs>
          <w:tab w:val="left" w:pos="851"/>
        </w:tabs>
        <w:ind w:left="879" w:hanging="879"/>
      </w:pP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851"/>
        </w:tabs>
        <w:ind w:left="879" w:hanging="879"/>
      </w:pPr>
      <w:r>
        <w:tab/>
        <w:t>then nil</w:t>
      </w:r>
    </w:p>
    <w:p>
      <w:pPr>
        <w:pStyle w:val="yMiscellaneousBody"/>
        <w:tabs>
          <w:tab w:val="left" w:pos="851"/>
        </w:tabs>
        <w:ind w:left="879" w:hanging="879"/>
      </w:pP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851"/>
        </w:tabs>
        <w:ind w:left="879" w:hanging="879"/>
      </w:pP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yMiscellaneousBody"/>
        <w:tabs>
          <w:tab w:val="left" w:pos="1134"/>
          <w:tab w:val="left" w:pos="1701"/>
        </w:tabs>
        <w:ind w:left="1701" w:hanging="1701"/>
      </w:pPr>
      <w:r>
        <w:tab/>
      </w:r>
      <w:r>
        <w:rPr>
          <w:b/>
        </w:rPr>
        <w:t>I</w:t>
      </w:r>
      <w:r>
        <w:t xml:space="preserve"> =</w:t>
      </w:r>
      <w:r>
        <w:tab/>
        <w:t>$3.0079,</w:t>
      </w:r>
    </w:p>
    <w:p>
      <w:pPr>
        <w:pStyle w:val="yMiscellaneousBody"/>
        <w:tabs>
          <w:tab w:val="left" w:pos="851"/>
          <w:tab w:val="left" w:pos="1701"/>
        </w:tabs>
        <w:ind w:left="1701" w:hanging="1701"/>
      </w:pP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186" w:name="_Toc398816552"/>
      <w:r>
        <w:rPr>
          <w:rStyle w:val="CharSClsNo"/>
        </w:rPr>
        <w:t>20</w:t>
      </w:r>
      <w:r>
        <w:t>.</w:t>
      </w:r>
      <w:r>
        <w:tab/>
        <w:t>Discharge allowance</w:t>
      </w:r>
      <w:bookmarkEnd w:id="186"/>
    </w:p>
    <w:p>
      <w:pPr>
        <w:pStyle w:val="yMiscellaneousBody"/>
        <w:tabs>
          <w:tab w:val="left" w:pos="284"/>
        </w:tabs>
        <w:ind w:left="879" w:right="-2" w:hanging="879"/>
      </w:pPr>
      <w:r>
        <w:tab/>
        <w:t>(1)</w:t>
      </w:r>
      <w:r>
        <w:tab/>
        <w:t>The discharge allowance for the current discharge year is —</w:t>
      </w:r>
    </w:p>
    <w:p>
      <w:pPr>
        <w:pStyle w:val="yMiscellaneousBody"/>
        <w:tabs>
          <w:tab w:val="left" w:pos="1134"/>
        </w:tabs>
        <w:spacing w:before="80"/>
        <w:ind w:left="1560" w:right="-2" w:hanging="1701"/>
      </w:pPr>
      <w:r>
        <w:tab/>
        <w:t>(a)</w:t>
      </w:r>
      <w:r>
        <w:tab/>
        <w:t>for land to which item 13 applies that is not covered by paragraph (e) — 200 kL;</w:t>
      </w:r>
    </w:p>
    <w:p>
      <w:pPr>
        <w:pStyle w:val="yMiscellaneousBody"/>
        <w:tabs>
          <w:tab w:val="left" w:pos="1134"/>
        </w:tabs>
        <w:spacing w:before="80"/>
        <w:ind w:left="1560" w:right="-2" w:hanging="1701"/>
      </w:pPr>
      <w:r>
        <w:tab/>
        <w:t>(b)</w:t>
      </w:r>
      <w:r>
        <w:tab/>
        <w:t>for land held by a government trading organisation or by a public authority that holds non</w:t>
      </w:r>
      <w:r>
        <w:noBreakHyphen/>
        <w:t>commercial government property — 200 kL;</w:t>
      </w:r>
    </w:p>
    <w:p>
      <w:pPr>
        <w:pStyle w:val="yMiscellaneousBody"/>
        <w:tabs>
          <w:tab w:val="left" w:pos="1134"/>
        </w:tabs>
        <w:spacing w:before="80"/>
        <w:ind w:left="1560" w:right="-2" w:hanging="1701"/>
      </w:pPr>
      <w:r>
        <w:tab/>
        <w:t>(c)</w:t>
      </w:r>
      <w:r>
        <w:tab/>
        <w:t>for a caravan park referred to in item 15, the amount (in kL) calculated in accordance with the formula in sub</w:t>
      </w:r>
      <w:r>
        <w:noBreakHyphen/>
        <w:t>item (2);</w:t>
      </w:r>
    </w:p>
    <w:p>
      <w:pPr>
        <w:pStyle w:val="yMiscellaneousBody"/>
        <w:tabs>
          <w:tab w:val="left" w:pos="1134"/>
        </w:tabs>
        <w:spacing w:before="80"/>
        <w:ind w:left="1560" w:right="-2" w:hanging="1701"/>
      </w:pPr>
      <w:r>
        <w:tab/>
        <w:t>(d)</w:t>
      </w:r>
      <w:r>
        <w:tab/>
        <w:t>for a nursing home referred to in item 16 — 75 kL per bed;</w:t>
      </w:r>
    </w:p>
    <w:p>
      <w:pPr>
        <w:pStyle w:val="yMiscellaneousBody"/>
        <w:tabs>
          <w:tab w:val="left" w:pos="1134"/>
        </w:tabs>
        <w:spacing w:before="80"/>
        <w:ind w:left="1560" w:right="-2" w:hanging="1701"/>
      </w:pPr>
      <w:r>
        <w:tab/>
        <w:t>(e)</w:t>
      </w:r>
      <w:r>
        <w:tab/>
        <w:t>for properties that share a metered property water supply connection — 200 kL for each property.</w:t>
      </w:r>
    </w:p>
    <w:p>
      <w:pPr>
        <w:pStyle w:val="yMiscellaneousBody"/>
        <w:tabs>
          <w:tab w:val="left" w:pos="284"/>
        </w:tabs>
        <w:ind w:left="879" w:right="-2" w:hanging="879"/>
      </w:pPr>
      <w:r>
        <w:tab/>
        <w:t>(2)</w:t>
      </w:r>
      <w:r>
        <w:tab/>
        <w:t>The formula for the purposes of sub</w:t>
      </w:r>
      <w:r>
        <w:noBreakHyphen/>
        <w:t>item (1)(c) is —</w:t>
      </w:r>
    </w:p>
    <w:p>
      <w:pPr>
        <w:pStyle w:val="yMiscellaneousBody"/>
        <w:tabs>
          <w:tab w:val="left" w:pos="1560"/>
        </w:tabs>
        <w:ind w:left="1701" w:hanging="1701"/>
      </w:pPr>
      <w:r>
        <w:rPr>
          <w:b/>
        </w:rPr>
        <w:tab/>
        <w:t>L</w:t>
      </w:r>
      <w:r>
        <w:t xml:space="preserve"> + </w:t>
      </w:r>
      <w:r>
        <w:rPr>
          <w:b/>
        </w:rPr>
        <w:t>M</w:t>
      </w:r>
    </w:p>
    <w:p>
      <w:pPr>
        <w:pStyle w:val="yMiscellaneousBody"/>
        <w:tabs>
          <w:tab w:val="left" w:pos="1560"/>
        </w:tabs>
        <w:ind w:left="1701" w:hanging="1701"/>
      </w:pPr>
      <w:r>
        <w:tab/>
        <w:t xml:space="preserve">where — </w:t>
      </w:r>
    </w:p>
    <w:p>
      <w:pPr>
        <w:pStyle w:val="yMiscellaneousBody"/>
        <w:tabs>
          <w:tab w:val="left" w:pos="1985"/>
          <w:tab w:val="left" w:pos="2552"/>
        </w:tabs>
      </w:pPr>
      <w:r>
        <w:tab/>
      </w:r>
      <w:r>
        <w:rPr>
          <w:b/>
        </w:rPr>
        <w:t>L</w:t>
      </w:r>
      <w:r>
        <w:t xml:space="preserve"> =</w:t>
      </w:r>
      <w:r>
        <w:tab/>
        <w:t>200;</w:t>
      </w:r>
    </w:p>
    <w:p>
      <w:pPr>
        <w:pStyle w:val="yMiscellaneousBody"/>
        <w:tabs>
          <w:tab w:val="left" w:pos="1985"/>
          <w:tab w:val="left" w:pos="2552"/>
        </w:tabs>
        <w:ind w:left="2552" w:hanging="2552"/>
      </w:pPr>
      <w:r>
        <w:tab/>
      </w:r>
      <w:r>
        <w:rPr>
          <w:b/>
        </w:rPr>
        <w:t>M</w:t>
      </w:r>
      <w:r>
        <w:t xml:space="preserve"> =</w:t>
      </w:r>
      <w:r>
        <w:tab/>
        <w:t>75 kL for each long</w:t>
      </w:r>
      <w:r>
        <w:noBreakHyphen/>
        <w:t>term residential caravan bay.</w:t>
      </w:r>
    </w:p>
    <w:p>
      <w:pPr>
        <w:pStyle w:val="yHeading4"/>
      </w:pPr>
      <w:bookmarkStart w:id="187" w:name="_Toc398816553"/>
      <w:r>
        <w:t>Subdivision 4</w:t>
      </w:r>
      <w:r>
        <w:rPr>
          <w:b w:val="0"/>
        </w:rPr>
        <w:t> — </w:t>
      </w:r>
      <w:r>
        <w:t>Combined charges: non</w:t>
      </w:r>
      <w:r>
        <w:noBreakHyphen/>
        <w:t>metropolitan</w:t>
      </w:r>
      <w:bookmarkEnd w:id="187"/>
    </w:p>
    <w:p>
      <w:pPr>
        <w:pStyle w:val="yHeading5"/>
      </w:pPr>
      <w:bookmarkStart w:id="188" w:name="_Toc398816554"/>
      <w:r>
        <w:rPr>
          <w:rStyle w:val="CharSClsNo"/>
        </w:rPr>
        <w:t>21</w:t>
      </w:r>
      <w:r>
        <w:t>.</w:t>
      </w:r>
      <w:r>
        <w:tab/>
        <w:t>Non</w:t>
      </w:r>
      <w:r>
        <w:noBreakHyphen/>
        <w:t>metropolitan non</w:t>
      </w:r>
      <w:r>
        <w:noBreakHyphen/>
        <w:t>residential</w:t>
      </w:r>
      <w:bookmarkEnd w:id="188"/>
    </w:p>
    <w:p>
      <w:pPr>
        <w:pStyle w:val="yMiscellaneousBody"/>
        <w:tabs>
          <w:tab w:val="left" w:pos="284"/>
        </w:tabs>
        <w:ind w:left="879" w:right="-2" w:hanging="879"/>
      </w:pPr>
      <w:r>
        <w:tab/>
      </w:r>
      <w:r>
        <w:tab/>
        <w:t>In respect of land in the non</w:t>
      </w:r>
      <w:r>
        <w:noBreakHyphen/>
        <w:t>metropolitan area that —</w:t>
      </w:r>
    </w:p>
    <w:p>
      <w:pPr>
        <w:pStyle w:val="yMiscellaneousBody"/>
        <w:tabs>
          <w:tab w:val="left" w:pos="1134"/>
        </w:tabs>
        <w:spacing w:before="80"/>
        <w:ind w:left="1560" w:right="-2" w:hanging="1701"/>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spacing w:before="80"/>
        <w:ind w:left="1560" w:right="-2" w:hanging="1701"/>
      </w:pPr>
      <w:r>
        <w:tab/>
        <w:t>(b)</w:t>
      </w:r>
      <w:r>
        <w:tab/>
        <w:t>is not covered by item 5, 6, 10, 22, 23 or 24,</w:t>
      </w:r>
    </w:p>
    <w:p>
      <w:pPr>
        <w:pStyle w:val="yMiscellaneousBody"/>
        <w:tabs>
          <w:tab w:val="left" w:pos="284"/>
        </w:tabs>
        <w:ind w:left="879" w:right="-2" w:hanging="879"/>
      </w:pPr>
      <w:r>
        <w:tab/>
      </w:r>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keepNext/>
        <w:ind w:left="851" w:hanging="879"/>
      </w:pPr>
      <w:r>
        <w:tab/>
        <w:t xml:space="preserve">or if — </w:t>
      </w:r>
    </w:p>
    <w:p>
      <w:pPr>
        <w:pStyle w:val="yMiscellaneousBody"/>
        <w:keepNext/>
        <w:ind w:left="1134" w:hanging="1134"/>
      </w:pPr>
      <w:r>
        <w:tab/>
        <w:t>(</w:t>
      </w:r>
      <w:r>
        <w:rPr>
          <w:b/>
        </w:rPr>
        <w:t>P</w:t>
      </w:r>
      <w:r>
        <w:t xml:space="preserve"> + </w:t>
      </w:r>
      <w:r>
        <w:rPr>
          <w:b/>
        </w:rPr>
        <w:t>Q</w:t>
      </w:r>
      <w:r>
        <w:t xml:space="preserve">) &gt; </w:t>
      </w:r>
      <w:r>
        <w:rPr>
          <w:b/>
        </w:rPr>
        <w:t>R</w:t>
      </w:r>
      <w:r>
        <w:t>; and</w:t>
      </w:r>
    </w:p>
    <w:p>
      <w:pPr>
        <w:pStyle w:val="yMiscellaneousBody"/>
        <w:ind w:left="1134" w:hanging="1134"/>
      </w:pPr>
      <w:r>
        <w:tab/>
      </w:r>
      <w:r>
        <w:rPr>
          <w:b/>
        </w:rPr>
        <w:t>N</w:t>
      </w:r>
      <w:r>
        <w:t xml:space="preserve"> </w:t>
      </w:r>
      <w:r>
        <w:sym w:font="Symbol" w:char="F0A3"/>
      </w:r>
      <w:r>
        <w:t xml:space="preserve"> </w:t>
      </w:r>
      <w:r>
        <w:rPr>
          <w:b/>
        </w:rPr>
        <w:t>W</w:t>
      </w:r>
      <w:r>
        <w:t>,</w:t>
      </w:r>
    </w:p>
    <w:p>
      <w:pPr>
        <w:pStyle w:val="yMiscellaneousBody"/>
        <w:ind w:left="879" w:hanging="879"/>
      </w:pPr>
      <w:r>
        <w:tab/>
        <w:t xml:space="preserve">then </w:t>
      </w:r>
      <w:r>
        <w:rPr>
          <w:b/>
        </w:rPr>
        <w:t>R</w:t>
      </w:r>
    </w:p>
    <w:p>
      <w:pPr>
        <w:pStyle w:val="yMiscellaneousBody"/>
        <w:keepNext/>
        <w:ind w:left="851" w:hanging="879"/>
      </w:pPr>
      <w:r>
        <w:tab/>
        <w:t xml:space="preserve">or if — </w:t>
      </w:r>
    </w:p>
    <w:p>
      <w:pPr>
        <w:pStyle w:val="yMiscellaneousBody"/>
        <w:keepNext/>
        <w:ind w:left="1134" w:hanging="1134"/>
      </w:pPr>
      <w:r>
        <w:tab/>
        <w:t>(</w:t>
      </w:r>
      <w:r>
        <w:rPr>
          <w:b/>
        </w:rPr>
        <w:t>P</w:t>
      </w:r>
      <w:r>
        <w:t xml:space="preserve"> + </w:t>
      </w:r>
      <w:r>
        <w:rPr>
          <w:b/>
        </w:rPr>
        <w:t>Q</w:t>
      </w:r>
      <w:r>
        <w:t xml:space="preserve">) &gt; </w:t>
      </w:r>
      <w:r>
        <w:rPr>
          <w:b/>
        </w:rPr>
        <w:t>R</w:t>
      </w:r>
      <w:r>
        <w:t>; and</w:t>
      </w:r>
    </w:p>
    <w:p>
      <w:pPr>
        <w:pStyle w:val="yMiscellaneousBody"/>
        <w:ind w:left="1134" w:hanging="1134"/>
      </w:pPr>
      <w:r>
        <w:tab/>
      </w:r>
      <w:r>
        <w:rPr>
          <w:b/>
        </w:rPr>
        <w:t>N</w:t>
      </w:r>
      <w:r>
        <w:t xml:space="preserve"> &gt; </w:t>
      </w:r>
      <w:r>
        <w:rPr>
          <w:b/>
        </w:rPr>
        <w:t>W</w:t>
      </w:r>
      <w:r>
        <w:t>,</w:t>
      </w:r>
    </w:p>
    <w:p>
      <w:pPr>
        <w:pStyle w:val="yMiscellaneousBody"/>
        <w:ind w:left="879" w:hanging="879"/>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ind w:left="851" w:hanging="879"/>
      </w:pP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N</w:t>
      </w:r>
      <w:r>
        <w:t xml:space="preserve"> =</w:t>
      </w:r>
      <w:r>
        <w:tab/>
        <w:t>the discharge volume for the current discharge year;</w:t>
      </w:r>
    </w:p>
    <w:p>
      <w:pPr>
        <w:pStyle w:val="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yMiscellaneousBody"/>
        <w:tabs>
          <w:tab w:val="left" w:pos="1134"/>
          <w:tab w:val="left" w:pos="1701"/>
        </w:tabs>
        <w:ind w:left="1701" w:hanging="1701"/>
      </w:pPr>
      <w:r>
        <w:tab/>
      </w:r>
      <w:r>
        <w:rPr>
          <w:b/>
        </w:rPr>
        <w:t>I</w:t>
      </w:r>
      <w:r>
        <w:t xml:space="preserve"> =</w:t>
      </w:r>
      <w:r>
        <w:tab/>
        <w:t>$3.0079.</w:t>
      </w:r>
    </w:p>
    <w:p>
      <w:pPr>
        <w:pStyle w:val="yHeading5"/>
      </w:pPr>
      <w:bookmarkStart w:id="189" w:name="_Toc398816555"/>
      <w:r>
        <w:rPr>
          <w:rStyle w:val="CharSClsNo"/>
        </w:rPr>
        <w:t>22</w:t>
      </w:r>
      <w:r>
        <w:t>.</w:t>
      </w:r>
      <w:r>
        <w:tab/>
        <w:t>Non</w:t>
      </w:r>
      <w:r>
        <w:noBreakHyphen/>
        <w:t>metropolitan non</w:t>
      </w:r>
      <w:r>
        <w:noBreakHyphen/>
        <w:t>strata titled caravan park with long</w:t>
      </w:r>
      <w:r>
        <w:noBreakHyphen/>
        <w:t>term residential caravan bays</w:t>
      </w:r>
      <w:bookmarkEnd w:id="189"/>
    </w:p>
    <w:p>
      <w:pPr>
        <w:pStyle w:val="yMiscellaneousBody"/>
        <w:tabs>
          <w:tab w:val="left" w:pos="284"/>
        </w:tabs>
        <w:ind w:left="879" w:right="-2" w:hanging="879"/>
      </w:pPr>
      <w:r>
        <w:tab/>
      </w:r>
      <w:r>
        <w:tab/>
        <w:t>In respect of a caravan park in the non</w:t>
      </w:r>
      <w:r>
        <w:noBreakHyphen/>
        <w:t xml:space="preserve">metropolitan area that — </w:t>
      </w:r>
    </w:p>
    <w:p>
      <w:pPr>
        <w:pStyle w:val="yMiscellaneousBody"/>
        <w:tabs>
          <w:tab w:val="left" w:pos="1134"/>
        </w:tabs>
        <w:spacing w:before="80"/>
        <w:ind w:left="1560" w:right="-2" w:hanging="1701"/>
      </w:pPr>
      <w:r>
        <w:tab/>
        <w:t>(a)</w:t>
      </w:r>
      <w:r>
        <w:tab/>
        <w:t>does not consist wholly of strata</w:t>
      </w:r>
      <w:r>
        <w:noBreakHyphen/>
        <w:t>titled caravan bays; and</w:t>
      </w:r>
    </w:p>
    <w:p>
      <w:pPr>
        <w:pStyle w:val="yMiscellaneousBody"/>
        <w:tabs>
          <w:tab w:val="left" w:pos="1134"/>
        </w:tabs>
        <w:spacing w:before="80"/>
        <w:ind w:left="1560" w:right="-2" w:hanging="1701"/>
      </w:pPr>
      <w:r>
        <w:tab/>
        <w:t>(b)</w:t>
      </w:r>
      <w:r>
        <w:tab/>
        <w:t>has long</w:t>
      </w:r>
      <w:r>
        <w:noBreakHyphen/>
        <w:t>term residential caravan bays,</w:t>
      </w:r>
    </w:p>
    <w:p>
      <w:pPr>
        <w:pStyle w:val="yMiscellaneousBody"/>
        <w:tabs>
          <w:tab w:val="left" w:pos="284"/>
        </w:tabs>
        <w:ind w:left="879" w:right="-2" w:hanging="879"/>
      </w:pPr>
      <w:r>
        <w:tab/>
      </w:r>
      <w:r>
        <w:tab/>
        <w:t>the charge is —</w:t>
      </w:r>
    </w:p>
    <w:p>
      <w:pPr>
        <w:pStyle w:val="yMiscellaneousBody"/>
        <w:tabs>
          <w:tab w:val="left" w:pos="851"/>
        </w:tabs>
      </w:pPr>
      <w:r>
        <w:tab/>
      </w:r>
      <w:r>
        <w:rPr>
          <w:b/>
        </w:rPr>
        <w:t>AA</w:t>
      </w:r>
      <w:r>
        <w:t xml:space="preserve"> + </w:t>
      </w:r>
      <w:r>
        <w:rPr>
          <w:b/>
        </w:rPr>
        <w:t>AB</w:t>
      </w:r>
    </w:p>
    <w:p>
      <w:pPr>
        <w:pStyle w:val="yMiscellaneousBody"/>
        <w:tabs>
          <w:tab w:val="left" w:pos="851"/>
          <w:tab w:val="left" w:pos="1560"/>
        </w:tabs>
        <w:ind w:left="1560" w:hanging="1560"/>
      </w:pPr>
      <w:r>
        <w:tab/>
        <w:t xml:space="preserve">where — </w:t>
      </w:r>
    </w:p>
    <w:p>
      <w:pPr>
        <w:pStyle w:val="yMiscellaneousBody"/>
        <w:tabs>
          <w:tab w:val="left" w:pos="1134"/>
          <w:tab w:val="left" w:pos="1701"/>
        </w:tabs>
        <w:ind w:left="1701" w:hanging="2268"/>
      </w:pPr>
      <w:r>
        <w:tab/>
      </w:r>
      <w:r>
        <w:rPr>
          <w:b/>
        </w:rPr>
        <w:t>AA</w:t>
      </w:r>
      <w:r>
        <w:t xml:space="preserve"> =</w:t>
      </w:r>
      <w:r>
        <w:tab/>
        <w:t>$270.23 for each long</w:t>
      </w:r>
      <w:r>
        <w:noBreakHyphen/>
        <w:t>term residential caravan bay;</w:t>
      </w:r>
    </w:p>
    <w:p>
      <w:pPr>
        <w:pStyle w:val="yMiscellaneousBody"/>
        <w:tabs>
          <w:tab w:val="left" w:pos="1134"/>
          <w:tab w:val="left" w:pos="1701"/>
        </w:tabs>
        <w:ind w:left="1701" w:hanging="2268"/>
      </w:pP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rPr>
          <w:b/>
        </w:rPr>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pPr>
      <w:r>
        <w:tab/>
        <w:t xml:space="preserve">where — </w:t>
      </w:r>
    </w:p>
    <w:p>
      <w:pPr>
        <w:pStyle w:val="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1985"/>
          <w:tab w:val="left" w:pos="2977"/>
        </w:tabs>
        <w:ind w:left="2552" w:hanging="2552"/>
      </w:pPr>
      <w:r>
        <w:tab/>
      </w:r>
      <w:r>
        <w:rPr>
          <w:b/>
        </w:rPr>
        <w:t>Q</w:t>
      </w:r>
      <w:r>
        <w:t xml:space="preserve"> =</w:t>
      </w:r>
      <w:r>
        <w:tab/>
        <w:t>the discharge charge calculated in accordance with item 26;</w:t>
      </w:r>
    </w:p>
    <w:p>
      <w:pPr>
        <w:pStyle w:val="yMiscellaneousBody"/>
        <w:tabs>
          <w:tab w:val="left" w:pos="1985"/>
          <w:tab w:val="left" w:pos="2977"/>
        </w:tabs>
        <w:ind w:left="2552" w:hanging="2552"/>
      </w:pPr>
      <w:r>
        <w:tab/>
      </w:r>
      <w:r>
        <w:rPr>
          <w:b/>
        </w:rPr>
        <w:t>R</w:t>
      </w:r>
      <w:r>
        <w:t xml:space="preserve"> =</w:t>
      </w:r>
      <w:r>
        <w:tab/>
        <w:t>the maximum charge calculated in accordance with item 28;</w:t>
      </w:r>
    </w:p>
    <w:p>
      <w:pPr>
        <w:pStyle w:val="yMiscellaneousBody"/>
        <w:tabs>
          <w:tab w:val="left" w:pos="1985"/>
          <w:tab w:val="left" w:pos="2977"/>
        </w:tabs>
        <w:ind w:left="2552" w:hanging="2552"/>
      </w:pPr>
      <w:r>
        <w:tab/>
      </w:r>
      <w:r>
        <w:rPr>
          <w:b/>
        </w:rPr>
        <w:t>N</w:t>
      </w:r>
      <w:r>
        <w:t xml:space="preserve"> =</w:t>
      </w:r>
      <w:r>
        <w:tab/>
        <w:t>the discharge volume for the current discharge year;</w:t>
      </w:r>
    </w:p>
    <w:p>
      <w:pPr>
        <w:pStyle w:val="yMiscellaneousBody"/>
        <w:tabs>
          <w:tab w:val="left" w:pos="1985"/>
          <w:tab w:val="left" w:pos="2977"/>
        </w:tabs>
        <w:ind w:left="2552" w:hanging="2552"/>
      </w:pPr>
      <w:r>
        <w:tab/>
      </w:r>
      <w:r>
        <w:rPr>
          <w:b/>
        </w:rPr>
        <w:t>W</w:t>
      </w:r>
      <w:r>
        <w:t xml:space="preserve"> =</w:t>
      </w:r>
      <w:r>
        <w:tab/>
        <w:t>the discharge volume for the most recently completed discharge year;</w:t>
      </w:r>
    </w:p>
    <w:p>
      <w:pPr>
        <w:pStyle w:val="yMiscellaneousBody"/>
        <w:tabs>
          <w:tab w:val="left" w:pos="1985"/>
          <w:tab w:val="left" w:pos="2977"/>
        </w:tabs>
        <w:ind w:left="2552" w:hanging="2552"/>
      </w:pPr>
      <w:r>
        <w:tab/>
      </w:r>
      <w:r>
        <w:rPr>
          <w:b/>
        </w:rPr>
        <w:t>I</w:t>
      </w:r>
      <w:r>
        <w:t xml:space="preserve"> =</w:t>
      </w:r>
      <w:r>
        <w:tab/>
        <w:t>$3.0079.</w:t>
      </w:r>
    </w:p>
    <w:p>
      <w:pPr>
        <w:pStyle w:val="yHeading5"/>
      </w:pPr>
      <w:bookmarkStart w:id="190" w:name="_Toc398816556"/>
      <w:r>
        <w:rPr>
          <w:rStyle w:val="CharSClsNo"/>
        </w:rPr>
        <w:t>23</w:t>
      </w:r>
      <w:r>
        <w:t>.</w:t>
      </w:r>
      <w:r>
        <w:tab/>
        <w:t>Non</w:t>
      </w:r>
      <w:r>
        <w:noBreakHyphen/>
        <w:t>metropolitan nursing home</w:t>
      </w:r>
      <w:bookmarkEnd w:id="190"/>
    </w:p>
    <w:p>
      <w:pPr>
        <w:pStyle w:val="yMiscellaneousBody"/>
        <w:tabs>
          <w:tab w:val="left" w:pos="284"/>
        </w:tabs>
        <w:ind w:left="879" w:right="-2" w:hanging="879"/>
      </w:pPr>
      <w:r>
        <w:tab/>
      </w:r>
      <w:r>
        <w:tab/>
        <w:t>In respect of a nursing home in the non</w:t>
      </w:r>
      <w:r>
        <w:noBreakHyphen/>
        <w:t>metropolitan area, other than a nursing home that is, or is part of, an aged home, the charge is —</w:t>
      </w:r>
    </w:p>
    <w:p>
      <w:pPr>
        <w:pStyle w:val="yMiscellaneousBody"/>
        <w:tabs>
          <w:tab w:val="left" w:pos="851"/>
        </w:tabs>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ind w:left="879" w:hanging="879"/>
      </w:pPr>
      <w:r>
        <w:tab/>
        <w:t xml:space="preserve">then </w:t>
      </w:r>
      <w:r>
        <w:rPr>
          <w:b/>
        </w:rPr>
        <w:t>T</w:t>
      </w:r>
      <w:r>
        <w:t xml:space="preserve"> + </w:t>
      </w:r>
      <w:r>
        <w:rPr>
          <w:b/>
        </w:rPr>
        <w:t>Q</w:t>
      </w:r>
    </w:p>
    <w:p>
      <w:pPr>
        <w:pStyle w:val="yMiscellaneousBody"/>
        <w:tabs>
          <w:tab w:val="left" w:pos="851"/>
        </w:tabs>
        <w:ind w:left="879" w:hanging="879"/>
      </w:pPr>
      <w:r>
        <w:tab/>
        <w:t>or if (</w:t>
      </w:r>
      <w:r>
        <w:rPr>
          <w:b/>
        </w:rPr>
        <w:t>T</w:t>
      </w:r>
      <w:r>
        <w:t xml:space="preserve"> + </w:t>
      </w:r>
      <w:r>
        <w:rPr>
          <w:b/>
        </w:rPr>
        <w:t>Q</w:t>
      </w:r>
      <w:r>
        <w:t xml:space="preserve">) &gt; </w:t>
      </w:r>
      <w:r>
        <w:rPr>
          <w:b/>
        </w:rPr>
        <w:t>R</w:t>
      </w:r>
      <w:r>
        <w:t>,</w:t>
      </w:r>
    </w:p>
    <w:p>
      <w:pPr>
        <w:pStyle w:val="yMiscellaneousBody"/>
        <w:tabs>
          <w:tab w:val="left" w:pos="851"/>
        </w:tabs>
        <w:ind w:left="879" w:hanging="879"/>
      </w:pPr>
      <w:r>
        <w:tab/>
        <w:t xml:space="preserve">then </w:t>
      </w:r>
      <w:r>
        <w:rPr>
          <w:b/>
        </w:rPr>
        <w:t>R</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2552" w:hanging="2552"/>
      </w:pPr>
      <w:r>
        <w:tab/>
      </w:r>
      <w:r>
        <w:rPr>
          <w:b/>
        </w:rPr>
        <w:t>U</w:t>
      </w:r>
      <w:r>
        <w:t xml:space="preserve"> =</w:t>
      </w:r>
      <w:r>
        <w:tab/>
        <w:t>the number of beds in the nursing home;</w:t>
      </w:r>
    </w:p>
    <w:p>
      <w:pPr>
        <w:pStyle w:val="yMiscellaneousBody"/>
        <w:tabs>
          <w:tab w:val="left" w:pos="1134"/>
          <w:tab w:val="left" w:pos="1701"/>
        </w:tabs>
        <w:ind w:left="2552" w:hanging="2552"/>
      </w:pPr>
      <w:r>
        <w:tab/>
      </w:r>
      <w:r>
        <w:rPr>
          <w:b/>
        </w:rPr>
        <w:t>V</w:t>
      </w:r>
      <w:r>
        <w:t xml:space="preserve"> =</w:t>
      </w:r>
      <w:r>
        <w:tab/>
        <w:t>$148.09.</w:t>
      </w:r>
    </w:p>
    <w:p>
      <w:pPr>
        <w:pStyle w:val="yHeading5"/>
      </w:pPr>
      <w:bookmarkStart w:id="191" w:name="_Toc398816557"/>
      <w:r>
        <w:rPr>
          <w:rStyle w:val="CharSClsNo"/>
        </w:rPr>
        <w:t>24</w:t>
      </w:r>
      <w:r>
        <w:t>.</w:t>
      </w:r>
      <w:r>
        <w:tab/>
        <w:t>Certain non</w:t>
      </w:r>
      <w:r>
        <w:noBreakHyphen/>
        <w:t>metropolitan strata</w:t>
      </w:r>
      <w:r>
        <w:noBreakHyphen/>
        <w:t>titled units</w:t>
      </w:r>
      <w:bookmarkEnd w:id="191"/>
    </w:p>
    <w:p>
      <w:pPr>
        <w:pStyle w:val="yMiscellaneousBody"/>
        <w:tabs>
          <w:tab w:val="left" w:pos="284"/>
        </w:tabs>
        <w:ind w:left="879" w:right="-2" w:hanging="879"/>
      </w:pPr>
      <w:r>
        <w:tab/>
      </w:r>
      <w:r>
        <w:tab/>
        <w:t>In respect of land in the non</w:t>
      </w:r>
      <w:r>
        <w:noBreakHyphen/>
        <w:t xml:space="preserve">metropolitan area that — </w:t>
      </w:r>
    </w:p>
    <w:p>
      <w:pPr>
        <w:pStyle w:val="yMiscellaneousBody"/>
        <w:tabs>
          <w:tab w:val="left" w:pos="1134"/>
        </w:tabs>
        <w:spacing w:before="80"/>
        <w:ind w:left="1560" w:right="-2" w:hanging="1701"/>
      </w:pPr>
      <w:r>
        <w:tab/>
        <w:t>(a)</w:t>
      </w:r>
      <w:r>
        <w:tab/>
        <w:t>is contained in a lot; and</w:t>
      </w:r>
    </w:p>
    <w:p>
      <w:pPr>
        <w:pStyle w:val="yMiscellaneousBody"/>
        <w:tabs>
          <w:tab w:val="left" w:pos="1134"/>
        </w:tabs>
        <w:spacing w:before="80"/>
        <w:ind w:left="1560" w:right="-2" w:hanging="1701"/>
      </w:pPr>
      <w:r>
        <w:tab/>
        <w:t>(b)</w:t>
      </w:r>
      <w:r>
        <w:tab/>
        <w:t>is classified as non</w:t>
      </w:r>
      <w:r>
        <w:noBreakHyphen/>
        <w:t>residential; and</w:t>
      </w:r>
    </w:p>
    <w:p>
      <w:pPr>
        <w:pStyle w:val="yMiscellaneousBody"/>
        <w:tabs>
          <w:tab w:val="left" w:pos="1134"/>
        </w:tabs>
        <w:spacing w:before="80"/>
        <w:ind w:left="1560" w:right="-2" w:hanging="1701"/>
      </w:pPr>
      <w:r>
        <w:tab/>
        <w:t>(c)</w:t>
      </w:r>
      <w:r>
        <w:tab/>
        <w:t>is not covered by item 5 or 6; and</w:t>
      </w:r>
    </w:p>
    <w:p>
      <w:pPr>
        <w:pStyle w:val="yMiscellaneousBody"/>
        <w:tabs>
          <w:tab w:val="left" w:pos="1134"/>
        </w:tabs>
        <w:spacing w:before="80"/>
        <w:ind w:left="1560" w:right="-2" w:hanging="1701"/>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spacing w:before="80"/>
        <w:ind w:left="1560" w:right="-2" w:hanging="1701"/>
      </w:pPr>
      <w:r>
        <w:tab/>
        <w:t>(e)</w:t>
      </w:r>
      <w:r>
        <w:tab/>
        <w:t>the number of major fixtures shared by all units on the relevant strata plan is less than the number of those units,</w:t>
      </w:r>
    </w:p>
    <w:p>
      <w:pPr>
        <w:pStyle w:val="yMiscellaneousBody"/>
        <w:tabs>
          <w:tab w:val="left" w:pos="284"/>
        </w:tabs>
        <w:ind w:left="879" w:right="-2" w:hanging="879"/>
      </w:pPr>
      <w:r>
        <w:tab/>
      </w:r>
      <w:r>
        <w:tab/>
        <w:t>the charge is —</w:t>
      </w:r>
    </w:p>
    <w:p>
      <w:pPr>
        <w:pStyle w:val="yMiscellaneousBody"/>
        <w:tabs>
          <w:tab w:val="left" w:pos="851"/>
        </w:tabs>
        <w:ind w:left="879" w:hanging="879"/>
      </w:pPr>
      <w:r>
        <w:tab/>
      </w:r>
      <w:r>
        <w:rPr>
          <w:b/>
        </w:rPr>
        <w:t>T</w:t>
      </w:r>
      <w:r>
        <w:t xml:space="preserve"> + </w:t>
      </w:r>
      <w:r>
        <w:rPr>
          <w:b/>
        </w:rPr>
        <w:t>Q</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T</w:t>
      </w:r>
      <w:r>
        <w:t xml:space="preserve"> =</w:t>
      </w:r>
      <w:r>
        <w:tab/>
        <w:t>$508.77;</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pPr>
      <w:bookmarkStart w:id="192" w:name="_Toc398816558"/>
      <w:r>
        <w:t>Subdivision 5</w:t>
      </w:r>
      <w:r>
        <w:rPr>
          <w:b w:val="0"/>
        </w:rPr>
        <w:t> — </w:t>
      </w:r>
      <w:r>
        <w:t>Calculation of certain factors for the purposes of Subdivision 4</w:t>
      </w:r>
      <w:bookmarkEnd w:id="192"/>
    </w:p>
    <w:p>
      <w:pPr>
        <w:pStyle w:val="yHeading5"/>
      </w:pPr>
      <w:bookmarkStart w:id="193" w:name="_Toc398816559"/>
      <w:r>
        <w:rPr>
          <w:rStyle w:val="CharSClsNo"/>
        </w:rPr>
        <w:t>25</w:t>
      </w:r>
      <w:r>
        <w:t>.</w:t>
      </w:r>
      <w:r>
        <w:tab/>
        <w:t>Service charge</w:t>
      </w:r>
      <w:bookmarkEnd w:id="193"/>
    </w:p>
    <w:p>
      <w:pPr>
        <w:pStyle w:val="yMiscellaneousBody"/>
        <w:tabs>
          <w:tab w:val="left" w:pos="284"/>
        </w:tabs>
        <w:ind w:left="879" w:right="-2" w:hanging="879"/>
      </w:pPr>
      <w:r>
        <w:tab/>
      </w:r>
      <w:r>
        <w:tab/>
        <w:t>The service charge (</w:t>
      </w:r>
      <w:r>
        <w:rPr>
          <w:b/>
          <w:i/>
        </w:rPr>
        <w:t>P</w:t>
      </w:r>
      <w:r>
        <w:t>) is —</w:t>
      </w:r>
    </w:p>
    <w:p>
      <w:pPr>
        <w:pStyle w:val="yMiscellaneousBody"/>
        <w:tabs>
          <w:tab w:val="left" w:pos="879"/>
        </w:tabs>
        <w:ind w:left="879" w:hanging="879"/>
      </w:pP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851"/>
        </w:tabs>
        <w:ind w:left="879" w:hanging="879"/>
      </w:pPr>
      <w:r>
        <w:tab/>
        <w:t xml:space="preserve">then </w:t>
      </w:r>
      <w:r>
        <w:rPr>
          <w:b/>
        </w:rPr>
        <w:t>R</w:t>
      </w:r>
    </w:p>
    <w:p>
      <w:pPr>
        <w:pStyle w:val="yMiscellaneousBody"/>
        <w:tabs>
          <w:tab w:val="left" w:pos="879"/>
        </w:tabs>
        <w:ind w:left="879" w:hanging="879"/>
      </w:pPr>
      <w:r>
        <w:tab/>
        <w:t xml:space="preserve">or if </w:t>
      </w:r>
      <w:r>
        <w:rPr>
          <w:b/>
        </w:rPr>
        <w:t>R</w:t>
      </w:r>
      <w:r>
        <w:t xml:space="preserve"> &gt; (</w:t>
      </w:r>
      <w:r>
        <w:rPr>
          <w:b/>
        </w:rPr>
        <w:t>C</w:t>
      </w:r>
      <w:r>
        <w:t xml:space="preserve"> + </w:t>
      </w:r>
      <w:r>
        <w:rPr>
          <w:b/>
        </w:rPr>
        <w:t>D</w:t>
      </w:r>
      <w:r>
        <w:t>),</w:t>
      </w:r>
    </w:p>
    <w:p>
      <w:pPr>
        <w:pStyle w:val="yMiscellaneousBody"/>
        <w:tabs>
          <w:tab w:val="left" w:pos="879"/>
        </w:tabs>
        <w:ind w:left="879" w:hanging="879"/>
      </w:pPr>
      <w:r>
        <w:tab/>
        <w:t xml:space="preserve">then </w:t>
      </w:r>
      <w:r>
        <w:rPr>
          <w:b/>
        </w:rPr>
        <w:t>C</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Pr>
          <w:p>
            <w:pPr>
              <w:pStyle w:val="yTableNAm"/>
              <w:jc w:val="center"/>
            </w:pPr>
            <w:r>
              <w:t>1</w:t>
            </w:r>
            <w:r>
              <w:rPr>
                <w:vertAlign w:val="superscript"/>
              </w:rPr>
              <w:t>st</w:t>
            </w:r>
            <w:r>
              <w:t xml:space="preserve"> fixture</w:t>
            </w:r>
          </w:p>
        </w:tc>
        <w:tc>
          <w:tcPr>
            <w:tcW w:w="2268" w:type="dxa"/>
          </w:tcPr>
          <w:p>
            <w:pPr>
              <w:pStyle w:val="yTableNAm"/>
              <w:jc w:val="center"/>
            </w:pPr>
            <w:r>
              <w:t>$818.43</w:t>
            </w:r>
          </w:p>
        </w:tc>
      </w:tr>
      <w:tr>
        <w:tc>
          <w:tcPr>
            <w:tcW w:w="2268" w:type="dxa"/>
          </w:tcPr>
          <w:p>
            <w:pPr>
              <w:pStyle w:val="yTableNAm"/>
              <w:jc w:val="center"/>
            </w:pPr>
            <w:r>
              <w:t>2</w:t>
            </w:r>
            <w:r>
              <w:rPr>
                <w:vertAlign w:val="superscript"/>
              </w:rPr>
              <w:t>nd</w:t>
            </w:r>
            <w:r>
              <w:t xml:space="preserve"> fixture</w:t>
            </w:r>
          </w:p>
        </w:tc>
        <w:tc>
          <w:tcPr>
            <w:tcW w:w="2268" w:type="dxa"/>
          </w:tcPr>
          <w:p>
            <w:pPr>
              <w:pStyle w:val="yTableNAm"/>
              <w:jc w:val="center"/>
            </w:pPr>
            <w:r>
              <w:t>$350.34</w:t>
            </w:r>
          </w:p>
        </w:tc>
      </w:tr>
      <w:tr>
        <w:tc>
          <w:tcPr>
            <w:tcW w:w="2268" w:type="dxa"/>
          </w:tcPr>
          <w:p>
            <w:pPr>
              <w:pStyle w:val="yTableNAm"/>
              <w:jc w:val="center"/>
            </w:pPr>
            <w:r>
              <w:t>3</w:t>
            </w:r>
            <w:r>
              <w:rPr>
                <w:vertAlign w:val="superscript"/>
              </w:rPr>
              <w:t>rd</w:t>
            </w:r>
            <w:r>
              <w:t xml:space="preserve"> fixture</w:t>
            </w:r>
          </w:p>
        </w:tc>
        <w:tc>
          <w:tcPr>
            <w:tcW w:w="2268" w:type="dxa"/>
          </w:tcPr>
          <w:p>
            <w:pPr>
              <w:pStyle w:val="yTableNAm"/>
              <w:jc w:val="center"/>
            </w:pPr>
            <w:r>
              <w:t>$467.86</w:t>
            </w:r>
          </w:p>
        </w:tc>
      </w:tr>
      <w:tr>
        <w:tc>
          <w:tcPr>
            <w:tcW w:w="2268" w:type="dxa"/>
            <w:tcBorders>
              <w:bottom w:val="single" w:sz="4" w:space="0" w:color="auto"/>
            </w:tcBorders>
          </w:tcPr>
          <w:p>
            <w:pPr>
              <w:pStyle w:val="yTableNAm"/>
              <w:jc w:val="center"/>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t>$508.77</w:t>
            </w:r>
          </w:p>
        </w:tc>
      </w:tr>
    </w:tbl>
    <w:p>
      <w:pPr>
        <w:pStyle w:val="yHeading5"/>
      </w:pPr>
      <w:bookmarkStart w:id="194" w:name="_Toc398816560"/>
      <w:r>
        <w:rPr>
          <w:rStyle w:val="CharSClsNo"/>
        </w:rPr>
        <w:t>26</w:t>
      </w:r>
      <w:r>
        <w:t>.</w:t>
      </w:r>
      <w:r>
        <w:tab/>
        <w:t>Discharge charge</w:t>
      </w:r>
      <w:bookmarkEnd w:id="194"/>
    </w:p>
    <w:p>
      <w:pPr>
        <w:pStyle w:val="yMiscellaneousBody"/>
        <w:tabs>
          <w:tab w:val="left" w:pos="284"/>
        </w:tabs>
        <w:ind w:left="879" w:right="-2" w:hanging="879"/>
      </w:pPr>
      <w:r>
        <w:tab/>
      </w:r>
      <w:r>
        <w:tab/>
        <w:t>The discharge charge (</w:t>
      </w:r>
      <w:r>
        <w:rPr>
          <w:b/>
          <w:i/>
        </w:rPr>
        <w:t>Q</w:t>
      </w:r>
      <w:r>
        <w:t>) is —</w:t>
      </w:r>
    </w:p>
    <w:p>
      <w:pPr>
        <w:pStyle w:val="yMiscellaneousBody"/>
        <w:tabs>
          <w:tab w:val="left" w:pos="851"/>
        </w:tabs>
        <w:ind w:left="879" w:hanging="879"/>
      </w:pP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851"/>
        </w:tabs>
        <w:ind w:left="879" w:hanging="879"/>
      </w:pPr>
      <w:r>
        <w:tab/>
        <w:t>then nil</w:t>
      </w:r>
    </w:p>
    <w:p>
      <w:pPr>
        <w:pStyle w:val="yMiscellaneousBody"/>
        <w:tabs>
          <w:tab w:val="left" w:pos="851"/>
        </w:tabs>
        <w:ind w:left="879" w:hanging="879"/>
      </w:pPr>
      <w:r>
        <w:tab/>
        <w:t>or if (</w:t>
      </w:r>
      <w:r>
        <w:rPr>
          <w:b/>
        </w:rPr>
        <w:t>F</w:t>
      </w:r>
      <w:r>
        <w:t xml:space="preserve"> </w:t>
      </w:r>
      <w:r>
        <w:sym w:font="Symbol" w:char="F0B4"/>
      </w:r>
      <w:r>
        <w:t xml:space="preserve"> </w:t>
      </w:r>
      <w:r>
        <w:rPr>
          <w:b/>
        </w:rPr>
        <w:t>G</w:t>
      </w:r>
      <w:r>
        <w:t xml:space="preserve">) &gt; </w:t>
      </w:r>
      <w:r>
        <w:rPr>
          <w:b/>
        </w:rPr>
        <w:t>H</w:t>
      </w:r>
      <w:r>
        <w:t xml:space="preserve">, </w:t>
      </w:r>
    </w:p>
    <w:p>
      <w:pPr>
        <w:pStyle w:val="yMiscellaneousBody"/>
        <w:tabs>
          <w:tab w:val="left" w:pos="851"/>
        </w:tabs>
        <w:ind w:left="879" w:hanging="879"/>
        <w:rPr>
          <w:b/>
        </w:rPr>
      </w:pP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27;</w:t>
      </w:r>
    </w:p>
    <w:p>
      <w:pPr>
        <w:pStyle w:val="yMiscellaneousBody"/>
        <w:tabs>
          <w:tab w:val="left" w:pos="1134"/>
          <w:tab w:val="left" w:pos="1701"/>
        </w:tabs>
        <w:ind w:left="1701" w:hanging="1701"/>
      </w:pPr>
      <w:r>
        <w:tab/>
      </w:r>
      <w:r>
        <w:rPr>
          <w:b/>
        </w:rPr>
        <w:t>I</w:t>
      </w:r>
      <w:r>
        <w:t xml:space="preserve"> =</w:t>
      </w:r>
      <w:r>
        <w:tab/>
        <w:t>$3.0079,</w:t>
      </w:r>
    </w:p>
    <w:p>
      <w:pPr>
        <w:pStyle w:val="yMiscellaneousBody"/>
        <w:tabs>
          <w:tab w:val="left" w:pos="851"/>
          <w:tab w:val="left" w:pos="1701"/>
        </w:tabs>
        <w:ind w:left="1701" w:hanging="1701"/>
      </w:pP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195" w:name="_Toc398816561"/>
      <w:r>
        <w:rPr>
          <w:rStyle w:val="CharSClsNo"/>
        </w:rPr>
        <w:t>27</w:t>
      </w:r>
      <w:r>
        <w:t>.</w:t>
      </w:r>
      <w:r>
        <w:tab/>
        <w:t>Discharge allowance</w:t>
      </w:r>
      <w:bookmarkEnd w:id="195"/>
    </w:p>
    <w:p>
      <w:pPr>
        <w:pStyle w:val="yMiscellaneousBody"/>
        <w:tabs>
          <w:tab w:val="left" w:pos="284"/>
        </w:tabs>
        <w:ind w:left="879" w:right="-2" w:hanging="879"/>
      </w:pPr>
      <w:r>
        <w:tab/>
        <w:t>(1)</w:t>
      </w:r>
      <w:r>
        <w:tab/>
        <w:t>The discharge allowance for the current discharge year is —</w:t>
      </w:r>
    </w:p>
    <w:p>
      <w:pPr>
        <w:pStyle w:val="yMiscellaneousBody"/>
        <w:tabs>
          <w:tab w:val="left" w:pos="1134"/>
        </w:tabs>
        <w:spacing w:before="80"/>
        <w:ind w:left="1560" w:right="-2" w:hanging="1701"/>
      </w:pPr>
      <w:r>
        <w:tab/>
        <w:t>(a)</w:t>
      </w:r>
      <w:r>
        <w:tab/>
        <w:t>for land to which item 21 applies that is not covered by paragraph (e) — 200 kL;</w:t>
      </w:r>
    </w:p>
    <w:p>
      <w:pPr>
        <w:pStyle w:val="yMiscellaneousBody"/>
        <w:tabs>
          <w:tab w:val="left" w:pos="1134"/>
        </w:tabs>
        <w:spacing w:before="80"/>
        <w:ind w:left="1560" w:right="-2" w:hanging="1701"/>
      </w:pPr>
      <w:r>
        <w:tab/>
        <w:t>(b)</w:t>
      </w:r>
      <w:r>
        <w:tab/>
        <w:t>for land held by a government trading organisation or by a public authority that holds non</w:t>
      </w:r>
      <w:r>
        <w:noBreakHyphen/>
        <w:t>commercial government property — 200 kL;</w:t>
      </w:r>
    </w:p>
    <w:p>
      <w:pPr>
        <w:pStyle w:val="yMiscellaneousBody"/>
        <w:tabs>
          <w:tab w:val="left" w:pos="1134"/>
        </w:tabs>
        <w:spacing w:before="80"/>
        <w:ind w:left="1560" w:right="-2" w:hanging="1701"/>
      </w:pPr>
      <w:r>
        <w:tab/>
        <w:t>(c)</w:t>
      </w:r>
      <w:r>
        <w:tab/>
        <w:t>for a caravan park referred to in item 22 — the amount (in kL) calculated in accordance with the formula in sub</w:t>
      </w:r>
      <w:r>
        <w:noBreakHyphen/>
        <w:t>item (2);</w:t>
      </w:r>
    </w:p>
    <w:p>
      <w:pPr>
        <w:pStyle w:val="yMiscellaneousBody"/>
        <w:tabs>
          <w:tab w:val="left" w:pos="1134"/>
        </w:tabs>
        <w:spacing w:before="80"/>
        <w:ind w:left="1560" w:right="-2" w:hanging="1701"/>
      </w:pPr>
      <w:r>
        <w:tab/>
        <w:t>(d)</w:t>
      </w:r>
      <w:r>
        <w:tab/>
        <w:t>for a nursing home referred to in item 23 — 75 kL per bed;</w:t>
      </w:r>
    </w:p>
    <w:p>
      <w:pPr>
        <w:pStyle w:val="yMiscellaneousBody"/>
        <w:tabs>
          <w:tab w:val="left" w:pos="1134"/>
        </w:tabs>
        <w:spacing w:before="80"/>
        <w:ind w:left="1560" w:right="-2" w:hanging="1701"/>
      </w:pPr>
      <w:r>
        <w:tab/>
        <w:t>(e)</w:t>
      </w:r>
      <w:r>
        <w:tab/>
        <w:t>for properties that share a metered property water supply connection — 200 kL for each property.</w:t>
      </w:r>
    </w:p>
    <w:p>
      <w:pPr>
        <w:pStyle w:val="yMiscellaneousBody"/>
        <w:tabs>
          <w:tab w:val="left" w:pos="284"/>
        </w:tabs>
        <w:ind w:left="879" w:hanging="879"/>
      </w:pPr>
      <w:r>
        <w:tab/>
        <w:t>(2)</w:t>
      </w:r>
      <w:r>
        <w:tab/>
        <w:t>The formula for the purposes of sub</w:t>
      </w:r>
      <w:r>
        <w:noBreakHyphen/>
        <w:t>item (1)(c) is —</w:t>
      </w:r>
    </w:p>
    <w:p>
      <w:pPr>
        <w:pStyle w:val="yMiscellaneousBody"/>
        <w:tabs>
          <w:tab w:val="left" w:pos="856"/>
        </w:tabs>
        <w:ind w:left="879" w:hanging="879"/>
      </w:pPr>
      <w:r>
        <w:rPr>
          <w:b/>
        </w:rPr>
        <w:tab/>
        <w:t>L</w:t>
      </w:r>
      <w:r>
        <w:t xml:space="preserve"> + </w:t>
      </w:r>
      <w:r>
        <w:rPr>
          <w:b/>
        </w:rPr>
        <w:t>M</w:t>
      </w:r>
    </w:p>
    <w:p>
      <w:pPr>
        <w:pStyle w:val="yMiscellaneousBody"/>
        <w:tabs>
          <w:tab w:val="left" w:pos="856"/>
        </w:tabs>
        <w:ind w:left="879" w:hanging="879"/>
      </w:pPr>
      <w:r>
        <w:tab/>
        <w:t xml:space="preserve">where — </w:t>
      </w:r>
    </w:p>
    <w:p>
      <w:pPr>
        <w:pStyle w:val="yMiscellaneousBody"/>
        <w:tabs>
          <w:tab w:val="left" w:pos="1134"/>
          <w:tab w:val="left" w:pos="1701"/>
        </w:tabs>
        <w:ind w:left="1701" w:hanging="1701"/>
      </w:pPr>
      <w:r>
        <w:tab/>
      </w:r>
      <w:r>
        <w:rPr>
          <w:b/>
        </w:rPr>
        <w:t>L</w:t>
      </w:r>
      <w:r>
        <w:t xml:space="preserve"> =</w:t>
      </w:r>
      <w:r>
        <w:tab/>
        <w:t>200;</w:t>
      </w:r>
    </w:p>
    <w:p>
      <w:pPr>
        <w:pStyle w:val="yMiscellaneousBody"/>
        <w:tabs>
          <w:tab w:val="left" w:pos="1134"/>
          <w:tab w:val="left" w:pos="1701"/>
        </w:tabs>
        <w:ind w:left="1701" w:hanging="1701"/>
      </w:pPr>
      <w:r>
        <w:tab/>
      </w:r>
      <w:r>
        <w:rPr>
          <w:b/>
        </w:rPr>
        <w:t>M</w:t>
      </w:r>
      <w:r>
        <w:t xml:space="preserve"> =</w:t>
      </w:r>
      <w:r>
        <w:tab/>
        <w:t>75 kL for each long</w:t>
      </w:r>
      <w:r>
        <w:noBreakHyphen/>
        <w:t>term residential caravan bay.</w:t>
      </w:r>
    </w:p>
    <w:p>
      <w:pPr>
        <w:pStyle w:val="yHeading5"/>
      </w:pPr>
      <w:bookmarkStart w:id="196" w:name="_Toc398816562"/>
      <w:r>
        <w:rPr>
          <w:rStyle w:val="CharSClsNo"/>
        </w:rPr>
        <w:t>28</w:t>
      </w:r>
      <w:r>
        <w:t>.</w:t>
      </w:r>
      <w:r>
        <w:tab/>
        <w:t>Maximum charge</w:t>
      </w:r>
      <w:bookmarkEnd w:id="196"/>
    </w:p>
    <w:p>
      <w:pPr>
        <w:pStyle w:val="yMiscellaneousBody"/>
        <w:tabs>
          <w:tab w:val="left" w:pos="284"/>
        </w:tabs>
        <w:ind w:left="879" w:right="-2" w:hanging="879"/>
      </w:pPr>
      <w:r>
        <w:tab/>
      </w:r>
      <w:r>
        <w:tab/>
        <w:t>The maximum charge (</w:t>
      </w:r>
      <w:r>
        <w:rPr>
          <w:b/>
          <w:i/>
        </w:rPr>
        <w:t>R</w:t>
      </w:r>
      <w:r>
        <w:t>) is —</w:t>
      </w:r>
    </w:p>
    <w:p>
      <w:pPr>
        <w:pStyle w:val="yMiscellaneousBody"/>
        <w:tabs>
          <w:tab w:val="left" w:pos="851"/>
        </w:tabs>
        <w:ind w:left="879" w:hanging="879"/>
      </w:pP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851"/>
        </w:tabs>
        <w:ind w:left="879" w:hanging="879"/>
      </w:pPr>
      <w:r>
        <w:tab/>
        <w:t xml:space="preserve">then — </w:t>
      </w:r>
    </w:p>
    <w:p>
      <w:pPr>
        <w:pStyle w:val="yMiscellaneousBody"/>
        <w:ind w:left="1134" w:hanging="1134"/>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ind w:left="1134" w:hanging="1134"/>
      </w:pPr>
      <w:r>
        <w:tab/>
        <w:t>then (</w:t>
      </w:r>
      <w:r>
        <w:rPr>
          <w:b/>
        </w:rPr>
        <w:t>A</w:t>
      </w:r>
      <w:r>
        <w:t xml:space="preserve"> </w:t>
      </w:r>
      <w:r>
        <w:sym w:font="Symbol" w:char="F0B4"/>
      </w:r>
      <w:r>
        <w:t xml:space="preserve"> </w:t>
      </w:r>
      <w:r>
        <w:rPr>
          <w:b/>
        </w:rPr>
        <w:t>S</w:t>
      </w:r>
      <w:r>
        <w:t>)</w:t>
      </w:r>
    </w:p>
    <w:p>
      <w:pPr>
        <w:pStyle w:val="yMiscellaneousBody"/>
        <w:ind w:left="1134" w:hanging="1134"/>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ind w:left="1134" w:hanging="1134"/>
      </w:pPr>
      <w:r>
        <w:tab/>
        <w:t>then (</w:t>
      </w:r>
      <w:r>
        <w:rPr>
          <w:b/>
        </w:rPr>
        <w:t>A</w:t>
      </w:r>
      <w:r>
        <w:t xml:space="preserve"> + </w:t>
      </w:r>
      <w:r>
        <w:rPr>
          <w:b/>
        </w:rPr>
        <w:t>B</w:t>
      </w:r>
      <w:r>
        <w:t>)</w:t>
      </w:r>
    </w:p>
    <w:p>
      <w:pPr>
        <w:pStyle w:val="yMiscellaneousBody"/>
        <w:ind w:left="851" w:hanging="993"/>
      </w:pP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ind w:left="851" w:hanging="993"/>
      </w:pPr>
      <w:r>
        <w:tab/>
        <w:t xml:space="preserve">then </w:t>
      </w:r>
      <w:r>
        <w:rPr>
          <w:b/>
        </w:rPr>
        <w:t>P</w:t>
      </w:r>
      <w:r>
        <w:t xml:space="preserve"> + </w:t>
      </w:r>
      <w:r>
        <w:rPr>
          <w:b/>
        </w:rPr>
        <w:t>Q</w:t>
      </w:r>
    </w:p>
    <w:p>
      <w:pPr>
        <w:pStyle w:val="yMiscellaneousBody"/>
        <w:ind w:left="851" w:hanging="993"/>
      </w:pPr>
      <w:r>
        <w:tab/>
        <w:t xml:space="preserve">where — </w:t>
      </w:r>
    </w:p>
    <w:p>
      <w:pPr>
        <w:pStyle w:val="yMiscellaneousBody"/>
        <w:tabs>
          <w:tab w:val="left" w:pos="1134"/>
          <w:tab w:val="left" w:pos="1560"/>
        </w:tabs>
        <w:ind w:left="1560" w:hanging="1560"/>
      </w:pPr>
      <w:r>
        <w:tab/>
      </w:r>
      <w:r>
        <w:rPr>
          <w:b/>
        </w:rPr>
        <w:t>P</w:t>
      </w:r>
      <w:r>
        <w:t xml:space="preserve"> =</w:t>
      </w:r>
      <w:r>
        <w:tab/>
        <w:t>the service charge calculated in accordance with item 25;</w:t>
      </w:r>
    </w:p>
    <w:p>
      <w:pPr>
        <w:pStyle w:val="yMiscellaneousBody"/>
        <w:tabs>
          <w:tab w:val="left" w:pos="1134"/>
          <w:tab w:val="left" w:pos="1560"/>
        </w:tabs>
        <w:ind w:left="1560" w:hanging="1560"/>
      </w:pPr>
      <w:r>
        <w:tab/>
      </w:r>
      <w:r>
        <w:rPr>
          <w:b/>
        </w:rPr>
        <w:t>Q</w:t>
      </w:r>
      <w:r>
        <w:t xml:space="preserve"> =</w:t>
      </w:r>
      <w:r>
        <w:tab/>
        <w:t>the discharge charge calculated in accordance with item 26;</w:t>
      </w:r>
    </w:p>
    <w:p>
      <w:pPr>
        <w:pStyle w:val="yMiscellaneousBody"/>
        <w:tabs>
          <w:tab w:val="left" w:pos="1134"/>
          <w:tab w:val="left" w:pos="1560"/>
        </w:tabs>
        <w:ind w:left="1560" w:hanging="1560"/>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560"/>
        </w:tabs>
        <w:ind w:left="1560" w:hanging="1560"/>
      </w:pPr>
      <w:r>
        <w:tab/>
      </w:r>
      <w:r>
        <w:rPr>
          <w:b/>
        </w:rPr>
        <w:t>S</w:t>
      </w:r>
      <w:r>
        <w:t xml:space="preserve"> =</w:t>
      </w:r>
      <w:r>
        <w:tab/>
        <w:t>1.126;</w:t>
      </w:r>
    </w:p>
    <w:p>
      <w:pPr>
        <w:pStyle w:val="yMiscellaneousBody"/>
        <w:tabs>
          <w:tab w:val="left" w:pos="1134"/>
          <w:tab w:val="left" w:pos="1560"/>
        </w:tabs>
        <w:ind w:left="1560" w:hanging="1560"/>
      </w:pPr>
      <w:r>
        <w:tab/>
      </w:r>
      <w:r>
        <w:rPr>
          <w:b/>
        </w:rPr>
        <w:t>B</w:t>
      </w:r>
      <w:r>
        <w:t xml:space="preserve"> =</w:t>
      </w:r>
      <w:r>
        <w:tab/>
        <w:t>$166.67.</w:t>
      </w:r>
    </w:p>
    <w:p>
      <w:pPr>
        <w:pStyle w:val="yHeading3"/>
      </w:pPr>
      <w:bookmarkStart w:id="197" w:name="_Toc398816563"/>
      <w:r>
        <w:rPr>
          <w:rStyle w:val="CharSDivNo"/>
        </w:rPr>
        <w:t>Division 3</w:t>
      </w:r>
      <w:r>
        <w:t> — </w:t>
      </w:r>
      <w:r>
        <w:rPr>
          <w:rStyle w:val="CharSDivText"/>
        </w:rPr>
        <w:t>Discharge charges: trade waste and effluent</w:t>
      </w:r>
      <w:bookmarkEnd w:id="197"/>
    </w:p>
    <w:p>
      <w:pPr>
        <w:pStyle w:val="yHeading5"/>
      </w:pPr>
      <w:bookmarkStart w:id="198" w:name="_Toc398816564"/>
      <w:r>
        <w:rPr>
          <w:rStyle w:val="CharSClsNo"/>
        </w:rPr>
        <w:t>29</w:t>
      </w:r>
      <w:r>
        <w:t>.</w:t>
      </w:r>
      <w:r>
        <w:tab/>
        <w:t>Discharge charges for 2014/15 year and subsequent years</w:t>
      </w:r>
      <w:bookmarkEnd w:id="198"/>
    </w:p>
    <w:p>
      <w:pPr>
        <w:pStyle w:val="yMiscellaneousBody"/>
        <w:tabs>
          <w:tab w:val="left" w:pos="284"/>
        </w:tabs>
        <w:ind w:left="879" w:right="-2" w:hanging="879"/>
      </w:pPr>
      <w:r>
        <w:tab/>
      </w:r>
      <w:r>
        <w:tab/>
        <w:t>The charges set out in this Division apply for trade waste or effluent discharged in the 2014/15 financial year and each subsequent year.</w:t>
      </w:r>
    </w:p>
    <w:p>
      <w:pPr>
        <w:pStyle w:val="yHeading5"/>
      </w:pPr>
      <w:bookmarkStart w:id="199" w:name="_Toc398816565"/>
      <w:r>
        <w:rPr>
          <w:rStyle w:val="CharSClsNo"/>
        </w:rPr>
        <w:t>30</w:t>
      </w:r>
      <w:r>
        <w:t>.</w:t>
      </w:r>
      <w:r>
        <w:tab/>
        <w:t>Trade waste discharged into a sewer under an approval</w:t>
      </w:r>
      <w:bookmarkEnd w:id="199"/>
    </w:p>
    <w:p>
      <w:pPr>
        <w:pStyle w:val="yMiscellaneousBody"/>
        <w:tabs>
          <w:tab w:val="left" w:pos="284"/>
        </w:tabs>
        <w:ind w:left="879" w:right="-2" w:hanging="879"/>
      </w:pPr>
      <w:r>
        <w:tab/>
        <w:t>(1)</w:t>
      </w:r>
      <w:r>
        <w:tab/>
        <w:t xml:space="preserve">In this item — </w:t>
      </w:r>
    </w:p>
    <w:p>
      <w:pPr>
        <w:pStyle w:val="yMiscellaneousBody"/>
        <w:tabs>
          <w:tab w:val="left" w:pos="1134"/>
        </w:tabs>
        <w:spacing w:before="80"/>
        <w:ind w:left="1560" w:right="-2" w:hanging="1701"/>
      </w:pPr>
      <w:r>
        <w:tab/>
      </w:r>
      <w:r>
        <w:rPr>
          <w:rStyle w:val="CharDefText"/>
        </w:rPr>
        <w:t>B.O.D.</w:t>
      </w:r>
      <w:r>
        <w:t xml:space="preserve"> means biochemical oxygen demand;</w:t>
      </w:r>
    </w:p>
    <w:p>
      <w:pPr>
        <w:pStyle w:val="yMiscellaneousBody"/>
        <w:tabs>
          <w:tab w:val="left" w:pos="1134"/>
        </w:tabs>
        <w:spacing w:before="80"/>
        <w:ind w:left="1560" w:right="-2" w:hanging="1701"/>
      </w:pPr>
      <w:r>
        <w:tab/>
      </w:r>
      <w:r>
        <w:rPr>
          <w:rStyle w:val="CharDefText"/>
        </w:rPr>
        <w:t>c/kg</w:t>
      </w:r>
      <w:r>
        <w:t xml:space="preserve"> means cents per kilogram;</w:t>
      </w:r>
    </w:p>
    <w:p>
      <w:pPr>
        <w:pStyle w:val="yMiscellaneousBody"/>
        <w:tabs>
          <w:tab w:val="left" w:pos="1134"/>
        </w:tabs>
        <w:spacing w:before="80"/>
        <w:ind w:left="1560" w:right="-2" w:hanging="1701"/>
      </w:pPr>
      <w:r>
        <w:tab/>
      </w:r>
      <w:r>
        <w:rPr>
          <w:rStyle w:val="CharDefText"/>
        </w:rPr>
        <w:t>c/kL</w:t>
      </w:r>
      <w:r>
        <w:t xml:space="preserve"> means cents per kilolitre.</w:t>
      </w:r>
    </w:p>
    <w:p>
      <w:pPr>
        <w:pStyle w:val="yMiscellaneousBody"/>
        <w:tabs>
          <w:tab w:val="left" w:pos="284"/>
        </w:tabs>
        <w:ind w:left="879" w:right="-2" w:hanging="879"/>
      </w:pPr>
      <w:r>
        <w:tab/>
        <w:t>(2)</w:t>
      </w:r>
      <w:r>
        <w:tab/>
        <w:t xml:space="preserve">For </w:t>
      </w:r>
      <w:r>
        <w:rPr>
          <w:szCs w:val="22"/>
        </w:rPr>
        <w:t>trade waste discharged into a sewer of the Water Corporation under an approval of the Water Corporation, the charge is —</w:t>
      </w:r>
    </w:p>
    <w:p>
      <w:pPr>
        <w:pStyle w:val="yMiscellaneousBody"/>
        <w:tabs>
          <w:tab w:val="left" w:pos="1134"/>
          <w:tab w:val="left" w:pos="1560"/>
          <w:tab w:val="right" w:leader="dot" w:pos="6804"/>
        </w:tabs>
        <w:spacing w:before="80"/>
        <w:ind w:left="1559" w:right="1983" w:hanging="1559"/>
      </w:pPr>
      <w:r>
        <w:tab/>
        <w:t>(a)</w:t>
      </w:r>
      <w:r>
        <w:tab/>
        <w:t xml:space="preserve">for volume </w:t>
      </w:r>
      <w:r>
        <w:tab/>
        <w:t xml:space="preserve"> 139.0 c/kL</w:t>
      </w:r>
    </w:p>
    <w:p>
      <w:pPr>
        <w:pStyle w:val="yMiscellaneousBody"/>
        <w:tabs>
          <w:tab w:val="left" w:pos="1134"/>
          <w:tab w:val="left" w:pos="1560"/>
          <w:tab w:val="right" w:leader="dot" w:pos="6804"/>
        </w:tabs>
        <w:spacing w:before="80"/>
        <w:ind w:left="1559" w:right="1983" w:hanging="1559"/>
      </w:pPr>
      <w:r>
        <w:tab/>
        <w:t>(b)</w:t>
      </w:r>
      <w:r>
        <w:tab/>
        <w:t>for B.O.D. with a concentration of —</w:t>
      </w:r>
    </w:p>
    <w:p>
      <w:pPr>
        <w:pStyle w:val="yMiscellaneousBody"/>
        <w:tabs>
          <w:tab w:val="left" w:pos="2127"/>
          <w:tab w:val="right" w:leader="dot" w:pos="6804"/>
        </w:tabs>
        <w:spacing w:before="80"/>
        <w:ind w:left="1701" w:right="1983" w:hanging="1701"/>
      </w:pPr>
      <w:r>
        <w:tab/>
        <w:t>(i)</w:t>
      </w:r>
      <w:r>
        <w:tab/>
        <w:t xml:space="preserve">up to 5 kg/kL </w:t>
      </w:r>
      <w:r>
        <w:tab/>
        <w:t xml:space="preserve"> 117.0 c/kg</w:t>
      </w:r>
    </w:p>
    <w:p>
      <w:pPr>
        <w:pStyle w:val="yMiscellaneousBody"/>
        <w:tabs>
          <w:tab w:val="left" w:pos="2127"/>
          <w:tab w:val="right" w:leader="dot" w:pos="6804"/>
        </w:tabs>
        <w:spacing w:before="80"/>
        <w:ind w:left="1701" w:right="1983" w:hanging="1701"/>
      </w:pPr>
      <w:r>
        <w:tab/>
        <w:t>(ii)</w:t>
      </w:r>
      <w:r>
        <w:tab/>
        <w:t xml:space="preserve">over 5 kg/kL </w:t>
      </w:r>
      <w:r>
        <w:tab/>
        <w:t xml:space="preserve"> 237.0 c/kg</w:t>
      </w:r>
    </w:p>
    <w:p>
      <w:pPr>
        <w:pStyle w:val="yMiscellaneousBody"/>
        <w:tabs>
          <w:tab w:val="left" w:pos="1134"/>
          <w:tab w:val="left" w:pos="1560"/>
          <w:tab w:val="right" w:leader="dot" w:pos="6804"/>
        </w:tabs>
        <w:spacing w:before="80"/>
        <w:ind w:left="1559" w:right="1983" w:hanging="1559"/>
      </w:pPr>
      <w:r>
        <w:tab/>
        <w:t>(c)</w:t>
      </w:r>
      <w:r>
        <w:tab/>
        <w:t>for suspended solids with a concentration of —</w:t>
      </w:r>
    </w:p>
    <w:p>
      <w:pPr>
        <w:pStyle w:val="yMiscellaneousBody"/>
        <w:tabs>
          <w:tab w:val="left" w:pos="2127"/>
          <w:tab w:val="right" w:leader="dot" w:pos="6804"/>
        </w:tabs>
        <w:spacing w:before="80"/>
        <w:ind w:left="1701" w:right="1983" w:hanging="1701"/>
      </w:pPr>
      <w:r>
        <w:tab/>
        <w:t>(i)</w:t>
      </w:r>
      <w:r>
        <w:tab/>
        <w:t xml:space="preserve">up to 2 kg/kL </w:t>
      </w:r>
      <w:r>
        <w:tab/>
        <w:t xml:space="preserve"> 158.0 c/kg</w:t>
      </w:r>
    </w:p>
    <w:p>
      <w:pPr>
        <w:pStyle w:val="yMiscellaneousBody"/>
        <w:tabs>
          <w:tab w:val="left" w:pos="2127"/>
          <w:tab w:val="right" w:leader="dot" w:pos="6804"/>
        </w:tabs>
        <w:spacing w:before="80"/>
        <w:ind w:left="1701" w:right="1983" w:hanging="1701"/>
      </w:pPr>
      <w:r>
        <w:tab/>
        <w:t>(ii)</w:t>
      </w:r>
      <w:r>
        <w:tab/>
        <w:t xml:space="preserve">over 2 kg/kL </w:t>
      </w:r>
      <w:r>
        <w:tab/>
        <w:t xml:space="preserve"> 318.0 c/kg</w:t>
      </w:r>
    </w:p>
    <w:p>
      <w:pPr>
        <w:pStyle w:val="yMiscellaneousBody"/>
        <w:tabs>
          <w:tab w:val="left" w:pos="1134"/>
          <w:tab w:val="left" w:pos="1560"/>
          <w:tab w:val="right" w:leader="dot" w:pos="6804"/>
        </w:tabs>
        <w:spacing w:before="80"/>
        <w:ind w:left="1559" w:right="1983" w:hanging="1559"/>
      </w:pPr>
      <w:r>
        <w:tab/>
        <w:t>(d)</w:t>
      </w:r>
      <w:r>
        <w:tab/>
        <w:t>for chemical oxygen demand with a concentration of —</w:t>
      </w:r>
    </w:p>
    <w:p>
      <w:pPr>
        <w:pStyle w:val="yMiscellaneousBody"/>
        <w:tabs>
          <w:tab w:val="left" w:pos="2127"/>
          <w:tab w:val="right" w:leader="dot" w:pos="6804"/>
        </w:tabs>
        <w:spacing w:before="80"/>
        <w:ind w:left="1701" w:right="1983" w:hanging="1701"/>
      </w:pPr>
      <w:r>
        <w:tab/>
        <w:t>(i)</w:t>
      </w:r>
      <w:r>
        <w:tab/>
        <w:t xml:space="preserve">up to 10 kg/kL </w:t>
      </w:r>
      <w:r>
        <w:tab/>
        <w:t xml:space="preserve"> 47.0 c/kg</w:t>
      </w:r>
    </w:p>
    <w:p>
      <w:pPr>
        <w:pStyle w:val="yMiscellaneousBody"/>
        <w:tabs>
          <w:tab w:val="left" w:pos="2127"/>
          <w:tab w:val="right" w:leader="dot" w:pos="6804"/>
        </w:tabs>
        <w:spacing w:before="80"/>
        <w:ind w:left="1701" w:right="1983" w:hanging="1701"/>
      </w:pPr>
      <w:r>
        <w:tab/>
        <w:t>(ii)</w:t>
      </w:r>
      <w:r>
        <w:tab/>
        <w:t xml:space="preserve">over 10 kg/kL </w:t>
      </w:r>
      <w:r>
        <w:tab/>
        <w:t xml:space="preserve"> 95.0 c/kg</w:t>
      </w:r>
    </w:p>
    <w:p>
      <w:pPr>
        <w:pStyle w:val="yMiscellaneousBody"/>
        <w:tabs>
          <w:tab w:val="left" w:pos="1134"/>
          <w:tab w:val="left" w:pos="1560"/>
          <w:tab w:val="right" w:leader="dot" w:pos="6804"/>
        </w:tabs>
        <w:spacing w:before="80"/>
        <w:ind w:left="1559" w:right="1983" w:hanging="1559"/>
      </w:pPr>
      <w:r>
        <w:tab/>
        <w:t>(e)</w:t>
      </w:r>
      <w:r>
        <w:tab/>
        <w:t>for oil and grease with a concentration of —</w:t>
      </w:r>
    </w:p>
    <w:p>
      <w:pPr>
        <w:pStyle w:val="yMiscellaneousBody"/>
        <w:tabs>
          <w:tab w:val="left" w:pos="2127"/>
          <w:tab w:val="right" w:leader="dot" w:pos="6804"/>
        </w:tabs>
        <w:spacing w:before="80"/>
        <w:ind w:left="1701" w:right="1983" w:hanging="1701"/>
      </w:pPr>
      <w:r>
        <w:tab/>
        <w:t>(i)</w:t>
      </w:r>
      <w:r>
        <w:tab/>
        <w:t xml:space="preserve">up to 0.3 kg/kL </w:t>
      </w:r>
      <w:r>
        <w:tab/>
        <w:t xml:space="preserve"> 143.0 c/kg</w:t>
      </w:r>
    </w:p>
    <w:p>
      <w:pPr>
        <w:pStyle w:val="yMiscellaneousBody"/>
        <w:tabs>
          <w:tab w:val="left" w:pos="1701"/>
          <w:tab w:val="left" w:pos="2127"/>
          <w:tab w:val="right" w:leader="dot" w:pos="6804"/>
        </w:tabs>
        <w:spacing w:before="80"/>
        <w:ind w:left="2127" w:right="1983" w:hanging="2127"/>
      </w:pPr>
      <w:r>
        <w:tab/>
        <w:t>(ii)</w:t>
      </w:r>
      <w:r>
        <w:tab/>
        <w:t xml:space="preserve">over 0.3 kg/kL but not over 0.6 kg/kL </w:t>
      </w:r>
      <w:r>
        <w:tab/>
        <w:t xml:space="preserve"> 282.0 c/kg</w:t>
      </w:r>
    </w:p>
    <w:p>
      <w:pPr>
        <w:pStyle w:val="yMiscellaneousBody"/>
        <w:tabs>
          <w:tab w:val="left" w:pos="2127"/>
          <w:tab w:val="right" w:leader="dot" w:pos="6804"/>
        </w:tabs>
        <w:spacing w:before="80"/>
        <w:ind w:left="1701" w:right="1983" w:hanging="1701"/>
      </w:pPr>
      <w:r>
        <w:tab/>
        <w:t>(iii)</w:t>
      </w:r>
      <w:r>
        <w:tab/>
        <w:t xml:space="preserve">over 0.6 kg/kL </w:t>
      </w:r>
      <w:r>
        <w:tab/>
        <w:t xml:space="preserve"> 565.0 c/kg</w:t>
      </w:r>
    </w:p>
    <w:p>
      <w:pPr>
        <w:pStyle w:val="yMiscellaneousBody"/>
        <w:tabs>
          <w:tab w:val="left" w:pos="1134"/>
          <w:tab w:val="left" w:pos="1560"/>
          <w:tab w:val="right" w:leader="dot" w:pos="6804"/>
        </w:tabs>
        <w:spacing w:before="80"/>
        <w:ind w:left="1559" w:right="1983" w:hanging="1559"/>
      </w:pPr>
      <w:r>
        <w:tab/>
        <w:t>(f)</w:t>
      </w:r>
      <w:r>
        <w:tab/>
        <w:t>for acidity to pH 6 (expressed as calcium carbonate) —</w:t>
      </w:r>
    </w:p>
    <w:p>
      <w:pPr>
        <w:pStyle w:val="yMiscellaneousBody"/>
        <w:tabs>
          <w:tab w:val="left" w:pos="2127"/>
          <w:tab w:val="right" w:leader="dot" w:pos="6804"/>
        </w:tabs>
        <w:spacing w:before="80"/>
        <w:ind w:left="1701" w:right="1983" w:hanging="1701"/>
      </w:pPr>
      <w:r>
        <w:tab/>
        <w:t>(i)</w:t>
      </w:r>
      <w:r>
        <w:tab/>
        <w:t xml:space="preserve">up to 0.1 kg/kL </w:t>
      </w:r>
      <w:r>
        <w:tab/>
        <w:t xml:space="preserve"> 41.0 c/kg</w:t>
      </w:r>
    </w:p>
    <w:p>
      <w:pPr>
        <w:pStyle w:val="yMiscellaneousBody"/>
        <w:tabs>
          <w:tab w:val="left" w:pos="1701"/>
          <w:tab w:val="left" w:pos="2127"/>
          <w:tab w:val="right" w:leader="dot" w:pos="6804"/>
        </w:tabs>
        <w:spacing w:before="80"/>
        <w:ind w:left="2127" w:right="1983" w:hanging="2127"/>
      </w:pPr>
      <w:r>
        <w:tab/>
        <w:t>(ii)</w:t>
      </w:r>
      <w:r>
        <w:tab/>
        <w:t xml:space="preserve">over 0.1 kg/kL but not over 0.3 kg/kL </w:t>
      </w:r>
      <w:r>
        <w:tab/>
        <w:t xml:space="preserve"> 83.0 c/kg</w:t>
      </w:r>
    </w:p>
    <w:p>
      <w:pPr>
        <w:pStyle w:val="yMiscellaneousBody"/>
        <w:tabs>
          <w:tab w:val="left" w:pos="2127"/>
          <w:tab w:val="right" w:leader="dot" w:pos="6804"/>
        </w:tabs>
        <w:spacing w:before="80"/>
        <w:ind w:left="1701" w:right="1983" w:hanging="1701"/>
      </w:pPr>
      <w:r>
        <w:tab/>
        <w:t>(iii)</w:t>
      </w:r>
      <w:r>
        <w:tab/>
        <w:t xml:space="preserve">over 0.3 kg/kL </w:t>
      </w:r>
      <w:r>
        <w:tab/>
        <w:t xml:space="preserve"> 164.0 c/kg</w:t>
      </w:r>
    </w:p>
    <w:p>
      <w:pPr>
        <w:pStyle w:val="yMiscellaneousBody"/>
        <w:tabs>
          <w:tab w:val="left" w:pos="1134"/>
          <w:tab w:val="left" w:pos="1560"/>
          <w:tab w:val="right" w:leader="dot" w:pos="6804"/>
        </w:tabs>
        <w:spacing w:before="80"/>
        <w:ind w:left="1559" w:right="1983" w:hanging="1559"/>
      </w:pPr>
      <w:r>
        <w:tab/>
        <w:t>(g)</w:t>
      </w:r>
      <w:r>
        <w:tab/>
        <w:t>for alkalinity to pH 10 (expressed as calcium carbonate) —</w:t>
      </w:r>
    </w:p>
    <w:p>
      <w:pPr>
        <w:pStyle w:val="yMiscellaneousBody"/>
        <w:tabs>
          <w:tab w:val="left" w:pos="2127"/>
          <w:tab w:val="right" w:leader="dot" w:pos="6804"/>
        </w:tabs>
        <w:spacing w:before="80"/>
        <w:ind w:left="1701" w:right="1983" w:hanging="1701"/>
      </w:pPr>
      <w:r>
        <w:tab/>
        <w:t>(i)</w:t>
      </w:r>
      <w:r>
        <w:tab/>
        <w:t xml:space="preserve">up to 0.1 kg/kL </w:t>
      </w:r>
      <w:r>
        <w:tab/>
        <w:t xml:space="preserve"> 14.0 c/kg</w:t>
      </w:r>
    </w:p>
    <w:p>
      <w:pPr>
        <w:pStyle w:val="yMiscellaneousBody"/>
        <w:tabs>
          <w:tab w:val="left" w:pos="1701"/>
          <w:tab w:val="left" w:pos="2127"/>
          <w:tab w:val="right" w:leader="dot" w:pos="6804"/>
        </w:tabs>
        <w:spacing w:before="80"/>
        <w:ind w:left="2127" w:right="1983" w:hanging="2127"/>
      </w:pPr>
      <w:r>
        <w:tab/>
        <w:t>(ii)</w:t>
      </w:r>
      <w:r>
        <w:tab/>
        <w:t xml:space="preserve">over 0.1 kg/kL but not over 0.2 kg/kL </w:t>
      </w:r>
      <w:r>
        <w:tab/>
        <w:t xml:space="preserve"> 31.0 c/kg</w:t>
      </w:r>
    </w:p>
    <w:p>
      <w:pPr>
        <w:pStyle w:val="yMiscellaneousBody"/>
        <w:tabs>
          <w:tab w:val="left" w:pos="2127"/>
          <w:tab w:val="right" w:leader="dot" w:pos="6804"/>
        </w:tabs>
        <w:spacing w:before="80"/>
        <w:ind w:left="1701" w:right="1983" w:hanging="1701"/>
      </w:pPr>
      <w:r>
        <w:tab/>
        <w:t>(iii)</w:t>
      </w:r>
      <w:r>
        <w:tab/>
        <w:t xml:space="preserve">over 0.2 kg/kL </w:t>
      </w:r>
      <w:r>
        <w:tab/>
        <w:t xml:space="preserve"> 60.0 c/kg</w:t>
      </w:r>
    </w:p>
    <w:p>
      <w:pPr>
        <w:pStyle w:val="yMiscellaneousBody"/>
        <w:tabs>
          <w:tab w:val="left" w:pos="1134"/>
          <w:tab w:val="left" w:pos="1560"/>
          <w:tab w:val="right" w:leader="dot" w:pos="6804"/>
        </w:tabs>
        <w:spacing w:before="80"/>
        <w:ind w:left="1559" w:right="1983" w:hanging="1559"/>
      </w:pPr>
      <w:r>
        <w:tab/>
        <w:t>(h)</w:t>
      </w:r>
      <w:r>
        <w:tab/>
        <w:t xml:space="preserve">for nitrogen </w:t>
      </w:r>
      <w:r>
        <w:tab/>
        <w:t xml:space="preserve"> 127.0 c/kg</w:t>
      </w:r>
    </w:p>
    <w:p>
      <w:pPr>
        <w:pStyle w:val="yMiscellaneousBody"/>
        <w:tabs>
          <w:tab w:val="left" w:pos="1134"/>
          <w:tab w:val="left" w:pos="1560"/>
          <w:tab w:val="right" w:leader="dot" w:pos="6804"/>
        </w:tabs>
        <w:spacing w:before="80"/>
        <w:ind w:left="1559" w:right="1983" w:hanging="1559"/>
      </w:pPr>
      <w:r>
        <w:tab/>
        <w:t>(i)</w:t>
      </w:r>
      <w:r>
        <w:tab/>
        <w:t xml:space="preserve">for phosphorus </w:t>
      </w:r>
      <w:r>
        <w:tab/>
        <w:t xml:space="preserve"> 37.0 c/kg</w:t>
      </w:r>
    </w:p>
    <w:p>
      <w:pPr>
        <w:pStyle w:val="yMiscellaneousBody"/>
        <w:tabs>
          <w:tab w:val="left" w:pos="1134"/>
          <w:tab w:val="left" w:pos="1560"/>
          <w:tab w:val="right" w:leader="dot" w:pos="6804"/>
        </w:tabs>
        <w:spacing w:before="80"/>
        <w:ind w:left="1559" w:right="1983" w:hanging="1559"/>
      </w:pPr>
      <w:r>
        <w:tab/>
        <w:t>(j)</w:t>
      </w:r>
      <w:r>
        <w:tab/>
        <w:t>for sulphate with a concentration of —</w:t>
      </w:r>
    </w:p>
    <w:p>
      <w:pPr>
        <w:pStyle w:val="yMiscellaneousBody"/>
        <w:tabs>
          <w:tab w:val="left" w:pos="2127"/>
          <w:tab w:val="right" w:leader="dot" w:pos="6804"/>
        </w:tabs>
        <w:spacing w:before="80"/>
        <w:ind w:left="1701" w:right="1983" w:hanging="1701"/>
      </w:pPr>
      <w:r>
        <w:tab/>
        <w:t>(i)</w:t>
      </w:r>
      <w:r>
        <w:tab/>
        <w:t xml:space="preserve">up to 0.05 kg/kL </w:t>
      </w:r>
      <w:r>
        <w:tab/>
        <w:t xml:space="preserve"> no charge</w:t>
      </w:r>
    </w:p>
    <w:p>
      <w:pPr>
        <w:pStyle w:val="yMiscellaneousBody"/>
        <w:tabs>
          <w:tab w:val="left" w:pos="2127"/>
          <w:tab w:val="right" w:leader="dot" w:pos="6804"/>
        </w:tabs>
        <w:spacing w:before="80"/>
        <w:ind w:left="1701" w:right="1983" w:hanging="1701"/>
      </w:pPr>
      <w:r>
        <w:tab/>
        <w:t>(ii)</w:t>
      </w:r>
      <w:r>
        <w:tab/>
        <w:t xml:space="preserve">over 0.05 kg/kL </w:t>
      </w:r>
      <w:r>
        <w:tab/>
        <w:t xml:space="preserve"> 67.0 c/kg</w:t>
      </w:r>
    </w:p>
    <w:p>
      <w:pPr>
        <w:pStyle w:val="yMiscellaneousBody"/>
        <w:tabs>
          <w:tab w:val="left" w:pos="1134"/>
          <w:tab w:val="left" w:pos="1560"/>
          <w:tab w:val="right" w:leader="dot" w:pos="6804"/>
        </w:tabs>
        <w:spacing w:before="80"/>
        <w:ind w:left="1559" w:right="1983" w:hanging="1559"/>
      </w:pPr>
      <w:r>
        <w:tab/>
        <w:t>(k)</w:t>
      </w:r>
      <w:r>
        <w:tab/>
        <w:t>for total dissolved salts with a concentration of —</w:t>
      </w:r>
    </w:p>
    <w:p>
      <w:pPr>
        <w:pStyle w:val="yMiscellaneousBody"/>
        <w:tabs>
          <w:tab w:val="left" w:pos="2127"/>
          <w:tab w:val="right" w:leader="dot" w:pos="6804"/>
        </w:tabs>
        <w:spacing w:before="80"/>
        <w:ind w:left="1701" w:right="1983" w:hanging="1701"/>
      </w:pPr>
      <w:r>
        <w:tab/>
        <w:t>(i)</w:t>
      </w:r>
      <w:r>
        <w:tab/>
        <w:t xml:space="preserve">up to 1 kg/kL </w:t>
      </w:r>
      <w:r>
        <w:tab/>
        <w:t xml:space="preserve"> no charge</w:t>
      </w:r>
    </w:p>
    <w:p>
      <w:pPr>
        <w:pStyle w:val="yMiscellaneousBody"/>
        <w:tabs>
          <w:tab w:val="left" w:pos="1701"/>
          <w:tab w:val="left" w:pos="2127"/>
          <w:tab w:val="right" w:leader="dot" w:pos="6804"/>
        </w:tabs>
        <w:spacing w:before="80"/>
        <w:ind w:left="2127" w:right="1983" w:hanging="2127"/>
      </w:pPr>
      <w:r>
        <w:tab/>
        <w:t>(ii)</w:t>
      </w:r>
      <w:r>
        <w:tab/>
        <w:t xml:space="preserve">over 1 kg/kL but not over 3 kg/kL </w:t>
      </w:r>
      <w:r>
        <w:tab/>
        <w:t xml:space="preserve"> 0.1 c/kg</w:t>
      </w:r>
    </w:p>
    <w:p>
      <w:pPr>
        <w:pStyle w:val="yMiscellaneousBody"/>
        <w:tabs>
          <w:tab w:val="left" w:pos="1701"/>
          <w:tab w:val="left" w:pos="2127"/>
          <w:tab w:val="right" w:leader="dot" w:pos="6804"/>
        </w:tabs>
        <w:spacing w:before="80"/>
        <w:ind w:left="2127" w:right="1983" w:hanging="2127"/>
      </w:pPr>
      <w:r>
        <w:tab/>
        <w:t>(iii)</w:t>
      </w:r>
      <w:r>
        <w:tab/>
        <w:t xml:space="preserve">over 3 kg/kL but not over 6 kg/kL </w:t>
      </w:r>
      <w:r>
        <w:tab/>
        <w:t xml:space="preserve"> 3.9 c/kg</w:t>
      </w:r>
    </w:p>
    <w:p>
      <w:pPr>
        <w:pStyle w:val="yMiscellaneousBody"/>
        <w:tabs>
          <w:tab w:val="left" w:pos="2127"/>
          <w:tab w:val="right" w:leader="dot" w:pos="6804"/>
        </w:tabs>
        <w:spacing w:before="80"/>
        <w:ind w:left="1701" w:right="1983" w:hanging="1701"/>
      </w:pPr>
      <w:r>
        <w:tab/>
        <w:t>(iv)</w:t>
      </w:r>
      <w:r>
        <w:tab/>
        <w:t xml:space="preserve">over 6 kg/kL </w:t>
      </w:r>
      <w:r>
        <w:tab/>
        <w:t xml:space="preserve"> 13.4 c/kg</w:t>
      </w:r>
    </w:p>
    <w:p>
      <w:pPr>
        <w:pStyle w:val="yMiscellaneousBody"/>
        <w:tabs>
          <w:tab w:val="left" w:pos="1134"/>
          <w:tab w:val="left" w:pos="1560"/>
          <w:tab w:val="right" w:leader="dot" w:pos="6804"/>
        </w:tabs>
        <w:spacing w:before="80"/>
        <w:ind w:left="1559" w:right="1983" w:hanging="1559"/>
      </w:pPr>
      <w:r>
        <w:tab/>
        <w:t>(l)</w:t>
      </w:r>
      <w:r>
        <w:tab/>
        <w:t>for chromium with a discharge rate of —</w:t>
      </w:r>
    </w:p>
    <w:p>
      <w:pPr>
        <w:pStyle w:val="yMiscellaneousBody"/>
        <w:tabs>
          <w:tab w:val="left" w:pos="2127"/>
          <w:tab w:val="right" w:leader="dot" w:pos="6804"/>
        </w:tabs>
        <w:spacing w:before="80"/>
        <w:ind w:left="1701" w:right="1983" w:hanging="1701"/>
      </w:pPr>
      <w:r>
        <w:tab/>
        <w:t>(i)</w:t>
      </w:r>
      <w:r>
        <w:tab/>
        <w:t xml:space="preserve">up to 0.03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1 kg/day </w:t>
      </w:r>
      <w:r>
        <w:tab/>
        <w:t>2098.0 c/kg</w:t>
      </w:r>
    </w:p>
    <w:p>
      <w:pPr>
        <w:pStyle w:val="yMiscellaneousBody"/>
        <w:tabs>
          <w:tab w:val="left" w:pos="2127"/>
          <w:tab w:val="right" w:leader="dot" w:pos="6804"/>
        </w:tabs>
        <w:spacing w:before="80"/>
        <w:ind w:left="1701" w:right="1983" w:hanging="1701"/>
      </w:pPr>
      <w:r>
        <w:tab/>
        <w:t>(iii)</w:t>
      </w:r>
      <w:r>
        <w:tab/>
        <w:t xml:space="preserve">over 1 kg/day </w:t>
      </w:r>
      <w:r>
        <w:tab/>
        <w:t xml:space="preserve"> 8403.0 c/kg</w:t>
      </w:r>
    </w:p>
    <w:p>
      <w:pPr>
        <w:pStyle w:val="yMiscellaneousBody"/>
        <w:tabs>
          <w:tab w:val="left" w:pos="1134"/>
          <w:tab w:val="left" w:pos="1560"/>
          <w:tab w:val="right" w:leader="dot" w:pos="6804"/>
        </w:tabs>
        <w:spacing w:before="80"/>
        <w:ind w:left="1559" w:right="1983" w:hanging="1559"/>
      </w:pPr>
      <w:r>
        <w:tab/>
        <w:t>(m)</w:t>
      </w:r>
      <w:r>
        <w:tab/>
        <w:t>for copper with a discharge rate of —</w:t>
      </w:r>
    </w:p>
    <w:p>
      <w:pPr>
        <w:pStyle w:val="yMiscellaneousBody"/>
        <w:tabs>
          <w:tab w:val="left" w:pos="2127"/>
          <w:tab w:val="right" w:leader="dot" w:pos="6804"/>
        </w:tabs>
        <w:spacing w:before="80"/>
        <w:ind w:left="1701" w:right="1983" w:hanging="1701"/>
      </w:pPr>
      <w:r>
        <w:tab/>
        <w:t>(i)</w:t>
      </w:r>
      <w:r>
        <w:tab/>
        <w:t xml:space="preserve">up to 0.03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0.12 kg/day </w:t>
      </w:r>
      <w:r>
        <w:tab/>
        <w:t xml:space="preserve"> 2098.0 c/kg</w:t>
      </w:r>
    </w:p>
    <w:p>
      <w:pPr>
        <w:pStyle w:val="yMiscellaneousBody"/>
        <w:tabs>
          <w:tab w:val="left" w:pos="2127"/>
          <w:tab w:val="right" w:leader="dot" w:pos="6804"/>
        </w:tabs>
        <w:spacing w:before="80"/>
        <w:ind w:left="1701" w:right="1983" w:hanging="1701"/>
      </w:pPr>
      <w:r>
        <w:tab/>
        <w:t>(iii)</w:t>
      </w:r>
      <w:r>
        <w:tab/>
        <w:t xml:space="preserve">over 0.12 kg/day </w:t>
      </w:r>
      <w:r>
        <w:tab/>
        <w:t xml:space="preserve"> 8403.0 c/kg</w:t>
      </w:r>
    </w:p>
    <w:p>
      <w:pPr>
        <w:pStyle w:val="yMiscellaneousBody"/>
        <w:tabs>
          <w:tab w:val="left" w:pos="1134"/>
          <w:tab w:val="left" w:pos="1560"/>
          <w:tab w:val="right" w:leader="dot" w:pos="6804"/>
        </w:tabs>
        <w:spacing w:before="80"/>
        <w:ind w:left="1559" w:right="1983" w:hanging="1559"/>
      </w:pPr>
      <w:r>
        <w:tab/>
        <w:t>(n)</w:t>
      </w:r>
      <w:r>
        <w:tab/>
        <w:t>for lead with a discharge rate of —</w:t>
      </w:r>
    </w:p>
    <w:p>
      <w:pPr>
        <w:pStyle w:val="yMiscellaneousBody"/>
        <w:tabs>
          <w:tab w:val="left" w:pos="2127"/>
          <w:tab w:val="right" w:leader="dot" w:pos="6804"/>
        </w:tabs>
        <w:spacing w:before="80"/>
        <w:ind w:left="1701" w:right="1983" w:hanging="1701"/>
      </w:pPr>
      <w:r>
        <w:tab/>
        <w:t>(i)</w:t>
      </w:r>
      <w:r>
        <w:tab/>
        <w:t xml:space="preserve">up to 0.03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0.3 kg/day </w:t>
      </w:r>
      <w:r>
        <w:tab/>
        <w:t xml:space="preserve"> 2098.0 c/kg</w:t>
      </w:r>
    </w:p>
    <w:p>
      <w:pPr>
        <w:pStyle w:val="yMiscellaneousBody"/>
        <w:tabs>
          <w:tab w:val="left" w:pos="2127"/>
          <w:tab w:val="right" w:leader="dot" w:pos="6804"/>
        </w:tabs>
        <w:spacing w:before="80"/>
        <w:ind w:left="1701" w:right="1983" w:hanging="1701"/>
      </w:pPr>
      <w:r>
        <w:tab/>
        <w:t>(iii)</w:t>
      </w:r>
      <w:r>
        <w:tab/>
        <w:t xml:space="preserve">over 0.3 kg/day </w:t>
      </w:r>
      <w:r>
        <w:tab/>
        <w:t xml:space="preserve"> 8403.0 c/kg</w:t>
      </w:r>
    </w:p>
    <w:p>
      <w:pPr>
        <w:pStyle w:val="yMiscellaneousBody"/>
        <w:tabs>
          <w:tab w:val="left" w:pos="1134"/>
          <w:tab w:val="left" w:pos="1560"/>
          <w:tab w:val="right" w:leader="dot" w:pos="6804"/>
        </w:tabs>
        <w:spacing w:before="80"/>
        <w:ind w:left="1559" w:right="1983" w:hanging="1559"/>
      </w:pPr>
      <w:r>
        <w:tab/>
        <w:t>(o)</w:t>
      </w:r>
      <w:r>
        <w:tab/>
        <w:t>for nickel with a discharge rate of —</w:t>
      </w:r>
    </w:p>
    <w:p>
      <w:pPr>
        <w:pStyle w:val="yMiscellaneousBody"/>
        <w:tabs>
          <w:tab w:val="left" w:pos="2127"/>
          <w:tab w:val="right" w:leader="dot" w:pos="6804"/>
        </w:tabs>
        <w:spacing w:before="80"/>
        <w:ind w:left="1701" w:right="1983" w:hanging="1701"/>
      </w:pPr>
      <w:r>
        <w:tab/>
        <w:t>(i)</w:t>
      </w:r>
      <w:r>
        <w:tab/>
        <w:t xml:space="preserve">up to 0.006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0.006 kg/day but not over 0.15 kg/day </w:t>
      </w:r>
      <w:r>
        <w:tab/>
        <w:t xml:space="preserve"> 2098.0 c/kg</w:t>
      </w:r>
    </w:p>
    <w:p>
      <w:pPr>
        <w:pStyle w:val="yMiscellaneousBody"/>
        <w:tabs>
          <w:tab w:val="left" w:pos="2127"/>
          <w:tab w:val="right" w:leader="dot" w:pos="6804"/>
        </w:tabs>
        <w:spacing w:before="80"/>
        <w:ind w:left="1701" w:right="1983" w:hanging="1701"/>
      </w:pPr>
      <w:r>
        <w:tab/>
        <w:t>(iii)</w:t>
      </w:r>
      <w:r>
        <w:tab/>
        <w:t xml:space="preserve">over 0.15 kg/day </w:t>
      </w:r>
      <w:r>
        <w:tab/>
        <w:t xml:space="preserve"> 8403.0 c/kg</w:t>
      </w:r>
    </w:p>
    <w:p>
      <w:pPr>
        <w:pStyle w:val="yMiscellaneousBody"/>
        <w:tabs>
          <w:tab w:val="left" w:pos="1134"/>
          <w:tab w:val="left" w:pos="1560"/>
          <w:tab w:val="right" w:leader="dot" w:pos="6804"/>
        </w:tabs>
        <w:spacing w:before="80"/>
        <w:ind w:left="1559" w:right="1983" w:hanging="1559"/>
      </w:pPr>
      <w:r>
        <w:tab/>
        <w:t>(p)</w:t>
      </w:r>
      <w:r>
        <w:tab/>
        <w:t>for zinc with a discharge rate of —</w:t>
      </w:r>
    </w:p>
    <w:p>
      <w:pPr>
        <w:pStyle w:val="yMiscellaneousBody"/>
        <w:tabs>
          <w:tab w:val="left" w:pos="2127"/>
          <w:tab w:val="right" w:leader="dot" w:pos="6804"/>
        </w:tabs>
        <w:spacing w:before="80"/>
        <w:ind w:left="1701" w:right="1983" w:hanging="1701"/>
      </w:pPr>
      <w:r>
        <w:tab/>
        <w:t>(i)</w:t>
      </w:r>
      <w:r>
        <w:tab/>
        <w:t xml:space="preserve">up to 0.05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0.05 kg/day but not over 0.5 kg/day </w:t>
      </w:r>
      <w:r>
        <w:tab/>
        <w:t xml:space="preserve"> 2098.0 c/kg</w:t>
      </w:r>
    </w:p>
    <w:p>
      <w:pPr>
        <w:pStyle w:val="yMiscellaneousBody"/>
        <w:tabs>
          <w:tab w:val="left" w:pos="2127"/>
          <w:tab w:val="right" w:leader="dot" w:pos="6804"/>
        </w:tabs>
        <w:spacing w:before="80"/>
        <w:ind w:left="1701" w:right="1983" w:hanging="1701"/>
      </w:pPr>
      <w:r>
        <w:tab/>
        <w:t>(iii)</w:t>
      </w:r>
      <w:r>
        <w:tab/>
        <w:t xml:space="preserve">over 0.5 kg/day </w:t>
      </w:r>
      <w:r>
        <w:tab/>
        <w:t xml:space="preserve"> 8403.0 c/kg</w:t>
      </w:r>
    </w:p>
    <w:p>
      <w:pPr>
        <w:pStyle w:val="yMiscellaneousBody"/>
        <w:tabs>
          <w:tab w:val="left" w:pos="1134"/>
          <w:tab w:val="left" w:pos="1560"/>
          <w:tab w:val="right" w:leader="dot" w:pos="6804"/>
        </w:tabs>
        <w:spacing w:before="80"/>
        <w:ind w:left="1559" w:right="1983" w:hanging="1559"/>
      </w:pPr>
      <w:r>
        <w:tab/>
        <w:t>(q)</w:t>
      </w:r>
      <w:r>
        <w:tab/>
        <w:t>for arsenic with a discharge rate of —</w:t>
      </w:r>
    </w:p>
    <w:p>
      <w:pPr>
        <w:pStyle w:val="yMiscellaneousBody"/>
        <w:tabs>
          <w:tab w:val="left" w:pos="2127"/>
          <w:tab w:val="right" w:leader="dot" w:pos="6804"/>
        </w:tabs>
        <w:spacing w:before="80"/>
        <w:ind w:left="1701" w:right="1983" w:hanging="1701"/>
      </w:pPr>
      <w:r>
        <w:tab/>
        <w:t>(i)</w:t>
      </w:r>
      <w:r>
        <w:tab/>
        <w:t xml:space="preserve">up to 0.001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0.04 kg/day </w:t>
      </w:r>
      <w:r>
        <w:tab/>
        <w:t xml:space="preserve"> 10501.0 c/kg</w:t>
      </w:r>
    </w:p>
    <w:p>
      <w:pPr>
        <w:pStyle w:val="yMiscellaneousBody"/>
        <w:tabs>
          <w:tab w:val="left" w:pos="2127"/>
          <w:tab w:val="right" w:leader="dot" w:pos="6804"/>
        </w:tabs>
        <w:spacing w:before="80"/>
        <w:ind w:left="1701" w:right="1983" w:hanging="1701"/>
      </w:pPr>
      <w:r>
        <w:tab/>
        <w:t>(iii)</w:t>
      </w:r>
      <w:r>
        <w:tab/>
        <w:t xml:space="preserve">over 0.04 kg/day </w:t>
      </w:r>
      <w:r>
        <w:tab/>
        <w:t xml:space="preserve"> 105006.0 c/kg</w:t>
      </w:r>
    </w:p>
    <w:p>
      <w:pPr>
        <w:pStyle w:val="yMiscellaneousBody"/>
        <w:tabs>
          <w:tab w:val="left" w:pos="1134"/>
          <w:tab w:val="left" w:pos="1560"/>
          <w:tab w:val="right" w:leader="dot" w:pos="6804"/>
        </w:tabs>
        <w:spacing w:before="80"/>
        <w:ind w:left="1559" w:right="1983" w:hanging="1559"/>
      </w:pPr>
      <w:r>
        <w:tab/>
        <w:t>(r)</w:t>
      </w:r>
      <w:r>
        <w:tab/>
        <w:t>for cadmium with a discharge rate of —</w:t>
      </w:r>
    </w:p>
    <w:p>
      <w:pPr>
        <w:pStyle w:val="yMiscellaneousBody"/>
        <w:tabs>
          <w:tab w:val="left" w:pos="2127"/>
          <w:tab w:val="right" w:leader="dot" w:pos="6804"/>
        </w:tabs>
        <w:spacing w:before="80"/>
        <w:ind w:left="1701" w:right="1983" w:hanging="1701"/>
      </w:pPr>
      <w:r>
        <w:tab/>
        <w:t>(i)</w:t>
      </w:r>
      <w:r>
        <w:tab/>
        <w:t xml:space="preserve">up to 0.001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0.015 kg/day </w:t>
      </w:r>
      <w:r>
        <w:tab/>
        <w:t xml:space="preserve"> 10501.0 c/kg</w:t>
      </w:r>
    </w:p>
    <w:p>
      <w:pPr>
        <w:pStyle w:val="yMiscellaneousBody"/>
        <w:tabs>
          <w:tab w:val="left" w:pos="2127"/>
          <w:tab w:val="right" w:leader="dot" w:pos="6804"/>
        </w:tabs>
        <w:spacing w:before="80"/>
        <w:ind w:left="1701" w:right="1983" w:hanging="1701"/>
      </w:pPr>
      <w:r>
        <w:tab/>
        <w:t>(iii)</w:t>
      </w:r>
      <w:r>
        <w:tab/>
        <w:t xml:space="preserve">over 0.015 kg/day </w:t>
      </w:r>
      <w:r>
        <w:tab/>
        <w:t xml:space="preserve"> 105006.0 c/kg</w:t>
      </w:r>
    </w:p>
    <w:p>
      <w:pPr>
        <w:pStyle w:val="yMiscellaneousBody"/>
        <w:tabs>
          <w:tab w:val="left" w:pos="1134"/>
          <w:tab w:val="left" w:pos="1560"/>
          <w:tab w:val="right" w:leader="dot" w:pos="6804"/>
        </w:tabs>
        <w:spacing w:before="80"/>
        <w:ind w:left="1559" w:right="1983" w:hanging="1559"/>
      </w:pPr>
      <w:r>
        <w:tab/>
        <w:t>(s)</w:t>
      </w:r>
      <w:r>
        <w:tab/>
        <w:t>for molybdenum or selenium with a discharge rate of —</w:t>
      </w:r>
    </w:p>
    <w:p>
      <w:pPr>
        <w:pStyle w:val="yMiscellaneousBody"/>
        <w:tabs>
          <w:tab w:val="left" w:pos="2127"/>
          <w:tab w:val="right" w:leader="dot" w:pos="6804"/>
        </w:tabs>
        <w:spacing w:before="80"/>
        <w:ind w:left="1701" w:right="1983" w:hanging="1701"/>
      </w:pPr>
      <w:r>
        <w:tab/>
        <w:t>(i)</w:t>
      </w:r>
      <w:r>
        <w:tab/>
        <w:t xml:space="preserve">up to 0.001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0.02 kg/day </w:t>
      </w:r>
      <w:r>
        <w:tab/>
        <w:t xml:space="preserve"> 10501.0 c/kg</w:t>
      </w:r>
    </w:p>
    <w:p>
      <w:pPr>
        <w:pStyle w:val="yMiscellaneousBody"/>
        <w:tabs>
          <w:tab w:val="left" w:pos="2127"/>
          <w:tab w:val="right" w:leader="dot" w:pos="6804"/>
        </w:tabs>
        <w:spacing w:before="80"/>
        <w:ind w:left="1701" w:right="1983" w:hanging="1701"/>
      </w:pPr>
      <w:r>
        <w:tab/>
        <w:t>(iii)</w:t>
      </w:r>
      <w:r>
        <w:tab/>
        <w:t xml:space="preserve">over 0.02 kg/day </w:t>
      </w:r>
      <w:r>
        <w:tab/>
        <w:t xml:space="preserve"> 105006.0 c/kg</w:t>
      </w:r>
    </w:p>
    <w:p>
      <w:pPr>
        <w:pStyle w:val="yMiscellaneousBody"/>
        <w:tabs>
          <w:tab w:val="left" w:pos="1134"/>
          <w:tab w:val="left" w:pos="1560"/>
          <w:tab w:val="right" w:leader="dot" w:pos="6804"/>
        </w:tabs>
        <w:spacing w:before="80"/>
        <w:ind w:left="1559" w:right="1983" w:hanging="1559"/>
      </w:pPr>
      <w:r>
        <w:tab/>
        <w:t>(t)</w:t>
      </w:r>
      <w:r>
        <w:tab/>
        <w:t>for silver with a discharge rate of —</w:t>
      </w:r>
    </w:p>
    <w:p>
      <w:pPr>
        <w:pStyle w:val="yMiscellaneousBody"/>
        <w:tabs>
          <w:tab w:val="left" w:pos="2127"/>
          <w:tab w:val="right" w:leader="dot" w:pos="6804"/>
        </w:tabs>
        <w:spacing w:before="80"/>
        <w:ind w:left="1701" w:right="1983" w:hanging="1701"/>
      </w:pPr>
      <w:r>
        <w:tab/>
        <w:t>(i)</w:t>
      </w:r>
      <w:r>
        <w:tab/>
        <w:t xml:space="preserve">up to 0.002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0.002 kg/day but not over 0.01 kg/day </w:t>
      </w:r>
      <w:r>
        <w:tab/>
        <w:t xml:space="preserve"> 10501.0 c/kg</w:t>
      </w:r>
    </w:p>
    <w:p>
      <w:pPr>
        <w:pStyle w:val="yMiscellaneousBody"/>
        <w:tabs>
          <w:tab w:val="left" w:pos="2127"/>
          <w:tab w:val="right" w:leader="dot" w:pos="6804"/>
        </w:tabs>
        <w:spacing w:before="80"/>
        <w:ind w:left="1701" w:right="1983" w:hanging="1701"/>
      </w:pPr>
      <w:r>
        <w:tab/>
        <w:t>(iii)</w:t>
      </w:r>
      <w:r>
        <w:tab/>
        <w:t xml:space="preserve">over 0.01 kg/day </w:t>
      </w:r>
      <w:r>
        <w:tab/>
        <w:t xml:space="preserve"> 105006.0 c/kg</w:t>
      </w:r>
    </w:p>
    <w:p>
      <w:pPr>
        <w:pStyle w:val="yMiscellaneousBody"/>
        <w:tabs>
          <w:tab w:val="left" w:pos="1134"/>
          <w:tab w:val="left" w:pos="1560"/>
          <w:tab w:val="right" w:leader="dot" w:pos="6804"/>
        </w:tabs>
        <w:spacing w:before="80"/>
        <w:ind w:left="1559" w:right="1983" w:hanging="1559"/>
      </w:pPr>
      <w:r>
        <w:tab/>
        <w:t>(u)</w:t>
      </w:r>
      <w:r>
        <w:tab/>
        <w:t>for mercury with a discharge rate of —</w:t>
      </w:r>
    </w:p>
    <w:p>
      <w:pPr>
        <w:pStyle w:val="yMiscellaneousBody"/>
        <w:tabs>
          <w:tab w:val="left" w:pos="2127"/>
          <w:tab w:val="right" w:leader="dot" w:pos="6804"/>
        </w:tabs>
        <w:spacing w:before="80"/>
        <w:ind w:left="1701" w:right="1983" w:hanging="1701"/>
      </w:pPr>
      <w:r>
        <w:tab/>
        <w:t>(i)</w:t>
      </w:r>
      <w:r>
        <w:tab/>
        <w:t xml:space="preserve">up to 0.0001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0.0001 kg/day but not over 0.001 kg/day </w:t>
      </w:r>
      <w:r>
        <w:tab/>
        <w:t xml:space="preserve"> 105006.0 c/kg</w:t>
      </w:r>
    </w:p>
    <w:p>
      <w:pPr>
        <w:pStyle w:val="yMiscellaneousBody"/>
        <w:tabs>
          <w:tab w:val="left" w:pos="2127"/>
          <w:tab w:val="right" w:leader="dot" w:pos="6804"/>
        </w:tabs>
        <w:spacing w:before="80"/>
        <w:ind w:left="1701" w:right="1983" w:hanging="1701"/>
      </w:pPr>
      <w:r>
        <w:tab/>
        <w:t>(iii)</w:t>
      </w:r>
      <w:r>
        <w:tab/>
        <w:t xml:space="preserve">over 0.001 kg/day </w:t>
      </w:r>
      <w:r>
        <w:tab/>
        <w:t xml:space="preserve"> 787573.0 c/kg</w:t>
      </w:r>
    </w:p>
    <w:p>
      <w:pPr>
        <w:pStyle w:val="yHeading5"/>
      </w:pPr>
      <w:bookmarkStart w:id="200" w:name="_Toc398816566"/>
      <w:r>
        <w:rPr>
          <w:rStyle w:val="CharSClsNo"/>
        </w:rPr>
        <w:t>31</w:t>
      </w:r>
      <w:r>
        <w:t>.</w:t>
      </w:r>
      <w:r>
        <w:tab/>
        <w:t>Effluent discharged from a septic tank effluent pumping system into a sewer</w:t>
      </w:r>
      <w:bookmarkEnd w:id="200"/>
    </w:p>
    <w:p>
      <w:pPr>
        <w:pStyle w:val="yMiscellaneousBody"/>
        <w:tabs>
          <w:tab w:val="left" w:pos="284"/>
          <w:tab w:val="right" w:leader="dot" w:pos="6804"/>
        </w:tabs>
        <w:ind w:left="879" w:right="1983" w:hanging="879"/>
      </w:pPr>
      <w:r>
        <w:rPr>
          <w:szCs w:val="22"/>
        </w:rPr>
        <w:tab/>
      </w:r>
      <w:r>
        <w:rPr>
          <w:szCs w:val="22"/>
        </w:rPr>
        <w:tab/>
        <w:t xml:space="preserve">For effluent discharged from a septic tank effluent pumping system into a sewer of the Water Corporation, the charge is </w:t>
      </w:r>
      <w:r>
        <w:rPr>
          <w:szCs w:val="22"/>
        </w:rPr>
        <w:tab/>
        <w:t xml:space="preserve"> </w:t>
      </w:r>
      <w:r>
        <w:t>159.0 cents/kL</w:t>
      </w:r>
    </w:p>
    <w:p>
      <w:pPr>
        <w:pStyle w:val="yScheduleHeading"/>
      </w:pPr>
      <w:bookmarkStart w:id="201" w:name="_Toc398816567"/>
      <w:r>
        <w:rPr>
          <w:rStyle w:val="CharSchNo"/>
        </w:rPr>
        <w:t>Schedule 5</w:t>
      </w:r>
      <w:r>
        <w:rPr>
          <w:rStyle w:val="CharSDivNo"/>
        </w:rPr>
        <w:t> </w:t>
      </w:r>
      <w:r>
        <w:t>—</w:t>
      </w:r>
      <w:r>
        <w:rPr>
          <w:rStyle w:val="CharSDivText"/>
        </w:rPr>
        <w:t> </w:t>
      </w:r>
      <w:r>
        <w:rPr>
          <w:rStyle w:val="CharSchText"/>
        </w:rPr>
        <w:t>Drainage charges for the Water Corporation</w:t>
      </w:r>
      <w:bookmarkEnd w:id="201"/>
    </w:p>
    <w:p>
      <w:pPr>
        <w:pStyle w:val="yShoulderClause"/>
      </w:pPr>
      <w:r>
        <w:t>[r. 47]</w:t>
      </w:r>
    </w:p>
    <w:p>
      <w:pPr>
        <w:pStyle w:val="yHeading5"/>
      </w:pPr>
      <w:bookmarkStart w:id="202" w:name="_Toc398816568"/>
      <w:r>
        <w:rPr>
          <w:rStyle w:val="CharSClsNo"/>
        </w:rPr>
        <w:t>1</w:t>
      </w:r>
      <w:r>
        <w:t>.</w:t>
      </w:r>
      <w:r>
        <w:tab/>
        <w:t>Drainage charges for 2014/15 year and subsequent years</w:t>
      </w:r>
      <w:bookmarkEnd w:id="202"/>
    </w:p>
    <w:p>
      <w:pPr>
        <w:pStyle w:val="yMiscellaneousBody"/>
        <w:tabs>
          <w:tab w:val="right" w:pos="709"/>
          <w:tab w:val="left" w:pos="851"/>
        </w:tabs>
        <w:ind w:left="851" w:hanging="851"/>
      </w:pPr>
      <w:r>
        <w:tab/>
      </w:r>
      <w:r>
        <w:tab/>
        <w:t>The charges set out in this Schedule apply for drainage services provided in the 2014/15 financial year and each subsequent year.</w:t>
      </w:r>
    </w:p>
    <w:p>
      <w:pPr>
        <w:pStyle w:val="yHeading5"/>
      </w:pPr>
      <w:bookmarkStart w:id="203" w:name="_Toc398816569"/>
      <w:r>
        <w:rPr>
          <w:rStyle w:val="CharSClsNo"/>
        </w:rPr>
        <w:t>2</w:t>
      </w:r>
      <w:r>
        <w:t>.</w:t>
      </w:r>
      <w:r>
        <w:tab/>
        <w:t>Strata</w:t>
      </w:r>
      <w:r>
        <w:noBreakHyphen/>
        <w:t>titled caravan bays</w:t>
      </w:r>
      <w:bookmarkEnd w:id="203"/>
    </w:p>
    <w:p>
      <w:pPr>
        <w:pStyle w:val="yMiscellaneousBody"/>
        <w:tabs>
          <w:tab w:val="right" w:leader="dot" w:pos="6804"/>
        </w:tabs>
        <w:ind w:left="879" w:right="1985" w:hanging="879"/>
      </w:pPr>
      <w:r>
        <w:rPr>
          <w:szCs w:val="22"/>
        </w:rPr>
        <w:tab/>
        <w:t>In respect of a strata</w:t>
      </w:r>
      <w:r>
        <w:rPr>
          <w:szCs w:val="22"/>
        </w:rPr>
        <w:noBreakHyphen/>
        <w:t xml:space="preserve">titled caravan bay, the charge is </w:t>
      </w:r>
      <w:r>
        <w:rPr>
          <w:szCs w:val="22"/>
        </w:rPr>
        <w:tab/>
        <w:t xml:space="preserve"> </w:t>
      </w:r>
      <w:r>
        <w:t>$30.00</w:t>
      </w:r>
    </w:p>
    <w:p>
      <w:pPr>
        <w:pStyle w:val="yHeading5"/>
      </w:pPr>
      <w:bookmarkStart w:id="204" w:name="_Toc398816570"/>
      <w:r>
        <w:rPr>
          <w:rStyle w:val="CharSClsNo"/>
        </w:rPr>
        <w:t>3</w:t>
      </w:r>
      <w:r>
        <w:t>.</w:t>
      </w:r>
      <w:r>
        <w:tab/>
        <w:t>Strata</w:t>
      </w:r>
      <w:r>
        <w:noBreakHyphen/>
        <w:t>titled storage unit or strata</w:t>
      </w:r>
      <w:r>
        <w:noBreakHyphen/>
        <w:t>titled parking bay</w:t>
      </w:r>
      <w:bookmarkEnd w:id="204"/>
    </w:p>
    <w:p>
      <w:pPr>
        <w:pStyle w:val="yMiscellaneousBody"/>
        <w:tabs>
          <w:tab w:val="right" w:leader="dot" w:pos="6804"/>
        </w:tabs>
        <w:ind w:left="879" w:right="1985" w:hanging="879"/>
      </w:pPr>
      <w:r>
        <w:tab/>
      </w:r>
      <w:r>
        <w:rPr>
          <w:szCs w:val="22"/>
        </w:rPr>
        <w:t xml:space="preserve">In respect of a lot that is used for storage purposes or as a parking bay, the charge is </w:t>
      </w:r>
      <w:r>
        <w:rPr>
          <w:szCs w:val="22"/>
        </w:rPr>
        <w:tab/>
        <w:t xml:space="preserve"> </w:t>
      </w:r>
      <w:r>
        <w:t>$11.18</w:t>
      </w:r>
    </w:p>
    <w:p>
      <w:pPr>
        <w:pStyle w:val="yHeading5"/>
      </w:pPr>
      <w:bookmarkStart w:id="205" w:name="_Toc398816571"/>
      <w:r>
        <w:rPr>
          <w:rStyle w:val="CharSClsNo"/>
        </w:rPr>
        <w:t>4</w:t>
      </w:r>
      <w:r>
        <w:t>.</w:t>
      </w:r>
      <w:r>
        <w:tab/>
        <w:t>Residential or semi</w:t>
      </w:r>
      <w:r>
        <w:noBreakHyphen/>
        <w:t>rural residential</w:t>
      </w:r>
      <w:bookmarkEnd w:id="205"/>
    </w:p>
    <w:p>
      <w:pPr>
        <w:pStyle w:val="yMiscellaneousBody"/>
        <w:tabs>
          <w:tab w:val="left" w:pos="284"/>
          <w:tab w:val="right" w:leader="dot" w:pos="6804"/>
        </w:tabs>
        <w:ind w:left="879" w:right="1985" w:hanging="879"/>
      </w:pPr>
      <w:r>
        <w:tab/>
        <w:t>(1)</w:t>
      </w:r>
      <w:r>
        <w:tab/>
      </w:r>
      <w:r>
        <w:rPr>
          <w:szCs w:val="22"/>
        </w:rPr>
        <w:t>In respect of land that is classified as residential or semi</w:t>
      </w:r>
      <w:r>
        <w:rPr>
          <w:szCs w:val="22"/>
        </w:rPr>
        <w:noBreakHyphen/>
        <w:t xml:space="preserve">rural residential, the charge is </w:t>
      </w:r>
      <w:r>
        <w:rPr>
          <w:szCs w:val="22"/>
        </w:rPr>
        <w:tab/>
        <w:t xml:space="preserve"> </w:t>
      </w:r>
      <w:r>
        <w:t xml:space="preserve">0.467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$99.21</w:t>
      </w:r>
    </w:p>
    <w:p>
      <w:pPr>
        <w:pStyle w:val="yHeading5"/>
      </w:pPr>
      <w:bookmarkStart w:id="206" w:name="_Toc398816572"/>
      <w:r>
        <w:rPr>
          <w:rStyle w:val="CharSClsNo"/>
        </w:rPr>
        <w:t>5</w:t>
      </w:r>
      <w:r>
        <w:t>.</w:t>
      </w:r>
      <w:r>
        <w:tab/>
        <w:t>Vacant land</w:t>
      </w:r>
      <w:bookmarkEnd w:id="206"/>
    </w:p>
    <w:p>
      <w:pPr>
        <w:pStyle w:val="yMiscellaneousBody"/>
        <w:tabs>
          <w:tab w:val="left" w:pos="284"/>
          <w:tab w:val="right" w:leader="dot" w:pos="6804"/>
        </w:tabs>
        <w:ind w:left="879" w:right="1985" w:hanging="879"/>
      </w:pPr>
      <w:r>
        <w:tab/>
        <w:t>(1)</w:t>
      </w:r>
      <w:r>
        <w:tab/>
      </w:r>
      <w:r>
        <w:rPr>
          <w:szCs w:val="22"/>
        </w:rPr>
        <w:t xml:space="preserve">In respect of land that is classified as vacant land, the charge is </w:t>
      </w:r>
      <w:r>
        <w:rPr>
          <w:szCs w:val="22"/>
        </w:rPr>
        <w:tab/>
        <w:t xml:space="preserve"> </w:t>
      </w:r>
      <w:r>
        <w:t xml:space="preserve">0.545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$99.21</w:t>
      </w:r>
    </w:p>
    <w:p>
      <w:pPr>
        <w:pStyle w:val="yHeading5"/>
      </w:pPr>
      <w:bookmarkStart w:id="207" w:name="_Toc398816573"/>
      <w:r>
        <w:rPr>
          <w:rStyle w:val="CharSClsNo"/>
        </w:rPr>
        <w:t>6</w:t>
      </w:r>
      <w:r>
        <w:t>.</w:t>
      </w:r>
      <w:r>
        <w:tab/>
        <w:t>Non</w:t>
      </w:r>
      <w:r>
        <w:noBreakHyphen/>
        <w:t>residential (except certain strata</w:t>
      </w:r>
      <w:r>
        <w:noBreakHyphen/>
        <w:t>titled units)</w:t>
      </w:r>
      <w:bookmarkEnd w:id="207"/>
    </w:p>
    <w:p>
      <w:pPr>
        <w:pStyle w:val="yMiscellaneousBody"/>
        <w:tabs>
          <w:tab w:val="left" w:pos="284"/>
          <w:tab w:val="right" w:leader="dot" w:pos="6804"/>
        </w:tabs>
        <w:ind w:left="879" w:right="1985" w:hanging="879"/>
      </w:pPr>
      <w:r>
        <w:tab/>
        <w:t>(1)</w:t>
      </w:r>
      <w:r>
        <w:tab/>
      </w:r>
      <w:r>
        <w:rPr>
          <w:szCs w:val="22"/>
        </w:rPr>
        <w:t>In respect of land that is classified as non</w:t>
      </w:r>
      <w:r>
        <w:rPr>
          <w:szCs w:val="22"/>
        </w:rPr>
        <w:noBreakHyphen/>
        <w:t xml:space="preserve">residential and not covered by item 2 or 3, the charge is </w:t>
      </w:r>
      <w:r>
        <w:rPr>
          <w:szCs w:val="22"/>
        </w:rPr>
        <w:tab/>
        <w:t xml:space="preserve"> </w:t>
      </w:r>
      <w:r>
        <w:t xml:space="preserve">0.276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$99.21</w:t>
      </w:r>
    </w:p>
    <w:p>
      <w:pPr>
        <w:pStyle w:val="yScheduleHeading"/>
      </w:pPr>
      <w:bookmarkStart w:id="208" w:name="_Toc398816574"/>
      <w:r>
        <w:rPr>
          <w:rStyle w:val="CharSchNo"/>
        </w:rPr>
        <w:t>Schedule 6</w:t>
      </w:r>
      <w:r>
        <w:rPr>
          <w:rStyle w:val="CharSDivNo"/>
        </w:rPr>
        <w:t> </w:t>
      </w:r>
      <w:r>
        <w:t>—</w:t>
      </w:r>
      <w:r>
        <w:rPr>
          <w:rStyle w:val="CharSDivText"/>
        </w:rPr>
        <w:t> </w:t>
      </w:r>
      <w:r>
        <w:rPr>
          <w:rStyle w:val="CharSchText"/>
        </w:rPr>
        <w:t>Irrigation charges for the Water Corporation (Ord Irrigation District)</w:t>
      </w:r>
      <w:bookmarkEnd w:id="208"/>
    </w:p>
    <w:p>
      <w:pPr>
        <w:pStyle w:val="yShoulderClause"/>
      </w:pPr>
      <w:r>
        <w:t>[r. 50]</w:t>
      </w:r>
    </w:p>
    <w:p>
      <w:pPr>
        <w:pStyle w:val="yHeading5"/>
      </w:pPr>
      <w:bookmarkStart w:id="209" w:name="_Toc398816575"/>
      <w:r>
        <w:rPr>
          <w:rStyle w:val="CharSClsNo"/>
        </w:rPr>
        <w:t>1</w:t>
      </w:r>
      <w:r>
        <w:t>.</w:t>
      </w:r>
      <w:r>
        <w:tab/>
        <w:t>Irrigation charges for 2014/15 year and subsequent years</w:t>
      </w:r>
      <w:bookmarkEnd w:id="209"/>
    </w:p>
    <w:p>
      <w:pPr>
        <w:pStyle w:val="yMiscellaneousBody"/>
        <w:tabs>
          <w:tab w:val="right" w:pos="709"/>
          <w:tab w:val="left" w:pos="851"/>
        </w:tabs>
        <w:ind w:left="851" w:hanging="851"/>
      </w:pPr>
      <w:r>
        <w:tab/>
      </w:r>
      <w:r>
        <w:tab/>
        <w:t>The charges set out in this Schedule apply for irrigation services provided in the 2014/15 financial year and each subsequent year.</w:t>
      </w:r>
    </w:p>
    <w:p>
      <w:pPr>
        <w:pStyle w:val="yHeading5"/>
      </w:pPr>
      <w:bookmarkStart w:id="210" w:name="_Toc398816576"/>
      <w:r>
        <w:rPr>
          <w:rStyle w:val="CharSClsNo"/>
        </w:rPr>
        <w:t>2</w:t>
      </w:r>
      <w:r>
        <w:t>.</w:t>
      </w:r>
      <w:r>
        <w:tab/>
        <w:t>Water supplied for irrigation</w:t>
      </w:r>
      <w:bookmarkEnd w:id="210"/>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the purpose of irrigation, 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$145.69</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$109.78</w:t>
      </w:r>
    </w:p>
    <w:p>
      <w:pPr>
        <w:pStyle w:val="yHeading5"/>
      </w:pPr>
      <w:bookmarkStart w:id="211" w:name="_Toc398816577"/>
      <w:r>
        <w:rPr>
          <w:rStyle w:val="CharSClsNo"/>
        </w:rPr>
        <w:t>3</w:t>
      </w:r>
      <w:r>
        <w:t>.</w:t>
      </w:r>
      <w:r>
        <w:tab/>
        <w:t>Water supplied for watering stock or dust prevention</w:t>
      </w:r>
      <w:bookmarkEnd w:id="211"/>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the purpose of watering stock or dust prevention in feed lots, the charge 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$681.26</w:t>
      </w:r>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$681.26</w:t>
      </w:r>
    </w:p>
    <w:p>
      <w:pPr>
        <w:pStyle w:val="yMiscellaneousBody"/>
        <w:tabs>
          <w:tab w:val="left" w:pos="6096"/>
          <w:tab w:val="right" w:pos="6804"/>
        </w:tabs>
        <w:spacing w:before="0"/>
        <w:ind w:left="1559" w:right="1985" w:hanging="1559"/>
      </w:pPr>
      <w:r>
        <w:t xml:space="preserve"> </w:t>
      </w:r>
      <w:r>
        <w:tab/>
      </w:r>
      <w:r>
        <w:tab/>
        <w:t xml:space="preserve">plus </w:t>
      </w:r>
      <w:r>
        <w:tab/>
        <w:t>$134.92</w:t>
      </w:r>
      <w:r>
        <w:br/>
      </w:r>
      <w:r>
        <w:tab/>
        <w:t xml:space="preserve">per ha </w:t>
      </w:r>
      <w:r>
        <w:br/>
      </w:r>
      <w:r>
        <w:tab/>
        <w:t xml:space="preserve">(pro rata) in </w:t>
      </w:r>
      <w:r>
        <w:br/>
      </w:r>
      <w:r>
        <w:tab/>
        <w:t>excess of 4 ha</w:t>
      </w:r>
    </w:p>
    <w:p>
      <w:pPr>
        <w:pStyle w:val="yHeading5"/>
      </w:pPr>
      <w:bookmarkStart w:id="212" w:name="_Toc398816578"/>
      <w:r>
        <w:rPr>
          <w:rStyle w:val="CharSClsNo"/>
        </w:rPr>
        <w:t>4</w:t>
      </w:r>
      <w:r>
        <w:t>.</w:t>
      </w:r>
      <w:r>
        <w:tab/>
        <w:t>Water supplied for purposes other than irrigation, watering stock or dust prevention</w:t>
      </w:r>
      <w:bookmarkEnd w:id="212"/>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purposes other than irrigation, watering stock or dust prevention in feed 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$253.94</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$185.71</w:t>
      </w:r>
    </w:p>
    <w:p>
      <w:pPr>
        <w:pStyle w:val="yScheduleHeading"/>
      </w:pPr>
      <w:bookmarkStart w:id="213" w:name="_Toc398816579"/>
      <w:r>
        <w:rPr>
          <w:rStyle w:val="CharSchNo"/>
        </w:rPr>
        <w:t>Schedule 7</w:t>
      </w:r>
      <w:r>
        <w:rPr>
          <w:rStyle w:val="CharSDivNo"/>
        </w:rPr>
        <w:t> </w:t>
      </w:r>
      <w:r>
        <w:t>—</w:t>
      </w:r>
      <w:r>
        <w:rPr>
          <w:rStyle w:val="CharSDivText"/>
        </w:rPr>
        <w:t> </w:t>
      </w:r>
      <w:r>
        <w:rPr>
          <w:rStyle w:val="CharSchText"/>
        </w:rPr>
        <w:t>Miscellaneous charges for the Water Corporation</w:t>
      </w:r>
      <w:bookmarkEnd w:id="213"/>
    </w:p>
    <w:p>
      <w:pPr>
        <w:pStyle w:val="yShoulderClause"/>
      </w:pPr>
      <w:r>
        <w:t>[r. 51]</w:t>
      </w:r>
    </w:p>
    <w:p>
      <w:pPr>
        <w:pStyle w:val="yHeading5"/>
      </w:pPr>
      <w:bookmarkStart w:id="214" w:name="_Toc398816580"/>
      <w:r>
        <w:rPr>
          <w:rStyle w:val="CharSClsNo"/>
        </w:rPr>
        <w:t>1</w:t>
      </w:r>
      <w:r>
        <w:t>.</w:t>
      </w:r>
      <w:r>
        <w:tab/>
        <w:t>Meters: multi</w:t>
      </w:r>
      <w:r>
        <w:noBreakHyphen/>
        <w:t>unit developments</w:t>
      </w:r>
      <w:bookmarkEnd w:id="214"/>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$345.25</w:t>
      </w:r>
    </w:p>
    <w:p>
      <w:pPr>
        <w:pStyle w:val="yHeading5"/>
      </w:pPr>
      <w:bookmarkStart w:id="215" w:name="_Toc398816581"/>
      <w:r>
        <w:rPr>
          <w:rStyle w:val="CharSClsNo"/>
        </w:rPr>
        <w:t>2</w:t>
      </w:r>
      <w:r>
        <w:t>.</w:t>
      </w:r>
      <w:r>
        <w:tab/>
        <w:t>Assessing meters: multi</w:t>
      </w:r>
      <w:r>
        <w:noBreakHyphen/>
        <w:t>unit developments</w:t>
      </w:r>
      <w:bookmarkEnd w:id="215"/>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$245.21</w:t>
      </w:r>
    </w:p>
    <w:p>
      <w:pPr>
        <w:pStyle w:val="yHeading5"/>
      </w:pPr>
      <w:bookmarkStart w:id="216" w:name="_Toc398816582"/>
      <w:r>
        <w:rPr>
          <w:rStyle w:val="CharSClsNo"/>
        </w:rPr>
        <w:t>3</w:t>
      </w:r>
      <w:r>
        <w:t>.</w:t>
      </w:r>
      <w:r>
        <w:tab/>
        <w:t>Testing meters</w:t>
      </w:r>
      <w:bookmarkEnd w:id="216"/>
    </w:p>
    <w:p>
      <w:pPr>
        <w:pStyle w:val="yMiscellaneousBody"/>
        <w:tabs>
          <w:tab w:val="left" w:pos="284"/>
          <w:tab w:val="right" w:leader="dot" w:pos="6804"/>
        </w:tabs>
        <w:ind w:left="879" w:right="1983"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$104.65</w:t>
      </w:r>
    </w:p>
    <w:p>
      <w:pPr>
        <w:pStyle w:val="yMiscellaneousBody"/>
        <w:tabs>
          <w:tab w:val="right" w:leader="dot" w:pos="6804"/>
        </w:tabs>
        <w:spacing w:before="120"/>
        <w:ind w:left="1134" w:right="2268" w:hanging="879"/>
        <w:rPr>
          <w:szCs w:val="22"/>
        </w:rPr>
      </w:pPr>
      <w:r>
        <w:tab/>
        <w:t xml:space="preserve">more than 25 mm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pPr>
      <w:bookmarkStart w:id="217" w:name="_Toc398816583"/>
      <w:r>
        <w:rPr>
          <w:rStyle w:val="CharSClsNo"/>
        </w:rPr>
        <w:t>4</w:t>
      </w:r>
      <w:r>
        <w:t>.</w:t>
      </w:r>
      <w:r>
        <w:tab/>
        <w:t>Installing water supply connection</w:t>
      </w:r>
      <w:bookmarkEnd w:id="217"/>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$1 168.61</w:t>
      </w:r>
    </w:p>
    <w:p>
      <w:pPr>
        <w:pStyle w:val="yMiscellaneousBody"/>
        <w:tabs>
          <w:tab w:val="right" w:leader="dot" w:pos="6804"/>
        </w:tabs>
        <w:spacing w:before="120"/>
        <w:ind w:left="1134" w:right="2268" w:hanging="879"/>
      </w:pPr>
      <w:r>
        <w:tab/>
        <w:t xml:space="preserve">25 mm </w:t>
      </w:r>
      <w:r>
        <w:tab/>
        <w:t xml:space="preserve"> $1 184.00</w:t>
      </w:r>
    </w:p>
    <w:p>
      <w:pPr>
        <w:pStyle w:val="yMiscellaneousBody"/>
        <w:tabs>
          <w:tab w:val="right" w:leader="dot" w:pos="6804"/>
        </w:tabs>
        <w:spacing w:before="120"/>
        <w:ind w:left="1134" w:right="2268" w:hanging="879"/>
      </w:pPr>
      <w:r>
        <w:tab/>
        <w:t xml:space="preserve">40 mm </w:t>
      </w:r>
      <w:r>
        <w:tab/>
        <w:t xml:space="preserve"> $1 723.68</w:t>
      </w:r>
    </w:p>
    <w:p>
      <w:pPr>
        <w:pStyle w:val="yMiscellaneousBody"/>
        <w:tabs>
          <w:tab w:val="right" w:leader="dot" w:pos="6804"/>
        </w:tabs>
        <w:spacing w:before="120"/>
        <w:ind w:left="1134" w:right="2268" w:hanging="879"/>
      </w:pPr>
      <w:r>
        <w:tab/>
        <w:t xml:space="preserve">50 mm </w:t>
      </w:r>
      <w:r>
        <w:tab/>
        <w:t xml:space="preserve"> $2 129.98</w:t>
      </w:r>
    </w:p>
    <w:p>
      <w:pPr>
        <w:pStyle w:val="yMiscellaneousBody"/>
        <w:tabs>
          <w:tab w:val="right" w:leader="dot" w:pos="6804"/>
        </w:tabs>
        <w:spacing w:before="120"/>
        <w:ind w:left="1134" w:right="2268" w:hanging="879"/>
      </w:pPr>
      <w:r>
        <w:tab/>
        <w:t>80</w:t>
      </w:r>
      <w:r>
        <w:noBreakHyphen/>
        <w:t xml:space="preserve">100 mm </w:t>
      </w:r>
      <w:r>
        <w:tab/>
        <w:t xml:space="preserve"> $4 124.52</w:t>
      </w:r>
    </w:p>
    <w:p>
      <w:pPr>
        <w:pStyle w:val="yMiscellaneousBody"/>
        <w:tabs>
          <w:tab w:val="right" w:leader="dot" w:pos="6804"/>
        </w:tabs>
        <w:spacing w:before="120"/>
        <w:ind w:left="1134" w:right="2268" w:hanging="879"/>
      </w:pPr>
      <w:r>
        <w:tab/>
        <w:t xml:space="preserve">150 mm </w:t>
      </w:r>
      <w:r>
        <w:tab/>
        <w:t xml:space="preserve"> $4 923.77</w:t>
      </w:r>
    </w:p>
    <w:p>
      <w:pPr>
        <w:pStyle w:val="yMiscellaneousBody"/>
        <w:tabs>
          <w:tab w:val="right" w:leader="dot" w:pos="6804"/>
        </w:tabs>
        <w:spacing w:before="120"/>
        <w:ind w:left="1134" w:right="2268" w:hanging="879"/>
        <w:rPr>
          <w:szCs w:val="22"/>
        </w:rPr>
      </w:pPr>
      <w:r>
        <w:tab/>
        <w:t xml:space="preserve">more than 150 mm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879" w:right="1985"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pPr>
      <w:bookmarkStart w:id="218" w:name="_Toc398816584"/>
      <w:r>
        <w:rPr>
          <w:rStyle w:val="CharSClsNo"/>
        </w:rPr>
        <w:t>5</w:t>
      </w:r>
      <w:r>
        <w:t>.</w:t>
      </w:r>
      <w:r>
        <w:tab/>
        <w:t>Activating water supply connection</w:t>
      </w:r>
      <w:bookmarkEnd w:id="218"/>
    </w:p>
    <w:p>
      <w:pPr>
        <w:pStyle w:val="yMiscellaneousBody"/>
        <w:tabs>
          <w:tab w:val="left" w:pos="284"/>
          <w:tab w:val="right" w:leader="dot" w:pos="6804"/>
        </w:tabs>
        <w:spacing w:after="160"/>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$130.82</w:t>
      </w:r>
    </w:p>
    <w:p>
      <w:pPr>
        <w:pStyle w:val="yMiscellaneousBody"/>
        <w:tabs>
          <w:tab w:val="left" w:pos="284"/>
          <w:tab w:val="right" w:leader="dot" w:pos="6804"/>
        </w:tabs>
        <w:spacing w:after="160"/>
        <w:ind w:left="879" w:right="1985" w:hanging="879"/>
      </w:pPr>
      <w:r>
        <w:tab/>
        <w:t>(2)</w:t>
      </w:r>
      <w:r>
        <w:tab/>
        <w:t>The charge under this item covers the supply of a meter, stopcock and, if required, a temporary standpipe.</w:t>
      </w:r>
    </w:p>
    <w:p>
      <w:pPr>
        <w:pStyle w:val="yHeading5"/>
      </w:pPr>
      <w:bookmarkStart w:id="219" w:name="_Toc398816585"/>
      <w:r>
        <w:rPr>
          <w:rStyle w:val="CharSClsNo"/>
        </w:rPr>
        <w:t>6</w:t>
      </w:r>
      <w:r>
        <w:t>.</w:t>
      </w:r>
      <w:r>
        <w:tab/>
        <w:t>Disconnecting a water supply connection</w:t>
      </w:r>
      <w:bookmarkEnd w:id="219"/>
    </w:p>
    <w:p>
      <w:pPr>
        <w:pStyle w:val="yMiscellaneousBody"/>
        <w:tabs>
          <w:tab w:val="left" w:pos="284"/>
          <w:tab w:val="right" w:leader="dot" w:pos="6804"/>
        </w:tabs>
        <w:spacing w:after="160"/>
        <w:ind w:left="879" w:right="1985" w:hanging="879"/>
      </w:pPr>
      <w:r>
        <w:tab/>
        <w:t>(1)</w:t>
      </w:r>
      <w:r>
        <w:tab/>
        <w:t xml:space="preserve">For disconnecting a water supply connection to land, the charge is </w:t>
      </w:r>
      <w:r>
        <w:tab/>
        <w:t xml:space="preserve"> $738.21</w:t>
      </w:r>
    </w:p>
    <w:p>
      <w:pPr>
        <w:pStyle w:val="yMiscellaneousBody"/>
        <w:tabs>
          <w:tab w:val="left" w:pos="284"/>
          <w:tab w:val="right" w:leader="dot" w:pos="6804"/>
        </w:tabs>
        <w:spacing w:after="160"/>
        <w:ind w:left="879" w:right="1985" w:hanging="879"/>
      </w:pPr>
      <w:r>
        <w:tab/>
        <w:t>(2)</w:t>
      </w:r>
      <w:r>
        <w:tab/>
        <w:t>For the purposes of this item, cutting off or reducing the rate of flow of a supply of water under section 95 of the Act is not disconnecting a water supply connection.</w:t>
      </w:r>
    </w:p>
    <w:p>
      <w:pPr>
        <w:pStyle w:val="yHeading5"/>
      </w:pPr>
      <w:bookmarkStart w:id="220" w:name="_Toc398816586"/>
      <w:r>
        <w:rPr>
          <w:rStyle w:val="CharSClsNo"/>
        </w:rPr>
        <w:t>7</w:t>
      </w:r>
      <w:r>
        <w:t>.</w:t>
      </w:r>
      <w:r>
        <w:tab/>
        <w:t>Reconnecting a water supply connection</w:t>
      </w:r>
      <w:bookmarkEnd w:id="220"/>
    </w:p>
    <w:p>
      <w:pPr>
        <w:pStyle w:val="yMiscellaneousBody"/>
        <w:tabs>
          <w:tab w:val="left" w:pos="284"/>
          <w:tab w:val="right" w:leader="dot" w:pos="6804"/>
        </w:tabs>
        <w:spacing w:after="160"/>
        <w:ind w:left="879" w:right="1985" w:hanging="879"/>
      </w:pPr>
      <w:r>
        <w:tab/>
        <w:t>(1)</w:t>
      </w:r>
      <w:r>
        <w:tab/>
        <w:t xml:space="preserve">For reconnecting a water supply connection to land, the charge is </w:t>
      </w:r>
      <w:r>
        <w:tab/>
        <w:t xml:space="preserve"> $738.21</w:t>
      </w:r>
    </w:p>
    <w:p>
      <w:pPr>
        <w:pStyle w:val="yMiscellaneousBody"/>
        <w:tabs>
          <w:tab w:val="left" w:pos="284"/>
          <w:tab w:val="right" w:leader="dot" w:pos="6804"/>
        </w:tabs>
        <w:spacing w:after="160"/>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221" w:name="_Toc398816587"/>
      <w:r>
        <w:rPr>
          <w:rStyle w:val="CharSClsNo"/>
        </w:rPr>
        <w:t>8</w:t>
      </w:r>
      <w:r>
        <w:t>.</w:t>
      </w:r>
      <w:r>
        <w:tab/>
        <w:t>Relocating a water supply connection</w:t>
      </w:r>
      <w:bookmarkEnd w:id="221"/>
    </w:p>
    <w:p>
      <w:pPr>
        <w:pStyle w:val="yMiscellaneousBody"/>
        <w:tabs>
          <w:tab w:val="left" w:pos="284"/>
          <w:tab w:val="right" w:leader="dot" w:pos="6804"/>
        </w:tabs>
        <w:ind w:left="879" w:right="1983"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$441.18</w:t>
      </w:r>
    </w:p>
    <w:p>
      <w:pPr>
        <w:pStyle w:val="yMiscellaneousBody"/>
        <w:tabs>
          <w:tab w:val="right" w:leader="dot" w:pos="6804"/>
        </w:tabs>
        <w:spacing w:before="120"/>
        <w:ind w:left="1134" w:right="2268" w:hanging="879"/>
      </w:pPr>
      <w:r>
        <w:tab/>
        <w:t xml:space="preserve">25 mm </w:t>
      </w:r>
      <w:r>
        <w:tab/>
        <w:t xml:space="preserve"> $503.25</w:t>
      </w:r>
    </w:p>
    <w:p>
      <w:pPr>
        <w:pStyle w:val="yMiscellaneousBody"/>
        <w:tabs>
          <w:tab w:val="right" w:leader="dot" w:pos="6804"/>
        </w:tabs>
        <w:spacing w:before="120"/>
        <w:ind w:left="1134" w:right="2268" w:hanging="879"/>
      </w:pPr>
      <w:r>
        <w:tab/>
        <w:t xml:space="preserve">40 mm </w:t>
      </w:r>
      <w:r>
        <w:tab/>
        <w:t xml:space="preserve"> $718.20</w:t>
      </w:r>
    </w:p>
    <w:p>
      <w:pPr>
        <w:pStyle w:val="yMiscellaneousBody"/>
        <w:tabs>
          <w:tab w:val="right" w:leader="dot" w:pos="6804"/>
        </w:tabs>
        <w:spacing w:before="120"/>
        <w:ind w:left="1134" w:right="2268" w:hanging="879"/>
      </w:pPr>
      <w:r>
        <w:tab/>
        <w:t xml:space="preserve">50 mm </w:t>
      </w:r>
      <w:r>
        <w:tab/>
        <w:t xml:space="preserve"> $841.83</w:t>
      </w:r>
    </w:p>
    <w:p>
      <w:pPr>
        <w:pStyle w:val="yMiscellaneousBody"/>
        <w:tabs>
          <w:tab w:val="left" w:leader="dot" w:pos="5954"/>
          <w:tab w:val="right" w:pos="7088"/>
        </w:tabs>
        <w:spacing w:before="120"/>
        <w:ind w:left="1134"/>
      </w:pPr>
      <w:r>
        <w:t xml:space="preserve">more than 50 mm </w:t>
      </w:r>
      <w:r>
        <w:tab/>
        <w:t xml:space="preserve"> an amount</w:t>
      </w:r>
    </w:p>
    <w:p>
      <w:pPr>
        <w:pStyle w:val="yMiscellaneousBody"/>
        <w:tabs>
          <w:tab w:val="left" w:pos="5954"/>
          <w:tab w:val="right" w:pos="7088"/>
        </w:tabs>
        <w:spacing w:before="0"/>
        <w:ind w:left="1134"/>
      </w:pPr>
      <w:r>
        <w:tab/>
        <w:t xml:space="preserve"> equal to</w:t>
      </w:r>
      <w:r>
        <w:br/>
      </w:r>
      <w:r>
        <w:tab/>
        <w:t xml:space="preserve"> the cost of</w:t>
      </w:r>
      <w:r>
        <w:br/>
      </w:r>
      <w:r>
        <w:tab/>
        <w:t xml:space="preserve"> relocation</w:t>
      </w:r>
    </w:p>
    <w:p>
      <w:pPr>
        <w:pStyle w:val="yMiscellaneousBody"/>
        <w:tabs>
          <w:tab w:val="left" w:pos="284"/>
          <w:tab w:val="right" w:leader="dot" w:pos="6804"/>
        </w:tabs>
        <w:ind w:left="879" w:right="1983"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$1 297.89</w:t>
      </w:r>
    </w:p>
    <w:p>
      <w:pPr>
        <w:pStyle w:val="yMiscellaneousBody"/>
        <w:tabs>
          <w:tab w:val="right" w:leader="dot" w:pos="6804"/>
        </w:tabs>
        <w:spacing w:before="120"/>
        <w:ind w:left="1134" w:right="2268" w:hanging="879"/>
      </w:pPr>
      <w:r>
        <w:tab/>
        <w:t xml:space="preserve">25 mm </w:t>
      </w:r>
      <w:r>
        <w:tab/>
        <w:t xml:space="preserve"> $1 313.28</w:t>
      </w:r>
    </w:p>
    <w:p>
      <w:pPr>
        <w:pStyle w:val="yMiscellaneousBody"/>
        <w:tabs>
          <w:tab w:val="right" w:leader="dot" w:pos="6804"/>
        </w:tabs>
        <w:spacing w:before="120"/>
        <w:ind w:left="1134" w:right="2268" w:hanging="879"/>
      </w:pPr>
      <w:r>
        <w:tab/>
        <w:t xml:space="preserve">40 mm </w:t>
      </w:r>
      <w:r>
        <w:tab/>
        <w:t xml:space="preserve"> $1 853.98</w:t>
      </w:r>
    </w:p>
    <w:p>
      <w:pPr>
        <w:pStyle w:val="yMiscellaneousBody"/>
        <w:tabs>
          <w:tab w:val="right" w:leader="dot" w:pos="6804"/>
        </w:tabs>
        <w:spacing w:before="120"/>
        <w:ind w:left="1134" w:right="2268" w:hanging="879"/>
      </w:pPr>
      <w:r>
        <w:tab/>
        <w:t xml:space="preserve">50 mm </w:t>
      </w:r>
      <w:r>
        <w:tab/>
        <w:t xml:space="preserve"> $2 259.77</w:t>
      </w:r>
    </w:p>
    <w:p>
      <w:pPr>
        <w:pStyle w:val="yMiscellaneousBody"/>
        <w:tabs>
          <w:tab w:val="right" w:leader="dot" w:pos="6804"/>
        </w:tabs>
        <w:spacing w:before="120"/>
        <w:ind w:left="1134" w:right="2268" w:hanging="879"/>
      </w:pPr>
      <w:r>
        <w:tab/>
        <w:t>80</w:t>
      </w:r>
      <w:r>
        <w:noBreakHyphen/>
        <w:t>100 mm</w:t>
      </w:r>
      <w:r>
        <w:tab/>
        <w:t xml:space="preserve"> $4 255.34</w:t>
      </w:r>
    </w:p>
    <w:p>
      <w:pPr>
        <w:pStyle w:val="yMiscellaneousBody"/>
        <w:tabs>
          <w:tab w:val="right" w:leader="dot" w:pos="6804"/>
        </w:tabs>
        <w:spacing w:before="120"/>
        <w:ind w:left="1134" w:right="2268" w:hanging="879"/>
      </w:pPr>
      <w:r>
        <w:tab/>
        <w:t>150 mm</w:t>
      </w:r>
      <w:r>
        <w:tab/>
        <w:t xml:space="preserve"> $5 053.56</w:t>
      </w:r>
    </w:p>
    <w:p>
      <w:pPr>
        <w:pStyle w:val="yMiscellaneousBody"/>
        <w:tabs>
          <w:tab w:val="left" w:leader="dot" w:pos="5812"/>
          <w:tab w:val="right" w:pos="7088"/>
        </w:tabs>
        <w:spacing w:before="120"/>
        <w:ind w:left="1134"/>
      </w:pPr>
      <w:r>
        <w:t xml:space="preserve">more than 150 mm </w:t>
      </w:r>
      <w:r>
        <w:tab/>
        <w:t xml:space="preserve"> an amount</w:t>
      </w:r>
    </w:p>
    <w:p>
      <w:pPr>
        <w:pStyle w:val="yMiscellaneousBody"/>
        <w:tabs>
          <w:tab w:val="left" w:pos="5812"/>
          <w:tab w:val="right" w:pos="7088"/>
        </w:tabs>
        <w:spacing w:before="0"/>
        <w:ind w:left="1134"/>
      </w:pPr>
      <w:r>
        <w:tab/>
        <w:t xml:space="preserve"> equal to</w:t>
      </w:r>
      <w:r>
        <w:br/>
      </w:r>
      <w:r>
        <w:tab/>
        <w:t xml:space="preserve"> the cost of</w:t>
      </w:r>
      <w:r>
        <w:br/>
      </w:r>
      <w:r>
        <w:tab/>
        <w:t xml:space="preserve"> relocation</w:t>
      </w:r>
    </w:p>
    <w:p>
      <w:pPr>
        <w:pStyle w:val="yMiscellaneousBody"/>
        <w:tabs>
          <w:tab w:val="left" w:pos="284"/>
          <w:tab w:val="right" w:leader="dot" w:pos="6747"/>
        </w:tabs>
        <w:ind w:left="879" w:right="1985" w:hanging="879"/>
        <w:rPr>
          <w:szCs w:val="22"/>
        </w:rPr>
      </w:pPr>
      <w:r>
        <w:tab/>
        <w:t>(3)</w:t>
      </w:r>
      <w:r>
        <w:tab/>
        <w:t xml:space="preserve">For relocating a water supply connection in relation to land in the central business districts, the charge is </w:t>
      </w:r>
      <w:r>
        <w:tab/>
        <w:t xml:space="preserve"> </w:t>
      </w:r>
      <w:r>
        <w:rPr>
          <w:szCs w:val="22"/>
        </w:rPr>
        <w:t>an amount</w:t>
      </w:r>
    </w:p>
    <w:p>
      <w:pPr>
        <w:pStyle w:val="yMiscellaneousBody"/>
        <w:tabs>
          <w:tab w:val="left" w:pos="5812"/>
          <w:tab w:val="right" w:pos="7088"/>
        </w:tabs>
        <w:spacing w:before="0"/>
        <w:ind w:left="1134"/>
      </w:pPr>
      <w:r>
        <w:tab/>
        <w:t xml:space="preserve"> equal to</w:t>
      </w:r>
      <w:r>
        <w:br/>
      </w:r>
      <w:r>
        <w:tab/>
        <w:t xml:space="preserve"> the cost of</w:t>
      </w:r>
      <w:r>
        <w:br/>
      </w:r>
      <w:r>
        <w:tab/>
        <w:t xml:space="preserve"> relocation</w:t>
      </w:r>
    </w:p>
    <w:p>
      <w:pPr>
        <w:pStyle w:val="yHeading5"/>
      </w:pPr>
      <w:bookmarkStart w:id="222" w:name="_Toc398816588"/>
      <w:r>
        <w:rPr>
          <w:rStyle w:val="CharSClsNo"/>
        </w:rPr>
        <w:t>9</w:t>
      </w:r>
      <w:r>
        <w:t>.</w:t>
      </w:r>
      <w:r>
        <w:tab/>
        <w:t>Proposal to connect to sewer</w:t>
      </w:r>
      <w:bookmarkEnd w:id="222"/>
    </w:p>
    <w:p>
      <w:pPr>
        <w:pStyle w:val="yMiscellaneousBody"/>
        <w:tabs>
          <w:tab w:val="left" w:pos="284"/>
          <w:tab w:val="right" w:leader="dot" w:pos="6804"/>
        </w:tabs>
        <w:ind w:left="879" w:right="1983" w:hanging="879"/>
      </w:pPr>
      <w:r>
        <w:tab/>
      </w:r>
      <w:r>
        <w:tab/>
        <w:t xml:space="preserve">For assessing a proposal to connect a wastewater inlet on land to a sewer, the charge is </w:t>
      </w:r>
      <w:r>
        <w:tab/>
        <w:t xml:space="preserve"> $20.47</w:t>
      </w:r>
    </w:p>
    <w:p>
      <w:pPr>
        <w:pStyle w:val="yHeading5"/>
      </w:pPr>
      <w:bookmarkStart w:id="223" w:name="_Toc398816589"/>
      <w:r>
        <w:rPr>
          <w:rStyle w:val="CharSClsNo"/>
        </w:rPr>
        <w:t>10</w:t>
      </w:r>
      <w:r>
        <w:t>.</w:t>
      </w:r>
      <w:r>
        <w:tab/>
        <w:t>Installing sewer junction</w:t>
      </w:r>
      <w:bookmarkEnd w:id="223"/>
    </w:p>
    <w:p>
      <w:pPr>
        <w:pStyle w:val="yMiscellaneousBody"/>
        <w:tabs>
          <w:tab w:val="left" w:pos="284"/>
          <w:tab w:val="right" w:leader="dot" w:pos="6804"/>
        </w:tabs>
        <w:ind w:left="879" w:right="1983" w:hanging="879"/>
      </w:pPr>
      <w:r>
        <w:tab/>
      </w:r>
      <w:r>
        <w:tab/>
        <w:t>For installing a sewer junction in respect of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$502.53</w:t>
      </w:r>
    </w:p>
    <w:p>
      <w:pPr>
        <w:pStyle w:val="yMiscellaneousBody"/>
        <w:tabs>
          <w:tab w:val="right" w:leader="dot" w:pos="6804"/>
        </w:tabs>
        <w:spacing w:before="120"/>
        <w:ind w:left="1134" w:right="2268" w:hanging="879"/>
      </w:pPr>
      <w:r>
        <w:tab/>
        <w:t xml:space="preserve">150 mm </w:t>
      </w:r>
      <w:r>
        <w:tab/>
        <w:t xml:space="preserve"> $626.48</w:t>
      </w:r>
    </w:p>
    <w:p>
      <w:pPr>
        <w:pStyle w:val="yHeading5"/>
      </w:pPr>
      <w:bookmarkStart w:id="224" w:name="_Toc398816590"/>
      <w:r>
        <w:rPr>
          <w:rStyle w:val="CharSClsNo"/>
        </w:rPr>
        <w:t>11</w:t>
      </w:r>
      <w:r>
        <w:t>.</w:t>
      </w:r>
      <w:r>
        <w:tab/>
        <w:t>Hire of standpipe for fire hydrant</w:t>
      </w:r>
      <w:bookmarkEnd w:id="224"/>
    </w:p>
    <w:p>
      <w:pPr>
        <w:pStyle w:val="yMiscellaneousBody"/>
        <w:tabs>
          <w:tab w:val="left" w:pos="284"/>
          <w:tab w:val="right" w:leader="dot" w:pos="6804"/>
        </w:tabs>
        <w:ind w:left="879" w:right="1983"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$109.27</w:t>
      </w:r>
    </w:p>
    <w:p>
      <w:pPr>
        <w:pStyle w:val="yMiscellaneousBody"/>
        <w:tabs>
          <w:tab w:val="left" w:pos="284"/>
          <w:tab w:val="right" w:leader="dot" w:pos="6804"/>
        </w:tabs>
        <w:ind w:left="879" w:right="1983"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spacing w:before="120"/>
        <w:ind w:left="1134" w:right="2268" w:hanging="879"/>
        <w:rPr>
          <w:spacing w:val="-8"/>
          <w:kern w:val="22"/>
        </w:rPr>
      </w:pPr>
      <w:r>
        <w:tab/>
        <w:t xml:space="preserve">25 mm or less </w:t>
      </w:r>
      <w:r>
        <w:tab/>
        <w:t xml:space="preserve"> </w:t>
      </w:r>
      <w:r>
        <w:rPr>
          <w:spacing w:val="-8"/>
          <w:kern w:val="22"/>
        </w:rPr>
        <w:t xml:space="preserve">$224.69/month </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rPr>
          <w:spacing w:val="-8"/>
          <w:kern w:val="22"/>
          <w:szCs w:val="22"/>
        </w:rPr>
      </w:pPr>
      <w:r>
        <w:rPr>
          <w:spacing w:val="-8"/>
          <w:kern w:val="22"/>
          <w:szCs w:val="22"/>
        </w:rPr>
        <w:tab/>
      </w:r>
      <w:r>
        <w:t xml:space="preserve">more than 25 mm </w:t>
      </w:r>
      <w:r>
        <w:tab/>
        <w:t xml:space="preserve"> </w:t>
      </w:r>
      <w:r>
        <w:rPr>
          <w:spacing w:val="-8"/>
          <w:kern w:val="22"/>
        </w:rPr>
        <w:t>$376.03</w:t>
      </w:r>
      <w:r>
        <w:rPr>
          <w:spacing w:val="-8"/>
          <w:kern w:val="22"/>
          <w:szCs w:val="22"/>
        </w:rPr>
        <w:t xml:space="preserve">/month </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pPr>
      <w:bookmarkStart w:id="225" w:name="_Toc398816591"/>
      <w:r>
        <w:rPr>
          <w:rStyle w:val="CharSClsNo"/>
        </w:rPr>
        <w:t>12</w:t>
      </w:r>
      <w:r>
        <w:t>.</w:t>
      </w:r>
      <w:r>
        <w:tab/>
        <w:t>Trade waste: routine services</w:t>
      </w:r>
      <w:bookmarkEnd w:id="225"/>
    </w:p>
    <w:p>
      <w:pPr>
        <w:pStyle w:val="yMiscellaneousBody"/>
        <w:tabs>
          <w:tab w:val="left" w:pos="284"/>
          <w:tab w:val="right" w:leader="dot" w:pos="6804"/>
        </w:tabs>
        <w:ind w:left="879" w:right="1983"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$138.27/hour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$25.24</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$293.48</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$689.59</w:t>
      </w:r>
    </w:p>
    <w:p>
      <w:pPr>
        <w:pStyle w:val="yHeading5"/>
      </w:pPr>
      <w:bookmarkStart w:id="226" w:name="_Toc398816592"/>
      <w:r>
        <w:rPr>
          <w:rStyle w:val="CharSClsNo"/>
        </w:rPr>
        <w:t>13</w:t>
      </w:r>
      <w:r>
        <w:t>.</w:t>
      </w:r>
      <w:r>
        <w:tab/>
        <w:t>Trade waste: ad hoc services</w:t>
      </w:r>
      <w:bookmarkEnd w:id="226"/>
    </w:p>
    <w:p>
      <w:pPr>
        <w:pStyle w:val="yMiscellaneousBody"/>
        <w:tabs>
          <w:tab w:val="left" w:pos="284"/>
        </w:tabs>
        <w:ind w:left="879" w:right="-2" w:hanging="879"/>
      </w:pPr>
      <w:r>
        <w:tab/>
        <w:t>(1)</w:t>
      </w:r>
      <w:r>
        <w:tab/>
        <w:t xml:space="preserve">In this item — </w:t>
      </w:r>
    </w:p>
    <w:p>
      <w:pPr>
        <w:pStyle w:val="yMiscellaneousBody"/>
        <w:tabs>
          <w:tab w:val="left" w:pos="1134"/>
        </w:tabs>
        <w:spacing w:before="80"/>
        <w:ind w:left="1134" w:right="1985" w:hanging="1276"/>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MiscellaneousBody"/>
        <w:tabs>
          <w:tab w:val="left" w:pos="1134"/>
        </w:tabs>
        <w:spacing w:before="80"/>
        <w:ind w:left="1134" w:right="1985" w:hanging="1276"/>
      </w:pPr>
      <w:r>
        <w:tab/>
      </w:r>
      <w:r>
        <w:rPr>
          <w:rStyle w:val="CharDefText"/>
        </w:rPr>
        <w:t>product evaluation</w:t>
      </w:r>
      <w:r>
        <w:t xml:space="preserve"> means the actual costs of the Water Corporation in collecting the sample, testing it and evaluating and reporting on the results, including the costs of the time of the person involved.</w:t>
      </w:r>
    </w:p>
    <w:p>
      <w:pPr>
        <w:pStyle w:val="yMiscellaneousBody"/>
        <w:tabs>
          <w:tab w:val="left" w:pos="284"/>
          <w:tab w:val="right" w:leader="dot" w:pos="6804"/>
        </w:tabs>
        <w:ind w:left="879" w:right="1983"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assessing an application to discharge </w:t>
      </w:r>
      <w:r>
        <w:tab/>
        <w:t xml:space="preserve"> $125.69/hour</w:t>
      </w:r>
    </w:p>
    <w:p>
      <w:pPr>
        <w:pStyle w:val="yMiscellaneousBody"/>
        <w:tabs>
          <w:tab w:val="left" w:pos="1134"/>
          <w:tab w:val="left" w:pos="1560"/>
          <w:tab w:val="right" w:leader="dot" w:pos="6804"/>
        </w:tabs>
        <w:spacing w:before="80"/>
        <w:ind w:left="1559" w:right="1985" w:hanging="1559"/>
      </w:pPr>
      <w:r>
        <w:tab/>
        <w:t>(b)</w:t>
      </w:r>
      <w:r>
        <w:tab/>
        <w:t xml:space="preserve">for a product evaluation </w:t>
      </w:r>
      <w:r>
        <w:tab/>
        <w:t xml:space="preserve"> $138.27/hour</w:t>
      </w:r>
    </w:p>
    <w:p>
      <w:pPr>
        <w:pStyle w:val="yMiscellaneousBody"/>
        <w:tabs>
          <w:tab w:val="left" w:pos="1134"/>
          <w:tab w:val="left" w:pos="1560"/>
          <w:tab w:val="left" w:leader="dot" w:pos="5812"/>
          <w:tab w:val="right" w:pos="6804"/>
        </w:tabs>
        <w:spacing w:before="80"/>
        <w:ind w:left="1559" w:right="1985" w:hanging="1559"/>
        <w:rPr>
          <w:szCs w:val="22"/>
        </w:rPr>
      </w:pPr>
      <w:r>
        <w:tab/>
        <w:t>(c)</w:t>
      </w:r>
      <w:r>
        <w:tab/>
        <w:t xml:space="preserve">for a grab sample </w:t>
      </w:r>
      <w:r>
        <w:tab/>
        <w:t xml:space="preserve"> </w:t>
      </w:r>
      <w:r>
        <w:rPr>
          <w:szCs w:val="22"/>
        </w:rPr>
        <w:t xml:space="preserve">an amount </w:t>
      </w:r>
    </w:p>
    <w:p>
      <w:pPr>
        <w:pStyle w:val="yMiscellaneousBody"/>
        <w:tabs>
          <w:tab w:val="left" w:pos="5812"/>
        </w:tabs>
        <w:spacing w:before="0"/>
        <w:ind w:left="1559" w:right="1985" w:hanging="155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left" w:leader="dot" w:pos="5812"/>
          <w:tab w:val="right" w:pos="6804"/>
        </w:tabs>
        <w:spacing w:before="80"/>
        <w:ind w:left="1559" w:right="1985" w:hanging="1559"/>
        <w:rPr>
          <w:szCs w:val="22"/>
        </w:rPr>
      </w:pPr>
      <w:r>
        <w:tab/>
        <w:t>(d)</w:t>
      </w:r>
      <w:r>
        <w:tab/>
        <w:t xml:space="preserve">for a composite sample </w:t>
      </w:r>
      <w:r>
        <w:tab/>
        <w:t xml:space="preserve"> </w:t>
      </w:r>
      <w:r>
        <w:rPr>
          <w:szCs w:val="22"/>
        </w:rPr>
        <w:t xml:space="preserve">an amount </w:t>
      </w:r>
    </w:p>
    <w:p>
      <w:pPr>
        <w:pStyle w:val="yMiscellaneousBody"/>
        <w:tabs>
          <w:tab w:val="left" w:pos="5812"/>
        </w:tabs>
        <w:spacing w:before="0"/>
        <w:ind w:left="1559" w:right="1985" w:hanging="155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pPr>
      <w:bookmarkStart w:id="227" w:name="_Toc398816593"/>
      <w:r>
        <w:rPr>
          <w:rStyle w:val="CharSClsNo"/>
        </w:rPr>
        <w:t>14</w:t>
      </w:r>
      <w:r>
        <w:t>.</w:t>
      </w:r>
      <w:r>
        <w:tab/>
        <w:t>Trade waste: one</w:t>
      </w:r>
      <w:r>
        <w:noBreakHyphen/>
        <w:t>off discharge services</w:t>
      </w:r>
      <w:bookmarkEnd w:id="227"/>
    </w:p>
    <w:p>
      <w:pPr>
        <w:pStyle w:val="yMiscellaneousBody"/>
        <w:tabs>
          <w:tab w:val="left" w:pos="284"/>
          <w:tab w:val="right" w:leader="dot" w:pos="6804"/>
        </w:tabs>
        <w:ind w:left="879" w:right="1983" w:hanging="879"/>
      </w:pPr>
      <w:r>
        <w:tab/>
      </w:r>
      <w:r>
        <w:tab/>
        <w:t>For a one</w:t>
      </w:r>
      <w:r>
        <w:noBreakHyphen/>
        <w:t xml:space="preserve">off discharge of trade waste into a sewer of the Water Corporation, the charge is </w:t>
      </w:r>
      <w:r>
        <w:tab/>
        <w:t xml:space="preserve"> $125.69/hour</w:t>
      </w:r>
    </w:p>
    <w:p>
      <w:pPr>
        <w:pStyle w:val="yHeading5"/>
      </w:pPr>
      <w:bookmarkStart w:id="228" w:name="_Toc398816594"/>
      <w:r>
        <w:rPr>
          <w:rStyle w:val="CharSClsNo"/>
        </w:rPr>
        <w:t>15</w:t>
      </w:r>
      <w:r>
        <w:t>.</w:t>
      </w:r>
      <w:r>
        <w:tab/>
        <w:t>Meter reading and other information</w:t>
      </w:r>
      <w:bookmarkEnd w:id="228"/>
    </w:p>
    <w:p>
      <w:pPr>
        <w:pStyle w:val="yMiscellaneousBody"/>
        <w:tabs>
          <w:tab w:val="left" w:pos="284"/>
          <w:tab w:val="right" w:leader="dot" w:pos="6804"/>
        </w:tabs>
        <w:ind w:left="879" w:right="1983"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$16.31</w:t>
      </w:r>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$54.79</w:t>
      </w:r>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in respect of land (request lodged electronically) and a meter reading, the charge is </w:t>
      </w:r>
      <w:r>
        <w:tab/>
        <w:t xml:space="preserve"> $43.30</w:t>
      </w:r>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in respect of land (request lodged electronically) and an urgent meter reading, the charge is </w:t>
      </w:r>
      <w:r>
        <w:tab/>
        <w:t xml:space="preserve"> $81.67</w:t>
      </w:r>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in respect of land (request not lodged electronically) and a meter reading, the charge is </w:t>
      </w:r>
      <w:r>
        <w:tab/>
        <w:t xml:space="preserve"> $74.28</w:t>
      </w:r>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in respect of land (request not lodged electronically) and an urgent meter reading, the charge is </w:t>
      </w:r>
      <w:r>
        <w:tab/>
        <w:t xml:space="preserve"> $112.35</w:t>
      </w:r>
    </w:p>
    <w:p>
      <w:pPr>
        <w:pStyle w:val="yMiscellaneousBody"/>
        <w:tabs>
          <w:tab w:val="left" w:pos="1134"/>
          <w:tab w:val="left" w:pos="1560"/>
          <w:tab w:val="right" w:leader="dot" w:pos="6804"/>
        </w:tabs>
        <w:spacing w:before="80"/>
        <w:ind w:left="1559" w:right="1985" w:hanging="1559"/>
        <w:rPr>
          <w:szCs w:val="22"/>
        </w:rPr>
      </w:pPr>
      <w:r>
        <w:tab/>
        <w:t>(g)</w:t>
      </w:r>
      <w:r>
        <w:tab/>
        <w:t xml:space="preserve">the provision of information not covered by paragraphs (a) to (f), involving research or investigation of more than 15 minutes, the charge is </w:t>
      </w:r>
      <w:r>
        <w:tab/>
        <w:t xml:space="preserve"> $82.08</w:t>
      </w:r>
      <w:r>
        <w:rPr>
          <w:szCs w:val="22"/>
        </w:rPr>
        <w:t>/hour</w:t>
      </w:r>
    </w:p>
    <w:p>
      <w:pPr>
        <w:pStyle w:val="yMiscellaneousBody"/>
        <w:tabs>
          <w:tab w:val="right" w:pos="6804"/>
        </w:tabs>
        <w:spacing w:before="0"/>
        <w:ind w:left="1559" w:right="1985" w:hanging="1559"/>
      </w:pPr>
      <w:r>
        <w:rPr>
          <w:szCs w:val="22"/>
        </w:rPr>
        <w:tab/>
      </w:r>
      <w:r>
        <w:rPr>
          <w:szCs w:val="22"/>
        </w:rPr>
        <w:tab/>
        <w:t>or part hour</w:t>
      </w:r>
    </w:p>
    <w:p>
      <w:pPr>
        <w:pStyle w:val="yHeading5"/>
      </w:pPr>
      <w:bookmarkStart w:id="229" w:name="_Toc398816595"/>
      <w:r>
        <w:rPr>
          <w:rStyle w:val="CharSClsNo"/>
        </w:rPr>
        <w:t>16</w:t>
      </w:r>
      <w:r>
        <w:t>.</w:t>
      </w:r>
      <w:r>
        <w:tab/>
        <w:t>Plans and diagrams of property sewer connections or sewerage works</w:t>
      </w:r>
      <w:bookmarkEnd w:id="229"/>
    </w:p>
    <w:p>
      <w:pPr>
        <w:pStyle w:val="yTableNAm"/>
        <w:tabs>
          <w:tab w:val="clear" w:pos="567"/>
          <w:tab w:val="left" w:pos="296"/>
          <w:tab w:val="right" w:leader="dot" w:pos="4536"/>
        </w:tabs>
        <w:ind w:left="743" w:hanging="743"/>
      </w:pPr>
      <w:r>
        <w:tab/>
        <w:t>(1)</w:t>
      </w:r>
      <w:r>
        <w:tab/>
        <w:t xml:space="preserve">For — </w:t>
      </w:r>
    </w:p>
    <w:p>
      <w:pPr>
        <w:pStyle w:val="yMiscellaneousBody"/>
        <w:tabs>
          <w:tab w:val="left" w:pos="1134"/>
          <w:tab w:val="left" w:pos="1560"/>
          <w:tab w:val="right" w:leader="dot" w:pos="6804"/>
        </w:tabs>
        <w:spacing w:before="80"/>
        <w:ind w:left="1559" w:right="2041" w:hanging="1559"/>
      </w:pPr>
      <w:r>
        <w:tab/>
        <w:t>(a)</w:t>
      </w:r>
      <w:r>
        <w:tab/>
        <w:t xml:space="preserve">the supply, in hard copy form, of a copy of, or extract from, records or plans of mains, sewers, drains and other works of the Water Corporation (including where reduced to A4 size), the charge is </w:t>
      </w:r>
      <w:r>
        <w:tab/>
        <w:t xml:space="preserve"> $16.72</w:t>
      </w:r>
    </w:p>
    <w:p>
      <w:pPr>
        <w:pStyle w:val="yMiscellaneousBody"/>
        <w:tabs>
          <w:tab w:val="left" w:pos="1134"/>
          <w:tab w:val="left" w:pos="1560"/>
          <w:tab w:val="right" w:leader="dot" w:pos="6804"/>
        </w:tabs>
        <w:spacing w:before="80"/>
        <w:ind w:left="1559" w:right="1985" w:hanging="1559"/>
      </w:pPr>
      <w:r>
        <w:tab/>
        <w:t>(b)</w:t>
      </w:r>
      <w:r>
        <w:tab/>
        <w:t xml:space="preserve">a property sewer connection diagram in hard copy form (per A4 copy), the charge is </w:t>
      </w:r>
      <w:r>
        <w:tab/>
        <w:t xml:space="preserve"> $16.72</w:t>
      </w:r>
    </w:p>
    <w:p>
      <w:pPr>
        <w:pStyle w:val="yMiscellaneousBody"/>
        <w:tabs>
          <w:tab w:val="left" w:pos="1134"/>
          <w:tab w:val="left" w:pos="1560"/>
          <w:tab w:val="right" w:leader="dot" w:pos="6804"/>
        </w:tabs>
        <w:spacing w:before="80"/>
        <w:ind w:left="1559" w:right="1985" w:hanging="1559"/>
      </w:pPr>
      <w:r>
        <w:tab/>
        <w:t>(c)</w:t>
      </w:r>
      <w:r>
        <w:tab/>
        <w:t xml:space="preserve">an electronic plan of sewerage works of the Water Corporation for a property, the charge is </w:t>
      </w:r>
      <w:r>
        <w:tab/>
        <w:t xml:space="preserve"> $17.49</w:t>
      </w:r>
    </w:p>
    <w:p>
      <w:pPr>
        <w:pStyle w:val="yMiscellaneousBody"/>
        <w:tabs>
          <w:tab w:val="left" w:pos="284"/>
          <w:tab w:val="right" w:leader="dot" w:pos="6804"/>
        </w:tabs>
        <w:ind w:left="879" w:right="1983" w:hanging="879"/>
      </w:pPr>
      <w:r>
        <w:tab/>
        <w:t>(2)</w:t>
      </w:r>
      <w:r>
        <w:tab/>
        <w:t xml:space="preserve">This item does not apply to the provision of plans of drainage plumbing covered by the </w:t>
      </w:r>
      <w:r>
        <w:rPr>
          <w:i/>
        </w:rPr>
        <w:t>Water Services Regulations 2013</w:t>
      </w:r>
      <w:r>
        <w:t xml:space="preserve"> regulation 53.</w:t>
      </w:r>
    </w:p>
    <w:p>
      <w:pPr>
        <w:pStyle w:val="yHeading5"/>
      </w:pPr>
      <w:bookmarkStart w:id="230" w:name="_Toc398816596"/>
      <w:r>
        <w:rPr>
          <w:rStyle w:val="CharSClsNo"/>
        </w:rPr>
        <w:t>17</w:t>
      </w:r>
      <w:r>
        <w:t>.</w:t>
      </w:r>
      <w:r>
        <w:tab/>
        <w:t>Copies of records</w:t>
      </w:r>
      <w:bookmarkEnd w:id="230"/>
    </w:p>
    <w:p>
      <w:pPr>
        <w:pStyle w:val="yMiscellaneousBody"/>
        <w:tabs>
          <w:tab w:val="left" w:pos="284"/>
          <w:tab w:val="right" w:leader="dot" w:pos="6804"/>
        </w:tabs>
        <w:ind w:left="879" w:right="1983" w:hanging="879"/>
      </w:pPr>
      <w:r>
        <w:tab/>
      </w:r>
      <w:r>
        <w:tab/>
        <w:t xml:space="preserve">For a copy of records under the </w:t>
      </w:r>
      <w:r>
        <w:rPr>
          <w:i/>
        </w:rPr>
        <w:t>Water Services Regulations 2013</w:t>
      </w:r>
      <w:r>
        <w:t xml:space="preserve"> regulation 65(4)(b), the charge is </w:t>
      </w:r>
      <w:r>
        <w:tab/>
        <w:t xml:space="preserve"> $16.72</w:t>
      </w:r>
    </w:p>
    <w:p>
      <w:pPr>
        <w:sectPr>
          <w:headerReference w:type="even" r:id="rId27"/>
          <w:headerReference w:type="default" r:id="rId28"/>
          <w:pgSz w:w="11906" w:h="16838" w:code="9"/>
          <w:pgMar w:top="2381" w:right="2410" w:bottom="3544" w:left="2410" w:header="720" w:footer="3380" w:gutter="0"/>
          <w:cols w:space="720"/>
          <w:docGrid w:linePitch="326"/>
        </w:sectPr>
      </w:pPr>
    </w:p>
    <w:p>
      <w:pPr>
        <w:pStyle w:val="yScheduleHeading"/>
      </w:pPr>
      <w:bookmarkStart w:id="231" w:name="_Toc398816597"/>
      <w:r>
        <w:rPr>
          <w:rStyle w:val="CharSchNo"/>
        </w:rPr>
        <w:t>Schedule 8</w:t>
      </w:r>
      <w:r>
        <w:rPr>
          <w:rStyle w:val="CharSDivNo"/>
        </w:rPr>
        <w:t> </w:t>
      </w:r>
      <w:r>
        <w:t>—</w:t>
      </w:r>
      <w:r>
        <w:rPr>
          <w:rStyle w:val="CharSDivText"/>
        </w:rPr>
        <w:t> </w:t>
      </w:r>
      <w:r>
        <w:rPr>
          <w:rStyle w:val="CharSchText"/>
        </w:rPr>
        <w:t>Government trading organisations</w:t>
      </w:r>
      <w:bookmarkEnd w:id="231"/>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in Gazette 19 Sep 2014 p. 3345.]</w:t>
      </w:r>
    </w:p>
    <w:p>
      <w:pPr>
        <w:pStyle w:val="yScheduleHeading"/>
      </w:pPr>
      <w:bookmarkStart w:id="232" w:name="_Toc398816598"/>
      <w:r>
        <w:rPr>
          <w:rStyle w:val="CharSchNo"/>
        </w:rPr>
        <w:t>Schedule 9</w:t>
      </w:r>
      <w:r>
        <w:rPr>
          <w:rStyle w:val="CharSDivNo"/>
        </w:rPr>
        <w:t> </w:t>
      </w:r>
      <w:r>
        <w:t>—</w:t>
      </w:r>
      <w:r>
        <w:rPr>
          <w:rStyle w:val="CharSDivText"/>
        </w:rPr>
        <w:t> </w:t>
      </w:r>
      <w:r>
        <w:rPr>
          <w:rStyle w:val="CharSchText"/>
        </w:rPr>
        <w:t>Central business districts</w:t>
      </w:r>
      <w:bookmarkEnd w:id="232"/>
    </w:p>
    <w:p>
      <w:pPr>
        <w:pStyle w:val="yShoulderClause"/>
      </w:pPr>
      <w:r>
        <w:t>[r. 16(1)]</w:t>
      </w:r>
    </w:p>
    <w:p>
      <w:pPr>
        <w:pStyle w:val="yHeading5"/>
      </w:pPr>
      <w:bookmarkStart w:id="233" w:name="_Toc398816599"/>
      <w:r>
        <w:rPr>
          <w:rStyle w:val="CharSClsNo"/>
        </w:rPr>
        <w:t>1</w:t>
      </w:r>
      <w:r>
        <w:t>.</w:t>
      </w:r>
      <w:r>
        <w:tab/>
        <w:t>Central business districts</w:t>
      </w:r>
      <w:bookmarkEnd w:id="233"/>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cheduleHeading"/>
      </w:pPr>
      <w:bookmarkStart w:id="234" w:name="_Toc398816600"/>
      <w:r>
        <w:rPr>
          <w:rStyle w:val="CharSchNo"/>
        </w:rPr>
        <w:t>Schedule 10</w:t>
      </w:r>
      <w:r>
        <w:rPr>
          <w:rStyle w:val="CharSDivNo"/>
        </w:rPr>
        <w:t> </w:t>
      </w:r>
      <w:r>
        <w:t>—</w:t>
      </w:r>
      <w:r>
        <w:rPr>
          <w:rStyle w:val="CharSDivText"/>
        </w:rPr>
        <w:t> </w:t>
      </w:r>
      <w:r>
        <w:rPr>
          <w:rStyle w:val="CharSchText"/>
        </w:rPr>
        <w:t>Class of town or area: current consumption year</w:t>
      </w:r>
      <w:bookmarkEnd w:id="234"/>
    </w:p>
    <w:p>
      <w:pPr>
        <w:pStyle w:val="yShoulderClause"/>
        <w:spacing w:after="120"/>
      </w:pPr>
      <w:r>
        <w:t>[Sch. 3 it. 24]</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1684"/>
        <w:gridCol w:w="1685"/>
      </w:tblGrid>
      <w:tr>
        <w:trPr>
          <w:tblHeader/>
        </w:trPr>
        <w:tc>
          <w:tcPr>
            <w:tcW w:w="2868" w:type="dxa"/>
            <w:tcBorders>
              <w:top w:val="single" w:sz="4" w:space="0" w:color="auto"/>
              <w:left w:val="nil"/>
              <w:bottom w:val="single" w:sz="4" w:space="0" w:color="auto"/>
              <w:right w:val="nil"/>
            </w:tcBorders>
          </w:tcPr>
          <w:p>
            <w:pPr>
              <w:pStyle w:val="yTableNAm"/>
              <w:spacing w:before="100"/>
              <w:jc w:val="center"/>
            </w:pPr>
            <w:r>
              <w:rPr>
                <w:b/>
                <w:bCs/>
              </w:rPr>
              <w:t>Town/area</w:t>
            </w:r>
          </w:p>
        </w:tc>
        <w:tc>
          <w:tcPr>
            <w:tcW w:w="1684" w:type="dxa"/>
            <w:tcBorders>
              <w:top w:val="single" w:sz="4" w:space="0" w:color="auto"/>
              <w:left w:val="nil"/>
              <w:bottom w:val="single" w:sz="4" w:space="0" w:color="auto"/>
              <w:right w:val="nil"/>
            </w:tcBorders>
          </w:tcPr>
          <w:p>
            <w:pPr>
              <w:pStyle w:val="yTableNAm"/>
              <w:spacing w:before="100"/>
              <w:jc w:val="center"/>
            </w:pPr>
            <w:r>
              <w:rPr>
                <w:b/>
                <w:bCs/>
              </w:rPr>
              <w:t>Residential classification</w:t>
            </w:r>
          </w:p>
        </w:tc>
        <w:tc>
          <w:tcPr>
            <w:tcW w:w="1685" w:type="dxa"/>
            <w:tcBorders>
              <w:top w:val="single" w:sz="4" w:space="0" w:color="auto"/>
              <w:left w:val="nil"/>
              <w:bottom w:val="single" w:sz="4" w:space="0" w:color="auto"/>
              <w:right w:val="nil"/>
            </w:tcBorders>
          </w:tcPr>
          <w:p>
            <w:pPr>
              <w:pStyle w:val="yTableNAm"/>
              <w:spacing w:before="100"/>
              <w:jc w:val="center"/>
            </w:pPr>
            <w:r>
              <w:rPr>
                <w:b/>
                <w:bCs/>
              </w:rPr>
              <w:t>Non</w:t>
            </w:r>
            <w:r>
              <w:rPr>
                <w:b/>
                <w:bCs/>
              </w:rPr>
              <w:noBreakHyphen/>
              <w:t>residential classification</w:t>
            </w:r>
          </w:p>
        </w:tc>
      </w:tr>
      <w:tr>
        <w:tc>
          <w:tcPr>
            <w:tcW w:w="2868" w:type="dxa"/>
            <w:tcBorders>
              <w:top w:val="single" w:sz="4" w:space="0" w:color="auto"/>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Albany</w:t>
                </w:r>
              </w:smartTag>
            </w:smartTag>
          </w:p>
        </w:tc>
        <w:tc>
          <w:tcPr>
            <w:tcW w:w="1684" w:type="dxa"/>
            <w:tcBorders>
              <w:top w:val="single" w:sz="4" w:space="0" w:color="auto"/>
              <w:left w:val="nil"/>
              <w:bottom w:val="nil"/>
              <w:right w:val="nil"/>
            </w:tcBorders>
            <w:vAlign w:val="bottom"/>
          </w:tcPr>
          <w:p>
            <w:pPr>
              <w:pStyle w:val="yTableNAm"/>
              <w:jc w:val="center"/>
              <w:rPr>
                <w:szCs w:val="24"/>
              </w:rPr>
            </w:pPr>
            <w:r>
              <w:t>4</w:t>
            </w:r>
          </w:p>
        </w:tc>
        <w:tc>
          <w:tcPr>
            <w:tcW w:w="1685" w:type="dxa"/>
            <w:tcBorders>
              <w:top w:val="single" w:sz="4" w:space="0" w:color="auto"/>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Albany</w:t>
                </w:r>
              </w:smartTag>
            </w:smartTag>
            <w:r>
              <w:rPr>
                <w:szCs w:val="22"/>
              </w:rPr>
              <w:t xml:space="preserve"> Farmlands</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Allanooka Farmlands</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Allanson</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Arrino</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Arrowsmith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Augusta</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Australind/Eaton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Badgingarra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Bakers Hill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Balingup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Ballidu</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Beacon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Bencubbin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Beverley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Bindi Bindi</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Bindoon/Chittering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Binningup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Bodallin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Boddington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Bolgart</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Borden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Boyanup</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Boyup Brook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Bremer</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Bridgetown/Hester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Broad Arrow</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Brookton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Broome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Broomehill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Bruce Rock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Brunswick/Burekup/Roelands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Bullaring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Bullfinch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Bunjil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Buntine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Burracoppin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Calingiri</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Camballin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Capel</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Carnamah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Carnarvon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Caron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Cervantes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Collie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Collie Farmlands</w:t>
            </w:r>
          </w:p>
        </w:tc>
        <w:tc>
          <w:tcPr>
            <w:tcW w:w="1684" w:type="dxa"/>
            <w:tcBorders>
              <w:top w:val="nil"/>
              <w:left w:val="nil"/>
              <w:bottom w:val="nil"/>
              <w:right w:val="nil"/>
            </w:tcBorders>
            <w:vAlign w:val="bottom"/>
          </w:tcPr>
          <w:p>
            <w:pPr>
              <w:pStyle w:val="yTableNAm"/>
              <w:jc w:val="center"/>
              <w:rPr>
                <w:szCs w:val="24"/>
              </w:rPr>
            </w:pPr>
            <w:r>
              <w:t>1</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Condingup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Coolgardie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Coomberdale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Coorow</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Coral</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N/A</w:t>
            </w:r>
          </w:p>
        </w:tc>
      </w:tr>
      <w:tr>
        <w:tc>
          <w:tcPr>
            <w:tcW w:w="2868" w:type="dxa"/>
            <w:tcBorders>
              <w:top w:val="nil"/>
              <w:left w:val="nil"/>
              <w:bottom w:val="nil"/>
              <w:right w:val="nil"/>
            </w:tcBorders>
            <w:vAlign w:val="center"/>
          </w:tcPr>
          <w:p>
            <w:pPr>
              <w:pStyle w:val="yTableNAm"/>
              <w:spacing w:before="100"/>
            </w:pPr>
            <w:r>
              <w:rPr>
                <w:szCs w:val="22"/>
              </w:rPr>
              <w:t>Corrigin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Cowaramup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Cranbrook</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Cuballing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Cue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Cunderdin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Dalwallinu</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Dalyellup</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4</w:t>
            </w:r>
          </w:p>
        </w:tc>
      </w:tr>
      <w:tr>
        <w:tc>
          <w:tcPr>
            <w:tcW w:w="2868" w:type="dxa"/>
            <w:tcBorders>
              <w:top w:val="nil"/>
              <w:left w:val="nil"/>
              <w:bottom w:val="nil"/>
              <w:right w:val="nil"/>
            </w:tcBorders>
            <w:vAlign w:val="center"/>
          </w:tcPr>
          <w:p>
            <w:pPr>
              <w:pStyle w:val="yTableNAm"/>
              <w:spacing w:before="100"/>
            </w:pPr>
            <w:r>
              <w:rPr>
                <w:szCs w:val="22"/>
              </w:rPr>
              <w:t>Dandaragan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tcPr>
          <w:p>
            <w:pPr>
              <w:pStyle w:val="yTableNAm"/>
              <w:spacing w:before="100"/>
            </w:pPr>
            <w:r>
              <w:rPr>
                <w:szCs w:val="22"/>
              </w:rPr>
              <w:t>Dardanup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Darkan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Dathagnoorara Farmlands</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Denham (Saline)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ountry-region">
                <w:r>
                  <w:rPr>
                    <w:szCs w:val="22"/>
                  </w:rPr>
                  <w:t>Denmark</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Derby</w:t>
                </w:r>
              </w:smartTag>
            </w:smartTag>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Dongara/Denison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Donnybrook</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Doodlakine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Dowerin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Dudinin/Harrismith/Jitarning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Dumbleyung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Dunsborough/Yallingup</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Dwellingup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Eneabba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Eradu</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Esperance</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Exmouth</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Fitzroy Crossing</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Frankland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Gabbadah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Gascoyne Junction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Geraldton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Gibson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Gingin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Gnarabup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Gnowangerup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Goomalling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Grass Patch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Grass</w:t>
                </w:r>
              </w:smartTag>
              <w:r>
                <w:rPr>
                  <w:szCs w:val="22"/>
                </w:rPr>
                <w:t xml:space="preserve"> </w:t>
              </w:r>
              <w:smartTag w:uri="urn:schemas-microsoft-com:office:smarttags" w:element="PlaceType">
                <w:r>
                  <w:rPr>
                    <w:szCs w:val="22"/>
                  </w:rPr>
                  <w:t>Valley</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Greenbushes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Greenhead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Guilderton</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Halls Creek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Hamel/Waroona</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Harvey/Wokalup</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Highbury/Piesseville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Hines Hill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Hopetoun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Horrocks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Hyden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Jerramungup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Jurien</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4</w:t>
            </w:r>
          </w:p>
        </w:tc>
      </w:tr>
      <w:tr>
        <w:tc>
          <w:tcPr>
            <w:tcW w:w="2868" w:type="dxa"/>
            <w:tcBorders>
              <w:top w:val="nil"/>
              <w:left w:val="nil"/>
              <w:bottom w:val="nil"/>
              <w:right w:val="nil"/>
            </w:tcBorders>
            <w:vAlign w:val="center"/>
          </w:tcPr>
          <w:p>
            <w:pPr>
              <w:pStyle w:val="yTableNAm"/>
              <w:spacing w:before="100"/>
            </w:pPr>
            <w:r>
              <w:rPr>
                <w:szCs w:val="22"/>
              </w:rPr>
              <w:t>Kalannie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Kalbarri</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3</w:t>
            </w:r>
          </w:p>
        </w:tc>
      </w:tr>
      <w:tr>
        <w:tc>
          <w:tcPr>
            <w:tcW w:w="2868" w:type="dxa"/>
            <w:tcBorders>
              <w:top w:val="nil"/>
              <w:left w:val="nil"/>
              <w:bottom w:val="nil"/>
              <w:right w:val="nil"/>
            </w:tcBorders>
            <w:vAlign w:val="center"/>
          </w:tcPr>
          <w:p>
            <w:pPr>
              <w:pStyle w:val="yTableNAm"/>
              <w:spacing w:before="100"/>
            </w:pPr>
            <w:r>
              <w:rPr>
                <w:szCs w:val="22"/>
              </w:rPr>
              <w:t>Kalgoorlie/Boulder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Kambalda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Karakin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Karlgarin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Karratha</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Katanning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Katanning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Kellerberrin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Kendenup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Kendenup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Kirup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Kojonup/Muradup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Kondinin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Koorda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Kukerin/Moulyinning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Kulin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Kununoppin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tcPr>
          <w:p>
            <w:pPr>
              <w:pStyle w:val="yTableNAm"/>
              <w:spacing w:before="100"/>
            </w:pPr>
            <w:r>
              <w:rPr>
                <w:szCs w:val="22"/>
              </w:rPr>
              <w:t>Kununurra</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3</w:t>
            </w:r>
          </w:p>
        </w:tc>
      </w:tr>
      <w:tr>
        <w:tc>
          <w:tcPr>
            <w:tcW w:w="2868" w:type="dxa"/>
            <w:tcBorders>
              <w:top w:val="nil"/>
              <w:left w:val="nil"/>
              <w:bottom w:val="nil"/>
              <w:right w:val="nil"/>
            </w:tcBorders>
            <w:vAlign w:val="center"/>
          </w:tcPr>
          <w:p>
            <w:pPr>
              <w:pStyle w:val="yTableNAm"/>
              <w:spacing w:before="100"/>
            </w:pPr>
            <w:r>
              <w:rPr>
                <w:szCs w:val="22"/>
              </w:rPr>
              <w:t xml:space="preserve">Lake </w:t>
            </w:r>
            <w:smartTag w:uri="urn:schemas-microsoft-com:office:smarttags" w:element="PlaceName">
              <w:r>
                <w:rPr>
                  <w:szCs w:val="22"/>
                </w:rPr>
                <w:t>Grace</w:t>
              </w:r>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Lake</w:t>
                </w:r>
              </w:smartTag>
              <w:r>
                <w:rPr>
                  <w:szCs w:val="22"/>
                </w:rPr>
                <w:t xml:space="preserve"> </w:t>
              </w:r>
              <w:smartTag w:uri="urn:schemas-microsoft-com:office:smarttags" w:element="PlaceName">
                <w:r>
                  <w:rPr>
                    <w:szCs w:val="22"/>
                  </w:rPr>
                  <w:t>King</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Lancelin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Latham</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Laverton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Ledge Point</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Leeman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Leonora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Mandurah</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4</w:t>
            </w:r>
          </w:p>
        </w:tc>
      </w:tr>
      <w:tr>
        <w:tc>
          <w:tcPr>
            <w:tcW w:w="2868" w:type="dxa"/>
            <w:tcBorders>
              <w:top w:val="nil"/>
              <w:left w:val="nil"/>
              <w:bottom w:val="nil"/>
              <w:right w:val="nil"/>
            </w:tcBorders>
            <w:vAlign w:val="center"/>
          </w:tcPr>
          <w:p>
            <w:pPr>
              <w:pStyle w:val="yTableNAm"/>
              <w:spacing w:before="100"/>
            </w:pPr>
            <w:r>
              <w:rPr>
                <w:szCs w:val="22"/>
              </w:rPr>
              <w:t>Manjimup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Marble Bar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Margaret</w:t>
                </w:r>
              </w:smartTag>
              <w:r>
                <w:rPr>
                  <w:szCs w:val="22"/>
                </w:rPr>
                <w:t xml:space="preserve"> </w:t>
              </w:r>
              <w:smartTag w:uri="urn:schemas-microsoft-com:office:smarttags" w:element="PlaceName">
                <w:r>
                  <w:rPr>
                    <w:szCs w:val="22"/>
                  </w:rPr>
                  <w:t>River</w:t>
                </w:r>
              </w:smartTag>
            </w:smartTag>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 xml:space="preserve">Marvel </w:t>
            </w:r>
            <w:smartTag w:uri="urn:schemas-microsoft-com:office:smarttags" w:element="place">
              <w:r>
                <w:rPr>
                  <w:szCs w:val="22"/>
                </w:rPr>
                <w:t>Loch</w:t>
              </w:r>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Meckering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Meekatharra</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Menzies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Merredin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Merredin Farmlands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Miling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Mingenew</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Moora</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3</w:t>
            </w:r>
          </w:p>
        </w:tc>
      </w:tr>
      <w:tr>
        <w:tc>
          <w:tcPr>
            <w:tcW w:w="2868" w:type="dxa"/>
            <w:tcBorders>
              <w:top w:val="nil"/>
              <w:left w:val="nil"/>
              <w:bottom w:val="nil"/>
              <w:right w:val="nil"/>
            </w:tcBorders>
            <w:vAlign w:val="center"/>
          </w:tcPr>
          <w:p>
            <w:pPr>
              <w:pStyle w:val="yTableNAm"/>
              <w:spacing w:before="100"/>
            </w:pPr>
            <w:r>
              <w:rPr>
                <w:szCs w:val="22"/>
              </w:rPr>
              <w:t>Moorine Rock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Morawa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Barker</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Magnet</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Roe</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Mukinbudin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Mullalyup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Mullewa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Mullewa Farmlands</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13</w:t>
            </w:r>
          </w:p>
        </w:tc>
      </w:tr>
      <w:tr>
        <w:tc>
          <w:tcPr>
            <w:tcW w:w="2868" w:type="dxa"/>
            <w:tcBorders>
              <w:top w:val="nil"/>
              <w:left w:val="nil"/>
              <w:bottom w:val="nil"/>
              <w:right w:val="nil"/>
            </w:tcBorders>
            <w:vAlign w:val="center"/>
          </w:tcPr>
          <w:p>
            <w:pPr>
              <w:pStyle w:val="yTableNAm"/>
              <w:spacing w:before="100"/>
            </w:pPr>
            <w:r>
              <w:rPr>
                <w:szCs w:val="22"/>
              </w:rPr>
              <w:t>Munglinup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Muntadgin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Myalup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Nabawa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Nannup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Narembeen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Narngulu</w:t>
            </w:r>
          </w:p>
        </w:tc>
        <w:tc>
          <w:tcPr>
            <w:tcW w:w="1684" w:type="dxa"/>
            <w:tcBorders>
              <w:top w:val="nil"/>
              <w:left w:val="nil"/>
              <w:bottom w:val="nil"/>
              <w:right w:val="nil"/>
            </w:tcBorders>
            <w:vAlign w:val="bottom"/>
          </w:tcPr>
          <w:p>
            <w:pPr>
              <w:pStyle w:val="yTableNAm"/>
              <w:jc w:val="center"/>
              <w:rPr>
                <w:szCs w:val="24"/>
              </w:rPr>
            </w:pPr>
            <w:r>
              <w:t>1</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Narrikup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Narrogin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Narrogin Farmlands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New Norcia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Newdegate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Newman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Nilgen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Norseman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North Dandalup</w:t>
              </w:r>
            </w:smartTag>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Northam</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Northam Farmlands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Northampton</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Northcliffe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Nullagine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Nungarin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Nyabing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Ongerup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Onslow</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Ora Banda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Park Ridge</w:t>
                </w:r>
              </w:smartTag>
            </w:smartTag>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Pemberton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Peppermint</w:t>
                </w:r>
              </w:smartTag>
              <w:r>
                <w:rPr>
                  <w:szCs w:val="22"/>
                </w:rPr>
                <w:t xml:space="preserve"> </w:t>
              </w:r>
              <w:smartTag w:uri="urn:schemas-microsoft-com:office:smarttags" w:element="PlaceType">
                <w:r>
                  <w:rPr>
                    <w:szCs w:val="22"/>
                  </w:rPr>
                  <w:t>Grove</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13</w:t>
            </w:r>
          </w:p>
        </w:tc>
      </w:tr>
      <w:tr>
        <w:tc>
          <w:tcPr>
            <w:tcW w:w="2868" w:type="dxa"/>
            <w:tcBorders>
              <w:top w:val="nil"/>
              <w:left w:val="nil"/>
              <w:bottom w:val="nil"/>
              <w:right w:val="nil"/>
            </w:tcBorders>
            <w:vAlign w:val="center"/>
          </w:tcPr>
          <w:p>
            <w:pPr>
              <w:pStyle w:val="yTableNAm"/>
              <w:spacing w:before="100"/>
            </w:pPr>
            <w:r>
              <w:rPr>
                <w:szCs w:val="22"/>
              </w:rPr>
              <w:t>Perenjori</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Pingaring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Pingelly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Pingrup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Pinjarra</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Pithara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Point Samson</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Popanyinning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Porongurup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Porongurup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Port Hedland</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Preston</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Quairading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Quinninup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Ravensthorpe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Rocky Gully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Roebourne</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Salmon Gums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Sandstone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Seabird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South Hedland</w:t>
              </w:r>
            </w:smartTag>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Southern Cross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Tambellup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Tammin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Three Springs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Tincurrin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Toodyay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Trayning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Varley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Wagin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Walkaway</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Walpole</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Wandering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Watheroo</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Wellstead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Westonia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Wickepin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Wickham</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Widgiemooltha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Williams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Wiluna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Wongan Hills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Woodanilling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Woodridge</w:t>
              </w:r>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Wubin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Wundowie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Wyalkatchem</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Wyndham</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Yalgoo</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rPr>
                <w:szCs w:val="22"/>
              </w:rPr>
            </w:pPr>
            <w:r>
              <w:rPr>
                <w:szCs w:val="22"/>
              </w:rPr>
              <w:t>Yarloop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Yealering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Yerecoin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York</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single" w:sz="4" w:space="0" w:color="auto"/>
              <w:right w:val="nil"/>
            </w:tcBorders>
            <w:vAlign w:val="center"/>
          </w:tcPr>
          <w:p>
            <w:pPr>
              <w:pStyle w:val="yTableNAm"/>
              <w:spacing w:before="100"/>
            </w:pPr>
            <w:r>
              <w:rPr>
                <w:szCs w:val="22"/>
              </w:rPr>
              <w:t>Yuna</w:t>
            </w:r>
          </w:p>
        </w:tc>
        <w:tc>
          <w:tcPr>
            <w:tcW w:w="1684" w:type="dxa"/>
            <w:tcBorders>
              <w:top w:val="nil"/>
              <w:left w:val="nil"/>
              <w:bottom w:val="single" w:sz="4" w:space="0" w:color="auto"/>
              <w:right w:val="nil"/>
            </w:tcBorders>
            <w:vAlign w:val="bottom"/>
          </w:tcPr>
          <w:p>
            <w:pPr>
              <w:pStyle w:val="yTableNAm"/>
              <w:jc w:val="center"/>
              <w:rPr>
                <w:szCs w:val="24"/>
              </w:rPr>
            </w:pPr>
            <w:r>
              <w:t>5</w:t>
            </w:r>
          </w:p>
        </w:tc>
        <w:tc>
          <w:tcPr>
            <w:tcW w:w="1685" w:type="dxa"/>
            <w:tcBorders>
              <w:top w:val="nil"/>
              <w:left w:val="nil"/>
              <w:bottom w:val="single" w:sz="4" w:space="0" w:color="auto"/>
              <w:right w:val="nil"/>
            </w:tcBorders>
            <w:vAlign w:val="bottom"/>
          </w:tcPr>
          <w:p>
            <w:pPr>
              <w:pStyle w:val="yTableNAm"/>
              <w:jc w:val="center"/>
              <w:rPr>
                <w:szCs w:val="24"/>
              </w:rPr>
            </w:pPr>
            <w:r>
              <w:t>15</w:t>
            </w:r>
          </w:p>
        </w:tc>
      </w:tr>
    </w:tbl>
    <w:p>
      <w:pPr>
        <w:pStyle w:val="yScheduleHeading"/>
      </w:pPr>
      <w:bookmarkStart w:id="235" w:name="_Toc398816601"/>
      <w:r>
        <w:rPr>
          <w:rStyle w:val="CharSchNo"/>
        </w:rPr>
        <w:t>Schedule 11</w:t>
      </w:r>
      <w:r>
        <w:rPr>
          <w:rStyle w:val="CharSDivNo"/>
        </w:rPr>
        <w:t> </w:t>
      </w:r>
      <w:r>
        <w:t>—</w:t>
      </w:r>
      <w:r>
        <w:rPr>
          <w:rStyle w:val="CharSDivText"/>
        </w:rPr>
        <w:t> </w:t>
      </w:r>
      <w:r>
        <w:rPr>
          <w:rStyle w:val="CharSchText"/>
        </w:rPr>
        <w:t>Class of town or area: previous consumption year</w:t>
      </w:r>
      <w:bookmarkEnd w:id="235"/>
    </w:p>
    <w:p>
      <w:pPr>
        <w:pStyle w:val="yShoulderClause"/>
        <w:spacing w:after="120"/>
      </w:pPr>
      <w:r>
        <w:t>[Sch. 3 it. 24]</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1684"/>
        <w:gridCol w:w="1685"/>
      </w:tblGrid>
      <w:tr>
        <w:trPr>
          <w:tblHeader/>
        </w:trPr>
        <w:tc>
          <w:tcPr>
            <w:tcW w:w="2868" w:type="dxa"/>
            <w:tcBorders>
              <w:top w:val="single" w:sz="4" w:space="0" w:color="auto"/>
              <w:left w:val="nil"/>
              <w:bottom w:val="single" w:sz="4" w:space="0" w:color="auto"/>
              <w:right w:val="nil"/>
            </w:tcBorders>
          </w:tcPr>
          <w:p>
            <w:pPr>
              <w:pStyle w:val="yTableNAm"/>
              <w:spacing w:before="100"/>
              <w:jc w:val="center"/>
            </w:pPr>
            <w:r>
              <w:rPr>
                <w:b/>
                <w:bCs/>
              </w:rPr>
              <w:t>Town/area</w:t>
            </w:r>
          </w:p>
        </w:tc>
        <w:tc>
          <w:tcPr>
            <w:tcW w:w="1684" w:type="dxa"/>
            <w:tcBorders>
              <w:top w:val="single" w:sz="4" w:space="0" w:color="auto"/>
              <w:left w:val="nil"/>
              <w:bottom w:val="single" w:sz="4" w:space="0" w:color="auto"/>
              <w:right w:val="nil"/>
            </w:tcBorders>
          </w:tcPr>
          <w:p>
            <w:pPr>
              <w:pStyle w:val="yTableNAm"/>
              <w:spacing w:before="100"/>
              <w:jc w:val="center"/>
            </w:pPr>
            <w:r>
              <w:rPr>
                <w:b/>
                <w:bCs/>
              </w:rPr>
              <w:t>Residential classification</w:t>
            </w:r>
          </w:p>
        </w:tc>
        <w:tc>
          <w:tcPr>
            <w:tcW w:w="1685" w:type="dxa"/>
            <w:tcBorders>
              <w:top w:val="single" w:sz="4" w:space="0" w:color="auto"/>
              <w:left w:val="nil"/>
              <w:bottom w:val="single" w:sz="4" w:space="0" w:color="auto"/>
              <w:right w:val="nil"/>
            </w:tcBorders>
          </w:tcPr>
          <w:p>
            <w:pPr>
              <w:pStyle w:val="yTableNAm"/>
              <w:spacing w:before="100"/>
              <w:jc w:val="center"/>
            </w:pPr>
            <w:r>
              <w:rPr>
                <w:b/>
                <w:bCs/>
              </w:rPr>
              <w:t>Non</w:t>
            </w:r>
            <w:r>
              <w:rPr>
                <w:b/>
                <w:bCs/>
              </w:rPr>
              <w:noBreakHyphen/>
              <w:t>residential classification</w:t>
            </w:r>
          </w:p>
        </w:tc>
      </w:tr>
      <w:tr>
        <w:tc>
          <w:tcPr>
            <w:tcW w:w="2868" w:type="dxa"/>
            <w:tcBorders>
              <w:top w:val="single" w:sz="4" w:space="0" w:color="auto"/>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Albany</w:t>
                </w:r>
              </w:smartTag>
            </w:smartTag>
          </w:p>
        </w:tc>
        <w:tc>
          <w:tcPr>
            <w:tcW w:w="1684" w:type="dxa"/>
            <w:tcBorders>
              <w:top w:val="single" w:sz="4" w:space="0" w:color="auto"/>
              <w:left w:val="nil"/>
              <w:bottom w:val="nil"/>
              <w:right w:val="nil"/>
            </w:tcBorders>
            <w:vAlign w:val="bottom"/>
          </w:tcPr>
          <w:p>
            <w:pPr>
              <w:pStyle w:val="yTableNAm"/>
              <w:spacing w:before="100"/>
              <w:jc w:val="center"/>
            </w:pPr>
            <w:r>
              <w:rPr>
                <w:szCs w:val="22"/>
              </w:rPr>
              <w:t>3</w:t>
            </w:r>
          </w:p>
        </w:tc>
        <w:tc>
          <w:tcPr>
            <w:tcW w:w="1685" w:type="dxa"/>
            <w:tcBorders>
              <w:top w:val="single" w:sz="4" w:space="0" w:color="auto"/>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Albany</w:t>
                </w:r>
              </w:smartTag>
            </w:smartTag>
            <w:r>
              <w:rPr>
                <w:szCs w:val="22"/>
              </w:rPr>
              <w:t xml:space="preserve">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Allanooka Farmlands</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Allanson</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Arrino</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Arrowsmith Farmlands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Augusta</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Australind/Eaton</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Badgingarra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Bakers Hill</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Balingup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Ballidu</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Beacon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Bencubbin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Beverley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Bindi Bindi</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Bindoon/Chittering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Binningup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Bodallin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Boddington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Bolgart</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Borden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Boyanup</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Boyup Brook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Bremer</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Bridgetown/Hester</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Broad Arrow</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Brookton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Broome</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Broomehill</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Bruce Rock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Brunswick/Burekup/Roelands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Bullaring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Bullfinch</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Bunjil</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Buntine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Burracoppin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Calingiri</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Camballin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Capel</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Carnamah</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Carnarvon</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Caron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Cervantes</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Collie</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Collie Farmlands</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Condingup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Coolgardie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Coomberdale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Coorow</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Coral</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N/A</w:t>
            </w:r>
          </w:p>
        </w:tc>
      </w:tr>
      <w:tr>
        <w:tc>
          <w:tcPr>
            <w:tcW w:w="2868" w:type="dxa"/>
            <w:tcBorders>
              <w:top w:val="nil"/>
              <w:left w:val="nil"/>
              <w:bottom w:val="nil"/>
              <w:right w:val="nil"/>
            </w:tcBorders>
            <w:vAlign w:val="center"/>
          </w:tcPr>
          <w:p>
            <w:pPr>
              <w:pStyle w:val="yTableNAm"/>
              <w:spacing w:before="100"/>
            </w:pPr>
            <w:r>
              <w:rPr>
                <w:szCs w:val="22"/>
              </w:rPr>
              <w:t>Corrigin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Cowaramup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Cranbrook</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Cuballing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Cue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Cunderdin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Dalwallinu</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Dalyellup</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4</w:t>
            </w:r>
          </w:p>
        </w:tc>
      </w:tr>
      <w:tr>
        <w:tc>
          <w:tcPr>
            <w:tcW w:w="2868" w:type="dxa"/>
            <w:tcBorders>
              <w:top w:val="nil"/>
              <w:left w:val="nil"/>
              <w:bottom w:val="nil"/>
              <w:right w:val="nil"/>
            </w:tcBorders>
            <w:vAlign w:val="center"/>
          </w:tcPr>
          <w:p>
            <w:pPr>
              <w:pStyle w:val="yTableNAm"/>
              <w:spacing w:before="100"/>
            </w:pPr>
            <w:r>
              <w:rPr>
                <w:szCs w:val="22"/>
              </w:rPr>
              <w:t>Dandaragan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tcPr>
          <w:p>
            <w:pPr>
              <w:pStyle w:val="yTableNAm"/>
              <w:spacing w:before="100"/>
            </w:pPr>
            <w:r>
              <w:rPr>
                <w:szCs w:val="22"/>
              </w:rPr>
              <w:t>Dardanup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Darkan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Dathagnoorara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Denham (Saline)</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ountry-region">
                <w:r>
                  <w:rPr>
                    <w:szCs w:val="22"/>
                  </w:rPr>
                  <w:t>Denmark</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Derby</w:t>
                </w:r>
              </w:smartTag>
            </w:smartTag>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Dongara/Denison</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Donnybrook</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4</w:t>
            </w:r>
          </w:p>
        </w:tc>
      </w:tr>
      <w:tr>
        <w:tc>
          <w:tcPr>
            <w:tcW w:w="2868" w:type="dxa"/>
            <w:tcBorders>
              <w:top w:val="nil"/>
              <w:left w:val="nil"/>
              <w:bottom w:val="nil"/>
              <w:right w:val="nil"/>
            </w:tcBorders>
            <w:vAlign w:val="center"/>
          </w:tcPr>
          <w:p>
            <w:pPr>
              <w:pStyle w:val="yTableNAm"/>
              <w:spacing w:before="100"/>
            </w:pPr>
            <w:r>
              <w:rPr>
                <w:szCs w:val="22"/>
              </w:rPr>
              <w:t>Doodlakine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Dowerin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Dudinin/Harrismith/Jitarning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Dumbleyung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Dunsborough/Yallingup</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Dwellingup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Eneabba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Eradu</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Esperance</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Exmouth</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t>Fitzroy Crossing</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Frankland</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Gabbadah</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Gascoyne Junction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Geraldton</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Gibson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Gingin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Gnarabup</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Gnowangerup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Goomalling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Grass Patch</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Grass</w:t>
                </w:r>
              </w:smartTag>
              <w:r>
                <w:rPr>
                  <w:szCs w:val="22"/>
                </w:rPr>
                <w:t xml:space="preserve"> </w:t>
              </w:r>
              <w:smartTag w:uri="urn:schemas-microsoft-com:office:smarttags" w:element="PlaceType">
                <w:r>
                  <w:rPr>
                    <w:szCs w:val="22"/>
                  </w:rPr>
                  <w:t>Valley</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Greenbushes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Greenhead</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Guilderton</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8</w:t>
            </w:r>
          </w:p>
        </w:tc>
      </w:tr>
      <w:tr>
        <w:tc>
          <w:tcPr>
            <w:tcW w:w="2868" w:type="dxa"/>
            <w:tcBorders>
              <w:top w:val="nil"/>
              <w:left w:val="nil"/>
              <w:bottom w:val="nil"/>
              <w:right w:val="nil"/>
            </w:tcBorders>
            <w:vAlign w:val="center"/>
          </w:tcPr>
          <w:p>
            <w:pPr>
              <w:pStyle w:val="yTableNAm"/>
              <w:spacing w:before="100"/>
            </w:pPr>
            <w:r>
              <w:rPr>
                <w:szCs w:val="22"/>
              </w:rPr>
              <w:t>Halls Creek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Hamel/Waroona</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4</w:t>
            </w:r>
          </w:p>
        </w:tc>
      </w:tr>
      <w:tr>
        <w:tc>
          <w:tcPr>
            <w:tcW w:w="2868" w:type="dxa"/>
            <w:tcBorders>
              <w:top w:val="nil"/>
              <w:left w:val="nil"/>
              <w:bottom w:val="nil"/>
              <w:right w:val="nil"/>
            </w:tcBorders>
            <w:vAlign w:val="center"/>
          </w:tcPr>
          <w:p>
            <w:pPr>
              <w:pStyle w:val="yTableNAm"/>
              <w:spacing w:before="100"/>
            </w:pPr>
            <w:r>
              <w:rPr>
                <w:szCs w:val="22"/>
              </w:rPr>
              <w:t>Harvey/Wokalup</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Highbury/Piesseville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Hines Hill</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Hopetoun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Horrocks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Hyden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Jerramungup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Jurien</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3</w:t>
            </w:r>
          </w:p>
        </w:tc>
      </w:tr>
      <w:tr>
        <w:tc>
          <w:tcPr>
            <w:tcW w:w="2868" w:type="dxa"/>
            <w:tcBorders>
              <w:top w:val="nil"/>
              <w:left w:val="nil"/>
              <w:bottom w:val="nil"/>
              <w:right w:val="nil"/>
            </w:tcBorders>
            <w:vAlign w:val="center"/>
          </w:tcPr>
          <w:p>
            <w:pPr>
              <w:pStyle w:val="yTableNAm"/>
              <w:spacing w:before="100"/>
            </w:pPr>
            <w:r>
              <w:rPr>
                <w:szCs w:val="22"/>
              </w:rPr>
              <w:t>Kalannie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Kalbarri</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2</w:t>
            </w:r>
          </w:p>
        </w:tc>
      </w:tr>
      <w:tr>
        <w:tc>
          <w:tcPr>
            <w:tcW w:w="2868" w:type="dxa"/>
            <w:tcBorders>
              <w:top w:val="nil"/>
              <w:left w:val="nil"/>
              <w:bottom w:val="nil"/>
              <w:right w:val="nil"/>
            </w:tcBorders>
            <w:vAlign w:val="center"/>
          </w:tcPr>
          <w:p>
            <w:pPr>
              <w:pStyle w:val="yTableNAm"/>
              <w:spacing w:before="100"/>
            </w:pPr>
            <w:r>
              <w:rPr>
                <w:szCs w:val="22"/>
              </w:rPr>
              <w:t>Kalgoorlie/Boulder</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Kambalda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t>Karakin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Karlgarin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Karratha</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Katanning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Katanning Farmlands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Kellerberrin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Kendenup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Kendenup Farmlands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Kirup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Kojonup/Muradup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Kondinin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Koorda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Kukerin/Moulyinning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Kulin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Kununoppin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tcPr>
          <w:p>
            <w:pPr>
              <w:pStyle w:val="yTableNAm"/>
              <w:spacing w:before="100"/>
            </w:pPr>
            <w:r>
              <w:rPr>
                <w:szCs w:val="22"/>
              </w:rPr>
              <w:t>Kununurra</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2</w:t>
            </w:r>
          </w:p>
        </w:tc>
      </w:tr>
      <w:tr>
        <w:tc>
          <w:tcPr>
            <w:tcW w:w="2868" w:type="dxa"/>
            <w:tcBorders>
              <w:top w:val="nil"/>
              <w:left w:val="nil"/>
              <w:bottom w:val="nil"/>
              <w:right w:val="nil"/>
            </w:tcBorders>
            <w:vAlign w:val="center"/>
          </w:tcPr>
          <w:p>
            <w:pPr>
              <w:pStyle w:val="yTableNAm"/>
              <w:spacing w:before="100"/>
            </w:pPr>
            <w:r>
              <w:rPr>
                <w:szCs w:val="22"/>
              </w:rPr>
              <w:t xml:space="preserve">Lake </w:t>
            </w:r>
            <w:smartTag w:uri="urn:schemas-microsoft-com:office:smarttags" w:element="PlaceName">
              <w:r>
                <w:rPr>
                  <w:szCs w:val="22"/>
                </w:rPr>
                <w:t>Grace</w:t>
              </w:r>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Lake</w:t>
                </w:r>
              </w:smartTag>
              <w:r>
                <w:rPr>
                  <w:szCs w:val="22"/>
                </w:rPr>
                <w:t xml:space="preserve"> </w:t>
              </w:r>
              <w:smartTag w:uri="urn:schemas-microsoft-com:office:smarttags" w:element="PlaceName">
                <w:r>
                  <w:rPr>
                    <w:szCs w:val="22"/>
                  </w:rPr>
                  <w:t>King</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Lancelin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Latham</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Laverton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Ledge Point</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Leeman</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Leonora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Mandurah</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3</w:t>
            </w:r>
          </w:p>
        </w:tc>
      </w:tr>
      <w:tr>
        <w:tc>
          <w:tcPr>
            <w:tcW w:w="2868" w:type="dxa"/>
            <w:tcBorders>
              <w:top w:val="nil"/>
              <w:left w:val="nil"/>
              <w:bottom w:val="nil"/>
              <w:right w:val="nil"/>
            </w:tcBorders>
            <w:vAlign w:val="center"/>
          </w:tcPr>
          <w:p>
            <w:pPr>
              <w:pStyle w:val="yTableNAm"/>
              <w:spacing w:before="100"/>
            </w:pPr>
            <w:r>
              <w:rPr>
                <w:szCs w:val="22"/>
              </w:rPr>
              <w:t>Manjimup</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Marble Bar</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Margaret</w:t>
                </w:r>
              </w:smartTag>
              <w:r>
                <w:rPr>
                  <w:szCs w:val="22"/>
                </w:rPr>
                <w:t xml:space="preserve"> </w:t>
              </w:r>
              <w:smartTag w:uri="urn:schemas-microsoft-com:office:smarttags" w:element="PlaceName">
                <w:r>
                  <w:rPr>
                    <w:szCs w:val="22"/>
                  </w:rPr>
                  <w:t>River</w:t>
                </w:r>
              </w:smartTag>
            </w:smartTag>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 xml:space="preserve">Marvel </w:t>
            </w:r>
            <w:smartTag w:uri="urn:schemas-microsoft-com:office:smarttags" w:element="place">
              <w:r>
                <w:rPr>
                  <w:szCs w:val="22"/>
                </w:rPr>
                <w:t>Loch</w:t>
              </w:r>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Meckering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Meekatharra</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Menzies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Merredin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Merredin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t>Miling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Mingenew</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Moora</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3</w:t>
            </w:r>
          </w:p>
        </w:tc>
      </w:tr>
      <w:tr>
        <w:tc>
          <w:tcPr>
            <w:tcW w:w="2868" w:type="dxa"/>
            <w:tcBorders>
              <w:top w:val="nil"/>
              <w:left w:val="nil"/>
              <w:bottom w:val="nil"/>
              <w:right w:val="nil"/>
            </w:tcBorders>
            <w:vAlign w:val="center"/>
          </w:tcPr>
          <w:p>
            <w:pPr>
              <w:pStyle w:val="yTableNAm"/>
              <w:spacing w:before="100"/>
            </w:pPr>
            <w:r>
              <w:rPr>
                <w:szCs w:val="22"/>
              </w:rPr>
              <w:t>Moorine Rock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Morawa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Barker</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Magnet</w:t>
                </w:r>
              </w:smartTag>
            </w:smartTag>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Roe</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Mukinbudin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Mullalyup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Mullewa</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Mullewa Farmlands</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Munglinup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Muntadgin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Myalup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Nabawa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Nannup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Narembeen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Narngulu</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Narrikup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Narrogin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Narrogin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8</w:t>
            </w:r>
          </w:p>
        </w:tc>
      </w:tr>
      <w:tr>
        <w:tc>
          <w:tcPr>
            <w:tcW w:w="2868" w:type="dxa"/>
            <w:tcBorders>
              <w:top w:val="nil"/>
              <w:left w:val="nil"/>
              <w:bottom w:val="nil"/>
              <w:right w:val="nil"/>
            </w:tcBorders>
            <w:vAlign w:val="center"/>
          </w:tcPr>
          <w:p>
            <w:pPr>
              <w:pStyle w:val="yTableNAm"/>
              <w:spacing w:before="100"/>
            </w:pPr>
            <w:r>
              <w:rPr>
                <w:szCs w:val="22"/>
              </w:rPr>
              <w:t>New Norcia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Newdegate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Newman</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Nilgen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8</w:t>
            </w:r>
          </w:p>
        </w:tc>
      </w:tr>
      <w:tr>
        <w:tc>
          <w:tcPr>
            <w:tcW w:w="2868" w:type="dxa"/>
            <w:tcBorders>
              <w:top w:val="nil"/>
              <w:left w:val="nil"/>
              <w:bottom w:val="nil"/>
              <w:right w:val="nil"/>
            </w:tcBorders>
            <w:vAlign w:val="center"/>
          </w:tcPr>
          <w:p>
            <w:pPr>
              <w:pStyle w:val="yTableNAm"/>
              <w:spacing w:before="100"/>
            </w:pPr>
            <w:r>
              <w:rPr>
                <w:szCs w:val="22"/>
              </w:rPr>
              <w:t>Norseman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North Dandalup</w:t>
              </w:r>
            </w:smartTag>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t>Northam</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Northam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Northampton</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Northcliffe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Nullagine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Nungarin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Nyabing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Ongerup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Onslow</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Ora Banda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Park Ridge</w:t>
                </w:r>
              </w:smartTag>
            </w:smartTag>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Pemberton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Peppermint</w:t>
                </w:r>
              </w:smartTag>
              <w:r>
                <w:rPr>
                  <w:szCs w:val="22"/>
                </w:rPr>
                <w:t xml:space="preserve"> </w:t>
              </w:r>
              <w:smartTag w:uri="urn:schemas-microsoft-com:office:smarttags" w:element="PlaceType">
                <w:r>
                  <w:rPr>
                    <w:szCs w:val="22"/>
                  </w:rPr>
                  <w:t>Grove</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12</w:t>
            </w:r>
          </w:p>
        </w:tc>
      </w:tr>
      <w:tr>
        <w:tc>
          <w:tcPr>
            <w:tcW w:w="2868" w:type="dxa"/>
            <w:tcBorders>
              <w:top w:val="nil"/>
              <w:left w:val="nil"/>
              <w:bottom w:val="nil"/>
              <w:right w:val="nil"/>
            </w:tcBorders>
            <w:vAlign w:val="center"/>
          </w:tcPr>
          <w:p>
            <w:pPr>
              <w:pStyle w:val="yTableNAm"/>
              <w:spacing w:before="100"/>
            </w:pPr>
            <w:r>
              <w:rPr>
                <w:szCs w:val="22"/>
              </w:rPr>
              <w:t>Perenjori</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Pingaring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Pingelly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Pingrup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Pinjarra</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Pithara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Point Samson</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Popanyinning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Porongurup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Porongurup Farmlands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Port Hedland</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Preston</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Quairading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Quinninup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Ravensthorpe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Rocky Gully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Roebourne</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Salmon Gums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Sandstone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Seabird</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South Hedland</w:t>
              </w:r>
            </w:smartTag>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Southern Cross</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Tambellup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Tammin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Three Springs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Tincurrin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Toodyay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Trayning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Varley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Wagin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Walkaway</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Walpole</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Wandering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Watheroo</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Wellstead</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Westonia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Wickepin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Wickham</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Widgiemooltha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Williams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Wiluna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Wongan Hills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Woodanilling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Woodridge</w:t>
              </w:r>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Wubin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Wundowie</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Wyalkatchem</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Wyndham</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Yalgoo</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Yarloop/Wagerup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Yealering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Yerecoin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York</w:t>
                </w:r>
              </w:smartTag>
            </w:smartTag>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single" w:sz="4" w:space="0" w:color="auto"/>
              <w:right w:val="nil"/>
            </w:tcBorders>
            <w:vAlign w:val="center"/>
          </w:tcPr>
          <w:p>
            <w:pPr>
              <w:pStyle w:val="yTableNAm"/>
              <w:spacing w:before="100"/>
            </w:pPr>
            <w:r>
              <w:rPr>
                <w:szCs w:val="22"/>
              </w:rPr>
              <w:t>Yuna</w:t>
            </w:r>
          </w:p>
        </w:tc>
        <w:tc>
          <w:tcPr>
            <w:tcW w:w="1684" w:type="dxa"/>
            <w:tcBorders>
              <w:top w:val="nil"/>
              <w:left w:val="nil"/>
              <w:bottom w:val="single" w:sz="4" w:space="0" w:color="auto"/>
              <w:right w:val="nil"/>
            </w:tcBorders>
            <w:vAlign w:val="bottom"/>
          </w:tcPr>
          <w:p>
            <w:pPr>
              <w:pStyle w:val="yTableNAm"/>
              <w:spacing w:before="100"/>
              <w:jc w:val="center"/>
            </w:pPr>
            <w:r>
              <w:rPr>
                <w:szCs w:val="22"/>
              </w:rPr>
              <w:t>5</w:t>
            </w:r>
          </w:p>
        </w:tc>
        <w:tc>
          <w:tcPr>
            <w:tcW w:w="1685" w:type="dxa"/>
            <w:tcBorders>
              <w:top w:val="nil"/>
              <w:left w:val="nil"/>
              <w:bottom w:val="single" w:sz="4" w:space="0" w:color="auto"/>
              <w:right w:val="nil"/>
            </w:tcBorders>
            <w:vAlign w:val="bottom"/>
          </w:tcPr>
          <w:p>
            <w:pPr>
              <w:pStyle w:val="yTableNAm"/>
              <w:spacing w:before="100"/>
              <w:jc w:val="center"/>
            </w:pPr>
            <w:r>
              <w:rPr>
                <w:szCs w:val="22"/>
              </w:rPr>
              <w:t>15</w:t>
            </w:r>
          </w:p>
        </w:tc>
      </w:tr>
    </w:tbl>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pPr>
      <w:bookmarkStart w:id="236" w:name="_Toc398816602"/>
      <w:r>
        <w:t>Notes</w:t>
      </w:r>
      <w:bookmarkEnd w:id="236"/>
    </w:p>
    <w:p>
      <w:pPr>
        <w:pStyle w:val="nSubsection"/>
        <w:rPr>
          <w:snapToGrid w:val="0"/>
        </w:rPr>
      </w:pPr>
      <w:r>
        <w:rPr>
          <w:snapToGrid w:val="0"/>
          <w:vertAlign w:val="superscript"/>
        </w:rPr>
        <w:t>1</w:t>
      </w:r>
      <w:r>
        <w:rPr>
          <w:snapToGrid w:val="0"/>
        </w:rPr>
        <w:tab/>
        <w:t xml:space="preserve">This is a compilation of the </w:t>
      </w:r>
      <w:r>
        <w:rPr>
          <w:i/>
          <w:noProof/>
          <w:snapToGrid w:val="0"/>
        </w:rPr>
        <w:t>Water Services (Water Corporations Charges) Regulations 2014</w:t>
      </w:r>
      <w:r>
        <w:rPr>
          <w:snapToGrid w:val="0"/>
        </w:rPr>
        <w:t xml:space="preserve"> and includes the amendments made by the other written laws referred to in the following table.  </w:t>
      </w:r>
    </w:p>
    <w:p>
      <w:pPr>
        <w:pStyle w:val="nHeading3"/>
      </w:pPr>
      <w:bookmarkStart w:id="237" w:name="_Toc398816603"/>
      <w:r>
        <w:t>Compilation table</w:t>
      </w:r>
      <w:bookmarkEnd w:id="23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Water Services (Water Corporations Charges) Regulations 2014</w:t>
            </w:r>
          </w:p>
        </w:tc>
        <w:tc>
          <w:tcPr>
            <w:tcW w:w="1276" w:type="dxa"/>
            <w:tcBorders>
              <w:bottom w:val="nil"/>
            </w:tcBorders>
          </w:tcPr>
          <w:p>
            <w:pPr>
              <w:pStyle w:val="nTable"/>
              <w:spacing w:after="40"/>
              <w:rPr>
                <w:sz w:val="19"/>
              </w:rPr>
            </w:pPr>
            <w:r>
              <w:rPr>
                <w:sz w:val="19"/>
              </w:rPr>
              <w:t>25 Jun 2014 p. 2155</w:t>
            </w:r>
            <w:r>
              <w:rPr>
                <w:sz w:val="19"/>
              </w:rPr>
              <w:noBreakHyphen/>
              <w:t>298</w:t>
            </w:r>
          </w:p>
        </w:tc>
        <w:tc>
          <w:tcPr>
            <w:tcW w:w="2693" w:type="dxa"/>
            <w:tcBorders>
              <w:bottom w:val="nil"/>
            </w:tcBorders>
          </w:tcPr>
          <w:p>
            <w:pPr>
              <w:pStyle w:val="nTable"/>
              <w:spacing w:after="40"/>
              <w:rPr>
                <w:sz w:val="19"/>
              </w:rPr>
            </w:pPr>
            <w:r>
              <w:rPr>
                <w:rFonts w:ascii="Times" w:hAnsi="Times"/>
                <w:bCs/>
                <w:snapToGrid w:val="0"/>
                <w:spacing w:val="-2"/>
                <w:sz w:val="19"/>
              </w:rPr>
              <w:t>r. 1 and 2: 25 Jun 2014 (see r. 2(a));</w:t>
            </w:r>
            <w:r>
              <w:rPr>
                <w:rFonts w:ascii="Times" w:hAnsi="Times"/>
                <w:bCs/>
                <w:snapToGrid w:val="0"/>
                <w:spacing w:val="-2"/>
                <w:sz w:val="19"/>
              </w:rPr>
              <w:br/>
              <w:t>Regulations other than r. 1 and 2: 1 Jul 2014 (see r. 2(b))</w:t>
            </w:r>
          </w:p>
        </w:tc>
      </w:tr>
      <w:tr>
        <w:tc>
          <w:tcPr>
            <w:tcW w:w="3118" w:type="dxa"/>
            <w:tcBorders>
              <w:top w:val="nil"/>
              <w:bottom w:val="single" w:sz="4" w:space="0" w:color="auto"/>
            </w:tcBorders>
          </w:tcPr>
          <w:p>
            <w:pPr>
              <w:pStyle w:val="nTable"/>
              <w:spacing w:after="40"/>
              <w:rPr>
                <w:i/>
                <w:sz w:val="19"/>
              </w:rPr>
            </w:pPr>
            <w:r>
              <w:rPr>
                <w:i/>
                <w:sz w:val="19"/>
              </w:rPr>
              <w:t>Water Services (Water Corporations Charges) Amendment Regulations 2014</w:t>
            </w:r>
          </w:p>
        </w:tc>
        <w:tc>
          <w:tcPr>
            <w:tcW w:w="1276" w:type="dxa"/>
            <w:tcBorders>
              <w:top w:val="nil"/>
              <w:bottom w:val="single" w:sz="4" w:space="0" w:color="auto"/>
            </w:tcBorders>
          </w:tcPr>
          <w:p>
            <w:pPr>
              <w:pStyle w:val="nTable"/>
              <w:spacing w:after="40"/>
              <w:rPr>
                <w:sz w:val="19"/>
              </w:rPr>
            </w:pPr>
            <w:r>
              <w:rPr>
                <w:sz w:val="19"/>
              </w:rPr>
              <w:t>19 Sep 2014 p. 3344</w:t>
            </w:r>
            <w:r>
              <w:rPr>
                <w:sz w:val="19"/>
              </w:rPr>
              <w:noBreakHyphen/>
              <w:t>5</w:t>
            </w:r>
          </w:p>
        </w:tc>
        <w:tc>
          <w:tcPr>
            <w:tcW w:w="2693" w:type="dxa"/>
            <w:tcBorders>
              <w:top w:val="nil"/>
              <w:bottom w:val="single" w:sz="4" w:space="0" w:color="auto"/>
            </w:tcBorders>
          </w:tcPr>
          <w:p>
            <w:pPr>
              <w:pStyle w:val="nTable"/>
              <w:spacing w:after="40"/>
              <w:rPr>
                <w:rFonts w:ascii="Times" w:hAnsi="Times"/>
                <w:bCs/>
                <w:snapToGrid w:val="0"/>
                <w:spacing w:val="-2"/>
                <w:sz w:val="19"/>
              </w:rPr>
            </w:pPr>
            <w:r>
              <w:rPr>
                <w:rFonts w:ascii="Times" w:hAnsi="Times"/>
                <w:bCs/>
                <w:snapToGrid w:val="0"/>
                <w:spacing w:val="-2"/>
                <w:sz w:val="19"/>
                <w:szCs w:val="19"/>
              </w:rPr>
              <w:t>r. 1 and 2: 19 Sep 2014 (see r. 2(a));</w:t>
            </w:r>
            <w:r>
              <w:rPr>
                <w:rFonts w:ascii="Times" w:hAnsi="Times"/>
                <w:bCs/>
                <w:snapToGrid w:val="0"/>
                <w:spacing w:val="-2"/>
                <w:sz w:val="19"/>
                <w:szCs w:val="19"/>
              </w:rPr>
              <w:br/>
              <w:t>Regulations other than r. 1 and 2: 1 Oct 2014 (see r. 2(b)(i))</w:t>
            </w:r>
          </w:p>
        </w:tc>
      </w:tr>
    </w:tbl>
    <w:p/>
    <w:p>
      <w:pPr>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Pr>
        <w:pStyle w:val="nHeading2"/>
        <w:rPr>
          <w:sz w:val="28"/>
        </w:rPr>
      </w:pPr>
      <w:bookmarkStart w:id="238" w:name="_Toc398816604"/>
      <w:r>
        <w:rPr>
          <w:sz w:val="28"/>
        </w:rPr>
        <w:t>Defined terms</w:t>
      </w:r>
      <w:bookmarkEnd w:id="23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39" w:name="DefinedTerms"/>
      <w:bookmarkEnd w:id="239"/>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30</w:t>
      </w:r>
    </w:p>
    <w:p>
      <w:pPr>
        <w:pStyle w:val="DefinedTerms"/>
      </w:pPr>
      <w:r>
        <w:t>boundary volume</w:t>
      </w:r>
      <w:r>
        <w:tab/>
        <w:t>16(1)</w:t>
      </w:r>
    </w:p>
    <w:p>
      <w:pPr>
        <w:pStyle w:val="DefinedTerms"/>
      </w:pPr>
      <w:r>
        <w:t>c/kg</w:t>
      </w:r>
      <w:r>
        <w:tab/>
        <w:t>Sch. 4 cl. 30</w:t>
      </w:r>
    </w:p>
    <w:p>
      <w:pPr>
        <w:pStyle w:val="DefinedTerms"/>
      </w:pPr>
      <w:r>
        <w:t>c/kL</w:t>
      </w:r>
      <w:r>
        <w:tab/>
        <w:t>Sch. 4 cl. 30</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w:t>
      </w:r>
    </w:p>
    <w:p>
      <w:pPr>
        <w:pStyle w:val="DefinedTerms"/>
      </w:pPr>
      <w:r>
        <w:t>charitable purposes</w:t>
      </w:r>
      <w:r>
        <w:tab/>
        <w:t>16(1)</w:t>
      </w:r>
    </w:p>
    <w:p>
      <w:pPr>
        <w:pStyle w:val="DefinedTerms"/>
      </w:pPr>
      <w:r>
        <w:t>combined charge</w:t>
      </w:r>
      <w:r>
        <w:tab/>
        <w:t>42(1)</w:t>
      </w:r>
    </w:p>
    <w:p>
      <w:pPr>
        <w:pStyle w:val="DefinedTerms"/>
      </w:pPr>
      <w:r>
        <w:t>Commonwealth seniors health card</w:t>
      </w:r>
      <w:r>
        <w:tab/>
        <w:t>3</w:t>
      </w:r>
    </w:p>
    <w:p>
      <w:pPr>
        <w:pStyle w:val="DefinedTerms"/>
      </w:pPr>
      <w:r>
        <w:t>concession card holder</w:t>
      </w:r>
      <w:r>
        <w:tab/>
        <w:t>16(1)</w:t>
      </w:r>
    </w:p>
    <w:p>
      <w:pPr>
        <w:pStyle w:val="DefinedTerms"/>
      </w:pPr>
      <w:r>
        <w:t>concessional land</w:t>
      </w:r>
      <w:r>
        <w:tab/>
        <w:t>16(1)</w:t>
      </w:r>
    </w:p>
    <w:p>
      <w:pPr>
        <w:pStyle w:val="DefinedTerms"/>
      </w:pPr>
      <w:r>
        <w:t>consumption year</w:t>
      </w:r>
      <w:r>
        <w:tab/>
        <w:t>6, 11, 16(1)</w:t>
      </w:r>
    </w:p>
    <w:p>
      <w:pPr>
        <w:pStyle w:val="DefinedTerms"/>
      </w:pPr>
      <w:r>
        <w:t>cost of sampling</w:t>
      </w:r>
      <w:r>
        <w:tab/>
        <w:t>Sch. 7 cl. 13</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w:t>
      </w:r>
    </w:p>
    <w:p>
      <w:pPr>
        <w:pStyle w:val="DefinedTerms"/>
      </w:pPr>
      <w:r>
        <w:t>farmland</w:t>
      </w:r>
      <w:r>
        <w:tab/>
        <w:t>16(1)</w:t>
      </w:r>
    </w:p>
    <w:p>
      <w:pPr>
        <w:pStyle w:val="DefinedTerms"/>
      </w:pPr>
      <w:r>
        <w:t>financial year</w:t>
      </w:r>
      <w:r>
        <w:tab/>
        <w:t>6, 11, 16(1)</w:t>
      </w:r>
    </w:p>
    <w:p>
      <w:pPr>
        <w:pStyle w:val="DefinedTerms"/>
      </w:pPr>
      <w:r>
        <w:t>fire service connection</w:t>
      </w:r>
      <w:r>
        <w:tab/>
        <w:t>11</w:t>
      </w:r>
    </w:p>
    <w:p>
      <w:pPr>
        <w:pStyle w:val="DefinedTerms"/>
      </w:pPr>
      <w:r>
        <w:t>garden use</w:t>
      </w:r>
      <w:r>
        <w:tab/>
        <w:t>Sch. 3 cl. 15</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w:t>
      </w:r>
      <w:r>
        <w:noBreakHyphen/>
        <w:t>term residential caravan bay</w:t>
      </w:r>
      <w:r>
        <w:tab/>
        <w:t>16(1)</w:t>
      </w:r>
    </w:p>
    <w:p>
      <w:pPr>
        <w:pStyle w:val="DefinedTerms"/>
      </w:pPr>
      <w:r>
        <w:t>lot</w:t>
      </w:r>
      <w:r>
        <w:tab/>
        <w:t>6, 11, 16(1)</w:t>
      </w:r>
    </w:p>
    <w:p>
      <w:pPr>
        <w:pStyle w:val="DefinedTerms"/>
      </w:pPr>
      <w:r>
        <w:t>major fixture</w:t>
      </w:r>
      <w:r>
        <w:tab/>
        <w:t>16(1)</w:t>
      </w:r>
    </w:p>
    <w:p>
      <w:pPr>
        <w:pStyle w:val="DefinedTerms"/>
      </w:pPr>
      <w:r>
        <w:t>metropolitan area</w:t>
      </w:r>
      <w:r>
        <w:tab/>
        <w:t>16(1)</w:t>
      </w:r>
    </w:p>
    <w:p>
      <w:pPr>
        <w:pStyle w:val="DefinedTerms"/>
      </w:pPr>
      <w:r>
        <w:t>multi</w:t>
      </w:r>
      <w:r>
        <w:noBreakHyphen/>
        <w:t>unit development</w:t>
      </w:r>
      <w:r>
        <w:tab/>
        <w:t>3</w:t>
      </w:r>
    </w:p>
    <w:p>
      <w:pPr>
        <w:pStyle w:val="DefinedTerms"/>
      </w:pPr>
      <w:r>
        <w:t>non</w:t>
      </w:r>
      <w:r>
        <w:noBreakHyphen/>
        <w:t>commercial government property</w:t>
      </w:r>
      <w:r>
        <w:tab/>
        <w:t>16(1)</w:t>
      </w:r>
    </w:p>
    <w:p>
      <w:pPr>
        <w:pStyle w:val="DefinedTerms"/>
      </w:pPr>
      <w:r>
        <w:t>non</w:t>
      </w:r>
      <w:r>
        <w:noBreakHyphen/>
        <w:t>profit private organisation</w:t>
      </w:r>
      <w:r>
        <w:tab/>
        <w:t>16(1)</w:t>
      </w:r>
    </w:p>
    <w:p>
      <w:pPr>
        <w:pStyle w:val="DefinedTerms"/>
      </w:pPr>
      <w:r>
        <w:t>non</w:t>
      </w:r>
      <w:r>
        <w:noBreakHyphen/>
        <w:t>residential lot</w:t>
      </w:r>
      <w:r>
        <w:tab/>
        <w:t>6, 11</w:t>
      </w:r>
    </w:p>
    <w:p>
      <w:pPr>
        <w:pStyle w:val="DefinedTerms"/>
      </w:pPr>
      <w:r>
        <w:t>nursing home</w:t>
      </w:r>
      <w:r>
        <w:tab/>
        <w:t>16(1)</w:t>
      </w:r>
    </w:p>
    <w:p>
      <w:pPr>
        <w:pStyle w:val="DefinedTerms"/>
      </w:pPr>
      <w:r>
        <w:t>old provision</w:t>
      </w:r>
      <w:r>
        <w:tab/>
        <w:t>55(1)</w:t>
      </w:r>
    </w:p>
    <w:p>
      <w:pPr>
        <w:pStyle w:val="DefinedTerms"/>
      </w:pPr>
      <w:r>
        <w:t>product evaluation</w:t>
      </w:r>
      <w:r>
        <w:tab/>
        <w:t>Sch. 7 cl. 13</w:t>
      </w:r>
    </w:p>
    <w:p>
      <w:pPr>
        <w:pStyle w:val="DefinedTerms"/>
      </w:pPr>
      <w:r>
        <w:t>public land</w:t>
      </w:r>
      <w:r>
        <w:tab/>
        <w:t>16(1)</w:t>
      </w:r>
    </w:p>
    <w:p>
      <w:pPr>
        <w:pStyle w:val="DefinedTerms"/>
      </w:pPr>
      <w:r>
        <w:t>registered pensioner</w:t>
      </w:r>
      <w:r>
        <w:tab/>
        <w:t>3</w:t>
      </w:r>
    </w:p>
    <w:p>
      <w:pPr>
        <w:pStyle w:val="DefinedTerms"/>
      </w:pPr>
      <w:r>
        <w:t>registered senior</w:t>
      </w:r>
      <w:r>
        <w:tab/>
        <w:t>3</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semi</w:t>
      </w:r>
      <w:r>
        <w:noBreakHyphen/>
        <w:t>rural residential property</w:t>
      </w:r>
      <w:r>
        <w:tab/>
        <w:t>16(1)</w:t>
      </w:r>
    </w:p>
    <w:p>
      <w:pPr>
        <w:pStyle w:val="DefinedTerms"/>
      </w:pPr>
      <w:r>
        <w:t>sewer junction</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cl. 8</w:t>
      </w:r>
    </w:p>
    <w:p>
      <w:pPr>
        <w:pStyle w:val="DefinedTerms"/>
      </w:pPr>
      <w:r>
        <w:t>single capital infrastructure charge</w:t>
      </w:r>
      <w:r>
        <w:tab/>
        <w:t>16(1), Sch. 3 cl. 18</w:t>
      </w:r>
    </w:p>
    <w:p>
      <w:pPr>
        <w:pStyle w:val="DefinedTerms"/>
      </w:pPr>
      <w:r>
        <w:t>special meter reading</w:t>
      </w:r>
      <w:r>
        <w:tab/>
        <w:t>16(1)</w:t>
      </w:r>
    </w:p>
    <w:p>
      <w:pPr>
        <w:pStyle w:val="DefinedTerms"/>
      </w:pPr>
      <w:r>
        <w:t>strata</w:t>
      </w:r>
      <w:r>
        <w:noBreakHyphen/>
        <w:t>titled caravan bay</w:t>
      </w:r>
      <w:r>
        <w:tab/>
        <w:t>16(1)</w:t>
      </w:r>
    </w:p>
    <w:p>
      <w:pPr>
        <w:pStyle w:val="DefinedTerms"/>
      </w:pPr>
      <w:r>
        <w:t>trade waste charge</w:t>
      </w:r>
      <w:r>
        <w:tab/>
        <w:t>19(1)</w:t>
      </w:r>
    </w:p>
    <w:p>
      <w:pPr>
        <w:pStyle w:val="DefinedTerms"/>
      </w:pPr>
      <w:r>
        <w:t>vacant land</w:t>
      </w:r>
      <w:r>
        <w:tab/>
        <w:t>3</w:t>
      </w:r>
    </w:p>
    <w:p>
      <w:pPr>
        <w:pStyle w:val="DefinedTerms"/>
      </w:pPr>
      <w:r>
        <w:t>water supply charge</w:t>
      </w:r>
      <w:r>
        <w:tab/>
        <w:t>16(1)</w:t>
      </w:r>
    </w:p>
    <w:p>
      <w:pPr>
        <w:pStyle w:val="DefinedTerms"/>
      </w:pPr>
      <w:r>
        <w:t>water supply connection</w:t>
      </w:r>
      <w:r>
        <w:tab/>
        <w:t>3</w:t>
      </w:r>
    </w:p>
    <w:p/>
    <w:p>
      <w:pPr>
        <w:sectPr>
          <w:headerReference w:type="even" r:id="rId35"/>
          <w:headerReference w:type="default" r:id="rId36"/>
          <w:footerReference w:type="even" r:id="rId37"/>
          <w:footerReference w:type="default" r:id="rId38"/>
          <w:headerReference w:type="first" r:id="rId39"/>
          <w:footerReference w:type="first" r:id="rId40"/>
          <w:pgSz w:w="11906" w:h="16838" w:code="9"/>
          <w:pgMar w:top="2376" w:right="2404" w:bottom="3544" w:left="2404" w:header="720" w:footer="3380" w:gutter="0"/>
          <w:cols w:space="720"/>
          <w:noEndnote/>
          <w:docGrid w:linePitch="326"/>
        </w:sectPr>
      </w:pPr>
    </w:p>
    <w:p/>
    <w:sectPr>
      <w:headerReference w:type="even" r:id="rId41"/>
      <w:type w:val="continuous"/>
      <w:pgSz w:w="11906" w:h="16838" w:code="9"/>
      <w:pgMar w:top="2381" w:right="2410" w:bottom="3544" w:left="2410" w:header="720" w:footer="337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00-b0-00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Oct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134</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00-b0-00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Oct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00-b0-00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133</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00-b0-00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134</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00-b0-00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00-b0-00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00-b0-00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Oct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00-b0-00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00-b0-00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132</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00-b0-00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Oct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00-b0-00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00-b0-00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Services (Water Corporations Charges) Regulations 2014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Services (Water Corporations Charges) Regulations 2014</w:t>
            </w:r>
          </w:fldSimple>
        </w:p>
      </w:tc>
    </w:tr>
    <w:tr>
      <w:tc>
        <w:tcPr>
          <w:tcW w:w="1548" w:type="dxa"/>
        </w:tcPr>
        <w:p>
          <w:pPr>
            <w:pStyle w:val="HeaderNumberLeft"/>
            <w:rPr>
              <w:b w:val="0"/>
            </w:rPr>
          </w:pPr>
          <w:fldSimple w:instr=" styleref CharSchno ">
            <w:r>
              <w:rPr>
                <w:noProof/>
              </w:rPr>
              <w:t>Schedule 7</w:t>
            </w:r>
          </w:fldSimple>
        </w:p>
      </w:tc>
      <w:tc>
        <w:tcPr>
          <w:tcW w:w="5715" w:type="dxa"/>
        </w:tcPr>
        <w:p>
          <w:pPr>
            <w:pStyle w:val="HeaderTextLeft"/>
          </w:pPr>
          <w:fldSimple w:instr=" styleref CharSchText ">
            <w:r>
              <w:rPr>
                <w:noProof/>
              </w:rPr>
              <w:t>Miscellaneous charges for the Water Corporation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it.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17</w:instrText>
            </w:r>
          </w:fldSimple>
          <w:r>
            <w:instrText>" "</w:instrText>
          </w:r>
          <w:fldSimple w:instr=" STYLEREF CharSClsNo \n ">
            <w:r>
              <w:rPr>
                <w:noProof/>
              </w:rPr>
              <w:instrText>1</w:instrText>
            </w:r>
          </w:fldSimple>
          <w:r>
            <w:instrText>"</w:instrText>
          </w:r>
          <w:r>
            <w:fldChar w:fldCharType="separate"/>
          </w:r>
          <w:r>
            <w:rPr>
              <w:noProof/>
            </w:rPr>
            <w:t>17</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Services (Water Corporations Charges) Regulations 2014</w:t>
            </w:r>
          </w:fldSimple>
        </w:p>
      </w:tc>
    </w:tr>
    <w:tr>
      <w:tc>
        <w:tcPr>
          <w:tcW w:w="5715" w:type="dxa"/>
          <w:vAlign w:val="bottom"/>
        </w:tcPr>
        <w:p>
          <w:pPr>
            <w:pStyle w:val="HeaderTextRight"/>
          </w:pPr>
          <w:fldSimple w:instr=" styleref CharSchText ">
            <w:r>
              <w:rPr>
                <w:noProof/>
              </w:rPr>
              <w:t>Miscellaneous charges for the Water Corporation</w:t>
            </w:r>
          </w:fldSimple>
        </w:p>
      </w:tc>
      <w:tc>
        <w:tcPr>
          <w:tcW w:w="1548" w:type="dxa"/>
        </w:tcPr>
        <w:p>
          <w:pPr>
            <w:pStyle w:val="HeaderNumberRight"/>
            <w:ind w:right="17"/>
          </w:pPr>
          <w:fldSimple w:instr=" styleref CharSchno ">
            <w:r>
              <w:rPr>
                <w:noProof/>
              </w:rPr>
              <w:t>Schedule 7</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(Water Corporations Charges) Regulations 2014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(Water Corporations Charges) Regulations 2014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(Water Corporations Charges) Regulations 2014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(Water Corporations Charges) Regulations 2014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(Water Corporations Charges) Regulations 2014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(Water Corporations Charges) Regulations 2014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Water Services (Water Corporations Charges) Regulations 2014</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1</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fldSimple w:instr=" STYLEREF CharDivNo ">
            <w:r>
              <w:rPr>
                <w:noProof/>
              </w:rPr>
              <w:instrText>Division</w:instrText>
            </w:r>
          </w:fldSimple>
          <w:r>
            <w:instrText xml:space="preserve"> </w:instrText>
          </w:r>
          <w:fldSimple w:instr=" STYLEREF CharDivNo \n ">
            <w:r>
              <w:rPr>
                <w:noProof/>
              </w:rPr>
              <w:instrText>2</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TextLef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59</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CHARFORMAT ">
            <w:r>
              <w:rPr>
                <w:noProof/>
              </w:rPr>
              <w:t>Water Services (Water Corporations Charges) Regulations 2014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fldSimple w:instr=" STYLEREF CharDivNo ">
            <w:r>
              <w:rPr>
                <w:noProof/>
              </w:rPr>
              <w:instrText>Division</w:instrText>
            </w:r>
          </w:fldSimple>
          <w:r>
            <w:instrText xml:space="preserve"> </w:instrText>
          </w:r>
          <w:fldSimple w:instr=" STYLEREF CharDivNo \n ">
            <w:r>
              <w:rPr>
                <w:noProof/>
              </w:rPr>
              <w:instrText>2</w:instrText>
            </w:r>
          </w:fldSimple>
          <w:r>
            <w:instrText>"</w:instrText>
          </w:r>
          <w:r>
            <w:fldChar w:fldCharType="end"/>
          </w:r>
        </w:p>
      </w:tc>
    </w:tr>
    <w:tr>
      <w:trPr>
        <w:cantSplit/>
      </w:trPr>
      <w:tc>
        <w:tcPr>
          <w:tcW w:w="7263" w:type="dxa"/>
          <w:gridSpan w:val="2"/>
        </w:tcPr>
        <w:p>
          <w:pPr>
            <w:pStyle w:val="HeaderNumberRight"/>
            <w:rPr>
              <w:b w:val="0"/>
            </w:rPr>
          </w:pPr>
          <w:r>
            <w:t xml:space="preserve">r.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61</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Services (Water Corporations Charges) Regulations 2014</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it.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rPr>
              <w:noProof/>
            </w:rPr>
            <w:fldChar w:fldCharType="end"/>
          </w:r>
          <w:r>
            <w:instrText>" "</w:instrText>
          </w:r>
          <w:fldSimple w:instr=" STYLEREF CharSClsNo \n ">
            <w:r>
              <w:rPr>
                <w:noProof/>
              </w:rPr>
              <w:instrText>1</w:instrText>
            </w:r>
          </w:fldSimple>
          <w:r>
            <w:instrText>"</w:instrText>
          </w:r>
          <w:r>
            <w:fldChar w:fldCharType="end"/>
          </w:r>
        </w:p>
      </w:tc>
      <w:tc>
        <w:tcPr>
          <w:tcW w:w="5715" w:type="dxa"/>
        </w:tcPr>
        <w:p>
          <w:pPr>
            <w:pStyle w:val="HeaderTextLef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Services (Water Corporations Charges) Regulations 2014</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7</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it.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rPr>
              <w:noProof/>
            </w:rPr>
            <w:fldChar w:fldCharType="end"/>
          </w:r>
          <w:r>
            <w:instrText>" "</w:instrText>
          </w:r>
          <w:fldSimple w:instr=" STYLEREF CharSClsNo \n ">
            <w:r>
              <w:rPr>
                <w:noProof/>
              </w:rPr>
              <w:instrText>16</w:instrText>
            </w:r>
          </w:fldSimple>
          <w:r>
            <w:instrText>"</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E31326C"/>
    <w:multiLevelType w:val="multilevel"/>
    <w:tmpl w:val="0B24E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8">
    <w:nsid w:val="4CC03303"/>
    <w:multiLevelType w:val="singleLevel"/>
    <w:tmpl w:val="0809000F"/>
    <w:lvl w:ilvl="0">
      <w:start w:val="1"/>
      <w:numFmt w:val="decimal"/>
      <w:lvlText w:val="%1."/>
      <w:lvlJc w:val="left"/>
      <w:pPr>
        <w:tabs>
          <w:tab w:val="num" w:pos="360"/>
        </w:tabs>
        <w:ind w:left="360" w:hanging="360"/>
      </w:pPr>
    </w:lvl>
  </w:abstractNum>
  <w:abstractNum w:abstractNumId="2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5BC132B7"/>
    <w:multiLevelType w:val="hybridMultilevel"/>
    <w:tmpl w:val="B37C4F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8"/>
  </w:num>
  <w:num w:numId="3">
    <w:abstractNumId w:val="17"/>
  </w:num>
  <w:num w:numId="4">
    <w:abstractNumId w:val="12"/>
  </w:num>
  <w:num w:numId="5">
    <w:abstractNumId w:val="19"/>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7"/>
  </w:num>
  <w:num w:numId="17">
    <w:abstractNumId w:val="10"/>
  </w:num>
  <w:num w:numId="18">
    <w:abstractNumId w:val="26"/>
  </w:num>
  <w:num w:numId="19">
    <w:abstractNumId w:val="33"/>
  </w:num>
  <w:num w:numId="20">
    <w:abstractNumId w:val="24"/>
  </w:num>
  <w:num w:numId="21">
    <w:abstractNumId w:val="30"/>
  </w:num>
  <w:num w:numId="22">
    <w:abstractNumId w:val="18"/>
  </w:num>
  <w:num w:numId="23">
    <w:abstractNumId w:val="14"/>
  </w:num>
  <w:num w:numId="24">
    <w:abstractNumId w:val="31"/>
  </w:num>
  <w:num w:numId="25">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1299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918134243"/>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2129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AGE-">
    <w:name w:val="- PAGE -"/>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AGE-">
    <w:name w:val="- PAGE -"/>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8.xml"/><Relationship Id="rId3" Type="http://schemas.openxmlformats.org/officeDocument/2006/relationships/styles" Target="styles.xml"/><Relationship Id="rId21" Type="http://schemas.openxmlformats.org/officeDocument/2006/relationships/image" Target="media/image2.wmf"/><Relationship Id="rId34" Type="http://schemas.openxmlformats.org/officeDocument/2006/relationships/header" Target="header15.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38"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1.wmf"/><Relationship Id="rId29" Type="http://schemas.openxmlformats.org/officeDocument/2006/relationships/header" Target="header10.xml"/><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footer" Target="footer10.xml"/><Relationship Id="rId40" Type="http://schemas.openxmlformats.org/officeDocument/2006/relationships/footer" Target="footer1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8DB86-7962-4B8B-8866-D9B3C2E7E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146</Pages>
  <Words>27560</Words>
  <Characters>131465</Characters>
  <Application>Microsoft Office Word</Application>
  <DocSecurity>0</DocSecurity>
  <Lines>5975</Lines>
  <Paragraphs>4677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154348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2014 - 00-b0-00</dc:title>
  <dc:subject/>
  <dc:creator/>
  <cp:keywords/>
  <dc:description/>
  <cp:lastModifiedBy>svcMRProcess</cp:lastModifiedBy>
  <cp:revision>4</cp:revision>
  <cp:lastPrinted>2014-06-11T02:20:00Z</cp:lastPrinted>
  <dcterms:created xsi:type="dcterms:W3CDTF">2020-02-29T07:36:00Z</dcterms:created>
  <dcterms:modified xsi:type="dcterms:W3CDTF">2020-02-29T07:36:00Z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CommencementDate">
    <vt:lpwstr>20141001</vt:lpwstr>
  </property>
  <property fmtid="{D5CDD505-2E9C-101B-9397-08002B2CF9AE}" pid="4" name="AsAtDate">
    <vt:lpwstr>01 Oct 2014</vt:lpwstr>
  </property>
  <property fmtid="{D5CDD505-2E9C-101B-9397-08002B2CF9AE}" pid="5" name="Suffix">
    <vt:lpwstr>00-b0-00</vt:lpwstr>
  </property>
  <property fmtid="{D5CDD505-2E9C-101B-9397-08002B2CF9AE}" pid="6" name="DocumentType">
    <vt:lpwstr>Reg</vt:lpwstr>
  </property>
</Properties>
</file>