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33.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Port Authorities Act 1999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Port Authorities Act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_Toc424284361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_Toc424284362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_Toc424284363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Port authorities: establishment and administration</w:t>
      </w:r>
    </w:p>
    <w:p>
      <w:pPr>
        <w:pStyle w:val="TOC4"/>
        <w:tabs>
          <w:tab w:val="right" w:leader="dot" w:pos="7077"/>
        </w:tabs>
        <w:rPr>
          <w:rFonts w:asciiTheme="minorHAnsi" w:eastAsiaTheme="minorEastAsia" w:hAnsiTheme="minorHAnsi" w:cstheme="minorBidi"/>
          <w:b w:val="0"/>
          <w:szCs w:val="22"/>
        </w:rPr>
      </w:pPr>
      <w:r>
        <w:t>Division 1 — Establishment of port authorities</w:t>
      </w:r>
    </w:p>
    <w:p>
      <w:pPr>
        <w:pStyle w:val="TOC8"/>
        <w:rPr>
          <w:rFonts w:asciiTheme="minorHAnsi" w:eastAsiaTheme="minorEastAsia" w:hAnsiTheme="minorHAnsi" w:cstheme="minorBidi"/>
          <w:szCs w:val="22"/>
        </w:rPr>
      </w:pPr>
      <w:r>
        <w:t>4</w:t>
      </w:r>
      <w:r>
        <w:rPr>
          <w:snapToGrid w:val="0"/>
        </w:rPr>
        <w:t>.</w:t>
      </w:r>
      <w:r>
        <w:rPr>
          <w:snapToGrid w:val="0"/>
        </w:rPr>
        <w:tab/>
        <w:t>Port authorities, establishment, nature and trading names of</w:t>
      </w:r>
      <w:r>
        <w:tab/>
      </w:r>
      <w:r>
        <w:fldChar w:fldCharType="begin"/>
      </w:r>
      <w:r>
        <w:instrText xml:space="preserve"> PAGEREF _Toc424284366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Port authorities not to be regarded as agents of Crown for purposes of State laws</w:t>
      </w:r>
      <w:r>
        <w:tab/>
      </w:r>
      <w:r>
        <w:fldChar w:fldCharType="begin"/>
      </w:r>
      <w:r>
        <w:instrText xml:space="preserve"> PAGEREF _Toc424284367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Port authorities and officers not part of public sector</w:t>
      </w:r>
      <w:r>
        <w:tab/>
      </w:r>
      <w:r>
        <w:fldChar w:fldCharType="begin"/>
      </w:r>
      <w:r>
        <w:instrText xml:space="preserve"> PAGEREF _Toc424284368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Boards of directors</w:t>
      </w:r>
    </w:p>
    <w:p>
      <w:pPr>
        <w:pStyle w:val="TOC8"/>
        <w:rPr>
          <w:rFonts w:asciiTheme="minorHAnsi" w:eastAsiaTheme="minorEastAsia" w:hAnsiTheme="minorHAnsi" w:cstheme="minorBidi"/>
          <w:szCs w:val="22"/>
        </w:rPr>
      </w:pPr>
      <w:r>
        <w:t>7</w:t>
      </w:r>
      <w:r>
        <w:rPr>
          <w:snapToGrid w:val="0"/>
        </w:rPr>
        <w:t>.</w:t>
      </w:r>
      <w:r>
        <w:rPr>
          <w:snapToGrid w:val="0"/>
        </w:rPr>
        <w:tab/>
        <w:t>Port authorities to have board of directors</w:t>
      </w:r>
      <w:r>
        <w:tab/>
      </w:r>
      <w:r>
        <w:fldChar w:fldCharType="begin"/>
      </w:r>
      <w:r>
        <w:instrText xml:space="preserve"> PAGEREF _Toc424284370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Boards, role of</w:t>
      </w:r>
      <w:r>
        <w:tab/>
      </w:r>
      <w:r>
        <w:fldChar w:fldCharType="begin"/>
      </w:r>
      <w:r>
        <w:instrText xml:space="preserve"> PAGEREF _Toc424284371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Boards, constitution and proceedings of (Sch. 2)</w:t>
      </w:r>
      <w:r>
        <w:tab/>
      </w:r>
      <w:r>
        <w:fldChar w:fldCharType="begin"/>
      </w:r>
      <w:r>
        <w:instrText xml:space="preserve"> PAGEREF _Toc424284372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Directors, remuneration of</w:t>
      </w:r>
      <w:r>
        <w:tab/>
      </w:r>
      <w:r>
        <w:fldChar w:fldCharType="begin"/>
      </w:r>
      <w:r>
        <w:instrText xml:space="preserve"> PAGEREF _Toc424284373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Conflict of duties</w:t>
      </w:r>
      <w:r>
        <w:tab/>
      </w:r>
      <w:r>
        <w:fldChar w:fldCharType="begin"/>
      </w:r>
      <w:r>
        <w:instrText xml:space="preserve"> PAGEREF _Toc424284374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Notifiable interests, disclosing</w:t>
      </w:r>
      <w:r>
        <w:tab/>
      </w:r>
      <w:r>
        <w:fldChar w:fldCharType="begin"/>
      </w:r>
      <w:r>
        <w:instrText xml:space="preserve"> PAGEREF _Toc424284375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Committees</w:t>
      </w:r>
      <w:r>
        <w:tab/>
      </w:r>
      <w:r>
        <w:fldChar w:fldCharType="begin"/>
      </w:r>
      <w:r>
        <w:instrText xml:space="preserve"> PAGEREF _Toc424284376 \h </w:instrText>
      </w:r>
      <w:r>
        <w:fldChar w:fldCharType="separate"/>
      </w:r>
      <w:r>
        <w:t>11</w:t>
      </w:r>
      <w:r>
        <w:fldChar w:fldCharType="end"/>
      </w:r>
    </w:p>
    <w:p>
      <w:pPr>
        <w:pStyle w:val="TOC8"/>
        <w:rPr>
          <w:rFonts w:asciiTheme="minorHAnsi" w:eastAsiaTheme="minorEastAsia" w:hAnsiTheme="minorHAnsi" w:cstheme="minorBidi"/>
          <w:szCs w:val="22"/>
        </w:rPr>
      </w:pPr>
      <w:r>
        <w:t>14A.</w:t>
      </w:r>
      <w:r>
        <w:tab/>
        <w:t>Community consultation committees</w:t>
      </w:r>
      <w:r>
        <w:tab/>
      </w:r>
      <w:r>
        <w:fldChar w:fldCharType="begin"/>
      </w:r>
      <w:r>
        <w:instrText xml:space="preserve"> PAGEREF _Toc424284377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Staff</w:t>
      </w:r>
    </w:p>
    <w:p>
      <w:pPr>
        <w:pStyle w:val="TOC8"/>
        <w:rPr>
          <w:rFonts w:asciiTheme="minorHAnsi" w:eastAsiaTheme="minorEastAsia" w:hAnsiTheme="minorHAnsi" w:cstheme="minorBidi"/>
          <w:szCs w:val="22"/>
        </w:rPr>
      </w:pPr>
      <w:r>
        <w:t>14</w:t>
      </w:r>
      <w:r>
        <w:rPr>
          <w:snapToGrid w:val="0"/>
        </w:rPr>
        <w:t>.</w:t>
      </w:r>
      <w:r>
        <w:rPr>
          <w:snapToGrid w:val="0"/>
        </w:rPr>
        <w:tab/>
        <w:t>Chief executive officer</w:t>
      </w:r>
      <w:r>
        <w:tab/>
      </w:r>
      <w:r>
        <w:fldChar w:fldCharType="begin"/>
      </w:r>
      <w:r>
        <w:instrText xml:space="preserve"> PAGEREF _Toc424284379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CEO’s functions</w:t>
      </w:r>
      <w:r>
        <w:tab/>
      </w:r>
      <w:r>
        <w:fldChar w:fldCharType="begin"/>
      </w:r>
      <w:r>
        <w:instrText xml:space="preserve"> PAGEREF _Toc424284380 \h </w:instrText>
      </w:r>
      <w:r>
        <w:fldChar w:fldCharType="separate"/>
      </w:r>
      <w:r>
        <w:t>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Staff</w:t>
      </w:r>
      <w:r>
        <w:tab/>
      </w:r>
      <w:r>
        <w:fldChar w:fldCharType="begin"/>
      </w:r>
      <w:r>
        <w:instrText xml:space="preserve"> PAGEREF _Toc424284381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Minimum standards for staff management</w:t>
      </w:r>
      <w:r>
        <w:tab/>
      </w:r>
      <w:r>
        <w:fldChar w:fldCharType="begin"/>
      </w:r>
      <w:r>
        <w:instrText xml:space="preserve"> PAGEREF _Toc424284382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Reports to Public Sector Commissioner as to s. 17 standards</w:t>
      </w:r>
      <w:r>
        <w:tab/>
      </w:r>
      <w:r>
        <w:fldChar w:fldCharType="begin"/>
      </w:r>
      <w:r>
        <w:instrText xml:space="preserve"> PAGEREF _Toc424284383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Superannuation</w:t>
      </w:r>
      <w:r>
        <w:tab/>
      </w:r>
      <w:r>
        <w:fldChar w:fldCharType="begin"/>
      </w:r>
      <w:r>
        <w:instrText xml:space="preserve"> PAGEREF _Toc424284384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Conduct and integrity of staff</w:t>
      </w:r>
    </w:p>
    <w:p>
      <w:pPr>
        <w:pStyle w:val="TOC8"/>
        <w:rPr>
          <w:rFonts w:asciiTheme="minorHAnsi" w:eastAsiaTheme="minorEastAsia" w:hAnsiTheme="minorHAnsi" w:cstheme="minorBidi"/>
          <w:szCs w:val="22"/>
        </w:rPr>
      </w:pPr>
      <w:r>
        <w:t>20</w:t>
      </w:r>
      <w:r>
        <w:rPr>
          <w:snapToGrid w:val="0"/>
        </w:rPr>
        <w:t>.</w:t>
      </w:r>
      <w:r>
        <w:rPr>
          <w:snapToGrid w:val="0"/>
        </w:rPr>
        <w:tab/>
        <w:t>CEO and staff, duties of (Sch. 3) etc.</w:t>
      </w:r>
      <w:r>
        <w:tab/>
      </w:r>
      <w:r>
        <w:fldChar w:fldCharType="begin"/>
      </w:r>
      <w:r>
        <w:instrText xml:space="preserve"> PAGEREF _Toc424284386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Codes of conduct</w:t>
      </w:r>
      <w:r>
        <w:tab/>
      </w:r>
      <w:r>
        <w:fldChar w:fldCharType="begin"/>
      </w:r>
      <w:r>
        <w:instrText xml:space="preserve"> PAGEREF _Toc424284387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Reports to Public Sector Commissioner as to s. 21 codes</w:t>
      </w:r>
      <w:r>
        <w:tab/>
      </w:r>
      <w:r>
        <w:fldChar w:fldCharType="begin"/>
      </w:r>
      <w:r>
        <w:instrText xml:space="preserve"> PAGEREF _Toc424284388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Reports to Minister as to s. 21 codes</w:t>
      </w:r>
      <w:r>
        <w:tab/>
      </w:r>
      <w:r>
        <w:fldChar w:fldCharType="begin"/>
      </w:r>
      <w:r>
        <w:instrText xml:space="preserve"> PAGEREF _Toc424284389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Port areas and property of port authorities</w:t>
      </w:r>
    </w:p>
    <w:p>
      <w:pPr>
        <w:pStyle w:val="TOC8"/>
        <w:rPr>
          <w:rFonts w:asciiTheme="minorHAnsi" w:eastAsiaTheme="minorEastAsia" w:hAnsiTheme="minorHAnsi" w:cstheme="minorBidi"/>
          <w:szCs w:val="22"/>
        </w:rPr>
      </w:pPr>
      <w:r>
        <w:t>24</w:t>
      </w:r>
      <w:r>
        <w:rPr>
          <w:snapToGrid w:val="0"/>
        </w:rPr>
        <w:t>.</w:t>
      </w:r>
      <w:r>
        <w:rPr>
          <w:snapToGrid w:val="0"/>
        </w:rPr>
        <w:tab/>
        <w:t>Port areas defined</w:t>
      </w:r>
      <w:r>
        <w:tab/>
      </w:r>
      <w:r>
        <w:fldChar w:fldCharType="begin"/>
      </w:r>
      <w:r>
        <w:instrText xml:space="preserve"> PAGEREF _Toc424284391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Port authority, property vested in</w:t>
      </w:r>
      <w:r>
        <w:tab/>
      </w:r>
      <w:r>
        <w:fldChar w:fldCharType="begin"/>
      </w:r>
      <w:r>
        <w:instrText xml:space="preserve"> PAGEREF _Toc424284392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Port property may be taken back by Crown</w:t>
      </w:r>
      <w:r>
        <w:tab/>
      </w:r>
      <w:r>
        <w:fldChar w:fldCharType="begin"/>
      </w:r>
      <w:r>
        <w:instrText xml:space="preserve"> PAGEREF _Toc424284393 \h </w:instrText>
      </w:r>
      <w:r>
        <w:fldChar w:fldCharType="separate"/>
      </w:r>
      <w:r>
        <w:t>20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Power to sell land, restrictions on</w:t>
      </w:r>
      <w:r>
        <w:tab/>
      </w:r>
      <w:r>
        <w:fldChar w:fldCharType="begin"/>
      </w:r>
      <w:r>
        <w:instrText xml:space="preserve"> PAGEREF _Toc424284394 \h </w:instrText>
      </w:r>
      <w:r>
        <w:fldChar w:fldCharType="separate"/>
      </w:r>
      <w:r>
        <w:t>20</w:t>
      </w:r>
      <w:r>
        <w:fldChar w:fldCharType="end"/>
      </w:r>
    </w:p>
    <w:p>
      <w:pPr>
        <w:pStyle w:val="TOC8"/>
        <w:rPr>
          <w:rFonts w:asciiTheme="minorHAnsi" w:eastAsiaTheme="minorEastAsia" w:hAnsiTheme="minorHAnsi" w:cstheme="minorBidi"/>
          <w:szCs w:val="22"/>
        </w:rPr>
      </w:pPr>
      <w:r>
        <w:t>27A.</w:t>
      </w:r>
      <w:r>
        <w:tab/>
        <w:t>Land, creating interests in</w:t>
      </w:r>
      <w:r>
        <w:tab/>
      </w:r>
      <w:r>
        <w:fldChar w:fldCharType="begin"/>
      </w:r>
      <w:r>
        <w:instrText xml:space="preserve"> PAGEREF _Toc424284395 \h </w:instrText>
      </w:r>
      <w:r>
        <w:fldChar w:fldCharType="separate"/>
      </w:r>
      <w:r>
        <w:t>20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Vested land, creating and dealing with interests in</w:t>
      </w:r>
      <w:r>
        <w:tab/>
      </w:r>
      <w:r>
        <w:fldChar w:fldCharType="begin"/>
      </w:r>
      <w:r>
        <w:instrText xml:space="preserve"> PAGEREF _Toc424284396 \h </w:instrText>
      </w:r>
      <w:r>
        <w:fldChar w:fldCharType="separate"/>
      </w:r>
      <w:r>
        <w:t>21</w:t>
      </w:r>
      <w:r>
        <w:fldChar w:fldCharType="end"/>
      </w:r>
    </w:p>
    <w:p>
      <w:pPr>
        <w:pStyle w:val="TOC8"/>
        <w:rPr>
          <w:rFonts w:asciiTheme="minorHAnsi" w:eastAsiaTheme="minorEastAsia" w:hAnsiTheme="minorHAnsi" w:cstheme="minorBidi"/>
          <w:szCs w:val="22"/>
        </w:rPr>
      </w:pPr>
      <w:r>
        <w:t>29A.</w:t>
      </w:r>
      <w:r>
        <w:tab/>
        <w:t xml:space="preserve">Operation of </w:t>
      </w:r>
      <w:r>
        <w:rPr>
          <w:i/>
        </w:rPr>
        <w:t>Planning and Development Act 2005</w:t>
      </w:r>
      <w:r>
        <w:t xml:space="preserve"> section 136 modified</w:t>
      </w:r>
      <w:r>
        <w:tab/>
      </w:r>
      <w:r>
        <w:fldChar w:fldCharType="begin"/>
      </w:r>
      <w:r>
        <w:instrText xml:space="preserve"> PAGEREF _Toc424284397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Disputes between port authority and Crown</w:t>
      </w:r>
      <w:r>
        <w:tab/>
      </w:r>
      <w:r>
        <w:fldChar w:fldCharType="begin"/>
      </w:r>
      <w:r>
        <w:instrText xml:space="preserve"> PAGEREF _Toc424284398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Functions and powers</w:t>
      </w:r>
    </w:p>
    <w:p>
      <w:pPr>
        <w:pStyle w:val="TOC4"/>
        <w:tabs>
          <w:tab w:val="right" w:leader="dot" w:pos="7077"/>
        </w:tabs>
        <w:rPr>
          <w:rFonts w:asciiTheme="minorHAnsi" w:eastAsiaTheme="minorEastAsia" w:hAnsiTheme="minorHAnsi" w:cstheme="minorBidi"/>
          <w:b w:val="0"/>
          <w:szCs w:val="22"/>
        </w:rPr>
      </w:pPr>
      <w:r>
        <w:t>Division 1 — Functions, powers and related provisions</w:t>
      </w:r>
    </w:p>
    <w:p>
      <w:pPr>
        <w:pStyle w:val="TOC8"/>
        <w:rPr>
          <w:rFonts w:asciiTheme="minorHAnsi" w:eastAsiaTheme="minorEastAsia" w:hAnsiTheme="minorHAnsi" w:cstheme="minorBidi"/>
          <w:szCs w:val="22"/>
        </w:rPr>
      </w:pPr>
      <w:r>
        <w:t>30</w:t>
      </w:r>
      <w:r>
        <w:rPr>
          <w:snapToGrid w:val="0"/>
        </w:rPr>
        <w:t>.</w:t>
      </w:r>
      <w:r>
        <w:rPr>
          <w:snapToGrid w:val="0"/>
        </w:rPr>
        <w:tab/>
        <w:t>Functions</w:t>
      </w:r>
      <w:r>
        <w:tab/>
      </w:r>
      <w:r>
        <w:fldChar w:fldCharType="begin"/>
      </w:r>
      <w:r>
        <w:instrText xml:space="preserve"> PAGEREF _Toc424284401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Port authorities can act at their discretion</w:t>
      </w:r>
      <w:r>
        <w:tab/>
      </w:r>
      <w:r>
        <w:fldChar w:fldCharType="begin"/>
      </w:r>
      <w:r>
        <w:instrText xml:space="preserve"> PAGEREF _Toc424284402 \h </w:instrText>
      </w:r>
      <w:r>
        <w:fldChar w:fldCharType="separate"/>
      </w:r>
      <w:r>
        <w:t>23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Control of port, port authority has</w:t>
      </w:r>
      <w:r>
        <w:tab/>
      </w:r>
      <w:r>
        <w:fldChar w:fldCharType="begin"/>
      </w:r>
      <w:r>
        <w:instrText xml:space="preserve"> PAGEREF _Toc424284403 \h </w:instrText>
      </w:r>
      <w:r>
        <w:fldChar w:fldCharType="separate"/>
      </w:r>
      <w:r>
        <w:t>23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Duty to act in accordance with policy instruments</w:t>
      </w:r>
      <w:r>
        <w:tab/>
      </w:r>
      <w:r>
        <w:fldChar w:fldCharType="begin"/>
      </w:r>
      <w:r>
        <w:instrText xml:space="preserve"> PAGEREF _Toc424284404 \h </w:instrText>
      </w:r>
      <w:r>
        <w:fldChar w:fldCharType="separate"/>
      </w:r>
      <w:r>
        <w:t>23</w:t>
      </w:r>
      <w:r>
        <w:fldChar w:fldCharType="end"/>
      </w:r>
    </w:p>
    <w:p>
      <w:pPr>
        <w:pStyle w:val="TOC8"/>
        <w:rPr>
          <w:rFonts w:asciiTheme="minorHAnsi" w:eastAsiaTheme="minorEastAsia" w:hAnsiTheme="minorHAnsi" w:cstheme="minorBidi"/>
          <w:szCs w:val="22"/>
        </w:rPr>
      </w:pPr>
      <w:r>
        <w:t>34A.</w:t>
      </w:r>
      <w:r>
        <w:tab/>
        <w:t>Duty to comply with State budgetary requirements</w:t>
      </w:r>
      <w:r>
        <w:tab/>
      </w:r>
      <w:r>
        <w:fldChar w:fldCharType="begin"/>
      </w:r>
      <w:r>
        <w:instrText xml:space="preserve"> PAGEREF _Toc424284405 \h </w:instrText>
      </w:r>
      <w:r>
        <w:fldChar w:fldCharType="separate"/>
      </w:r>
      <w:r>
        <w:t>23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Duty to act on commercial principles</w:t>
      </w:r>
      <w:r>
        <w:tab/>
      </w:r>
      <w:r>
        <w:fldChar w:fldCharType="begin"/>
      </w:r>
      <w:r>
        <w:instrText xml:space="preserve"> PAGEREF _Toc424284406 \h </w:instrText>
      </w:r>
      <w:r>
        <w:fldChar w:fldCharType="separate"/>
      </w:r>
      <w:r>
        <w:t>24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Powers generally</w:t>
      </w:r>
      <w:r>
        <w:tab/>
      </w:r>
      <w:r>
        <w:fldChar w:fldCharType="begin"/>
      </w:r>
      <w:r>
        <w:instrText xml:space="preserve"> PAGEREF _Toc424284407 \h </w:instrText>
      </w:r>
      <w:r>
        <w:fldChar w:fldCharType="separate"/>
      </w:r>
      <w:r>
        <w:t>24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Port facilities and services, extended powers as to</w:t>
      </w:r>
      <w:r>
        <w:tab/>
      </w:r>
      <w:r>
        <w:fldChar w:fldCharType="begin"/>
      </w:r>
      <w:r>
        <w:instrText xml:space="preserve"> PAGEREF _Toc424284408 \h </w:instrText>
      </w:r>
      <w:r>
        <w:fldChar w:fldCharType="separate"/>
      </w:r>
      <w:r>
        <w:t>28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Fees and charges, power to levy</w:t>
      </w:r>
      <w:r>
        <w:tab/>
      </w:r>
      <w:r>
        <w:fldChar w:fldCharType="begin"/>
      </w:r>
      <w:r>
        <w:instrText xml:space="preserve"> PAGEREF _Toc424284409 \h </w:instrText>
      </w:r>
      <w:r>
        <w:fldChar w:fldCharType="separate"/>
      </w:r>
      <w:r>
        <w:t>29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Planning laws, application of to port authorities</w:t>
      </w:r>
      <w:r>
        <w:tab/>
      </w:r>
      <w:r>
        <w:fldChar w:fldCharType="begin"/>
      </w:r>
      <w:r>
        <w:instrText xml:space="preserve"> PAGEREF _Toc424284410 \h </w:instrText>
      </w:r>
      <w:r>
        <w:fldChar w:fldCharType="separate"/>
      </w:r>
      <w:r>
        <w:t>29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Subsidiaries of port authorities, acquisition of etc.</w:t>
      </w:r>
      <w:r>
        <w:tab/>
      </w:r>
      <w:r>
        <w:fldChar w:fldCharType="begin"/>
      </w:r>
      <w:r>
        <w:instrText xml:space="preserve"> PAGEREF _Toc424284411 \h </w:instrText>
      </w:r>
      <w:r>
        <w:fldChar w:fldCharType="separate"/>
      </w:r>
      <w:r>
        <w:t>30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Ministerial approval, transactions requiring</w:t>
      </w:r>
      <w:r>
        <w:tab/>
      </w:r>
      <w:r>
        <w:fldChar w:fldCharType="begin"/>
      </w:r>
      <w:r>
        <w:instrText xml:space="preserve"> PAGEREF _Toc424284412 \h </w:instrText>
      </w:r>
      <w:r>
        <w:fldChar w:fldCharType="separate"/>
      </w:r>
      <w:r>
        <w:t>30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Exemptions from s. 40</w:t>
      </w:r>
      <w:r>
        <w:tab/>
      </w:r>
      <w:r>
        <w:fldChar w:fldCharType="begin"/>
      </w:r>
      <w:r>
        <w:instrText xml:space="preserve"> PAGEREF _Toc424284413 \h </w:instrText>
      </w:r>
      <w:r>
        <w:fldChar w:fldCharType="separate"/>
      </w:r>
      <w:r>
        <w:t>31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Term used: transaction</w:t>
      </w:r>
      <w:r>
        <w:tab/>
      </w:r>
      <w:r>
        <w:fldChar w:fldCharType="begin"/>
      </w:r>
      <w:r>
        <w:instrText xml:space="preserve"> PAGEREF _Toc424284414 \h </w:instrText>
      </w:r>
      <w:r>
        <w:fldChar w:fldCharType="separate"/>
      </w:r>
      <w:r>
        <w:t>31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Major initiatives etc., Minister to be consulted on</w:t>
      </w:r>
      <w:r>
        <w:tab/>
      </w:r>
      <w:r>
        <w:fldChar w:fldCharType="begin"/>
      </w:r>
      <w:r>
        <w:instrText xml:space="preserve"> PAGEREF _Toc424284415 \h </w:instrText>
      </w:r>
      <w:r>
        <w:fldChar w:fldCharType="separate"/>
      </w:r>
      <w:r>
        <w:t>32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Delegation by port authority</w:t>
      </w:r>
      <w:r>
        <w:tab/>
      </w:r>
      <w:r>
        <w:fldChar w:fldCharType="begin"/>
      </w:r>
      <w:r>
        <w:instrText xml:space="preserve"> PAGEREF _Toc424284416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Protection of people dealing with port authorities</w:t>
      </w:r>
    </w:p>
    <w:p>
      <w:pPr>
        <w:pStyle w:val="TOC8"/>
        <w:rPr>
          <w:rFonts w:asciiTheme="minorHAnsi" w:eastAsiaTheme="minorEastAsia" w:hAnsiTheme="minorHAnsi" w:cstheme="minorBidi"/>
          <w:szCs w:val="22"/>
        </w:rPr>
      </w:pPr>
      <w:r>
        <w:t>45</w:t>
      </w:r>
      <w:r>
        <w:rPr>
          <w:snapToGrid w:val="0"/>
        </w:rPr>
        <w:t>.</w:t>
      </w:r>
      <w:r>
        <w:rPr>
          <w:snapToGrid w:val="0"/>
        </w:rPr>
        <w:tab/>
        <w:t>People dealing with port authorities may make assumptions</w:t>
      </w:r>
      <w:r>
        <w:tab/>
      </w:r>
      <w:r>
        <w:fldChar w:fldCharType="begin"/>
      </w:r>
      <w:r>
        <w:instrText xml:space="preserve"> PAGEREF _Toc424284418 \h </w:instrText>
      </w:r>
      <w:r>
        <w:fldChar w:fldCharType="separate"/>
      </w:r>
      <w:r>
        <w:t>33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Third parties may make assumptions</w:t>
      </w:r>
      <w:r>
        <w:tab/>
      </w:r>
      <w:r>
        <w:fldChar w:fldCharType="begin"/>
      </w:r>
      <w:r>
        <w:instrText xml:space="preserve"> PAGEREF _Toc424284419 \h </w:instrText>
      </w:r>
      <w:r>
        <w:fldChar w:fldCharType="separate"/>
      </w:r>
      <w:r>
        <w:t>33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Assumptions that may be made under s. 45 and 46</w:t>
      </w:r>
      <w:r>
        <w:tab/>
      </w:r>
      <w:r>
        <w:fldChar w:fldCharType="begin"/>
      </w:r>
      <w:r>
        <w:instrText xml:space="preserve"> PAGEREF _Toc424284420 \h </w:instrText>
      </w:r>
      <w:r>
        <w:fldChar w:fldCharType="separate"/>
      </w:r>
      <w:r>
        <w:t>33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Exception to s. 45 and 46</w:t>
      </w:r>
      <w:r>
        <w:tab/>
      </w:r>
      <w:r>
        <w:fldChar w:fldCharType="begin"/>
      </w:r>
      <w:r>
        <w:instrText xml:space="preserve"> PAGEREF _Toc424284421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about accountability</w:t>
      </w:r>
    </w:p>
    <w:p>
      <w:pPr>
        <w:pStyle w:val="TOC4"/>
        <w:tabs>
          <w:tab w:val="right" w:leader="dot" w:pos="7077"/>
        </w:tabs>
        <w:rPr>
          <w:rFonts w:asciiTheme="minorHAnsi" w:eastAsiaTheme="minorEastAsia" w:hAnsiTheme="minorHAnsi" w:cstheme="minorBidi"/>
          <w:b w:val="0"/>
          <w:szCs w:val="22"/>
        </w:rPr>
      </w:pPr>
      <w:r>
        <w:t>Division 1 — Strategic development plans</w:t>
      </w:r>
    </w:p>
    <w:p>
      <w:pPr>
        <w:pStyle w:val="TOC8"/>
        <w:rPr>
          <w:rFonts w:asciiTheme="minorHAnsi" w:eastAsiaTheme="minorEastAsia" w:hAnsiTheme="minorHAnsi" w:cstheme="minorBidi"/>
          <w:szCs w:val="22"/>
        </w:rPr>
      </w:pPr>
      <w:r>
        <w:t>49</w:t>
      </w:r>
      <w:r>
        <w:rPr>
          <w:snapToGrid w:val="0"/>
        </w:rPr>
        <w:t>.</w:t>
      </w:r>
      <w:r>
        <w:rPr>
          <w:snapToGrid w:val="0"/>
        </w:rPr>
        <w:tab/>
        <w:t>Draft strategic development plan to be submitted to Minister</w:t>
      </w:r>
      <w:r>
        <w:tab/>
      </w:r>
      <w:r>
        <w:fldChar w:fldCharType="begin"/>
      </w:r>
      <w:r>
        <w:instrText xml:space="preserve"> PAGEREF _Toc424284424 \h </w:instrText>
      </w:r>
      <w:r>
        <w:fldChar w:fldCharType="separate"/>
      </w:r>
      <w:r>
        <w:t>36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Period to which strategic development plan relates</w:t>
      </w:r>
      <w:r>
        <w:tab/>
      </w:r>
      <w:r>
        <w:fldChar w:fldCharType="begin"/>
      </w:r>
      <w:r>
        <w:instrText xml:space="preserve"> PAGEREF _Toc424284425 \h </w:instrText>
      </w:r>
      <w:r>
        <w:fldChar w:fldCharType="separate"/>
      </w:r>
      <w:r>
        <w:t>36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Matters to be included in strategic development plan</w:t>
      </w:r>
      <w:r>
        <w:tab/>
      </w:r>
      <w:r>
        <w:fldChar w:fldCharType="begin"/>
      </w:r>
      <w:r>
        <w:instrText xml:space="preserve"> PAGEREF _Toc424284426 \h </w:instrText>
      </w:r>
      <w:r>
        <w:fldChar w:fldCharType="separate"/>
      </w:r>
      <w:r>
        <w:t>36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Strategic development plan to be agreed if possible</w:t>
      </w:r>
      <w:r>
        <w:tab/>
      </w:r>
      <w:r>
        <w:fldChar w:fldCharType="begin"/>
      </w:r>
      <w:r>
        <w:instrText xml:space="preserve"> PAGEREF _Toc424284427 \h </w:instrText>
      </w:r>
      <w:r>
        <w:fldChar w:fldCharType="separate"/>
      </w:r>
      <w:r>
        <w:t>37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Minister’s powers in relation to draft strategic development plan</w:t>
      </w:r>
      <w:r>
        <w:tab/>
      </w:r>
      <w:r>
        <w:fldChar w:fldCharType="begin"/>
      </w:r>
      <w:r>
        <w:instrText xml:space="preserve"> PAGEREF _Toc424284428 \h </w:instrText>
      </w:r>
      <w:r>
        <w:fldChar w:fldCharType="separate"/>
      </w:r>
      <w:r>
        <w:t>37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Strategic development plan pending agreement</w:t>
      </w:r>
      <w:r>
        <w:tab/>
      </w:r>
      <w:r>
        <w:fldChar w:fldCharType="begin"/>
      </w:r>
      <w:r>
        <w:instrText xml:space="preserve"> PAGEREF _Toc424284429 \h </w:instrText>
      </w:r>
      <w:r>
        <w:fldChar w:fldCharType="separate"/>
      </w:r>
      <w:r>
        <w:t>38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Agreed draft becomes strategic development plan</w:t>
      </w:r>
      <w:r>
        <w:tab/>
      </w:r>
      <w:r>
        <w:fldChar w:fldCharType="begin"/>
      </w:r>
      <w:r>
        <w:instrText xml:space="preserve"> PAGEREF _Toc424284430 \h </w:instrText>
      </w:r>
      <w:r>
        <w:fldChar w:fldCharType="separate"/>
      </w:r>
      <w:r>
        <w:t>38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Modifying strategic development plan</w:t>
      </w:r>
      <w:r>
        <w:tab/>
      </w:r>
      <w:r>
        <w:fldChar w:fldCharType="begin"/>
      </w:r>
      <w:r>
        <w:instrText xml:space="preserve"> PAGEREF _Toc424284431 \h </w:instrText>
      </w:r>
      <w:r>
        <w:fldChar w:fldCharType="separate"/>
      </w:r>
      <w:r>
        <w:t>39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Treasurer’s concurrence needed by Minister for s. 55 or 56</w:t>
      </w:r>
      <w:r>
        <w:tab/>
      </w:r>
      <w:r>
        <w:fldChar w:fldCharType="begin"/>
      </w:r>
      <w:r>
        <w:instrText xml:space="preserve"> PAGEREF _Toc424284432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Statement of corporate intent</w:t>
      </w:r>
    </w:p>
    <w:p>
      <w:pPr>
        <w:pStyle w:val="TOC8"/>
        <w:rPr>
          <w:rFonts w:asciiTheme="minorHAnsi" w:eastAsiaTheme="minorEastAsia" w:hAnsiTheme="minorHAnsi" w:cstheme="minorBidi"/>
          <w:szCs w:val="22"/>
        </w:rPr>
      </w:pPr>
      <w:r>
        <w:t>58</w:t>
      </w:r>
      <w:r>
        <w:rPr>
          <w:snapToGrid w:val="0"/>
        </w:rPr>
        <w:t>.</w:t>
      </w:r>
      <w:r>
        <w:rPr>
          <w:snapToGrid w:val="0"/>
        </w:rPr>
        <w:tab/>
        <w:t>Draft statement of corporate intent to be submitted to Minister</w:t>
      </w:r>
      <w:r>
        <w:tab/>
      </w:r>
      <w:r>
        <w:fldChar w:fldCharType="begin"/>
      </w:r>
      <w:r>
        <w:instrText xml:space="preserve"> PAGEREF _Toc424284434 \h </w:instrText>
      </w:r>
      <w:r>
        <w:fldChar w:fldCharType="separate"/>
      </w:r>
      <w:r>
        <w:t>40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Period to which statement of corporate intent relates</w:t>
      </w:r>
      <w:r>
        <w:tab/>
      </w:r>
      <w:r>
        <w:fldChar w:fldCharType="begin"/>
      </w:r>
      <w:r>
        <w:instrText xml:space="preserve"> PAGEREF _Toc424284435 \h </w:instrText>
      </w:r>
      <w:r>
        <w:fldChar w:fldCharType="separate"/>
      </w:r>
      <w:r>
        <w:t>40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Matters to be included in statement of corporate intent</w:t>
      </w:r>
      <w:r>
        <w:tab/>
      </w:r>
      <w:r>
        <w:fldChar w:fldCharType="begin"/>
      </w:r>
      <w:r>
        <w:instrText xml:space="preserve"> PAGEREF _Toc424284436 \h </w:instrText>
      </w:r>
      <w:r>
        <w:fldChar w:fldCharType="separate"/>
      </w:r>
      <w:r>
        <w:t>40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Statement of corporate intent to be agreed if possible</w:t>
      </w:r>
      <w:r>
        <w:tab/>
      </w:r>
      <w:r>
        <w:fldChar w:fldCharType="begin"/>
      </w:r>
      <w:r>
        <w:instrText xml:space="preserve"> PAGEREF _Toc424284437 \h </w:instrText>
      </w:r>
      <w:r>
        <w:fldChar w:fldCharType="separate"/>
      </w:r>
      <w:r>
        <w:t>42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Minister’s powers in relation to draft statement of corporate intent</w:t>
      </w:r>
      <w:r>
        <w:tab/>
      </w:r>
      <w:r>
        <w:fldChar w:fldCharType="begin"/>
      </w:r>
      <w:r>
        <w:instrText xml:space="preserve"> PAGEREF _Toc424284438 \h </w:instrText>
      </w:r>
      <w:r>
        <w:fldChar w:fldCharType="separate"/>
      </w:r>
      <w:r>
        <w:t>42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Statement of corporate intent pending agreement</w:t>
      </w:r>
      <w:r>
        <w:tab/>
      </w:r>
      <w:r>
        <w:fldChar w:fldCharType="begin"/>
      </w:r>
      <w:r>
        <w:instrText xml:space="preserve"> PAGEREF _Toc424284439 \h </w:instrText>
      </w:r>
      <w:r>
        <w:fldChar w:fldCharType="separate"/>
      </w:r>
      <w:r>
        <w:t>43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Agreed draft becomes statement of corporate intent</w:t>
      </w:r>
      <w:r>
        <w:tab/>
      </w:r>
      <w:r>
        <w:fldChar w:fldCharType="begin"/>
      </w:r>
      <w:r>
        <w:instrText xml:space="preserve"> PAGEREF _Toc424284440 \h </w:instrText>
      </w:r>
      <w:r>
        <w:fldChar w:fldCharType="separate"/>
      </w:r>
      <w:r>
        <w:t>43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Modifying statement of corporate intent</w:t>
      </w:r>
      <w:r>
        <w:tab/>
      </w:r>
      <w:r>
        <w:fldChar w:fldCharType="begin"/>
      </w:r>
      <w:r>
        <w:instrText xml:space="preserve"> PAGEREF _Toc424284441 \h </w:instrText>
      </w:r>
      <w:r>
        <w:fldChar w:fldCharType="separate"/>
      </w:r>
      <w:r>
        <w:t>44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Treasurer’s concurrence needed by Minister for s. 64 and 65</w:t>
      </w:r>
      <w:r>
        <w:tab/>
      </w:r>
      <w:r>
        <w:fldChar w:fldCharType="begin"/>
      </w:r>
      <w:r>
        <w:instrText xml:space="preserve"> PAGEREF _Toc424284442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Reporting requirements</w:t>
      </w:r>
    </w:p>
    <w:p>
      <w:pPr>
        <w:pStyle w:val="TOC8"/>
        <w:rPr>
          <w:rFonts w:asciiTheme="minorHAnsi" w:eastAsiaTheme="minorEastAsia" w:hAnsiTheme="minorHAnsi" w:cstheme="minorBidi"/>
          <w:szCs w:val="22"/>
        </w:rPr>
      </w:pPr>
      <w:r>
        <w:t>67</w:t>
      </w:r>
      <w:r>
        <w:rPr>
          <w:snapToGrid w:val="0"/>
        </w:rPr>
        <w:t>.</w:t>
      </w:r>
      <w:r>
        <w:rPr>
          <w:snapToGrid w:val="0"/>
        </w:rPr>
        <w:tab/>
        <w:t>Half</w:t>
      </w:r>
      <w:r>
        <w:rPr>
          <w:snapToGrid w:val="0"/>
        </w:rPr>
        <w:noBreakHyphen/>
        <w:t>yearly reports</w:t>
      </w:r>
      <w:r>
        <w:tab/>
      </w:r>
      <w:r>
        <w:fldChar w:fldCharType="begin"/>
      </w:r>
      <w:r>
        <w:instrText xml:space="preserve"> PAGEREF _Toc424284444 \h </w:instrText>
      </w:r>
      <w:r>
        <w:fldChar w:fldCharType="separate"/>
      </w:r>
      <w:r>
        <w:t>45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Annual reports</w:t>
      </w:r>
      <w:r>
        <w:tab/>
      </w:r>
      <w:r>
        <w:fldChar w:fldCharType="begin"/>
      </w:r>
      <w:r>
        <w:instrText xml:space="preserve"> PAGEREF _Toc424284445 \h </w:instrText>
      </w:r>
      <w:r>
        <w:fldChar w:fldCharType="separate"/>
      </w:r>
      <w:r>
        <w:t>46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Annual reports, contents of</w:t>
      </w:r>
      <w:r>
        <w:tab/>
      </w:r>
      <w:r>
        <w:fldChar w:fldCharType="begin"/>
      </w:r>
      <w:r>
        <w:instrText xml:space="preserve"> PAGEREF _Toc424284446 \h </w:instrText>
      </w:r>
      <w:r>
        <w:fldChar w:fldCharType="separate"/>
      </w:r>
      <w:r>
        <w:t>46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Commercially sensitive matters, deletion of from reports</w:t>
      </w:r>
      <w:r>
        <w:tab/>
      </w:r>
      <w:r>
        <w:fldChar w:fldCharType="begin"/>
      </w:r>
      <w:r>
        <w:instrText xml:space="preserve"> PAGEREF _Toc424284447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Ministerial directions, general provisions</w:t>
      </w:r>
    </w:p>
    <w:p>
      <w:pPr>
        <w:pStyle w:val="TOC8"/>
        <w:rPr>
          <w:rFonts w:asciiTheme="minorHAnsi" w:eastAsiaTheme="minorEastAsia" w:hAnsiTheme="minorHAnsi" w:cstheme="minorBidi"/>
          <w:szCs w:val="22"/>
        </w:rPr>
      </w:pPr>
      <w:r>
        <w:t>71</w:t>
      </w:r>
      <w:r>
        <w:rPr>
          <w:snapToGrid w:val="0"/>
        </w:rPr>
        <w:t>.</w:t>
      </w:r>
      <w:r>
        <w:rPr>
          <w:snapToGrid w:val="0"/>
        </w:rPr>
        <w:tab/>
        <w:t>Which directions port authority obliged to obey</w:t>
      </w:r>
      <w:r>
        <w:tab/>
      </w:r>
      <w:r>
        <w:fldChar w:fldCharType="begin"/>
      </w:r>
      <w:r>
        <w:instrText xml:space="preserve"> PAGEREF _Toc424284449 \h </w:instrText>
      </w:r>
      <w:r>
        <w:fldChar w:fldCharType="separate"/>
      </w:r>
      <w:r>
        <w:t>47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Minister may give directions</w:t>
      </w:r>
      <w:r>
        <w:tab/>
      </w:r>
      <w:r>
        <w:fldChar w:fldCharType="begin"/>
      </w:r>
      <w:r>
        <w:instrText xml:space="preserve"> PAGEREF _Toc424284450 \h </w:instrText>
      </w:r>
      <w:r>
        <w:fldChar w:fldCharType="separate"/>
      </w:r>
      <w:r>
        <w:t>48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When s. 72(1) direction takes effect</w:t>
      </w:r>
      <w:r>
        <w:tab/>
      </w:r>
      <w:r>
        <w:fldChar w:fldCharType="begin"/>
      </w:r>
      <w:r>
        <w:instrText xml:space="preserve"> PAGEREF _Toc424284451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Consultation and provision of information</w:t>
      </w:r>
    </w:p>
    <w:p>
      <w:pPr>
        <w:pStyle w:val="TOC8"/>
        <w:rPr>
          <w:rFonts w:asciiTheme="minorHAnsi" w:eastAsiaTheme="minorEastAsia" w:hAnsiTheme="minorHAnsi" w:cstheme="minorBidi"/>
          <w:szCs w:val="22"/>
        </w:rPr>
      </w:pPr>
      <w:r>
        <w:t>74</w:t>
      </w:r>
      <w:r>
        <w:rPr>
          <w:snapToGrid w:val="0"/>
        </w:rPr>
        <w:t>.</w:t>
      </w:r>
      <w:r>
        <w:rPr>
          <w:snapToGrid w:val="0"/>
        </w:rPr>
        <w:tab/>
        <w:t>Consultation between board and Minister</w:t>
      </w:r>
      <w:r>
        <w:tab/>
      </w:r>
      <w:r>
        <w:fldChar w:fldCharType="begin"/>
      </w:r>
      <w:r>
        <w:instrText xml:space="preserve"> PAGEREF _Toc424284453 \h </w:instrText>
      </w:r>
      <w:r>
        <w:fldChar w:fldCharType="separate"/>
      </w:r>
      <w:r>
        <w:t>48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Minister to have access to information</w:t>
      </w:r>
      <w:r>
        <w:tab/>
      </w:r>
      <w:r>
        <w:fldChar w:fldCharType="begin"/>
      </w:r>
      <w:r>
        <w:instrText xml:space="preserve"> PAGEREF _Toc424284454 \h </w:instrText>
      </w:r>
      <w:r>
        <w:fldChar w:fldCharType="separate"/>
      </w:r>
      <w:r>
        <w:t>49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Minister to be kept informed</w:t>
      </w:r>
      <w:r>
        <w:tab/>
      </w:r>
      <w:r>
        <w:fldChar w:fldCharType="begin"/>
      </w:r>
      <w:r>
        <w:instrText xml:space="preserve"> PAGEREF _Toc424284455 \h </w:instrText>
      </w:r>
      <w:r>
        <w:fldChar w:fldCharType="separate"/>
      </w:r>
      <w:r>
        <w:t>50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Financial difficulty, board to notify Minister of etc.</w:t>
      </w:r>
      <w:r>
        <w:tab/>
      </w:r>
      <w:r>
        <w:fldChar w:fldCharType="begin"/>
      </w:r>
      <w:r>
        <w:instrText xml:space="preserve"> PAGEREF _Toc424284456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xml:space="preserve"> — </w:t>
      </w:r>
      <w:r>
        <w:t>Protection from liability</w:t>
      </w:r>
    </w:p>
    <w:p>
      <w:pPr>
        <w:pStyle w:val="TOC8"/>
        <w:rPr>
          <w:rFonts w:asciiTheme="minorHAnsi" w:eastAsiaTheme="minorEastAsia" w:hAnsiTheme="minorHAnsi" w:cstheme="minorBidi"/>
          <w:szCs w:val="22"/>
        </w:rPr>
      </w:pPr>
      <w:r>
        <w:t>78</w:t>
      </w:r>
      <w:r>
        <w:rPr>
          <w:snapToGrid w:val="0"/>
        </w:rPr>
        <w:t>.</w:t>
      </w:r>
      <w:r>
        <w:rPr>
          <w:snapToGrid w:val="0"/>
        </w:rPr>
        <w:tab/>
        <w:t>No liability for things done under this Part</w:t>
      </w:r>
      <w:r>
        <w:tab/>
      </w:r>
      <w:r>
        <w:fldChar w:fldCharType="begin"/>
      </w:r>
      <w:r>
        <w:instrText xml:space="preserve"> PAGEREF _Toc424284458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79</w:t>
      </w:r>
      <w:r>
        <w:rPr>
          <w:snapToGrid w:val="0"/>
        </w:rPr>
        <w:t>.</w:t>
      </w:r>
      <w:r>
        <w:rPr>
          <w:snapToGrid w:val="0"/>
        </w:rPr>
        <w:tab/>
        <w:t>Bank account</w:t>
      </w:r>
      <w:r>
        <w:tab/>
      </w:r>
      <w:r>
        <w:fldChar w:fldCharType="begin"/>
      </w:r>
      <w:r>
        <w:instrText xml:space="preserve"> PAGEREF _Toc424284461 \h </w:instrText>
      </w:r>
      <w:r>
        <w:fldChar w:fldCharType="separate"/>
      </w:r>
      <w:r>
        <w:t>53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Investing funds</w:t>
      </w:r>
      <w:r>
        <w:tab/>
      </w:r>
      <w:r>
        <w:fldChar w:fldCharType="begin"/>
      </w:r>
      <w:r>
        <w:instrText xml:space="preserve"> PAGEREF _Toc424284462 \h </w:instrText>
      </w:r>
      <w:r>
        <w:fldChar w:fldCharType="separate"/>
      </w:r>
      <w:r>
        <w:t>53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Exemption from rates</w:t>
      </w:r>
      <w:r>
        <w:tab/>
      </w:r>
      <w:r>
        <w:fldChar w:fldCharType="begin"/>
      </w:r>
      <w:r>
        <w:instrText xml:space="preserve"> PAGEREF _Toc424284463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Payments to State</w:t>
      </w:r>
    </w:p>
    <w:p>
      <w:pPr>
        <w:pStyle w:val="TOC8"/>
        <w:rPr>
          <w:rFonts w:asciiTheme="minorHAnsi" w:eastAsiaTheme="minorEastAsia" w:hAnsiTheme="minorHAnsi" w:cstheme="minorBidi"/>
          <w:szCs w:val="22"/>
        </w:rPr>
      </w:pPr>
      <w:r>
        <w:t>82</w:t>
      </w:r>
      <w:r>
        <w:rPr>
          <w:snapToGrid w:val="0"/>
        </w:rPr>
        <w:t>.</w:t>
      </w:r>
      <w:r>
        <w:rPr>
          <w:snapToGrid w:val="0"/>
        </w:rPr>
        <w:tab/>
        <w:t>Payment of amount in lieu of rates</w:t>
      </w:r>
      <w:r>
        <w:tab/>
      </w:r>
      <w:r>
        <w:fldChar w:fldCharType="begin"/>
      </w:r>
      <w:r>
        <w:instrText xml:space="preserve"> PAGEREF _Toc424284465 \h </w:instrText>
      </w:r>
      <w:r>
        <w:fldChar w:fldCharType="separate"/>
      </w:r>
      <w:r>
        <w:t>54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Determining amounts under s. 82</w:t>
      </w:r>
      <w:r>
        <w:tab/>
      </w:r>
      <w:r>
        <w:fldChar w:fldCharType="begin"/>
      </w:r>
      <w:r>
        <w:instrText xml:space="preserve"> PAGEREF _Toc424284466 \h </w:instrText>
      </w:r>
      <w:r>
        <w:fldChar w:fldCharType="separate"/>
      </w:r>
      <w:r>
        <w:t>54</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Dividends</w:t>
      </w:r>
      <w:r>
        <w:tab/>
      </w:r>
      <w:r>
        <w:fldChar w:fldCharType="begin"/>
      </w:r>
      <w:r>
        <w:instrText xml:space="preserve"> PAGEREF _Toc424284467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Borrowing</w:t>
      </w:r>
    </w:p>
    <w:p>
      <w:pPr>
        <w:pStyle w:val="TOC8"/>
        <w:rPr>
          <w:rFonts w:asciiTheme="minorHAnsi" w:eastAsiaTheme="minorEastAsia" w:hAnsiTheme="minorHAnsi" w:cstheme="minorBidi"/>
          <w:szCs w:val="22"/>
        </w:rPr>
      </w:pPr>
      <w:r>
        <w:t>85</w:t>
      </w:r>
      <w:r>
        <w:rPr>
          <w:snapToGrid w:val="0"/>
        </w:rPr>
        <w:t>.</w:t>
      </w:r>
      <w:r>
        <w:rPr>
          <w:snapToGrid w:val="0"/>
        </w:rPr>
        <w:tab/>
        <w:t>Borrowing powers</w:t>
      </w:r>
      <w:r>
        <w:tab/>
      </w:r>
      <w:r>
        <w:fldChar w:fldCharType="begin"/>
      </w:r>
      <w:r>
        <w:instrText xml:space="preserve"> PAGEREF _Toc424284469 \h </w:instrText>
      </w:r>
      <w:r>
        <w:fldChar w:fldCharType="separate"/>
      </w:r>
      <w:r>
        <w:t>57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Borrowing limits</w:t>
      </w:r>
      <w:r>
        <w:tab/>
      </w:r>
      <w:r>
        <w:fldChar w:fldCharType="begin"/>
      </w:r>
      <w:r>
        <w:instrText xml:space="preserve"> PAGEREF _Toc424284470 \h </w:instrText>
      </w:r>
      <w:r>
        <w:fldChar w:fldCharType="separate"/>
      </w:r>
      <w:r>
        <w:t>57</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Hedging transactions</w:t>
      </w:r>
      <w:r>
        <w:tab/>
      </w:r>
      <w:r>
        <w:fldChar w:fldCharType="begin"/>
      </w:r>
      <w:r>
        <w:instrText xml:space="preserve"> PAGEREF _Toc424284471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Guarantees</w:t>
      </w:r>
    </w:p>
    <w:p>
      <w:pPr>
        <w:pStyle w:val="TOC8"/>
        <w:rPr>
          <w:rFonts w:asciiTheme="minorHAnsi" w:eastAsiaTheme="minorEastAsia" w:hAnsiTheme="minorHAnsi" w:cstheme="minorBidi"/>
          <w:szCs w:val="22"/>
        </w:rPr>
      </w:pPr>
      <w:r>
        <w:t>88</w:t>
      </w:r>
      <w:r>
        <w:rPr>
          <w:snapToGrid w:val="0"/>
        </w:rPr>
        <w:t>.</w:t>
      </w:r>
      <w:r>
        <w:rPr>
          <w:snapToGrid w:val="0"/>
        </w:rPr>
        <w:tab/>
        <w:t>Guarantees by Treasurer</w:t>
      </w:r>
      <w:r>
        <w:tab/>
      </w:r>
      <w:r>
        <w:fldChar w:fldCharType="begin"/>
      </w:r>
      <w:r>
        <w:instrText xml:space="preserve"> PAGEREF _Toc424284473 \h </w:instrText>
      </w:r>
      <w:r>
        <w:fldChar w:fldCharType="separate"/>
      </w:r>
      <w:r>
        <w:t>60</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Charges for Treasurer’s guarantee</w:t>
      </w:r>
      <w:r>
        <w:tab/>
      </w:r>
      <w:r>
        <w:fldChar w:fldCharType="begin"/>
      </w:r>
      <w:r>
        <w:instrText xml:space="preserve"> PAGEREF _Toc424284474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Financial administration and audit</w:t>
      </w:r>
    </w:p>
    <w:p>
      <w:pPr>
        <w:pStyle w:val="TOC8"/>
        <w:rPr>
          <w:rFonts w:asciiTheme="minorHAnsi" w:eastAsiaTheme="minorEastAsia" w:hAnsiTheme="minorHAnsi" w:cstheme="minorBidi"/>
          <w:szCs w:val="22"/>
        </w:rPr>
      </w:pPr>
      <w:r>
        <w:t>90</w:t>
      </w:r>
      <w:r>
        <w:rPr>
          <w:snapToGrid w:val="0"/>
        </w:rPr>
        <w:t>.</w:t>
      </w:r>
      <w:r>
        <w:rPr>
          <w:snapToGrid w:val="0"/>
        </w:rPr>
        <w:tab/>
      </w:r>
      <w:r>
        <w:rPr>
          <w:i/>
        </w:rPr>
        <w:t>Financial Management Act 2006</w:t>
      </w:r>
      <w:r>
        <w:t xml:space="preserve"> and </w:t>
      </w:r>
      <w:r>
        <w:rPr>
          <w:i/>
        </w:rPr>
        <w:t>Auditor General Act 2006</w:t>
      </w:r>
      <w:r>
        <w:t>, limited application of</w:t>
      </w:r>
      <w:r>
        <w:tab/>
      </w:r>
      <w:r>
        <w:fldChar w:fldCharType="begin"/>
      </w:r>
      <w:r>
        <w:instrText xml:space="preserve"> PAGEREF _Toc424284476 \h </w:instrText>
      </w:r>
      <w:r>
        <w:fldChar w:fldCharType="separate"/>
      </w:r>
      <w:r>
        <w:t>61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Financial administration and audit (Sch. 5)</w:t>
      </w:r>
      <w:r>
        <w:tab/>
      </w:r>
      <w:r>
        <w:fldChar w:fldCharType="begin"/>
      </w:r>
      <w:r>
        <w:instrText xml:space="preserve"> PAGEREF _Toc424284477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xml:space="preserve"> — </w:t>
      </w:r>
      <w:r>
        <w:t>Financial targets</w:t>
      </w:r>
    </w:p>
    <w:p>
      <w:pPr>
        <w:pStyle w:val="TOC8"/>
        <w:rPr>
          <w:rFonts w:asciiTheme="minorHAnsi" w:eastAsiaTheme="minorEastAsia" w:hAnsiTheme="minorHAnsi" w:cstheme="minorBidi"/>
          <w:szCs w:val="22"/>
        </w:rPr>
      </w:pPr>
      <w:r>
        <w:t>92</w:t>
      </w:r>
      <w:r>
        <w:rPr>
          <w:snapToGrid w:val="0"/>
        </w:rPr>
        <w:t>.</w:t>
      </w:r>
      <w:r>
        <w:rPr>
          <w:snapToGrid w:val="0"/>
        </w:rPr>
        <w:tab/>
        <w:t>Annual financial targets, Minister may set</w:t>
      </w:r>
      <w:r>
        <w:tab/>
      </w:r>
      <w:r>
        <w:fldChar w:fldCharType="begin"/>
      </w:r>
      <w:r>
        <w:instrText xml:space="preserve"> PAGEREF _Toc424284479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7 — Navigation and port matters</w:t>
      </w:r>
    </w:p>
    <w:p>
      <w:pPr>
        <w:pStyle w:val="TOC4"/>
        <w:tabs>
          <w:tab w:val="right" w:leader="dot" w:pos="7077"/>
        </w:tabs>
        <w:rPr>
          <w:rFonts w:asciiTheme="minorHAnsi" w:eastAsiaTheme="minorEastAsia" w:hAnsiTheme="minorHAnsi" w:cstheme="minorBidi"/>
          <w:b w:val="0"/>
          <w:szCs w:val="22"/>
        </w:rPr>
      </w:pPr>
      <w:r>
        <w:t>Division 1 — Navigational aids</w:t>
      </w:r>
    </w:p>
    <w:p>
      <w:pPr>
        <w:pStyle w:val="TOC8"/>
        <w:rPr>
          <w:rFonts w:asciiTheme="minorHAnsi" w:eastAsiaTheme="minorEastAsia" w:hAnsiTheme="minorHAnsi" w:cstheme="minorBidi"/>
          <w:szCs w:val="22"/>
        </w:rPr>
      </w:pPr>
      <w:r>
        <w:t>93</w:t>
      </w:r>
      <w:r>
        <w:rPr>
          <w:snapToGrid w:val="0"/>
        </w:rPr>
        <w:t>.</w:t>
      </w:r>
      <w:r>
        <w:rPr>
          <w:snapToGrid w:val="0"/>
        </w:rPr>
        <w:tab/>
        <w:t>Port authority may provide etc. navigational aids etc.</w:t>
      </w:r>
      <w:r>
        <w:tab/>
      </w:r>
      <w:r>
        <w:fldChar w:fldCharType="begin"/>
      </w:r>
      <w:r>
        <w:instrText xml:space="preserve"> PAGEREF _Toc424284482 \h </w:instrText>
      </w:r>
      <w:r>
        <w:fldChar w:fldCharType="separate"/>
      </w:r>
      <w:r>
        <w:t>64</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Interference with navigational aids, offence</w:t>
      </w:r>
      <w:r>
        <w:tab/>
      </w:r>
      <w:r>
        <w:fldChar w:fldCharType="begin"/>
      </w:r>
      <w:r>
        <w:instrText xml:space="preserve"> PAGEREF _Toc424284483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Pilotage</w:t>
      </w:r>
    </w:p>
    <w:p>
      <w:pPr>
        <w:pStyle w:val="TOC8"/>
        <w:rPr>
          <w:rFonts w:asciiTheme="minorHAnsi" w:eastAsiaTheme="minorEastAsia" w:hAnsiTheme="minorHAnsi" w:cstheme="minorBidi"/>
          <w:szCs w:val="22"/>
        </w:rPr>
      </w:pPr>
      <w:r>
        <w:t>95</w:t>
      </w:r>
      <w:r>
        <w:rPr>
          <w:snapToGrid w:val="0"/>
        </w:rPr>
        <w:t>.</w:t>
      </w:r>
      <w:r>
        <w:rPr>
          <w:snapToGrid w:val="0"/>
        </w:rPr>
        <w:tab/>
        <w:t>Terms used in, and application of, this Division</w:t>
      </w:r>
      <w:r>
        <w:tab/>
      </w:r>
      <w:r>
        <w:fldChar w:fldCharType="begin"/>
      </w:r>
      <w:r>
        <w:instrText xml:space="preserve"> PAGEREF _Toc424284485 \h </w:instrText>
      </w:r>
      <w:r>
        <w:fldChar w:fldCharType="separate"/>
      </w:r>
      <w:r>
        <w:t>65</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Port authority to approve pilots and ensure pilotage services are provided</w:t>
      </w:r>
      <w:r>
        <w:tab/>
      </w:r>
      <w:r>
        <w:fldChar w:fldCharType="begin"/>
      </w:r>
      <w:r>
        <w:instrText xml:space="preserve"> PAGEREF _Toc424284486 \h </w:instrText>
      </w:r>
      <w:r>
        <w:fldChar w:fldCharType="separate"/>
      </w:r>
      <w:r>
        <w:t>66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Pilotage compulsory in ports</w:t>
      </w:r>
      <w:r>
        <w:tab/>
      </w:r>
      <w:r>
        <w:fldChar w:fldCharType="begin"/>
      </w:r>
      <w:r>
        <w:instrText xml:space="preserve"> PAGEREF _Toc424284487 \h </w:instrText>
      </w:r>
      <w:r>
        <w:fldChar w:fldCharType="separate"/>
      </w:r>
      <w:r>
        <w:t>67</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Pilot under authority of master</w:t>
      </w:r>
      <w:r>
        <w:tab/>
      </w:r>
      <w:r>
        <w:fldChar w:fldCharType="begin"/>
      </w:r>
      <w:r>
        <w:instrText xml:space="preserve"> PAGEREF _Toc424284488 \h </w:instrText>
      </w:r>
      <w:r>
        <w:fldChar w:fldCharType="separate"/>
      </w:r>
      <w:r>
        <w:t>68</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Liability of owner or master of piloted vessel</w:t>
      </w:r>
      <w:r>
        <w:tab/>
      </w:r>
      <w:r>
        <w:fldChar w:fldCharType="begin"/>
      </w:r>
      <w:r>
        <w:instrText xml:space="preserve"> PAGEREF _Toc424284489 \h </w:instrText>
      </w:r>
      <w:r>
        <w:fldChar w:fldCharType="separate"/>
      </w:r>
      <w:r>
        <w:t>68</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Immunity from liability for negligent provision of pilotage services</w:t>
      </w:r>
      <w:r>
        <w:tab/>
      </w:r>
      <w:r>
        <w:fldChar w:fldCharType="begin"/>
      </w:r>
      <w:r>
        <w:instrText xml:space="preserve"> PAGEREF _Toc424284490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Harbour masters</w:t>
      </w:r>
    </w:p>
    <w:p>
      <w:pPr>
        <w:pStyle w:val="TOC8"/>
        <w:rPr>
          <w:rFonts w:asciiTheme="minorHAnsi" w:eastAsiaTheme="minorEastAsia" w:hAnsiTheme="minorHAnsi" w:cstheme="minorBidi"/>
          <w:szCs w:val="22"/>
        </w:rPr>
      </w:pPr>
      <w:r>
        <w:t>101</w:t>
      </w:r>
      <w:r>
        <w:rPr>
          <w:snapToGrid w:val="0"/>
        </w:rPr>
        <w:t>.</w:t>
      </w:r>
      <w:r>
        <w:rPr>
          <w:snapToGrid w:val="0"/>
        </w:rPr>
        <w:tab/>
        <w:t>Port includes other declared areas</w:t>
      </w:r>
      <w:r>
        <w:tab/>
      </w:r>
      <w:r>
        <w:fldChar w:fldCharType="begin"/>
      </w:r>
      <w:r>
        <w:instrText xml:space="preserve"> PAGEREF _Toc424284492 \h </w:instrText>
      </w:r>
      <w:r>
        <w:fldChar w:fldCharType="separate"/>
      </w:r>
      <w:r>
        <w:t>69</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Appointment of harbour master and deputy harbour master etc.</w:t>
      </w:r>
      <w:r>
        <w:tab/>
      </w:r>
      <w:r>
        <w:fldChar w:fldCharType="begin"/>
      </w:r>
      <w:r>
        <w:instrText xml:space="preserve"> PAGEREF _Toc424284493 \h </w:instrText>
      </w:r>
      <w:r>
        <w:fldChar w:fldCharType="separate"/>
      </w:r>
      <w:r>
        <w:t>69</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Functions of harbour master</w:t>
      </w:r>
      <w:r>
        <w:tab/>
      </w:r>
      <w:r>
        <w:fldChar w:fldCharType="begin"/>
      </w:r>
      <w:r>
        <w:instrText xml:space="preserve"> PAGEREF _Toc424284494 \h </w:instrText>
      </w:r>
      <w:r>
        <w:fldChar w:fldCharType="separate"/>
      </w:r>
      <w:r>
        <w:t>70</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Directions to masters etc.</w:t>
      </w:r>
      <w:r>
        <w:tab/>
      </w:r>
      <w:r>
        <w:fldChar w:fldCharType="begin"/>
      </w:r>
      <w:r>
        <w:instrText xml:space="preserve"> PAGEREF _Toc424284495 \h </w:instrText>
      </w:r>
      <w:r>
        <w:fldChar w:fldCharType="separate"/>
      </w:r>
      <w:r>
        <w:t>70</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Directions as to dangerous things</w:t>
      </w:r>
      <w:r>
        <w:tab/>
      </w:r>
      <w:r>
        <w:fldChar w:fldCharType="begin"/>
      </w:r>
      <w:r>
        <w:instrText xml:space="preserve"> PAGEREF _Toc424284496 \h </w:instrText>
      </w:r>
      <w:r>
        <w:fldChar w:fldCharType="separate"/>
      </w:r>
      <w:r>
        <w:t>71</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Limit on power to order removal of vessels or dangerous things</w:t>
      </w:r>
      <w:r>
        <w:tab/>
      </w:r>
      <w:r>
        <w:fldChar w:fldCharType="begin"/>
      </w:r>
      <w:r>
        <w:instrText xml:space="preserve"> PAGEREF _Toc424284497 \h </w:instrText>
      </w:r>
      <w:r>
        <w:fldChar w:fldCharType="separate"/>
      </w:r>
      <w:r>
        <w:t>72</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Ownerless vessels and dangerous things, removal of</w:t>
      </w:r>
      <w:r>
        <w:tab/>
      </w:r>
      <w:r>
        <w:fldChar w:fldCharType="begin"/>
      </w:r>
      <w:r>
        <w:instrText xml:space="preserve"> PAGEREF _Toc424284498 \h </w:instrText>
      </w:r>
      <w:r>
        <w:fldChar w:fldCharType="separate"/>
      </w:r>
      <w:r>
        <w:t>72</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Not obeying s. 104 or 106 direction, offence</w:t>
      </w:r>
      <w:r>
        <w:tab/>
      </w:r>
      <w:r>
        <w:fldChar w:fldCharType="begin"/>
      </w:r>
      <w:r>
        <w:instrText xml:space="preserve"> PAGEREF _Toc424284499 \h </w:instrText>
      </w:r>
      <w:r>
        <w:fldChar w:fldCharType="separate"/>
      </w:r>
      <w:r>
        <w:t>72</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Powers if direction not obeyed</w:t>
      </w:r>
      <w:r>
        <w:tab/>
      </w:r>
      <w:r>
        <w:fldChar w:fldCharType="begin"/>
      </w:r>
      <w:r>
        <w:instrText xml:space="preserve"> PAGEREF _Toc424284500 \h </w:instrText>
      </w:r>
      <w:r>
        <w:fldChar w:fldCharType="separate"/>
      </w:r>
      <w:r>
        <w:t>72</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Recovering port authority’s s. 107 costs</w:t>
      </w:r>
      <w:r>
        <w:tab/>
      </w:r>
      <w:r>
        <w:fldChar w:fldCharType="begin"/>
      </w:r>
      <w:r>
        <w:instrText xml:space="preserve"> PAGEREF _Toc424284501 \h </w:instrText>
      </w:r>
      <w:r>
        <w:fldChar w:fldCharType="separate"/>
      </w:r>
      <w:r>
        <w:t>73</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Immunity from liability for acts under this Division</w:t>
      </w:r>
      <w:r>
        <w:tab/>
      </w:r>
      <w:r>
        <w:fldChar w:fldCharType="begin"/>
      </w:r>
      <w:r>
        <w:instrText xml:space="preserve"> PAGEREF _Toc424284502 \h </w:instrText>
      </w:r>
      <w:r>
        <w:fldChar w:fldCharType="separate"/>
      </w:r>
      <w:r>
        <w:t>73</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Hindering harbour master etc., offence</w:t>
      </w:r>
      <w:r>
        <w:tab/>
      </w:r>
      <w:r>
        <w:fldChar w:fldCharType="begin"/>
      </w:r>
      <w:r>
        <w:instrText xml:space="preserve"> PAGEREF _Toc424284503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Damage in a port caused by vessels etc.</w:t>
      </w:r>
    </w:p>
    <w:p>
      <w:pPr>
        <w:pStyle w:val="TOC8"/>
        <w:rPr>
          <w:rFonts w:asciiTheme="minorHAnsi" w:eastAsiaTheme="minorEastAsia" w:hAnsiTheme="minorHAnsi" w:cstheme="minorBidi"/>
          <w:szCs w:val="22"/>
        </w:rPr>
      </w:pPr>
      <w:r>
        <w:t>113</w:t>
      </w:r>
      <w:r>
        <w:rPr>
          <w:snapToGrid w:val="0"/>
        </w:rPr>
        <w:t>.</w:t>
      </w:r>
      <w:r>
        <w:rPr>
          <w:snapToGrid w:val="0"/>
        </w:rPr>
        <w:tab/>
        <w:t>Responsibility for damage to port facilities or property</w:t>
      </w:r>
      <w:r>
        <w:tab/>
      </w:r>
      <w:r>
        <w:fldChar w:fldCharType="begin"/>
      </w:r>
      <w:r>
        <w:instrText xml:space="preserve"> PAGEREF _Toc424284505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Port safety</w:t>
      </w:r>
    </w:p>
    <w:p>
      <w:pPr>
        <w:pStyle w:val="TOC8"/>
        <w:rPr>
          <w:rFonts w:asciiTheme="minorHAnsi" w:eastAsiaTheme="minorEastAsia" w:hAnsiTheme="minorHAnsi" w:cstheme="minorBidi"/>
          <w:szCs w:val="22"/>
        </w:rPr>
      </w:pPr>
      <w:r>
        <w:t>114.</w:t>
      </w:r>
      <w:r>
        <w:tab/>
        <w:t>Marine safety plan, port authority to have</w:t>
      </w:r>
      <w:r>
        <w:tab/>
      </w:r>
      <w:r>
        <w:fldChar w:fldCharType="begin"/>
      </w:r>
      <w:r>
        <w:instrText xml:space="preserve"> PAGEREF _Toc424284507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6 — Powers of police officers and others</w:t>
      </w:r>
    </w:p>
    <w:p>
      <w:pPr>
        <w:pStyle w:val="TOC8"/>
        <w:rPr>
          <w:rFonts w:asciiTheme="minorHAnsi" w:eastAsiaTheme="minorEastAsia" w:hAnsiTheme="minorHAnsi" w:cstheme="minorBidi"/>
          <w:szCs w:val="22"/>
        </w:rPr>
      </w:pPr>
      <w:r>
        <w:t>114A.</w:t>
      </w:r>
      <w:r>
        <w:tab/>
        <w:t>Police officers and others may enter vessels and conduct examinations and enquiries</w:t>
      </w:r>
      <w:r>
        <w:tab/>
      </w:r>
      <w:r>
        <w:fldChar w:fldCharType="begin"/>
      </w:r>
      <w:r>
        <w:instrText xml:space="preserve"> PAGEREF _Toc424284509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7 — Protection from liability</w:t>
      </w:r>
    </w:p>
    <w:p>
      <w:pPr>
        <w:pStyle w:val="TOC8"/>
        <w:rPr>
          <w:rFonts w:asciiTheme="minorHAnsi" w:eastAsiaTheme="minorEastAsia" w:hAnsiTheme="minorHAnsi" w:cstheme="minorBidi"/>
          <w:szCs w:val="22"/>
        </w:rPr>
      </w:pPr>
      <w:r>
        <w:t>114B.</w:t>
      </w:r>
      <w:r>
        <w:tab/>
        <w:t>Immunity from liability for damage to vessels</w:t>
      </w:r>
      <w:r>
        <w:tab/>
      </w:r>
      <w:r>
        <w:fldChar w:fldCharType="begin"/>
      </w:r>
      <w:r>
        <w:instrText xml:space="preserve"> PAGEREF _Toc424284511 \h </w:instrText>
      </w:r>
      <w:r>
        <w:fldChar w:fldCharType="separate"/>
      </w:r>
      <w:r>
        <w:t>77</w:t>
      </w:r>
      <w:r>
        <w:fldChar w:fldCharType="end"/>
      </w:r>
    </w:p>
    <w:p>
      <w:pPr>
        <w:pStyle w:val="TOC8"/>
        <w:rPr>
          <w:rFonts w:asciiTheme="minorHAnsi" w:eastAsiaTheme="minorEastAsia" w:hAnsiTheme="minorHAnsi" w:cstheme="minorBidi"/>
          <w:szCs w:val="22"/>
        </w:rPr>
      </w:pPr>
      <w:r>
        <w:t>114C.</w:t>
      </w:r>
      <w:r>
        <w:tab/>
        <w:t>Immunity from liability for damaged goods</w:t>
      </w:r>
      <w:r>
        <w:tab/>
      </w:r>
      <w:r>
        <w:fldChar w:fldCharType="begin"/>
      </w:r>
      <w:r>
        <w:instrText xml:space="preserve"> PAGEREF _Toc424284512 \h </w:instrText>
      </w:r>
      <w:r>
        <w:fldChar w:fldCharType="separate"/>
      </w:r>
      <w:r>
        <w:t>77</w:t>
      </w:r>
      <w:r>
        <w:fldChar w:fldCharType="end"/>
      </w:r>
    </w:p>
    <w:p>
      <w:pPr>
        <w:pStyle w:val="TOC8"/>
        <w:rPr>
          <w:rFonts w:asciiTheme="minorHAnsi" w:eastAsiaTheme="minorEastAsia" w:hAnsiTheme="minorHAnsi" w:cstheme="minorBidi"/>
          <w:szCs w:val="22"/>
        </w:rPr>
      </w:pPr>
      <w:r>
        <w:t>114D.</w:t>
      </w:r>
      <w:r>
        <w:tab/>
        <w:t>Immunity from liability for delay in delivery of goods</w:t>
      </w:r>
      <w:r>
        <w:tab/>
      </w:r>
      <w:r>
        <w:fldChar w:fldCharType="begin"/>
      </w:r>
      <w:r>
        <w:instrText xml:space="preserve"> PAGEREF _Toc424284513 \h </w:instrText>
      </w:r>
      <w:r>
        <w:fldChar w:fldCharType="separate"/>
      </w:r>
      <w:r>
        <w:t>78</w:t>
      </w:r>
      <w:r>
        <w:fldChar w:fldCharType="end"/>
      </w:r>
    </w:p>
    <w:p>
      <w:pPr>
        <w:pStyle w:val="TOC8"/>
        <w:rPr>
          <w:rFonts w:asciiTheme="minorHAnsi" w:eastAsiaTheme="minorEastAsia" w:hAnsiTheme="minorHAnsi" w:cstheme="minorBidi"/>
          <w:szCs w:val="22"/>
        </w:rPr>
      </w:pPr>
      <w:r>
        <w:t>114EA.</w:t>
      </w:r>
      <w:r>
        <w:tab/>
        <w:t>Immunity from liability for acts or omissions of port users</w:t>
      </w:r>
      <w:r>
        <w:tab/>
      </w:r>
      <w:r>
        <w:fldChar w:fldCharType="begin"/>
      </w:r>
      <w:r>
        <w:instrText xml:space="preserve"> PAGEREF _Toc424284514 \h </w:instrText>
      </w:r>
      <w:r>
        <w:fldChar w:fldCharType="separate"/>
      </w:r>
      <w:r>
        <w:t>78</w:t>
      </w:r>
      <w:r>
        <w:fldChar w:fldCharType="end"/>
      </w:r>
    </w:p>
    <w:p>
      <w:pPr>
        <w:pStyle w:val="TOC8"/>
        <w:rPr>
          <w:rFonts w:asciiTheme="minorHAnsi" w:eastAsiaTheme="minorEastAsia" w:hAnsiTheme="minorHAnsi" w:cstheme="minorBidi"/>
          <w:szCs w:val="22"/>
        </w:rPr>
      </w:pPr>
      <w:r>
        <w:t>114E.</w:t>
      </w:r>
      <w:r>
        <w:tab/>
        <w:t>Immunity from liability for certain events and actions</w:t>
      </w:r>
      <w:r>
        <w:tab/>
      </w:r>
      <w:r>
        <w:fldChar w:fldCharType="begin"/>
      </w:r>
      <w:r>
        <w:instrText xml:space="preserve"> PAGEREF _Toc424284515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8 — Port charges</w:t>
      </w:r>
    </w:p>
    <w:p>
      <w:pPr>
        <w:pStyle w:val="TOC8"/>
        <w:rPr>
          <w:rFonts w:asciiTheme="minorHAnsi" w:eastAsiaTheme="minorEastAsia" w:hAnsiTheme="minorHAnsi" w:cstheme="minorBidi"/>
          <w:szCs w:val="22"/>
        </w:rPr>
      </w:pPr>
      <w:r>
        <w:t>115</w:t>
      </w:r>
      <w:r>
        <w:rPr>
          <w:snapToGrid w:val="0"/>
        </w:rPr>
        <w:t>.</w:t>
      </w:r>
      <w:r>
        <w:rPr>
          <w:snapToGrid w:val="0"/>
        </w:rPr>
        <w:tab/>
        <w:t>Term used: port charges; application of this Part</w:t>
      </w:r>
      <w:r>
        <w:tab/>
      </w:r>
      <w:r>
        <w:fldChar w:fldCharType="begin"/>
      </w:r>
      <w:r>
        <w:instrText xml:space="preserve"> PAGEREF _Toc424284517 \h </w:instrText>
      </w:r>
      <w:r>
        <w:fldChar w:fldCharType="separate"/>
      </w:r>
      <w:r>
        <w:t>80</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Liability to pay port charges in respect of vessels</w:t>
      </w:r>
      <w:r>
        <w:tab/>
      </w:r>
      <w:r>
        <w:fldChar w:fldCharType="begin"/>
      </w:r>
      <w:r>
        <w:instrText xml:space="preserve"> PAGEREF _Toc424284518 \h </w:instrText>
      </w:r>
      <w:r>
        <w:fldChar w:fldCharType="separate"/>
      </w:r>
      <w:r>
        <w:t>80</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Liability to pay port charges in respect of goods</w:t>
      </w:r>
      <w:r>
        <w:tab/>
      </w:r>
      <w:r>
        <w:fldChar w:fldCharType="begin"/>
      </w:r>
      <w:r>
        <w:instrText xml:space="preserve"> PAGEREF _Toc424284519 \h </w:instrText>
      </w:r>
      <w:r>
        <w:fldChar w:fldCharType="separate"/>
      </w:r>
      <w:r>
        <w:t>80</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Recovery of port charges by port authority</w:t>
      </w:r>
      <w:r>
        <w:tab/>
      </w:r>
      <w:r>
        <w:fldChar w:fldCharType="begin"/>
      </w:r>
      <w:r>
        <w:instrText xml:space="preserve"> PAGEREF _Toc424284520 \h </w:instrText>
      </w:r>
      <w:r>
        <w:fldChar w:fldCharType="separate"/>
      </w:r>
      <w:r>
        <w:t>81</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Collectors of port charges</w:t>
      </w:r>
      <w:r>
        <w:tab/>
      </w:r>
      <w:r>
        <w:fldChar w:fldCharType="begin"/>
      </w:r>
      <w:r>
        <w:instrText xml:space="preserve"> PAGEREF _Toc424284521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9 — Proceedings for offences</w:t>
      </w:r>
    </w:p>
    <w:p>
      <w:pPr>
        <w:pStyle w:val="TOC4"/>
        <w:tabs>
          <w:tab w:val="right" w:leader="dot" w:pos="7077"/>
        </w:tabs>
        <w:rPr>
          <w:rFonts w:asciiTheme="minorHAnsi" w:eastAsiaTheme="minorEastAsia" w:hAnsiTheme="minorHAnsi" w:cstheme="minorBidi"/>
          <w:b w:val="0"/>
          <w:szCs w:val="22"/>
        </w:rPr>
      </w:pPr>
      <w:r>
        <w:t xml:space="preserve">Division 1 </w:t>
      </w:r>
      <w:r>
        <w:rPr>
          <w:snapToGrid w:val="0"/>
        </w:rPr>
        <w:t>— </w:t>
      </w:r>
      <w:r>
        <w:t>General</w:t>
      </w:r>
    </w:p>
    <w:p>
      <w:pPr>
        <w:pStyle w:val="TOC8"/>
        <w:rPr>
          <w:rFonts w:asciiTheme="minorHAnsi" w:eastAsiaTheme="minorEastAsia" w:hAnsiTheme="minorHAnsi" w:cstheme="minorBidi"/>
          <w:szCs w:val="22"/>
        </w:rPr>
      </w:pPr>
      <w:r>
        <w:t>120</w:t>
      </w:r>
      <w:r>
        <w:rPr>
          <w:snapToGrid w:val="0"/>
        </w:rPr>
        <w:t>.</w:t>
      </w:r>
      <w:r>
        <w:rPr>
          <w:snapToGrid w:val="0"/>
        </w:rPr>
        <w:tab/>
        <w:t>Who can commence prosecutions</w:t>
      </w:r>
      <w:r>
        <w:tab/>
      </w:r>
      <w:r>
        <w:fldChar w:fldCharType="begin"/>
      </w:r>
      <w:r>
        <w:instrText xml:space="preserve"> PAGEREF _Toc424284524 \h </w:instrText>
      </w:r>
      <w:r>
        <w:fldChar w:fldCharType="separate"/>
      </w:r>
      <w:r>
        <w:t>82</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Time limit for prosecutions</w:t>
      </w:r>
      <w:r>
        <w:tab/>
      </w:r>
      <w:r>
        <w:fldChar w:fldCharType="begin"/>
      </w:r>
      <w:r>
        <w:instrText xml:space="preserve"> PAGEREF _Toc424284525 \h </w:instrText>
      </w:r>
      <w:r>
        <w:fldChar w:fldCharType="separate"/>
      </w:r>
      <w:r>
        <w:t>82</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Averment as to place of offence</w:t>
      </w:r>
      <w:r>
        <w:tab/>
      </w:r>
      <w:r>
        <w:fldChar w:fldCharType="begin"/>
      </w:r>
      <w:r>
        <w:instrText xml:space="preserve"> PAGEREF _Toc424284526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Infringement notices</w:t>
      </w:r>
    </w:p>
    <w:p>
      <w:pPr>
        <w:pStyle w:val="TOC8"/>
        <w:rPr>
          <w:rFonts w:asciiTheme="minorHAnsi" w:eastAsiaTheme="minorEastAsia" w:hAnsiTheme="minorHAnsi" w:cstheme="minorBidi"/>
          <w:szCs w:val="22"/>
        </w:rPr>
      </w:pPr>
      <w:r>
        <w:t>123</w:t>
      </w:r>
      <w:r>
        <w:rPr>
          <w:snapToGrid w:val="0"/>
        </w:rPr>
        <w:t>.</w:t>
      </w:r>
      <w:r>
        <w:rPr>
          <w:snapToGrid w:val="0"/>
        </w:rPr>
        <w:tab/>
        <w:t>Terms used</w:t>
      </w:r>
      <w:r>
        <w:tab/>
      </w:r>
      <w:r>
        <w:fldChar w:fldCharType="begin"/>
      </w:r>
      <w:r>
        <w:instrText xml:space="preserve"> PAGEREF _Toc424284528 \h </w:instrText>
      </w:r>
      <w:r>
        <w:fldChar w:fldCharType="separate"/>
      </w:r>
      <w:r>
        <w:t>83</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Giving of notice</w:t>
      </w:r>
      <w:r>
        <w:tab/>
      </w:r>
      <w:r>
        <w:fldChar w:fldCharType="begin"/>
      </w:r>
      <w:r>
        <w:instrText xml:space="preserve"> PAGEREF _Toc424284529 \h </w:instrText>
      </w:r>
      <w:r>
        <w:fldChar w:fldCharType="separate"/>
      </w:r>
      <w:r>
        <w:t>83</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Content of notice</w:t>
      </w:r>
      <w:r>
        <w:tab/>
      </w:r>
      <w:r>
        <w:fldChar w:fldCharType="begin"/>
      </w:r>
      <w:r>
        <w:instrText xml:space="preserve"> PAGEREF _Toc424284530 \h </w:instrText>
      </w:r>
      <w:r>
        <w:fldChar w:fldCharType="separate"/>
      </w:r>
      <w:r>
        <w:t>83</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Extending time for paying modified penalty</w:t>
      </w:r>
      <w:r>
        <w:tab/>
      </w:r>
      <w:r>
        <w:fldChar w:fldCharType="begin"/>
      </w:r>
      <w:r>
        <w:instrText xml:space="preserve"> PAGEREF _Toc424284531 \h </w:instrText>
      </w:r>
      <w:r>
        <w:fldChar w:fldCharType="separate"/>
      </w:r>
      <w:r>
        <w:t>84</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Withdrawing notice</w:t>
      </w:r>
      <w:r>
        <w:tab/>
      </w:r>
      <w:r>
        <w:fldChar w:fldCharType="begin"/>
      </w:r>
      <w:r>
        <w:instrText xml:space="preserve"> PAGEREF _Toc424284532 \h </w:instrText>
      </w:r>
      <w:r>
        <w:fldChar w:fldCharType="separate"/>
      </w:r>
      <w:r>
        <w:t>84</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Benefit of paying modified penalty</w:t>
      </w:r>
      <w:r>
        <w:tab/>
      </w:r>
      <w:r>
        <w:fldChar w:fldCharType="begin"/>
      </w:r>
      <w:r>
        <w:instrText xml:space="preserve"> PAGEREF _Toc424284533 \h </w:instrText>
      </w:r>
      <w:r>
        <w:fldChar w:fldCharType="separate"/>
      </w:r>
      <w:r>
        <w:t>84</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Application of penalties collected</w:t>
      </w:r>
      <w:r>
        <w:tab/>
      </w:r>
      <w:r>
        <w:fldChar w:fldCharType="begin"/>
      </w:r>
      <w:r>
        <w:instrText xml:space="preserve"> PAGEREF _Toc424284534 \h </w:instrText>
      </w:r>
      <w:r>
        <w:fldChar w:fldCharType="separate"/>
      </w:r>
      <w:r>
        <w:t>85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Authorised persons, appointment of</w:t>
      </w:r>
      <w:r>
        <w:tab/>
      </w:r>
      <w:r>
        <w:fldChar w:fldCharType="begin"/>
      </w:r>
      <w:r>
        <w:instrText xml:space="preserve"> PAGEREF _Toc424284535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131</w:t>
      </w:r>
      <w:r>
        <w:rPr>
          <w:snapToGrid w:val="0"/>
        </w:rPr>
        <w:t>.</w:t>
      </w:r>
      <w:r>
        <w:rPr>
          <w:snapToGrid w:val="0"/>
        </w:rPr>
        <w:tab/>
        <w:t>Hindering, offence</w:t>
      </w:r>
      <w:r>
        <w:tab/>
      </w:r>
      <w:r>
        <w:fldChar w:fldCharType="begin"/>
      </w:r>
      <w:r>
        <w:instrText xml:space="preserve"> PAGEREF _Toc424284537 \h </w:instrText>
      </w:r>
      <w:r>
        <w:fldChar w:fldCharType="separate"/>
      </w:r>
      <w:r>
        <w:t>86</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Individual port authorities, provisions for (Sch. 6)</w:t>
      </w:r>
      <w:r>
        <w:tab/>
      </w:r>
      <w:r>
        <w:fldChar w:fldCharType="begin"/>
      </w:r>
      <w:r>
        <w:instrText xml:space="preserve"> PAGEREF _Toc424284538 \h </w:instrText>
      </w:r>
      <w:r>
        <w:fldChar w:fldCharType="separate"/>
      </w:r>
      <w:r>
        <w:t>86</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Supplementary provision about laying documents before Parliament</w:t>
      </w:r>
      <w:r>
        <w:tab/>
      </w:r>
      <w:r>
        <w:fldChar w:fldCharType="begin"/>
      </w:r>
      <w:r>
        <w:instrText xml:space="preserve"> PAGEREF _Toc424284539 \h </w:instrText>
      </w:r>
      <w:r>
        <w:fldChar w:fldCharType="separate"/>
      </w:r>
      <w:r>
        <w:t>87</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Execution of documents by port authority</w:t>
      </w:r>
      <w:r>
        <w:tab/>
      </w:r>
      <w:r>
        <w:fldChar w:fldCharType="begin"/>
      </w:r>
      <w:r>
        <w:instrText xml:space="preserve"> PAGEREF _Toc424284540 \h </w:instrText>
      </w:r>
      <w:r>
        <w:fldChar w:fldCharType="separate"/>
      </w:r>
      <w:r>
        <w:t>87</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Contracts with port authority, formalities of</w:t>
      </w:r>
      <w:r>
        <w:tab/>
      </w:r>
      <w:r>
        <w:fldChar w:fldCharType="begin"/>
      </w:r>
      <w:r>
        <w:instrText xml:space="preserve"> PAGEREF _Toc424284541 \h </w:instrText>
      </w:r>
      <w:r>
        <w:fldChar w:fldCharType="separate"/>
      </w:r>
      <w:r>
        <w:t>88</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Overdue amounts, interest on</w:t>
      </w:r>
      <w:r>
        <w:tab/>
      </w:r>
      <w:r>
        <w:fldChar w:fldCharType="begin"/>
      </w:r>
      <w:r>
        <w:instrText xml:space="preserve"> PAGEREF _Toc424284542 \h </w:instrText>
      </w:r>
      <w:r>
        <w:fldChar w:fldCharType="separate"/>
      </w:r>
      <w:r>
        <w:t>89</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Recovery of expenses due to offence</w:t>
      </w:r>
      <w:r>
        <w:tab/>
      </w:r>
      <w:r>
        <w:fldChar w:fldCharType="begin"/>
      </w:r>
      <w:r>
        <w:instrText xml:space="preserve"> PAGEREF _Toc424284543 \h </w:instrText>
      </w:r>
      <w:r>
        <w:fldChar w:fldCharType="separate"/>
      </w:r>
      <w:r>
        <w:t>89</w:t>
      </w:r>
      <w:r>
        <w:fldChar w:fldCharType="end"/>
      </w:r>
    </w:p>
    <w:p>
      <w:pPr>
        <w:pStyle w:val="TOC8"/>
        <w:rPr>
          <w:rFonts w:asciiTheme="minorHAnsi" w:eastAsiaTheme="minorEastAsia" w:hAnsiTheme="minorHAnsi" w:cstheme="minorBidi"/>
          <w:szCs w:val="22"/>
        </w:rPr>
      </w:pPr>
      <w:r>
        <w:t>138.</w:t>
      </w:r>
      <w:r>
        <w:tab/>
      </w:r>
      <w:r>
        <w:rPr>
          <w:i/>
        </w:rPr>
        <w:t>Government Agreements Act 1979</w:t>
      </w:r>
      <w:r>
        <w:t xml:space="preserve"> not affected</w:t>
      </w:r>
      <w:r>
        <w:tab/>
      </w:r>
      <w:r>
        <w:fldChar w:fldCharType="begin"/>
      </w:r>
      <w:r>
        <w:instrText xml:space="preserve"> PAGEREF _Toc424284544 \h </w:instrText>
      </w:r>
      <w:r>
        <w:fldChar w:fldCharType="separate"/>
      </w:r>
      <w:r>
        <w:t>89</w:t>
      </w:r>
      <w:r>
        <w:fldChar w:fldCharType="end"/>
      </w:r>
    </w:p>
    <w:p>
      <w:pPr>
        <w:pStyle w:val="TOC8"/>
        <w:rPr>
          <w:rFonts w:asciiTheme="minorHAnsi" w:eastAsiaTheme="minorEastAsia" w:hAnsiTheme="minorHAnsi" w:cstheme="minorBidi"/>
          <w:szCs w:val="22"/>
        </w:rPr>
      </w:pPr>
      <w:r>
        <w:t>139A.</w:t>
      </w:r>
      <w:r>
        <w:tab/>
        <w:t>Transitional provisions</w:t>
      </w:r>
      <w:r>
        <w:tab/>
      </w:r>
      <w:r>
        <w:fldChar w:fldCharType="begin"/>
      </w:r>
      <w:r>
        <w:instrText xml:space="preserve"> PAGEREF _Toc424284545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11 — Regulations</w:t>
      </w:r>
    </w:p>
    <w:p>
      <w:pPr>
        <w:pStyle w:val="TOC8"/>
        <w:rPr>
          <w:rFonts w:asciiTheme="minorHAnsi" w:eastAsiaTheme="minorEastAsia" w:hAnsiTheme="minorHAnsi" w:cstheme="minorBidi"/>
          <w:szCs w:val="22"/>
        </w:rPr>
      </w:pPr>
      <w:r>
        <w:t>139</w:t>
      </w:r>
      <w:r>
        <w:rPr>
          <w:snapToGrid w:val="0"/>
        </w:rPr>
        <w:t>.</w:t>
      </w:r>
      <w:r>
        <w:rPr>
          <w:snapToGrid w:val="0"/>
        </w:rPr>
        <w:tab/>
        <w:t>General power to make regulations</w:t>
      </w:r>
      <w:r>
        <w:tab/>
      </w:r>
      <w:r>
        <w:fldChar w:fldCharType="begin"/>
      </w:r>
      <w:r>
        <w:instrText xml:space="preserve"> PAGEREF _Toc424284547 \h </w:instrText>
      </w:r>
      <w:r>
        <w:fldChar w:fldCharType="separate"/>
      </w:r>
      <w:r>
        <w:t>91</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Offences against regulations</w:t>
      </w:r>
      <w:r>
        <w:tab/>
      </w:r>
      <w:r>
        <w:fldChar w:fldCharType="begin"/>
      </w:r>
      <w:r>
        <w:instrText xml:space="preserve"> PAGEREF _Toc424284548 \h </w:instrText>
      </w:r>
      <w:r>
        <w:fldChar w:fldCharType="separate"/>
      </w:r>
      <w:r>
        <w:t>91</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Adoption of other laws, codes etc.</w:t>
      </w:r>
      <w:r>
        <w:tab/>
      </w:r>
      <w:r>
        <w:fldChar w:fldCharType="begin"/>
      </w:r>
      <w:r>
        <w:instrText xml:space="preserve"> PAGEREF _Toc424284549 \h </w:instrText>
      </w:r>
      <w:r>
        <w:fldChar w:fldCharType="separate"/>
      </w:r>
      <w:r>
        <w:t>91</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References to other approvals or decisions</w:t>
      </w:r>
      <w:r>
        <w:tab/>
      </w:r>
      <w:r>
        <w:fldChar w:fldCharType="begin"/>
      </w:r>
      <w:r>
        <w:instrText xml:space="preserve"> PAGEREF _Toc424284550 \h </w:instrText>
      </w:r>
      <w:r>
        <w:fldChar w:fldCharType="separate"/>
      </w:r>
      <w:r>
        <w:t>92</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Licensing, provisions as to</w:t>
      </w:r>
      <w:r>
        <w:tab/>
      </w:r>
      <w:r>
        <w:fldChar w:fldCharType="begin"/>
      </w:r>
      <w:r>
        <w:instrText xml:space="preserve"> PAGEREF _Toc424284551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12 — Review of Act</w:t>
      </w:r>
    </w:p>
    <w:p>
      <w:pPr>
        <w:pStyle w:val="TOC8"/>
        <w:rPr>
          <w:rFonts w:asciiTheme="minorHAnsi" w:eastAsiaTheme="minorEastAsia" w:hAnsiTheme="minorHAnsi" w:cstheme="minorBidi"/>
          <w:szCs w:val="22"/>
        </w:rPr>
      </w:pPr>
      <w:r>
        <w:t>144.</w:t>
      </w:r>
      <w:r>
        <w:tab/>
        <w:t>Minister to review and report on Act</w:t>
      </w:r>
      <w:r>
        <w:tab/>
      </w:r>
      <w:r>
        <w:fldChar w:fldCharType="begin"/>
      </w:r>
      <w:r>
        <w:instrText xml:space="preserve"> PAGEREF _Toc424284553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Schedule 1 — Port authorities and ports</w:t>
      </w:r>
    </w:p>
    <w:p>
      <w:pPr>
        <w:pStyle w:val="TOC2"/>
        <w:tabs>
          <w:tab w:val="right" w:leader="dot" w:pos="7077"/>
        </w:tabs>
        <w:rPr>
          <w:rFonts w:asciiTheme="minorHAnsi" w:eastAsiaTheme="minorEastAsia" w:hAnsiTheme="minorHAnsi" w:cstheme="minorBidi"/>
          <w:b w:val="0"/>
          <w:sz w:val="22"/>
          <w:szCs w:val="22"/>
        </w:rPr>
      </w:pPr>
      <w:r>
        <w:t>Schedule 2 — Provisions about the constitution and proceedings of boards</w:t>
      </w:r>
    </w:p>
    <w:p>
      <w:pPr>
        <w:pStyle w:val="TOC8"/>
        <w:rPr>
          <w:rFonts w:asciiTheme="minorHAnsi" w:eastAsiaTheme="minorEastAsia" w:hAnsiTheme="minorHAnsi" w:cstheme="minorBidi"/>
          <w:szCs w:val="22"/>
        </w:rPr>
      </w:pPr>
      <w:r>
        <w:t>1</w:t>
      </w:r>
      <w:r>
        <w:rPr>
          <w:snapToGrid w:val="0"/>
        </w:rPr>
        <w:t>.</w:t>
      </w:r>
      <w:r>
        <w:rPr>
          <w:snapToGrid w:val="0"/>
        </w:rPr>
        <w:tab/>
        <w:t>Term of office</w:t>
      </w:r>
      <w:r>
        <w:tab/>
      </w:r>
      <w:r>
        <w:fldChar w:fldCharType="begin"/>
      </w:r>
      <w:r>
        <w:instrText xml:space="preserve"> PAGEREF _Toc424284556 \h </w:instrText>
      </w:r>
      <w:r>
        <w:fldChar w:fldCharType="separate"/>
      </w:r>
      <w:r>
        <w:t>95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Resignation and removal</w:t>
      </w:r>
      <w:r>
        <w:tab/>
      </w:r>
      <w:r>
        <w:fldChar w:fldCharType="begin"/>
      </w:r>
      <w:r>
        <w:instrText xml:space="preserve"> PAGEREF _Toc424284557 \h </w:instrText>
      </w:r>
      <w:r>
        <w:fldChar w:fldCharType="separate"/>
      </w:r>
      <w:r>
        <w:t>95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Chairperson and deputy chairperson</w:t>
      </w:r>
      <w:r>
        <w:tab/>
      </w:r>
      <w:r>
        <w:fldChar w:fldCharType="begin"/>
      </w:r>
      <w:r>
        <w:instrText xml:space="preserve"> PAGEREF _Toc424284558 \h </w:instrText>
      </w:r>
      <w:r>
        <w:fldChar w:fldCharType="separate"/>
      </w:r>
      <w:r>
        <w:t>96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Alternate directors</w:t>
      </w:r>
      <w:r>
        <w:tab/>
      </w:r>
      <w:r>
        <w:fldChar w:fldCharType="begin"/>
      </w:r>
      <w:r>
        <w:instrText xml:space="preserve"> PAGEREF _Toc424284559 \h </w:instrText>
      </w:r>
      <w:r>
        <w:fldChar w:fldCharType="separate"/>
      </w:r>
      <w:r>
        <w:t>96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Meetings</w:t>
      </w:r>
      <w:r>
        <w:tab/>
      </w:r>
      <w:r>
        <w:fldChar w:fldCharType="begin"/>
      </w:r>
      <w:r>
        <w:instrText xml:space="preserve"> PAGEREF _Toc424284560 \h </w:instrText>
      </w:r>
      <w:r>
        <w:fldChar w:fldCharType="separate"/>
      </w:r>
      <w:r>
        <w:t>96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Telephone and video meetings</w:t>
      </w:r>
      <w:r>
        <w:tab/>
      </w:r>
      <w:r>
        <w:fldChar w:fldCharType="begin"/>
      </w:r>
      <w:r>
        <w:instrText xml:space="preserve"> PAGEREF _Toc424284561 \h </w:instrText>
      </w:r>
      <w:r>
        <w:fldChar w:fldCharType="separate"/>
      </w:r>
      <w:r>
        <w:t>97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Resolution may be passed without meeting</w:t>
      </w:r>
      <w:r>
        <w:tab/>
      </w:r>
      <w:r>
        <w:fldChar w:fldCharType="begin"/>
      </w:r>
      <w:r>
        <w:instrText xml:space="preserve"> PAGEREF _Toc424284562 \h </w:instrText>
      </w:r>
      <w:r>
        <w:fldChar w:fldCharType="separate"/>
      </w:r>
      <w:r>
        <w:t>97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Directors with material personal interests, voting by etc.</w:t>
      </w:r>
      <w:r>
        <w:tab/>
      </w:r>
      <w:r>
        <w:fldChar w:fldCharType="begin"/>
      </w:r>
      <w:r>
        <w:instrText xml:space="preserve"> PAGEREF _Toc424284563 \h </w:instrText>
      </w:r>
      <w:r>
        <w:fldChar w:fldCharType="separate"/>
      </w:r>
      <w:r>
        <w:t>98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Minutes of meetings etc.</w:t>
      </w:r>
      <w:r>
        <w:tab/>
      </w:r>
      <w:r>
        <w:fldChar w:fldCharType="begin"/>
      </w:r>
      <w:r>
        <w:instrText xml:space="preserve"> PAGEREF _Toc424284564 \h </w:instrText>
      </w:r>
      <w:r>
        <w:fldChar w:fldCharType="separate"/>
      </w:r>
      <w:r>
        <w:t>99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Leave of absence</w:t>
      </w:r>
      <w:r>
        <w:tab/>
      </w:r>
      <w:r>
        <w:fldChar w:fldCharType="begin"/>
      </w:r>
      <w:r>
        <w:instrText xml:space="preserve"> PAGEREF _Toc424284565 \h </w:instrText>
      </w:r>
      <w:r>
        <w:fldChar w:fldCharType="separate"/>
      </w:r>
      <w:r>
        <w:t>99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Board to determine own procedures</w:t>
      </w:r>
      <w:r>
        <w:tab/>
      </w:r>
      <w:r>
        <w:fldChar w:fldCharType="begin"/>
      </w:r>
      <w:r>
        <w:instrText xml:space="preserve"> PAGEREF _Toc424284566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Schedule 3 — Provisions about duties of CEO and staff</w:t>
      </w:r>
    </w:p>
    <w:p>
      <w:pPr>
        <w:pStyle w:val="TOC4"/>
        <w:tabs>
          <w:tab w:val="right" w:leader="dot" w:pos="7077"/>
        </w:tabs>
        <w:rPr>
          <w:rFonts w:asciiTheme="minorHAnsi" w:eastAsiaTheme="minorEastAsia" w:hAnsiTheme="minorHAnsi" w:cstheme="minorBidi"/>
          <w:b w:val="0"/>
          <w:szCs w:val="22"/>
        </w:rPr>
      </w:pPr>
      <w:r>
        <w:t>Division 1 — General duties of CEO</w:t>
      </w:r>
    </w:p>
    <w:p>
      <w:pPr>
        <w:pStyle w:val="TOC8"/>
        <w:rPr>
          <w:rFonts w:asciiTheme="minorHAnsi" w:eastAsiaTheme="minorEastAsia" w:hAnsiTheme="minorHAnsi" w:cstheme="minorBidi"/>
          <w:szCs w:val="22"/>
        </w:rPr>
      </w:pPr>
      <w:r>
        <w:t>1</w:t>
      </w:r>
      <w:r>
        <w:rPr>
          <w:snapToGrid w:val="0"/>
        </w:rPr>
        <w:t>.</w:t>
      </w:r>
      <w:r>
        <w:rPr>
          <w:snapToGrid w:val="0"/>
        </w:rPr>
        <w:tab/>
        <w:t>Duties of CEO</w:t>
      </w:r>
      <w:r>
        <w:tab/>
      </w:r>
      <w:r>
        <w:fldChar w:fldCharType="begin"/>
      </w:r>
      <w:r>
        <w:instrText xml:space="preserve"> PAGEREF _Toc424284569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2 — Particular duties stated</w:t>
      </w:r>
    </w:p>
    <w:p>
      <w:pPr>
        <w:pStyle w:val="TOC8"/>
        <w:rPr>
          <w:rFonts w:asciiTheme="minorHAnsi" w:eastAsiaTheme="minorEastAsia" w:hAnsiTheme="minorHAnsi" w:cstheme="minorBidi"/>
          <w:szCs w:val="22"/>
        </w:rPr>
      </w:pPr>
      <w:r>
        <w:t>2</w:t>
      </w:r>
      <w:r>
        <w:rPr>
          <w:snapToGrid w:val="0"/>
        </w:rPr>
        <w:t>.</w:t>
      </w:r>
      <w:r>
        <w:rPr>
          <w:snapToGrid w:val="0"/>
        </w:rPr>
        <w:tab/>
        <w:t>Term used: officer and interpretation</w:t>
      </w:r>
      <w:r>
        <w:tab/>
      </w:r>
      <w:r>
        <w:fldChar w:fldCharType="begin"/>
      </w:r>
      <w:r>
        <w:instrText xml:space="preserve"> PAGEREF _Toc424284571 \h </w:instrText>
      </w:r>
      <w:r>
        <w:fldChar w:fldCharType="separate"/>
      </w:r>
      <w:r>
        <w:t>101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Duty to act honestly</w:t>
      </w:r>
      <w:r>
        <w:tab/>
      </w:r>
      <w:r>
        <w:fldChar w:fldCharType="begin"/>
      </w:r>
      <w:r>
        <w:instrText xml:space="preserve"> PAGEREF _Toc424284572 \h </w:instrText>
      </w:r>
      <w:r>
        <w:fldChar w:fldCharType="separate"/>
      </w:r>
      <w:r>
        <w:t>102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Duty to exercise reasonable care and diligence</w:t>
      </w:r>
      <w:r>
        <w:tab/>
      </w:r>
      <w:r>
        <w:fldChar w:fldCharType="begin"/>
      </w:r>
      <w:r>
        <w:instrText xml:space="preserve"> PAGEREF _Toc424284573 \h </w:instrText>
      </w:r>
      <w:r>
        <w:fldChar w:fldCharType="separate"/>
      </w:r>
      <w:r>
        <w:t>102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Duty not to make improper use of information</w:t>
      </w:r>
      <w:r>
        <w:tab/>
      </w:r>
      <w:r>
        <w:fldChar w:fldCharType="begin"/>
      </w:r>
      <w:r>
        <w:instrText xml:space="preserve"> PAGEREF _Toc424284574 \h </w:instrText>
      </w:r>
      <w:r>
        <w:fldChar w:fldCharType="separate"/>
      </w:r>
      <w:r>
        <w:t>102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Duty not to make improper use of position</w:t>
      </w:r>
      <w:r>
        <w:tab/>
      </w:r>
      <w:r>
        <w:fldChar w:fldCharType="begin"/>
      </w:r>
      <w:r>
        <w:instrText xml:space="preserve"> PAGEREF _Toc424284575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3 — Compensation</w:t>
      </w:r>
    </w:p>
    <w:p>
      <w:pPr>
        <w:pStyle w:val="TOC8"/>
        <w:rPr>
          <w:rFonts w:asciiTheme="minorHAnsi" w:eastAsiaTheme="minorEastAsia" w:hAnsiTheme="minorHAnsi" w:cstheme="minorBidi"/>
          <w:szCs w:val="22"/>
        </w:rPr>
      </w:pPr>
      <w:r>
        <w:t>7</w:t>
      </w:r>
      <w:r>
        <w:rPr>
          <w:snapToGrid w:val="0"/>
        </w:rPr>
        <w:t>.</w:t>
      </w:r>
      <w:r>
        <w:rPr>
          <w:snapToGrid w:val="0"/>
        </w:rPr>
        <w:tab/>
        <w:t>Compensation may be ordered if cl. 3, 4, 5 or 6 offence</w:t>
      </w:r>
      <w:r>
        <w:tab/>
      </w:r>
      <w:r>
        <w:fldChar w:fldCharType="begin"/>
      </w:r>
      <w:r>
        <w:instrText xml:space="preserve"> PAGEREF _Toc424284577 \h </w:instrText>
      </w:r>
      <w:r>
        <w:fldChar w:fldCharType="separate"/>
      </w:r>
      <w:r>
        <w:t>103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Civil recovery if cl. 3, 4, 5 or 6 offence</w:t>
      </w:r>
      <w:r>
        <w:tab/>
      </w:r>
      <w:r>
        <w:fldChar w:fldCharType="begin"/>
      </w:r>
      <w:r>
        <w:instrText xml:space="preserve"> PAGEREF _Toc424284578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4 — Relief from liability</w:t>
      </w:r>
    </w:p>
    <w:p>
      <w:pPr>
        <w:pStyle w:val="TOC8"/>
        <w:rPr>
          <w:rFonts w:asciiTheme="minorHAnsi" w:eastAsiaTheme="minorEastAsia" w:hAnsiTheme="minorHAnsi" w:cstheme="minorBidi"/>
          <w:szCs w:val="22"/>
        </w:rPr>
      </w:pPr>
      <w:r>
        <w:t>9</w:t>
      </w:r>
      <w:r>
        <w:rPr>
          <w:snapToGrid w:val="0"/>
        </w:rPr>
        <w:t>.</w:t>
      </w:r>
      <w:r>
        <w:rPr>
          <w:snapToGrid w:val="0"/>
        </w:rPr>
        <w:tab/>
        <w:t>Relief from liability under cl. 1, 7 and 8</w:t>
      </w:r>
      <w:r>
        <w:tab/>
      </w:r>
      <w:r>
        <w:fldChar w:fldCharType="begin"/>
      </w:r>
      <w:r>
        <w:instrText xml:space="preserve"> PAGEREF _Toc424284580 \h </w:instrText>
      </w:r>
      <w:r>
        <w:fldChar w:fldCharType="separate"/>
      </w:r>
      <w:r>
        <w:t>104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for relief from liability under cl. 1, 7 or 8</w:t>
      </w:r>
      <w:r>
        <w:tab/>
      </w:r>
      <w:r>
        <w:fldChar w:fldCharType="begin"/>
      </w:r>
      <w:r>
        <w:instrText xml:space="preserve"> PAGEREF _Toc424284581 \h </w:instrText>
      </w:r>
      <w:r>
        <w:fldChar w:fldCharType="separate"/>
      </w:r>
      <w:r>
        <w:t>104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Case as to cl. 9 may be withdrawn from jury</w:t>
      </w:r>
      <w:r>
        <w:tab/>
      </w:r>
      <w:r>
        <w:fldChar w:fldCharType="begin"/>
      </w:r>
      <w:r>
        <w:instrText xml:space="preserve"> PAGEREF _Toc424284582 \h </w:instrText>
      </w:r>
      <w:r>
        <w:fldChar w:fldCharType="separate"/>
      </w:r>
      <w:r>
        <w:t>104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Compliance with directions is not contravention of cl. 1, 3 or 4</w:t>
      </w:r>
      <w:r>
        <w:tab/>
      </w:r>
      <w:r>
        <w:fldChar w:fldCharType="begin"/>
      </w:r>
      <w:r>
        <w:instrText xml:space="preserve"> PAGEREF _Toc424284583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5 — Restrictions on indemnities and exemptions</w:t>
      </w:r>
    </w:p>
    <w:p>
      <w:pPr>
        <w:pStyle w:val="TOC8"/>
        <w:rPr>
          <w:rFonts w:asciiTheme="minorHAnsi" w:eastAsiaTheme="minorEastAsia" w:hAnsiTheme="minorHAnsi" w:cstheme="minorBidi"/>
          <w:szCs w:val="22"/>
        </w:rPr>
      </w:pPr>
      <w:r>
        <w:t>13.</w:t>
      </w:r>
      <w:r>
        <w:tab/>
        <w:t>CEO and executive officers not to be exempted or indemnified for some liability</w:t>
      </w:r>
      <w:r>
        <w:tab/>
      </w:r>
      <w:r>
        <w:fldChar w:fldCharType="begin"/>
      </w:r>
      <w:r>
        <w:instrText xml:space="preserve"> PAGEREF _Toc424284585 \h </w:instrText>
      </w:r>
      <w:r>
        <w:fldChar w:fldCharType="separate"/>
      </w:r>
      <w:r>
        <w:t>105</w:t>
      </w:r>
      <w:r>
        <w:fldChar w:fldCharType="end"/>
      </w:r>
    </w:p>
    <w:p>
      <w:pPr>
        <w:pStyle w:val="TOC8"/>
        <w:rPr>
          <w:rFonts w:asciiTheme="minorHAnsi" w:eastAsiaTheme="minorEastAsia" w:hAnsiTheme="minorHAnsi" w:cstheme="minorBidi"/>
          <w:szCs w:val="22"/>
        </w:rPr>
      </w:pPr>
      <w:r>
        <w:t>14.</w:t>
      </w:r>
      <w:r>
        <w:tab/>
        <w:t>Insurance premiums for certain liabilities of CEO and executive officers</w:t>
      </w:r>
      <w:r>
        <w:tab/>
      </w:r>
      <w:r>
        <w:fldChar w:fldCharType="begin"/>
      </w:r>
      <w:r>
        <w:instrText xml:space="preserve"> PAGEREF _Toc424284586 \h </w:instrText>
      </w:r>
      <w:r>
        <w:fldChar w:fldCharType="separate"/>
      </w:r>
      <w:r>
        <w:t>106</w:t>
      </w:r>
      <w:r>
        <w:fldChar w:fldCharType="end"/>
      </w:r>
    </w:p>
    <w:p>
      <w:pPr>
        <w:pStyle w:val="TOC8"/>
        <w:rPr>
          <w:rFonts w:asciiTheme="minorHAnsi" w:eastAsiaTheme="minorEastAsia" w:hAnsiTheme="minorHAnsi" w:cstheme="minorBidi"/>
          <w:szCs w:val="22"/>
        </w:rPr>
      </w:pPr>
      <w:r>
        <w:t>15.</w:t>
      </w:r>
      <w:r>
        <w:tab/>
        <w:t>Certain indemnities, exemptions, payments and agreements not authorised and certain documents void</w:t>
      </w:r>
      <w:r>
        <w:tab/>
      </w:r>
      <w:r>
        <w:fldChar w:fldCharType="begin"/>
      </w:r>
      <w:r>
        <w:instrText xml:space="preserve"> PAGEREF _Toc424284587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Schedule 4 — Provisions to be included in articles of association of subsidiaries</w:t>
      </w:r>
    </w:p>
    <w:p>
      <w:pPr>
        <w:pStyle w:val="TOC8"/>
        <w:rPr>
          <w:rFonts w:asciiTheme="minorHAnsi" w:eastAsiaTheme="minorEastAsia" w:hAnsiTheme="minorHAnsi" w:cstheme="minorBidi"/>
          <w:szCs w:val="22"/>
        </w:rPr>
      </w:pPr>
      <w:r>
        <w:t>1</w:t>
      </w:r>
      <w:r>
        <w:rPr>
          <w:snapToGrid w:val="0"/>
        </w:rPr>
        <w:t>.</w:t>
      </w:r>
      <w:r>
        <w:rPr>
          <w:snapToGrid w:val="0"/>
        </w:rPr>
        <w:tab/>
        <w:t>Disposal of shares</w:t>
      </w:r>
      <w:r>
        <w:tab/>
      </w:r>
      <w:r>
        <w:fldChar w:fldCharType="begin"/>
      </w:r>
      <w:r>
        <w:instrText xml:space="preserve"> PAGEREF _Toc424284589 \h </w:instrText>
      </w:r>
      <w:r>
        <w:fldChar w:fldCharType="separate"/>
      </w:r>
      <w:r>
        <w:t>107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Directors</w:t>
      </w:r>
      <w:r>
        <w:tab/>
      </w:r>
      <w:r>
        <w:fldChar w:fldCharType="begin"/>
      </w:r>
      <w:r>
        <w:instrText xml:space="preserve"> PAGEREF _Toc424284590 \h </w:instrText>
      </w:r>
      <w:r>
        <w:fldChar w:fldCharType="separate"/>
      </w:r>
      <w:r>
        <w:t>107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Further shares</w:t>
      </w:r>
      <w:r>
        <w:tab/>
      </w:r>
      <w:r>
        <w:fldChar w:fldCharType="begin"/>
      </w:r>
      <w:r>
        <w:instrText xml:space="preserve"> PAGEREF _Toc424284591 \h </w:instrText>
      </w:r>
      <w:r>
        <w:fldChar w:fldCharType="separate"/>
      </w:r>
      <w:r>
        <w:t>107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Subsidiaries of subsidiary</w:t>
      </w:r>
      <w:r>
        <w:tab/>
      </w:r>
      <w:r>
        <w:fldChar w:fldCharType="begin"/>
      </w:r>
      <w:r>
        <w:instrText xml:space="preserve"> PAGEREF _Toc424284592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Schedule 5 — Financial administration and audit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_Toc424284595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2 — Financial records</w:t>
      </w:r>
    </w:p>
    <w:p>
      <w:pPr>
        <w:pStyle w:val="TOC8"/>
        <w:rPr>
          <w:rFonts w:asciiTheme="minorHAnsi" w:eastAsiaTheme="minorEastAsia" w:hAnsiTheme="minorHAnsi" w:cstheme="minorBidi"/>
          <w:szCs w:val="22"/>
        </w:rPr>
      </w:pPr>
      <w:r>
        <w:t>2.</w:t>
      </w:r>
      <w:r>
        <w:tab/>
        <w:t xml:space="preserve">Obligation to keep financial records </w:t>
      </w:r>
      <w:r>
        <w:rPr>
          <w:i/>
        </w:rPr>
        <w:t>(cf. Corporations Act s. 286)</w:t>
      </w:r>
      <w:r>
        <w:tab/>
      </w:r>
      <w:r>
        <w:fldChar w:fldCharType="begin"/>
      </w:r>
      <w:r>
        <w:instrText xml:space="preserve"> PAGEREF _Toc424284597 \h </w:instrText>
      </w:r>
      <w:r>
        <w:fldChar w:fldCharType="separate"/>
      </w:r>
      <w:r>
        <w:t>109</w:t>
      </w:r>
      <w:r>
        <w:fldChar w:fldCharType="end"/>
      </w:r>
    </w:p>
    <w:p>
      <w:pPr>
        <w:pStyle w:val="TOC8"/>
        <w:rPr>
          <w:rFonts w:asciiTheme="minorHAnsi" w:eastAsiaTheme="minorEastAsia" w:hAnsiTheme="minorHAnsi" w:cstheme="minorBidi"/>
          <w:szCs w:val="22"/>
        </w:rPr>
      </w:pPr>
      <w:r>
        <w:t>3.</w:t>
      </w:r>
      <w:r>
        <w:tab/>
        <w:t xml:space="preserve">Physical format </w:t>
      </w:r>
      <w:r>
        <w:rPr>
          <w:i/>
        </w:rPr>
        <w:t>(cf. Corporations Act s. 288)</w:t>
      </w:r>
      <w:r>
        <w:tab/>
      </w:r>
      <w:r>
        <w:fldChar w:fldCharType="begin"/>
      </w:r>
      <w:r>
        <w:instrText xml:space="preserve"> PAGEREF _Toc424284598 \h </w:instrText>
      </w:r>
      <w:r>
        <w:fldChar w:fldCharType="separate"/>
      </w:r>
      <w:r>
        <w:t>110</w:t>
      </w:r>
      <w:r>
        <w:fldChar w:fldCharType="end"/>
      </w:r>
    </w:p>
    <w:p>
      <w:pPr>
        <w:pStyle w:val="TOC8"/>
        <w:rPr>
          <w:rFonts w:asciiTheme="minorHAnsi" w:eastAsiaTheme="minorEastAsia" w:hAnsiTheme="minorHAnsi" w:cstheme="minorBidi"/>
          <w:szCs w:val="22"/>
        </w:rPr>
      </w:pPr>
      <w:r>
        <w:t>4.</w:t>
      </w:r>
      <w:r>
        <w:tab/>
        <w:t xml:space="preserve">Place where records are kept </w:t>
      </w:r>
      <w:r>
        <w:rPr>
          <w:i/>
        </w:rPr>
        <w:t>(cf. Corporations Act s. 289)</w:t>
      </w:r>
      <w:r>
        <w:tab/>
      </w:r>
      <w:r>
        <w:fldChar w:fldCharType="begin"/>
      </w:r>
      <w:r>
        <w:instrText xml:space="preserve"> PAGEREF _Toc424284599 \h </w:instrText>
      </w:r>
      <w:r>
        <w:fldChar w:fldCharType="separate"/>
      </w:r>
      <w:r>
        <w:t>110</w:t>
      </w:r>
      <w:r>
        <w:fldChar w:fldCharType="end"/>
      </w:r>
    </w:p>
    <w:p>
      <w:pPr>
        <w:pStyle w:val="TOC8"/>
        <w:rPr>
          <w:rFonts w:asciiTheme="minorHAnsi" w:eastAsiaTheme="minorEastAsia" w:hAnsiTheme="minorHAnsi" w:cstheme="minorBidi"/>
          <w:szCs w:val="22"/>
        </w:rPr>
      </w:pPr>
      <w:r>
        <w:t>5.</w:t>
      </w:r>
      <w:r>
        <w:tab/>
        <w:t xml:space="preserve">Director access </w:t>
      </w:r>
      <w:r>
        <w:rPr>
          <w:i/>
        </w:rPr>
        <w:t>(cf. Corporations Act s. 290)</w:t>
      </w:r>
      <w:r>
        <w:tab/>
      </w:r>
      <w:r>
        <w:fldChar w:fldCharType="begin"/>
      </w:r>
      <w:r>
        <w:instrText xml:space="preserve"> PAGEREF _Toc424284600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3 — Financial reporting</w:t>
      </w:r>
    </w:p>
    <w:p>
      <w:pPr>
        <w:pStyle w:val="TOC6"/>
        <w:tabs>
          <w:tab w:val="right" w:leader="dot" w:pos="7077"/>
        </w:tabs>
        <w:rPr>
          <w:rFonts w:asciiTheme="minorHAnsi" w:eastAsiaTheme="minorEastAsia" w:hAnsiTheme="minorHAnsi" w:cstheme="minorBidi"/>
          <w:b w:val="0"/>
          <w:sz w:val="22"/>
          <w:szCs w:val="22"/>
        </w:rPr>
      </w:pPr>
      <w:r>
        <w:t>Subdivision 1 — Annual financial reports and directors’ reports</w:t>
      </w:r>
    </w:p>
    <w:p>
      <w:pPr>
        <w:pStyle w:val="TOC8"/>
        <w:rPr>
          <w:rFonts w:asciiTheme="minorHAnsi" w:eastAsiaTheme="minorEastAsia" w:hAnsiTheme="minorHAnsi" w:cstheme="minorBidi"/>
          <w:szCs w:val="22"/>
        </w:rPr>
      </w:pPr>
      <w:r>
        <w:t>6.</w:t>
      </w:r>
      <w:r>
        <w:tab/>
        <w:t xml:space="preserve">Preparation of annual financial report and directors’ report </w:t>
      </w:r>
      <w:r>
        <w:rPr>
          <w:i/>
        </w:rPr>
        <w:t>(cf. Corporations Act s. 292)</w:t>
      </w:r>
      <w:r>
        <w:tab/>
      </w:r>
      <w:r>
        <w:fldChar w:fldCharType="begin"/>
      </w:r>
      <w:r>
        <w:instrText xml:space="preserve"> PAGEREF _Toc424284603 \h </w:instrText>
      </w:r>
      <w:r>
        <w:fldChar w:fldCharType="separate"/>
      </w:r>
      <w:r>
        <w:t>111</w:t>
      </w:r>
      <w:r>
        <w:fldChar w:fldCharType="end"/>
      </w:r>
    </w:p>
    <w:p>
      <w:pPr>
        <w:pStyle w:val="TOC8"/>
        <w:rPr>
          <w:rFonts w:asciiTheme="minorHAnsi" w:eastAsiaTheme="minorEastAsia" w:hAnsiTheme="minorHAnsi" w:cstheme="minorBidi"/>
          <w:szCs w:val="22"/>
        </w:rPr>
      </w:pPr>
      <w:r>
        <w:t>7.</w:t>
      </w:r>
      <w:r>
        <w:tab/>
        <w:t xml:space="preserve">Contents of annual financial report </w:t>
      </w:r>
      <w:r>
        <w:rPr>
          <w:i/>
        </w:rPr>
        <w:t>(cf. Corporations Act s. 295)</w:t>
      </w:r>
      <w:r>
        <w:tab/>
      </w:r>
      <w:r>
        <w:fldChar w:fldCharType="begin"/>
      </w:r>
      <w:r>
        <w:instrText xml:space="preserve"> PAGEREF _Toc424284604 \h </w:instrText>
      </w:r>
      <w:r>
        <w:fldChar w:fldCharType="separate"/>
      </w:r>
      <w:r>
        <w:t>111</w:t>
      </w:r>
      <w:r>
        <w:fldChar w:fldCharType="end"/>
      </w:r>
    </w:p>
    <w:p>
      <w:pPr>
        <w:pStyle w:val="TOC8"/>
        <w:rPr>
          <w:rFonts w:asciiTheme="minorHAnsi" w:eastAsiaTheme="minorEastAsia" w:hAnsiTheme="minorHAnsi" w:cstheme="minorBidi"/>
          <w:szCs w:val="22"/>
        </w:rPr>
      </w:pPr>
      <w:r>
        <w:t>8.</w:t>
      </w:r>
      <w:r>
        <w:tab/>
        <w:t xml:space="preserve">Compliance with accounting standards and regulations </w:t>
      </w:r>
      <w:r>
        <w:rPr>
          <w:i/>
        </w:rPr>
        <w:t>(cf. Corporations Act s. 296)</w:t>
      </w:r>
      <w:r>
        <w:tab/>
      </w:r>
      <w:r>
        <w:fldChar w:fldCharType="begin"/>
      </w:r>
      <w:r>
        <w:instrText xml:space="preserve"> PAGEREF _Toc424284605 \h </w:instrText>
      </w:r>
      <w:r>
        <w:fldChar w:fldCharType="separate"/>
      </w:r>
      <w:r>
        <w:t>112</w:t>
      </w:r>
      <w:r>
        <w:fldChar w:fldCharType="end"/>
      </w:r>
    </w:p>
    <w:p>
      <w:pPr>
        <w:pStyle w:val="TOC8"/>
        <w:rPr>
          <w:rFonts w:asciiTheme="minorHAnsi" w:eastAsiaTheme="minorEastAsia" w:hAnsiTheme="minorHAnsi" w:cstheme="minorBidi"/>
          <w:szCs w:val="22"/>
        </w:rPr>
      </w:pPr>
      <w:r>
        <w:t>9.</w:t>
      </w:r>
      <w:r>
        <w:tab/>
        <w:t xml:space="preserve">True and fair view </w:t>
      </w:r>
      <w:r>
        <w:rPr>
          <w:i/>
        </w:rPr>
        <w:t>(cf. Corporations Act s. 297)</w:t>
      </w:r>
      <w:r>
        <w:tab/>
      </w:r>
      <w:r>
        <w:fldChar w:fldCharType="begin"/>
      </w:r>
      <w:r>
        <w:instrText xml:space="preserve"> PAGEREF _Toc424284606 \h </w:instrText>
      </w:r>
      <w:r>
        <w:fldChar w:fldCharType="separate"/>
      </w:r>
      <w:r>
        <w:t>113</w:t>
      </w:r>
      <w:r>
        <w:fldChar w:fldCharType="end"/>
      </w:r>
    </w:p>
    <w:p>
      <w:pPr>
        <w:pStyle w:val="TOC8"/>
        <w:rPr>
          <w:rFonts w:asciiTheme="minorHAnsi" w:eastAsiaTheme="minorEastAsia" w:hAnsiTheme="minorHAnsi" w:cstheme="minorBidi"/>
          <w:szCs w:val="22"/>
        </w:rPr>
      </w:pPr>
      <w:r>
        <w:t>10.</w:t>
      </w:r>
      <w:r>
        <w:tab/>
        <w:t xml:space="preserve">Annual directors’ report </w:t>
      </w:r>
      <w:r>
        <w:rPr>
          <w:i/>
        </w:rPr>
        <w:t>(cf. Corporations Act s. 298)</w:t>
      </w:r>
      <w:r>
        <w:tab/>
      </w:r>
      <w:r>
        <w:fldChar w:fldCharType="begin"/>
      </w:r>
      <w:r>
        <w:instrText xml:space="preserve"> PAGEREF _Toc424284607 \h </w:instrText>
      </w:r>
      <w:r>
        <w:fldChar w:fldCharType="separate"/>
      </w:r>
      <w:r>
        <w:t>113</w:t>
      </w:r>
      <w:r>
        <w:fldChar w:fldCharType="end"/>
      </w:r>
    </w:p>
    <w:p>
      <w:pPr>
        <w:pStyle w:val="TOC8"/>
        <w:rPr>
          <w:rFonts w:asciiTheme="minorHAnsi" w:eastAsiaTheme="minorEastAsia" w:hAnsiTheme="minorHAnsi" w:cstheme="minorBidi"/>
          <w:szCs w:val="22"/>
        </w:rPr>
      </w:pPr>
      <w:r>
        <w:t>11.</w:t>
      </w:r>
      <w:r>
        <w:tab/>
        <w:t xml:space="preserve">Annual directors’ report, general information in </w:t>
      </w:r>
      <w:r>
        <w:rPr>
          <w:i/>
        </w:rPr>
        <w:t>(cf. Corporations Act s. 299)</w:t>
      </w:r>
      <w:r>
        <w:tab/>
      </w:r>
      <w:r>
        <w:fldChar w:fldCharType="begin"/>
      </w:r>
      <w:r>
        <w:instrText xml:space="preserve"> PAGEREF _Toc424284608 \h </w:instrText>
      </w:r>
      <w:r>
        <w:fldChar w:fldCharType="separate"/>
      </w:r>
      <w:r>
        <w:t>113</w:t>
      </w:r>
      <w:r>
        <w:fldChar w:fldCharType="end"/>
      </w:r>
    </w:p>
    <w:p>
      <w:pPr>
        <w:pStyle w:val="TOC8"/>
        <w:rPr>
          <w:rFonts w:asciiTheme="minorHAnsi" w:eastAsiaTheme="minorEastAsia" w:hAnsiTheme="minorHAnsi" w:cstheme="minorBidi"/>
          <w:szCs w:val="22"/>
        </w:rPr>
      </w:pPr>
      <w:r>
        <w:t>12.</w:t>
      </w:r>
      <w:r>
        <w:tab/>
        <w:t xml:space="preserve">Annual directors’ report, specific information in </w:t>
      </w:r>
      <w:r>
        <w:rPr>
          <w:i/>
        </w:rPr>
        <w:t>(cf. Corporations Act s. 300)</w:t>
      </w:r>
      <w:r>
        <w:tab/>
      </w:r>
      <w:r>
        <w:fldChar w:fldCharType="begin"/>
      </w:r>
      <w:r>
        <w:instrText xml:space="preserve"> PAGEREF _Toc424284609 \h </w:instrText>
      </w:r>
      <w:r>
        <w:fldChar w:fldCharType="separate"/>
      </w:r>
      <w:r>
        <w:t>115</w:t>
      </w:r>
      <w:r>
        <w:fldChar w:fldCharType="end"/>
      </w:r>
    </w:p>
    <w:p>
      <w:pPr>
        <w:pStyle w:val="TOC8"/>
        <w:rPr>
          <w:rFonts w:asciiTheme="minorHAnsi" w:eastAsiaTheme="minorEastAsia" w:hAnsiTheme="minorHAnsi" w:cstheme="minorBidi"/>
          <w:szCs w:val="22"/>
        </w:rPr>
      </w:pPr>
      <w:r>
        <w:t>13.</w:t>
      </w:r>
      <w:r>
        <w:tab/>
        <w:t xml:space="preserve">Annual directors’ report, other specific information in </w:t>
      </w:r>
      <w:r>
        <w:rPr>
          <w:i/>
        </w:rPr>
        <w:t>(cf. Corporations Act s. 300A)</w:t>
      </w:r>
      <w:r>
        <w:tab/>
      </w:r>
      <w:r>
        <w:fldChar w:fldCharType="begin"/>
      </w:r>
      <w:r>
        <w:instrText xml:space="preserve"> PAGEREF _Toc424284610 \h </w:instrText>
      </w:r>
      <w:r>
        <w:fldChar w:fldCharType="separate"/>
      </w:r>
      <w:r>
        <w:t>115</w:t>
      </w:r>
      <w:r>
        <w:fldChar w:fldCharType="end"/>
      </w:r>
    </w:p>
    <w:p>
      <w:pPr>
        <w:pStyle w:val="TOC8"/>
        <w:rPr>
          <w:rFonts w:asciiTheme="minorHAnsi" w:eastAsiaTheme="minorEastAsia" w:hAnsiTheme="minorHAnsi" w:cstheme="minorBidi"/>
          <w:szCs w:val="22"/>
        </w:rPr>
      </w:pPr>
      <w:r>
        <w:t>14.</w:t>
      </w:r>
      <w:r>
        <w:tab/>
        <w:t xml:space="preserve">Audit of annual financial report </w:t>
      </w:r>
      <w:r>
        <w:rPr>
          <w:i/>
        </w:rPr>
        <w:t>(cf. Corporations Act s. 301)</w:t>
      </w:r>
      <w:r>
        <w:tab/>
      </w:r>
      <w:r>
        <w:fldChar w:fldCharType="begin"/>
      </w:r>
      <w:r>
        <w:instrText xml:space="preserve"> PAGEREF _Toc424284611 \h </w:instrText>
      </w:r>
      <w:r>
        <w:fldChar w:fldCharType="separate"/>
      </w:r>
      <w:r>
        <w:t>116</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Audit and auditor’s report</w:t>
      </w:r>
    </w:p>
    <w:p>
      <w:pPr>
        <w:pStyle w:val="TOC8"/>
        <w:rPr>
          <w:rFonts w:asciiTheme="minorHAnsi" w:eastAsiaTheme="minorEastAsia" w:hAnsiTheme="minorHAnsi" w:cstheme="minorBidi"/>
          <w:szCs w:val="22"/>
        </w:rPr>
      </w:pPr>
      <w:r>
        <w:t>15.</w:t>
      </w:r>
      <w:r>
        <w:tab/>
        <w:t xml:space="preserve">Audit opinion </w:t>
      </w:r>
      <w:r>
        <w:rPr>
          <w:i/>
        </w:rPr>
        <w:t>(cf. Corporations Act s. 307)</w:t>
      </w:r>
      <w:r>
        <w:tab/>
      </w:r>
      <w:r>
        <w:fldChar w:fldCharType="begin"/>
      </w:r>
      <w:r>
        <w:instrText xml:space="preserve"> PAGEREF _Toc424284613 \h </w:instrText>
      </w:r>
      <w:r>
        <w:fldChar w:fldCharType="separate"/>
      </w:r>
      <w:r>
        <w:t>116</w:t>
      </w:r>
      <w:r>
        <w:fldChar w:fldCharType="end"/>
      </w:r>
    </w:p>
    <w:p>
      <w:pPr>
        <w:pStyle w:val="TOC8"/>
        <w:rPr>
          <w:rFonts w:asciiTheme="minorHAnsi" w:eastAsiaTheme="minorEastAsia" w:hAnsiTheme="minorHAnsi" w:cstheme="minorBidi"/>
          <w:szCs w:val="22"/>
        </w:rPr>
      </w:pPr>
      <w:r>
        <w:t>16.</w:t>
      </w:r>
      <w:r>
        <w:tab/>
        <w:t xml:space="preserve">Auditor General’s report on annual financial report </w:t>
      </w:r>
      <w:r>
        <w:rPr>
          <w:i/>
        </w:rPr>
        <w:t>(cf. Corporations Act s. 308)</w:t>
      </w:r>
      <w:r>
        <w:tab/>
      </w:r>
      <w:r>
        <w:fldChar w:fldCharType="begin"/>
      </w:r>
      <w:r>
        <w:instrText xml:space="preserve"> PAGEREF _Toc424284614 \h </w:instrText>
      </w:r>
      <w:r>
        <w:fldChar w:fldCharType="separate"/>
      </w:r>
      <w:r>
        <w:t>116</w:t>
      </w:r>
      <w:r>
        <w:fldChar w:fldCharType="end"/>
      </w:r>
    </w:p>
    <w:p>
      <w:pPr>
        <w:pStyle w:val="TOC8"/>
        <w:rPr>
          <w:rFonts w:asciiTheme="minorHAnsi" w:eastAsiaTheme="minorEastAsia" w:hAnsiTheme="minorHAnsi" w:cstheme="minorBidi"/>
          <w:szCs w:val="22"/>
        </w:rPr>
      </w:pPr>
      <w:r>
        <w:t>17.</w:t>
      </w:r>
      <w:r>
        <w:tab/>
        <w:t xml:space="preserve">Auditor General’s power to obtain information </w:t>
      </w:r>
      <w:r>
        <w:rPr>
          <w:i/>
        </w:rPr>
        <w:t>(cf. Corporations Act s. 310)</w:t>
      </w:r>
      <w:r>
        <w:tab/>
      </w:r>
      <w:r>
        <w:fldChar w:fldCharType="begin"/>
      </w:r>
      <w:r>
        <w:instrText xml:space="preserve"> PAGEREF _Toc424284615 \h </w:instrText>
      </w:r>
      <w:r>
        <w:fldChar w:fldCharType="separate"/>
      </w:r>
      <w:r>
        <w:t>117</w:t>
      </w:r>
      <w:r>
        <w:fldChar w:fldCharType="end"/>
      </w:r>
    </w:p>
    <w:p>
      <w:pPr>
        <w:pStyle w:val="TOC8"/>
        <w:rPr>
          <w:rFonts w:asciiTheme="minorHAnsi" w:eastAsiaTheme="minorEastAsia" w:hAnsiTheme="minorHAnsi" w:cstheme="minorBidi"/>
          <w:szCs w:val="22"/>
        </w:rPr>
      </w:pPr>
      <w:r>
        <w:t>18.</w:t>
      </w:r>
      <w:r>
        <w:tab/>
        <w:t xml:space="preserve">Assisting Auditor General </w:t>
      </w:r>
      <w:r>
        <w:rPr>
          <w:i/>
        </w:rPr>
        <w:t>(cf. Corporations Act s. 312)</w:t>
      </w:r>
      <w:r>
        <w:tab/>
      </w:r>
      <w:r>
        <w:fldChar w:fldCharType="begin"/>
      </w:r>
      <w:r>
        <w:instrText xml:space="preserve"> PAGEREF _Toc424284616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Subdivision 3 — Special provisions about consolidated financial statements</w:t>
      </w:r>
    </w:p>
    <w:p>
      <w:pPr>
        <w:pStyle w:val="TOC8"/>
        <w:rPr>
          <w:rFonts w:asciiTheme="minorHAnsi" w:eastAsiaTheme="minorEastAsia" w:hAnsiTheme="minorHAnsi" w:cstheme="minorBidi"/>
          <w:szCs w:val="22"/>
        </w:rPr>
      </w:pPr>
      <w:r>
        <w:t>19.</w:t>
      </w:r>
      <w:r>
        <w:tab/>
        <w:t xml:space="preserve">Directors and officers of controlled entity to give information </w:t>
      </w:r>
      <w:r>
        <w:rPr>
          <w:i/>
        </w:rPr>
        <w:t>(cf. Corporations Act s. 323)</w:t>
      </w:r>
      <w:r>
        <w:tab/>
      </w:r>
      <w:r>
        <w:fldChar w:fldCharType="begin"/>
      </w:r>
      <w:r>
        <w:instrText xml:space="preserve"> PAGEREF _Toc424284618 \h </w:instrText>
      </w:r>
      <w:r>
        <w:fldChar w:fldCharType="separate"/>
      </w:r>
      <w:r>
        <w:t>118</w:t>
      </w:r>
      <w:r>
        <w:fldChar w:fldCharType="end"/>
      </w:r>
    </w:p>
    <w:p>
      <w:pPr>
        <w:pStyle w:val="TOC8"/>
        <w:rPr>
          <w:rFonts w:asciiTheme="minorHAnsi" w:eastAsiaTheme="minorEastAsia" w:hAnsiTheme="minorHAnsi" w:cstheme="minorBidi"/>
          <w:szCs w:val="22"/>
        </w:rPr>
      </w:pPr>
      <w:r>
        <w:t>20.</w:t>
      </w:r>
      <w:r>
        <w:tab/>
        <w:t xml:space="preserve">Auditor General’s power to obtain information from controlled entity </w:t>
      </w:r>
      <w:r>
        <w:rPr>
          <w:i/>
        </w:rPr>
        <w:t>(cf. Corporations Act s. 323A)</w:t>
      </w:r>
      <w:r>
        <w:tab/>
      </w:r>
      <w:r>
        <w:fldChar w:fldCharType="begin"/>
      </w:r>
      <w:r>
        <w:instrText xml:space="preserve"> PAGEREF _Toc424284619 \h </w:instrText>
      </w:r>
      <w:r>
        <w:fldChar w:fldCharType="separate"/>
      </w:r>
      <w:r>
        <w:t>118</w:t>
      </w:r>
      <w:r>
        <w:fldChar w:fldCharType="end"/>
      </w:r>
    </w:p>
    <w:p>
      <w:pPr>
        <w:pStyle w:val="TOC8"/>
        <w:rPr>
          <w:rFonts w:asciiTheme="minorHAnsi" w:eastAsiaTheme="minorEastAsia" w:hAnsiTheme="minorHAnsi" w:cstheme="minorBidi"/>
          <w:szCs w:val="22"/>
        </w:rPr>
      </w:pPr>
      <w:r>
        <w:t>21.</w:t>
      </w:r>
      <w:r>
        <w:tab/>
        <w:t xml:space="preserve">Controlled entity to assist the Auditor General </w:t>
      </w:r>
      <w:r>
        <w:rPr>
          <w:i/>
        </w:rPr>
        <w:t>(cf. Corporations Act s. 323B)</w:t>
      </w:r>
      <w:r>
        <w:tab/>
      </w:r>
      <w:r>
        <w:fldChar w:fldCharType="begin"/>
      </w:r>
      <w:r>
        <w:instrText xml:space="preserve"> PAGEREF _Toc424284620 \h </w:instrText>
      </w:r>
      <w:r>
        <w:fldChar w:fldCharType="separate"/>
      </w:r>
      <w:r>
        <w:t>119</w:t>
      </w:r>
      <w:r>
        <w:fldChar w:fldCharType="end"/>
      </w:r>
    </w:p>
    <w:p>
      <w:pPr>
        <w:pStyle w:val="TOC8"/>
        <w:rPr>
          <w:rFonts w:asciiTheme="minorHAnsi" w:eastAsiaTheme="minorEastAsia" w:hAnsiTheme="minorHAnsi" w:cstheme="minorBidi"/>
          <w:szCs w:val="22"/>
        </w:rPr>
      </w:pPr>
      <w:r>
        <w:t>22.</w:t>
      </w:r>
      <w:r>
        <w:tab/>
        <w:t xml:space="preserve">Application of cl. 19 to 21 to entity that has ceased to be controlled </w:t>
      </w:r>
      <w:r>
        <w:rPr>
          <w:i/>
        </w:rPr>
        <w:t>(cf. Corporations Act s. 323C)</w:t>
      </w:r>
      <w:r>
        <w:tab/>
      </w:r>
      <w:r>
        <w:fldChar w:fldCharType="begin"/>
      </w:r>
      <w:r>
        <w:instrText xml:space="preserve"> PAGEREF _Toc424284621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4 — Financial years of a port authority and the entities it controls</w:t>
      </w:r>
    </w:p>
    <w:p>
      <w:pPr>
        <w:pStyle w:val="TOC8"/>
        <w:rPr>
          <w:rFonts w:asciiTheme="minorHAnsi" w:eastAsiaTheme="minorEastAsia" w:hAnsiTheme="minorHAnsi" w:cstheme="minorBidi"/>
          <w:szCs w:val="22"/>
        </w:rPr>
      </w:pPr>
      <w:r>
        <w:t>23.</w:t>
      </w:r>
      <w:r>
        <w:tab/>
        <w:t xml:space="preserve">Financial years </w:t>
      </w:r>
      <w:r>
        <w:rPr>
          <w:i/>
        </w:rPr>
        <w:t>(cf. Corporations Act s. 323D)</w:t>
      </w:r>
      <w:r>
        <w:tab/>
      </w:r>
      <w:r>
        <w:fldChar w:fldCharType="begin"/>
      </w:r>
      <w:r>
        <w:instrText xml:space="preserve"> PAGEREF _Toc424284623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4 — Accounting standards</w:t>
      </w:r>
    </w:p>
    <w:p>
      <w:pPr>
        <w:pStyle w:val="TOC8"/>
        <w:rPr>
          <w:rFonts w:asciiTheme="minorHAnsi" w:eastAsiaTheme="minorEastAsia" w:hAnsiTheme="minorHAnsi" w:cstheme="minorBidi"/>
          <w:szCs w:val="22"/>
        </w:rPr>
      </w:pPr>
      <w:r>
        <w:t>24.</w:t>
      </w:r>
      <w:r>
        <w:tab/>
        <w:t xml:space="preserve">Accounting standards </w:t>
      </w:r>
      <w:r>
        <w:rPr>
          <w:i/>
        </w:rPr>
        <w:t>(cf. Corporations Act s. 334)</w:t>
      </w:r>
      <w:r>
        <w:tab/>
      </w:r>
      <w:r>
        <w:fldChar w:fldCharType="begin"/>
      </w:r>
      <w:r>
        <w:instrText xml:space="preserve"> PAGEREF _Toc424284625 \h </w:instrText>
      </w:r>
      <w:r>
        <w:fldChar w:fldCharType="separate"/>
      </w:r>
      <w:r>
        <w:t>120</w:t>
      </w:r>
      <w:r>
        <w:fldChar w:fldCharType="end"/>
      </w:r>
    </w:p>
    <w:p>
      <w:pPr>
        <w:pStyle w:val="TOC8"/>
        <w:rPr>
          <w:rFonts w:asciiTheme="minorHAnsi" w:eastAsiaTheme="minorEastAsia" w:hAnsiTheme="minorHAnsi" w:cstheme="minorBidi"/>
          <w:szCs w:val="22"/>
        </w:rPr>
      </w:pPr>
      <w:r>
        <w:t>25.</w:t>
      </w:r>
      <w:r>
        <w:tab/>
        <w:t xml:space="preserve">Equity accounting </w:t>
      </w:r>
      <w:r>
        <w:rPr>
          <w:i/>
        </w:rPr>
        <w:t>(cf. Corporations Act s. 335)</w:t>
      </w:r>
      <w:r>
        <w:tab/>
      </w:r>
      <w:r>
        <w:fldChar w:fldCharType="begin"/>
      </w:r>
      <w:r>
        <w:instrText xml:space="preserve"> PAGEREF _Toc424284626 \h </w:instrText>
      </w:r>
      <w:r>
        <w:fldChar w:fldCharType="separate"/>
      </w:r>
      <w:r>
        <w:t>120</w:t>
      </w:r>
      <w:r>
        <w:fldChar w:fldCharType="end"/>
      </w:r>
    </w:p>
    <w:p>
      <w:pPr>
        <w:pStyle w:val="TOC8"/>
        <w:rPr>
          <w:rFonts w:asciiTheme="minorHAnsi" w:eastAsiaTheme="minorEastAsia" w:hAnsiTheme="minorHAnsi" w:cstheme="minorBidi"/>
          <w:szCs w:val="22"/>
        </w:rPr>
      </w:pPr>
      <w:r>
        <w:t>26.</w:t>
      </w:r>
      <w:r>
        <w:tab/>
        <w:t xml:space="preserve">Interpretation of accounting standards </w:t>
      </w:r>
      <w:r>
        <w:rPr>
          <w:i/>
        </w:rPr>
        <w:t>(cf. Corporations Act s. 337)</w:t>
      </w:r>
      <w:r>
        <w:tab/>
      </w:r>
      <w:r>
        <w:fldChar w:fldCharType="begin"/>
      </w:r>
      <w:r>
        <w:instrText xml:space="preserve"> PAGEREF _Toc424284627 \h </w:instrText>
      </w:r>
      <w:r>
        <w:fldChar w:fldCharType="separate"/>
      </w:r>
      <w:r>
        <w:t>120</w:t>
      </w:r>
      <w:r>
        <w:fldChar w:fldCharType="end"/>
      </w:r>
    </w:p>
    <w:p>
      <w:pPr>
        <w:pStyle w:val="TOC8"/>
        <w:rPr>
          <w:rFonts w:asciiTheme="minorHAnsi" w:eastAsiaTheme="minorEastAsia" w:hAnsiTheme="minorHAnsi" w:cstheme="minorBidi"/>
          <w:szCs w:val="22"/>
        </w:rPr>
      </w:pPr>
      <w:r>
        <w:t>27.</w:t>
      </w:r>
      <w:r>
        <w:tab/>
        <w:t>Evidence of text of accounting standard</w:t>
      </w:r>
      <w:r>
        <w:tab/>
      </w:r>
      <w:r>
        <w:fldChar w:fldCharType="begin"/>
      </w:r>
      <w:r>
        <w:instrText xml:space="preserve"> PAGEREF _Toc424284628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5 — Extension of time</w:t>
      </w:r>
    </w:p>
    <w:p>
      <w:pPr>
        <w:pStyle w:val="TOC8"/>
        <w:rPr>
          <w:rFonts w:asciiTheme="minorHAnsi" w:eastAsiaTheme="minorEastAsia" w:hAnsiTheme="minorHAnsi" w:cstheme="minorBidi"/>
          <w:szCs w:val="22"/>
        </w:rPr>
      </w:pPr>
      <w:r>
        <w:t>28.</w:t>
      </w:r>
      <w:r>
        <w:tab/>
        <w:t>Extension of time</w:t>
      </w:r>
      <w:r>
        <w:tab/>
      </w:r>
      <w:r>
        <w:fldChar w:fldCharType="begin"/>
      </w:r>
      <w:r>
        <w:instrText xml:space="preserve"> PAGEREF _Toc424284630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6 — Sanctions for contraventions of this Schedule</w:t>
      </w:r>
    </w:p>
    <w:p>
      <w:pPr>
        <w:pStyle w:val="TOC8"/>
        <w:rPr>
          <w:rFonts w:asciiTheme="minorHAnsi" w:eastAsiaTheme="minorEastAsia" w:hAnsiTheme="minorHAnsi" w:cstheme="minorBidi"/>
          <w:szCs w:val="22"/>
        </w:rPr>
      </w:pPr>
      <w:r>
        <w:t>29.</w:t>
      </w:r>
      <w:r>
        <w:tab/>
        <w:t xml:space="preserve">Contravention of Div. 2 and 3 </w:t>
      </w:r>
      <w:r>
        <w:rPr>
          <w:i/>
        </w:rPr>
        <w:t>(cf. Corporations Act s. 344)</w:t>
      </w:r>
      <w:r>
        <w:tab/>
      </w:r>
      <w:r>
        <w:fldChar w:fldCharType="begin"/>
      </w:r>
      <w:r>
        <w:instrText xml:space="preserve"> PAGEREF _Toc424284632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33.</w:t>
      </w:r>
      <w:r>
        <w:tab/>
        <w:t xml:space="preserve">Treasurer’s power to make specific exemption orders </w:t>
      </w:r>
      <w:r>
        <w:rPr>
          <w:i/>
        </w:rPr>
        <w:t>(cf. Corporations Act s. 340)</w:t>
      </w:r>
      <w:r>
        <w:tab/>
      </w:r>
      <w:r>
        <w:fldChar w:fldCharType="begin"/>
      </w:r>
      <w:r>
        <w:instrText xml:space="preserve"> PAGEREF _Toc424284634 \h </w:instrText>
      </w:r>
      <w:r>
        <w:fldChar w:fldCharType="separate"/>
      </w:r>
      <w:r>
        <w:t>122</w:t>
      </w:r>
      <w:r>
        <w:fldChar w:fldCharType="end"/>
      </w:r>
    </w:p>
    <w:p>
      <w:pPr>
        <w:pStyle w:val="TOC8"/>
        <w:rPr>
          <w:rFonts w:asciiTheme="minorHAnsi" w:eastAsiaTheme="minorEastAsia" w:hAnsiTheme="minorHAnsi" w:cstheme="minorBidi"/>
          <w:szCs w:val="22"/>
        </w:rPr>
      </w:pPr>
      <w:r>
        <w:t>33A.</w:t>
      </w:r>
      <w:r>
        <w:tab/>
        <w:t xml:space="preserve">Criteria for specific exemption orders and class orders   </w:t>
      </w:r>
      <w:r>
        <w:rPr>
          <w:i/>
        </w:rPr>
        <w:t>(cf. Corporations Act s. 342)</w:t>
      </w:r>
      <w:r>
        <w:tab/>
      </w:r>
      <w:r>
        <w:fldChar w:fldCharType="begin"/>
      </w:r>
      <w:r>
        <w:instrText xml:space="preserve"> PAGEREF _Toc424284635 \h </w:instrText>
      </w:r>
      <w:r>
        <w:fldChar w:fldCharType="separate"/>
      </w:r>
      <w:r>
        <w:t>123</w:t>
      </w:r>
      <w:r>
        <w:fldChar w:fldCharType="end"/>
      </w:r>
    </w:p>
    <w:p>
      <w:pPr>
        <w:pStyle w:val="TOC8"/>
        <w:rPr>
          <w:rFonts w:asciiTheme="minorHAnsi" w:eastAsiaTheme="minorEastAsia" w:hAnsiTheme="minorHAnsi" w:cstheme="minorBidi"/>
          <w:szCs w:val="22"/>
        </w:rPr>
      </w:pPr>
      <w:r>
        <w:t>34.</w:t>
      </w:r>
      <w:r>
        <w:tab/>
        <w:t xml:space="preserve">Deadline for reporting to Minister </w:t>
      </w:r>
      <w:r>
        <w:rPr>
          <w:i/>
        </w:rPr>
        <w:t>(cf. Corporations Act s. 315)</w:t>
      </w:r>
      <w:r>
        <w:tab/>
      </w:r>
      <w:r>
        <w:fldChar w:fldCharType="begin"/>
      </w:r>
      <w:r>
        <w:instrText xml:space="preserve"> PAGEREF _Toc424284636 \h </w:instrText>
      </w:r>
      <w:r>
        <w:fldChar w:fldCharType="separate"/>
      </w:r>
      <w:r>
        <w:t>123</w:t>
      </w:r>
      <w:r>
        <w:fldChar w:fldCharType="end"/>
      </w:r>
    </w:p>
    <w:p>
      <w:pPr>
        <w:pStyle w:val="TOC8"/>
        <w:rPr>
          <w:rFonts w:asciiTheme="minorHAnsi" w:eastAsiaTheme="minorEastAsia" w:hAnsiTheme="minorHAnsi" w:cstheme="minorBidi"/>
          <w:szCs w:val="22"/>
        </w:rPr>
      </w:pPr>
      <w:r>
        <w:t>35.</w:t>
      </w:r>
      <w:r>
        <w:tab/>
        <w:t xml:space="preserve">Annual report to Minister, content of </w:t>
      </w:r>
      <w:r>
        <w:rPr>
          <w:i/>
        </w:rPr>
        <w:t>(cf. Corporations Act s. 314)</w:t>
      </w:r>
      <w:r>
        <w:tab/>
      </w:r>
      <w:r>
        <w:fldChar w:fldCharType="begin"/>
      </w:r>
      <w:r>
        <w:instrText xml:space="preserve"> PAGEREF _Toc424284637 \h </w:instrText>
      </w:r>
      <w:r>
        <w:fldChar w:fldCharType="separate"/>
      </w:r>
      <w:r>
        <w:t>123</w:t>
      </w:r>
      <w:r>
        <w:fldChar w:fldCharType="end"/>
      </w:r>
    </w:p>
    <w:p>
      <w:pPr>
        <w:pStyle w:val="TOC8"/>
        <w:rPr>
          <w:rFonts w:asciiTheme="minorHAnsi" w:eastAsiaTheme="minorEastAsia" w:hAnsiTheme="minorHAnsi" w:cstheme="minorBidi"/>
          <w:szCs w:val="22"/>
        </w:rPr>
      </w:pPr>
      <w:r>
        <w:t>37.</w:t>
      </w:r>
      <w:r>
        <w:tab/>
        <w:t>Audit, deadline for; interim report</w:t>
      </w:r>
      <w:r>
        <w:tab/>
      </w:r>
      <w:r>
        <w:fldChar w:fldCharType="begin"/>
      </w:r>
      <w:r>
        <w:instrText xml:space="preserve"> PAGEREF _Toc424284638 \h </w:instrText>
      </w:r>
      <w:r>
        <w:fldChar w:fldCharType="separate"/>
      </w:r>
      <w:r>
        <w:t>124</w:t>
      </w:r>
      <w:r>
        <w:fldChar w:fldCharType="end"/>
      </w:r>
    </w:p>
    <w:p>
      <w:pPr>
        <w:pStyle w:val="TOC8"/>
        <w:rPr>
          <w:rFonts w:asciiTheme="minorHAnsi" w:eastAsiaTheme="minorEastAsia" w:hAnsiTheme="minorHAnsi" w:cstheme="minorBidi"/>
          <w:szCs w:val="22"/>
        </w:rPr>
      </w:pPr>
      <w:r>
        <w:t>44.</w:t>
      </w:r>
      <w:r>
        <w:tab/>
        <w:t>Auditor General, duties and powers of</w:t>
      </w:r>
      <w:r>
        <w:tab/>
      </w:r>
      <w:r>
        <w:fldChar w:fldCharType="begin"/>
      </w:r>
      <w:r>
        <w:instrText xml:space="preserve"> PAGEREF _Toc424284639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Schedule 6 — Provisions for Pilbara Ports Authority</w:t>
      </w:r>
    </w:p>
    <w:p>
      <w:pPr>
        <w:pStyle w:val="TOC4"/>
        <w:tabs>
          <w:tab w:val="right" w:leader="dot" w:pos="7077"/>
        </w:tabs>
        <w:rPr>
          <w:rFonts w:asciiTheme="minorHAnsi" w:eastAsiaTheme="minorEastAsia" w:hAnsiTheme="minorHAnsi" w:cstheme="minorBidi"/>
          <w:b w:val="0"/>
          <w:szCs w:val="22"/>
        </w:rPr>
      </w:pPr>
      <w:r>
        <w:t>Division 1 — Port of Dampier</w:t>
      </w:r>
    </w:p>
    <w:p>
      <w:pPr>
        <w:pStyle w:val="TOC8"/>
        <w:rPr>
          <w:rFonts w:asciiTheme="minorHAnsi" w:eastAsiaTheme="minorEastAsia" w:hAnsiTheme="minorHAnsi" w:cstheme="minorBidi"/>
          <w:szCs w:val="22"/>
        </w:rPr>
      </w:pPr>
      <w:r>
        <w:t>1.1</w:t>
      </w:r>
      <w:r>
        <w:rPr>
          <w:snapToGrid w:val="0"/>
        </w:rPr>
        <w:t>.</w:t>
      </w:r>
      <w:r>
        <w:rPr>
          <w:snapToGrid w:val="0"/>
        </w:rPr>
        <w:tab/>
        <w:t>Application of Division</w:t>
      </w:r>
      <w:r>
        <w:tab/>
      </w:r>
      <w:r>
        <w:fldChar w:fldCharType="begin"/>
      </w:r>
      <w:r>
        <w:instrText xml:space="preserve"> PAGEREF _Toc424284642 \h </w:instrText>
      </w:r>
      <w:r>
        <w:fldChar w:fldCharType="separate"/>
      </w:r>
      <w:r>
        <w:t>125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Terms used</w:t>
      </w:r>
      <w:r>
        <w:tab/>
      </w:r>
      <w:r>
        <w:fldChar w:fldCharType="begin"/>
      </w:r>
      <w:r>
        <w:instrText xml:space="preserve"> PAGEREF _Toc424284643 \h </w:instrText>
      </w:r>
      <w:r>
        <w:fldChar w:fldCharType="separate"/>
      </w:r>
      <w:r>
        <w:t>125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Act does not affect State agreements</w:t>
      </w:r>
      <w:r>
        <w:tab/>
      </w:r>
      <w:r>
        <w:fldChar w:fldCharType="begin"/>
      </w:r>
      <w:r>
        <w:instrText xml:space="preserve"> PAGEREF _Toc424284644 \h </w:instrText>
      </w:r>
      <w:r>
        <w:fldChar w:fldCharType="separate"/>
      </w:r>
      <w:r>
        <w:t>126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Some property excepted from s. 26(1)</w:t>
      </w:r>
      <w:r>
        <w:tab/>
      </w:r>
      <w:r>
        <w:fldChar w:fldCharType="begin"/>
      </w:r>
      <w:r>
        <w:instrText xml:space="preserve"> PAGEREF _Toc424284645 \h </w:instrText>
      </w:r>
      <w:r>
        <w:fldChar w:fldCharType="separate"/>
      </w:r>
      <w:r>
        <w:t>126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Recovery of costs from users, functions include</w:t>
      </w:r>
      <w:r>
        <w:tab/>
      </w:r>
      <w:r>
        <w:fldChar w:fldCharType="begin"/>
      </w:r>
      <w:r>
        <w:instrText xml:space="preserve"> PAGEREF _Toc424284646 \h </w:instrText>
      </w:r>
      <w:r>
        <w:fldChar w:fldCharType="separate"/>
      </w:r>
      <w:r>
        <w:t>126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Companies, Joint Venturers and Salt Company, duties of</w:t>
      </w:r>
      <w:r>
        <w:tab/>
      </w:r>
      <w:r>
        <w:fldChar w:fldCharType="begin"/>
      </w:r>
      <w:r>
        <w:instrText xml:space="preserve"> PAGEREF _Toc424284647 \h </w:instrText>
      </w:r>
      <w:r>
        <w:fldChar w:fldCharType="separate"/>
      </w:r>
      <w:r>
        <w:t>126</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Pilotage services, agreements with Companies etc. as to</w:t>
      </w:r>
      <w:r>
        <w:tab/>
      </w:r>
      <w:r>
        <w:fldChar w:fldCharType="begin"/>
      </w:r>
      <w:r>
        <w:instrText xml:space="preserve"> PAGEREF _Toc424284648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2 — Port of Port Hedland</w:t>
      </w:r>
    </w:p>
    <w:p>
      <w:pPr>
        <w:pStyle w:val="TOC8"/>
        <w:rPr>
          <w:rFonts w:asciiTheme="minorHAnsi" w:eastAsiaTheme="minorEastAsia" w:hAnsiTheme="minorHAnsi" w:cstheme="minorBidi"/>
          <w:szCs w:val="22"/>
        </w:rPr>
      </w:pPr>
      <w:r>
        <w:t>2.1</w:t>
      </w:r>
      <w:r>
        <w:rPr>
          <w:snapToGrid w:val="0"/>
        </w:rPr>
        <w:t>.</w:t>
      </w:r>
      <w:r>
        <w:rPr>
          <w:snapToGrid w:val="0"/>
        </w:rPr>
        <w:tab/>
        <w:t>Application of Division</w:t>
      </w:r>
      <w:r>
        <w:tab/>
      </w:r>
      <w:r>
        <w:fldChar w:fldCharType="begin"/>
      </w:r>
      <w:r>
        <w:instrText xml:space="preserve"> PAGEREF _Toc424284650 \h </w:instrText>
      </w:r>
      <w:r>
        <w:fldChar w:fldCharType="separate"/>
      </w:r>
      <w:r>
        <w:t>128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Act does not affect State agreements</w:t>
      </w:r>
      <w:r>
        <w:tab/>
      </w:r>
      <w:r>
        <w:fldChar w:fldCharType="begin"/>
      </w:r>
      <w:r>
        <w:instrText xml:space="preserve"> PAGEREF _Toc424284651 \h </w:instrText>
      </w:r>
      <w:r>
        <w:fldChar w:fldCharType="separate"/>
      </w:r>
      <w:r>
        <w:t>128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Port includes pilotage area for some purposes</w:t>
      </w:r>
      <w:r>
        <w:tab/>
      </w:r>
      <w:r>
        <w:fldChar w:fldCharType="begin"/>
      </w:r>
      <w:r>
        <w:instrText xml:space="preserve"> PAGEREF _Toc424284652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Schedule 7 — Purposes for which, or matters about which, regulations may be made</w:t>
      </w:r>
    </w:p>
    <w:p>
      <w:pPr>
        <w:pStyle w:val="TOC2"/>
        <w:tabs>
          <w:tab w:val="right" w:leader="dot" w:pos="7077"/>
        </w:tabs>
        <w:rPr>
          <w:rFonts w:asciiTheme="minorHAnsi" w:eastAsiaTheme="minorEastAsia" w:hAnsiTheme="minorHAnsi" w:cstheme="minorBidi"/>
          <w:b w:val="0"/>
          <w:sz w:val="22"/>
          <w:szCs w:val="22"/>
        </w:rPr>
      </w:pPr>
      <w:r>
        <w:t>Schedule 8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Provisions for </w:t>
      </w:r>
      <w:r>
        <w:rPr>
          <w:i/>
        </w:rPr>
        <w:t>Ports Legislation Amendment Act 2014</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_Toc424284657 \h </w:instrText>
      </w:r>
      <w:r>
        <w:fldChar w:fldCharType="separate"/>
      </w:r>
      <w:r>
        <w:t>134</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Provisions for the Southern Ports Authority</w:t>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_Toc424284659 \h </w:instrText>
      </w:r>
      <w:r>
        <w:fldChar w:fldCharType="separate"/>
      </w:r>
      <w:r>
        <w:t>134</w:t>
      </w:r>
      <w:r>
        <w:fldChar w:fldCharType="end"/>
      </w:r>
    </w:p>
    <w:p>
      <w:pPr>
        <w:pStyle w:val="TOC8"/>
        <w:rPr>
          <w:rFonts w:asciiTheme="minorHAnsi" w:eastAsiaTheme="minorEastAsia" w:hAnsiTheme="minorHAnsi" w:cstheme="minorBidi"/>
          <w:szCs w:val="22"/>
        </w:rPr>
      </w:pPr>
      <w:r>
        <w:t>3.</w:t>
      </w:r>
      <w:r>
        <w:tab/>
        <w:t>Merger of Albany Port Authority and Esperance Port Authority into Southern Ports Authority</w:t>
      </w:r>
      <w:r>
        <w:tab/>
      </w:r>
      <w:r>
        <w:fldChar w:fldCharType="begin"/>
      </w:r>
      <w:r>
        <w:instrText xml:space="preserve"> PAGEREF _Toc424284660 \h </w:instrText>
      </w:r>
      <w:r>
        <w:fldChar w:fldCharType="separate"/>
      </w:r>
      <w:r>
        <w:t>135</w:t>
      </w:r>
      <w:r>
        <w:fldChar w:fldCharType="end"/>
      </w:r>
    </w:p>
    <w:p>
      <w:pPr>
        <w:pStyle w:val="TOC8"/>
        <w:rPr>
          <w:rFonts w:asciiTheme="minorHAnsi" w:eastAsiaTheme="minorEastAsia" w:hAnsiTheme="minorHAnsi" w:cstheme="minorBidi"/>
          <w:szCs w:val="22"/>
        </w:rPr>
      </w:pPr>
      <w:r>
        <w:t>4.</w:t>
      </w:r>
      <w:r>
        <w:tab/>
        <w:t>Directors and former directors</w:t>
      </w:r>
      <w:r>
        <w:tab/>
      </w:r>
      <w:r>
        <w:fldChar w:fldCharType="begin"/>
      </w:r>
      <w:r>
        <w:instrText xml:space="preserve"> PAGEREF _Toc424284661 \h </w:instrText>
      </w:r>
      <w:r>
        <w:fldChar w:fldCharType="separate"/>
      </w:r>
      <w:r>
        <w:t>135</w:t>
      </w:r>
      <w:r>
        <w:fldChar w:fldCharType="end"/>
      </w:r>
    </w:p>
    <w:p>
      <w:pPr>
        <w:pStyle w:val="TOC8"/>
        <w:rPr>
          <w:rFonts w:asciiTheme="minorHAnsi" w:eastAsiaTheme="minorEastAsia" w:hAnsiTheme="minorHAnsi" w:cstheme="minorBidi"/>
          <w:szCs w:val="22"/>
        </w:rPr>
      </w:pPr>
      <w:r>
        <w:t>5.</w:t>
      </w:r>
      <w:r>
        <w:tab/>
        <w:t>Powers of new board in anticipation of merger</w:t>
      </w:r>
      <w:r>
        <w:tab/>
      </w:r>
      <w:r>
        <w:fldChar w:fldCharType="begin"/>
      </w:r>
      <w:r>
        <w:instrText xml:space="preserve"> PAGEREF _Toc424284662 \h </w:instrText>
      </w:r>
      <w:r>
        <w:fldChar w:fldCharType="separate"/>
      </w:r>
      <w:r>
        <w:t>136</w:t>
      </w:r>
      <w:r>
        <w:fldChar w:fldCharType="end"/>
      </w:r>
    </w:p>
    <w:p>
      <w:pPr>
        <w:pStyle w:val="TOC8"/>
        <w:rPr>
          <w:rFonts w:asciiTheme="minorHAnsi" w:eastAsiaTheme="minorEastAsia" w:hAnsiTheme="minorHAnsi" w:cstheme="minorBidi"/>
          <w:szCs w:val="22"/>
        </w:rPr>
      </w:pPr>
      <w:r>
        <w:t>6.</w:t>
      </w:r>
      <w:r>
        <w:tab/>
        <w:t>CEOs and members of staff</w:t>
      </w:r>
      <w:r>
        <w:tab/>
      </w:r>
      <w:r>
        <w:fldChar w:fldCharType="begin"/>
      </w:r>
      <w:r>
        <w:instrText xml:space="preserve"> PAGEREF _Toc424284663 \h </w:instrText>
      </w:r>
      <w:r>
        <w:fldChar w:fldCharType="separate"/>
      </w:r>
      <w:r>
        <w:t>136</w:t>
      </w:r>
      <w:r>
        <w:fldChar w:fldCharType="end"/>
      </w:r>
    </w:p>
    <w:p>
      <w:pPr>
        <w:pStyle w:val="TOC8"/>
        <w:rPr>
          <w:rFonts w:asciiTheme="minorHAnsi" w:eastAsiaTheme="minorEastAsia" w:hAnsiTheme="minorHAnsi" w:cstheme="minorBidi"/>
          <w:szCs w:val="22"/>
        </w:rPr>
      </w:pPr>
      <w:r>
        <w:t>7.</w:t>
      </w:r>
      <w:r>
        <w:tab/>
        <w:t>Preservation of rights</w:t>
      </w:r>
      <w:r>
        <w:tab/>
      </w:r>
      <w:r>
        <w:fldChar w:fldCharType="begin"/>
      </w:r>
      <w:r>
        <w:instrText xml:space="preserve"> PAGEREF _Toc424284664 \h </w:instrText>
      </w:r>
      <w:r>
        <w:fldChar w:fldCharType="separate"/>
      </w:r>
      <w:r>
        <w:t>137</w:t>
      </w:r>
      <w:r>
        <w:fldChar w:fldCharType="end"/>
      </w:r>
    </w:p>
    <w:p>
      <w:pPr>
        <w:pStyle w:val="TOC8"/>
        <w:rPr>
          <w:rFonts w:asciiTheme="minorHAnsi" w:eastAsiaTheme="minorEastAsia" w:hAnsiTheme="minorHAnsi" w:cstheme="minorBidi"/>
          <w:szCs w:val="22"/>
        </w:rPr>
      </w:pPr>
      <w:r>
        <w:t>8.</w:t>
      </w:r>
      <w:r>
        <w:tab/>
        <w:t>Devolution of assets, liabilities, proceedings, remedies and immunities</w:t>
      </w:r>
      <w:r>
        <w:tab/>
      </w:r>
      <w:r>
        <w:fldChar w:fldCharType="begin"/>
      </w:r>
      <w:r>
        <w:instrText xml:space="preserve"> PAGEREF _Toc424284665 \h </w:instrText>
      </w:r>
      <w:r>
        <w:fldChar w:fldCharType="separate"/>
      </w:r>
      <w:r>
        <w:t>138</w:t>
      </w:r>
      <w:r>
        <w:fldChar w:fldCharType="end"/>
      </w:r>
    </w:p>
    <w:p>
      <w:pPr>
        <w:pStyle w:val="TOC8"/>
        <w:rPr>
          <w:rFonts w:asciiTheme="minorHAnsi" w:eastAsiaTheme="minorEastAsia" w:hAnsiTheme="minorHAnsi" w:cstheme="minorBidi"/>
          <w:szCs w:val="22"/>
        </w:rPr>
      </w:pPr>
      <w:r>
        <w:t>9.</w:t>
      </w:r>
      <w:r>
        <w:tab/>
        <w:t>Completion of things commenced</w:t>
      </w:r>
      <w:r>
        <w:tab/>
      </w:r>
      <w:r>
        <w:fldChar w:fldCharType="begin"/>
      </w:r>
      <w:r>
        <w:instrText xml:space="preserve"> PAGEREF _Toc424284666 \h </w:instrText>
      </w:r>
      <w:r>
        <w:fldChar w:fldCharType="separate"/>
      </w:r>
      <w:r>
        <w:t>139</w:t>
      </w:r>
      <w:r>
        <w:fldChar w:fldCharType="end"/>
      </w:r>
    </w:p>
    <w:p>
      <w:pPr>
        <w:pStyle w:val="TOC8"/>
        <w:rPr>
          <w:rFonts w:asciiTheme="minorHAnsi" w:eastAsiaTheme="minorEastAsia" w:hAnsiTheme="minorHAnsi" w:cstheme="minorBidi"/>
          <w:szCs w:val="22"/>
        </w:rPr>
      </w:pPr>
      <w:r>
        <w:t>10.</w:t>
      </w:r>
      <w:r>
        <w:tab/>
        <w:t>Continuing effect of things done</w:t>
      </w:r>
      <w:r>
        <w:tab/>
      </w:r>
      <w:r>
        <w:fldChar w:fldCharType="begin"/>
      </w:r>
      <w:r>
        <w:instrText xml:space="preserve"> PAGEREF _Toc424284667 \h </w:instrText>
      </w:r>
      <w:r>
        <w:fldChar w:fldCharType="separate"/>
      </w:r>
      <w:r>
        <w:t>139</w:t>
      </w:r>
      <w:r>
        <w:fldChar w:fldCharType="end"/>
      </w:r>
    </w:p>
    <w:p>
      <w:pPr>
        <w:pStyle w:val="TOC8"/>
        <w:rPr>
          <w:rFonts w:asciiTheme="minorHAnsi" w:eastAsiaTheme="minorEastAsia" w:hAnsiTheme="minorHAnsi" w:cstheme="minorBidi"/>
          <w:szCs w:val="22"/>
        </w:rPr>
      </w:pPr>
      <w:r>
        <w:t>11.</w:t>
      </w:r>
      <w:r>
        <w:tab/>
        <w:t>Agreements, instruments and documents</w:t>
      </w:r>
      <w:r>
        <w:tab/>
      </w:r>
      <w:r>
        <w:fldChar w:fldCharType="begin"/>
      </w:r>
      <w:r>
        <w:instrText xml:space="preserve"> PAGEREF _Toc424284668 \h </w:instrText>
      </w:r>
      <w:r>
        <w:fldChar w:fldCharType="separate"/>
      </w:r>
      <w:r>
        <w:t>139</w:t>
      </w:r>
      <w:r>
        <w:fldChar w:fldCharType="end"/>
      </w:r>
    </w:p>
    <w:p>
      <w:pPr>
        <w:pStyle w:val="TOC8"/>
        <w:rPr>
          <w:rFonts w:asciiTheme="minorHAnsi" w:eastAsiaTheme="minorEastAsia" w:hAnsiTheme="minorHAnsi" w:cstheme="minorBidi"/>
          <w:szCs w:val="22"/>
        </w:rPr>
      </w:pPr>
      <w:r>
        <w:t>12.</w:t>
      </w:r>
      <w:r>
        <w:tab/>
        <w:t>Port authorities to implement or facilitate merger and share costs</w:t>
      </w:r>
      <w:r>
        <w:tab/>
      </w:r>
      <w:r>
        <w:fldChar w:fldCharType="begin"/>
      </w:r>
      <w:r>
        <w:instrText xml:space="preserve"> PAGEREF _Toc424284669 \h </w:instrText>
      </w:r>
      <w:r>
        <w:fldChar w:fldCharType="separate"/>
      </w:r>
      <w:r>
        <w:t>140</w:t>
      </w:r>
      <w:r>
        <w:fldChar w:fldCharType="end"/>
      </w:r>
    </w:p>
    <w:p>
      <w:pPr>
        <w:pStyle w:val="TOC8"/>
        <w:rPr>
          <w:rFonts w:asciiTheme="minorHAnsi" w:eastAsiaTheme="minorEastAsia" w:hAnsiTheme="minorHAnsi" w:cstheme="minorBidi"/>
          <w:szCs w:val="22"/>
        </w:rPr>
      </w:pPr>
      <w:r>
        <w:t>13.</w:t>
      </w:r>
      <w:r>
        <w:tab/>
        <w:t>Financial reporting</w:t>
      </w:r>
      <w:r>
        <w:tab/>
      </w:r>
      <w:r>
        <w:fldChar w:fldCharType="begin"/>
      </w:r>
      <w:r>
        <w:instrText xml:space="preserve"> PAGEREF _Toc424284670 \h </w:instrText>
      </w:r>
      <w:r>
        <w:fldChar w:fldCharType="separate"/>
      </w:r>
      <w:r>
        <w:t>142</w:t>
      </w:r>
      <w:r>
        <w:fldChar w:fldCharType="end"/>
      </w:r>
    </w:p>
    <w:p>
      <w:pPr>
        <w:pStyle w:val="TOC8"/>
        <w:rPr>
          <w:rFonts w:asciiTheme="minorHAnsi" w:eastAsiaTheme="minorEastAsia" w:hAnsiTheme="minorHAnsi" w:cstheme="minorBidi"/>
          <w:szCs w:val="22"/>
        </w:rPr>
      </w:pPr>
      <w:r>
        <w:t>14.</w:t>
      </w:r>
      <w:r>
        <w:tab/>
        <w:t>Dividends</w:t>
      </w:r>
      <w:r>
        <w:tab/>
      </w:r>
      <w:r>
        <w:fldChar w:fldCharType="begin"/>
      </w:r>
      <w:r>
        <w:instrText xml:space="preserve"> PAGEREF _Toc424284671 \h </w:instrText>
      </w:r>
      <w:r>
        <w:fldChar w:fldCharType="separate"/>
      </w:r>
      <w:r>
        <w:t>144</w:t>
      </w:r>
      <w:r>
        <w:fldChar w:fldCharType="end"/>
      </w:r>
    </w:p>
    <w:p>
      <w:pPr>
        <w:pStyle w:val="TOC8"/>
        <w:rPr>
          <w:rFonts w:asciiTheme="minorHAnsi" w:eastAsiaTheme="minorEastAsia" w:hAnsiTheme="minorHAnsi" w:cstheme="minorBidi"/>
          <w:szCs w:val="22"/>
        </w:rPr>
      </w:pPr>
      <w:r>
        <w:t>15.</w:t>
      </w:r>
      <w:r>
        <w:tab/>
        <w:t>Transitional regulations</w:t>
      </w:r>
      <w:r>
        <w:tab/>
      </w:r>
      <w:r>
        <w:fldChar w:fldCharType="begin"/>
      </w:r>
      <w:r>
        <w:instrText xml:space="preserve"> PAGEREF _Toc424284672 \h </w:instrText>
      </w:r>
      <w:r>
        <w:fldChar w:fldCharType="separate"/>
      </w:r>
      <w:r>
        <w:t>144</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Provisions for the Mid West Ports Authority</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_Toc424284674 \h </w:instrText>
      </w:r>
      <w:r>
        <w:fldChar w:fldCharType="separate"/>
      </w:r>
      <w:r>
        <w:t>145</w:t>
      </w:r>
      <w:r>
        <w:fldChar w:fldCharType="end"/>
      </w:r>
    </w:p>
    <w:p>
      <w:pPr>
        <w:pStyle w:val="TOC8"/>
        <w:rPr>
          <w:rFonts w:asciiTheme="minorHAnsi" w:eastAsiaTheme="minorEastAsia" w:hAnsiTheme="minorHAnsi" w:cstheme="minorBidi"/>
          <w:szCs w:val="22"/>
        </w:rPr>
      </w:pPr>
      <w:r>
        <w:t>17.</w:t>
      </w:r>
      <w:r>
        <w:tab/>
        <w:t>Directors and former directors</w:t>
      </w:r>
      <w:r>
        <w:tab/>
      </w:r>
      <w:r>
        <w:fldChar w:fldCharType="begin"/>
      </w:r>
      <w:r>
        <w:instrText xml:space="preserve"> PAGEREF _Toc424284675 \h </w:instrText>
      </w:r>
      <w:r>
        <w:fldChar w:fldCharType="separate"/>
      </w:r>
      <w:r>
        <w:t>145</w:t>
      </w:r>
      <w:r>
        <w:fldChar w:fldCharType="end"/>
      </w:r>
    </w:p>
    <w:p>
      <w:pPr>
        <w:pStyle w:val="TOC8"/>
        <w:rPr>
          <w:rFonts w:asciiTheme="minorHAnsi" w:eastAsiaTheme="minorEastAsia" w:hAnsiTheme="minorHAnsi" w:cstheme="minorBidi"/>
          <w:szCs w:val="22"/>
        </w:rPr>
      </w:pPr>
      <w:r>
        <w:t>18.</w:t>
      </w:r>
      <w:r>
        <w:tab/>
        <w:t>Powers of new board in anticipation of renaming</w:t>
      </w:r>
      <w:r>
        <w:tab/>
      </w:r>
      <w:r>
        <w:fldChar w:fldCharType="begin"/>
      </w:r>
      <w:r>
        <w:instrText xml:space="preserve"> PAGEREF _Toc424284676 \h </w:instrText>
      </w:r>
      <w:r>
        <w:fldChar w:fldCharType="separate"/>
      </w:r>
      <w:r>
        <w:t>146</w:t>
      </w:r>
      <w:r>
        <w:fldChar w:fldCharType="end"/>
      </w:r>
    </w:p>
    <w:p>
      <w:pPr>
        <w:pStyle w:val="TOC8"/>
        <w:rPr>
          <w:rFonts w:asciiTheme="minorHAnsi" w:eastAsiaTheme="minorEastAsia" w:hAnsiTheme="minorHAnsi" w:cstheme="minorBidi"/>
          <w:szCs w:val="22"/>
        </w:rPr>
      </w:pPr>
      <w:r>
        <w:t>19.</w:t>
      </w:r>
      <w:r>
        <w:tab/>
        <w:t>CEO and staff</w:t>
      </w:r>
      <w:r>
        <w:tab/>
      </w:r>
      <w:r>
        <w:fldChar w:fldCharType="begin"/>
      </w:r>
      <w:r>
        <w:instrText xml:space="preserve"> PAGEREF _Toc424284677 \h </w:instrText>
      </w:r>
      <w:r>
        <w:fldChar w:fldCharType="separate"/>
      </w:r>
      <w:r>
        <w:t>146</w:t>
      </w:r>
      <w:r>
        <w:fldChar w:fldCharType="end"/>
      </w:r>
    </w:p>
    <w:p>
      <w:pPr>
        <w:pStyle w:val="TOC8"/>
        <w:rPr>
          <w:rFonts w:asciiTheme="minorHAnsi" w:eastAsiaTheme="minorEastAsia" w:hAnsiTheme="minorHAnsi" w:cstheme="minorBidi"/>
          <w:szCs w:val="22"/>
        </w:rPr>
      </w:pPr>
      <w:r>
        <w:t>20.</w:t>
      </w:r>
      <w:r>
        <w:tab/>
        <w:t>Agreements, instruments and documents</w:t>
      </w:r>
      <w:r>
        <w:tab/>
      </w:r>
      <w:r>
        <w:fldChar w:fldCharType="begin"/>
      </w:r>
      <w:r>
        <w:instrText xml:space="preserve"> PAGEREF _Toc424284678 \h </w:instrText>
      </w:r>
      <w:r>
        <w:fldChar w:fldCharType="separate"/>
      </w:r>
      <w:r>
        <w:t>147</w:t>
      </w:r>
      <w:r>
        <w:fldChar w:fldCharType="end"/>
      </w:r>
    </w:p>
    <w:p>
      <w:pPr>
        <w:pStyle w:val="TOC8"/>
        <w:rPr>
          <w:rFonts w:asciiTheme="minorHAnsi" w:eastAsiaTheme="minorEastAsia" w:hAnsiTheme="minorHAnsi" w:cstheme="minorBidi"/>
          <w:szCs w:val="22"/>
        </w:rPr>
      </w:pPr>
      <w:r>
        <w:t>21.</w:t>
      </w:r>
      <w:r>
        <w:tab/>
        <w:t>Port authority to implement or facilitate renaming</w:t>
      </w:r>
      <w:r>
        <w:tab/>
      </w:r>
      <w:r>
        <w:fldChar w:fldCharType="begin"/>
      </w:r>
      <w:r>
        <w:instrText xml:space="preserve"> PAGEREF _Toc424284679 \h </w:instrText>
      </w:r>
      <w:r>
        <w:fldChar w:fldCharType="separate"/>
      </w:r>
      <w:r>
        <w:t>148</w:t>
      </w:r>
      <w:r>
        <w:fldChar w:fldCharType="end"/>
      </w:r>
    </w:p>
    <w:p>
      <w:pPr>
        <w:pStyle w:val="TOC8"/>
        <w:rPr>
          <w:rFonts w:asciiTheme="minorHAnsi" w:eastAsiaTheme="minorEastAsia" w:hAnsiTheme="minorHAnsi" w:cstheme="minorBidi"/>
          <w:szCs w:val="22"/>
        </w:rPr>
      </w:pPr>
      <w:r>
        <w:t>22.</w:t>
      </w:r>
      <w:r>
        <w:tab/>
        <w:t>Transitional regulations</w:t>
      </w:r>
      <w:r>
        <w:tab/>
      </w:r>
      <w:r>
        <w:fldChar w:fldCharType="begin"/>
      </w:r>
      <w:r>
        <w:instrText xml:space="preserve"> PAGEREF _Toc424284680 \h </w:instrText>
      </w:r>
      <w:r>
        <w:fldChar w:fldCharType="separate"/>
      </w:r>
      <w:r>
        <w:t>148</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Provisions for the Pilbara Ports Authority</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_Toc424284682 \h </w:instrText>
      </w:r>
      <w:r>
        <w:fldChar w:fldCharType="separate"/>
      </w:r>
      <w:r>
        <w:t>149</w:t>
      </w:r>
      <w:r>
        <w:fldChar w:fldCharType="end"/>
      </w:r>
    </w:p>
    <w:p>
      <w:pPr>
        <w:pStyle w:val="TOC8"/>
        <w:rPr>
          <w:rFonts w:asciiTheme="minorHAnsi" w:eastAsiaTheme="minorEastAsia" w:hAnsiTheme="minorHAnsi" w:cstheme="minorBidi"/>
          <w:szCs w:val="22"/>
        </w:rPr>
      </w:pPr>
      <w:r>
        <w:t>24.</w:t>
      </w:r>
      <w:r>
        <w:tab/>
        <w:t>Merger of Dampier Port Authority into Pilbara Ports Authority</w:t>
      </w:r>
      <w:r>
        <w:tab/>
      </w:r>
      <w:r>
        <w:fldChar w:fldCharType="begin"/>
      </w:r>
      <w:r>
        <w:instrText xml:space="preserve"> PAGEREF _Toc424284683 \h </w:instrText>
      </w:r>
      <w:r>
        <w:fldChar w:fldCharType="separate"/>
      </w:r>
      <w:r>
        <w:t>150</w:t>
      </w:r>
      <w:r>
        <w:fldChar w:fldCharType="end"/>
      </w:r>
    </w:p>
    <w:p>
      <w:pPr>
        <w:pStyle w:val="TOC8"/>
        <w:rPr>
          <w:rFonts w:asciiTheme="minorHAnsi" w:eastAsiaTheme="minorEastAsia" w:hAnsiTheme="minorHAnsi" w:cstheme="minorBidi"/>
          <w:szCs w:val="22"/>
        </w:rPr>
      </w:pPr>
      <w:r>
        <w:t>25.</w:t>
      </w:r>
      <w:r>
        <w:tab/>
        <w:t>Directors and former directors</w:t>
      </w:r>
      <w:r>
        <w:tab/>
      </w:r>
      <w:r>
        <w:fldChar w:fldCharType="begin"/>
      </w:r>
      <w:r>
        <w:instrText xml:space="preserve"> PAGEREF _Toc424284684 \h </w:instrText>
      </w:r>
      <w:r>
        <w:fldChar w:fldCharType="separate"/>
      </w:r>
      <w:r>
        <w:t>150</w:t>
      </w:r>
      <w:r>
        <w:fldChar w:fldCharType="end"/>
      </w:r>
    </w:p>
    <w:p>
      <w:pPr>
        <w:pStyle w:val="TOC8"/>
        <w:rPr>
          <w:rFonts w:asciiTheme="minorHAnsi" w:eastAsiaTheme="minorEastAsia" w:hAnsiTheme="minorHAnsi" w:cstheme="minorBidi"/>
          <w:szCs w:val="22"/>
        </w:rPr>
      </w:pPr>
      <w:r>
        <w:t>26.</w:t>
      </w:r>
      <w:r>
        <w:tab/>
        <w:t>Powers of new board in anticipation of merger</w:t>
      </w:r>
      <w:r>
        <w:tab/>
      </w:r>
      <w:r>
        <w:fldChar w:fldCharType="begin"/>
      </w:r>
      <w:r>
        <w:instrText xml:space="preserve"> PAGEREF _Toc424284685 \h </w:instrText>
      </w:r>
      <w:r>
        <w:fldChar w:fldCharType="separate"/>
      </w:r>
      <w:r>
        <w:t>150</w:t>
      </w:r>
      <w:r>
        <w:fldChar w:fldCharType="end"/>
      </w:r>
    </w:p>
    <w:p>
      <w:pPr>
        <w:pStyle w:val="TOC8"/>
        <w:rPr>
          <w:rFonts w:asciiTheme="minorHAnsi" w:eastAsiaTheme="minorEastAsia" w:hAnsiTheme="minorHAnsi" w:cstheme="minorBidi"/>
          <w:szCs w:val="22"/>
        </w:rPr>
      </w:pPr>
      <w:r>
        <w:t>27.</w:t>
      </w:r>
      <w:r>
        <w:tab/>
        <w:t>CEOs and members of staff</w:t>
      </w:r>
      <w:r>
        <w:tab/>
      </w:r>
      <w:r>
        <w:fldChar w:fldCharType="begin"/>
      </w:r>
      <w:r>
        <w:instrText xml:space="preserve"> PAGEREF _Toc424284686 \h </w:instrText>
      </w:r>
      <w:r>
        <w:fldChar w:fldCharType="separate"/>
      </w:r>
      <w:r>
        <w:t>151</w:t>
      </w:r>
      <w:r>
        <w:fldChar w:fldCharType="end"/>
      </w:r>
    </w:p>
    <w:p>
      <w:pPr>
        <w:pStyle w:val="TOC8"/>
        <w:rPr>
          <w:rFonts w:asciiTheme="minorHAnsi" w:eastAsiaTheme="minorEastAsia" w:hAnsiTheme="minorHAnsi" w:cstheme="minorBidi"/>
          <w:szCs w:val="22"/>
        </w:rPr>
      </w:pPr>
      <w:r>
        <w:t>28.</w:t>
      </w:r>
      <w:r>
        <w:tab/>
        <w:t>Preservation of rights</w:t>
      </w:r>
      <w:r>
        <w:tab/>
      </w:r>
      <w:r>
        <w:fldChar w:fldCharType="begin"/>
      </w:r>
      <w:r>
        <w:instrText xml:space="preserve"> PAGEREF _Toc424284687 \h </w:instrText>
      </w:r>
      <w:r>
        <w:fldChar w:fldCharType="separate"/>
      </w:r>
      <w:r>
        <w:t>152</w:t>
      </w:r>
      <w:r>
        <w:fldChar w:fldCharType="end"/>
      </w:r>
    </w:p>
    <w:p>
      <w:pPr>
        <w:pStyle w:val="TOC8"/>
        <w:rPr>
          <w:rFonts w:asciiTheme="minorHAnsi" w:eastAsiaTheme="minorEastAsia" w:hAnsiTheme="minorHAnsi" w:cstheme="minorBidi"/>
          <w:szCs w:val="22"/>
        </w:rPr>
      </w:pPr>
      <w:r>
        <w:t>29.</w:t>
      </w:r>
      <w:r>
        <w:tab/>
        <w:t>Devolution of assets, liabilities, proceedings, remedies and immunities</w:t>
      </w:r>
      <w:r>
        <w:tab/>
      </w:r>
      <w:r>
        <w:fldChar w:fldCharType="begin"/>
      </w:r>
      <w:r>
        <w:instrText xml:space="preserve"> PAGEREF _Toc424284688 \h </w:instrText>
      </w:r>
      <w:r>
        <w:fldChar w:fldCharType="separate"/>
      </w:r>
      <w:r>
        <w:t>152</w:t>
      </w:r>
      <w:r>
        <w:fldChar w:fldCharType="end"/>
      </w:r>
    </w:p>
    <w:p>
      <w:pPr>
        <w:pStyle w:val="TOC8"/>
        <w:rPr>
          <w:rFonts w:asciiTheme="minorHAnsi" w:eastAsiaTheme="minorEastAsia" w:hAnsiTheme="minorHAnsi" w:cstheme="minorBidi"/>
          <w:szCs w:val="22"/>
        </w:rPr>
      </w:pPr>
      <w:r>
        <w:t>30.</w:t>
      </w:r>
      <w:r>
        <w:tab/>
        <w:t>Completion of things commenced</w:t>
      </w:r>
      <w:r>
        <w:tab/>
      </w:r>
      <w:r>
        <w:fldChar w:fldCharType="begin"/>
      </w:r>
      <w:r>
        <w:instrText xml:space="preserve"> PAGEREF _Toc424284689 \h </w:instrText>
      </w:r>
      <w:r>
        <w:fldChar w:fldCharType="separate"/>
      </w:r>
      <w:r>
        <w:t>153</w:t>
      </w:r>
      <w:r>
        <w:fldChar w:fldCharType="end"/>
      </w:r>
    </w:p>
    <w:p>
      <w:pPr>
        <w:pStyle w:val="TOC8"/>
        <w:rPr>
          <w:rFonts w:asciiTheme="minorHAnsi" w:eastAsiaTheme="minorEastAsia" w:hAnsiTheme="minorHAnsi" w:cstheme="minorBidi"/>
          <w:szCs w:val="22"/>
        </w:rPr>
      </w:pPr>
      <w:r>
        <w:t>31.</w:t>
      </w:r>
      <w:r>
        <w:tab/>
        <w:t>Continuing effect of things done</w:t>
      </w:r>
      <w:r>
        <w:tab/>
      </w:r>
      <w:r>
        <w:fldChar w:fldCharType="begin"/>
      </w:r>
      <w:r>
        <w:instrText xml:space="preserve"> PAGEREF _Toc424284690 \h </w:instrText>
      </w:r>
      <w:r>
        <w:fldChar w:fldCharType="separate"/>
      </w:r>
      <w:r>
        <w:t>153</w:t>
      </w:r>
      <w:r>
        <w:fldChar w:fldCharType="end"/>
      </w:r>
    </w:p>
    <w:p>
      <w:pPr>
        <w:pStyle w:val="TOC8"/>
        <w:rPr>
          <w:rFonts w:asciiTheme="minorHAnsi" w:eastAsiaTheme="minorEastAsia" w:hAnsiTheme="minorHAnsi" w:cstheme="minorBidi"/>
          <w:szCs w:val="22"/>
        </w:rPr>
      </w:pPr>
      <w:r>
        <w:t>32.</w:t>
      </w:r>
      <w:r>
        <w:tab/>
        <w:t>Agreements, instruments and documents</w:t>
      </w:r>
      <w:r>
        <w:tab/>
      </w:r>
      <w:r>
        <w:fldChar w:fldCharType="begin"/>
      </w:r>
      <w:r>
        <w:instrText xml:space="preserve"> PAGEREF _Toc424284691 \h </w:instrText>
      </w:r>
      <w:r>
        <w:fldChar w:fldCharType="separate"/>
      </w:r>
      <w:r>
        <w:t>154</w:t>
      </w:r>
      <w:r>
        <w:fldChar w:fldCharType="end"/>
      </w:r>
    </w:p>
    <w:p>
      <w:pPr>
        <w:pStyle w:val="TOC8"/>
        <w:rPr>
          <w:rFonts w:asciiTheme="minorHAnsi" w:eastAsiaTheme="minorEastAsia" w:hAnsiTheme="minorHAnsi" w:cstheme="minorBidi"/>
          <w:szCs w:val="22"/>
        </w:rPr>
      </w:pPr>
      <w:r>
        <w:t>33.</w:t>
      </w:r>
      <w:r>
        <w:tab/>
        <w:t>Port authorities to implement or facilitate merger and share costs</w:t>
      </w:r>
      <w:r>
        <w:tab/>
      </w:r>
      <w:r>
        <w:fldChar w:fldCharType="begin"/>
      </w:r>
      <w:r>
        <w:instrText xml:space="preserve"> PAGEREF _Toc424284692 \h </w:instrText>
      </w:r>
      <w:r>
        <w:fldChar w:fldCharType="separate"/>
      </w:r>
      <w:r>
        <w:t>155</w:t>
      </w:r>
      <w:r>
        <w:fldChar w:fldCharType="end"/>
      </w:r>
    </w:p>
    <w:p>
      <w:pPr>
        <w:pStyle w:val="TOC8"/>
        <w:rPr>
          <w:rFonts w:asciiTheme="minorHAnsi" w:eastAsiaTheme="minorEastAsia" w:hAnsiTheme="minorHAnsi" w:cstheme="minorBidi"/>
          <w:szCs w:val="22"/>
        </w:rPr>
      </w:pPr>
      <w:r>
        <w:t>34.</w:t>
      </w:r>
      <w:r>
        <w:tab/>
        <w:t>Financial reporting</w:t>
      </w:r>
      <w:r>
        <w:tab/>
      </w:r>
      <w:r>
        <w:fldChar w:fldCharType="begin"/>
      </w:r>
      <w:r>
        <w:instrText xml:space="preserve"> PAGEREF _Toc424284693 \h </w:instrText>
      </w:r>
      <w:r>
        <w:fldChar w:fldCharType="separate"/>
      </w:r>
      <w:r>
        <w:t>156</w:t>
      </w:r>
      <w:r>
        <w:fldChar w:fldCharType="end"/>
      </w:r>
    </w:p>
    <w:p>
      <w:pPr>
        <w:pStyle w:val="TOC8"/>
        <w:rPr>
          <w:rFonts w:asciiTheme="minorHAnsi" w:eastAsiaTheme="minorEastAsia" w:hAnsiTheme="minorHAnsi" w:cstheme="minorBidi"/>
          <w:szCs w:val="22"/>
        </w:rPr>
      </w:pPr>
      <w:r>
        <w:t>35.</w:t>
      </w:r>
      <w:r>
        <w:tab/>
        <w:t>Dividends</w:t>
      </w:r>
      <w:r>
        <w:tab/>
      </w:r>
      <w:r>
        <w:fldChar w:fldCharType="begin"/>
      </w:r>
      <w:r>
        <w:instrText xml:space="preserve"> PAGEREF _Toc424284694 \h </w:instrText>
      </w:r>
      <w:r>
        <w:fldChar w:fldCharType="separate"/>
      </w:r>
      <w:r>
        <w:t>158</w:t>
      </w:r>
      <w:r>
        <w:fldChar w:fldCharType="end"/>
      </w:r>
    </w:p>
    <w:p>
      <w:pPr>
        <w:pStyle w:val="TOC8"/>
        <w:rPr>
          <w:rFonts w:asciiTheme="minorHAnsi" w:eastAsiaTheme="minorEastAsia" w:hAnsiTheme="minorHAnsi" w:cstheme="minorBidi"/>
          <w:szCs w:val="22"/>
        </w:rPr>
      </w:pPr>
      <w:r>
        <w:t>36.</w:t>
      </w:r>
      <w:r>
        <w:tab/>
        <w:t>Transitional regulations</w:t>
      </w:r>
      <w:r>
        <w:tab/>
      </w:r>
      <w:r>
        <w:fldChar w:fldCharType="begin"/>
      </w:r>
      <w:r>
        <w:instrText xml:space="preserve"> PAGEREF _Toc424284695 \h </w:instrText>
      </w:r>
      <w:r>
        <w:fldChar w:fldCharType="separate"/>
      </w:r>
      <w:r>
        <w:t>159</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Provisions for the Kimberley Ports Authority</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_Toc424284697 \h </w:instrText>
      </w:r>
      <w:r>
        <w:fldChar w:fldCharType="separate"/>
      </w:r>
      <w:r>
        <w:t>159</w:t>
      </w:r>
      <w:r>
        <w:fldChar w:fldCharType="end"/>
      </w:r>
    </w:p>
    <w:p>
      <w:pPr>
        <w:pStyle w:val="TOC8"/>
        <w:rPr>
          <w:rFonts w:asciiTheme="minorHAnsi" w:eastAsiaTheme="minorEastAsia" w:hAnsiTheme="minorHAnsi" w:cstheme="minorBidi"/>
          <w:szCs w:val="22"/>
        </w:rPr>
      </w:pPr>
      <w:r>
        <w:t>38.</w:t>
      </w:r>
      <w:r>
        <w:tab/>
        <w:t>Directors and former directors</w:t>
      </w:r>
      <w:r>
        <w:tab/>
      </w:r>
      <w:r>
        <w:fldChar w:fldCharType="begin"/>
      </w:r>
      <w:r>
        <w:instrText xml:space="preserve"> PAGEREF _Toc424284698 \h </w:instrText>
      </w:r>
      <w:r>
        <w:fldChar w:fldCharType="separate"/>
      </w:r>
      <w:r>
        <w:t>160</w:t>
      </w:r>
      <w:r>
        <w:fldChar w:fldCharType="end"/>
      </w:r>
    </w:p>
    <w:p>
      <w:pPr>
        <w:pStyle w:val="TOC8"/>
        <w:rPr>
          <w:rFonts w:asciiTheme="minorHAnsi" w:eastAsiaTheme="minorEastAsia" w:hAnsiTheme="minorHAnsi" w:cstheme="minorBidi"/>
          <w:szCs w:val="22"/>
        </w:rPr>
      </w:pPr>
      <w:r>
        <w:t>39.</w:t>
      </w:r>
      <w:r>
        <w:tab/>
        <w:t>Powers of new board in anticipation of renaming</w:t>
      </w:r>
      <w:r>
        <w:tab/>
      </w:r>
      <w:r>
        <w:fldChar w:fldCharType="begin"/>
      </w:r>
      <w:r>
        <w:instrText xml:space="preserve"> PAGEREF _Toc424284699 \h </w:instrText>
      </w:r>
      <w:r>
        <w:fldChar w:fldCharType="separate"/>
      </w:r>
      <w:r>
        <w:t>160</w:t>
      </w:r>
      <w:r>
        <w:fldChar w:fldCharType="end"/>
      </w:r>
    </w:p>
    <w:p>
      <w:pPr>
        <w:pStyle w:val="TOC8"/>
        <w:rPr>
          <w:rFonts w:asciiTheme="minorHAnsi" w:eastAsiaTheme="minorEastAsia" w:hAnsiTheme="minorHAnsi" w:cstheme="minorBidi"/>
          <w:szCs w:val="22"/>
        </w:rPr>
      </w:pPr>
      <w:r>
        <w:t>40.</w:t>
      </w:r>
      <w:r>
        <w:tab/>
        <w:t>CEO and staff</w:t>
      </w:r>
      <w:r>
        <w:tab/>
      </w:r>
      <w:r>
        <w:fldChar w:fldCharType="begin"/>
      </w:r>
      <w:r>
        <w:instrText xml:space="preserve"> PAGEREF _Toc424284700 \h </w:instrText>
      </w:r>
      <w:r>
        <w:fldChar w:fldCharType="separate"/>
      </w:r>
      <w:r>
        <w:t>161</w:t>
      </w:r>
      <w:r>
        <w:fldChar w:fldCharType="end"/>
      </w:r>
    </w:p>
    <w:p>
      <w:pPr>
        <w:pStyle w:val="TOC8"/>
        <w:rPr>
          <w:rFonts w:asciiTheme="minorHAnsi" w:eastAsiaTheme="minorEastAsia" w:hAnsiTheme="minorHAnsi" w:cstheme="minorBidi"/>
          <w:szCs w:val="22"/>
        </w:rPr>
      </w:pPr>
      <w:r>
        <w:t>41.</w:t>
      </w:r>
      <w:r>
        <w:tab/>
        <w:t>Agreements, instruments and documents</w:t>
      </w:r>
      <w:r>
        <w:tab/>
      </w:r>
      <w:r>
        <w:fldChar w:fldCharType="begin"/>
      </w:r>
      <w:r>
        <w:instrText xml:space="preserve"> PAGEREF _Toc424284701 \h </w:instrText>
      </w:r>
      <w:r>
        <w:fldChar w:fldCharType="separate"/>
      </w:r>
      <w:r>
        <w:t>161</w:t>
      </w:r>
      <w:r>
        <w:fldChar w:fldCharType="end"/>
      </w:r>
    </w:p>
    <w:p>
      <w:pPr>
        <w:pStyle w:val="TOC8"/>
        <w:rPr>
          <w:rFonts w:asciiTheme="minorHAnsi" w:eastAsiaTheme="minorEastAsia" w:hAnsiTheme="minorHAnsi" w:cstheme="minorBidi"/>
          <w:szCs w:val="22"/>
        </w:rPr>
      </w:pPr>
      <w:r>
        <w:t>42.</w:t>
      </w:r>
      <w:r>
        <w:tab/>
        <w:t>Port authority to implement or facilitate renaming</w:t>
      </w:r>
      <w:r>
        <w:tab/>
      </w:r>
      <w:r>
        <w:fldChar w:fldCharType="begin"/>
      </w:r>
      <w:r>
        <w:instrText xml:space="preserve"> PAGEREF _Toc424284702 \h </w:instrText>
      </w:r>
      <w:r>
        <w:fldChar w:fldCharType="separate"/>
      </w:r>
      <w:r>
        <w:t>162</w:t>
      </w:r>
      <w:r>
        <w:fldChar w:fldCharType="end"/>
      </w:r>
    </w:p>
    <w:p>
      <w:pPr>
        <w:pStyle w:val="TOC8"/>
        <w:rPr>
          <w:rFonts w:asciiTheme="minorHAnsi" w:eastAsiaTheme="minorEastAsia" w:hAnsiTheme="minorHAnsi" w:cstheme="minorBidi"/>
          <w:szCs w:val="22"/>
        </w:rPr>
      </w:pPr>
      <w:r>
        <w:t>43.</w:t>
      </w:r>
      <w:r>
        <w:tab/>
        <w:t>Transitional regulations</w:t>
      </w:r>
      <w:r>
        <w:tab/>
      </w:r>
      <w:r>
        <w:fldChar w:fldCharType="begin"/>
      </w:r>
      <w:r>
        <w:instrText xml:space="preserve"> PAGEREF _Toc424284703 \h </w:instrText>
      </w:r>
      <w:r>
        <w:fldChar w:fldCharType="separate"/>
      </w:r>
      <w:r>
        <w:t>163</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 </w:t>
      </w:r>
      <w:r>
        <w:t>Provisions for certain directors</w:t>
      </w:r>
    </w:p>
    <w:p>
      <w:pPr>
        <w:pStyle w:val="TOC8"/>
        <w:rPr>
          <w:rFonts w:asciiTheme="minorHAnsi" w:eastAsiaTheme="minorEastAsia" w:hAnsiTheme="minorHAnsi" w:cstheme="minorBidi"/>
          <w:szCs w:val="22"/>
        </w:rPr>
      </w:pPr>
      <w:r>
        <w:t>44.</w:t>
      </w:r>
      <w:r>
        <w:tab/>
        <w:t>Certain directors to cease to hold office</w:t>
      </w:r>
      <w:r>
        <w:tab/>
      </w:r>
      <w:r>
        <w:fldChar w:fldCharType="begin"/>
      </w:r>
      <w:r>
        <w:instrText xml:space="preserve"> PAGEREF _Toc424284705 \h </w:instrText>
      </w:r>
      <w:r>
        <w:fldChar w:fldCharType="separate"/>
      </w:r>
      <w:r>
        <w:t>163</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 </w:t>
      </w:r>
      <w:r>
        <w:t>General provisions</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_Toc424284707 \h </w:instrText>
      </w:r>
      <w:r>
        <w:fldChar w:fldCharType="separate"/>
      </w:r>
      <w:r>
        <w:t>164</w:t>
      </w:r>
      <w:r>
        <w:fldChar w:fldCharType="end"/>
      </w:r>
    </w:p>
    <w:p>
      <w:pPr>
        <w:pStyle w:val="TOC8"/>
        <w:rPr>
          <w:rFonts w:asciiTheme="minorHAnsi" w:eastAsiaTheme="minorEastAsia" w:hAnsiTheme="minorHAnsi" w:cstheme="minorBidi"/>
          <w:szCs w:val="22"/>
        </w:rPr>
      </w:pPr>
      <w:r>
        <w:t>46.</w:t>
      </w:r>
      <w:r>
        <w:tab/>
        <w:t>Exemption from State taxes</w:t>
      </w:r>
      <w:r>
        <w:tab/>
      </w:r>
      <w:r>
        <w:fldChar w:fldCharType="begin"/>
      </w:r>
      <w:r>
        <w:instrText xml:space="preserve"> PAGEREF _Toc424284708 \h </w:instrText>
      </w:r>
      <w:r>
        <w:fldChar w:fldCharType="separate"/>
      </w:r>
      <w:r>
        <w:t>165</w:t>
      </w:r>
      <w:r>
        <w:fldChar w:fldCharType="end"/>
      </w:r>
    </w:p>
    <w:p>
      <w:pPr>
        <w:pStyle w:val="TOC8"/>
        <w:rPr>
          <w:rFonts w:asciiTheme="minorHAnsi" w:eastAsiaTheme="minorEastAsia" w:hAnsiTheme="minorHAnsi" w:cstheme="minorBidi"/>
          <w:szCs w:val="22"/>
        </w:rPr>
      </w:pPr>
      <w:r>
        <w:t>47.</w:t>
      </w:r>
      <w:r>
        <w:tab/>
        <w:t>Registration of documents</w:t>
      </w:r>
      <w:r>
        <w:tab/>
      </w:r>
      <w:r>
        <w:fldChar w:fldCharType="begin"/>
      </w:r>
      <w:r>
        <w:instrText xml:space="preserve"> PAGEREF _Toc424284709 \h </w:instrText>
      </w:r>
      <w:r>
        <w:fldChar w:fldCharType="separate"/>
      </w:r>
      <w:r>
        <w:t>165</w:t>
      </w:r>
      <w:r>
        <w:fldChar w:fldCharType="end"/>
      </w:r>
    </w:p>
    <w:p>
      <w:pPr>
        <w:pStyle w:val="TOC8"/>
        <w:rPr>
          <w:rFonts w:asciiTheme="minorHAnsi" w:eastAsiaTheme="minorEastAsia" w:hAnsiTheme="minorHAnsi" w:cstheme="minorBidi"/>
          <w:szCs w:val="22"/>
        </w:rPr>
      </w:pPr>
      <w:r>
        <w:t>48.</w:t>
      </w:r>
      <w:r>
        <w:tab/>
        <w:t>Matters that a new board can deal with</w:t>
      </w:r>
      <w:r>
        <w:tab/>
      </w:r>
      <w:r>
        <w:fldChar w:fldCharType="begin"/>
      </w:r>
      <w:r>
        <w:instrText xml:space="preserve"> PAGEREF _Toc424284710 \h </w:instrText>
      </w:r>
      <w:r>
        <w:fldChar w:fldCharType="separate"/>
      </w:r>
      <w:r>
        <w:t>165</w:t>
      </w:r>
      <w:r>
        <w:fldChar w:fldCharType="end"/>
      </w:r>
    </w:p>
    <w:p>
      <w:pPr>
        <w:pStyle w:val="TOC8"/>
        <w:rPr>
          <w:rFonts w:asciiTheme="minorHAnsi" w:eastAsiaTheme="minorEastAsia" w:hAnsiTheme="minorHAnsi" w:cstheme="minorBidi"/>
          <w:szCs w:val="22"/>
        </w:rPr>
      </w:pPr>
      <w:r>
        <w:t>49.</w:t>
      </w:r>
      <w:r>
        <w:tab/>
        <w:t>Operation of transitional regulations</w:t>
      </w:r>
      <w:r>
        <w:tab/>
      </w:r>
      <w:r>
        <w:fldChar w:fldCharType="begin"/>
      </w:r>
      <w:r>
        <w:instrText xml:space="preserve"> PAGEREF _Toc424284711 \h </w:instrText>
      </w:r>
      <w:r>
        <w:fldChar w:fldCharType="separate"/>
      </w:r>
      <w:r>
        <w:t>167</w:t>
      </w:r>
      <w:r>
        <w:fldChar w:fldCharType="end"/>
      </w:r>
    </w:p>
    <w:p>
      <w:pPr>
        <w:pStyle w:val="TOC8"/>
        <w:rPr>
          <w:rFonts w:asciiTheme="minorHAnsi" w:eastAsiaTheme="minorEastAsia" w:hAnsiTheme="minorHAnsi" w:cstheme="minorBidi"/>
          <w:szCs w:val="22"/>
        </w:rPr>
      </w:pPr>
      <w:r>
        <w:t>50.</w:t>
      </w:r>
      <w:r>
        <w:tab/>
        <w:t>Saving</w:t>
      </w:r>
      <w:r>
        <w:tab/>
      </w:r>
      <w:r>
        <w:fldChar w:fldCharType="begin"/>
      </w:r>
      <w:r>
        <w:instrText xml:space="preserve"> PAGEREF _Toc424284712 \h </w:instrText>
      </w:r>
      <w:r>
        <w:fldChar w:fldCharType="separate"/>
      </w:r>
      <w:r>
        <w:t>167</w:t>
      </w:r>
      <w:r>
        <w:fldChar w:fldCharType="end"/>
      </w:r>
    </w:p>
    <w:p>
      <w:pPr>
        <w:pStyle w:val="TOC8"/>
        <w:rPr>
          <w:rFonts w:asciiTheme="minorHAnsi" w:eastAsiaTheme="minorEastAsia" w:hAnsiTheme="minorHAnsi" w:cstheme="minorBidi"/>
          <w:szCs w:val="22"/>
        </w:rPr>
      </w:pPr>
      <w:r>
        <w:t>51.</w:t>
      </w:r>
      <w:r>
        <w:tab/>
        <w:t>Government agreements not affected</w:t>
      </w:r>
      <w:r>
        <w:tab/>
      </w:r>
      <w:r>
        <w:fldChar w:fldCharType="begin"/>
      </w:r>
      <w:r>
        <w:instrText xml:space="preserve"> PAGEREF _Toc424284713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Schedule 9 — Placing additional ports under a port authority’s control and management</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_Toc424284715 \h </w:instrText>
      </w:r>
      <w:r>
        <w:fldChar w:fldCharType="separate"/>
      </w:r>
      <w:r>
        <w:t>169</w:t>
      </w:r>
      <w:r>
        <w:fldChar w:fldCharType="end"/>
      </w:r>
    </w:p>
    <w:p>
      <w:pPr>
        <w:pStyle w:val="TOC8"/>
        <w:rPr>
          <w:rFonts w:asciiTheme="minorHAnsi" w:eastAsiaTheme="minorEastAsia" w:hAnsiTheme="minorHAnsi" w:cstheme="minorBidi"/>
          <w:szCs w:val="22"/>
        </w:rPr>
      </w:pPr>
      <w:r>
        <w:t>2.</w:t>
      </w:r>
      <w:r>
        <w:tab/>
        <w:t>Regulations may place a port under the control and management of a port authority</w:t>
      </w:r>
      <w:r>
        <w:tab/>
      </w:r>
      <w:r>
        <w:fldChar w:fldCharType="begin"/>
      </w:r>
      <w:r>
        <w:instrText xml:space="preserve"> PAGEREF _Toc424284716 \h </w:instrText>
      </w:r>
      <w:r>
        <w:fldChar w:fldCharType="separate"/>
      </w:r>
      <w:r>
        <w:t>169</w:t>
      </w:r>
      <w:r>
        <w:fldChar w:fldCharType="end"/>
      </w:r>
    </w:p>
    <w:p>
      <w:pPr>
        <w:pStyle w:val="TOC8"/>
        <w:rPr>
          <w:rFonts w:asciiTheme="minorHAnsi" w:eastAsiaTheme="minorEastAsia" w:hAnsiTheme="minorHAnsi" w:cstheme="minorBidi"/>
          <w:szCs w:val="22"/>
        </w:rPr>
      </w:pPr>
      <w:r>
        <w:t>3.</w:t>
      </w:r>
      <w:r>
        <w:tab/>
        <w:t>Port authority to implement or facilitate port addition</w:t>
      </w:r>
      <w:r>
        <w:tab/>
      </w:r>
      <w:r>
        <w:fldChar w:fldCharType="begin"/>
      </w:r>
      <w:r>
        <w:instrText xml:space="preserve"> PAGEREF _Toc424284717 \h </w:instrText>
      </w:r>
      <w:r>
        <w:fldChar w:fldCharType="separate"/>
      </w:r>
      <w:r>
        <w:t>169</w:t>
      </w:r>
      <w:r>
        <w:fldChar w:fldCharType="end"/>
      </w:r>
    </w:p>
    <w:p>
      <w:pPr>
        <w:pStyle w:val="TOC8"/>
        <w:rPr>
          <w:rFonts w:asciiTheme="minorHAnsi" w:eastAsiaTheme="minorEastAsia" w:hAnsiTheme="minorHAnsi" w:cstheme="minorBidi"/>
          <w:szCs w:val="22"/>
        </w:rPr>
      </w:pPr>
      <w:r>
        <w:t>4.</w:t>
      </w:r>
      <w:r>
        <w:tab/>
        <w:t>Government agreements not affected</w:t>
      </w:r>
      <w:r>
        <w:tab/>
      </w:r>
      <w:r>
        <w:fldChar w:fldCharType="begin"/>
      </w:r>
      <w:r>
        <w:instrText xml:space="preserve"> PAGEREF _Toc424284718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_Toc424284720 \h </w:instrText>
      </w:r>
      <w:r>
        <w:fldChar w:fldCharType="separate"/>
      </w:r>
      <w:r>
        <w:t>171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400" w:after="720"/>
        <w:outlineLvl w:val="0"/>
      </w:pPr>
      <w:r>
        <w:t>Port Authorities Act 1999</w:t>
      </w:r>
    </w:p>
    <w:p>
      <w:pPr>
        <w:pStyle w:val="LongTitle"/>
        <w:suppressLineNumbers/>
        <w:spacing w:before="240"/>
        <w:rPr>
          <w:snapToGrid w:val="0"/>
        </w:rPr>
      </w:pPr>
      <w:r>
        <w:rPr>
          <w:snapToGrid w:val="0"/>
        </w:rPr>
        <w:t xml:space="preserve">An Act about port authorities, their functions, the areas that they are to control and manage, the way in which they are to operate, and related matters. </w:t>
      </w:r>
    </w:p>
    <w:p>
      <w:pPr>
        <w:pStyle w:val="Heading2"/>
      </w:pPr>
      <w:bookmarkStart w:id="3" w:name="_Toc398889925"/>
      <w:bookmarkStart w:id="4" w:name="_Toc424284360"/>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Heading5"/>
      </w:pPr>
      <w:bookmarkStart w:id="5" w:name="_Toc398889926"/>
      <w:bookmarkStart w:id="6" w:name="_Toc424284361"/>
      <w:r>
        <w:rPr>
          <w:rStyle w:val="CharSectno"/>
        </w:rPr>
        <w:t>1</w:t>
      </w:r>
      <w:r>
        <w:rPr>
          <w:snapToGrid w:val="0"/>
        </w:rPr>
        <w:t>.</w:t>
      </w:r>
      <w:r>
        <w:rPr>
          <w:snapToGrid w:val="0"/>
        </w:rPr>
        <w:tab/>
        <w:t>Short title</w:t>
      </w:r>
      <w:bookmarkEnd w:id="5"/>
      <w:bookmarkEnd w:id="6"/>
    </w:p>
    <w:p>
      <w:pPr>
        <w:pStyle w:val="Subsection"/>
      </w:pPr>
      <w:r>
        <w:rPr>
          <w:snapToGrid w:val="0"/>
        </w:rPr>
        <w:tab/>
      </w:r>
      <w:r>
        <w:rPr>
          <w:snapToGrid w:val="0"/>
        </w:rPr>
        <w:tab/>
        <w:t>This Act may be cited as the</w:t>
      </w:r>
      <w:r>
        <w:rPr>
          <w:i/>
          <w:snapToGrid w:val="0"/>
        </w:rPr>
        <w:t xml:space="preserve"> Port Authorities Act 1999</w:t>
      </w:r>
      <w:r>
        <w:rPr>
          <w:snapToGrid w:val="0"/>
          <w:vertAlign w:val="superscript"/>
        </w:rPr>
        <w:t> 1</w:t>
      </w:r>
      <w:r>
        <w:rPr>
          <w:i/>
          <w:snapToGrid w:val="0"/>
        </w:rPr>
        <w:t>.</w:t>
      </w:r>
      <w:r>
        <w:rPr>
          <w:snapToGrid w:val="0"/>
        </w:rPr>
        <w:t xml:space="preserve"> </w:t>
      </w:r>
    </w:p>
    <w:p>
      <w:pPr>
        <w:pStyle w:val="Heading5"/>
        <w:rPr>
          <w:snapToGrid w:val="0"/>
        </w:rPr>
      </w:pPr>
      <w:bookmarkStart w:id="7" w:name="_Toc398889927"/>
      <w:bookmarkStart w:id="8" w:name="_Toc424284362"/>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9" w:name="_Toc398889928"/>
      <w:bookmarkStart w:id="10" w:name="_Toc424284363"/>
      <w:r>
        <w:rPr>
          <w:rStyle w:val="CharSectno"/>
        </w:rPr>
        <w:t>3</w:t>
      </w:r>
      <w:r>
        <w:rPr>
          <w:snapToGrid w:val="0"/>
        </w:rPr>
        <w:t>.</w:t>
      </w:r>
      <w:r>
        <w:rPr>
          <w:snapToGrid w:val="0"/>
        </w:rPr>
        <w:tab/>
        <w:t>Terms used</w:t>
      </w:r>
      <w:bookmarkEnd w:id="9"/>
      <w:bookmarkEnd w:id="10"/>
      <w:r>
        <w:rPr>
          <w:snapToGrid w:val="0"/>
        </w:rPr>
        <w:t xml:space="preserve"> </w:t>
      </w:r>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the board of directors of a port authority provided for by section 7;</w:t>
      </w:r>
    </w:p>
    <w:p>
      <w:pPr>
        <w:pStyle w:val="Defstart"/>
      </w:pPr>
      <w:r>
        <w:rPr>
          <w:b/>
        </w:rPr>
        <w:tab/>
      </w:r>
      <w:r>
        <w:rPr>
          <w:rStyle w:val="CharDefText"/>
        </w:rPr>
        <w:t>CEO</w:t>
      </w:r>
      <w:r>
        <w:t xml:space="preserve"> means the person holding the office of chief executive officer of a port authority created under section 14(1) and includes an acting chief executive officer under section 14(6);</w:t>
      </w:r>
    </w:p>
    <w:p>
      <w:pPr>
        <w:pStyle w:val="Defstart"/>
      </w:pPr>
      <w:r>
        <w:rPr>
          <w:b/>
        </w:rPr>
        <w:tab/>
      </w:r>
      <w:r>
        <w:rPr>
          <w:rStyle w:val="CharDefText"/>
        </w:rPr>
        <w:t>channel</w:t>
      </w:r>
      <w:r>
        <w:t xml:space="preserve"> includes a swinging basin, turning circle, area alongside a jetty, fairway or anchorage;</w:t>
      </w:r>
    </w:p>
    <w:p>
      <w:pPr>
        <w:pStyle w:val="Defstart"/>
      </w:pPr>
      <w:r>
        <w:rPr>
          <w:b/>
        </w:rPr>
        <w:tab/>
      </w:r>
      <w:r>
        <w:rPr>
          <w:rStyle w:val="CharDefText"/>
        </w:rPr>
        <w:t>control</w:t>
      </w:r>
      <w:r>
        <w:t>, when used in the sense of being in control of a vessel, means to be in charge or command of, or to have the management of, the vessel;</w:t>
      </w:r>
    </w:p>
    <w:p>
      <w:pPr>
        <w:pStyle w:val="Defstart"/>
      </w:pPr>
      <w:r>
        <w:rPr>
          <w:b/>
        </w:rP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damage</w:t>
      </w:r>
      <w:r>
        <w:t xml:space="preserve"> includes alter, destroy or remove;</w:t>
      </w:r>
    </w:p>
    <w:p>
      <w:pPr>
        <w:pStyle w:val="Defstart"/>
      </w:pPr>
      <w:r>
        <w:rPr>
          <w:b/>
        </w:rPr>
        <w:tab/>
      </w:r>
      <w:r>
        <w:rPr>
          <w:rStyle w:val="CharDefText"/>
        </w:rPr>
        <w:t>dangerous thing</w:t>
      </w:r>
      <w:r>
        <w:t xml:space="preserve"> means — </w:t>
      </w:r>
    </w:p>
    <w:p>
      <w:pPr>
        <w:pStyle w:val="Defpara"/>
      </w:pPr>
      <w:r>
        <w:tab/>
        <w:t>(a)</w:t>
      </w:r>
      <w:r>
        <w:tab/>
        <w:t>a vessel or part of a vessel; or</w:t>
      </w:r>
    </w:p>
    <w:p>
      <w:pPr>
        <w:pStyle w:val="Defpara"/>
      </w:pPr>
      <w:r>
        <w:tab/>
        <w:t>(b)</w:t>
      </w:r>
      <w:r>
        <w:tab/>
        <w:t>a wreck and any cargo, fuel or other thing on or in it; or</w:t>
      </w:r>
    </w:p>
    <w:p>
      <w:pPr>
        <w:pStyle w:val="Defpara"/>
      </w:pPr>
      <w:r>
        <w:tab/>
        <w:t>(c)</w:t>
      </w:r>
      <w:r>
        <w:tab/>
        <w:t>any other thing,</w:t>
      </w:r>
    </w:p>
    <w:p>
      <w:pPr>
        <w:pStyle w:val="Defstart"/>
      </w:pPr>
      <w:r>
        <w:tab/>
        <w:t>that is likely to be a danger to navigation or to port facilities or harmful to the environment;</w:t>
      </w:r>
    </w:p>
    <w:p>
      <w:pPr>
        <w:pStyle w:val="Defstart"/>
      </w:pPr>
      <w:r>
        <w:rPr>
          <w:b/>
        </w:rPr>
        <w:tab/>
      </w:r>
      <w:r>
        <w:rPr>
          <w:rStyle w:val="CharDefText"/>
        </w:rPr>
        <w:t>director</w:t>
      </w:r>
      <w:r>
        <w:t xml:space="preserve"> means a director appointed under section 7;</w:t>
      </w:r>
    </w:p>
    <w:p>
      <w:pPr>
        <w:pStyle w:val="Defstart"/>
      </w:pPr>
      <w:r>
        <w:rPr>
          <w:b/>
        </w:rPr>
        <w:tab/>
      </w:r>
      <w:r>
        <w:rPr>
          <w:rStyle w:val="CharDefText"/>
        </w:rPr>
        <w:t>executive officer</w:t>
      </w:r>
      <w:r>
        <w:t xml:space="preserve"> means a member of the staff of a port authority designated under section 20(2) as an executive officer;</w:t>
      </w:r>
    </w:p>
    <w:p>
      <w:pPr>
        <w:pStyle w:val="Defstart"/>
      </w:pPr>
      <w:r>
        <w:rPr>
          <w:b/>
        </w:rPr>
        <w:tab/>
      </w:r>
      <w:r>
        <w:rPr>
          <w:rStyle w:val="CharDefText"/>
        </w:rPr>
        <w:t>goods</w:t>
      </w:r>
      <w:r>
        <w:t xml:space="preserve"> includes — </w:t>
      </w:r>
    </w:p>
    <w:p>
      <w:pPr>
        <w:pStyle w:val="Defpara"/>
      </w:pPr>
      <w:r>
        <w:tab/>
        <w:t>(a)</w:t>
      </w:r>
      <w:r>
        <w:tab/>
        <w:t>merchandise, wares, chattels and other articles, whether manufactured or of any other kind; and</w:t>
      </w:r>
    </w:p>
    <w:p>
      <w:pPr>
        <w:pStyle w:val="Defpara"/>
      </w:pPr>
      <w:r>
        <w:tab/>
        <w:t>(b)</w:t>
      </w:r>
      <w:r>
        <w:tab/>
        <w:t>minerals and mineral products; and</w:t>
      </w:r>
    </w:p>
    <w:p>
      <w:pPr>
        <w:pStyle w:val="Defpara"/>
      </w:pPr>
      <w:r>
        <w:tab/>
        <w:t>(c)</w:t>
      </w:r>
      <w:r>
        <w:tab/>
        <w:t>petroleum and hydrocarbon products; and</w:t>
      </w:r>
    </w:p>
    <w:p>
      <w:pPr>
        <w:pStyle w:val="Defpara"/>
      </w:pPr>
      <w:r>
        <w:tab/>
        <w:t>(d)</w:t>
      </w:r>
      <w:r>
        <w:tab/>
        <w:t>forestry and agricultural products; and</w:t>
      </w:r>
    </w:p>
    <w:p>
      <w:pPr>
        <w:pStyle w:val="Defpara"/>
      </w:pPr>
      <w:r>
        <w:tab/>
        <w:t>(e)</w:t>
      </w:r>
      <w:r>
        <w:tab/>
        <w:t>livestock;</w:t>
      </w:r>
    </w:p>
    <w:p>
      <w:pPr>
        <w:pStyle w:val="Defstart"/>
      </w:pPr>
      <w:r>
        <w:rPr>
          <w:b/>
        </w:rPr>
        <w:tab/>
      </w:r>
      <w:r>
        <w:rPr>
          <w:rStyle w:val="CharDefText"/>
        </w:rPr>
        <w:t>harbour master</w:t>
      </w:r>
      <w:r>
        <w:t xml:space="preserve"> means a person appointed under section 102 as the harbour master or acting harbour master of a port or authorised under that section to perform the harbour master’s functions;</w:t>
      </w:r>
    </w:p>
    <w:p>
      <w:pPr>
        <w:pStyle w:val="Defstart"/>
      </w:pPr>
      <w:r>
        <w:rPr>
          <w:b/>
        </w:rPr>
        <w:tab/>
      </w:r>
      <w:r>
        <w:rPr>
          <w:rStyle w:val="CharDefText"/>
        </w:rPr>
        <w:t>jetty</w:t>
      </w:r>
      <w:r>
        <w:t xml:space="preserve"> includes — </w:t>
      </w:r>
    </w:p>
    <w:p>
      <w:pPr>
        <w:pStyle w:val="Defpara"/>
      </w:pPr>
      <w:r>
        <w:tab/>
        <w:t>(a)</w:t>
      </w:r>
      <w:r>
        <w:tab/>
        <w:t>a pier, wharf, quay, grid, slipway, landing place, stage, platform or similar structure, whether fixed or floating, erected or placed, wholly or in part, in, on, over or alongside any waters; and</w:t>
      </w:r>
    </w:p>
    <w:p>
      <w:pPr>
        <w:pStyle w:val="Defpara"/>
      </w:pPr>
      <w:r>
        <w:tab/>
        <w:t>(b)</w:t>
      </w:r>
      <w:r>
        <w:tab/>
        <w:t>a ramp that is or may be used for the purpose of launching or landing a vessel,</w:t>
      </w:r>
    </w:p>
    <w:p>
      <w:pPr>
        <w:pStyle w:val="Defstart"/>
      </w:pPr>
      <w:r>
        <w:tab/>
        <w:t>but does not include a vessel;</w:t>
      </w:r>
    </w:p>
    <w:p>
      <w:pPr>
        <w:pStyle w:val="Defstart"/>
      </w:pPr>
      <w:r>
        <w:rPr>
          <w:b/>
        </w:rPr>
        <w:tab/>
      </w:r>
      <w:r>
        <w:rPr>
          <w:rStyle w:val="CharDefText"/>
        </w:rPr>
        <w:t>management</w:t>
      </w:r>
      <w:r>
        <w:t>, in relation to staff, includes recruitment, selection, appointment, transfer, secondment, performance management, redeployment, discipline and termination of employment;</w:t>
      </w:r>
    </w:p>
    <w:p>
      <w:pPr>
        <w:pStyle w:val="Defstart"/>
        <w:keepNext/>
      </w:pPr>
      <w:r>
        <w:rPr>
          <w:b/>
        </w:rPr>
        <w:tab/>
      </w:r>
      <w:r>
        <w:rPr>
          <w:rStyle w:val="CharDefText"/>
        </w:rPr>
        <w:t>maritime structure</w:t>
      </w:r>
      <w:r>
        <w:t xml:space="preserve"> means — </w:t>
      </w:r>
    </w:p>
    <w:p>
      <w:pPr>
        <w:pStyle w:val="Defpara"/>
      </w:pPr>
      <w:r>
        <w:tab/>
        <w:t>(a)</w:t>
      </w:r>
      <w:r>
        <w:tab/>
        <w:t>a jetty; or</w:t>
      </w:r>
    </w:p>
    <w:p>
      <w:pPr>
        <w:pStyle w:val="Defpara"/>
      </w:pPr>
      <w:r>
        <w:tab/>
        <w:t>(b)</w:t>
      </w:r>
      <w:r>
        <w:tab/>
        <w:t>a breakwater, groyne or seawall; or</w:t>
      </w:r>
    </w:p>
    <w:p>
      <w:pPr>
        <w:pStyle w:val="Defpara"/>
      </w:pPr>
      <w:r>
        <w:tab/>
        <w:t>(c)</w:t>
      </w:r>
      <w:r>
        <w:tab/>
        <w:t>a dredged channel; or</w:t>
      </w:r>
    </w:p>
    <w:p>
      <w:pPr>
        <w:pStyle w:val="Defpara"/>
      </w:pPr>
      <w:r>
        <w:tab/>
        <w:t>(d)</w:t>
      </w:r>
      <w:r>
        <w:tab/>
        <w:t>a boat pen or vessel mooring; or</w:t>
      </w:r>
    </w:p>
    <w:p>
      <w:pPr>
        <w:pStyle w:val="Defpara"/>
      </w:pPr>
      <w:r>
        <w:tab/>
        <w:t>(e)</w:t>
      </w:r>
      <w:r>
        <w:tab/>
        <w:t>a navigational aid; or</w:t>
      </w:r>
    </w:p>
    <w:p>
      <w:pPr>
        <w:pStyle w:val="Defpara"/>
      </w:pPr>
      <w:r>
        <w:tab/>
        <w:t>(f)</w:t>
      </w:r>
      <w:r>
        <w:tab/>
        <w:t>a pipeline in, over, under or discharging into navigable waters (but not a pipeline discharging material from a dredging vessel);</w:t>
      </w:r>
    </w:p>
    <w:p>
      <w:pPr>
        <w:pStyle w:val="Defstart"/>
      </w:pPr>
      <w:r>
        <w:rPr>
          <w:b/>
        </w:rPr>
        <w:tab/>
      </w:r>
      <w:r>
        <w:rPr>
          <w:rStyle w:val="CharDefText"/>
        </w:rPr>
        <w:t>master</w:t>
      </w:r>
      <w:r>
        <w:t xml:space="preserve"> includes a person, other than an approved pilot provided under section 96(5), having control of a vessel for the time being;</w:t>
      </w:r>
    </w:p>
    <w:p>
      <w:pPr>
        <w:pStyle w:val="Defstart"/>
      </w:pPr>
      <w:r>
        <w:rPr>
          <w:b/>
        </w:rPr>
        <w:tab/>
      </w:r>
      <w:r>
        <w:rPr>
          <w:rStyle w:val="CharDefText"/>
        </w:rPr>
        <w:t>member of staff</w:t>
      </w:r>
      <w:r>
        <w:t xml:space="preserve"> means a person engaged under section 16 or who becomes a member of staff by operation of this Act;</w:t>
      </w:r>
    </w:p>
    <w:p>
      <w:pPr>
        <w:pStyle w:val="Defstart"/>
      </w:pPr>
      <w:r>
        <w:rPr>
          <w:b/>
        </w:rPr>
        <w:tab/>
      </w:r>
      <w:r>
        <w:rPr>
          <w:rStyle w:val="CharDefText"/>
        </w:rPr>
        <w:t>mooring</w:t>
      </w:r>
      <w:r>
        <w:t xml:space="preserve"> includes anchoring and berthing;</w:t>
      </w:r>
    </w:p>
    <w:p>
      <w:pPr>
        <w:pStyle w:val="Defstart"/>
      </w:pPr>
      <w:r>
        <w:rPr>
          <w:b/>
        </w:rPr>
        <w:tab/>
      </w:r>
      <w:r>
        <w:rPr>
          <w:rStyle w:val="CharDefText"/>
        </w:rPr>
        <w:t>movement</w:t>
      </w:r>
      <w:r>
        <w:t>, in relation to — </w:t>
      </w:r>
    </w:p>
    <w:p>
      <w:pPr>
        <w:pStyle w:val="Defpara"/>
      </w:pPr>
      <w:r>
        <w:tab/>
        <w:t>(a)</w:t>
      </w:r>
      <w:r>
        <w:tab/>
        <w:t>goods, includes loading and unloading;</w:t>
      </w:r>
    </w:p>
    <w:p>
      <w:pPr>
        <w:pStyle w:val="Defpara"/>
      </w:pPr>
      <w:r>
        <w:tab/>
        <w:t>(b)</w:t>
      </w:r>
      <w:r>
        <w:tab/>
        <w:t>passengers, includes boarding and going ashore;</w:t>
      </w:r>
    </w:p>
    <w:p>
      <w:pPr>
        <w:pStyle w:val="Defstart"/>
      </w:pPr>
      <w:r>
        <w:tab/>
      </w:r>
      <w:r>
        <w:rPr>
          <w:rStyle w:val="CharDefText"/>
        </w:rPr>
        <w:t>navigational aid</w:t>
      </w:r>
      <w:r>
        <w:t xml:space="preserve"> means an apparatus, device, mark or structure that — </w:t>
      </w:r>
    </w:p>
    <w:p>
      <w:pPr>
        <w:pStyle w:val="Defpara"/>
      </w:pPr>
      <w:r>
        <w:tab/>
        <w:t>(a)</w:t>
      </w:r>
      <w:r>
        <w:tab/>
        <w:t>is or is intended to be an aid to marine navigation; or</w:t>
      </w:r>
    </w:p>
    <w:p>
      <w:pPr>
        <w:pStyle w:val="Defpara"/>
      </w:pPr>
      <w:r>
        <w:tab/>
        <w:t>(b)</w:t>
      </w:r>
      <w:r>
        <w:tab/>
        <w:t>emits or transmits a light, sound, radio, electronic or other signal that is or is intended to be an aid to marine navigation;</w:t>
      </w:r>
    </w:p>
    <w:p>
      <w:pPr>
        <w:pStyle w:val="Defstart"/>
      </w:pPr>
      <w:r>
        <w:rPr>
          <w:b/>
        </w:rPr>
        <w:tab/>
      </w:r>
      <w:r>
        <w:rPr>
          <w:rStyle w:val="CharDefText"/>
        </w:rPr>
        <w:t>owner</w:t>
      </w:r>
      <w:r>
        <w:t>, in relation to — </w:t>
      </w:r>
    </w:p>
    <w:p>
      <w:pPr>
        <w:pStyle w:val="Defpara"/>
      </w:pPr>
      <w:r>
        <w:tab/>
        <w:t>(a)</w:t>
      </w:r>
      <w:r>
        <w:tab/>
        <w:t>property of any kind, includes a person who is an owner jointly or in common with another person;</w:t>
      </w:r>
    </w:p>
    <w:p>
      <w:pPr>
        <w:pStyle w:val="Defpara"/>
      </w:pPr>
      <w:r>
        <w:tab/>
        <w:t>(b)</w:t>
      </w:r>
      <w:r>
        <w:tab/>
        <w:t>goods, includes a consignor, consignee, shipper or agent for sale or custody, loading or unloading of the goods concerned;</w:t>
      </w:r>
    </w:p>
    <w:p>
      <w:pPr>
        <w:pStyle w:val="Defpara"/>
      </w:pPr>
      <w:r>
        <w:tab/>
        <w:t>(c)</w:t>
      </w:r>
      <w:r>
        <w:tab/>
        <w:t>a vessel, includes a charterer of the vessel;</w:t>
      </w:r>
    </w:p>
    <w:p>
      <w:pPr>
        <w:pStyle w:val="Defstart"/>
      </w:pPr>
      <w:r>
        <w:tab/>
      </w:r>
      <w:r>
        <w:rPr>
          <w:rStyle w:val="CharDefText"/>
        </w:rPr>
        <w:t>port</w:t>
      </w:r>
      <w:r>
        <w:rPr>
          <w:b/>
        </w:rPr>
        <w:t xml:space="preserve"> </w:t>
      </w:r>
      <w:r>
        <w:t>means a port named in Schedule 1 or placed under the control and management of a port authority by regulations in accordance with Schedule 9 and the</w:t>
      </w:r>
      <w:r>
        <w:rPr>
          <w:i/>
        </w:rPr>
        <w:t xml:space="preserve"> </w:t>
      </w:r>
      <w:r>
        <w:rPr>
          <w:rStyle w:val="CharDefText"/>
        </w:rPr>
        <w:t>port</w:t>
      </w:r>
      <w:r>
        <w:rPr>
          <w:b/>
        </w:rPr>
        <w:t xml:space="preserve"> </w:t>
      </w:r>
      <w:r>
        <w:t xml:space="preserve">or </w:t>
      </w:r>
      <w:r>
        <w:rPr>
          <w:b/>
          <w:i/>
        </w:rPr>
        <w:t>its</w:t>
      </w:r>
      <w:r>
        <w:t xml:space="preserve"> </w:t>
      </w:r>
      <w:r>
        <w:rPr>
          <w:rStyle w:val="CharDefText"/>
        </w:rPr>
        <w:t>port</w:t>
      </w:r>
      <w:r>
        <w:t>, in relation to a port authority, means —</w:t>
      </w:r>
    </w:p>
    <w:p>
      <w:pPr>
        <w:pStyle w:val="Defpara"/>
      </w:pPr>
      <w:r>
        <w:tab/>
        <w:t>(a)</w:t>
      </w:r>
      <w:r>
        <w:tab/>
        <w:t>the port that the port authority controls and manages; or</w:t>
      </w:r>
    </w:p>
    <w:p>
      <w:pPr>
        <w:pStyle w:val="Defpara"/>
      </w:pPr>
      <w:r>
        <w:tab/>
        <w:t>(b)</w:t>
      </w:r>
      <w:r>
        <w:tab/>
        <w:t>if the port authority controls and manages more than one port — each of those ports;</w:t>
      </w:r>
    </w:p>
    <w:p>
      <w:pPr>
        <w:pStyle w:val="Defstart"/>
      </w:pPr>
      <w:r>
        <w:tab/>
      </w:r>
      <w:r>
        <w:rPr>
          <w:rStyle w:val="CharDefText"/>
        </w:rPr>
        <w:t>port activities</w:t>
      </w:r>
      <w:r>
        <w:t xml:space="preserve"> has the meaning given by section 35;</w:t>
      </w:r>
    </w:p>
    <w:p>
      <w:pPr>
        <w:pStyle w:val="Defstart"/>
      </w:pPr>
      <w:r>
        <w:rPr>
          <w:b/>
        </w:rPr>
        <w:tab/>
      </w:r>
      <w:r>
        <w:rPr>
          <w:rStyle w:val="CharDefText"/>
        </w:rPr>
        <w:t>port authority</w:t>
      </w:r>
      <w:r>
        <w:t xml:space="preserve"> means a body established by section 4;</w:t>
      </w:r>
    </w:p>
    <w:p>
      <w:pPr>
        <w:pStyle w:val="Defstart"/>
      </w:pPr>
      <w:r>
        <w:rPr>
          <w:b/>
        </w:rPr>
        <w:tab/>
      </w:r>
      <w:r>
        <w:rPr>
          <w:rStyle w:val="CharDefText"/>
        </w:rPr>
        <w:t>port charges</w:t>
      </w:r>
      <w:r>
        <w:t xml:space="preserve"> has the meaning given by section 115 as affected by section 136(3);</w:t>
      </w:r>
    </w:p>
    <w:p>
      <w:pPr>
        <w:pStyle w:val="Defstart"/>
      </w:pPr>
      <w:r>
        <w:rPr>
          <w:b/>
        </w:rPr>
        <w:tab/>
      </w:r>
      <w:r>
        <w:rPr>
          <w:rStyle w:val="CharDefText"/>
        </w:rPr>
        <w:t>port facilities</w:t>
      </w:r>
      <w:r>
        <w:t xml:space="preserve"> means facilities provided for or in relation to port activities or the administration of the port and includes — </w:t>
      </w:r>
    </w:p>
    <w:p>
      <w:pPr>
        <w:pStyle w:val="Defpara"/>
      </w:pPr>
      <w:r>
        <w:tab/>
        <w:t>(a)</w:t>
      </w:r>
      <w:r>
        <w:tab/>
        <w:t>maritime structures and other buildings, structures and enclosures; and</w:t>
      </w:r>
    </w:p>
    <w:p>
      <w:pPr>
        <w:pStyle w:val="Defpara"/>
      </w:pPr>
      <w:r>
        <w:tab/>
        <w:t>(b)</w:t>
      </w:r>
      <w:r>
        <w:tab/>
        <w:t>railways; and</w:t>
      </w:r>
    </w:p>
    <w:p>
      <w:pPr>
        <w:pStyle w:val="Defpara"/>
      </w:pPr>
      <w:r>
        <w:tab/>
        <w:t>(c)</w:t>
      </w:r>
      <w:r>
        <w:tab/>
        <w:t>machinery, equipment, vessels, vehicles and aircraft;</w:t>
      </w:r>
    </w:p>
    <w:p>
      <w:pPr>
        <w:pStyle w:val="Defstart"/>
      </w:pPr>
      <w:r>
        <w:rPr>
          <w:b/>
        </w:rPr>
        <w:tab/>
      </w:r>
      <w:r>
        <w:rPr>
          <w:rStyle w:val="CharDefText"/>
        </w:rPr>
        <w:t>port land</w:t>
      </w:r>
      <w:r>
        <w:t xml:space="preserve"> means vested land or land acquired by a port authority;</w:t>
      </w:r>
    </w:p>
    <w:p>
      <w:pPr>
        <w:pStyle w:val="Defstart"/>
      </w:pPr>
      <w:r>
        <w:tab/>
      </w:r>
      <w:r>
        <w:rPr>
          <w:rStyle w:val="CharDefText"/>
        </w:rPr>
        <w:t>port operations</w:t>
      </w:r>
      <w:r>
        <w:t xml:space="preserve"> means — </w:t>
      </w:r>
    </w:p>
    <w:p>
      <w:pPr>
        <w:pStyle w:val="Defpara"/>
      </w:pPr>
      <w:r>
        <w:tab/>
        <w:t>(a)</w:t>
      </w:r>
      <w:r>
        <w:tab/>
        <w:t>the carrying out of port activities or port works; or</w:t>
      </w:r>
    </w:p>
    <w:p>
      <w:pPr>
        <w:pStyle w:val="Defpara"/>
      </w:pPr>
      <w:r>
        <w:tab/>
        <w:t>(b)</w:t>
      </w:r>
      <w:r>
        <w:tab/>
        <w:t>the provision of port services; or</w:t>
      </w:r>
    </w:p>
    <w:p>
      <w:pPr>
        <w:pStyle w:val="Defpara"/>
      </w:pPr>
      <w:r>
        <w:tab/>
        <w:t>(c)</w:t>
      </w:r>
      <w:r>
        <w:tab/>
        <w:t>the provision, management or operation of port facilities;</w:t>
      </w:r>
    </w:p>
    <w:p>
      <w:pPr>
        <w:pStyle w:val="Defstart"/>
      </w:pPr>
      <w:r>
        <w:tab/>
      </w:r>
      <w:r>
        <w:rPr>
          <w:rStyle w:val="CharDefText"/>
        </w:rPr>
        <w:t>port property</w:t>
      </w:r>
      <w:r>
        <w:t xml:space="preserve">, in relation to a port authority, means — </w:t>
      </w:r>
    </w:p>
    <w:p>
      <w:pPr>
        <w:pStyle w:val="Defpara"/>
      </w:pPr>
      <w:r>
        <w:tab/>
        <w:t>(a)</w:t>
      </w:r>
      <w:r>
        <w:tab/>
        <w:t>port facilities; or</w:t>
      </w:r>
    </w:p>
    <w:p>
      <w:pPr>
        <w:pStyle w:val="Defpara"/>
      </w:pPr>
      <w:r>
        <w:tab/>
        <w:t>(b)</w:t>
      </w:r>
      <w:r>
        <w:tab/>
        <w:t>vested property; or</w:t>
      </w:r>
    </w:p>
    <w:p>
      <w:pPr>
        <w:pStyle w:val="Defpara"/>
      </w:pPr>
      <w:r>
        <w:tab/>
        <w:t>(c)</w:t>
      </w:r>
      <w:r>
        <w:tab/>
        <w:t>other property held by the port authority;</w:t>
      </w:r>
    </w:p>
    <w:p>
      <w:pPr>
        <w:pStyle w:val="Defstart"/>
      </w:pPr>
      <w:r>
        <w:tab/>
      </w:r>
      <w:r>
        <w:rPr>
          <w:rStyle w:val="CharDefText"/>
        </w:rPr>
        <w:t>port security</w:t>
      </w:r>
      <w:r>
        <w:t xml:space="preserve"> means all matters relating to — </w:t>
      </w:r>
    </w:p>
    <w:p>
      <w:pPr>
        <w:pStyle w:val="Defpara"/>
      </w:pPr>
      <w:r>
        <w:tab/>
        <w:t>(a)</w:t>
      </w:r>
      <w:r>
        <w:tab/>
        <w:t xml:space="preserve">the preservation and protection of — </w:t>
      </w:r>
    </w:p>
    <w:p>
      <w:pPr>
        <w:pStyle w:val="Defsubpara"/>
      </w:pPr>
      <w:r>
        <w:tab/>
        <w:t>(i)</w:t>
      </w:r>
      <w:r>
        <w:tab/>
        <w:t>port property; or</w:t>
      </w:r>
    </w:p>
    <w:p>
      <w:pPr>
        <w:pStyle w:val="Defsubpara"/>
      </w:pPr>
      <w:r>
        <w:tab/>
        <w:t>(ii)</w:t>
      </w:r>
      <w:r>
        <w:tab/>
        <w:t>any other vessel, vehicle or other property within the port,</w:t>
      </w:r>
    </w:p>
    <w:p>
      <w:pPr>
        <w:pStyle w:val="Defpara"/>
      </w:pPr>
      <w:r>
        <w:tab/>
      </w:r>
      <w:r>
        <w:tab/>
        <w:t>from damage, destruction or unlawful activity; and</w:t>
      </w:r>
    </w:p>
    <w:p>
      <w:pPr>
        <w:pStyle w:val="Defpara"/>
      </w:pPr>
      <w:r>
        <w:tab/>
        <w:t>(b)</w:t>
      </w:r>
      <w:r>
        <w:tab/>
        <w:t>the protection of people within the port from injury or unlawful activity;</w:t>
      </w:r>
    </w:p>
    <w:p>
      <w:pPr>
        <w:pStyle w:val="Defstart"/>
      </w:pPr>
      <w:r>
        <w:rPr>
          <w:b/>
        </w:rPr>
        <w:tab/>
      </w:r>
      <w:r>
        <w:rPr>
          <w:rStyle w:val="CharDefText"/>
        </w:rPr>
        <w:t>port services</w:t>
      </w:r>
      <w:r>
        <w:t xml:space="preserve"> has the meaning given by section 35;</w:t>
      </w:r>
    </w:p>
    <w:p>
      <w:pPr>
        <w:pStyle w:val="Defstart"/>
      </w:pPr>
      <w:r>
        <w:rPr>
          <w:b/>
        </w:rPr>
        <w:tab/>
      </w:r>
      <w:r>
        <w:rPr>
          <w:rStyle w:val="CharDefText"/>
        </w:rPr>
        <w:t>port works</w:t>
      </w:r>
      <w:r>
        <w:t xml:space="preserve"> has the meaning given by section 35;</w:t>
      </w:r>
    </w:p>
    <w:p>
      <w:pPr>
        <w:pStyle w:val="Defstart"/>
        <w:keepNext/>
      </w:pPr>
      <w:r>
        <w:tab/>
      </w:r>
      <w:r>
        <w:rPr>
          <w:rStyle w:val="CharDefText"/>
        </w:rPr>
        <w:t>potential supplier</w:t>
      </w:r>
      <w:r>
        <w:t xml:space="preserve"> means — </w:t>
      </w:r>
    </w:p>
    <w:p>
      <w:pPr>
        <w:pStyle w:val="Defpara"/>
      </w:pPr>
      <w:r>
        <w:tab/>
        <w:t>(a)</w:t>
      </w:r>
      <w:r>
        <w:tab/>
        <w:t>a person who might become a supplier of port services; or</w:t>
      </w:r>
    </w:p>
    <w:p>
      <w:pPr>
        <w:pStyle w:val="Defpara"/>
      </w:pPr>
      <w:r>
        <w:tab/>
        <w:t>(b)</w:t>
      </w:r>
      <w:r>
        <w:tab/>
        <w:t>a person who might become a supplier of port services and, for that purpose, provide related port facilities;</w:t>
      </w:r>
    </w:p>
    <w:p>
      <w:pPr>
        <w:pStyle w:val="Defstart"/>
      </w:pPr>
      <w:r>
        <w:rPr>
          <w:b/>
        </w:rPr>
        <w:tab/>
      </w:r>
      <w:r>
        <w:rPr>
          <w:rStyle w:val="CharDefText"/>
        </w:rPr>
        <w:t>subsidiary</w:t>
      </w:r>
      <w:r>
        <w:t xml:space="preserve"> means — </w:t>
      </w:r>
    </w:p>
    <w:p>
      <w:pPr>
        <w:pStyle w:val="Defpara"/>
      </w:pPr>
      <w:r>
        <w:tab/>
        <w:t>(a)</w:t>
      </w:r>
      <w:r>
        <w:tab/>
        <w:t>a body determined to be a subsidiary of a port authority under subsection (4); or</w:t>
      </w:r>
    </w:p>
    <w:p>
      <w:pPr>
        <w:pStyle w:val="Defpara"/>
        <w:keepNext/>
      </w:pPr>
      <w:r>
        <w:tab/>
        <w:t>(b)</w:t>
      </w:r>
      <w:r>
        <w:tab/>
        <w:t>an interest or other rights of a port authority in a unit trust, joint venture or partnership where the interest or other rights of the port authority in connection with the unit trust, joint venture or partnership entitle the port authority to — </w:t>
      </w:r>
    </w:p>
    <w:p>
      <w:pPr>
        <w:pStyle w:val="Defsubpara"/>
      </w:pPr>
      <w:r>
        <w:tab/>
        <w:t>(i)</w:t>
      </w:r>
      <w:r>
        <w:tab/>
        <w:t>control the composition of the governing body of the unit trust, joint venture or partnership; or</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vessel</w:t>
      </w:r>
      <w:r>
        <w:t xml:space="preserve"> has the meaning given by subsections (2) and (3);</w:t>
      </w:r>
    </w:p>
    <w:p>
      <w:pPr>
        <w:pStyle w:val="Defstart"/>
      </w:pPr>
      <w:r>
        <w:rPr>
          <w:b/>
        </w:rPr>
        <w:tab/>
      </w:r>
      <w:r>
        <w:rPr>
          <w:rStyle w:val="CharDefText"/>
        </w:rPr>
        <w:t>vested</w:t>
      </w:r>
      <w:r>
        <w:t>, in relation to land or other property, means vested in a port authority under this Act.</w:t>
      </w:r>
    </w:p>
    <w:p>
      <w:pPr>
        <w:pStyle w:val="Subsection"/>
      </w:pPr>
      <w:r>
        <w:tab/>
        <w:t>(2)</w:t>
      </w:r>
      <w:r>
        <w:tab/>
        <w:t>A reference in this Act to a vessel is a reference to a thing used, or capable of being used, in navigation by water, and includes a reference to —</w:t>
      </w:r>
    </w:p>
    <w:p>
      <w:pPr>
        <w:pStyle w:val="Indenta"/>
      </w:pPr>
      <w:r>
        <w:tab/>
        <w:t>(a)</w:t>
      </w:r>
      <w:r>
        <w:tab/>
        <w:t>an air</w:t>
      </w:r>
      <w:r>
        <w:noBreakHyphen/>
        <w:t>cushion vehicle, seaplane or other similar craft; or</w:t>
      </w:r>
    </w:p>
    <w:p>
      <w:pPr>
        <w:pStyle w:val="Indenta"/>
      </w:pPr>
      <w:r>
        <w:tab/>
        <w:t>(b)</w:t>
      </w:r>
      <w:r>
        <w:tab/>
        <w:t>a barge, lighter or other floating structure used for commercial purposes other than a structure of a class or kind prescribed for the purposes of this paragraph.</w:t>
      </w:r>
    </w:p>
    <w:p>
      <w:pPr>
        <w:pStyle w:val="Subsection"/>
      </w:pPr>
      <w:r>
        <w:tab/>
        <w:t>(3)</w:t>
      </w:r>
      <w:r>
        <w:tab/>
        <w:t>A thing can be a vessel for the purposes of this Act —</w:t>
      </w:r>
    </w:p>
    <w:p>
      <w:pPr>
        <w:pStyle w:val="Indenta"/>
      </w:pPr>
      <w:r>
        <w:tab/>
        <w:t>(a)</w:t>
      </w:r>
      <w:r>
        <w:tab/>
        <w:t>no matter how it is moved or propelled; and</w:t>
      </w:r>
    </w:p>
    <w:p>
      <w:pPr>
        <w:pStyle w:val="Indenta"/>
      </w:pPr>
      <w:r>
        <w:tab/>
        <w:t>(b)</w:t>
      </w:r>
      <w:r>
        <w:tab/>
        <w:t>even if it is normally stationary.</w:t>
      </w:r>
    </w:p>
    <w:p>
      <w:pPr>
        <w:pStyle w:val="Subsection"/>
      </w:pPr>
      <w:r>
        <w:tab/>
        <w:t>(4)</w:t>
      </w:r>
      <w:r>
        <w:tab/>
        <w:t>Part 1.2 Division 6 of the Corporations Act applies for the purpose of determining whether a body is a subsidiary of a port authority.</w:t>
      </w:r>
    </w:p>
    <w:p>
      <w:pPr>
        <w:pStyle w:val="Footnotesection"/>
      </w:pPr>
      <w:r>
        <w:tab/>
        <w:t>[Section 3 amended by No. 10 of 2001 s. 157; No. 74 of 2003 s. 93(2); No. 8 of 2009 s. 102(2) and (3); No. 46 of 2009 s. 17; No. 39 of 2010 s. 81(2); No. 9 of 2014 s. 4.]</w:t>
      </w:r>
    </w:p>
    <w:p>
      <w:pPr>
        <w:pStyle w:val="Heading2"/>
      </w:pPr>
      <w:bookmarkStart w:id="11" w:name="_Toc398889929"/>
      <w:bookmarkStart w:id="12" w:name="_Toc424284364"/>
      <w:r>
        <w:rPr>
          <w:rStyle w:val="CharPartNo"/>
        </w:rPr>
        <w:t>Part 2</w:t>
      </w:r>
      <w:r>
        <w:t xml:space="preserve"> — </w:t>
      </w:r>
      <w:r>
        <w:rPr>
          <w:rStyle w:val="CharPartText"/>
        </w:rPr>
        <w:t>Port authorities: establishment and administration</w:t>
      </w:r>
      <w:bookmarkEnd w:id="11"/>
      <w:bookmarkEnd w:id="12"/>
      <w:r>
        <w:rPr>
          <w:rStyle w:val="CharPartText"/>
        </w:rPr>
        <w:t xml:space="preserve"> </w:t>
      </w:r>
    </w:p>
    <w:p>
      <w:pPr>
        <w:pStyle w:val="Heading3"/>
      </w:pPr>
      <w:bookmarkStart w:id="13" w:name="_Toc398889930"/>
      <w:bookmarkStart w:id="14" w:name="_Toc424284365"/>
      <w:r>
        <w:rPr>
          <w:rStyle w:val="CharDivNo"/>
        </w:rPr>
        <w:t>Division 1</w:t>
      </w:r>
      <w:r>
        <w:t xml:space="preserve"> — </w:t>
      </w:r>
      <w:r>
        <w:rPr>
          <w:rStyle w:val="CharDivText"/>
        </w:rPr>
        <w:t>Establishment of port authorities</w:t>
      </w:r>
      <w:bookmarkEnd w:id="13"/>
      <w:bookmarkEnd w:id="14"/>
      <w:r>
        <w:rPr>
          <w:rStyle w:val="CharDivText"/>
        </w:rPr>
        <w:t xml:space="preserve"> </w:t>
      </w:r>
    </w:p>
    <w:p>
      <w:pPr>
        <w:pStyle w:val="Heading5"/>
        <w:rPr>
          <w:snapToGrid w:val="0"/>
        </w:rPr>
      </w:pPr>
      <w:bookmarkStart w:id="15" w:name="_Toc398889931"/>
      <w:bookmarkStart w:id="16" w:name="_Toc424284366"/>
      <w:r>
        <w:rPr>
          <w:rStyle w:val="CharSectno"/>
        </w:rPr>
        <w:t>4</w:t>
      </w:r>
      <w:r>
        <w:rPr>
          <w:snapToGrid w:val="0"/>
        </w:rPr>
        <w:t>.</w:t>
      </w:r>
      <w:r>
        <w:rPr>
          <w:snapToGrid w:val="0"/>
        </w:rPr>
        <w:tab/>
        <w:t>Port authorities, establishment, nature and trading names of</w:t>
      </w:r>
      <w:bookmarkEnd w:id="15"/>
      <w:bookmarkEnd w:id="16"/>
    </w:p>
    <w:p>
      <w:pPr>
        <w:pStyle w:val="Subsection"/>
      </w:pPr>
      <w:r>
        <w:tab/>
        <w:t>(1)</w:t>
      </w:r>
      <w:r>
        <w:tab/>
        <w:t>There are to be the port authorities named in column 2 of Schedule 1.</w:t>
      </w:r>
    </w:p>
    <w:p>
      <w:pPr>
        <w:pStyle w:val="Subsection"/>
      </w:pPr>
      <w:r>
        <w:tab/>
        <w:t>(2A)</w:t>
      </w:r>
      <w:r>
        <w:tab/>
        <w:t xml:space="preserve">A port authority named in column 2 of an item in Schedule 1 is to control and manage — </w:t>
      </w:r>
    </w:p>
    <w:p>
      <w:pPr>
        <w:pStyle w:val="Indenta"/>
      </w:pPr>
      <w:r>
        <w:tab/>
        <w:t>(a)</w:t>
      </w:r>
      <w:r>
        <w:tab/>
        <w:t>any port named in column 3 of that item</w:t>
      </w:r>
      <w:r>
        <w:rPr>
          <w:snapToGrid w:val="0"/>
        </w:rPr>
        <w:t>; and</w:t>
      </w:r>
    </w:p>
    <w:p>
      <w:pPr>
        <w:pStyle w:val="Indenta"/>
      </w:pPr>
      <w:r>
        <w:tab/>
        <w:t>(b)</w:t>
      </w:r>
      <w:r>
        <w:tab/>
        <w:t xml:space="preserve">any port placed under the control and management of the port authority </w:t>
      </w:r>
      <w:r>
        <w:rPr>
          <w:snapToGrid w:val="0"/>
        </w:rPr>
        <w:t>by regulations in accordance with Schedule 9.</w:t>
      </w:r>
    </w:p>
    <w:p>
      <w:pPr>
        <w:pStyle w:val="Subsection"/>
        <w:rPr>
          <w:snapToGrid w:val="0"/>
        </w:rPr>
      </w:pPr>
      <w:r>
        <w:rPr>
          <w:snapToGrid w:val="0"/>
        </w:rPr>
        <w:tab/>
        <w:t>(2)</w:t>
      </w:r>
      <w:r>
        <w:rPr>
          <w:snapToGrid w:val="0"/>
        </w:rPr>
        <w:tab/>
        <w:t>A port authority is a body corporate with perpetual succession.</w:t>
      </w:r>
    </w:p>
    <w:p>
      <w:pPr>
        <w:pStyle w:val="Subsection"/>
        <w:rPr>
          <w:snapToGrid w:val="0"/>
        </w:rPr>
      </w:pPr>
      <w:r>
        <w:rPr>
          <w:snapToGrid w:val="0"/>
        </w:rPr>
        <w:tab/>
        <w:t>(3)</w:t>
      </w:r>
      <w:r>
        <w:rPr>
          <w:snapToGrid w:val="0"/>
        </w:rPr>
        <w:tab/>
        <w:t>Proceedings may be taken by or against a port authority in its corporate name.</w:t>
      </w:r>
    </w:p>
    <w:p>
      <w:pPr>
        <w:pStyle w:val="Subsection"/>
        <w:rPr>
          <w:snapToGrid w:val="0"/>
        </w:rPr>
      </w:pPr>
      <w:r>
        <w:rPr>
          <w:snapToGrid w:val="0"/>
        </w:rPr>
        <w:tab/>
        <w:t>(4)</w:t>
      </w:r>
      <w:r>
        <w:rPr>
          <w:snapToGrid w:val="0"/>
        </w:rPr>
        <w:tab/>
        <w:t>A port authority may use, and operate under, one or more trading names approved by the Minister.</w:t>
      </w:r>
    </w:p>
    <w:p>
      <w:pPr>
        <w:pStyle w:val="Subsection"/>
        <w:rPr>
          <w:snapToGrid w:val="0"/>
        </w:rPr>
      </w:pPr>
      <w:r>
        <w:rPr>
          <w:snapToGrid w:val="0"/>
        </w:rPr>
        <w:tab/>
        <w:t>(5)</w:t>
      </w:r>
      <w:r>
        <w:rPr>
          <w:snapToGrid w:val="0"/>
        </w:rPr>
        <w:tab/>
        <w:t>A trading name can be — </w:t>
      </w:r>
    </w:p>
    <w:p>
      <w:pPr>
        <w:pStyle w:val="Indenta"/>
        <w:rPr>
          <w:snapToGrid w:val="0"/>
        </w:rPr>
      </w:pPr>
      <w:r>
        <w:rPr>
          <w:snapToGrid w:val="0"/>
        </w:rPr>
        <w:tab/>
        <w:t>(a)</w:t>
      </w:r>
      <w:r>
        <w:rPr>
          <w:snapToGrid w:val="0"/>
        </w:rPr>
        <w:tab/>
        <w:t>an abbreviation or adaptation of the port authority’s corporate name; or</w:t>
      </w:r>
    </w:p>
    <w:p>
      <w:pPr>
        <w:pStyle w:val="Indenta"/>
        <w:rPr>
          <w:snapToGrid w:val="0"/>
        </w:rPr>
      </w:pPr>
      <w:r>
        <w:rPr>
          <w:snapToGrid w:val="0"/>
        </w:rPr>
        <w:tab/>
        <w:t>(b)</w:t>
      </w:r>
      <w:r>
        <w:rPr>
          <w:snapToGrid w:val="0"/>
        </w:rPr>
        <w:tab/>
        <w:t>a name other than the port authority’s corporate name.</w:t>
      </w:r>
    </w:p>
    <w:p>
      <w:pPr>
        <w:pStyle w:val="Footnotesection"/>
      </w:pPr>
      <w:r>
        <w:tab/>
        <w:t>[Section 4 amended by No. 9 of 2014 s. 5.]</w:t>
      </w:r>
    </w:p>
    <w:p>
      <w:pPr>
        <w:pStyle w:val="Heading5"/>
        <w:rPr>
          <w:snapToGrid w:val="0"/>
        </w:rPr>
      </w:pPr>
      <w:bookmarkStart w:id="17" w:name="_Toc398889932"/>
      <w:bookmarkStart w:id="18" w:name="_Toc424284367"/>
      <w:r>
        <w:rPr>
          <w:rStyle w:val="CharSectno"/>
        </w:rPr>
        <w:t>5</w:t>
      </w:r>
      <w:r>
        <w:rPr>
          <w:snapToGrid w:val="0"/>
        </w:rPr>
        <w:t>.</w:t>
      </w:r>
      <w:r>
        <w:rPr>
          <w:snapToGrid w:val="0"/>
        </w:rPr>
        <w:tab/>
        <w:t>Port authorities not to be regarded as agents of Crown for purposes of State laws</w:t>
      </w:r>
      <w:bookmarkEnd w:id="17"/>
      <w:bookmarkEnd w:id="18"/>
    </w:p>
    <w:p>
      <w:pPr>
        <w:pStyle w:val="Subsection"/>
        <w:rPr>
          <w:snapToGrid w:val="0"/>
        </w:rPr>
      </w:pPr>
      <w:r>
        <w:rPr>
          <w:snapToGrid w:val="0"/>
        </w:rPr>
        <w:tab/>
      </w:r>
      <w:r>
        <w:rPr>
          <w:snapToGrid w:val="0"/>
        </w:rPr>
        <w:tab/>
      </w:r>
      <w:r>
        <w:t>For the purposes of any law of the State, a port authority is to be regarded as not being</w:t>
      </w:r>
      <w:r>
        <w:rPr>
          <w:snapToGrid w:val="0"/>
        </w:rPr>
        <w:t xml:space="preserve"> an agent of the Crown and does not have the status, immunities and privileges of the Crown.</w:t>
      </w:r>
    </w:p>
    <w:p>
      <w:pPr>
        <w:pStyle w:val="Footnotesection"/>
      </w:pPr>
      <w:r>
        <w:tab/>
        <w:t>[Section 5 amended by No. 9 of 2014 s. 6.]</w:t>
      </w:r>
    </w:p>
    <w:p>
      <w:pPr>
        <w:pStyle w:val="Heading5"/>
        <w:rPr>
          <w:snapToGrid w:val="0"/>
        </w:rPr>
      </w:pPr>
      <w:bookmarkStart w:id="19" w:name="_Toc398889933"/>
      <w:bookmarkStart w:id="20" w:name="_Toc424284368"/>
      <w:r>
        <w:rPr>
          <w:rStyle w:val="CharSectno"/>
        </w:rPr>
        <w:t>6</w:t>
      </w:r>
      <w:r>
        <w:rPr>
          <w:snapToGrid w:val="0"/>
        </w:rPr>
        <w:t>.</w:t>
      </w:r>
      <w:r>
        <w:rPr>
          <w:snapToGrid w:val="0"/>
        </w:rPr>
        <w:tab/>
        <w:t>Port authorities and officers not part of public sector</w:t>
      </w:r>
      <w:bookmarkEnd w:id="19"/>
      <w:bookmarkEnd w:id="20"/>
      <w:r>
        <w:rPr>
          <w:snapToGrid w:val="0"/>
        </w:rPr>
        <w:t xml:space="preserve"> </w:t>
      </w:r>
    </w:p>
    <w:p>
      <w:pPr>
        <w:pStyle w:val="Subsection"/>
        <w:rPr>
          <w:snapToGrid w:val="0"/>
        </w:rPr>
      </w:pPr>
      <w:r>
        <w:rPr>
          <w:snapToGrid w:val="0"/>
        </w:rPr>
        <w:tab/>
        <w:t>(1)</w:t>
      </w:r>
      <w:r>
        <w:rPr>
          <w:snapToGrid w:val="0"/>
        </w:rPr>
        <w:tab/>
        <w:t xml:space="preserve">A port authority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the CEO nor any member of staff is to be included in the Senior Executive Service provided for by the </w:t>
      </w:r>
      <w:r>
        <w:rPr>
          <w:i/>
          <w:snapToGrid w:val="0"/>
        </w:rPr>
        <w:t>Public Sector Management Act 1994</w:t>
      </w:r>
      <w:r>
        <w:rPr>
          <w:snapToGrid w:val="0"/>
        </w:rPr>
        <w:t>.</w:t>
      </w:r>
    </w:p>
    <w:p>
      <w:pPr>
        <w:pStyle w:val="Heading3"/>
      </w:pPr>
      <w:bookmarkStart w:id="21" w:name="_Toc398889934"/>
      <w:bookmarkStart w:id="22" w:name="_Toc424284369"/>
      <w:r>
        <w:rPr>
          <w:rStyle w:val="CharDivNo"/>
        </w:rPr>
        <w:t>Division 2</w:t>
      </w:r>
      <w:r>
        <w:t xml:space="preserve"> — </w:t>
      </w:r>
      <w:r>
        <w:rPr>
          <w:rStyle w:val="CharDivText"/>
        </w:rPr>
        <w:t>Boards of directors</w:t>
      </w:r>
      <w:bookmarkEnd w:id="21"/>
      <w:bookmarkEnd w:id="22"/>
      <w:r>
        <w:rPr>
          <w:rStyle w:val="CharDivText"/>
        </w:rPr>
        <w:t xml:space="preserve"> </w:t>
      </w:r>
    </w:p>
    <w:p>
      <w:pPr>
        <w:pStyle w:val="Heading5"/>
        <w:rPr>
          <w:snapToGrid w:val="0"/>
        </w:rPr>
      </w:pPr>
      <w:bookmarkStart w:id="23" w:name="_Toc398889935"/>
      <w:bookmarkStart w:id="24" w:name="_Toc424284370"/>
      <w:r>
        <w:rPr>
          <w:rStyle w:val="CharSectno"/>
        </w:rPr>
        <w:t>7</w:t>
      </w:r>
      <w:r>
        <w:rPr>
          <w:snapToGrid w:val="0"/>
        </w:rPr>
        <w:t>.</w:t>
      </w:r>
      <w:r>
        <w:rPr>
          <w:snapToGrid w:val="0"/>
        </w:rPr>
        <w:tab/>
        <w:t>Port authorities to have board of directors</w:t>
      </w:r>
      <w:bookmarkEnd w:id="23"/>
      <w:bookmarkEnd w:id="24"/>
      <w:r>
        <w:rPr>
          <w:snapToGrid w:val="0"/>
        </w:rPr>
        <w:t xml:space="preserve"> </w:t>
      </w:r>
    </w:p>
    <w:p>
      <w:pPr>
        <w:pStyle w:val="Subsection"/>
        <w:rPr>
          <w:snapToGrid w:val="0"/>
        </w:rPr>
      </w:pPr>
      <w:r>
        <w:rPr>
          <w:snapToGrid w:val="0"/>
        </w:rPr>
        <w:tab/>
        <w:t>(1)</w:t>
      </w:r>
      <w:r>
        <w:rPr>
          <w:snapToGrid w:val="0"/>
        </w:rPr>
        <w:tab/>
        <w:t xml:space="preserve">A port authority is to have a board of directors comprising </w:t>
      </w:r>
      <w:r>
        <w:t>not less than 5 or more than 7</w:t>
      </w:r>
      <w:r>
        <w:rPr>
          <w:snapToGrid w:val="0"/>
        </w:rPr>
        <w:t> persons appointed in writing by the Minister.</w:t>
      </w:r>
    </w:p>
    <w:p>
      <w:pPr>
        <w:pStyle w:val="Subsection"/>
        <w:rPr>
          <w:snapToGrid w:val="0"/>
        </w:rPr>
      </w:pPr>
      <w:r>
        <w:rPr>
          <w:snapToGrid w:val="0"/>
        </w:rPr>
        <w:tab/>
        <w:t>(2)</w:t>
      </w:r>
      <w:r>
        <w:rPr>
          <w:snapToGrid w:val="0"/>
        </w:rPr>
        <w:tab/>
        <w:t>In appointing a person as a director the Minister must have regard to all relevant guidelines published, approved, endorsed or administered by the</w:t>
      </w:r>
      <w:r>
        <w:t xml:space="preserve"> Public Sector Commissioner</w:t>
      </w:r>
      <w:r>
        <w:rPr>
          <w:snapToGrid w:val="0"/>
        </w:rPr>
        <w:t>.</w:t>
      </w:r>
    </w:p>
    <w:p>
      <w:pPr>
        <w:pStyle w:val="Subsection"/>
        <w:rPr>
          <w:snapToGrid w:val="0"/>
        </w:rPr>
      </w:pPr>
      <w:r>
        <w:rPr>
          <w:snapToGrid w:val="0"/>
        </w:rPr>
        <w:tab/>
        <w:t>(3)</w:t>
      </w:r>
      <w:r>
        <w:rPr>
          <w:snapToGrid w:val="0"/>
        </w:rPr>
        <w:tab/>
        <w:t>A member of staff is not eligible to be appointed as, or be, a director.</w:t>
      </w:r>
    </w:p>
    <w:p>
      <w:pPr>
        <w:pStyle w:val="Ednotesubsection"/>
      </w:pPr>
      <w:r>
        <w:tab/>
        <w:t>[(4)</w:t>
      </w:r>
      <w:r>
        <w:tab/>
        <w:t>deleted]</w:t>
      </w:r>
    </w:p>
    <w:p>
      <w:pPr>
        <w:pStyle w:val="Footnotesection"/>
      </w:pPr>
      <w:r>
        <w:tab/>
        <w:t>[Section 7 amended by No. 39 of 2010 s. 89; No. 9 of 2014 s. 7.]</w:t>
      </w:r>
    </w:p>
    <w:p>
      <w:pPr>
        <w:pStyle w:val="Heading5"/>
        <w:rPr>
          <w:snapToGrid w:val="0"/>
        </w:rPr>
      </w:pPr>
      <w:bookmarkStart w:id="25" w:name="_Toc398889936"/>
      <w:bookmarkStart w:id="26" w:name="_Toc424284371"/>
      <w:r>
        <w:rPr>
          <w:rStyle w:val="CharSectno"/>
        </w:rPr>
        <w:t>8</w:t>
      </w:r>
      <w:r>
        <w:rPr>
          <w:snapToGrid w:val="0"/>
        </w:rPr>
        <w:t>.</w:t>
      </w:r>
      <w:r>
        <w:rPr>
          <w:snapToGrid w:val="0"/>
        </w:rPr>
        <w:tab/>
        <w:t>Boards, role of</w:t>
      </w:r>
      <w:bookmarkEnd w:id="25"/>
      <w:bookmarkEnd w:id="26"/>
      <w:r>
        <w:rPr>
          <w:snapToGrid w:val="0"/>
        </w:rPr>
        <w:t xml:space="preserve"> </w:t>
      </w:r>
    </w:p>
    <w:p>
      <w:pPr>
        <w:pStyle w:val="Subsection"/>
        <w:rPr>
          <w:snapToGrid w:val="0"/>
        </w:rPr>
      </w:pPr>
      <w:r>
        <w:rPr>
          <w:snapToGrid w:val="0"/>
        </w:rPr>
        <w:tab/>
        <w:t>(1)</w:t>
      </w:r>
      <w:r>
        <w:rPr>
          <w:snapToGrid w:val="0"/>
        </w:rPr>
        <w:tab/>
        <w:t>The board of a port authority is its governing body.</w:t>
      </w:r>
    </w:p>
    <w:p>
      <w:pPr>
        <w:pStyle w:val="Subsection"/>
        <w:rPr>
          <w:snapToGrid w:val="0"/>
        </w:rPr>
      </w:pPr>
      <w:r>
        <w:rPr>
          <w:snapToGrid w:val="0"/>
        </w:rPr>
        <w:tab/>
        <w:t>(2)</w:t>
      </w:r>
      <w:r>
        <w:rPr>
          <w:snapToGrid w:val="0"/>
        </w:rPr>
        <w:tab/>
        <w:t>The board, in the name of the port authority, is to perform the functions, determine the policies and control the affairs of the port authority.</w:t>
      </w:r>
    </w:p>
    <w:p>
      <w:pPr>
        <w:pStyle w:val="Heading5"/>
        <w:spacing w:before="180"/>
        <w:rPr>
          <w:snapToGrid w:val="0"/>
        </w:rPr>
      </w:pPr>
      <w:bookmarkStart w:id="27" w:name="_Toc398889937"/>
      <w:bookmarkStart w:id="28" w:name="_Toc424284372"/>
      <w:r>
        <w:rPr>
          <w:rStyle w:val="CharSectno"/>
        </w:rPr>
        <w:t>9</w:t>
      </w:r>
      <w:r>
        <w:rPr>
          <w:snapToGrid w:val="0"/>
        </w:rPr>
        <w:t>.</w:t>
      </w:r>
      <w:r>
        <w:rPr>
          <w:snapToGrid w:val="0"/>
        </w:rPr>
        <w:tab/>
        <w:t>Boards, constitution and proceedings of (Sch. 2)</w:t>
      </w:r>
      <w:bookmarkEnd w:id="27"/>
      <w:bookmarkEnd w:id="28"/>
      <w:r>
        <w:rPr>
          <w:snapToGrid w:val="0"/>
        </w:rPr>
        <w:t xml:space="preserve"> </w:t>
      </w:r>
    </w:p>
    <w:p>
      <w:pPr>
        <w:pStyle w:val="Subsection"/>
        <w:rPr>
          <w:snapToGrid w:val="0"/>
        </w:rPr>
      </w:pPr>
      <w:r>
        <w:rPr>
          <w:snapToGrid w:val="0"/>
        </w:rPr>
        <w:tab/>
      </w:r>
      <w:r>
        <w:rPr>
          <w:snapToGrid w:val="0"/>
        </w:rPr>
        <w:tab/>
        <w:t>Schedule 2 has effect with respect to directors and boards.</w:t>
      </w:r>
    </w:p>
    <w:p>
      <w:pPr>
        <w:pStyle w:val="Heading5"/>
        <w:spacing w:before="180"/>
        <w:rPr>
          <w:snapToGrid w:val="0"/>
        </w:rPr>
      </w:pPr>
      <w:bookmarkStart w:id="29" w:name="_Toc398889938"/>
      <w:bookmarkStart w:id="30" w:name="_Toc424284373"/>
      <w:r>
        <w:rPr>
          <w:rStyle w:val="CharSectno"/>
        </w:rPr>
        <w:t>10</w:t>
      </w:r>
      <w:r>
        <w:rPr>
          <w:snapToGrid w:val="0"/>
        </w:rPr>
        <w:t>.</w:t>
      </w:r>
      <w:r>
        <w:rPr>
          <w:snapToGrid w:val="0"/>
        </w:rPr>
        <w:tab/>
        <w:t>Directors, remuneration of</w:t>
      </w:r>
      <w:bookmarkEnd w:id="29"/>
      <w:bookmarkEnd w:id="30"/>
      <w:r>
        <w:rPr>
          <w:snapToGrid w:val="0"/>
        </w:rPr>
        <w:t xml:space="preserve"> </w:t>
      </w:r>
    </w:p>
    <w:p>
      <w:pPr>
        <w:pStyle w:val="Subsection"/>
        <w:rPr>
          <w:snapToGrid w:val="0"/>
        </w:rPr>
      </w:pPr>
      <w:r>
        <w:rPr>
          <w:snapToGrid w:val="0"/>
        </w:rPr>
        <w:tab/>
        <w:t>(1)</w:t>
      </w:r>
      <w:r>
        <w:rPr>
          <w:snapToGrid w:val="0"/>
        </w:rPr>
        <w:tab/>
        <w:t>A director is to be paid out of the funds of the port authority such remuneration and allowances as are determined in the case of that port authority by the Minister.</w:t>
      </w:r>
    </w:p>
    <w:p>
      <w:pPr>
        <w:pStyle w:val="Subsection"/>
        <w:spacing w:before="120"/>
        <w:rPr>
          <w:snapToGrid w:val="0"/>
        </w:rPr>
      </w:pPr>
      <w:r>
        <w:rPr>
          <w:snapToGrid w:val="0"/>
        </w:rPr>
        <w:tab/>
        <w:t>(2)</w:t>
      </w:r>
      <w:r>
        <w:rPr>
          <w:snapToGrid w:val="0"/>
        </w:rPr>
        <w:tab/>
        <w:t>Subject to subsection (3) and Schedule 2, clause 3(4), the same rates of remuneration and allowances are to apply to all directors of the port authority.</w:t>
      </w:r>
    </w:p>
    <w:p>
      <w:pPr>
        <w:pStyle w:val="Subsection"/>
        <w:rPr>
          <w:snapToGrid w:val="0"/>
        </w:rPr>
      </w:pPr>
      <w:r>
        <w:rPr>
          <w:snapToGrid w:val="0"/>
        </w:rPr>
        <w:tab/>
        <w:t>(3)</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rPr>
          <w:snapToGrid w:val="0"/>
        </w:rPr>
      </w:pPr>
      <w:bookmarkStart w:id="31" w:name="_Toc398889939"/>
      <w:bookmarkStart w:id="32" w:name="_Toc424284374"/>
      <w:r>
        <w:rPr>
          <w:rStyle w:val="CharSectno"/>
        </w:rPr>
        <w:t>11</w:t>
      </w:r>
      <w:r>
        <w:rPr>
          <w:snapToGrid w:val="0"/>
        </w:rPr>
        <w:t>.</w:t>
      </w:r>
      <w:r>
        <w:rPr>
          <w:snapToGrid w:val="0"/>
        </w:rPr>
        <w:tab/>
        <w:t>Conflict of duties</w:t>
      </w:r>
      <w:bookmarkEnd w:id="31"/>
      <w:bookmarkEnd w:id="32"/>
      <w:r>
        <w:rPr>
          <w:snapToGrid w:val="0"/>
        </w:rPr>
        <w:t xml:space="preserve"> </w:t>
      </w:r>
    </w:p>
    <w:p>
      <w:pPr>
        <w:pStyle w:val="Subsection"/>
        <w:rPr>
          <w:snapToGrid w:val="0"/>
        </w:rPr>
      </w:pPr>
      <w:r>
        <w:rPr>
          <w:snapToGrid w:val="0"/>
        </w:rPr>
        <w:tab/>
        <w:t>(1)</w:t>
      </w:r>
      <w:r>
        <w:rPr>
          <w:snapToGrid w:val="0"/>
        </w:rPr>
        <w:tab/>
        <w:t>If a person is both a public service officer and a director — </w:t>
      </w:r>
    </w:p>
    <w:p>
      <w:pPr>
        <w:pStyle w:val="Indenta"/>
        <w:rPr>
          <w:snapToGrid w:val="0"/>
        </w:rPr>
      </w:pPr>
      <w:r>
        <w:rPr>
          <w:snapToGrid w:val="0"/>
        </w:rPr>
        <w:tab/>
        <w:t>(a)</w:t>
      </w:r>
      <w:r>
        <w:rPr>
          <w:snapToGrid w:val="0"/>
        </w:rPr>
        <w:tab/>
        <w:t>the person’s duties as a director are to prevail if a conflict arises between those duties and the person’s other duties as a public service officer; and</w:t>
      </w:r>
    </w:p>
    <w:p>
      <w:pPr>
        <w:pStyle w:val="Indenta"/>
        <w:rPr>
          <w:snapToGrid w:val="0"/>
        </w:rPr>
      </w:pPr>
      <w:r>
        <w:rPr>
          <w:snapToGrid w:val="0"/>
        </w:rPr>
        <w:tab/>
        <w:t>(b)</w:t>
      </w:r>
      <w:r>
        <w:rPr>
          <w:snapToGrid w:val="0"/>
        </w:rPr>
        <w:tab/>
        <w:t>the person does not have any immunity of the Crown in respect of the duties and liabilities imposed on directors by this Act.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rPr>
          <w:snapToGrid w:val="0"/>
        </w:rPr>
      </w:pPr>
      <w:bookmarkStart w:id="33" w:name="_Toc398889940"/>
      <w:bookmarkStart w:id="34" w:name="_Toc424284375"/>
      <w:r>
        <w:rPr>
          <w:rStyle w:val="CharSectno"/>
        </w:rPr>
        <w:t>12</w:t>
      </w:r>
      <w:r>
        <w:rPr>
          <w:snapToGrid w:val="0"/>
        </w:rPr>
        <w:t>.</w:t>
      </w:r>
      <w:r>
        <w:rPr>
          <w:snapToGrid w:val="0"/>
        </w:rPr>
        <w:tab/>
        <w:t>Notifiable interests, disclosing</w:t>
      </w:r>
      <w:bookmarkEnd w:id="33"/>
      <w:bookmarkEnd w:id="34"/>
    </w:p>
    <w:p>
      <w:pPr>
        <w:pStyle w:val="Subsection"/>
        <w:rPr>
          <w:snapToGrid w:val="0"/>
        </w:rPr>
      </w:pPr>
      <w:r>
        <w:rPr>
          <w:snapToGrid w:val="0"/>
        </w:rPr>
        <w:tab/>
        <w:t>(1)</w:t>
      </w:r>
      <w:r>
        <w:rPr>
          <w:snapToGrid w:val="0"/>
        </w:rPr>
        <w:tab/>
        <w:t>A director of a port authority who has a notifiable interest in a matter involving the port authority must, as soon as possible after the relevant facts have come to the director’s knowledge, disclose the nature of the interest at a meeting of the board of the port authority.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disclosure under subsection (1) is to be recorded in the minutes of the meeting.</w:t>
      </w:r>
    </w:p>
    <w:p>
      <w:pPr>
        <w:pStyle w:val="Subsection"/>
        <w:keepNext/>
        <w:keepLines/>
        <w:rPr>
          <w:snapToGrid w:val="0"/>
        </w:rPr>
      </w:pPr>
      <w:r>
        <w:rPr>
          <w:snapToGrid w:val="0"/>
        </w:rPr>
        <w:tab/>
        <w:t>(3)</w:t>
      </w:r>
      <w:r>
        <w:rPr>
          <w:snapToGrid w:val="0"/>
        </w:rPr>
        <w:tab/>
        <w:t>In subsection (1) — </w:t>
      </w:r>
    </w:p>
    <w:p>
      <w:pPr>
        <w:pStyle w:val="Defstart"/>
      </w:pPr>
      <w:r>
        <w:rPr>
          <w:b/>
        </w:rPr>
        <w:tab/>
      </w:r>
      <w:r>
        <w:rPr>
          <w:rStyle w:val="CharDefText"/>
        </w:rPr>
        <w:t>notifiable interest</w:t>
      </w:r>
      <w:r>
        <w:t xml:space="preserve"> means an interest in the matter that will, under Schedule 2, clause 8(1), disqualify the director from voting on the matter at a meeting of the board unless allowed to do so by a resolution under clause 8(3) or a declaration under clause 8(6).</w:t>
      </w:r>
    </w:p>
    <w:p>
      <w:pPr>
        <w:pStyle w:val="Heading5"/>
        <w:rPr>
          <w:snapToGrid w:val="0"/>
        </w:rPr>
      </w:pPr>
      <w:bookmarkStart w:id="35" w:name="_Toc398889941"/>
      <w:bookmarkStart w:id="36" w:name="_Toc424284376"/>
      <w:r>
        <w:rPr>
          <w:rStyle w:val="CharSectno"/>
        </w:rPr>
        <w:t>13</w:t>
      </w:r>
      <w:r>
        <w:rPr>
          <w:snapToGrid w:val="0"/>
        </w:rPr>
        <w:t>.</w:t>
      </w:r>
      <w:r>
        <w:rPr>
          <w:snapToGrid w:val="0"/>
        </w:rPr>
        <w:tab/>
        <w:t>Committees</w:t>
      </w:r>
      <w:bookmarkEnd w:id="35"/>
      <w:bookmarkEnd w:id="36"/>
      <w:r>
        <w:rPr>
          <w:snapToGrid w:val="0"/>
        </w:rPr>
        <w:t xml:space="preserve"> </w:t>
      </w:r>
    </w:p>
    <w:p>
      <w:pPr>
        <w:pStyle w:val="Subsection"/>
        <w:rPr>
          <w:snapToGrid w:val="0"/>
        </w:rPr>
      </w:pPr>
      <w:r>
        <w:rPr>
          <w:snapToGrid w:val="0"/>
        </w:rPr>
        <w:tab/>
        <w:t>(1)</w:t>
      </w:r>
      <w:r>
        <w:rPr>
          <w:snapToGrid w:val="0"/>
        </w:rPr>
        <w:tab/>
        <w:t>A board may — </w:t>
      </w:r>
    </w:p>
    <w:p>
      <w:pPr>
        <w:pStyle w:val="Indenta"/>
        <w:rPr>
          <w:snapToGrid w:val="0"/>
        </w:rPr>
      </w:pPr>
      <w:r>
        <w:rPr>
          <w:snapToGrid w:val="0"/>
        </w:rPr>
        <w:tab/>
        <w:t>(a)</w:t>
      </w:r>
      <w:r>
        <w:rPr>
          <w:snapToGrid w:val="0"/>
        </w:rPr>
        <w:tab/>
        <w:t>appoint committees of directors or other persons; and</w:t>
      </w:r>
    </w:p>
    <w:p>
      <w:pPr>
        <w:pStyle w:val="Indenta"/>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w:t>
      </w:r>
    </w:p>
    <w:p>
      <w:pPr>
        <w:pStyle w:val="Subsection"/>
        <w:rPr>
          <w:snapToGrid w:val="0"/>
        </w:rPr>
      </w:pPr>
      <w:r>
        <w:rPr>
          <w:snapToGrid w:val="0"/>
        </w:rPr>
        <w:tab/>
        <w:t>(3)</w:t>
      </w:r>
      <w:r>
        <w:rPr>
          <w:snapToGrid w:val="0"/>
        </w:rPr>
        <w:tab/>
        <w:t>A committee may, with the approval of the board, invite any person, including a member of staff, to participate in a meeting of the committee but such a person cannot vote on any resolution before the committee.</w:t>
      </w:r>
    </w:p>
    <w:p>
      <w:pPr>
        <w:pStyle w:val="Subsection"/>
        <w:rPr>
          <w:snapToGrid w:val="0"/>
        </w:rPr>
      </w:pPr>
      <w:r>
        <w:rPr>
          <w:snapToGrid w:val="0"/>
        </w:rPr>
        <w:tab/>
        <w:t>(4)</w:t>
      </w:r>
      <w:r>
        <w:rPr>
          <w:snapToGrid w:val="0"/>
        </w:rPr>
        <w:tab/>
        <w:t>Subject to subsection (2), a committee may determine its own procedures.</w:t>
      </w:r>
    </w:p>
    <w:p>
      <w:pPr>
        <w:pStyle w:val="Subsection"/>
      </w:pPr>
      <w:r>
        <w:tab/>
        <w:t>(5)</w:t>
      </w:r>
      <w:r>
        <w:tab/>
        <w:t xml:space="preserve">The port authority is to provide a committee with such — </w:t>
      </w:r>
    </w:p>
    <w:p>
      <w:pPr>
        <w:pStyle w:val="Indenta"/>
      </w:pPr>
      <w:r>
        <w:tab/>
        <w:t>(a)</w:t>
      </w:r>
      <w:r>
        <w:tab/>
        <w:t>administrative support; and</w:t>
      </w:r>
    </w:p>
    <w:p>
      <w:pPr>
        <w:pStyle w:val="Indenta"/>
      </w:pPr>
      <w:r>
        <w:tab/>
        <w:t>(b)</w:t>
      </w:r>
      <w:r>
        <w:tab/>
        <w:t>facilities,</w:t>
      </w:r>
    </w:p>
    <w:p>
      <w:pPr>
        <w:pStyle w:val="Subsection"/>
      </w:pPr>
      <w:r>
        <w:tab/>
      </w:r>
      <w:r>
        <w:tab/>
        <w:t>as the committee may reasonably require for the performance of its functions.</w:t>
      </w:r>
    </w:p>
    <w:p>
      <w:pPr>
        <w:pStyle w:val="Footnotesection"/>
      </w:pPr>
      <w:r>
        <w:tab/>
        <w:t>[Section 13 amended by No. 9 of 2014 s. 8.]</w:t>
      </w:r>
    </w:p>
    <w:p>
      <w:pPr>
        <w:pStyle w:val="Heading5"/>
      </w:pPr>
      <w:bookmarkStart w:id="37" w:name="_Toc398889942"/>
      <w:bookmarkStart w:id="38" w:name="_Toc424284377"/>
      <w:r>
        <w:rPr>
          <w:rStyle w:val="CharSectno"/>
        </w:rPr>
        <w:t>14A</w:t>
      </w:r>
      <w:r>
        <w:t>.</w:t>
      </w:r>
      <w:r>
        <w:tab/>
        <w:t>Community consultation committees</w:t>
      </w:r>
      <w:bookmarkEnd w:id="37"/>
      <w:bookmarkEnd w:id="38"/>
    </w:p>
    <w:p>
      <w:pPr>
        <w:pStyle w:val="Subsection"/>
      </w:pPr>
      <w:r>
        <w:tab/>
        <w:t>(1)</w:t>
      </w:r>
      <w:r>
        <w:tab/>
        <w:t xml:space="preserve">In this section — </w:t>
      </w:r>
    </w:p>
    <w:p>
      <w:pPr>
        <w:pStyle w:val="Defstart"/>
      </w:pPr>
      <w:r>
        <w:tab/>
      </w:r>
      <w:r>
        <w:rPr>
          <w:rStyle w:val="CharDefText"/>
        </w:rPr>
        <w:t>consultation committee</w:t>
      </w:r>
      <w:r>
        <w:t xml:space="preserve"> means the committee established as required by subsection (2).</w:t>
      </w:r>
    </w:p>
    <w:p>
      <w:pPr>
        <w:pStyle w:val="Subsection"/>
      </w:pPr>
      <w:r>
        <w:tab/>
        <w:t>(2)</w:t>
      </w:r>
      <w:r>
        <w:tab/>
        <w:t>Without limiting section 13, a port authority must, under that section, establish a committee for the port for the purpose of promoting and facilitating communication, information sharing and consultation between the port authority and members of the public who are or may be affected by port operations.</w:t>
      </w:r>
    </w:p>
    <w:p>
      <w:pPr>
        <w:pStyle w:val="Subsection"/>
      </w:pPr>
      <w:r>
        <w:tab/>
        <w:t>(3)</w:t>
      </w:r>
      <w:r>
        <w:tab/>
        <w:t>A local government that has electors who are or may be affected by port operations at the port is to be represented on the consultation committee.</w:t>
      </w:r>
    </w:p>
    <w:p>
      <w:pPr>
        <w:pStyle w:val="Subsection"/>
      </w:pPr>
      <w:r>
        <w:tab/>
        <w:t>(4)</w:t>
      </w:r>
      <w:r>
        <w:tab/>
        <w:t>Minutes of the proceedings of the consultation committee are to be made available on the port authority’s website or in a prescribed manner.</w:t>
      </w:r>
    </w:p>
    <w:p>
      <w:pPr>
        <w:pStyle w:val="Subsection"/>
      </w:pPr>
      <w:r>
        <w:tab/>
        <w:t>(5)</w:t>
      </w:r>
      <w:r>
        <w:tab/>
        <w:t>Subsection (2) does not apply if the regulations exempt the port from the operation of this section.</w:t>
      </w:r>
    </w:p>
    <w:p>
      <w:pPr>
        <w:pStyle w:val="Footnotesection"/>
      </w:pPr>
      <w:r>
        <w:tab/>
        <w:t>[Section 14A inserted by No. 9 of 2014 s. 9.]</w:t>
      </w:r>
    </w:p>
    <w:p>
      <w:pPr>
        <w:pStyle w:val="Heading3"/>
      </w:pPr>
      <w:bookmarkStart w:id="39" w:name="_Toc398889943"/>
      <w:bookmarkStart w:id="40" w:name="_Toc424284378"/>
      <w:r>
        <w:rPr>
          <w:rStyle w:val="CharDivNo"/>
        </w:rPr>
        <w:t>Division 3</w:t>
      </w:r>
      <w:r>
        <w:rPr>
          <w:snapToGrid w:val="0"/>
        </w:rPr>
        <w:t xml:space="preserve"> — </w:t>
      </w:r>
      <w:r>
        <w:rPr>
          <w:rStyle w:val="CharDivText"/>
        </w:rPr>
        <w:t>Staff</w:t>
      </w:r>
      <w:bookmarkEnd w:id="39"/>
      <w:bookmarkEnd w:id="40"/>
      <w:r>
        <w:rPr>
          <w:rStyle w:val="CharDivText"/>
        </w:rPr>
        <w:t xml:space="preserve"> </w:t>
      </w:r>
    </w:p>
    <w:p>
      <w:pPr>
        <w:pStyle w:val="Heading5"/>
        <w:rPr>
          <w:snapToGrid w:val="0"/>
        </w:rPr>
      </w:pPr>
      <w:bookmarkStart w:id="41" w:name="_Toc398889944"/>
      <w:bookmarkStart w:id="42" w:name="_Toc424284379"/>
      <w:r>
        <w:rPr>
          <w:rStyle w:val="CharSectno"/>
        </w:rPr>
        <w:t>14</w:t>
      </w:r>
      <w:r>
        <w:rPr>
          <w:snapToGrid w:val="0"/>
        </w:rPr>
        <w:t>.</w:t>
      </w:r>
      <w:r>
        <w:rPr>
          <w:snapToGrid w:val="0"/>
        </w:rPr>
        <w:tab/>
        <w:t>Chief executive officer</w:t>
      </w:r>
      <w:bookmarkEnd w:id="41"/>
      <w:bookmarkEnd w:id="42"/>
      <w:r>
        <w:rPr>
          <w:snapToGrid w:val="0"/>
        </w:rPr>
        <w:t xml:space="preserve"> </w:t>
      </w:r>
    </w:p>
    <w:p>
      <w:pPr>
        <w:pStyle w:val="Subsection"/>
        <w:rPr>
          <w:snapToGrid w:val="0"/>
        </w:rPr>
      </w:pPr>
      <w:r>
        <w:rPr>
          <w:snapToGrid w:val="0"/>
        </w:rPr>
        <w:tab/>
        <w:t>(1)</w:t>
      </w:r>
      <w:r>
        <w:rPr>
          <w:snapToGrid w:val="0"/>
        </w:rPr>
        <w:tab/>
        <w:t>A port authority is to have a chief executive officer.</w:t>
      </w:r>
    </w:p>
    <w:p>
      <w:pPr>
        <w:pStyle w:val="Subsection"/>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 xml:space="preserve">subject to the </w:t>
      </w:r>
      <w:r>
        <w:rPr>
          <w:i/>
          <w:snapToGrid w:val="0"/>
        </w:rPr>
        <w:t>Salaries and Allowances Act 1975</w:t>
      </w:r>
      <w:r>
        <w:rPr>
          <w:snapToGrid w:val="0"/>
        </w:rPr>
        <w:t>, to fix and alter the terms and conditions of service of the chief executive officer,</w:t>
      </w:r>
    </w:p>
    <w:p>
      <w:pPr>
        <w:pStyle w:val="Subsection"/>
        <w:rPr>
          <w:snapToGrid w:val="0"/>
        </w:rPr>
      </w:pPr>
      <w:r>
        <w:rPr>
          <w:snapToGrid w:val="0"/>
        </w:rPr>
        <w:tab/>
      </w:r>
      <w:r>
        <w:rPr>
          <w:snapToGrid w:val="0"/>
        </w:rPr>
        <w:tab/>
        <w:t>are vested in the board.</w:t>
      </w:r>
    </w:p>
    <w:p>
      <w:pPr>
        <w:pStyle w:val="Subsection"/>
        <w:rPr>
          <w:snapToGrid w:val="0"/>
        </w:rPr>
      </w:pPr>
      <w:r>
        <w:rPr>
          <w:snapToGrid w:val="0"/>
        </w:rPr>
        <w:tab/>
        <w:t>(3)</w:t>
      </w:r>
      <w:r>
        <w:rPr>
          <w:snapToGrid w:val="0"/>
        </w:rPr>
        <w:tab/>
        <w:t>The board must get the Minister’s approval before it exercises any of the powers conferred by subsection (2).</w:t>
      </w:r>
    </w:p>
    <w:p>
      <w:pPr>
        <w:pStyle w:val="Subsection"/>
        <w:rPr>
          <w:snapToGrid w:val="0"/>
        </w:rPr>
      </w:pPr>
      <w:r>
        <w:rPr>
          <w:snapToGrid w:val="0"/>
        </w:rPr>
        <w:tab/>
        <w:t>(4)</w:t>
      </w:r>
      <w:r>
        <w:rPr>
          <w:snapToGrid w:val="0"/>
        </w:rPr>
        <w:tab/>
        <w:t>The chief executive officer of a port authority may resign from office by giving notice in writing to the board.</w:t>
      </w:r>
    </w:p>
    <w:p>
      <w:pPr>
        <w:pStyle w:val="Subsection"/>
        <w:keepLines/>
        <w:rPr>
          <w:snapToGrid w:val="0"/>
        </w:rPr>
      </w:pPr>
      <w:r>
        <w:rPr>
          <w:snapToGrid w:val="0"/>
        </w:rPr>
        <w:tab/>
        <w:t>(5)</w:t>
      </w:r>
      <w:r>
        <w:rPr>
          <w:snapToGrid w:val="0"/>
        </w:rPr>
        <w:tab/>
        <w:t>If the chief executive officer’s terms and conditions of service deal with the matter of resignation, the right to resign under subsection (4) can only be exercised in accordance with those terms and conditions.</w:t>
      </w:r>
    </w:p>
    <w:p>
      <w:pPr>
        <w:pStyle w:val="Subsection"/>
        <w:rPr>
          <w:snapToGrid w:val="0"/>
        </w:rPr>
      </w:pPr>
      <w:r>
        <w:rPr>
          <w:snapToGrid w:val="0"/>
        </w:rPr>
        <w:tab/>
        <w:t>(6)</w:t>
      </w:r>
      <w:r>
        <w:rPr>
          <w:snapToGrid w:val="0"/>
        </w:rP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Heading5"/>
        <w:rPr>
          <w:snapToGrid w:val="0"/>
        </w:rPr>
      </w:pPr>
      <w:bookmarkStart w:id="43" w:name="_Toc398889945"/>
      <w:bookmarkStart w:id="44" w:name="_Toc424284380"/>
      <w:r>
        <w:rPr>
          <w:rStyle w:val="CharSectno"/>
        </w:rPr>
        <w:t>15</w:t>
      </w:r>
      <w:r>
        <w:rPr>
          <w:snapToGrid w:val="0"/>
        </w:rPr>
        <w:t>.</w:t>
      </w:r>
      <w:r>
        <w:rPr>
          <w:snapToGrid w:val="0"/>
        </w:rPr>
        <w:tab/>
        <w:t>CEO’s functions</w:t>
      </w:r>
      <w:bookmarkEnd w:id="43"/>
      <w:bookmarkEnd w:id="44"/>
    </w:p>
    <w:p>
      <w:pPr>
        <w:pStyle w:val="Subsection"/>
        <w:rPr>
          <w:snapToGrid w:val="0"/>
        </w:rPr>
      </w:pPr>
      <w:r>
        <w:rPr>
          <w:snapToGrid w:val="0"/>
        </w:rPr>
        <w:tab/>
      </w:r>
      <w:r>
        <w:rPr>
          <w:snapToGrid w:val="0"/>
        </w:rPr>
        <w:tab/>
        <w:t>Subject to the control of the board, the CEO of a port authority is responsible for, and has all the powers needed to administer, the day to day operations of the port authority.</w:t>
      </w:r>
    </w:p>
    <w:p>
      <w:pPr>
        <w:pStyle w:val="Heading5"/>
        <w:rPr>
          <w:snapToGrid w:val="0"/>
        </w:rPr>
      </w:pPr>
      <w:bookmarkStart w:id="45" w:name="_Toc398889946"/>
      <w:bookmarkStart w:id="46" w:name="_Toc424284381"/>
      <w:r>
        <w:rPr>
          <w:rStyle w:val="CharSectno"/>
        </w:rPr>
        <w:t>16</w:t>
      </w:r>
      <w:r>
        <w:rPr>
          <w:snapToGrid w:val="0"/>
        </w:rPr>
        <w:t>.</w:t>
      </w:r>
      <w:r>
        <w:rPr>
          <w:snapToGrid w:val="0"/>
        </w:rPr>
        <w:tab/>
        <w:t>Staff</w:t>
      </w:r>
      <w:bookmarkEnd w:id="45"/>
      <w:bookmarkEnd w:id="46"/>
      <w:r>
        <w:rPr>
          <w:snapToGrid w:val="0"/>
        </w:rPr>
        <w:t xml:space="preserve"> </w:t>
      </w:r>
    </w:p>
    <w:p>
      <w:pPr>
        <w:pStyle w:val="Subsection"/>
        <w:rPr>
          <w:snapToGrid w:val="0"/>
        </w:rPr>
      </w:pPr>
      <w:r>
        <w:rPr>
          <w:snapToGrid w:val="0"/>
        </w:rPr>
        <w:tab/>
        <w:t>(1)</w:t>
      </w:r>
      <w:r>
        <w:rPr>
          <w:snapToGrid w:val="0"/>
        </w:rPr>
        <w:tab/>
        <w:t>The power to engage and manage the staff of a port authority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of staff, to remove, suspend and discipline staff and to terminate the employment of staff; and</w:t>
      </w:r>
    </w:p>
    <w:p>
      <w:pPr>
        <w:pStyle w:val="Indenta"/>
        <w:rPr>
          <w:snapToGrid w:val="0"/>
        </w:rPr>
      </w:pPr>
      <w:r>
        <w:rPr>
          <w:snapToGrid w:val="0"/>
        </w:rPr>
        <w:tab/>
        <w:t>(b)</w:t>
      </w:r>
      <w:r>
        <w:rPr>
          <w:snapToGrid w:val="0"/>
        </w:rPr>
        <w:tab/>
        <w:t>does not preclude the delegation of any matter under section 44.</w:t>
      </w:r>
    </w:p>
    <w:p>
      <w:pPr>
        <w:pStyle w:val="Subsection"/>
        <w:keepNext/>
        <w:rPr>
          <w:snapToGrid w:val="0"/>
        </w:rPr>
      </w:pPr>
      <w:r>
        <w:rPr>
          <w:snapToGrid w:val="0"/>
        </w:rPr>
        <w:tab/>
        <w:t>(3)</w:t>
      </w:r>
      <w:r>
        <w:rPr>
          <w:snapToGrid w:val="0"/>
        </w:rPr>
        <w:tab/>
        <w:t>The remuneration of and other terms and conditions of employment of staff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keepNext/>
        <w:rPr>
          <w:snapToGrid w:val="0"/>
        </w:rPr>
      </w:pPr>
      <w:r>
        <w:rPr>
          <w:snapToGrid w:val="0"/>
        </w:rPr>
        <w:tab/>
        <w:t>(4)</w:t>
      </w:r>
      <w:r>
        <w:rPr>
          <w:snapToGrid w:val="0"/>
        </w:rPr>
        <w:tab/>
        <w:t xml:space="preserve">There are excluded from the operation of sections 41, 41A and 43 of the </w:t>
      </w:r>
      <w:r>
        <w:rPr>
          <w:i/>
          <w:snapToGrid w:val="0"/>
        </w:rPr>
        <w:t>Industrial Relations Act 1979 </w:t>
      </w:r>
      <w:r>
        <w:rPr>
          <w:snapToGrid w:val="0"/>
        </w:rPr>
        <w:t>— </w:t>
      </w:r>
    </w:p>
    <w:p>
      <w:pPr>
        <w:pStyle w:val="Indenta"/>
        <w:keepNext/>
        <w:rPr>
          <w:snapToGrid w:val="0"/>
        </w:rPr>
      </w:pPr>
      <w:r>
        <w:rPr>
          <w:snapToGrid w:val="0"/>
        </w:rPr>
        <w:tab/>
        <w:t>(a)</w:t>
      </w:r>
      <w:r>
        <w:rPr>
          <w:snapToGrid w:val="0"/>
        </w:rPr>
        <w:tab/>
        <w:t>any matters dealt with by an instrument issued under section 17, except — </w:t>
      </w:r>
    </w:p>
    <w:p>
      <w:pPr>
        <w:pStyle w:val="Indenti"/>
        <w:rPr>
          <w:snapToGrid w:val="0"/>
        </w:rPr>
      </w:pPr>
      <w:r>
        <w:rPr>
          <w:snapToGrid w:val="0"/>
        </w:rPr>
        <w:tab/>
        <w:t>(i)</w:t>
      </w:r>
      <w:r>
        <w:rPr>
          <w:snapToGrid w:val="0"/>
        </w:rPr>
        <w:tab/>
        <w:t>rates of remuneration; and</w:t>
      </w:r>
    </w:p>
    <w:p>
      <w:pPr>
        <w:pStyle w:val="Indenti"/>
        <w:rPr>
          <w:snapToGrid w:val="0"/>
        </w:rPr>
      </w:pPr>
      <w:r>
        <w:rPr>
          <w:snapToGrid w:val="0"/>
        </w:rPr>
        <w:tab/>
        <w:t>(ii)</w:t>
      </w:r>
      <w:r>
        <w:rPr>
          <w:snapToGrid w:val="0"/>
        </w:rPr>
        <w:tab/>
        <w:t>leave; and</w:t>
      </w:r>
    </w:p>
    <w:p>
      <w:pPr>
        <w:pStyle w:val="Indenti"/>
        <w:rPr>
          <w:snapToGrid w:val="0"/>
        </w:rPr>
      </w:pPr>
      <w:r>
        <w:rPr>
          <w:snapToGrid w:val="0"/>
        </w:rPr>
        <w:tab/>
        <w:t>(iii)</w:t>
      </w:r>
      <w:r>
        <w:rPr>
          <w:snapToGrid w:val="0"/>
        </w:rPr>
        <w:tab/>
        <w:t>hours of duty; and</w:t>
      </w:r>
    </w:p>
    <w:p>
      <w:pPr>
        <w:pStyle w:val="Indenti"/>
        <w:rPr>
          <w:snapToGrid w:val="0"/>
        </w:rPr>
      </w:pPr>
      <w:r>
        <w:rPr>
          <w:snapToGrid w:val="0"/>
        </w:rPr>
        <w:tab/>
        <w:t>(iv)</w:t>
      </w:r>
      <w:r>
        <w:rPr>
          <w:snapToGrid w:val="0"/>
        </w:rPr>
        <w:tab/>
        <w:t xml:space="preserve">matters that are similar to matters prescribed for the purposes of section 99(1)(a)(iv) of the </w:t>
      </w:r>
      <w:r>
        <w:rPr>
          <w:i/>
          <w:snapToGrid w:val="0"/>
        </w:rPr>
        <w:t>Public Sector Management Act 1994</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matters concerning the management of the staff that are similar to matters prescribed for the purposes of section 99(1)(c) of the </w:t>
      </w:r>
      <w:r>
        <w:rPr>
          <w:i/>
          <w:snapToGrid w:val="0"/>
        </w:rPr>
        <w:t>Public Sector Management Act 1994</w:t>
      </w:r>
      <w:r>
        <w:rPr>
          <w:snapToGrid w:val="0"/>
        </w:rPr>
        <w:t>.</w:t>
      </w:r>
    </w:p>
    <w:p>
      <w:pPr>
        <w:pStyle w:val="Subsection"/>
        <w:spacing w:before="180"/>
      </w:pPr>
      <w:r>
        <w:tab/>
        <w:t>(4a)</w:t>
      </w:r>
      <w:r>
        <w:tab/>
        <w:t>A matter referred to in subsection (4) cannot be varied or affected by an employer</w:t>
      </w:r>
      <w:r>
        <w:noBreakHyphen/>
        <w:t xml:space="preserve">employee agreement made under Part VID of the </w:t>
      </w:r>
      <w:r>
        <w:rPr>
          <w:i/>
        </w:rPr>
        <w:t>Industrial Relations Act 1979</w:t>
      </w:r>
      <w:r>
        <w:t>.</w:t>
      </w:r>
    </w:p>
    <w:p>
      <w:pPr>
        <w:pStyle w:val="Ednotesubsection"/>
        <w:spacing w:before="180"/>
      </w:pPr>
      <w:r>
        <w:tab/>
        <w:t>[(5)</w:t>
      </w:r>
      <w:r>
        <w:tab/>
        <w:t>deleted]</w:t>
      </w:r>
    </w:p>
    <w:p>
      <w:pPr>
        <w:pStyle w:val="Subsection"/>
        <w:spacing w:before="180"/>
      </w:pPr>
      <w:r>
        <w:tab/>
        <w:t>(6)</w:t>
      </w:r>
      <w:r>
        <w:tab/>
        <w:t xml:space="preserve">Nothing in this section other than subsection (4a) affects the operation of Part VID of the </w:t>
      </w:r>
      <w:r>
        <w:rPr>
          <w:i/>
        </w:rPr>
        <w:t>Industrial Relations Act 1979</w:t>
      </w:r>
      <w:r>
        <w:t>.</w:t>
      </w:r>
    </w:p>
    <w:p>
      <w:pPr>
        <w:pStyle w:val="Footnotesection"/>
      </w:pPr>
      <w:r>
        <w:tab/>
        <w:t>[Section 16 amended by No. 20 of 2002 s. 23; amended in Gazette 15 Aug 2003 p. 3689.]</w:t>
      </w:r>
    </w:p>
    <w:p>
      <w:pPr>
        <w:pStyle w:val="Heading5"/>
        <w:spacing w:before="240"/>
        <w:rPr>
          <w:snapToGrid w:val="0"/>
        </w:rPr>
      </w:pPr>
      <w:bookmarkStart w:id="47" w:name="_Toc398889947"/>
      <w:bookmarkStart w:id="48" w:name="_Toc424284382"/>
      <w:r>
        <w:rPr>
          <w:rStyle w:val="CharSectno"/>
        </w:rPr>
        <w:t>17</w:t>
      </w:r>
      <w:r>
        <w:rPr>
          <w:snapToGrid w:val="0"/>
        </w:rPr>
        <w:t>.</w:t>
      </w:r>
      <w:r>
        <w:rPr>
          <w:snapToGrid w:val="0"/>
        </w:rPr>
        <w:tab/>
        <w:t>Minimum standards for staff management</w:t>
      </w:r>
      <w:bookmarkEnd w:id="47"/>
      <w:bookmarkEnd w:id="48"/>
      <w:r>
        <w:rPr>
          <w:snapToGrid w:val="0"/>
        </w:rPr>
        <w:t xml:space="preserve"> </w:t>
      </w:r>
    </w:p>
    <w:p>
      <w:pPr>
        <w:pStyle w:val="Subsection"/>
        <w:spacing w:before="180"/>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an instrument setting out minimum standards of merit, equity and probity applicable to the management of the staff of the port authority.</w:t>
      </w:r>
    </w:p>
    <w:p>
      <w:pPr>
        <w:pStyle w:val="Subsection"/>
        <w:keepNext/>
        <w:spacing w:before="180"/>
        <w:rPr>
          <w:snapToGrid w:val="0"/>
        </w:rPr>
      </w:pPr>
      <w:r>
        <w:rPr>
          <w:snapToGrid w:val="0"/>
        </w:rPr>
        <w:tab/>
        <w:t>(2)</w:t>
      </w:r>
      <w:r>
        <w:rPr>
          <w:snapToGrid w:val="0"/>
        </w:rPr>
        <w:tab/>
        <w:t xml:space="preserve">In complying with subsection (1) a board is to have regard to the principles set out in section 8 of the </w:t>
      </w:r>
      <w:r>
        <w:rPr>
          <w:i/>
          <w:snapToGrid w:val="0"/>
        </w:rPr>
        <w:t>Public Sector Management Act 1994</w:t>
      </w:r>
      <w:r>
        <w:rPr>
          <w:snapToGrid w:val="0"/>
        </w:rPr>
        <w:t>.</w:t>
      </w:r>
    </w:p>
    <w:p>
      <w:pPr>
        <w:pStyle w:val="Subsection"/>
        <w:rPr>
          <w:snapToGrid w:val="0"/>
        </w:rPr>
      </w:pPr>
      <w:r>
        <w:rPr>
          <w:snapToGrid w:val="0"/>
        </w:rPr>
        <w:tab/>
        <w:t>(3)</w:t>
      </w:r>
      <w:r>
        <w:rPr>
          <w:snapToGrid w:val="0"/>
        </w:rPr>
        <w:tab/>
        <w:t>Section 14(3) is not affected by the requirements of subsection (2).</w:t>
      </w:r>
    </w:p>
    <w:p>
      <w:pPr>
        <w:pStyle w:val="Subsection"/>
        <w:rPr>
          <w:snapToGrid w:val="0"/>
        </w:rPr>
      </w:pPr>
      <w:r>
        <w:rPr>
          <w:snapToGrid w:val="0"/>
        </w:rPr>
        <w:tab/>
        <w:t>(4)</w:t>
      </w:r>
      <w:r>
        <w:rPr>
          <w:snapToGrid w:val="0"/>
        </w:rPr>
        <w:tab/>
        <w:t xml:space="preserve">The </w:t>
      </w:r>
      <w:r>
        <w:t>Public Sector Commissioner</w:t>
      </w:r>
      <w:r>
        <w:rPr>
          <w:snapToGrid w:val="0"/>
        </w:rPr>
        <w:t xml:space="preserve"> may at any time recommend to a board any amendment that the Commissioner thinks should be made to an instrument issued under this section.</w:t>
      </w:r>
    </w:p>
    <w:p>
      <w:pPr>
        <w:pStyle w:val="Subsection"/>
        <w:rPr>
          <w:snapToGrid w:val="0"/>
        </w:rPr>
      </w:pPr>
      <w:r>
        <w:rPr>
          <w:snapToGrid w:val="0"/>
        </w:rPr>
        <w:tab/>
        <w:t>(5)</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(4) applies, is to do so only after consultation with the</w:t>
      </w:r>
      <w:r>
        <w:t xml:space="preserve"> Public Sector Commissioner</w:t>
      </w:r>
      <w:r>
        <w:rPr>
          <w:snapToGrid w:val="0"/>
        </w:rPr>
        <w:t>.</w:t>
      </w:r>
    </w:p>
    <w:p>
      <w:pPr>
        <w:pStyle w:val="Footnotesection"/>
      </w:pPr>
      <w:r>
        <w:tab/>
        <w:t>[Section 17 amended by No. 39 of 2010 s. 81(3).]</w:t>
      </w:r>
    </w:p>
    <w:p>
      <w:pPr>
        <w:pStyle w:val="Heading5"/>
        <w:rPr>
          <w:snapToGrid w:val="0"/>
        </w:rPr>
      </w:pPr>
      <w:bookmarkStart w:id="49" w:name="_Toc398889948"/>
      <w:bookmarkStart w:id="50" w:name="_Toc424284383"/>
      <w:r>
        <w:rPr>
          <w:rStyle w:val="CharSectno"/>
        </w:rPr>
        <w:t>18</w:t>
      </w:r>
      <w:r>
        <w:rPr>
          <w:snapToGrid w:val="0"/>
        </w:rPr>
        <w:t>.</w:t>
      </w:r>
      <w:r>
        <w:rPr>
          <w:snapToGrid w:val="0"/>
        </w:rPr>
        <w:tab/>
        <w:t>Reports to Public Sector Commissioner as to s. 17 standards</w:t>
      </w:r>
      <w:bookmarkEnd w:id="49"/>
      <w:bookmarkEnd w:id="50"/>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of the minimum standards in force under section 17;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17.</w:t>
      </w:r>
    </w:p>
    <w:p>
      <w:pPr>
        <w:pStyle w:val="Footnotesection"/>
      </w:pPr>
      <w:r>
        <w:tab/>
        <w:t>[Section 18 amended by No. 39 of 2010 s. 81(3).]</w:t>
      </w:r>
    </w:p>
    <w:p>
      <w:pPr>
        <w:pStyle w:val="Heading5"/>
        <w:rPr>
          <w:snapToGrid w:val="0"/>
        </w:rPr>
      </w:pPr>
      <w:bookmarkStart w:id="51" w:name="_Toc398889949"/>
      <w:bookmarkStart w:id="52" w:name="_Toc424284384"/>
      <w:r>
        <w:rPr>
          <w:rStyle w:val="CharSectno"/>
        </w:rPr>
        <w:t>19</w:t>
      </w:r>
      <w:r>
        <w:rPr>
          <w:snapToGrid w:val="0"/>
        </w:rPr>
        <w:t>.</w:t>
      </w:r>
      <w:r>
        <w:rPr>
          <w:snapToGrid w:val="0"/>
        </w:rPr>
        <w:tab/>
        <w:t>Superannuation</w:t>
      </w:r>
      <w:bookmarkEnd w:id="51"/>
      <w:bookmarkEnd w:id="52"/>
      <w:r>
        <w:rPr>
          <w:snapToGrid w:val="0"/>
        </w:rPr>
        <w:t xml:space="preserve"> </w:t>
      </w:r>
    </w:p>
    <w:p>
      <w:pPr>
        <w:pStyle w:val="Subsection"/>
        <w:rPr>
          <w:snapToGrid w:val="0"/>
        </w:rPr>
      </w:pPr>
      <w:r>
        <w:rPr>
          <w:snapToGrid w:val="0"/>
        </w:rPr>
        <w:tab/>
        <w:t>(1)</w:t>
      </w:r>
      <w:r>
        <w:rPr>
          <w:snapToGrid w:val="0"/>
        </w:rPr>
        <w:tab/>
        <w:t>A port authority may grant, or make provision for the grant of, retirement benefits to members and former members of staff and their dependants and for that purpose may, subject to</w:t>
      </w:r>
      <w:r>
        <w:t xml:space="preserve"> section 30 of the </w:t>
      </w:r>
      <w:r>
        <w:rPr>
          <w:i/>
        </w:rPr>
        <w:t>State Superannuation Act 2000 </w:t>
      </w:r>
      <w:r>
        <w:rPr>
          <w:snapToGrid w:val="0"/>
        </w:rPr>
        <w:t>—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that body either alone or jointly with the port authority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(2)</w:t>
      </w:r>
      <w:r>
        <w:rPr>
          <w:snapToGrid w:val="0"/>
        </w:rPr>
        <w:tab/>
        <w:t>A port authority may make contributions to any fund or scheme referred to in subsection (1).</w:t>
      </w:r>
    </w:p>
    <w:p>
      <w:pPr>
        <w:pStyle w:val="Subsection"/>
        <w:rPr>
          <w:snapToGrid w:val="0"/>
        </w:rPr>
      </w:pPr>
      <w:r>
        <w:rPr>
          <w:snapToGrid w:val="0"/>
        </w:rPr>
        <w:tab/>
        <w:t>(3)</w:t>
      </w:r>
      <w:r>
        <w:rPr>
          <w:snapToGrid w:val="0"/>
        </w:rPr>
        <w:tab/>
        <w:t>In subsection (1) — </w:t>
      </w:r>
    </w:p>
    <w:p>
      <w:pPr>
        <w:pStyle w:val="Defstart"/>
      </w:pPr>
      <w:r>
        <w:rPr>
          <w:b/>
        </w:rPr>
        <w:tab/>
      </w:r>
      <w:r>
        <w:rPr>
          <w:rStyle w:val="CharDefText"/>
        </w:rPr>
        <w:t>members of staff</w:t>
      </w:r>
      <w:r>
        <w:t xml:space="preserve"> includes the CEO.</w:t>
      </w:r>
    </w:p>
    <w:p>
      <w:pPr>
        <w:pStyle w:val="Subsection"/>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in relation to a port authority or members or former members of staff or their dependants.</w:t>
      </w:r>
    </w:p>
    <w:p>
      <w:pPr>
        <w:pStyle w:val="Footnotesection"/>
      </w:pPr>
      <w:r>
        <w:tab/>
        <w:t>[Section 19 amended by No. 43 of 2000 s. 58.]</w:t>
      </w:r>
    </w:p>
    <w:p>
      <w:pPr>
        <w:pStyle w:val="Heading3"/>
      </w:pPr>
      <w:bookmarkStart w:id="53" w:name="_Toc398889950"/>
      <w:bookmarkStart w:id="54" w:name="_Toc424284385"/>
      <w:r>
        <w:rPr>
          <w:rStyle w:val="CharDivNo"/>
        </w:rPr>
        <w:t>Division 4</w:t>
      </w:r>
      <w:r>
        <w:rPr>
          <w:snapToGrid w:val="0"/>
        </w:rPr>
        <w:t xml:space="preserve"> — </w:t>
      </w:r>
      <w:r>
        <w:rPr>
          <w:rStyle w:val="CharDivText"/>
        </w:rPr>
        <w:t>Conduct and integrity of staff</w:t>
      </w:r>
      <w:bookmarkEnd w:id="53"/>
      <w:bookmarkEnd w:id="54"/>
    </w:p>
    <w:p>
      <w:pPr>
        <w:pStyle w:val="Heading5"/>
        <w:rPr>
          <w:snapToGrid w:val="0"/>
        </w:rPr>
      </w:pPr>
      <w:bookmarkStart w:id="55" w:name="_Toc398889951"/>
      <w:bookmarkStart w:id="56" w:name="_Toc424284386"/>
      <w:r>
        <w:rPr>
          <w:rStyle w:val="CharSectno"/>
        </w:rPr>
        <w:t>20</w:t>
      </w:r>
      <w:r>
        <w:rPr>
          <w:snapToGrid w:val="0"/>
        </w:rPr>
        <w:t>.</w:t>
      </w:r>
      <w:r>
        <w:rPr>
          <w:snapToGrid w:val="0"/>
        </w:rPr>
        <w:tab/>
        <w:t>CEO and staff, duties of (Sch. 3) etc.</w:t>
      </w:r>
      <w:bookmarkEnd w:id="55"/>
      <w:bookmarkEnd w:id="56"/>
    </w:p>
    <w:p>
      <w:pPr>
        <w:pStyle w:val="Subsection"/>
        <w:rPr>
          <w:snapToGrid w:val="0"/>
        </w:rPr>
      </w:pPr>
      <w:r>
        <w:rPr>
          <w:snapToGrid w:val="0"/>
        </w:rPr>
        <w:tab/>
        <w:t>(1)</w:t>
      </w:r>
      <w:r>
        <w:rPr>
          <w:snapToGrid w:val="0"/>
        </w:rPr>
        <w:tab/>
        <w:t>Schedule 3 has effect in relation to the CEO, former CEOs, members of staff and former members of staff.</w:t>
      </w:r>
    </w:p>
    <w:p>
      <w:pPr>
        <w:pStyle w:val="Subsection"/>
        <w:rPr>
          <w:snapToGrid w:val="0"/>
        </w:rPr>
      </w:pPr>
      <w:r>
        <w:rPr>
          <w:snapToGrid w:val="0"/>
        </w:rPr>
        <w:tab/>
        <w:t>(2)</w:t>
      </w:r>
      <w:r>
        <w:rPr>
          <w:snapToGrid w:val="0"/>
        </w:rPr>
        <w:tab/>
        <w:t>For the purposes of Schedule 3, the board of a port authority may designate a member of staff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member of staff,</w:t>
      </w:r>
    </w:p>
    <w:p>
      <w:pPr>
        <w:pStyle w:val="Subsection"/>
        <w:rPr>
          <w:snapToGrid w:val="0"/>
        </w:rPr>
      </w:pPr>
      <w:r>
        <w:rPr>
          <w:snapToGrid w:val="0"/>
        </w:rPr>
        <w:tab/>
      </w:r>
      <w:r>
        <w:rPr>
          <w:snapToGrid w:val="0"/>
        </w:rPr>
        <w:tab/>
        <w:t>and may in the same manner revoke such a designation.</w:t>
      </w:r>
    </w:p>
    <w:p>
      <w:pPr>
        <w:pStyle w:val="Heading5"/>
        <w:rPr>
          <w:snapToGrid w:val="0"/>
        </w:rPr>
      </w:pPr>
      <w:bookmarkStart w:id="57" w:name="_Toc398889952"/>
      <w:bookmarkStart w:id="58" w:name="_Toc424284387"/>
      <w:r>
        <w:rPr>
          <w:rStyle w:val="CharSectno"/>
        </w:rPr>
        <w:t>21</w:t>
      </w:r>
      <w:r>
        <w:rPr>
          <w:snapToGrid w:val="0"/>
        </w:rPr>
        <w:t>.</w:t>
      </w:r>
      <w:r>
        <w:rPr>
          <w:snapToGrid w:val="0"/>
        </w:rPr>
        <w:tab/>
        <w:t>Codes of conduct</w:t>
      </w:r>
      <w:bookmarkEnd w:id="57"/>
      <w:bookmarkEnd w:id="58"/>
      <w:r>
        <w:rPr>
          <w:snapToGrid w:val="0"/>
        </w:rPr>
        <w:t xml:space="preserve"> </w:t>
      </w:r>
    </w:p>
    <w:p>
      <w:pPr>
        <w:pStyle w:val="Subsection"/>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 code or codes of conduct setting out minimum standards of conduct and integrity to be observed by members of staff.</w:t>
      </w:r>
    </w:p>
    <w:p>
      <w:pPr>
        <w:pStyle w:val="Subsection"/>
        <w:rPr>
          <w:snapToGrid w:val="0"/>
        </w:rPr>
      </w:pPr>
      <w:r>
        <w:rPr>
          <w:snapToGrid w:val="0"/>
        </w:rPr>
        <w:tab/>
        <w:t>(2)</w:t>
      </w:r>
      <w:r>
        <w:rPr>
          <w:snapToGrid w:val="0"/>
        </w:rPr>
        <w:tab/>
        <w:t xml:space="preserve">In complying with subsection (1) a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A board may, after consultation with the </w:t>
      </w:r>
      <w:r>
        <w:t xml:space="preserve"> Public Sector Commissioner</w:t>
      </w:r>
      <w:r>
        <w:rPr>
          <w:snapToGrid w:val="0"/>
        </w:rPr>
        <w:t>, amend any code of conduct in force under subsection (1) or revoke it and substitute a new code of conduct.</w:t>
      </w:r>
    </w:p>
    <w:p>
      <w:pPr>
        <w:pStyle w:val="Subsection"/>
        <w:rPr>
          <w:snapToGrid w:val="0"/>
        </w:rPr>
      </w:pPr>
      <w:r>
        <w:rPr>
          <w:snapToGrid w:val="0"/>
        </w:rPr>
        <w:tab/>
        <w:t>(4)</w:t>
      </w:r>
      <w:r>
        <w:rPr>
          <w:snapToGrid w:val="0"/>
        </w:rPr>
        <w:tab/>
        <w:t>In this section and in sections 22 and 23 — </w:t>
      </w:r>
    </w:p>
    <w:p>
      <w:pPr>
        <w:pStyle w:val="Defstart"/>
      </w:pPr>
      <w:r>
        <w:rPr>
          <w:b/>
        </w:rPr>
        <w:tab/>
      </w:r>
      <w:r>
        <w:rPr>
          <w:rStyle w:val="CharDefText"/>
        </w:rPr>
        <w:t>members of staff</w:t>
      </w:r>
      <w:r>
        <w:t xml:space="preserve"> includes the CEO.</w:t>
      </w:r>
    </w:p>
    <w:p>
      <w:pPr>
        <w:pStyle w:val="Footnotesection"/>
      </w:pPr>
      <w:r>
        <w:tab/>
        <w:t>[Section 21 amended by No. 39 of 2010 s. 81(3).]</w:t>
      </w:r>
    </w:p>
    <w:p>
      <w:pPr>
        <w:pStyle w:val="Heading5"/>
        <w:spacing w:before="180"/>
        <w:rPr>
          <w:snapToGrid w:val="0"/>
        </w:rPr>
      </w:pPr>
      <w:bookmarkStart w:id="59" w:name="_Toc398889953"/>
      <w:bookmarkStart w:id="60" w:name="_Toc424284388"/>
      <w:r>
        <w:rPr>
          <w:rStyle w:val="CharSectno"/>
        </w:rPr>
        <w:t>22</w:t>
      </w:r>
      <w:r>
        <w:rPr>
          <w:snapToGrid w:val="0"/>
        </w:rPr>
        <w:t>.</w:t>
      </w:r>
      <w:r>
        <w:rPr>
          <w:snapToGrid w:val="0"/>
        </w:rPr>
        <w:tab/>
        <w:t>Reports to Public Sector Commissioner as to s. 21 codes</w:t>
      </w:r>
      <w:bookmarkEnd w:id="59"/>
      <w:bookmarkEnd w:id="60"/>
    </w:p>
    <w:p>
      <w:pPr>
        <w:pStyle w:val="Subsection"/>
        <w:spacing w:before="140"/>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by members of staff of any code of conduct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spacing w:before="140"/>
        <w:rPr>
          <w:snapToGrid w:val="0"/>
        </w:rPr>
      </w:pPr>
      <w:r>
        <w:rPr>
          <w:snapToGrid w:val="0"/>
        </w:rPr>
        <w:tab/>
      </w:r>
      <w:r>
        <w:rPr>
          <w:snapToGrid w:val="0"/>
        </w:rPr>
        <w:tab/>
        <w:t>as the Commissioner may specify.</w:t>
      </w:r>
    </w:p>
    <w:p>
      <w:pPr>
        <w:pStyle w:val="Subsection"/>
        <w:spacing w:before="140"/>
        <w:rPr>
          <w:snapToGrid w:val="0"/>
        </w:rPr>
      </w:pPr>
      <w:r>
        <w:rPr>
          <w:snapToGrid w:val="0"/>
        </w:rPr>
        <w:tab/>
        <w:t>(2)</w:t>
      </w:r>
      <w:r>
        <w:rPr>
          <w:snapToGrid w:val="0"/>
        </w:rPr>
        <w:tab/>
        <w:t>A board must comply with a direction given to it under subsection (1).</w:t>
      </w:r>
    </w:p>
    <w:p>
      <w:pPr>
        <w:pStyle w:val="Subsection"/>
        <w:spacing w:before="140"/>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relating to the observance by members of staff of a port authority of a code of conduct in force under section 21 that the Commissioner thinks should be brought to the Minister’s attention.</w:t>
      </w:r>
    </w:p>
    <w:p>
      <w:pPr>
        <w:pStyle w:val="Footnotesection"/>
        <w:spacing w:before="80"/>
        <w:ind w:left="890" w:hanging="890"/>
      </w:pPr>
      <w:r>
        <w:tab/>
        <w:t>[Section 22 amended by No. 39 of 2010 s. 81(3).]</w:t>
      </w:r>
    </w:p>
    <w:p>
      <w:pPr>
        <w:pStyle w:val="Heading5"/>
        <w:rPr>
          <w:snapToGrid w:val="0"/>
        </w:rPr>
      </w:pPr>
      <w:bookmarkStart w:id="61" w:name="_Toc398889954"/>
      <w:bookmarkStart w:id="62" w:name="_Toc424284389"/>
      <w:r>
        <w:rPr>
          <w:rStyle w:val="CharSectno"/>
        </w:rPr>
        <w:t>23</w:t>
      </w:r>
      <w:r>
        <w:rPr>
          <w:snapToGrid w:val="0"/>
        </w:rPr>
        <w:t>.</w:t>
      </w:r>
      <w:r>
        <w:rPr>
          <w:snapToGrid w:val="0"/>
        </w:rPr>
        <w:tab/>
        <w:t>Reports to Minister as to s. 21 codes</w:t>
      </w:r>
      <w:bookmarkEnd w:id="61"/>
      <w:bookmarkEnd w:id="62"/>
    </w:p>
    <w:p>
      <w:pPr>
        <w:pStyle w:val="Subsection"/>
        <w:rPr>
          <w:snapToGrid w:val="0"/>
        </w:rPr>
      </w:pPr>
      <w:r>
        <w:rPr>
          <w:snapToGrid w:val="0"/>
        </w:rPr>
        <w:tab/>
        <w:t>(1)</w:t>
      </w:r>
      <w:r>
        <w:rPr>
          <w:snapToGrid w:val="0"/>
        </w:rPr>
        <w:tab/>
        <w:t>A board, when it delivers to the Minister its annual report under section 68, is also to deliver to the Minister a separate report on the observance by members of staff of any code of conduct in force under section 21.</w:t>
      </w:r>
    </w:p>
    <w:p>
      <w:pPr>
        <w:pStyle w:val="Subsection"/>
        <w:rPr>
          <w:snapToGrid w:val="0"/>
        </w:rPr>
      </w:pPr>
      <w:r>
        <w:rPr>
          <w:snapToGrid w:val="0"/>
        </w:rPr>
        <w:tab/>
        <w:t>(2)</w:t>
      </w:r>
      <w:r>
        <w:rPr>
          <w:snapToGrid w:val="0"/>
        </w:rPr>
        <w:tab/>
        <w:t xml:space="preserve">A board is to give to the </w:t>
      </w:r>
      <w:r>
        <w:t>Public Sector Commissioner</w:t>
      </w:r>
      <w:r>
        <w:rPr>
          <w:snapToGrid w:val="0"/>
        </w:rPr>
        <w:t xml:space="preserve"> a copy of each report under subsection (1).</w:t>
      </w:r>
    </w:p>
    <w:p>
      <w:pPr>
        <w:pStyle w:val="Footnotesection"/>
      </w:pPr>
      <w:r>
        <w:tab/>
        <w:t>[Section 23 amended by No. 39 of 2010 s. 81(3).]</w:t>
      </w:r>
    </w:p>
    <w:p>
      <w:pPr>
        <w:pStyle w:val="Heading2"/>
      </w:pPr>
      <w:bookmarkStart w:id="63" w:name="_Toc398889955"/>
      <w:bookmarkStart w:id="64" w:name="_Toc424284390"/>
      <w:r>
        <w:rPr>
          <w:rStyle w:val="CharPartNo"/>
        </w:rPr>
        <w:t>Part 3</w:t>
      </w:r>
      <w:r>
        <w:rPr>
          <w:rStyle w:val="CharDivNo"/>
        </w:rPr>
        <w:t xml:space="preserve"> </w:t>
      </w:r>
      <w:r>
        <w:t>—</w:t>
      </w:r>
      <w:r>
        <w:rPr>
          <w:rStyle w:val="CharDivText"/>
        </w:rPr>
        <w:t xml:space="preserve"> </w:t>
      </w:r>
      <w:r>
        <w:rPr>
          <w:rStyle w:val="CharPartText"/>
        </w:rPr>
        <w:t>Port areas and property of port authorities</w:t>
      </w:r>
      <w:bookmarkEnd w:id="63"/>
      <w:bookmarkEnd w:id="64"/>
      <w:r>
        <w:rPr>
          <w:rStyle w:val="CharPartText"/>
        </w:rPr>
        <w:t xml:space="preserve"> </w:t>
      </w:r>
    </w:p>
    <w:p>
      <w:pPr>
        <w:pStyle w:val="Heading5"/>
        <w:rPr>
          <w:snapToGrid w:val="0"/>
        </w:rPr>
      </w:pPr>
      <w:bookmarkStart w:id="65" w:name="_Toc398889956"/>
      <w:bookmarkStart w:id="66" w:name="_Toc424284391"/>
      <w:r>
        <w:rPr>
          <w:rStyle w:val="CharSectno"/>
        </w:rPr>
        <w:t>24</w:t>
      </w:r>
      <w:r>
        <w:rPr>
          <w:snapToGrid w:val="0"/>
        </w:rPr>
        <w:t>.</w:t>
      </w:r>
      <w:r>
        <w:rPr>
          <w:snapToGrid w:val="0"/>
        </w:rPr>
        <w:tab/>
        <w:t>Port areas defined</w:t>
      </w:r>
      <w:bookmarkEnd w:id="65"/>
      <w:bookmarkEnd w:id="66"/>
    </w:p>
    <w:p>
      <w:pPr>
        <w:pStyle w:val="Subsection"/>
        <w:rPr>
          <w:snapToGrid w:val="0"/>
        </w:rPr>
      </w:pPr>
      <w:r>
        <w:rPr>
          <w:snapToGrid w:val="0"/>
        </w:rPr>
        <w:tab/>
        <w:t>(1)</w:t>
      </w:r>
      <w:r>
        <w:rPr>
          <w:snapToGrid w:val="0"/>
        </w:rPr>
        <w:tab/>
        <w:t xml:space="preserve">A port consists of the area or areas described in relation to that port by order made by the Governor and published in the </w:t>
      </w:r>
      <w:r>
        <w:rPr>
          <w:i/>
          <w:snapToGrid w:val="0"/>
        </w:rPr>
        <w:t>Gazette</w:t>
      </w:r>
      <w:r>
        <w:rPr>
          <w:snapToGrid w:val="0"/>
        </w:rPr>
        <w: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the description of a port so as to — </w:t>
      </w:r>
    </w:p>
    <w:p>
      <w:pPr>
        <w:pStyle w:val="Indenta"/>
        <w:rPr>
          <w:snapToGrid w:val="0"/>
        </w:rPr>
      </w:pPr>
      <w:r>
        <w:rPr>
          <w:snapToGrid w:val="0"/>
        </w:rPr>
        <w:tab/>
        <w:t>(a)</w:t>
      </w:r>
      <w:r>
        <w:rPr>
          <w:snapToGrid w:val="0"/>
        </w:rPr>
        <w:tab/>
        <w:t>include an area in, or exclude an area from, that description; or</w:t>
      </w:r>
    </w:p>
    <w:p>
      <w:pPr>
        <w:pStyle w:val="Indenta"/>
        <w:rPr>
          <w:snapToGrid w:val="0"/>
        </w:rPr>
      </w:pPr>
      <w:r>
        <w:rPr>
          <w:snapToGrid w:val="0"/>
        </w:rPr>
        <w:tab/>
        <w:t>(b)</w:t>
      </w:r>
      <w:r>
        <w:rPr>
          <w:snapToGrid w:val="0"/>
        </w:rPr>
        <w:tab/>
        <w:t>correct any error in that description.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area</w:t>
      </w:r>
      <w:r>
        <w:t xml:space="preserve"> means an area of land, water or seabed.</w:t>
      </w:r>
    </w:p>
    <w:p>
      <w:pPr>
        <w:pStyle w:val="Heading5"/>
        <w:rPr>
          <w:snapToGrid w:val="0"/>
        </w:rPr>
      </w:pPr>
      <w:bookmarkStart w:id="67" w:name="_Toc398889957"/>
      <w:bookmarkStart w:id="68" w:name="_Toc424284392"/>
      <w:r>
        <w:rPr>
          <w:rStyle w:val="CharSectno"/>
        </w:rPr>
        <w:t>25</w:t>
      </w:r>
      <w:r>
        <w:rPr>
          <w:snapToGrid w:val="0"/>
        </w:rPr>
        <w:t>.</w:t>
      </w:r>
      <w:r>
        <w:rPr>
          <w:snapToGrid w:val="0"/>
        </w:rPr>
        <w:tab/>
        <w:t>Port authority, property vested in</w:t>
      </w:r>
      <w:bookmarkEnd w:id="67"/>
      <w:bookmarkEnd w:id="68"/>
      <w:r>
        <w:rPr>
          <w:snapToGrid w:val="0"/>
        </w:rPr>
        <w:t xml:space="preserve"> </w:t>
      </w:r>
    </w:p>
    <w:p>
      <w:pPr>
        <w:pStyle w:val="Subsection"/>
        <w:rPr>
          <w:snapToGrid w:val="0"/>
        </w:rPr>
      </w:pPr>
      <w:r>
        <w:rPr>
          <w:snapToGrid w:val="0"/>
        </w:rPr>
        <w:tab/>
        <w:t>(1)</w:t>
      </w:r>
      <w:r>
        <w:rPr>
          <w:snapToGrid w:val="0"/>
        </w:rPr>
        <w:tab/>
        <w:t>The following property is vested in a port authority for the purposes of this Act — </w:t>
      </w:r>
    </w:p>
    <w:p>
      <w:pPr>
        <w:pStyle w:val="Indenta"/>
        <w:rPr>
          <w:snapToGrid w:val="0"/>
        </w:rPr>
      </w:pPr>
      <w:r>
        <w:rPr>
          <w:snapToGrid w:val="0"/>
        </w:rPr>
        <w:tab/>
        <w:t>(a)</w:t>
      </w:r>
      <w:r>
        <w:rPr>
          <w:snapToGrid w:val="0"/>
        </w:rPr>
        <w:tab/>
        <w:t>all Crown land in the port, including the seabed and shores;</w:t>
      </w:r>
    </w:p>
    <w:p>
      <w:pPr>
        <w:pStyle w:val="Indenta"/>
      </w:pPr>
      <w:r>
        <w:tab/>
        <w:t>(b)</w:t>
      </w:r>
      <w:r>
        <w:tab/>
        <w:t xml:space="preserve">all navigational aids that, immediately before the coming into operation of section 4 of the </w:t>
      </w:r>
      <w:r>
        <w:rPr>
          <w:i/>
        </w:rPr>
        <w:t>Ports and Marine Legislation Amendment Act 2003</w:t>
      </w:r>
      <w:r>
        <w:rPr>
          <w:vertAlign w:val="superscript"/>
        </w:rPr>
        <w:t> 1</w:t>
      </w:r>
      <w:r>
        <w:t xml:space="preserve"> — </w:t>
      </w:r>
    </w:p>
    <w:p>
      <w:pPr>
        <w:pStyle w:val="Indenti"/>
      </w:pPr>
      <w:r>
        <w:tab/>
        <w:t>(i)</w:t>
      </w:r>
      <w:r>
        <w:tab/>
        <w:t>were in the port, or used in connection with navigation into or out of the port; and</w:t>
      </w:r>
    </w:p>
    <w:p>
      <w:pPr>
        <w:pStyle w:val="Indenti"/>
      </w:pPr>
      <w:r>
        <w:tab/>
        <w:t>(ii)</w:t>
      </w:r>
      <w:r>
        <w:tab/>
        <w:t>belonged to the State;</w:t>
      </w:r>
    </w:p>
    <w:p>
      <w:pPr>
        <w:pStyle w:val="Indenta"/>
        <w:rPr>
          <w:snapToGrid w:val="0"/>
        </w:rPr>
      </w:pPr>
      <w:r>
        <w:rPr>
          <w:snapToGrid w:val="0"/>
        </w:rPr>
        <w:tab/>
        <w:t>(c)</w:t>
      </w:r>
      <w:r>
        <w:rPr>
          <w:snapToGrid w:val="0"/>
        </w:rPr>
        <w:tab/>
        <w:t>all fixtures on land in the port that belong to the State.</w:t>
      </w:r>
    </w:p>
    <w:p>
      <w:pPr>
        <w:pStyle w:val="Subsection"/>
        <w:rPr>
          <w:snapToGrid w:val="0"/>
        </w:rPr>
      </w:pPr>
      <w:r>
        <w:rPr>
          <w:snapToGrid w:val="0"/>
        </w:rPr>
        <w:tab/>
        <w:t>(2)</w:t>
      </w:r>
      <w:r>
        <w:rPr>
          <w:snapToGrid w:val="0"/>
        </w:rPr>
        <w:tab/>
        <w:t>The property of a port authority also includes the following — </w:t>
      </w:r>
    </w:p>
    <w:p>
      <w:pPr>
        <w:pStyle w:val="Indenta"/>
        <w:rPr>
          <w:snapToGrid w:val="0"/>
        </w:rPr>
      </w:pPr>
      <w:r>
        <w:rPr>
          <w:snapToGrid w:val="0"/>
        </w:rPr>
        <w:tab/>
        <w:t>(a)</w:t>
      </w:r>
      <w:r>
        <w:rPr>
          <w:snapToGrid w:val="0"/>
        </w:rPr>
        <w:tab/>
        <w:t>any improvements effected on vested land leased to another person that have been acquired on the termination of the lease concerned;</w:t>
      </w:r>
    </w:p>
    <w:p>
      <w:pPr>
        <w:pStyle w:val="Indenta"/>
        <w:rPr>
          <w:snapToGrid w:val="0"/>
        </w:rPr>
      </w:pPr>
      <w:r>
        <w:rPr>
          <w:snapToGrid w:val="0"/>
        </w:rPr>
        <w:tab/>
        <w:t>(b)</w:t>
      </w:r>
      <w:r>
        <w:rPr>
          <w:snapToGrid w:val="0"/>
        </w:rPr>
        <w:tab/>
        <w:t>any real or personal property (other than property referred to in paragraph (a)) acquired by the port authority or vested in the port authority by the Governor for the purposes of this Act.</w:t>
      </w:r>
    </w:p>
    <w:p>
      <w:pPr>
        <w:pStyle w:val="Footnotesection"/>
      </w:pPr>
      <w:r>
        <w:tab/>
        <w:t>[Section 25 amended by No. 71 of 2003 s. 4(1)</w:t>
      </w:r>
      <w:r>
        <w:rPr>
          <w:i w:val="0"/>
          <w:vertAlign w:val="superscript"/>
        </w:rPr>
        <w:t> 2</w:t>
      </w:r>
      <w:r>
        <w:t>.]</w:t>
      </w:r>
    </w:p>
    <w:p>
      <w:pPr>
        <w:pStyle w:val="Heading5"/>
        <w:rPr>
          <w:snapToGrid w:val="0"/>
        </w:rPr>
      </w:pPr>
      <w:bookmarkStart w:id="69" w:name="_Toc398889958"/>
      <w:bookmarkStart w:id="70" w:name="_Toc424284393"/>
      <w:r>
        <w:rPr>
          <w:rStyle w:val="CharSectno"/>
        </w:rPr>
        <w:t>26</w:t>
      </w:r>
      <w:r>
        <w:rPr>
          <w:snapToGrid w:val="0"/>
        </w:rPr>
        <w:t>.</w:t>
      </w:r>
      <w:r>
        <w:rPr>
          <w:snapToGrid w:val="0"/>
        </w:rPr>
        <w:tab/>
        <w:t>Port property may be taken back by Crown</w:t>
      </w:r>
      <w:bookmarkEnd w:id="69"/>
      <w:bookmarkEnd w:id="70"/>
      <w:r>
        <w:rPr>
          <w:snapToGrid w:val="0"/>
        </w:rPr>
        <w:t xml:space="preserve"> </w:t>
      </w:r>
    </w:p>
    <w:p>
      <w:pPr>
        <w:pStyle w:val="Subsection"/>
        <w:rPr>
          <w:snapToGrid w:val="0"/>
        </w:rPr>
      </w:pPr>
      <w:r>
        <w:rPr>
          <w:snapToGrid w:val="0"/>
        </w:rPr>
        <w:tab/>
        <w:t>(1)</w:t>
      </w:r>
      <w:r>
        <w:rPr>
          <w:snapToGrid w:val="0"/>
        </w:rPr>
        <w:tab/>
        <w:t>For the purposes of this Act, the Governor may by order withdraw any vested real or personal property, or any property referred to in section 25(2)(a), from a port authority and vest or revest that property in the Crown.</w:t>
      </w:r>
    </w:p>
    <w:p>
      <w:pPr>
        <w:pStyle w:val="Subsection"/>
      </w:pPr>
      <w:r>
        <w:rPr>
          <w:snapToGrid w:val="0"/>
        </w:rPr>
        <w:tab/>
        <w:t>(2)</w:t>
      </w:r>
      <w:r>
        <w:rPr>
          <w:snapToGrid w:val="0"/>
        </w:rPr>
        <w:tab/>
      </w:r>
      <w:r>
        <w:t>If as a result of an order under subsection (1) a port authority will lose the use of improvements that it has effected on land in performing its functions, the port authority is entitled to compensation from the State for the depreciated value of those improvements.</w:t>
      </w:r>
    </w:p>
    <w:p>
      <w:pPr>
        <w:pStyle w:val="Heading5"/>
        <w:rPr>
          <w:snapToGrid w:val="0"/>
        </w:rPr>
      </w:pPr>
      <w:bookmarkStart w:id="71" w:name="_Toc398889959"/>
      <w:bookmarkStart w:id="72" w:name="_Toc424284394"/>
      <w:r>
        <w:rPr>
          <w:rStyle w:val="CharSectno"/>
        </w:rPr>
        <w:t>27</w:t>
      </w:r>
      <w:r>
        <w:rPr>
          <w:snapToGrid w:val="0"/>
        </w:rPr>
        <w:t>.</w:t>
      </w:r>
      <w:r>
        <w:rPr>
          <w:snapToGrid w:val="0"/>
        </w:rPr>
        <w:tab/>
        <w:t>Power to sell land, restrictions on</w:t>
      </w:r>
      <w:bookmarkEnd w:id="71"/>
      <w:bookmarkEnd w:id="72"/>
    </w:p>
    <w:p>
      <w:pPr>
        <w:pStyle w:val="Subsection"/>
        <w:rPr>
          <w:snapToGrid w:val="0"/>
        </w:rPr>
      </w:pPr>
      <w:r>
        <w:rPr>
          <w:snapToGrid w:val="0"/>
        </w:rPr>
        <w:tab/>
        <w:t>(1)</w:t>
      </w:r>
      <w:r>
        <w:rPr>
          <w:snapToGrid w:val="0"/>
        </w:rPr>
        <w:tab/>
        <w:t>The power of a port authority to sell port land does not extend to Crown land.</w:t>
      </w:r>
    </w:p>
    <w:p>
      <w:pPr>
        <w:pStyle w:val="Subsection"/>
        <w:rPr>
          <w:snapToGrid w:val="0"/>
        </w:rPr>
      </w:pPr>
      <w:r>
        <w:rPr>
          <w:snapToGrid w:val="0"/>
        </w:rPr>
        <w:tab/>
        <w:t>(2)</w:t>
      </w:r>
      <w:r>
        <w:rPr>
          <w:snapToGrid w:val="0"/>
        </w:rPr>
        <w:tab/>
        <w:t>A port authority must get the Minister’s approval before it sells port land.</w:t>
      </w:r>
    </w:p>
    <w:p>
      <w:pPr>
        <w:pStyle w:val="Subsection"/>
        <w:rPr>
          <w:snapToGrid w:val="0"/>
        </w:rPr>
      </w:pPr>
      <w:r>
        <w:rPr>
          <w:snapToGrid w:val="0"/>
        </w:rPr>
        <w:tab/>
        <w:t>(3)</w:t>
      </w:r>
      <w:r>
        <w:rPr>
          <w:snapToGrid w:val="0"/>
        </w:rPr>
        <w:tab/>
        <w:t xml:space="preserve">In this </w:t>
      </w:r>
      <w:r>
        <w:t>section —</w:t>
      </w:r>
    </w:p>
    <w:p>
      <w:pPr>
        <w:pStyle w:val="Defstart"/>
      </w:pPr>
      <w:r>
        <w:rPr>
          <w:b/>
        </w:rPr>
        <w:tab/>
      </w:r>
      <w:r>
        <w:rPr>
          <w:rStyle w:val="CharDefText"/>
        </w:rPr>
        <w:t>sell</w:t>
      </w:r>
      <w:r>
        <w:t xml:space="preserve"> means dispose of, convey and transfer, in fee simple or for a lesser estate, for consideration or by way of exchange, and includes grant an option to purchase or a right of first refusal to purchase.</w:t>
      </w:r>
    </w:p>
    <w:p>
      <w:pPr>
        <w:pStyle w:val="Footnotesection"/>
      </w:pPr>
      <w:r>
        <w:tab/>
        <w:t>[Section 27 amended by No. 9 of 2014 s. 10.]</w:t>
      </w:r>
    </w:p>
    <w:p>
      <w:pPr>
        <w:pStyle w:val="Heading5"/>
      </w:pPr>
      <w:bookmarkStart w:id="73" w:name="_Toc398889960"/>
      <w:bookmarkStart w:id="74" w:name="_Toc424284395"/>
      <w:r>
        <w:rPr>
          <w:rStyle w:val="CharSectno"/>
        </w:rPr>
        <w:t>27A</w:t>
      </w:r>
      <w:r>
        <w:t>.</w:t>
      </w:r>
      <w:r>
        <w:tab/>
        <w:t>Land, creating interests in</w:t>
      </w:r>
      <w:bookmarkEnd w:id="73"/>
      <w:bookmarkEnd w:id="74"/>
    </w:p>
    <w:p>
      <w:pPr>
        <w:pStyle w:val="Subsection"/>
      </w:pPr>
      <w:r>
        <w:tab/>
      </w:r>
      <w:r>
        <w:tab/>
        <w:t>The power of a port authority to grant easements, leases or licences in respect of port land extends to easements, leases or licences for any purposes the port authority thinks fit.</w:t>
      </w:r>
    </w:p>
    <w:p>
      <w:pPr>
        <w:pStyle w:val="Footnotesection"/>
      </w:pPr>
      <w:r>
        <w:tab/>
        <w:t>[Section 27A inserted by No. 71 of 2003 s. 5.]</w:t>
      </w:r>
    </w:p>
    <w:p>
      <w:pPr>
        <w:pStyle w:val="Heading5"/>
        <w:rPr>
          <w:snapToGrid w:val="0"/>
        </w:rPr>
      </w:pPr>
      <w:bookmarkStart w:id="75" w:name="_Toc398889961"/>
      <w:bookmarkStart w:id="76" w:name="_Toc424284396"/>
      <w:r>
        <w:rPr>
          <w:rStyle w:val="CharSectno"/>
        </w:rPr>
        <w:t>28</w:t>
      </w:r>
      <w:r>
        <w:rPr>
          <w:snapToGrid w:val="0"/>
        </w:rPr>
        <w:t>.</w:t>
      </w:r>
      <w:r>
        <w:rPr>
          <w:snapToGrid w:val="0"/>
        </w:rPr>
        <w:tab/>
        <w:t>Vested land, creating and dealing with interests in</w:t>
      </w:r>
      <w:bookmarkEnd w:id="75"/>
      <w:bookmarkEnd w:id="76"/>
    </w:p>
    <w:p>
      <w:pPr>
        <w:pStyle w:val="Subsection"/>
        <w:rPr>
          <w:snapToGrid w:val="0"/>
        </w:rPr>
      </w:pPr>
      <w:r>
        <w:rPr>
          <w:snapToGrid w:val="0"/>
        </w:rPr>
        <w:tab/>
        <w:t>(1)</w:t>
      </w:r>
      <w:r>
        <w:rPr>
          <w:snapToGrid w:val="0"/>
        </w:rPr>
        <w:tab/>
        <w:t>A port authority must get the Minister’s approval before it grants an easement, lease or licence in respect of vested land.</w:t>
      </w:r>
    </w:p>
    <w:p>
      <w:pPr>
        <w:pStyle w:val="Subsection"/>
        <w:rPr>
          <w:snapToGrid w:val="0"/>
        </w:rPr>
      </w:pPr>
      <w:r>
        <w:rPr>
          <w:snapToGrid w:val="0"/>
        </w:rPr>
        <w:tab/>
        <w:t>(2)</w:t>
      </w:r>
      <w:r>
        <w:rPr>
          <w:snapToGrid w:val="0"/>
        </w:rPr>
        <w:tab/>
        <w:t>Subsection (1) does not apply if the easement, lease or licence meets the prescribed criteria.</w:t>
      </w:r>
    </w:p>
    <w:p>
      <w:pPr>
        <w:pStyle w:val="Subsection"/>
        <w:rPr>
          <w:snapToGrid w:val="0"/>
        </w:rPr>
      </w:pPr>
      <w:r>
        <w:rPr>
          <w:snapToGrid w:val="0"/>
        </w:rPr>
        <w:tab/>
        <w:t>(3)</w:t>
      </w:r>
      <w:r>
        <w:rPr>
          <w:snapToGrid w:val="0"/>
        </w:rPr>
        <w:tab/>
        <w:t>The period for which a lease or licence of vested land is granted cannot exceed 50 years.</w:t>
      </w:r>
    </w:p>
    <w:p>
      <w:pPr>
        <w:pStyle w:val="Subsection"/>
        <w:rPr>
          <w:snapToGrid w:val="0"/>
        </w:rPr>
      </w:pPr>
      <w:r>
        <w:rPr>
          <w:snapToGrid w:val="0"/>
        </w:rPr>
        <w:tab/>
        <w:t>(4)</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pPr>
        <w:pStyle w:val="Subsection"/>
      </w:pPr>
      <w:r>
        <w:rPr>
          <w:snapToGrid w:val="0"/>
        </w:rPr>
        <w:tab/>
        <w:t>(5)</w:t>
      </w:r>
      <w:r>
        <w:rPr>
          <w:snapToGrid w:val="0"/>
        </w:rPr>
        <w:tab/>
      </w:r>
      <w:r>
        <w:t xml:space="preserve">A port authority does not have to get approval under section 18 of the </w:t>
      </w:r>
      <w:r>
        <w:rPr>
          <w:i/>
        </w:rPr>
        <w:t>Land Administration Act 1997</w:t>
      </w:r>
      <w:r>
        <w:t xml:space="preserve"> in order to create or deal with an interest in respect of vested land.</w:t>
      </w:r>
    </w:p>
    <w:p>
      <w:pPr>
        <w:pStyle w:val="Heading5"/>
      </w:pPr>
      <w:bookmarkStart w:id="77" w:name="_Toc398889962"/>
      <w:bookmarkStart w:id="78" w:name="_Toc424284397"/>
      <w:r>
        <w:rPr>
          <w:rStyle w:val="CharSectno"/>
        </w:rPr>
        <w:t>29A</w:t>
      </w:r>
      <w:r>
        <w:t>.</w:t>
      </w:r>
      <w:r>
        <w:tab/>
        <w:t xml:space="preserve">Operation of </w:t>
      </w:r>
      <w:r>
        <w:rPr>
          <w:i/>
        </w:rPr>
        <w:t>Planning and Development Act 2005</w:t>
      </w:r>
      <w:r>
        <w:t xml:space="preserve"> section 136 modified</w:t>
      </w:r>
      <w:bookmarkEnd w:id="77"/>
      <w:bookmarkEnd w:id="78"/>
    </w:p>
    <w:p>
      <w:pPr>
        <w:pStyle w:val="Subsection"/>
      </w:pPr>
      <w:r>
        <w:tab/>
      </w:r>
      <w:r>
        <w:tab/>
        <w:t xml:space="preserve">A port authority does not have to obtain approval under the </w:t>
      </w:r>
      <w:r>
        <w:rPr>
          <w:i/>
        </w:rPr>
        <w:t>Planning and Development Act 2005</w:t>
      </w:r>
      <w:r>
        <w:t xml:space="preserve"> section 136 in order to grant a lease or licence in respect of port land.</w:t>
      </w:r>
    </w:p>
    <w:p>
      <w:pPr>
        <w:pStyle w:val="Footnotesection"/>
      </w:pPr>
      <w:r>
        <w:tab/>
        <w:t>[Section 29A inserted by No. 9 of 2014 s. 11.]</w:t>
      </w:r>
    </w:p>
    <w:p>
      <w:pPr>
        <w:pStyle w:val="Heading5"/>
        <w:rPr>
          <w:snapToGrid w:val="0"/>
        </w:rPr>
      </w:pPr>
      <w:bookmarkStart w:id="79" w:name="_Toc398889963"/>
      <w:bookmarkStart w:id="80" w:name="_Toc424284398"/>
      <w:r>
        <w:rPr>
          <w:rStyle w:val="CharSectno"/>
        </w:rPr>
        <w:t>29</w:t>
      </w:r>
      <w:r>
        <w:rPr>
          <w:snapToGrid w:val="0"/>
        </w:rPr>
        <w:t>.</w:t>
      </w:r>
      <w:r>
        <w:rPr>
          <w:snapToGrid w:val="0"/>
        </w:rPr>
        <w:tab/>
        <w:t>Disputes between port authority and Crown</w:t>
      </w:r>
      <w:bookmarkEnd w:id="79"/>
      <w:bookmarkEnd w:id="80"/>
      <w:r>
        <w:rPr>
          <w:snapToGrid w:val="0"/>
        </w:rPr>
        <w:t xml:space="preserve"> </w:t>
      </w:r>
    </w:p>
    <w:p>
      <w:pPr>
        <w:pStyle w:val="Subsection"/>
        <w:rPr>
          <w:snapToGrid w:val="0"/>
        </w:rPr>
      </w:pPr>
      <w:r>
        <w:rPr>
          <w:snapToGrid w:val="0"/>
        </w:rPr>
        <w:tab/>
        <w:t>(1)</w:t>
      </w:r>
      <w:r>
        <w:rPr>
          <w:snapToGrid w:val="0"/>
        </w:rPr>
        <w:tab/>
        <w:t>If there is a dispute between a port authority and any department, instrumentality or agency of the State with respect to any port land or any other property of the port authority, the parties to that dispute are to refer it to the Minister, and the Minister’s decision on it is final and binding on the parties.</w:t>
      </w:r>
    </w:p>
    <w:p>
      <w:pPr>
        <w:pStyle w:val="Subsection"/>
        <w:rPr>
          <w:snapToGrid w:val="0"/>
        </w:rPr>
      </w:pPr>
      <w:r>
        <w:rPr>
          <w:snapToGrid w:val="0"/>
        </w:rPr>
        <w:tab/>
        <w:t>(2)</w:t>
      </w:r>
      <w:r>
        <w:rPr>
          <w:snapToGrid w:val="0"/>
        </w:rPr>
        <w:tab/>
        <w:t>This section does not apply to a dispute relating to the proposed acquisition by a port authority of freehold title to Crown land.</w:t>
      </w:r>
    </w:p>
    <w:p>
      <w:pPr>
        <w:pStyle w:val="Heading2"/>
      </w:pPr>
      <w:bookmarkStart w:id="81" w:name="_Toc398889964"/>
      <w:bookmarkStart w:id="82" w:name="_Toc424284399"/>
      <w:r>
        <w:rPr>
          <w:rStyle w:val="CharPartNo"/>
        </w:rPr>
        <w:t>Part 4</w:t>
      </w:r>
      <w:r>
        <w:t xml:space="preserve"> — </w:t>
      </w:r>
      <w:r>
        <w:rPr>
          <w:rStyle w:val="CharPartText"/>
        </w:rPr>
        <w:t>Functions and powers</w:t>
      </w:r>
      <w:bookmarkEnd w:id="81"/>
      <w:bookmarkEnd w:id="82"/>
      <w:r>
        <w:t xml:space="preserve"> </w:t>
      </w:r>
    </w:p>
    <w:p>
      <w:pPr>
        <w:pStyle w:val="Heading3"/>
      </w:pPr>
      <w:bookmarkStart w:id="83" w:name="_Toc398889965"/>
      <w:bookmarkStart w:id="84" w:name="_Toc424284400"/>
      <w:r>
        <w:rPr>
          <w:rStyle w:val="CharDivNo"/>
        </w:rPr>
        <w:t>Division 1</w:t>
      </w:r>
      <w:r>
        <w:t xml:space="preserve"> — </w:t>
      </w:r>
      <w:r>
        <w:rPr>
          <w:rStyle w:val="CharDivText"/>
        </w:rPr>
        <w:t>Functions, powers and related provisions</w:t>
      </w:r>
      <w:bookmarkEnd w:id="83"/>
      <w:bookmarkEnd w:id="84"/>
      <w:r>
        <w:rPr>
          <w:rStyle w:val="CharDivText"/>
        </w:rPr>
        <w:t xml:space="preserve"> </w:t>
      </w:r>
    </w:p>
    <w:p>
      <w:pPr>
        <w:pStyle w:val="Heading5"/>
        <w:rPr>
          <w:snapToGrid w:val="0"/>
        </w:rPr>
      </w:pPr>
      <w:bookmarkStart w:id="85" w:name="_Toc398889966"/>
      <w:bookmarkStart w:id="86" w:name="_Toc424284401"/>
      <w:r>
        <w:rPr>
          <w:rStyle w:val="CharSectno"/>
        </w:rPr>
        <w:t>30</w:t>
      </w:r>
      <w:r>
        <w:rPr>
          <w:snapToGrid w:val="0"/>
        </w:rPr>
        <w:t>.</w:t>
      </w:r>
      <w:r>
        <w:rPr>
          <w:snapToGrid w:val="0"/>
        </w:rPr>
        <w:tab/>
        <w:t>Functions</w:t>
      </w:r>
      <w:bookmarkEnd w:id="85"/>
      <w:bookmarkEnd w:id="86"/>
      <w:r>
        <w:rPr>
          <w:snapToGrid w:val="0"/>
        </w:rPr>
        <w:t xml:space="preserve"> </w:t>
      </w:r>
    </w:p>
    <w:p>
      <w:pPr>
        <w:pStyle w:val="Subsection"/>
        <w:rPr>
          <w:snapToGrid w:val="0"/>
        </w:rPr>
      </w:pPr>
      <w:r>
        <w:rPr>
          <w:snapToGrid w:val="0"/>
        </w:rPr>
        <w:tab/>
        <w:t>(1)</w:t>
      </w:r>
      <w:r>
        <w:rPr>
          <w:snapToGrid w:val="0"/>
        </w:rPr>
        <w:tab/>
        <w:t>The functions of a port authority are — </w:t>
      </w:r>
    </w:p>
    <w:p>
      <w:pPr>
        <w:pStyle w:val="Indenta"/>
        <w:rPr>
          <w:snapToGrid w:val="0"/>
        </w:rPr>
      </w:pPr>
      <w:r>
        <w:rPr>
          <w:snapToGrid w:val="0"/>
        </w:rPr>
        <w:tab/>
        <w:t>(a)</w:t>
      </w:r>
      <w:r>
        <w:rPr>
          <w:snapToGrid w:val="0"/>
        </w:rPr>
        <w:tab/>
        <w:t>to facilitate trade within and through the port and plan for future growth and development of the port; and</w:t>
      </w:r>
    </w:p>
    <w:p>
      <w:pPr>
        <w:pStyle w:val="Indenta"/>
        <w:rPr>
          <w:snapToGrid w:val="0"/>
        </w:rPr>
      </w:pPr>
      <w:r>
        <w:rPr>
          <w:snapToGrid w:val="0"/>
        </w:rPr>
        <w:tab/>
        <w:t>(b)</w:t>
      </w:r>
      <w:r>
        <w:rPr>
          <w:snapToGrid w:val="0"/>
        </w:rPr>
        <w:tab/>
        <w:t>to undertake or arrange for activities that will encourage and facilitate the development of trade and commerce generally for the economic benefit of the State through the use of the port and related facilities; and</w:t>
      </w:r>
    </w:p>
    <w:p>
      <w:pPr>
        <w:pStyle w:val="Indenta"/>
        <w:rPr>
          <w:snapToGrid w:val="0"/>
        </w:rPr>
      </w:pPr>
      <w:r>
        <w:rPr>
          <w:snapToGrid w:val="0"/>
        </w:rPr>
        <w:tab/>
        <w:t>(c)</w:t>
      </w:r>
      <w:r>
        <w:rPr>
          <w:snapToGrid w:val="0"/>
        </w:rPr>
        <w:tab/>
        <w:t>to control business and other activities in the port or in connection with the operation of the port; and</w:t>
      </w:r>
    </w:p>
    <w:p>
      <w:pPr>
        <w:pStyle w:val="Indenta"/>
        <w:rPr>
          <w:snapToGrid w:val="0"/>
        </w:rPr>
      </w:pPr>
      <w:r>
        <w:rPr>
          <w:snapToGrid w:val="0"/>
        </w:rPr>
        <w:tab/>
        <w:t>(d)</w:t>
      </w:r>
      <w:r>
        <w:rPr>
          <w:snapToGrid w:val="0"/>
        </w:rPr>
        <w:tab/>
        <w:t>to be responsible for the safe and efficient operation of the port; and</w:t>
      </w:r>
    </w:p>
    <w:p>
      <w:pPr>
        <w:pStyle w:val="Indenta"/>
      </w:pPr>
      <w:r>
        <w:tab/>
        <w:t>(e)</w:t>
      </w:r>
      <w:r>
        <w:tab/>
        <w:t>to be responsible for maintaining port property; and</w:t>
      </w:r>
    </w:p>
    <w:p>
      <w:pPr>
        <w:pStyle w:val="Indenta"/>
      </w:pPr>
      <w:r>
        <w:tab/>
        <w:t>(fa)</w:t>
      </w:r>
      <w:r>
        <w:tab/>
        <w:t>to be responsible for port security; and</w:t>
      </w:r>
    </w:p>
    <w:p>
      <w:pPr>
        <w:pStyle w:val="Indenta"/>
        <w:rPr>
          <w:snapToGrid w:val="0"/>
        </w:rPr>
      </w:pPr>
      <w:r>
        <w:rPr>
          <w:snapToGrid w:val="0"/>
        </w:rPr>
        <w:tab/>
        <w:t>(f)</w:t>
      </w:r>
      <w:r>
        <w:rPr>
          <w:snapToGrid w:val="0"/>
        </w:rPr>
        <w:tab/>
        <w:t xml:space="preserve">to protect the environment of the port and minimise the impact of port </w:t>
      </w:r>
      <w:r>
        <w:t>operations</w:t>
      </w:r>
      <w:r>
        <w:rPr>
          <w:snapToGrid w:val="0"/>
        </w:rPr>
        <w:t xml:space="preserve"> on that environment.</w:t>
      </w:r>
    </w:p>
    <w:p>
      <w:pPr>
        <w:pStyle w:val="Subsection"/>
        <w:rPr>
          <w:snapToGrid w:val="0"/>
        </w:rPr>
      </w:pPr>
      <w:r>
        <w:rPr>
          <w:snapToGrid w:val="0"/>
        </w:rPr>
        <w:tab/>
        <w:t>(2)</w:t>
      </w:r>
      <w:r>
        <w:rPr>
          <w:snapToGrid w:val="0"/>
        </w:rPr>
        <w:tab/>
        <w:t>It is also a function of a port authority — </w:t>
      </w:r>
    </w:p>
    <w:p>
      <w:pPr>
        <w:pStyle w:val="Indenta"/>
        <w:rPr>
          <w:snapToGrid w:val="0"/>
        </w:rPr>
      </w:pPr>
      <w:r>
        <w:rPr>
          <w:snapToGrid w:val="0"/>
        </w:rPr>
        <w:tab/>
        <w:t>(a)</w:t>
      </w:r>
      <w:r>
        <w:rPr>
          <w:snapToGrid w:val="0"/>
        </w:rPr>
        <w:tab/>
        <w:t>to do things that its board determines to be conducive or incidental to the performance of a function referred to in subsection (1); or</w:t>
      </w:r>
    </w:p>
    <w:p>
      <w:pPr>
        <w:pStyle w:val="Indenta"/>
      </w:pPr>
      <w:r>
        <w:tab/>
        <w:t>(aa)</w:t>
      </w:r>
      <w:r>
        <w:tab/>
        <w:t>to use or exploit its fixed assets for profit so long as the proper performance of its functions under subsection (1) is not affected; or</w:t>
      </w:r>
    </w:p>
    <w:p>
      <w:pPr>
        <w:pStyle w:val="Indenta"/>
        <w:rPr>
          <w:snapToGrid w:val="0"/>
        </w:rPr>
      </w:pPr>
      <w:r>
        <w:rPr>
          <w:snapToGrid w:val="0"/>
        </w:rPr>
        <w:tab/>
        <w:t>(b)</w:t>
      </w:r>
      <w:r>
        <w:rPr>
          <w:snapToGrid w:val="0"/>
        </w:rPr>
        <w:tab/>
        <w:t>to do things that it is authorised to do by any other written law.</w:t>
      </w:r>
    </w:p>
    <w:p>
      <w:pPr>
        <w:pStyle w:val="Subsection"/>
        <w:rPr>
          <w:snapToGrid w:val="0"/>
        </w:rPr>
      </w:pPr>
      <w:r>
        <w:rPr>
          <w:snapToGrid w:val="0"/>
        </w:rPr>
        <w:tab/>
        <w:t>(3)</w:t>
      </w:r>
      <w:r>
        <w:rPr>
          <w:snapToGrid w:val="0"/>
        </w:rPr>
        <w:tab/>
        <w:t>A port authority may perform any of its functions in the State or elsewhere.</w:t>
      </w:r>
    </w:p>
    <w:p>
      <w:pPr>
        <w:pStyle w:val="Footnotesection"/>
      </w:pPr>
      <w:r>
        <w:tab/>
        <w:t>[Section 30 amended by No. 71 of 2003 s. 6; No. 9 of 2014 s. 12.]</w:t>
      </w:r>
    </w:p>
    <w:p>
      <w:pPr>
        <w:pStyle w:val="Heading5"/>
        <w:rPr>
          <w:snapToGrid w:val="0"/>
        </w:rPr>
      </w:pPr>
      <w:bookmarkStart w:id="87" w:name="_Toc398889967"/>
      <w:bookmarkStart w:id="88" w:name="_Toc424284402"/>
      <w:r>
        <w:rPr>
          <w:rStyle w:val="CharSectno"/>
        </w:rPr>
        <w:t>31</w:t>
      </w:r>
      <w:r>
        <w:rPr>
          <w:snapToGrid w:val="0"/>
        </w:rPr>
        <w:t>.</w:t>
      </w:r>
      <w:r>
        <w:rPr>
          <w:snapToGrid w:val="0"/>
        </w:rPr>
        <w:tab/>
        <w:t>Port authorities can act at their discretion</w:t>
      </w:r>
      <w:bookmarkEnd w:id="87"/>
      <w:bookmarkEnd w:id="88"/>
      <w:r>
        <w:rPr>
          <w:snapToGrid w:val="0"/>
        </w:rPr>
        <w:t xml:space="preserve"> </w:t>
      </w:r>
    </w:p>
    <w:p>
      <w:pPr>
        <w:pStyle w:val="Subsection"/>
        <w:rPr>
          <w:snapToGrid w:val="0"/>
        </w:rPr>
      </w:pPr>
      <w:r>
        <w:rPr>
          <w:snapToGrid w:val="0"/>
        </w:rPr>
        <w:tab/>
        <w:t>(1)</w:t>
      </w:r>
      <w:r>
        <w:rPr>
          <w:snapToGrid w:val="0"/>
        </w:rPr>
        <w:tab/>
        <w:t>The fact that a port authority has a function given to it by section 30 does not impose a duty on it to do any particular thing and, subject to this Act and any direction given to the port authority by the Minister, it has a discretion as to how and when it performs the function.</w:t>
      </w:r>
    </w:p>
    <w:p>
      <w:pPr>
        <w:pStyle w:val="Subsection"/>
        <w:rPr>
          <w:snapToGrid w:val="0"/>
        </w:rPr>
      </w:pPr>
      <w:r>
        <w:rPr>
          <w:snapToGrid w:val="0"/>
        </w:rPr>
        <w:tab/>
        <w:t>(2)</w:t>
      </w:r>
      <w:r>
        <w:rPr>
          <w:snapToGrid w:val="0"/>
        </w:rPr>
        <w:tab/>
        <w:t xml:space="preserve">Nothing in this Act limits or otherwise affects the operation of the </w:t>
      </w:r>
      <w:r>
        <w:rPr>
          <w:i/>
          <w:snapToGrid w:val="0"/>
        </w:rPr>
        <w:t>Environmental Protection Act 1986</w:t>
      </w:r>
      <w:r>
        <w:rPr>
          <w:snapToGrid w:val="0"/>
        </w:rPr>
        <w:t xml:space="preserve"> in relation to a port, a port authority or port</w:t>
      </w:r>
      <w:r>
        <w:t xml:space="preserve"> operations.</w:t>
      </w:r>
    </w:p>
    <w:p>
      <w:pPr>
        <w:pStyle w:val="Footnotesection"/>
      </w:pPr>
      <w:r>
        <w:tab/>
        <w:t>[Section 31 amended by No. 9 of 2014 s. 13.]</w:t>
      </w:r>
    </w:p>
    <w:p>
      <w:pPr>
        <w:pStyle w:val="Heading5"/>
        <w:rPr>
          <w:snapToGrid w:val="0"/>
        </w:rPr>
      </w:pPr>
      <w:bookmarkStart w:id="89" w:name="_Toc398889968"/>
      <w:bookmarkStart w:id="90" w:name="_Toc424284403"/>
      <w:r>
        <w:rPr>
          <w:rStyle w:val="CharSectno"/>
        </w:rPr>
        <w:t>32</w:t>
      </w:r>
      <w:r>
        <w:rPr>
          <w:snapToGrid w:val="0"/>
        </w:rPr>
        <w:t>.</w:t>
      </w:r>
      <w:r>
        <w:rPr>
          <w:snapToGrid w:val="0"/>
        </w:rPr>
        <w:tab/>
        <w:t>Control of port, port authority has</w:t>
      </w:r>
      <w:bookmarkEnd w:id="89"/>
      <w:bookmarkEnd w:id="90"/>
    </w:p>
    <w:p>
      <w:pPr>
        <w:pStyle w:val="Subsection"/>
        <w:rPr>
          <w:snapToGrid w:val="0"/>
        </w:rPr>
      </w:pPr>
      <w:r>
        <w:rPr>
          <w:snapToGrid w:val="0"/>
        </w:rPr>
        <w:tab/>
      </w:r>
      <w:r>
        <w:rPr>
          <w:snapToGrid w:val="0"/>
        </w:rPr>
        <w:tab/>
        <w:t>Subject to any direction given by the Minister, a port authority has exclusive control of the port.</w:t>
      </w:r>
    </w:p>
    <w:p>
      <w:pPr>
        <w:pStyle w:val="Heading5"/>
        <w:rPr>
          <w:snapToGrid w:val="0"/>
        </w:rPr>
      </w:pPr>
      <w:bookmarkStart w:id="91" w:name="_Toc398889969"/>
      <w:bookmarkStart w:id="92" w:name="_Toc424284404"/>
      <w:r>
        <w:rPr>
          <w:rStyle w:val="CharSectno"/>
        </w:rPr>
        <w:t>33</w:t>
      </w:r>
      <w:r>
        <w:rPr>
          <w:snapToGrid w:val="0"/>
        </w:rPr>
        <w:t>.</w:t>
      </w:r>
      <w:r>
        <w:rPr>
          <w:snapToGrid w:val="0"/>
        </w:rPr>
        <w:tab/>
        <w:t>Duty to act in accordance with policy instruments</w:t>
      </w:r>
      <w:bookmarkEnd w:id="91"/>
      <w:bookmarkEnd w:id="92"/>
      <w:r>
        <w:rPr>
          <w:snapToGrid w:val="0"/>
        </w:rPr>
        <w:t xml:space="preserve"> </w:t>
      </w:r>
    </w:p>
    <w:p>
      <w:pPr>
        <w:pStyle w:val="Subsection"/>
        <w:rPr>
          <w:snapToGrid w:val="0"/>
        </w:rPr>
      </w:pPr>
      <w:r>
        <w:rPr>
          <w:snapToGrid w:val="0"/>
        </w:rPr>
        <w:tab/>
      </w:r>
      <w:r>
        <w:rPr>
          <w:snapToGrid w:val="0"/>
        </w:rPr>
        <w:tab/>
      </w:r>
      <w:r>
        <w:t>Subject to section 34A, a</w:t>
      </w:r>
      <w:r>
        <w:rPr>
          <w:snapToGrid w:val="0"/>
        </w:rPr>
        <w:t xml:space="preserve"> port authority is to perform its functions in accordance with its strategic development plan and its statement of corporate intent as existing from time to time.</w:t>
      </w:r>
    </w:p>
    <w:p>
      <w:pPr>
        <w:pStyle w:val="Footnotesection"/>
      </w:pPr>
      <w:r>
        <w:tab/>
        <w:t>[Section 33 amended by No. 9 of 2014 s. 14.]</w:t>
      </w:r>
    </w:p>
    <w:p>
      <w:pPr>
        <w:pStyle w:val="Heading5"/>
      </w:pPr>
      <w:bookmarkStart w:id="93" w:name="_Toc398889970"/>
      <w:bookmarkStart w:id="94" w:name="_Toc424284405"/>
      <w:r>
        <w:rPr>
          <w:rStyle w:val="CharSectno"/>
        </w:rPr>
        <w:t>34A</w:t>
      </w:r>
      <w:r>
        <w:t>.</w:t>
      </w:r>
      <w:r>
        <w:tab/>
        <w:t>Duty to comply with State budgetary requirements</w:t>
      </w:r>
      <w:bookmarkEnd w:id="93"/>
      <w:bookmarkEnd w:id="94"/>
    </w:p>
    <w:p>
      <w:pPr>
        <w:pStyle w:val="Subsection"/>
      </w:pPr>
      <w:r>
        <w:tab/>
        <w:t>(1)</w:t>
      </w:r>
      <w:r>
        <w:tab/>
        <w:t xml:space="preserve">In this section — </w:t>
      </w:r>
    </w:p>
    <w:p>
      <w:pPr>
        <w:pStyle w:val="Defstart"/>
      </w:pPr>
      <w:r>
        <w:tab/>
      </w:r>
      <w:r>
        <w:rPr>
          <w:rStyle w:val="CharDefText"/>
        </w:rPr>
        <w:t>approved</w:t>
      </w:r>
      <w:r>
        <w:t xml:space="preserve"> means approved from time to time by the Government for the port authority and communicated in writing by the Treasurer to the port authority;</w:t>
      </w:r>
    </w:p>
    <w:p>
      <w:pPr>
        <w:pStyle w:val="Defstart"/>
      </w:pPr>
      <w:r>
        <w:tab/>
      </w:r>
      <w:r>
        <w:rPr>
          <w:rStyle w:val="CharDefText"/>
        </w:rPr>
        <w:t>Government</w:t>
      </w:r>
      <w:r>
        <w:t xml:space="preserve"> includes — </w:t>
      </w:r>
    </w:p>
    <w:p>
      <w:pPr>
        <w:pStyle w:val="Defpara"/>
      </w:pPr>
      <w:r>
        <w:tab/>
        <w:t>(a)</w:t>
      </w:r>
      <w:r>
        <w:tab/>
        <w:t>Cabinet; and</w:t>
      </w:r>
    </w:p>
    <w:p>
      <w:pPr>
        <w:pStyle w:val="Defpara"/>
      </w:pPr>
      <w:r>
        <w:tab/>
        <w:t>(b)</w:t>
      </w:r>
      <w:r>
        <w:tab/>
        <w:t>a committee of Cabinet; and</w:t>
      </w:r>
    </w:p>
    <w:p>
      <w:pPr>
        <w:pStyle w:val="Defpara"/>
      </w:pPr>
      <w:r>
        <w:tab/>
        <w:t>(c)</w:t>
      </w:r>
      <w:r>
        <w:tab/>
        <w:t>a subcommittee of a committee of Cabinet; and</w:t>
      </w:r>
    </w:p>
    <w:p>
      <w:pPr>
        <w:pStyle w:val="Defpara"/>
      </w:pPr>
      <w:r>
        <w:tab/>
        <w:t>(d)</w:t>
      </w:r>
      <w:r>
        <w:tab/>
        <w:t>the Treasurer.</w:t>
      </w:r>
    </w:p>
    <w:p>
      <w:pPr>
        <w:pStyle w:val="Subsection"/>
      </w:pPr>
      <w:r>
        <w:tab/>
        <w:t>(2)</w:t>
      </w:r>
      <w:r>
        <w:tab/>
      </w:r>
      <w:r>
        <w:rPr>
          <w:snapToGrid w:val="0"/>
        </w:rPr>
        <w:t xml:space="preserve">A port authority in performing its functions </w:t>
      </w:r>
      <w:r>
        <w:t xml:space="preserve">must — </w:t>
      </w:r>
    </w:p>
    <w:p>
      <w:pPr>
        <w:pStyle w:val="Indenta"/>
      </w:pPr>
      <w:r>
        <w:tab/>
        <w:t>(a)</w:t>
      </w:r>
      <w:r>
        <w:tab/>
        <w:t>comply with approved requirements as to capital works expenditure limits and associated funding; and</w:t>
      </w:r>
    </w:p>
    <w:p>
      <w:pPr>
        <w:pStyle w:val="Indenta"/>
      </w:pPr>
      <w:r>
        <w:tab/>
        <w:t>(b)</w:t>
      </w:r>
      <w:r>
        <w:tab/>
        <w:t>endeavour to achieve financial outcomes that are consistent with forecasts contained in approved income and cash flow statements and approved statements of financial position.</w:t>
      </w:r>
    </w:p>
    <w:p>
      <w:pPr>
        <w:pStyle w:val="Subsection"/>
        <w:rPr>
          <w:snapToGrid w:val="0"/>
        </w:rPr>
      </w:pPr>
      <w:r>
        <w:rPr>
          <w:snapToGrid w:val="0"/>
        </w:rPr>
        <w:tab/>
        <w:t>(3)</w:t>
      </w:r>
      <w:r>
        <w:rPr>
          <w:snapToGrid w:val="0"/>
        </w:rPr>
        <w:tab/>
        <w:t>If there is any conflict or inconsistency between the duty imposed by subsection (2) and the duty imposed by section 33, the duty imposed by subsection (2) prevails. </w:t>
      </w:r>
    </w:p>
    <w:p>
      <w:pPr>
        <w:pStyle w:val="Footnotesection"/>
      </w:pPr>
      <w:r>
        <w:tab/>
        <w:t>[Section 34A inserted by No. 9 of 2014 s. 15.]</w:t>
      </w:r>
    </w:p>
    <w:p>
      <w:pPr>
        <w:pStyle w:val="Heading5"/>
        <w:rPr>
          <w:snapToGrid w:val="0"/>
        </w:rPr>
      </w:pPr>
      <w:bookmarkStart w:id="95" w:name="_Toc398889971"/>
      <w:bookmarkStart w:id="96" w:name="_Toc424284406"/>
      <w:r>
        <w:rPr>
          <w:rStyle w:val="CharSectno"/>
        </w:rPr>
        <w:t>34</w:t>
      </w:r>
      <w:r>
        <w:rPr>
          <w:snapToGrid w:val="0"/>
        </w:rPr>
        <w:t>.</w:t>
      </w:r>
      <w:r>
        <w:rPr>
          <w:snapToGrid w:val="0"/>
        </w:rPr>
        <w:tab/>
        <w:t>Duty to act on commercial principles</w:t>
      </w:r>
      <w:bookmarkEnd w:id="95"/>
      <w:bookmarkEnd w:id="96"/>
      <w:r>
        <w:rPr>
          <w:snapToGrid w:val="0"/>
        </w:rPr>
        <w:t xml:space="preserve"> </w:t>
      </w:r>
    </w:p>
    <w:p>
      <w:pPr>
        <w:pStyle w:val="Subsection"/>
        <w:rPr>
          <w:snapToGrid w:val="0"/>
        </w:rPr>
      </w:pPr>
      <w:r>
        <w:rPr>
          <w:snapToGrid w:val="0"/>
        </w:rPr>
        <w:tab/>
        <w:t>(1)</w:t>
      </w:r>
      <w:r>
        <w:rPr>
          <w:snapToGrid w:val="0"/>
        </w:rPr>
        <w:tab/>
        <w:t>A port authority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w:t>
      </w:r>
    </w:p>
    <w:p>
      <w:pPr>
        <w:pStyle w:val="Subsection"/>
        <w:rPr>
          <w:snapToGrid w:val="0"/>
        </w:rPr>
      </w:pPr>
      <w:r>
        <w:rPr>
          <w:snapToGrid w:val="0"/>
        </w:rPr>
        <w:tab/>
        <w:t>(2)</w:t>
      </w:r>
      <w:r>
        <w:rPr>
          <w:snapToGrid w:val="0"/>
        </w:rPr>
        <w:tab/>
        <w:t>If there is any conflict or inconsistency between the duty imposed by subsection (1) and the duty imposed by section 33, the duty imposed by section 33 prevails. </w:t>
      </w:r>
    </w:p>
    <w:p>
      <w:pPr>
        <w:pStyle w:val="Heading5"/>
        <w:rPr>
          <w:snapToGrid w:val="0"/>
        </w:rPr>
      </w:pPr>
      <w:bookmarkStart w:id="97" w:name="_Toc398889972"/>
      <w:bookmarkStart w:id="98" w:name="_Toc424284407"/>
      <w:r>
        <w:rPr>
          <w:rStyle w:val="CharSectno"/>
        </w:rPr>
        <w:t>35</w:t>
      </w:r>
      <w:r>
        <w:rPr>
          <w:snapToGrid w:val="0"/>
        </w:rPr>
        <w:t>.</w:t>
      </w:r>
      <w:r>
        <w:rPr>
          <w:snapToGrid w:val="0"/>
        </w:rPr>
        <w:tab/>
        <w:t>Powers generally</w:t>
      </w:r>
      <w:bookmarkEnd w:id="97"/>
      <w:bookmarkEnd w:id="98"/>
      <w:r>
        <w:rPr>
          <w:snapToGrid w:val="0"/>
        </w:rPr>
        <w:t xml:space="preserve"> </w:t>
      </w:r>
    </w:p>
    <w:p>
      <w:pPr>
        <w:pStyle w:val="Subsection"/>
        <w:rPr>
          <w:snapToGrid w:val="0"/>
        </w:rPr>
      </w:pPr>
      <w:r>
        <w:rPr>
          <w:snapToGrid w:val="0"/>
        </w:rPr>
        <w:tab/>
        <w:t>(1)</w:t>
      </w:r>
      <w:r>
        <w:rPr>
          <w:snapToGrid w:val="0"/>
        </w:rPr>
        <w:tab/>
        <w:t>A port authority has all the powers it needs to perform its functions under this Act or any other written law.</w:t>
      </w:r>
    </w:p>
    <w:p>
      <w:pPr>
        <w:pStyle w:val="Subsection"/>
        <w:keepNext/>
        <w:rPr>
          <w:snapToGrid w:val="0"/>
        </w:rPr>
      </w:pPr>
      <w:r>
        <w:rPr>
          <w:snapToGrid w:val="0"/>
        </w:rPr>
        <w:tab/>
        <w:t>(2)</w:t>
      </w:r>
      <w:r>
        <w:rPr>
          <w:snapToGrid w:val="0"/>
        </w:rPr>
        <w:tab/>
        <w:t>A port authority may for the purpose of performing a function mentioned in subsection (1) — </w:t>
      </w:r>
    </w:p>
    <w:p>
      <w:pPr>
        <w:pStyle w:val="Indenta"/>
        <w:rPr>
          <w:snapToGrid w:val="0"/>
        </w:rPr>
      </w:pPr>
      <w:r>
        <w:rPr>
          <w:snapToGrid w:val="0"/>
        </w:rPr>
        <w:tab/>
        <w:t>(a)</w:t>
      </w:r>
      <w:r>
        <w:rPr>
          <w:snapToGrid w:val="0"/>
        </w:rPr>
        <w:tab/>
        <w:t>subject to Part 3, acquire, hold and dispose of real or personal property; and</w:t>
      </w:r>
    </w:p>
    <w:p>
      <w:pPr>
        <w:pStyle w:val="Indenta"/>
        <w:rPr>
          <w:snapToGrid w:val="0"/>
        </w:rPr>
      </w:pPr>
      <w:r>
        <w:rPr>
          <w:snapToGrid w:val="0"/>
        </w:rPr>
        <w:tab/>
        <w:t>(b)</w:t>
      </w:r>
      <w:r>
        <w:rPr>
          <w:snapToGrid w:val="0"/>
        </w:rPr>
        <w:tab/>
        <w:t>manage, improve and develop real or personal property vested in it or acquired by it or arrange for property to be managed, improved or developed; and</w:t>
      </w:r>
    </w:p>
    <w:p>
      <w:pPr>
        <w:pStyle w:val="Indenta"/>
        <w:rPr>
          <w:snapToGrid w:val="0"/>
        </w:rPr>
      </w:pPr>
      <w:r>
        <w:rPr>
          <w:snapToGrid w:val="0"/>
        </w:rPr>
        <w:tab/>
        <w:t>(c)</w:t>
      </w:r>
      <w:r>
        <w:rPr>
          <w:snapToGrid w:val="0"/>
        </w:rPr>
        <w:tab/>
        <w:t>carry out port works or arrange for port works to be carried out; and</w:t>
      </w:r>
    </w:p>
    <w:p>
      <w:pPr>
        <w:pStyle w:val="Indenta"/>
        <w:rPr>
          <w:snapToGrid w:val="0"/>
        </w:rPr>
      </w:pPr>
      <w:r>
        <w:rPr>
          <w:snapToGrid w:val="0"/>
        </w:rPr>
        <w:tab/>
        <w:t>(d)</w:t>
      </w:r>
      <w:r>
        <w:rPr>
          <w:snapToGrid w:val="0"/>
        </w:rPr>
        <w:tab/>
        <w:t>provide, manage and operate port facilities or arrange for port facilities to be provided, managed and operated; and</w:t>
      </w:r>
    </w:p>
    <w:p>
      <w:pPr>
        <w:pStyle w:val="Indenta"/>
        <w:rPr>
          <w:snapToGrid w:val="0"/>
        </w:rPr>
      </w:pPr>
      <w:r>
        <w:rPr>
          <w:snapToGrid w:val="0"/>
        </w:rPr>
        <w:tab/>
        <w:t>(e)</w:t>
      </w:r>
      <w:r>
        <w:rPr>
          <w:snapToGrid w:val="0"/>
        </w:rPr>
        <w:tab/>
        <w:t>provide port services or arrange for port services to be provided; and</w:t>
      </w:r>
    </w:p>
    <w:p>
      <w:pPr>
        <w:pStyle w:val="Indenta"/>
        <w:rPr>
          <w:snapToGrid w:val="0"/>
        </w:rPr>
      </w:pPr>
      <w:r>
        <w:rPr>
          <w:snapToGrid w:val="0"/>
        </w:rPr>
        <w:tab/>
        <w:t>(f)</w:t>
      </w:r>
      <w:r>
        <w:rPr>
          <w:snapToGrid w:val="0"/>
        </w:rPr>
        <w:tab/>
        <w:t>enter into any contract or arrangement including a contract or arrangement with any person for the performance of the function by that person on behalf of the port authority; and</w:t>
      </w:r>
    </w:p>
    <w:p>
      <w:pPr>
        <w:pStyle w:val="Indenta"/>
        <w:rPr>
          <w:snapToGrid w:val="0"/>
        </w:rPr>
      </w:pPr>
      <w:r>
        <w:rPr>
          <w:snapToGrid w:val="0"/>
        </w:rPr>
        <w:tab/>
        <w:t>(g)</w:t>
      </w:r>
      <w:r>
        <w:rPr>
          <w:snapToGrid w:val="0"/>
        </w:rPr>
        <w:tab/>
        <w:t>apply for the grant of any licence or other authority required by the port authority; and</w:t>
      </w:r>
    </w:p>
    <w:p>
      <w:pPr>
        <w:pStyle w:val="Indenta"/>
        <w:rPr>
          <w:snapToGrid w:val="0"/>
        </w:rPr>
      </w:pPr>
      <w:r>
        <w:rPr>
          <w:snapToGrid w:val="0"/>
        </w:rPr>
        <w:tab/>
        <w:t>(h)</w:t>
      </w:r>
      <w:r>
        <w:rPr>
          <w:snapToGrid w:val="0"/>
        </w:rPr>
        <w:tab/>
        <w:t>acquire, establish and operate — </w:t>
      </w:r>
    </w:p>
    <w:p>
      <w:pPr>
        <w:pStyle w:val="Indenti"/>
        <w:rPr>
          <w:snapToGrid w:val="0"/>
        </w:rPr>
      </w:pPr>
      <w:r>
        <w:rPr>
          <w:snapToGrid w:val="0"/>
        </w:rPr>
        <w:tab/>
        <w:t>(i)</w:t>
      </w:r>
      <w:r>
        <w:rPr>
          <w:snapToGrid w:val="0"/>
        </w:rPr>
        <w:tab/>
        <w:t>any undertaking necessary or convenient for the performance of the function;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produce and deal in any equipment, facilities or system associated with, the performance of the function; and</w:t>
      </w:r>
    </w:p>
    <w:p>
      <w:pPr>
        <w:pStyle w:val="Indenta"/>
        <w:rPr>
          <w:snapToGrid w:val="0"/>
        </w:rPr>
      </w:pPr>
      <w:r>
        <w:rPr>
          <w:snapToGrid w:val="0"/>
        </w:rPr>
        <w:tab/>
        <w:t>(j)</w:t>
      </w:r>
      <w:r>
        <w:rPr>
          <w:snapToGrid w:val="0"/>
        </w:rPr>
        <w:tab/>
        <w:t>appoint agents or engage persons under contracts for services to provide professional, technical or other assistance to the port authority; and</w:t>
      </w:r>
    </w:p>
    <w:p>
      <w:pPr>
        <w:pStyle w:val="Indenta"/>
        <w:keepLines/>
        <w:rPr>
          <w:snapToGrid w:val="0"/>
        </w:rPr>
      </w:pPr>
      <w:r>
        <w:rPr>
          <w:snapToGrid w:val="0"/>
        </w:rPr>
        <w:tab/>
        <w:t>(k)</w:t>
      </w:r>
      <w:r>
        <w:rPr>
          <w:snapToGrid w:val="0"/>
        </w:rPr>
        <w:tab/>
        <w:t>subject to sections 39 and 40, participate in any business arrangement and acquire, hold and dispose of shares, units or other interests in, or relating to, a business arrangement; and</w:t>
      </w:r>
    </w:p>
    <w:p>
      <w:pPr>
        <w:pStyle w:val="Indenta"/>
        <w:rPr>
          <w:snapToGrid w:val="0"/>
        </w:rPr>
      </w:pPr>
      <w:r>
        <w:rPr>
          <w:snapToGrid w:val="0"/>
        </w:rPr>
        <w:tab/>
        <w:t>(l)</w:t>
      </w:r>
      <w:r>
        <w:rPr>
          <w:snapToGrid w:val="0"/>
        </w:rPr>
        <w:tab/>
        <w:t>carry out any investigation, survey, exploration or feasibility study; and</w:t>
      </w:r>
    </w:p>
    <w:p>
      <w:pPr>
        <w:pStyle w:val="Indenta"/>
        <w:rPr>
          <w:snapToGrid w:val="0"/>
        </w:rPr>
      </w:pPr>
      <w:r>
        <w:rPr>
          <w:snapToGrid w:val="0"/>
        </w:rPr>
        <w:tab/>
        <w:t>(m)</w:t>
      </w:r>
      <w:r>
        <w:rPr>
          <w:snapToGrid w:val="0"/>
        </w:rPr>
        <w:tab/>
        <w:t>collaborate in, carry out, or procure the carrying out of, research and publish information that results from the research; and</w:t>
      </w:r>
    </w:p>
    <w:p>
      <w:pPr>
        <w:pStyle w:val="Indenta"/>
        <w:rPr>
          <w:snapToGrid w:val="0"/>
        </w:rPr>
      </w:pPr>
      <w:r>
        <w:rPr>
          <w:snapToGrid w:val="0"/>
        </w:rPr>
        <w:tab/>
        <w:t>(n)</w:t>
      </w:r>
      <w:r>
        <w:rPr>
          <w:snapToGrid w:val="0"/>
        </w:rP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rPr>
          <w:snapToGrid w:val="0"/>
        </w:rPr>
        <w:tab/>
        <w:t>(o)</w:t>
      </w:r>
      <w:r>
        <w:rPr>
          <w:snapToGrid w:val="0"/>
        </w:rPr>
        <w:tab/>
        <w:t>issue licences and administer licensing schemes for activities and things in accordance with the regulations; and</w:t>
      </w:r>
    </w:p>
    <w:p>
      <w:pPr>
        <w:pStyle w:val="Indenta"/>
        <w:rPr>
          <w:snapToGrid w:val="0"/>
        </w:rPr>
      </w:pPr>
      <w:r>
        <w:rPr>
          <w:snapToGrid w:val="0"/>
        </w:rPr>
        <w:tab/>
        <w:t>(p)</w:t>
      </w:r>
      <w:r>
        <w:rPr>
          <w:snapToGrid w:val="0"/>
        </w:rPr>
        <w:tab/>
        <w:t>promote and market the port authority and its activities.</w:t>
      </w:r>
    </w:p>
    <w:p>
      <w:pPr>
        <w:pStyle w:val="Subsection"/>
        <w:rPr>
          <w:snapToGrid w:val="0"/>
        </w:rPr>
      </w:pPr>
      <w:r>
        <w:rPr>
          <w:snapToGrid w:val="0"/>
        </w:rPr>
        <w:tab/>
        <w:t>(3)</w:t>
      </w:r>
      <w:r>
        <w:rPr>
          <w:snapToGrid w:val="0"/>
        </w:rPr>
        <w:tab/>
        <w:t>Subsection (2) does not limit subsection (1) or the other powers of a port authority under this Act or any other written law.</w:t>
      </w:r>
    </w:p>
    <w:p>
      <w:pPr>
        <w:pStyle w:val="Subsection"/>
      </w:pPr>
      <w:r>
        <w:rPr>
          <w:snapToGrid w:val="0"/>
        </w:rPr>
        <w:tab/>
        <w:t>(4)</w:t>
      </w:r>
      <w:r>
        <w:rPr>
          <w:snapToGrid w:val="0"/>
        </w:rPr>
        <w:tab/>
      </w:r>
      <w:r>
        <w:t>A port authority must get the Minister’s approval before it issues a licence giving a person an exclusive right to provide port services of a particular kind.</w:t>
      </w:r>
    </w:p>
    <w:p>
      <w:pPr>
        <w:pStyle w:val="Subsection"/>
      </w:pPr>
      <w:r>
        <w:tab/>
        <w:t>(5)</w:t>
      </w:r>
      <w:r>
        <w:tab/>
        <w:t>The Minister is not to give approval under subsection (4) unless the Minister considers that the public benefits of exclusivity exceed the public costs and on providing such approval, the Minister must table in Parliament within 14 days, full reasons for his decision to grant an exclusive licence.</w:t>
      </w:r>
    </w:p>
    <w:p>
      <w:pPr>
        <w:pStyle w:val="Subsection"/>
        <w:keepNext/>
        <w:rPr>
          <w:snapToGrid w:val="0"/>
        </w:rPr>
      </w:pPr>
      <w:r>
        <w:rPr>
          <w:snapToGrid w:val="0"/>
        </w:rPr>
        <w:tab/>
        <w:t>(6)</w:t>
      </w:r>
      <w:r>
        <w:rPr>
          <w:snapToGrid w:val="0"/>
        </w:rPr>
        <w:tab/>
        <w:t>In —</w:t>
      </w:r>
    </w:p>
    <w:p>
      <w:pPr>
        <w:pStyle w:val="Indenta"/>
      </w:pPr>
      <w:r>
        <w:rPr>
          <w:snapToGrid w:val="0"/>
        </w:rPr>
        <w:tab/>
        <w:t>(a)</w:t>
      </w:r>
      <w:r>
        <w:rPr>
          <w:snapToGrid w:val="0"/>
        </w:rPr>
        <w:tab/>
      </w:r>
      <w:r>
        <w:t>entering into or negotiating a contract or arrangement for the purposes of subsection (2)(b) to (f); or</w:t>
      </w:r>
    </w:p>
    <w:p>
      <w:pPr>
        <w:pStyle w:val="Indenta"/>
        <w:keepNext/>
      </w:pPr>
      <w:r>
        <w:tab/>
        <w:t>(b)</w:t>
      </w:r>
      <w:r>
        <w:tab/>
        <w:t>issuing, or dealing with an application for, a licence authorising the holder to provide port services,</w:t>
      </w:r>
    </w:p>
    <w:p>
      <w:pPr>
        <w:pStyle w:val="Subsection"/>
      </w:pPr>
      <w:r>
        <w:tab/>
      </w:r>
      <w:r>
        <w:tab/>
        <w:t>a port authority must not —</w:t>
      </w:r>
    </w:p>
    <w:p>
      <w:pPr>
        <w:pStyle w:val="Indenta"/>
      </w:pPr>
      <w:r>
        <w:tab/>
        <w:t>(c)</w:t>
      </w:r>
      <w:r>
        <w:tab/>
        <w:t>impose, or purport to impose, an obligation on any person; or</w:t>
      </w:r>
    </w:p>
    <w:p>
      <w:pPr>
        <w:pStyle w:val="Indenta"/>
        <w:keepNext/>
      </w:pPr>
      <w:r>
        <w:tab/>
        <w:t>(d)</w:t>
      </w:r>
      <w:r>
        <w:tab/>
        <w:t>seek an undertaking from any person,</w:t>
      </w:r>
    </w:p>
    <w:p>
      <w:pPr>
        <w:pStyle w:val="Subsection"/>
      </w:pPr>
      <w:r>
        <w:tab/>
      </w:r>
      <w:r>
        <w:tab/>
        <w:t>as to the method by which, or manner in which, the person’s employees are to be employed other than an obligation or undertaking that the method or manner be lawful.</w:t>
      </w:r>
    </w:p>
    <w:p>
      <w:pPr>
        <w:pStyle w:val="Subsection"/>
        <w:rPr>
          <w:snapToGrid w:val="0"/>
        </w:rPr>
      </w:pPr>
      <w:r>
        <w:rPr>
          <w:snapToGrid w:val="0"/>
        </w:rPr>
        <w:tab/>
        <w:t>(7)</w:t>
      </w:r>
      <w:r>
        <w:rPr>
          <w:snapToGrid w:val="0"/>
        </w:rPr>
        <w:tab/>
        <w:t>A port authority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port authority’s interest;</w:t>
      </w:r>
    </w:p>
    <w:p>
      <w:pPr>
        <w:pStyle w:val="Indenta"/>
        <w:rPr>
          <w:snapToGrid w:val="0"/>
        </w:rPr>
      </w:pPr>
      <w:r>
        <w:rPr>
          <w:snapToGrid w:val="0"/>
        </w:rPr>
        <w:tab/>
        <w:t>(c)</w:t>
      </w:r>
      <w:r>
        <w:rPr>
          <w:snapToGrid w:val="0"/>
        </w:rPr>
        <w:tab/>
        <w:t>accept any gift, devise or bequest if it is absolute, or subject to conditions that are within the functions of the port authority.</w:t>
      </w:r>
    </w:p>
    <w:p>
      <w:pPr>
        <w:pStyle w:val="Subsection"/>
        <w:rPr>
          <w:snapToGrid w:val="0"/>
        </w:rPr>
      </w:pPr>
      <w:r>
        <w:rPr>
          <w:snapToGrid w:val="0"/>
        </w:rPr>
        <w:tab/>
        <w:t>(8)</w:t>
      </w:r>
      <w:r>
        <w:rPr>
          <w:snapToGrid w:val="0"/>
        </w:rPr>
        <w:tab/>
        <w:t xml:space="preserve">For the purposes of port works and port facilities, a port authority is a local authority within the meaning of the </w:t>
      </w:r>
      <w:r>
        <w:rPr>
          <w:i/>
          <w:snapToGrid w:val="0"/>
        </w:rPr>
        <w:t>Public Works Act 1902</w:t>
      </w:r>
      <w:r>
        <w:rPr>
          <w:snapToGrid w:val="0"/>
        </w:rPr>
        <w:t>.</w:t>
      </w:r>
    </w:p>
    <w:p>
      <w:pPr>
        <w:pStyle w:val="Subsection"/>
      </w:pPr>
      <w:r>
        <w:tab/>
        <w:t>(9A)</w:t>
      </w:r>
      <w:r>
        <w:tab/>
        <w:t xml:space="preserve">Subject to the </w:t>
      </w:r>
      <w:r>
        <w:rPr>
          <w:i/>
        </w:rPr>
        <w:t>Environmental Protection Act 1986</w:t>
      </w:r>
      <w:r>
        <w:t>, port operations may take place on any day and at any time.</w:t>
      </w:r>
    </w:p>
    <w:p>
      <w:pPr>
        <w:pStyle w:val="Subsection"/>
        <w:rPr>
          <w:snapToGrid w:val="0"/>
        </w:rPr>
      </w:pPr>
      <w:r>
        <w:rPr>
          <w:snapToGrid w:val="0"/>
        </w:rPr>
        <w:tab/>
        <w:t>(9)</w:t>
      </w:r>
      <w:r>
        <w:rPr>
          <w:snapToGrid w:val="0"/>
        </w:rPr>
        <w:tab/>
        <w:t>In this section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things incidental to participating in a business arrangement;</w:t>
      </w:r>
    </w:p>
    <w:p>
      <w:pPr>
        <w:pStyle w:val="Defstart"/>
      </w:pPr>
      <w:r>
        <w:rPr>
          <w:b/>
        </w:rPr>
        <w:tab/>
      </w:r>
      <w:r>
        <w:rPr>
          <w:rStyle w:val="CharDefText"/>
        </w:rPr>
        <w:t>port activities</w:t>
      </w:r>
      <w:r>
        <w:t xml:space="preserve"> means — </w:t>
      </w:r>
    </w:p>
    <w:p>
      <w:pPr>
        <w:pStyle w:val="Defpara"/>
      </w:pPr>
      <w:r>
        <w:tab/>
        <w:t>(a)</w:t>
      </w:r>
      <w:r>
        <w:tab/>
        <w:t>the movement, mooring, hauling out, maintenance and launching of vessels; and</w:t>
      </w:r>
    </w:p>
    <w:p>
      <w:pPr>
        <w:pStyle w:val="Defpara"/>
      </w:pPr>
      <w:r>
        <w:tab/>
        <w:t>(b)</w:t>
      </w:r>
      <w:r>
        <w:tab/>
        <w:t>the movement of, and provision of services to, passengers of vessels; and</w:t>
      </w:r>
    </w:p>
    <w:p>
      <w:pPr>
        <w:pStyle w:val="Defpara"/>
      </w:pPr>
      <w:r>
        <w:tab/>
        <w:t>(c)</w:t>
      </w:r>
      <w:r>
        <w:tab/>
        <w:t>the movement, handling and storage of goods;</w:t>
      </w:r>
    </w:p>
    <w:p>
      <w:pPr>
        <w:pStyle w:val="Defstart"/>
      </w:pPr>
      <w:r>
        <w:rPr>
          <w:b/>
        </w:rPr>
        <w:tab/>
      </w:r>
      <w:r>
        <w:rPr>
          <w:rStyle w:val="CharDefText"/>
        </w:rPr>
        <w:t>port services</w:t>
      </w:r>
      <w:r>
        <w:t xml:space="preserve"> means — </w:t>
      </w:r>
    </w:p>
    <w:p>
      <w:pPr>
        <w:pStyle w:val="Defpara"/>
      </w:pPr>
      <w:r>
        <w:tab/>
        <w:t>(a)</w:t>
      </w:r>
      <w:r>
        <w:tab/>
        <w:t>carrying out port activities; and</w:t>
      </w:r>
    </w:p>
    <w:p>
      <w:pPr>
        <w:pStyle w:val="Defpara"/>
      </w:pPr>
      <w:r>
        <w:tab/>
        <w:t>(b)</w:t>
      </w:r>
      <w:r>
        <w:tab/>
        <w:t>dredging, engineering, marine civil construction, pollution management, security, pilotage, towage, vessel movement control, emergency response, shore stabilization and waste management services; and</w:t>
      </w:r>
    </w:p>
    <w:p>
      <w:pPr>
        <w:pStyle w:val="Defpara"/>
      </w:pPr>
      <w:r>
        <w:tab/>
        <w:t>(c)</w:t>
      </w:r>
      <w:r>
        <w:tab/>
        <w:t>supplying provisions or equipment to vessels; and</w:t>
      </w:r>
    </w:p>
    <w:p>
      <w:pPr>
        <w:pStyle w:val="Defpara"/>
      </w:pPr>
      <w:r>
        <w:tab/>
        <w:t>(d)</w:t>
      </w:r>
      <w:r>
        <w:tab/>
        <w:t>supplying water, fuel or electricity; and</w:t>
      </w:r>
    </w:p>
    <w:p>
      <w:pPr>
        <w:pStyle w:val="Defpara"/>
      </w:pPr>
      <w:r>
        <w:tab/>
        <w:t>(e)</w:t>
      </w:r>
      <w:r>
        <w:tab/>
        <w:t>providing for the use or hire of port facilities; and</w:t>
      </w:r>
    </w:p>
    <w:p>
      <w:pPr>
        <w:pStyle w:val="Defpara"/>
      </w:pPr>
      <w:r>
        <w:tab/>
        <w:t>(f)</w:t>
      </w:r>
      <w:r>
        <w:tab/>
        <w:t>providing labour for any purpose; and</w:t>
      </w:r>
    </w:p>
    <w:p>
      <w:pPr>
        <w:pStyle w:val="Defpara"/>
      </w:pPr>
      <w:r>
        <w:tab/>
        <w:t>(g)</w:t>
      </w:r>
      <w:r>
        <w:tab/>
        <w:t>any other services prescribed by regulation for the purposes of this definition;</w:t>
      </w:r>
    </w:p>
    <w:p>
      <w:pPr>
        <w:pStyle w:val="Defstart"/>
        <w:keepNext/>
      </w:pPr>
      <w:r>
        <w:rPr>
          <w:b/>
        </w:rPr>
        <w:tab/>
      </w:r>
      <w:r>
        <w:rPr>
          <w:rStyle w:val="CharDefText"/>
        </w:rPr>
        <w:t>port works</w:t>
      </w:r>
      <w:r>
        <w:t xml:space="preserve"> means works for port purposes and includes — </w:t>
      </w:r>
    </w:p>
    <w:p>
      <w:pPr>
        <w:pStyle w:val="Defpara"/>
        <w:keepNext/>
      </w:pPr>
      <w:r>
        <w:tab/>
        <w:t>(a)</w:t>
      </w:r>
      <w:r>
        <w:tab/>
        <w:t>designing, constructing, extending, maintaining, removing or demolishing — </w:t>
      </w:r>
    </w:p>
    <w:p>
      <w:pPr>
        <w:pStyle w:val="Defsubpara"/>
        <w:keepLines w:val="0"/>
      </w:pPr>
      <w:r>
        <w:tab/>
        <w:t>(i)</w:t>
      </w:r>
      <w:r>
        <w:tab/>
        <w:t>maritime structures and other buildings, structures and enclosures; and</w:t>
      </w:r>
    </w:p>
    <w:p>
      <w:pPr>
        <w:pStyle w:val="Defsubpara"/>
        <w:keepLines w:val="0"/>
      </w:pPr>
      <w:r>
        <w:tab/>
        <w:t>(ii)</w:t>
      </w:r>
      <w:r>
        <w:tab/>
        <w:t>railways, roads, bridges, dams and embankments;</w:t>
      </w:r>
    </w:p>
    <w:p>
      <w:pPr>
        <w:pStyle w:val="Defpara"/>
        <w:keepNext/>
      </w:pPr>
      <w:r>
        <w:tab/>
      </w:r>
      <w:r>
        <w:tab/>
        <w:t>and</w:t>
      </w:r>
    </w:p>
    <w:p>
      <w:pPr>
        <w:pStyle w:val="Defpara"/>
      </w:pPr>
      <w:r>
        <w:tab/>
        <w:t>(b)</w:t>
      </w:r>
      <w:r>
        <w:tab/>
        <w:t>reclaiming land from the sea or a river.</w:t>
      </w:r>
    </w:p>
    <w:p>
      <w:pPr>
        <w:pStyle w:val="Footnotesection"/>
      </w:pPr>
      <w:r>
        <w:tab/>
        <w:t>[Section 35 amended by No. 9 of 2014 s. 16.]</w:t>
      </w:r>
    </w:p>
    <w:p>
      <w:pPr>
        <w:pStyle w:val="Heading5"/>
        <w:rPr>
          <w:snapToGrid w:val="0"/>
        </w:rPr>
      </w:pPr>
      <w:bookmarkStart w:id="99" w:name="_Toc398889973"/>
      <w:bookmarkStart w:id="100" w:name="_Toc424284408"/>
      <w:r>
        <w:rPr>
          <w:rStyle w:val="CharSectno"/>
        </w:rPr>
        <w:t>36</w:t>
      </w:r>
      <w:r>
        <w:rPr>
          <w:snapToGrid w:val="0"/>
        </w:rPr>
        <w:t>.</w:t>
      </w:r>
      <w:r>
        <w:rPr>
          <w:snapToGrid w:val="0"/>
        </w:rPr>
        <w:tab/>
        <w:t>Port facilities and services, extended powers as to</w:t>
      </w:r>
      <w:bookmarkEnd w:id="99"/>
      <w:bookmarkEnd w:id="100"/>
    </w:p>
    <w:p>
      <w:pPr>
        <w:pStyle w:val="Subsection"/>
        <w:rPr>
          <w:snapToGrid w:val="0"/>
        </w:rPr>
      </w:pPr>
      <w:r>
        <w:rPr>
          <w:snapToGrid w:val="0"/>
        </w:rPr>
        <w:tab/>
      </w:r>
      <w:r>
        <w:rPr>
          <w:snapToGrid w:val="0"/>
        </w:rPr>
        <w:tab/>
        <w:t>A port authority’s powers under section 35(2)(d) and (e) extend to — </w:t>
      </w:r>
    </w:p>
    <w:p>
      <w:pPr>
        <w:pStyle w:val="Indenta"/>
        <w:rPr>
          <w:snapToGrid w:val="0"/>
        </w:rPr>
      </w:pPr>
      <w:r>
        <w:rPr>
          <w:snapToGrid w:val="0"/>
        </w:rPr>
        <w:tab/>
        <w:t>(a)</w:t>
      </w:r>
      <w:r>
        <w:rPr>
          <w:snapToGrid w:val="0"/>
        </w:rPr>
        <w:tab/>
        <w:t>providing, managing or operating port facilities outside the port; and</w:t>
      </w:r>
    </w:p>
    <w:p>
      <w:pPr>
        <w:pStyle w:val="Indenta"/>
        <w:rPr>
          <w:snapToGrid w:val="0"/>
        </w:rPr>
      </w:pPr>
      <w:r>
        <w:rPr>
          <w:snapToGrid w:val="0"/>
        </w:rPr>
        <w:tab/>
        <w:t>(b)</w:t>
      </w:r>
      <w:r>
        <w:rPr>
          <w:snapToGrid w:val="0"/>
        </w:rPr>
        <w:tab/>
        <w:t>providing port services outside the port; and</w:t>
      </w:r>
    </w:p>
    <w:p>
      <w:pPr>
        <w:pStyle w:val="Indenta"/>
        <w:rPr>
          <w:snapToGrid w:val="0"/>
        </w:rPr>
      </w:pPr>
      <w:r>
        <w:rPr>
          <w:snapToGrid w:val="0"/>
        </w:rPr>
        <w:tab/>
        <w:t>(c)</w:t>
      </w:r>
      <w:r>
        <w:rPr>
          <w:snapToGrid w:val="0"/>
        </w:rPr>
        <w:tab/>
        <w:t>providing a port service other than for or in connection with the operation of the port as a port if doing so does not adversely affect the provision of that service for or in connection with the operation of the port as a port.</w:t>
      </w:r>
    </w:p>
    <w:p>
      <w:pPr>
        <w:pStyle w:val="Heading5"/>
        <w:rPr>
          <w:snapToGrid w:val="0"/>
        </w:rPr>
      </w:pPr>
      <w:bookmarkStart w:id="101" w:name="_Toc398889974"/>
      <w:bookmarkStart w:id="102" w:name="_Toc424284409"/>
      <w:r>
        <w:rPr>
          <w:rStyle w:val="CharSectno"/>
        </w:rPr>
        <w:t>37</w:t>
      </w:r>
      <w:r>
        <w:rPr>
          <w:snapToGrid w:val="0"/>
        </w:rPr>
        <w:t>.</w:t>
      </w:r>
      <w:r>
        <w:rPr>
          <w:snapToGrid w:val="0"/>
        </w:rPr>
        <w:tab/>
        <w:t>Fees and charges, power to levy</w:t>
      </w:r>
      <w:bookmarkEnd w:id="101"/>
      <w:bookmarkEnd w:id="102"/>
    </w:p>
    <w:p>
      <w:pPr>
        <w:pStyle w:val="Subsection"/>
        <w:rPr>
          <w:snapToGrid w:val="0"/>
        </w:rPr>
      </w:pPr>
      <w:r>
        <w:rPr>
          <w:snapToGrid w:val="0"/>
        </w:rPr>
        <w:tab/>
        <w:t>(1)</w:t>
      </w:r>
      <w:r>
        <w:rPr>
          <w:snapToGrid w:val="0"/>
        </w:rPr>
        <w:tab/>
        <w:t>A port authority may levy and collect, in relation to its functions under this Act or any other written law, such fees for licences and approvals as are provided for in the regulations and such port charges as the port authority determines.</w:t>
      </w:r>
    </w:p>
    <w:p>
      <w:pPr>
        <w:pStyle w:val="Subsection"/>
        <w:rPr>
          <w:snapToGrid w:val="0"/>
        </w:rPr>
      </w:pPr>
      <w:r>
        <w:rPr>
          <w:snapToGrid w:val="0"/>
        </w:rPr>
        <w:tab/>
        <w:t>(2)</w:t>
      </w:r>
      <w:r>
        <w:rPr>
          <w:snapToGrid w:val="0"/>
        </w:rPr>
        <w:tab/>
        <w:t>Port charges are to be determined by the port authority in accordance with prudent commercial principles and may allow for — </w:t>
      </w:r>
    </w:p>
    <w:p>
      <w:pPr>
        <w:pStyle w:val="Indenta"/>
        <w:rPr>
          <w:snapToGrid w:val="0"/>
        </w:rPr>
      </w:pPr>
      <w:r>
        <w:rPr>
          <w:snapToGrid w:val="0"/>
        </w:rPr>
        <w:tab/>
        <w:t>(a)</w:t>
      </w:r>
      <w:r>
        <w:rPr>
          <w:snapToGrid w:val="0"/>
        </w:rPr>
        <w:tab/>
        <w:t>the making of a profit; and</w:t>
      </w:r>
    </w:p>
    <w:p>
      <w:pPr>
        <w:pStyle w:val="Indenta"/>
        <w:rPr>
          <w:snapToGrid w:val="0"/>
        </w:rPr>
      </w:pPr>
      <w:r>
        <w:rPr>
          <w:snapToGrid w:val="0"/>
        </w:rPr>
        <w:tab/>
        <w:t>(b)</w:t>
      </w:r>
      <w:r>
        <w:rPr>
          <w:snapToGrid w:val="0"/>
        </w:rPr>
        <w:tab/>
        <w:t>depreciation of assets.</w:t>
      </w:r>
    </w:p>
    <w:p>
      <w:pPr>
        <w:pStyle w:val="Heading5"/>
        <w:rPr>
          <w:snapToGrid w:val="0"/>
        </w:rPr>
      </w:pPr>
      <w:bookmarkStart w:id="103" w:name="_Toc398889975"/>
      <w:bookmarkStart w:id="104" w:name="_Toc424284410"/>
      <w:r>
        <w:rPr>
          <w:rStyle w:val="CharSectno"/>
        </w:rPr>
        <w:t>38</w:t>
      </w:r>
      <w:r>
        <w:rPr>
          <w:snapToGrid w:val="0"/>
        </w:rPr>
        <w:t>.</w:t>
      </w:r>
      <w:r>
        <w:rPr>
          <w:snapToGrid w:val="0"/>
        </w:rPr>
        <w:tab/>
        <w:t>Planning laws, application of to port authorities</w:t>
      </w:r>
      <w:bookmarkEnd w:id="103"/>
      <w:bookmarkEnd w:id="10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port authority</w:t>
      </w:r>
      <w:r>
        <w:t xml:space="preserve"> includes — </w:t>
      </w:r>
    </w:p>
    <w:p>
      <w:pPr>
        <w:pStyle w:val="Defpara"/>
      </w:pPr>
      <w:r>
        <w:tab/>
        <w:t>(a)</w:t>
      </w:r>
      <w:r>
        <w:tab/>
        <w:t>a lessee or tenant of a port authority; and</w:t>
      </w:r>
    </w:p>
    <w:p>
      <w:pPr>
        <w:pStyle w:val="Defpara"/>
      </w:pPr>
      <w:r>
        <w:tab/>
        <w:t>(b)</w:t>
      </w:r>
      <w:r>
        <w:tab/>
        <w:t>a person acting on behalf of a port authority under an arrangement under section 35(2).</w:t>
      </w:r>
    </w:p>
    <w:p>
      <w:pPr>
        <w:pStyle w:val="Subsection"/>
      </w:pPr>
      <w:r>
        <w:tab/>
        <w:t>(2)</w:t>
      </w:r>
      <w:r>
        <w:tab/>
        <w:t xml:space="preserve">For the purposes of port works and port facilities, the </w:t>
      </w:r>
      <w:r>
        <w:rPr>
          <w:i/>
        </w:rPr>
        <w:t>Planning and Development Act 2005</w:t>
      </w:r>
      <w:r>
        <w:t xml:space="preserve"> section 6 applies to a port authority as if it were an agency of the Crown in right of the State.</w:t>
      </w:r>
    </w:p>
    <w:p>
      <w:pPr>
        <w:pStyle w:val="Subsection"/>
        <w:rPr>
          <w:snapToGrid w:val="0"/>
        </w:rPr>
      </w:pPr>
      <w:r>
        <w:rPr>
          <w:snapToGrid w:val="0"/>
        </w:rPr>
        <w:tab/>
        <w:t>(3)</w:t>
      </w:r>
      <w:r>
        <w:rPr>
          <w:snapToGrid w:val="0"/>
        </w:rPr>
        <w:tab/>
        <w:t>Without limiting</w:t>
      </w:r>
      <w:r>
        <w:t xml:space="preserve"> section 35(8)</w:t>
      </w:r>
      <w:r>
        <w:rPr>
          <w:snapToGrid w:val="0"/>
        </w:rPr>
        <w:t>, port works and port facilities are to be regarded as being public works</w:t>
      </w:r>
      <w:r>
        <w:t xml:space="preserve"> for the purposes of section 6 of the </w:t>
      </w:r>
      <w:r>
        <w:rPr>
          <w:i/>
        </w:rPr>
        <w:t>Planning and Development Act 2005</w:t>
      </w:r>
      <w:r>
        <w:rPr>
          <w:snapToGrid w:val="0"/>
        </w:rPr>
        <w:t xml:space="preserve"> as applied by </w:t>
      </w:r>
      <w:r>
        <w:t>subsection (2).</w:t>
      </w:r>
    </w:p>
    <w:p>
      <w:pPr>
        <w:pStyle w:val="Ednotesubsection"/>
      </w:pPr>
      <w:r>
        <w:tab/>
        <w:t>[(4), (5)</w:t>
      </w:r>
      <w:r>
        <w:tab/>
        <w:t>deleted]</w:t>
      </w:r>
    </w:p>
    <w:p>
      <w:pPr>
        <w:pStyle w:val="Subsection"/>
        <w:rPr>
          <w:snapToGrid w:val="0"/>
        </w:rPr>
      </w:pPr>
      <w:r>
        <w:rPr>
          <w:snapToGrid w:val="0"/>
        </w:rPr>
        <w:tab/>
        <w:t>(6)</w:t>
      </w:r>
      <w:r>
        <w:rPr>
          <w:snapToGrid w:val="0"/>
        </w:rPr>
        <w:tab/>
        <w:t>If there is a dispute between a port authority and a local government with respect to a planning matter relating to port works or port facilities, the parties to the dispute are to refer it to the Minister.</w:t>
      </w:r>
    </w:p>
    <w:p>
      <w:pPr>
        <w:pStyle w:val="Subsection"/>
        <w:rPr>
          <w:snapToGrid w:val="0"/>
        </w:rPr>
      </w:pPr>
      <w:r>
        <w:rPr>
          <w:snapToGrid w:val="0"/>
        </w:rPr>
        <w:tab/>
        <w:t>(7)</w:t>
      </w:r>
      <w:r>
        <w:rPr>
          <w:snapToGrid w:val="0"/>
        </w:rPr>
        <w:tab/>
        <w:t xml:space="preserve">The Minister may, after consulting the </w:t>
      </w:r>
      <w:r>
        <w:t xml:space="preserve">Minister administering the </w:t>
      </w:r>
      <w:r>
        <w:rPr>
          <w:i/>
          <w:iCs/>
        </w:rPr>
        <w:t>Planning and Development Act 2005</w:t>
      </w:r>
      <w:r>
        <w:rPr>
          <w:iCs/>
        </w:rPr>
        <w:t xml:space="preserve">, </w:t>
      </w:r>
      <w:r>
        <w:rPr>
          <w:snapToGrid w:val="0"/>
        </w:rPr>
        <w:t>make a decision on the dispute and that decision is final and binding on the parties.</w:t>
      </w:r>
    </w:p>
    <w:p>
      <w:pPr>
        <w:pStyle w:val="Footnotesection"/>
      </w:pPr>
      <w:r>
        <w:tab/>
        <w:t>[Section 38 amended by No. 74 of 2003 s. 93(3); No. 38 of 2005 s. 15; No. 24 of 2011 s. 169.]</w:t>
      </w:r>
    </w:p>
    <w:p>
      <w:pPr>
        <w:pStyle w:val="Heading5"/>
        <w:rPr>
          <w:snapToGrid w:val="0"/>
        </w:rPr>
      </w:pPr>
      <w:bookmarkStart w:id="105" w:name="_Toc398889976"/>
      <w:bookmarkStart w:id="106" w:name="_Toc424284411"/>
      <w:r>
        <w:rPr>
          <w:rStyle w:val="CharSectno"/>
        </w:rPr>
        <w:t>39</w:t>
      </w:r>
      <w:r>
        <w:rPr>
          <w:snapToGrid w:val="0"/>
        </w:rPr>
        <w:t>.</w:t>
      </w:r>
      <w:r>
        <w:rPr>
          <w:snapToGrid w:val="0"/>
        </w:rPr>
        <w:tab/>
        <w:t>Subsidiaries of port authorities, acquisition of etc.</w:t>
      </w:r>
      <w:bookmarkEnd w:id="105"/>
      <w:bookmarkEnd w:id="106"/>
    </w:p>
    <w:p>
      <w:pPr>
        <w:pStyle w:val="Subsection"/>
        <w:rPr>
          <w:snapToGrid w:val="0"/>
        </w:rPr>
      </w:pPr>
      <w:r>
        <w:rPr>
          <w:snapToGrid w:val="0"/>
        </w:rPr>
        <w:tab/>
        <w:t>(1)</w:t>
      </w:r>
      <w:r>
        <w:rPr>
          <w:snapToGrid w:val="0"/>
        </w:rPr>
        <w:tab/>
        <w:t>A port authority must obtain the approval of the Minister before it acquires a subsidiary or enters into any transaction that will result in the acquisition of a subsidiary.</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A port authority must ensure that the memorandum and articles of association of every subsidiary of the port authority that under a written law is required to have a memorandum and articles of association — </w:t>
      </w:r>
    </w:p>
    <w:p>
      <w:pPr>
        <w:pStyle w:val="Indenta"/>
        <w:rPr>
          <w:snapToGrid w:val="0"/>
        </w:rPr>
      </w:pPr>
      <w:r>
        <w:rPr>
          <w:snapToGrid w:val="0"/>
        </w:rPr>
        <w:tab/>
        <w:t>(a)</w:t>
      </w:r>
      <w:r>
        <w:rPr>
          <w:snapToGrid w:val="0"/>
        </w:rPr>
        <w:tab/>
        <w:t>contain provisions to the effect of those required by Schedule 4; and</w:t>
      </w:r>
    </w:p>
    <w:p>
      <w:pPr>
        <w:pStyle w:val="Indenta"/>
        <w:rPr>
          <w:snapToGrid w:val="0"/>
        </w:rPr>
      </w:pPr>
      <w:r>
        <w:rPr>
          <w:snapToGrid w:val="0"/>
        </w:rPr>
        <w:tab/>
        <w:t>(b)</w:t>
      </w:r>
      <w:r>
        <w:rPr>
          <w:snapToGrid w:val="0"/>
        </w:rPr>
        <w:tab/>
        <w:t>are consistent with this Act; and</w:t>
      </w:r>
    </w:p>
    <w:p>
      <w:pPr>
        <w:pStyle w:val="Indenta"/>
        <w:rPr>
          <w:snapToGrid w:val="0"/>
        </w:rPr>
      </w:pPr>
      <w:r>
        <w:rPr>
          <w:snapToGrid w:val="0"/>
        </w:rPr>
        <w:tab/>
        <w:t>(c)</w:t>
      </w:r>
      <w:r>
        <w:rPr>
          <w:snapToGrid w:val="0"/>
        </w:rPr>
        <w:tab/>
        <w:t>are not amended in a way that is inconsistent with this Act.</w:t>
      </w:r>
    </w:p>
    <w:p>
      <w:pPr>
        <w:pStyle w:val="Subsection"/>
        <w:rPr>
          <w:snapToGrid w:val="0"/>
        </w:rPr>
      </w:pPr>
      <w:r>
        <w:rPr>
          <w:snapToGrid w:val="0"/>
        </w:rPr>
        <w:tab/>
        <w:t>(4)</w:t>
      </w:r>
      <w:r>
        <w:rPr>
          <w:snapToGrid w:val="0"/>
        </w:rPr>
        <w:tab/>
        <w:t>A port authority must, to the maximum extent practicable, ensure that every subsidiary of the port authority complies with its memorandum and articles of association and with this Act.</w:t>
      </w:r>
    </w:p>
    <w:p>
      <w:pPr>
        <w:pStyle w:val="Subsection"/>
        <w:rPr>
          <w:snapToGrid w:val="0"/>
        </w:rPr>
      </w:pPr>
      <w:r>
        <w:rPr>
          <w:snapToGrid w:val="0"/>
        </w:rPr>
        <w:tab/>
        <w:t>(5)</w:t>
      </w:r>
      <w:r>
        <w:rPr>
          <w:snapToGrid w:val="0"/>
        </w:rPr>
        <w:tab/>
        <w:t>The provisions of this Act prevail to the extent of any inconsistency with the articles of association of any subsidiary of a port authority.</w:t>
      </w:r>
    </w:p>
    <w:p>
      <w:pPr>
        <w:pStyle w:val="Heading5"/>
        <w:rPr>
          <w:snapToGrid w:val="0"/>
        </w:rPr>
      </w:pPr>
      <w:bookmarkStart w:id="107" w:name="_Toc398889977"/>
      <w:bookmarkStart w:id="108" w:name="_Toc424284412"/>
      <w:r>
        <w:rPr>
          <w:rStyle w:val="CharSectno"/>
        </w:rPr>
        <w:t>40</w:t>
      </w:r>
      <w:r>
        <w:rPr>
          <w:snapToGrid w:val="0"/>
        </w:rPr>
        <w:t>.</w:t>
      </w:r>
      <w:r>
        <w:rPr>
          <w:snapToGrid w:val="0"/>
        </w:rPr>
        <w:tab/>
        <w:t>Ministerial approval, transactions requiring</w:t>
      </w:r>
      <w:bookmarkEnd w:id="107"/>
      <w:bookmarkEnd w:id="108"/>
      <w:r>
        <w:rPr>
          <w:snapToGrid w:val="0"/>
        </w:rPr>
        <w:t xml:space="preserve"> </w:t>
      </w:r>
    </w:p>
    <w:p>
      <w:pPr>
        <w:pStyle w:val="Subsection"/>
        <w:rPr>
          <w:snapToGrid w:val="0"/>
        </w:rPr>
      </w:pPr>
      <w:r>
        <w:rPr>
          <w:snapToGrid w:val="0"/>
        </w:rPr>
        <w:tab/>
        <w:t>(1)</w:t>
      </w:r>
      <w:r>
        <w:rPr>
          <w:snapToGrid w:val="0"/>
        </w:rPr>
        <w:tab/>
        <w:t>Despite sections 30 and 35, a port authority must get the Minister’s approval before it enters into a transaction to which this section applies.</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This section applies to a transaction if — </w:t>
      </w:r>
    </w:p>
    <w:p>
      <w:pPr>
        <w:pStyle w:val="Indenta"/>
        <w:rPr>
          <w:snapToGrid w:val="0"/>
        </w:rPr>
      </w:pPr>
      <w:r>
        <w:rPr>
          <w:snapToGrid w:val="0"/>
        </w:rPr>
        <w:tab/>
        <w:t>(a)</w:t>
      </w:r>
      <w:r>
        <w:rPr>
          <w:snapToGrid w:val="0"/>
        </w:rPr>
        <w:tab/>
        <w:t>it is to be entered into by a port authority or a subsidiary of a port authority; and</w:t>
      </w:r>
    </w:p>
    <w:p>
      <w:pPr>
        <w:pStyle w:val="Indenta"/>
        <w:rPr>
          <w:snapToGrid w:val="0"/>
        </w:rPr>
      </w:pPr>
      <w:r>
        <w:rPr>
          <w:snapToGrid w:val="0"/>
        </w:rPr>
        <w:tab/>
        <w:t>(b)</w:t>
      </w:r>
      <w:r>
        <w:rPr>
          <w:snapToGrid w:val="0"/>
        </w:rPr>
        <w:tab/>
        <w:t>it is not exempt under section 41; and</w:t>
      </w:r>
    </w:p>
    <w:p>
      <w:pPr>
        <w:pStyle w:val="Indenta"/>
        <w:rPr>
          <w:snapToGrid w:val="0"/>
        </w:rPr>
      </w:pPr>
      <w:r>
        <w:rPr>
          <w:snapToGrid w:val="0"/>
        </w:rPr>
        <w:tab/>
        <w:t>(c)</w:t>
      </w:r>
      <w:r>
        <w:rPr>
          <w:snapToGrid w:val="0"/>
        </w:rPr>
        <w:tab/>
        <w:t>the port authority’s liability exceeds the prescribed amount.</w:t>
      </w:r>
    </w:p>
    <w:p>
      <w:pPr>
        <w:pStyle w:val="Subsection"/>
        <w:keepLines/>
        <w:rPr>
          <w:snapToGrid w:val="0"/>
        </w:rPr>
      </w:pPr>
      <w:r>
        <w:rPr>
          <w:snapToGrid w:val="0"/>
        </w:rPr>
        <w:tab/>
        <w:t>(4)</w:t>
      </w:r>
      <w:r>
        <w:rPr>
          <w:snapToGrid w:val="0"/>
        </w:rPr>
        <w:tab/>
        <w:t>For the purposes of subsection (3)(c) a port authority’s liability is the amount or value of the consideration or the amount to be paid or received by the port authority or a subsidiary, ascertained as at the time when the transaction is entered into.</w:t>
      </w:r>
    </w:p>
    <w:p>
      <w:pPr>
        <w:pStyle w:val="Heading5"/>
        <w:rPr>
          <w:snapToGrid w:val="0"/>
        </w:rPr>
      </w:pPr>
      <w:bookmarkStart w:id="109" w:name="_Toc398889978"/>
      <w:bookmarkStart w:id="110" w:name="_Toc424284413"/>
      <w:r>
        <w:rPr>
          <w:rStyle w:val="CharSectno"/>
        </w:rPr>
        <w:t>41</w:t>
      </w:r>
      <w:r>
        <w:rPr>
          <w:snapToGrid w:val="0"/>
        </w:rPr>
        <w:t>.</w:t>
      </w:r>
      <w:r>
        <w:rPr>
          <w:snapToGrid w:val="0"/>
        </w:rPr>
        <w:tab/>
        <w:t>Exemptions from s. 40</w:t>
      </w:r>
      <w:bookmarkEnd w:id="109"/>
      <w:bookmarkEnd w:id="110"/>
      <w:r>
        <w:rPr>
          <w:snapToGrid w:val="0"/>
        </w:rPr>
        <w:t xml:space="preserve"> </w:t>
      </w:r>
    </w:p>
    <w:p>
      <w:pPr>
        <w:pStyle w:val="Subsection"/>
        <w:rPr>
          <w:snapToGrid w:val="0"/>
        </w:rPr>
      </w:pPr>
      <w:r>
        <w:rPr>
          <w:snapToGrid w:val="0"/>
        </w:rPr>
        <w:tab/>
        <w:t>(1)</w:t>
      </w:r>
      <w:r>
        <w:rPr>
          <w:snapToGrid w:val="0"/>
        </w:rPr>
        <w:tab/>
        <w:t>The Minister, with the Treasurer’s concurrence, may by order exempt a transaction or class of transaction from the operation of section 40 either unconditionally or on specified conditions.</w:t>
      </w:r>
    </w:p>
    <w:p>
      <w:pPr>
        <w:pStyle w:val="Subsection"/>
        <w:rPr>
          <w:snapToGrid w:val="0"/>
        </w:rPr>
      </w:pPr>
      <w:r>
        <w:rPr>
          <w:snapToGrid w:val="0"/>
        </w:rPr>
        <w:tab/>
        <w:t>(2)</w:t>
      </w:r>
      <w:r>
        <w:rPr>
          <w:snapToGrid w:val="0"/>
        </w:rPr>
        <w:tab/>
        <w:t>An order under subsection (1) may be revoked or amended by the Minister with the Treasurer’s concurrence.</w:t>
      </w:r>
    </w:p>
    <w:p>
      <w:pPr>
        <w:pStyle w:val="Subsection"/>
        <w:rPr>
          <w:snapToGrid w:val="0"/>
        </w:rPr>
      </w:pPr>
      <w:r>
        <w:rPr>
          <w:snapToGrid w:val="0"/>
        </w:rPr>
        <w:tab/>
        <w:t>(3)</w:t>
      </w:r>
      <w:r>
        <w:rPr>
          <w:snapToGrid w:val="0"/>
        </w:rPr>
        <w:tab/>
        <w:t>An order under subsection (1) or (2) is to show sufficient particulars of the transaction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it to be laid before each House of Parliament or dealt with in accordance with section 133.</w:t>
      </w:r>
    </w:p>
    <w:p>
      <w:pPr>
        <w:pStyle w:val="Heading5"/>
        <w:rPr>
          <w:snapToGrid w:val="0"/>
        </w:rPr>
      </w:pPr>
      <w:bookmarkStart w:id="111" w:name="_Toc398889979"/>
      <w:bookmarkStart w:id="112" w:name="_Toc424284414"/>
      <w:r>
        <w:rPr>
          <w:rStyle w:val="CharSectno"/>
        </w:rPr>
        <w:t>42</w:t>
      </w:r>
      <w:r>
        <w:rPr>
          <w:snapToGrid w:val="0"/>
        </w:rPr>
        <w:t>.</w:t>
      </w:r>
      <w:r>
        <w:rPr>
          <w:snapToGrid w:val="0"/>
        </w:rPr>
        <w:tab/>
        <w:t>Term used: transaction</w:t>
      </w:r>
      <w:bookmarkEnd w:id="111"/>
      <w:bookmarkEnd w:id="112"/>
      <w:r>
        <w:rPr>
          <w:snapToGrid w:val="0"/>
        </w:rPr>
        <w:t xml:space="preserve"> </w:t>
      </w:r>
    </w:p>
    <w:p>
      <w:pPr>
        <w:pStyle w:val="Subsection"/>
        <w:rPr>
          <w:snapToGrid w:val="0"/>
        </w:rPr>
      </w:pPr>
      <w:r>
        <w:rPr>
          <w:snapToGrid w:val="0"/>
        </w:rPr>
        <w:tab/>
      </w:r>
      <w:r>
        <w:rPr>
          <w:snapToGrid w:val="0"/>
        </w:rPr>
        <w:tab/>
        <w:t>In sections 40 and 41 — </w:t>
      </w:r>
    </w:p>
    <w:p>
      <w:pPr>
        <w:pStyle w:val="Defstart"/>
      </w:pPr>
      <w:r>
        <w:tab/>
      </w:r>
      <w:r>
        <w:rPr>
          <w:rStyle w:val="CharDefText"/>
        </w:rPr>
        <w:t>transaction</w:t>
      </w:r>
      <w:r>
        <w:rPr>
          <w:b/>
        </w:rPr>
        <w:t xml:space="preserve"> </w:t>
      </w:r>
      <w:r>
        <w:t>— </w:t>
      </w:r>
    </w:p>
    <w:p>
      <w:pPr>
        <w:pStyle w:val="Defpara"/>
      </w:pPr>
      <w:r>
        <w:tab/>
        <w:t>(a)</w:t>
      </w:r>
      <w:r>
        <w:tab/>
        <w:t>includes a contract or other arrangement or any exercise of the power conferred by section 35(2)(k); and</w:t>
      </w:r>
    </w:p>
    <w:p>
      <w:pPr>
        <w:pStyle w:val="Defpara"/>
      </w:pPr>
      <w:r>
        <w:tab/>
        <w:t>(b)</w:t>
      </w:r>
      <w:r>
        <w:tab/>
        <w:t>does not include any acquisition or transaction referred to in section 39(1) or any transaction under section 85 or 87.</w:t>
      </w:r>
    </w:p>
    <w:p>
      <w:pPr>
        <w:pStyle w:val="Heading5"/>
        <w:rPr>
          <w:snapToGrid w:val="0"/>
        </w:rPr>
      </w:pPr>
      <w:bookmarkStart w:id="113" w:name="_Toc398889980"/>
      <w:bookmarkStart w:id="114" w:name="_Toc424284415"/>
      <w:r>
        <w:rPr>
          <w:rStyle w:val="CharSectno"/>
        </w:rPr>
        <w:t>43</w:t>
      </w:r>
      <w:r>
        <w:rPr>
          <w:snapToGrid w:val="0"/>
        </w:rPr>
        <w:t>.</w:t>
      </w:r>
      <w:r>
        <w:rPr>
          <w:snapToGrid w:val="0"/>
        </w:rPr>
        <w:tab/>
        <w:t>Major initiatives etc., Minister to be consulted on</w:t>
      </w:r>
      <w:bookmarkEnd w:id="113"/>
      <w:bookmarkEnd w:id="114"/>
      <w:r>
        <w:rPr>
          <w:snapToGrid w:val="0"/>
        </w:rPr>
        <w:t xml:space="preserve"> </w:t>
      </w:r>
    </w:p>
    <w:p>
      <w:pPr>
        <w:pStyle w:val="Subsection"/>
        <w:rPr>
          <w:snapToGrid w:val="0"/>
        </w:rPr>
      </w:pPr>
      <w:r>
        <w:rPr>
          <w:snapToGrid w:val="0"/>
        </w:rPr>
        <w:tab/>
      </w:r>
      <w:r>
        <w:rPr>
          <w:snapToGrid w:val="0"/>
        </w:rPr>
        <w:tab/>
        <w:t>A port authority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keepNext/>
        <w:rPr>
          <w:snapToGrid w:val="0"/>
        </w:rPr>
      </w:pPr>
      <w:r>
        <w:rPr>
          <w:snapToGrid w:val="0"/>
        </w:rPr>
        <w:tab/>
        <w:t>(b)</w:t>
      </w:r>
      <w:r>
        <w:rPr>
          <w:snapToGrid w:val="0"/>
        </w:rPr>
        <w:tab/>
        <w:t>is likely to be of significant public interest,</w:t>
      </w:r>
    </w:p>
    <w:p>
      <w:pPr>
        <w:pStyle w:val="Subsection"/>
        <w:rPr>
          <w:snapToGrid w:val="0"/>
        </w:rPr>
      </w:pPr>
      <w:r>
        <w:rPr>
          <w:snapToGrid w:val="0"/>
        </w:rPr>
        <w:tab/>
      </w:r>
      <w:r>
        <w:rPr>
          <w:snapToGrid w:val="0"/>
        </w:rPr>
        <w:tab/>
        <w:t>whether or not the course of action involves a transaction to which section 40 applies.</w:t>
      </w:r>
    </w:p>
    <w:p>
      <w:pPr>
        <w:pStyle w:val="Heading5"/>
        <w:rPr>
          <w:snapToGrid w:val="0"/>
        </w:rPr>
      </w:pPr>
      <w:bookmarkStart w:id="115" w:name="_Toc398889981"/>
      <w:bookmarkStart w:id="116" w:name="_Toc424284416"/>
      <w:r>
        <w:rPr>
          <w:rStyle w:val="CharSectno"/>
        </w:rPr>
        <w:t>44</w:t>
      </w:r>
      <w:r>
        <w:rPr>
          <w:snapToGrid w:val="0"/>
        </w:rPr>
        <w:t>.</w:t>
      </w:r>
      <w:r>
        <w:rPr>
          <w:snapToGrid w:val="0"/>
        </w:rPr>
        <w:tab/>
        <w:t>Delegation by port authority</w:t>
      </w:r>
      <w:bookmarkEnd w:id="115"/>
      <w:bookmarkEnd w:id="116"/>
    </w:p>
    <w:p>
      <w:pPr>
        <w:pStyle w:val="Subsection"/>
        <w:rPr>
          <w:snapToGrid w:val="0"/>
        </w:rPr>
      </w:pPr>
      <w:r>
        <w:rPr>
          <w:snapToGrid w:val="0"/>
        </w:rPr>
        <w:tab/>
        <w:t>(1)</w:t>
      </w:r>
      <w:r>
        <w:rPr>
          <w:snapToGrid w:val="0"/>
        </w:rPr>
        <w:tab/>
        <w:t>A port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 or</w:t>
      </w:r>
    </w:p>
    <w:p>
      <w:pPr>
        <w:pStyle w:val="Indenta"/>
        <w:rPr>
          <w:snapToGrid w:val="0"/>
        </w:rPr>
      </w:pPr>
      <w:r>
        <w:rPr>
          <w:snapToGrid w:val="0"/>
        </w:rPr>
        <w:tab/>
        <w:t>(b)</w:t>
      </w:r>
      <w:r>
        <w:rPr>
          <w:snapToGrid w:val="0"/>
        </w:rPr>
        <w:tab/>
        <w:t>the CEO; or</w:t>
      </w:r>
    </w:p>
    <w:p>
      <w:pPr>
        <w:pStyle w:val="Indenta"/>
        <w:rPr>
          <w:snapToGrid w:val="0"/>
        </w:rPr>
      </w:pPr>
      <w:r>
        <w:rPr>
          <w:snapToGrid w:val="0"/>
        </w:rPr>
        <w:tab/>
        <w:t>(c)</w:t>
      </w:r>
      <w:r>
        <w:rPr>
          <w:snapToGrid w:val="0"/>
        </w:rPr>
        <w:tab/>
        <w:t>a member of staff; or</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rPr>
          <w:snapToGrid w:val="0"/>
        </w:rPr>
      </w:pPr>
      <w:r>
        <w:rPr>
          <w:snapToGrid w:val="0"/>
        </w:rPr>
        <w:tab/>
        <w:t>(3)</w:t>
      </w:r>
      <w:r>
        <w:rPr>
          <w:snapToGrid w:val="0"/>
        </w:rPr>
        <w:tab/>
        <w:t>A delegate cannot subdelegate the performance of any function unless the delegate is expressly authorised by the instrument of delegation to do so.</w:t>
      </w:r>
    </w:p>
    <w:p>
      <w:pPr>
        <w:pStyle w:val="Subsection"/>
        <w:rPr>
          <w:snapToGrid w:val="0"/>
        </w:rPr>
      </w:pPr>
      <w:r>
        <w:rPr>
          <w:snapToGrid w:val="0"/>
        </w:rPr>
        <w:tab/>
        <w:t>(4)</w:t>
      </w:r>
      <w:r>
        <w:rPr>
          <w:snapToGrid w:val="0"/>
        </w:rPr>
        <w:tab/>
        <w:t>A function performed by a delegate of a port authority is to be taken to be performed by the port authority.</w:t>
      </w:r>
    </w:p>
    <w:p>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is to be read as limiting the ability of a port authority to act through its officers and agents in the normal course of business.</w:t>
      </w:r>
    </w:p>
    <w:p>
      <w:pPr>
        <w:pStyle w:val="Subsection"/>
        <w:rPr>
          <w:snapToGrid w:val="0"/>
        </w:rPr>
      </w:pPr>
      <w:r>
        <w:rPr>
          <w:snapToGrid w:val="0"/>
        </w:rPr>
        <w:tab/>
        <w:t>(7)</w:t>
      </w:r>
      <w:r>
        <w:rPr>
          <w:snapToGrid w:val="0"/>
        </w:rPr>
        <w:tab/>
        <w:t>This section does not apply to the execution of documents but authority to execute documents on behalf of a port authority can be given under section 134.</w:t>
      </w:r>
    </w:p>
    <w:p>
      <w:pPr>
        <w:pStyle w:val="Heading3"/>
      </w:pPr>
      <w:bookmarkStart w:id="117" w:name="_Toc398889982"/>
      <w:bookmarkStart w:id="118" w:name="_Toc424284417"/>
      <w:r>
        <w:rPr>
          <w:rStyle w:val="CharDivNo"/>
        </w:rPr>
        <w:t>Division 2</w:t>
      </w:r>
      <w:r>
        <w:rPr>
          <w:snapToGrid w:val="0"/>
        </w:rPr>
        <w:t xml:space="preserve"> — </w:t>
      </w:r>
      <w:r>
        <w:rPr>
          <w:rStyle w:val="CharDivText"/>
        </w:rPr>
        <w:t>Protection of people dealing with port authorities</w:t>
      </w:r>
      <w:bookmarkEnd w:id="117"/>
      <w:bookmarkEnd w:id="118"/>
    </w:p>
    <w:p>
      <w:pPr>
        <w:pStyle w:val="Heading5"/>
        <w:rPr>
          <w:snapToGrid w:val="0"/>
        </w:rPr>
      </w:pPr>
      <w:bookmarkStart w:id="119" w:name="_Toc398889983"/>
      <w:bookmarkStart w:id="120" w:name="_Toc424284418"/>
      <w:r>
        <w:rPr>
          <w:rStyle w:val="CharSectno"/>
        </w:rPr>
        <w:t>45</w:t>
      </w:r>
      <w:r>
        <w:rPr>
          <w:snapToGrid w:val="0"/>
        </w:rPr>
        <w:t>.</w:t>
      </w:r>
      <w:r>
        <w:rPr>
          <w:snapToGrid w:val="0"/>
        </w:rPr>
        <w:tab/>
        <w:t>People dealing with port authorities may make assumptions</w:t>
      </w:r>
      <w:bookmarkEnd w:id="119"/>
      <w:bookmarkEnd w:id="120"/>
      <w:r>
        <w:rPr>
          <w:snapToGrid w:val="0"/>
        </w:rPr>
        <w:t xml:space="preserve"> </w:t>
      </w:r>
    </w:p>
    <w:p>
      <w:pPr>
        <w:pStyle w:val="Subsection"/>
        <w:rPr>
          <w:snapToGrid w:val="0"/>
        </w:rPr>
      </w:pPr>
      <w:r>
        <w:rPr>
          <w:snapToGrid w:val="0"/>
        </w:rPr>
        <w:tab/>
        <w:t>(1)</w:t>
      </w:r>
      <w:r>
        <w:rPr>
          <w:snapToGrid w:val="0"/>
        </w:rPr>
        <w:tab/>
        <w:t>A person having dealings with a port authority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that the matters that the person is entitled to assume were not correct must be disregarded.</w:t>
      </w:r>
    </w:p>
    <w:p>
      <w:pPr>
        <w:pStyle w:val="Heading5"/>
        <w:rPr>
          <w:snapToGrid w:val="0"/>
        </w:rPr>
      </w:pPr>
      <w:bookmarkStart w:id="121" w:name="_Toc398889984"/>
      <w:bookmarkStart w:id="122" w:name="_Toc424284419"/>
      <w:r>
        <w:rPr>
          <w:rStyle w:val="CharSectno"/>
        </w:rPr>
        <w:t>46</w:t>
      </w:r>
      <w:r>
        <w:rPr>
          <w:snapToGrid w:val="0"/>
        </w:rPr>
        <w:t>.</w:t>
      </w:r>
      <w:r>
        <w:rPr>
          <w:snapToGrid w:val="0"/>
        </w:rPr>
        <w:tab/>
        <w:t>Third parties may make assumptions</w:t>
      </w:r>
      <w:bookmarkEnd w:id="121"/>
      <w:bookmarkEnd w:id="122"/>
      <w:r>
        <w:rPr>
          <w:snapToGrid w:val="0"/>
        </w:rPr>
        <w:t xml:space="preserve"> </w:t>
      </w:r>
    </w:p>
    <w:p>
      <w:pPr>
        <w:pStyle w:val="Subsection"/>
        <w:rPr>
          <w:snapToGrid w:val="0"/>
        </w:rPr>
      </w:pPr>
      <w:r>
        <w:rPr>
          <w:snapToGrid w:val="0"/>
        </w:rPr>
        <w:tab/>
        <w:t>(1)</w:t>
      </w:r>
      <w:r>
        <w:rPr>
          <w:snapToGrid w:val="0"/>
        </w:rPr>
        <w:tab/>
        <w:t xml:space="preserve">A </w:t>
      </w:r>
      <w:r>
        <w:t>person (the</w:t>
      </w:r>
      <w:r>
        <w:rPr>
          <w:rStyle w:val="CharDefText"/>
        </w:rPr>
        <w:t xml:space="preserve"> third party</w:t>
      </w:r>
      <w:r>
        <w:rPr>
          <w:snapToGrid w:val="0"/>
        </w:rPr>
        <w:t xml:space="preserve">) having dealings with a </w:t>
      </w:r>
      <w:r>
        <w:t xml:space="preserve">person (the </w:t>
      </w:r>
      <w:r>
        <w:rPr>
          <w:rStyle w:val="CharDefText"/>
        </w:rPr>
        <w:t>new owner</w:t>
      </w:r>
      <w:r>
        <w:rPr>
          <w:snapToGrid w:val="0"/>
        </w:rPr>
        <w:t>) who has acquired, or purports to have acquired, title to property from a port authority (whether directly or indirectly)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or the new owner that the matters that the third party is entitled to assume were not correct must be disregarded.</w:t>
      </w:r>
    </w:p>
    <w:p>
      <w:pPr>
        <w:pStyle w:val="Heading5"/>
        <w:rPr>
          <w:snapToGrid w:val="0"/>
        </w:rPr>
      </w:pPr>
      <w:bookmarkStart w:id="123" w:name="_Toc398889985"/>
      <w:bookmarkStart w:id="124" w:name="_Toc424284420"/>
      <w:r>
        <w:rPr>
          <w:rStyle w:val="CharSectno"/>
        </w:rPr>
        <w:t>47</w:t>
      </w:r>
      <w:r>
        <w:rPr>
          <w:snapToGrid w:val="0"/>
        </w:rPr>
        <w:t>.</w:t>
      </w:r>
      <w:r>
        <w:rPr>
          <w:snapToGrid w:val="0"/>
        </w:rPr>
        <w:tab/>
        <w:t>Assumptions that may be made under s. 45 and 46</w:t>
      </w:r>
      <w:bookmarkEnd w:id="123"/>
      <w:bookmarkEnd w:id="124"/>
    </w:p>
    <w:p>
      <w:pPr>
        <w:pStyle w:val="Subsection"/>
        <w:keepNext/>
        <w:keepLines/>
        <w:rPr>
          <w:snapToGrid w:val="0"/>
        </w:rPr>
      </w:pPr>
      <w:r>
        <w:rPr>
          <w:snapToGrid w:val="0"/>
        </w:rPr>
        <w:tab/>
      </w:r>
      <w:r>
        <w:rPr>
          <w:snapToGrid w:val="0"/>
        </w:rPr>
        <w:tab/>
        <w:t>The assumptions that a person is, because of section 45 or 46, entitled to make are — </w:t>
      </w:r>
    </w:p>
    <w:p>
      <w:pPr>
        <w:pStyle w:val="Indenta"/>
        <w:rPr>
          <w:snapToGrid w:val="0"/>
        </w:rPr>
      </w:pPr>
      <w:r>
        <w:rPr>
          <w:snapToGrid w:val="0"/>
        </w:rPr>
        <w:tab/>
        <w:t>(a)</w:t>
      </w:r>
      <w:r>
        <w:rPr>
          <w:snapToGrid w:val="0"/>
        </w:rPr>
        <w:tab/>
        <w:t>that, at all relevant times, this Act has been complied with; and</w:t>
      </w:r>
    </w:p>
    <w:p>
      <w:pPr>
        <w:pStyle w:val="Indenta"/>
        <w:rPr>
          <w:snapToGrid w:val="0"/>
        </w:rPr>
      </w:pPr>
      <w:r>
        <w:rPr>
          <w:snapToGrid w:val="0"/>
        </w:rPr>
        <w:tab/>
        <w:t>(b)</w:t>
      </w:r>
      <w:r>
        <w:rPr>
          <w:snapToGrid w:val="0"/>
        </w:rPr>
        <w:tab/>
        <w:t>that a person who is held out by a port authority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a port authority who has authority to issue a document on behalf of the port authority has authority to warrant that the document is genuine; and</w:t>
      </w:r>
    </w:p>
    <w:p>
      <w:pPr>
        <w:pStyle w:val="Indenta"/>
        <w:rPr>
          <w:snapToGrid w:val="0"/>
        </w:rPr>
      </w:pPr>
      <w:r>
        <w:rPr>
          <w:snapToGrid w:val="0"/>
        </w:rPr>
        <w:tab/>
        <w:t>(d)</w:t>
      </w:r>
      <w:r>
        <w:rPr>
          <w:snapToGrid w:val="0"/>
        </w:rPr>
        <w:tab/>
        <w:t>that a member of staff or agent of a port authority who has authority to issue a certified copy of a document on behalf of the port authority has authority to warrant that the copy is a true copy; and</w:t>
      </w:r>
    </w:p>
    <w:p>
      <w:pPr>
        <w:pStyle w:val="Indenta"/>
        <w:keepNext/>
        <w:rPr>
          <w:snapToGrid w:val="0"/>
        </w:rPr>
      </w:pPr>
      <w:r>
        <w:rPr>
          <w:snapToGrid w:val="0"/>
        </w:rPr>
        <w:tab/>
        <w:t>(e)</w:t>
      </w:r>
      <w:r>
        <w:rPr>
          <w:snapToGrid w:val="0"/>
        </w:rPr>
        <w:tab/>
        <w:t>that a document has been properly sealed by a port authority if — </w:t>
      </w:r>
    </w:p>
    <w:p>
      <w:pPr>
        <w:pStyle w:val="Indenti"/>
        <w:rPr>
          <w:snapToGrid w:val="0"/>
        </w:rPr>
      </w:pPr>
      <w:r>
        <w:rPr>
          <w:snapToGrid w:val="0"/>
        </w:rPr>
        <w:tab/>
        <w:t>(i)</w:t>
      </w:r>
      <w:r>
        <w:rPr>
          <w:snapToGrid w:val="0"/>
        </w:rPr>
        <w:tab/>
        <w:t>it bears what appears to be an imprint of the port authority’s seal; and</w:t>
      </w:r>
    </w:p>
    <w:p>
      <w:pPr>
        <w:pStyle w:val="Indenti"/>
        <w:rPr>
          <w:snapToGrid w:val="0"/>
        </w:rPr>
      </w:pPr>
      <w:r>
        <w:rPr>
          <w:snapToGrid w:val="0"/>
        </w:rPr>
        <w:tab/>
        <w:t>(ii)</w:t>
      </w:r>
      <w:r>
        <w:rPr>
          <w:snapToGrid w:val="0"/>
        </w:rPr>
        <w:tab/>
        <w:t>the sealing of the document appears to comply with section 134;</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CEO, members of staff and agents of a port authority have properly performed their duties to the port authority.</w:t>
      </w:r>
    </w:p>
    <w:p>
      <w:pPr>
        <w:pStyle w:val="Heading5"/>
        <w:rPr>
          <w:snapToGrid w:val="0"/>
        </w:rPr>
      </w:pPr>
      <w:bookmarkStart w:id="125" w:name="_Toc398889986"/>
      <w:bookmarkStart w:id="126" w:name="_Toc424284421"/>
      <w:r>
        <w:rPr>
          <w:rStyle w:val="CharSectno"/>
        </w:rPr>
        <w:t>48</w:t>
      </w:r>
      <w:r>
        <w:rPr>
          <w:snapToGrid w:val="0"/>
        </w:rPr>
        <w:t>.</w:t>
      </w:r>
      <w:r>
        <w:rPr>
          <w:snapToGrid w:val="0"/>
        </w:rPr>
        <w:tab/>
        <w:t>Exception to s. 45 and 46</w:t>
      </w:r>
      <w:bookmarkEnd w:id="125"/>
      <w:bookmarkEnd w:id="126"/>
      <w:r>
        <w:rPr>
          <w:snapToGrid w:val="0"/>
        </w:rPr>
        <w:t xml:space="preserve"> </w:t>
      </w:r>
    </w:p>
    <w:p>
      <w:pPr>
        <w:pStyle w:val="Subsection"/>
        <w:rPr>
          <w:snapToGrid w:val="0"/>
        </w:rPr>
      </w:pPr>
      <w:r>
        <w:rPr>
          <w:snapToGrid w:val="0"/>
        </w:rPr>
        <w:tab/>
        <w:t>(1)</w:t>
      </w:r>
      <w:r>
        <w:rPr>
          <w:snapToGrid w:val="0"/>
        </w:rPr>
        <w:tab/>
        <w:t>Despite sections 45 and 46, a person is not entitled to assume a matter mentioned in section 47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port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port authority, section 45(2) does not apply to any assertion by the port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port authority of title to property, section 46(2) does not apply to any assertion by the port authority or another person in relation to the assumption.</w:t>
      </w:r>
    </w:p>
    <w:p>
      <w:pPr>
        <w:pStyle w:val="Heading2"/>
      </w:pPr>
      <w:bookmarkStart w:id="127" w:name="_Toc398889987"/>
      <w:bookmarkStart w:id="128" w:name="_Toc424284422"/>
      <w:r>
        <w:rPr>
          <w:rStyle w:val="CharPartNo"/>
        </w:rPr>
        <w:t>Part 5</w:t>
      </w:r>
      <w:r>
        <w:t xml:space="preserve"> — </w:t>
      </w:r>
      <w:r>
        <w:rPr>
          <w:rStyle w:val="CharPartText"/>
        </w:rPr>
        <w:t>Provisions about accountability</w:t>
      </w:r>
      <w:bookmarkEnd w:id="127"/>
      <w:bookmarkEnd w:id="128"/>
      <w:r>
        <w:rPr>
          <w:rStyle w:val="CharPartText"/>
        </w:rPr>
        <w:t xml:space="preserve"> </w:t>
      </w:r>
    </w:p>
    <w:p>
      <w:pPr>
        <w:pStyle w:val="Heading3"/>
      </w:pPr>
      <w:bookmarkStart w:id="129" w:name="_Toc398889988"/>
      <w:bookmarkStart w:id="130" w:name="_Toc424284423"/>
      <w:r>
        <w:rPr>
          <w:rStyle w:val="CharDivNo"/>
        </w:rPr>
        <w:t>Division 1</w:t>
      </w:r>
      <w:r>
        <w:t xml:space="preserve"> — </w:t>
      </w:r>
      <w:r>
        <w:rPr>
          <w:rStyle w:val="CharDivText"/>
        </w:rPr>
        <w:t>Strategic development plans</w:t>
      </w:r>
      <w:bookmarkEnd w:id="129"/>
      <w:bookmarkEnd w:id="130"/>
      <w:r>
        <w:rPr>
          <w:rStyle w:val="CharDivText"/>
        </w:rPr>
        <w:t xml:space="preserve"> </w:t>
      </w:r>
    </w:p>
    <w:p>
      <w:pPr>
        <w:pStyle w:val="Heading5"/>
        <w:rPr>
          <w:snapToGrid w:val="0"/>
        </w:rPr>
      </w:pPr>
      <w:bookmarkStart w:id="131" w:name="_Toc398889989"/>
      <w:bookmarkStart w:id="132" w:name="_Toc424284424"/>
      <w:r>
        <w:rPr>
          <w:rStyle w:val="CharSectno"/>
        </w:rPr>
        <w:t>49</w:t>
      </w:r>
      <w:r>
        <w:rPr>
          <w:snapToGrid w:val="0"/>
        </w:rPr>
        <w:t>.</w:t>
      </w:r>
      <w:r>
        <w:rPr>
          <w:snapToGrid w:val="0"/>
        </w:rPr>
        <w:tab/>
        <w:t>Draft strategic development plan to be submitted to Minister</w:t>
      </w:r>
      <w:bookmarkEnd w:id="131"/>
      <w:bookmarkEnd w:id="132"/>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strategic development plan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49 amended by No. 77 of 2006 s. 11(2).]</w:t>
      </w:r>
    </w:p>
    <w:p>
      <w:pPr>
        <w:pStyle w:val="Heading5"/>
        <w:spacing w:before="240"/>
        <w:rPr>
          <w:snapToGrid w:val="0"/>
        </w:rPr>
      </w:pPr>
      <w:bookmarkStart w:id="133" w:name="_Toc398889990"/>
      <w:bookmarkStart w:id="134" w:name="_Toc424284425"/>
      <w:r>
        <w:rPr>
          <w:rStyle w:val="CharSectno"/>
        </w:rPr>
        <w:t>50</w:t>
      </w:r>
      <w:r>
        <w:rPr>
          <w:snapToGrid w:val="0"/>
        </w:rPr>
        <w:t>.</w:t>
      </w:r>
      <w:r>
        <w:rPr>
          <w:snapToGrid w:val="0"/>
        </w:rPr>
        <w:tab/>
        <w:t>Period to which strategic development plan relates</w:t>
      </w:r>
      <w:bookmarkEnd w:id="133"/>
      <w:bookmarkEnd w:id="134"/>
      <w:r>
        <w:rPr>
          <w:snapToGrid w:val="0"/>
        </w:rPr>
        <w:t xml:space="preserve"> </w:t>
      </w:r>
    </w:p>
    <w:p>
      <w:pPr>
        <w:pStyle w:val="Subsection"/>
        <w:rPr>
          <w:snapToGrid w:val="0"/>
        </w:rPr>
      </w:pPr>
      <w:r>
        <w:rPr>
          <w:snapToGrid w:val="0"/>
        </w:rPr>
        <w:tab/>
      </w:r>
      <w:r>
        <w:rPr>
          <w:snapToGrid w:val="0"/>
        </w:rPr>
        <w:tab/>
        <w:t>A strategic development plan is to cover a forecast period of 5 years or a lesser period agreed with the Minister.</w:t>
      </w:r>
    </w:p>
    <w:p>
      <w:pPr>
        <w:pStyle w:val="Heading5"/>
        <w:rPr>
          <w:snapToGrid w:val="0"/>
        </w:rPr>
      </w:pPr>
      <w:bookmarkStart w:id="135" w:name="_Toc398889991"/>
      <w:bookmarkStart w:id="136" w:name="_Toc424284426"/>
      <w:r>
        <w:rPr>
          <w:rStyle w:val="CharSectno"/>
        </w:rPr>
        <w:t>51</w:t>
      </w:r>
      <w:r>
        <w:rPr>
          <w:snapToGrid w:val="0"/>
        </w:rPr>
        <w:t>.</w:t>
      </w:r>
      <w:r>
        <w:rPr>
          <w:snapToGrid w:val="0"/>
        </w:rPr>
        <w:tab/>
        <w:t>Matters to be included in strategic development plan</w:t>
      </w:r>
      <w:bookmarkEnd w:id="135"/>
      <w:bookmarkEnd w:id="136"/>
      <w:r>
        <w:rPr>
          <w:snapToGrid w:val="0"/>
        </w:rPr>
        <w:t xml:space="preserve"> </w:t>
      </w:r>
    </w:p>
    <w:p>
      <w:pPr>
        <w:pStyle w:val="Subsection"/>
        <w:rPr>
          <w:snapToGrid w:val="0"/>
        </w:rPr>
      </w:pPr>
      <w:r>
        <w:rPr>
          <w:snapToGrid w:val="0"/>
        </w:rPr>
        <w:tab/>
        <w:t>(1)</w:t>
      </w:r>
      <w:r>
        <w:rPr>
          <w:snapToGrid w:val="0"/>
        </w:rPr>
        <w:tab/>
        <w:t>A strategic development plan must set out —</w:t>
      </w:r>
    </w:p>
    <w:p>
      <w:pPr>
        <w:pStyle w:val="Indenta"/>
        <w:rPr>
          <w:snapToGrid w:val="0"/>
        </w:rPr>
      </w:pPr>
      <w:r>
        <w:rPr>
          <w:snapToGrid w:val="0"/>
        </w:rPr>
        <w:tab/>
        <w:t>(a)</w:t>
      </w:r>
      <w:r>
        <w:rPr>
          <w:snapToGrid w:val="0"/>
        </w:rPr>
        <w:tab/>
        <w:t>the port authority’s medium to long term objectives (including economic and financial objectives) and operational targets and how those objectives and targets will be achieved; and</w:t>
      </w:r>
    </w:p>
    <w:p>
      <w:pPr>
        <w:pStyle w:val="Indenta"/>
      </w:pPr>
      <w:r>
        <w:rPr>
          <w:snapToGrid w:val="0"/>
        </w:rPr>
        <w:tab/>
        <w:t>(b)</w:t>
      </w:r>
      <w:r>
        <w:rPr>
          <w:snapToGrid w:val="0"/>
        </w:rPr>
        <w:tab/>
      </w:r>
      <w:r>
        <w:t>an environmental management plan for the port.</w:t>
      </w:r>
    </w:p>
    <w:p>
      <w:pPr>
        <w:pStyle w:val="Subsection"/>
        <w:rPr>
          <w:snapToGrid w:val="0"/>
        </w:rPr>
      </w:pPr>
      <w:r>
        <w:rPr>
          <w:snapToGrid w:val="0"/>
        </w:rPr>
        <w:tab/>
        <w:t>(2)</w:t>
      </w:r>
      <w:r>
        <w:rPr>
          <w:snapToGrid w:val="0"/>
        </w:rPr>
        <w:tab/>
        <w:t>The matters that are to be considered by a board in the preparation of a strategic development plan include — </w:t>
      </w:r>
    </w:p>
    <w:p>
      <w:pPr>
        <w:pStyle w:val="Indenta"/>
        <w:rPr>
          <w:snapToGrid w:val="0"/>
        </w:rPr>
      </w:pPr>
      <w:r>
        <w:rPr>
          <w:snapToGrid w:val="0"/>
        </w:rPr>
        <w:tab/>
        <w:t>(a)</w:t>
      </w:r>
      <w:r>
        <w:rPr>
          <w:snapToGrid w:val="0"/>
        </w:rPr>
        <w:tab/>
        <w:t xml:space="preserve">competitive strategies, pricing, service efficiency and effectiveness, </w:t>
      </w:r>
      <w:r>
        <w:t xml:space="preserve">participation of potential suppliers, </w:t>
      </w:r>
      <w:r>
        <w:rPr>
          <w:snapToGrid w:val="0"/>
        </w:rPr>
        <w:t>strategies for land use and infrastructure maintenance, financial requirements, capital expenditure, investment strategy, customer service arrangements, relevant government policy, personnel requirements, trade projections, trade facilitation and the environmental management of the port; and</w:t>
      </w:r>
    </w:p>
    <w:p>
      <w:pPr>
        <w:pStyle w:val="Indenta"/>
        <w:rPr>
          <w:snapToGrid w:val="0"/>
        </w:rPr>
      </w:pPr>
      <w:r>
        <w:rPr>
          <w:snapToGrid w:val="0"/>
        </w:rPr>
        <w:tab/>
        <w:t>(b)</w:t>
      </w:r>
      <w:r>
        <w:rPr>
          <w:snapToGrid w:val="0"/>
        </w:rPr>
        <w:tab/>
        <w:t>any other matters that the Minister and the board agree should be considered.</w:t>
      </w:r>
    </w:p>
    <w:p>
      <w:pPr>
        <w:pStyle w:val="Footnotesection"/>
      </w:pPr>
      <w:r>
        <w:tab/>
        <w:t>[Section 51 amended by No. 9 of 2014 s. 17.]</w:t>
      </w:r>
    </w:p>
    <w:p>
      <w:pPr>
        <w:pStyle w:val="Heading5"/>
        <w:spacing w:before="180"/>
        <w:rPr>
          <w:snapToGrid w:val="0"/>
        </w:rPr>
      </w:pPr>
      <w:bookmarkStart w:id="137" w:name="_Toc398889992"/>
      <w:bookmarkStart w:id="138" w:name="_Toc424284427"/>
      <w:r>
        <w:rPr>
          <w:rStyle w:val="CharSectno"/>
        </w:rPr>
        <w:t>52</w:t>
      </w:r>
      <w:r>
        <w:rPr>
          <w:snapToGrid w:val="0"/>
        </w:rPr>
        <w:t>.</w:t>
      </w:r>
      <w:r>
        <w:rPr>
          <w:snapToGrid w:val="0"/>
        </w:rPr>
        <w:tab/>
        <w:t>Strategic development plan to be agreed if possible</w:t>
      </w:r>
      <w:bookmarkEnd w:id="137"/>
      <w:bookmarkEnd w:id="138"/>
      <w:r>
        <w:rPr>
          <w:snapToGrid w:val="0"/>
        </w:rPr>
        <w:t xml:space="preserve"> </w:t>
      </w:r>
    </w:p>
    <w:p>
      <w:pPr>
        <w:pStyle w:val="Subsection"/>
        <w:rPr>
          <w:snapToGrid w:val="0"/>
        </w:rPr>
      </w:pPr>
      <w:r>
        <w:rPr>
          <w:snapToGrid w:val="0"/>
        </w:rPr>
        <w:tab/>
      </w:r>
      <w:r>
        <w:rPr>
          <w:snapToGrid w:val="0"/>
        </w:rPr>
        <w:tab/>
        <w:t>A board and the Minister must try to reach agreement on a draft strategic development plan as soon as possible, and in any event not later than one month before the start of the next financial year.</w:t>
      </w:r>
    </w:p>
    <w:p>
      <w:pPr>
        <w:pStyle w:val="Heading5"/>
        <w:spacing w:before="180"/>
        <w:rPr>
          <w:snapToGrid w:val="0"/>
        </w:rPr>
      </w:pPr>
      <w:bookmarkStart w:id="139" w:name="_Toc398889993"/>
      <w:bookmarkStart w:id="140" w:name="_Toc424284428"/>
      <w:r>
        <w:rPr>
          <w:rStyle w:val="CharSectno"/>
        </w:rPr>
        <w:t>53</w:t>
      </w:r>
      <w:r>
        <w:rPr>
          <w:snapToGrid w:val="0"/>
        </w:rPr>
        <w:t>.</w:t>
      </w:r>
      <w:r>
        <w:rPr>
          <w:snapToGrid w:val="0"/>
        </w:rPr>
        <w:tab/>
        <w:t>Minister’s powers in relation to draft strategic development plan</w:t>
      </w:r>
      <w:bookmarkEnd w:id="139"/>
      <w:bookmarkEnd w:id="140"/>
      <w:r>
        <w:rPr>
          <w:snapToGrid w:val="0"/>
        </w:rPr>
        <w:t xml:space="preserve"> </w:t>
      </w:r>
    </w:p>
    <w:p>
      <w:pPr>
        <w:pStyle w:val="Subsection"/>
        <w:spacing w:before="120"/>
        <w:rPr>
          <w:snapToGrid w:val="0"/>
        </w:rPr>
      </w:pPr>
      <w:r>
        <w:rPr>
          <w:snapToGrid w:val="0"/>
        </w:rPr>
        <w:tab/>
        <w:t>(1)</w:t>
      </w:r>
      <w:r>
        <w:rPr>
          <w:snapToGrid w:val="0"/>
        </w:rPr>
        <w:tab/>
        <w:t>The Minister may return a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141" w:name="_Toc398889994"/>
      <w:bookmarkStart w:id="142" w:name="_Toc424284429"/>
      <w:r>
        <w:rPr>
          <w:rStyle w:val="CharSectno"/>
        </w:rPr>
        <w:t>54</w:t>
      </w:r>
      <w:r>
        <w:rPr>
          <w:snapToGrid w:val="0"/>
        </w:rPr>
        <w:t>.</w:t>
      </w:r>
      <w:r>
        <w:rPr>
          <w:snapToGrid w:val="0"/>
        </w:rPr>
        <w:tab/>
        <w:t>Strategic development plan pending agreement</w:t>
      </w:r>
      <w:bookmarkEnd w:id="141"/>
      <w:bookmarkEnd w:id="142"/>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strategic development plan before the start of a financial year, the latest draft plan is to be the strategic development plan for the port authority and any subsidiary until a draft strategic development plan is agreed to under section 55.</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143" w:name="_Toc398889995"/>
      <w:bookmarkStart w:id="144" w:name="_Toc424284430"/>
      <w:r>
        <w:rPr>
          <w:rStyle w:val="CharSectno"/>
        </w:rPr>
        <w:t>55</w:t>
      </w:r>
      <w:r>
        <w:rPr>
          <w:snapToGrid w:val="0"/>
        </w:rPr>
        <w:t>.</w:t>
      </w:r>
      <w:r>
        <w:rPr>
          <w:snapToGrid w:val="0"/>
        </w:rPr>
        <w:tab/>
        <w:t>Agreed draft becomes strategic development plan</w:t>
      </w:r>
      <w:bookmarkEnd w:id="143"/>
      <w:bookmarkEnd w:id="144"/>
      <w:r>
        <w:rPr>
          <w:snapToGrid w:val="0"/>
        </w:rPr>
        <w:t xml:space="preserve"> </w:t>
      </w:r>
    </w:p>
    <w:p>
      <w:pPr>
        <w:pStyle w:val="Subsection"/>
        <w:rPr>
          <w:snapToGrid w:val="0"/>
        </w:rPr>
      </w:pPr>
      <w:r>
        <w:rPr>
          <w:snapToGrid w:val="0"/>
        </w:rPr>
        <w:tab/>
      </w:r>
      <w:r>
        <w:rPr>
          <w:snapToGrid w:val="0"/>
        </w:rPr>
        <w:tab/>
        <w:t>When a board and the Minister reach agreement on a draft strategic development plan, it becomes the strategic development plan for the relevant financial year or the remainder of the year, as the case may be.</w:t>
      </w:r>
    </w:p>
    <w:p>
      <w:pPr>
        <w:pStyle w:val="Heading5"/>
        <w:rPr>
          <w:snapToGrid w:val="0"/>
        </w:rPr>
      </w:pPr>
      <w:bookmarkStart w:id="145" w:name="_Toc398889996"/>
      <w:bookmarkStart w:id="146" w:name="_Toc424284431"/>
      <w:r>
        <w:rPr>
          <w:rStyle w:val="CharSectno"/>
        </w:rPr>
        <w:t>56</w:t>
      </w:r>
      <w:r>
        <w:rPr>
          <w:snapToGrid w:val="0"/>
        </w:rPr>
        <w:t>.</w:t>
      </w:r>
      <w:r>
        <w:rPr>
          <w:snapToGrid w:val="0"/>
        </w:rPr>
        <w:tab/>
        <w:t>Modifying strategic development plan</w:t>
      </w:r>
      <w:bookmarkEnd w:id="145"/>
      <w:bookmarkEnd w:id="146"/>
      <w:r>
        <w:rPr>
          <w:snapToGrid w:val="0"/>
        </w:rPr>
        <w:t xml:space="preserve"> </w:t>
      </w:r>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a strategic development plan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147" w:name="_Toc398889997"/>
      <w:bookmarkStart w:id="148" w:name="_Toc424284432"/>
      <w:r>
        <w:rPr>
          <w:rStyle w:val="CharSectno"/>
        </w:rPr>
        <w:t>57</w:t>
      </w:r>
      <w:r>
        <w:rPr>
          <w:snapToGrid w:val="0"/>
        </w:rPr>
        <w:t>.</w:t>
      </w:r>
      <w:r>
        <w:rPr>
          <w:snapToGrid w:val="0"/>
        </w:rPr>
        <w:tab/>
        <w:t>Treasurer’s concurrence needed by Minister for s. 55 or 56</w:t>
      </w:r>
      <w:bookmarkEnd w:id="147"/>
      <w:bookmarkEnd w:id="148"/>
    </w:p>
    <w:p>
      <w:pPr>
        <w:pStyle w:val="Subsection"/>
        <w:rPr>
          <w:snapToGrid w:val="0"/>
        </w:rPr>
      </w:pPr>
      <w:r>
        <w:tab/>
        <w:t>(1)</w:t>
      </w:r>
      <w:r>
        <w:tab/>
        <w:t>The</w:t>
      </w:r>
      <w:r>
        <w:rPr>
          <w:snapToGrid w:val="0"/>
        </w:rPr>
        <w:t xml:space="preserve"> Minister is not to — </w:t>
      </w:r>
    </w:p>
    <w:p>
      <w:pPr>
        <w:pStyle w:val="Indenta"/>
        <w:rPr>
          <w:snapToGrid w:val="0"/>
        </w:rPr>
      </w:pPr>
      <w:r>
        <w:rPr>
          <w:snapToGrid w:val="0"/>
        </w:rPr>
        <w:tab/>
        <w:t>(a)</w:t>
      </w:r>
      <w:r>
        <w:rPr>
          <w:snapToGrid w:val="0"/>
        </w:rPr>
        <w:tab/>
        <w:t>agree to a draft strategic development plan under section 55; or</w:t>
      </w:r>
    </w:p>
    <w:p>
      <w:pPr>
        <w:pStyle w:val="Indenta"/>
        <w:rPr>
          <w:snapToGrid w:val="0"/>
        </w:rPr>
      </w:pPr>
      <w:r>
        <w:rPr>
          <w:snapToGrid w:val="0"/>
        </w:rPr>
        <w:tab/>
        <w:t>(b)</w:t>
      </w:r>
      <w:r>
        <w:rPr>
          <w:snapToGrid w:val="0"/>
        </w:rPr>
        <w:tab/>
        <w:t>agree to or direct any modification of a strategic development plan under section 56,</w:t>
      </w:r>
    </w:p>
    <w:p>
      <w:pPr>
        <w:pStyle w:val="Subsection"/>
        <w:rPr>
          <w:snapToGrid w:val="0"/>
        </w:rPr>
      </w:pPr>
      <w:r>
        <w:rPr>
          <w:snapToGrid w:val="0"/>
        </w:rPr>
        <w:tab/>
      </w:r>
      <w:r>
        <w:rPr>
          <w:snapToGrid w:val="0"/>
        </w:rPr>
        <w:tab/>
        <w:t>except with the Treasurer’s concurrence.</w:t>
      </w:r>
    </w:p>
    <w:p>
      <w:pPr>
        <w:pStyle w:val="Subsection"/>
      </w:pPr>
      <w:r>
        <w:tab/>
        <w:t>(2)</w:t>
      </w:r>
      <w:r>
        <w:tab/>
        <w:t xml:space="preserve">Without limiting section 34A, any agreement or concurrence mentioned in subsection (1) has effect subject to the reservation that the port authority must — </w:t>
      </w:r>
    </w:p>
    <w:p>
      <w:pPr>
        <w:pStyle w:val="Indenta"/>
      </w:pPr>
      <w:r>
        <w:tab/>
        <w:t>(a)</w:t>
      </w:r>
      <w:r>
        <w:tab/>
        <w:t>comply with the requirements mentioned in section 34A(2)(a); and</w:t>
      </w:r>
    </w:p>
    <w:p>
      <w:pPr>
        <w:pStyle w:val="Indenta"/>
      </w:pPr>
      <w:r>
        <w:tab/>
        <w:t>(b)</w:t>
      </w:r>
      <w:r>
        <w:tab/>
        <w:t>endeavour to achieve the financial outcomes mentioned in section 34A(2)(b),</w:t>
      </w:r>
    </w:p>
    <w:p>
      <w:pPr>
        <w:pStyle w:val="Subsection"/>
      </w:pPr>
      <w:r>
        <w:tab/>
      </w:r>
      <w:r>
        <w:tab/>
        <w:t>whether or not they are consistent with the strategic development plan or modified strategic development plan, as the case may be.</w:t>
      </w:r>
    </w:p>
    <w:p>
      <w:pPr>
        <w:pStyle w:val="Footnotesection"/>
      </w:pPr>
      <w:r>
        <w:tab/>
        <w:t>[Section 57 amended by No. 9 of 2014 s. 18.]</w:t>
      </w:r>
    </w:p>
    <w:p>
      <w:pPr>
        <w:pStyle w:val="Heading3"/>
      </w:pPr>
      <w:bookmarkStart w:id="149" w:name="_Toc398889998"/>
      <w:bookmarkStart w:id="150" w:name="_Toc424284433"/>
      <w:r>
        <w:rPr>
          <w:rStyle w:val="CharDivNo"/>
        </w:rPr>
        <w:t>Division 2</w:t>
      </w:r>
      <w:r>
        <w:t xml:space="preserve"> — </w:t>
      </w:r>
      <w:r>
        <w:rPr>
          <w:rStyle w:val="CharDivText"/>
        </w:rPr>
        <w:t>Statement of corporate intent</w:t>
      </w:r>
      <w:bookmarkEnd w:id="149"/>
      <w:bookmarkEnd w:id="150"/>
      <w:r>
        <w:rPr>
          <w:rStyle w:val="CharDivText"/>
        </w:rPr>
        <w:t xml:space="preserve"> </w:t>
      </w:r>
    </w:p>
    <w:p>
      <w:pPr>
        <w:pStyle w:val="Heading5"/>
        <w:rPr>
          <w:snapToGrid w:val="0"/>
        </w:rPr>
      </w:pPr>
      <w:bookmarkStart w:id="151" w:name="_Toc398889999"/>
      <w:bookmarkStart w:id="152" w:name="_Toc424284434"/>
      <w:r>
        <w:rPr>
          <w:rStyle w:val="CharSectno"/>
        </w:rPr>
        <w:t>58</w:t>
      </w:r>
      <w:r>
        <w:rPr>
          <w:snapToGrid w:val="0"/>
        </w:rPr>
        <w:t>.</w:t>
      </w:r>
      <w:r>
        <w:rPr>
          <w:snapToGrid w:val="0"/>
        </w:rPr>
        <w:tab/>
        <w:t>Draft statement of corporate intent to be submitted to Minister</w:t>
      </w:r>
      <w:bookmarkEnd w:id="151"/>
      <w:bookmarkEnd w:id="152"/>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statement of corporate intent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58 amended by No. 77 of 2006 s. 11(3).]</w:t>
      </w:r>
    </w:p>
    <w:p>
      <w:pPr>
        <w:pStyle w:val="Heading5"/>
        <w:spacing w:before="240"/>
        <w:rPr>
          <w:snapToGrid w:val="0"/>
        </w:rPr>
      </w:pPr>
      <w:bookmarkStart w:id="153" w:name="_Toc398890000"/>
      <w:bookmarkStart w:id="154" w:name="_Toc424284435"/>
      <w:r>
        <w:rPr>
          <w:rStyle w:val="CharSectno"/>
        </w:rPr>
        <w:t>59</w:t>
      </w:r>
      <w:r>
        <w:rPr>
          <w:snapToGrid w:val="0"/>
        </w:rPr>
        <w:t>.</w:t>
      </w:r>
      <w:r>
        <w:rPr>
          <w:snapToGrid w:val="0"/>
        </w:rPr>
        <w:tab/>
        <w:t>Period to which statement of corporate intent relates</w:t>
      </w:r>
      <w:bookmarkEnd w:id="153"/>
      <w:bookmarkEnd w:id="154"/>
      <w:r>
        <w:rPr>
          <w:snapToGrid w:val="0"/>
        </w:rPr>
        <w:t xml:space="preserve"> </w:t>
      </w:r>
    </w:p>
    <w:p>
      <w:pPr>
        <w:pStyle w:val="Subsection"/>
        <w:spacing w:before="180"/>
        <w:rPr>
          <w:snapToGrid w:val="0"/>
        </w:rPr>
      </w:pPr>
      <w:r>
        <w:rPr>
          <w:snapToGrid w:val="0"/>
        </w:rPr>
        <w:tab/>
      </w:r>
      <w:r>
        <w:rPr>
          <w:snapToGrid w:val="0"/>
        </w:rPr>
        <w:tab/>
        <w:t>A statement of corporate intent is to cover a financial year.</w:t>
      </w:r>
    </w:p>
    <w:p>
      <w:pPr>
        <w:pStyle w:val="Heading5"/>
        <w:spacing w:before="240"/>
        <w:rPr>
          <w:snapToGrid w:val="0"/>
        </w:rPr>
      </w:pPr>
      <w:bookmarkStart w:id="155" w:name="_Toc398890001"/>
      <w:bookmarkStart w:id="156" w:name="_Toc424284436"/>
      <w:r>
        <w:rPr>
          <w:rStyle w:val="CharSectno"/>
        </w:rPr>
        <w:t>60</w:t>
      </w:r>
      <w:r>
        <w:rPr>
          <w:snapToGrid w:val="0"/>
        </w:rPr>
        <w:t>.</w:t>
      </w:r>
      <w:r>
        <w:rPr>
          <w:snapToGrid w:val="0"/>
        </w:rPr>
        <w:tab/>
        <w:t>Matters to be included in statement of corporate intent</w:t>
      </w:r>
      <w:bookmarkEnd w:id="155"/>
      <w:bookmarkEnd w:id="156"/>
      <w:r>
        <w:rPr>
          <w:snapToGrid w:val="0"/>
        </w:rPr>
        <w:t xml:space="preserve"> </w:t>
      </w:r>
    </w:p>
    <w:p>
      <w:pPr>
        <w:pStyle w:val="Subsection"/>
        <w:spacing w:before="180"/>
        <w:rPr>
          <w:snapToGrid w:val="0"/>
        </w:rPr>
      </w:pPr>
      <w:r>
        <w:rPr>
          <w:snapToGrid w:val="0"/>
        </w:rPr>
        <w:tab/>
        <w:t>(1)</w:t>
      </w:r>
      <w:r>
        <w:rPr>
          <w:snapToGrid w:val="0"/>
        </w:rPr>
        <w:tab/>
        <w:t>A statement of corporate intent must be consistent with the strategic development plan under Division 1 for the port authority and any subsidiary.</w:t>
      </w:r>
    </w:p>
    <w:p>
      <w:pPr>
        <w:pStyle w:val="Subsection"/>
        <w:spacing w:before="180"/>
        <w:rPr>
          <w:snapToGrid w:val="0"/>
        </w:rPr>
      </w:pPr>
      <w:r>
        <w:rPr>
          <w:snapToGrid w:val="0"/>
        </w:rPr>
        <w:tab/>
        <w:t>(2)</w:t>
      </w:r>
      <w:r>
        <w:rPr>
          <w:snapToGrid w:val="0"/>
        </w:rPr>
        <w:tab/>
        <w:t>A statement of corporate intent for a port authority and any subsidiary must specify — </w:t>
      </w:r>
    </w:p>
    <w:p>
      <w:pPr>
        <w:pStyle w:val="Indenta"/>
        <w:rPr>
          <w:snapToGrid w:val="0"/>
        </w:rPr>
      </w:pPr>
      <w:r>
        <w:rPr>
          <w:snapToGrid w:val="0"/>
        </w:rPr>
        <w:tab/>
        <w:t>(a)</w:t>
      </w:r>
      <w:r>
        <w:rPr>
          <w:snapToGrid w:val="0"/>
        </w:rPr>
        <w:tab/>
        <w:t>an outline of the port authority’s objectives; and</w:t>
      </w:r>
    </w:p>
    <w:p>
      <w:pPr>
        <w:pStyle w:val="Indenta"/>
        <w:rPr>
          <w:snapToGrid w:val="0"/>
        </w:rPr>
      </w:pPr>
      <w:r>
        <w:rPr>
          <w:snapToGrid w:val="0"/>
        </w:rPr>
        <w:tab/>
        <w:t>(b)</w:t>
      </w:r>
      <w:r>
        <w:rPr>
          <w:snapToGrid w:val="0"/>
        </w:rPr>
        <w:tab/>
        <w:t>an outline of major planned achievements; and</w:t>
      </w:r>
    </w:p>
    <w:p>
      <w:pPr>
        <w:pStyle w:val="Indenta"/>
        <w:rPr>
          <w:snapToGrid w:val="0"/>
        </w:rPr>
      </w:pPr>
      <w:r>
        <w:rPr>
          <w:snapToGrid w:val="0"/>
        </w:rPr>
        <w:tab/>
        <w:t>(c)</w:t>
      </w:r>
      <w:r>
        <w:rPr>
          <w:snapToGrid w:val="0"/>
        </w:rPr>
        <w:tab/>
        <w:t>proposed arrangements to facilitate trade; and</w:t>
      </w:r>
    </w:p>
    <w:p>
      <w:pPr>
        <w:pStyle w:val="Indenta"/>
        <w:rPr>
          <w:snapToGrid w:val="0"/>
        </w:rPr>
      </w:pPr>
      <w:r>
        <w:rPr>
          <w:snapToGrid w:val="0"/>
        </w:rPr>
        <w:tab/>
        <w:t>(d)</w:t>
      </w:r>
      <w:r>
        <w:rPr>
          <w:snapToGrid w:val="0"/>
        </w:rPr>
        <w:tab/>
        <w:t>estimates of operating revenue and expenditure; and</w:t>
      </w:r>
    </w:p>
    <w:p>
      <w:pPr>
        <w:pStyle w:val="Indenta"/>
        <w:rPr>
          <w:snapToGrid w:val="0"/>
        </w:rPr>
      </w:pPr>
      <w:r>
        <w:rPr>
          <w:snapToGrid w:val="0"/>
        </w:rPr>
        <w:tab/>
        <w:t>(e)</w:t>
      </w:r>
      <w:r>
        <w:rPr>
          <w:snapToGrid w:val="0"/>
        </w:rPr>
        <w:tab/>
        <w:t>an outline of capital expenditure and borrowing requirements; and</w:t>
      </w:r>
    </w:p>
    <w:p>
      <w:pPr>
        <w:pStyle w:val="Indenta"/>
        <w:rPr>
          <w:snapToGrid w:val="0"/>
        </w:rPr>
      </w:pPr>
      <w:r>
        <w:rPr>
          <w:snapToGrid w:val="0"/>
        </w:rPr>
        <w:tab/>
        <w:t>(f)</w:t>
      </w:r>
      <w:r>
        <w:rPr>
          <w:snapToGrid w:val="0"/>
        </w:rPr>
        <w:tab/>
        <w:t>proposed pricing arrangements; and</w:t>
      </w:r>
    </w:p>
    <w:p>
      <w:pPr>
        <w:pStyle w:val="Indenta"/>
        <w:rPr>
          <w:snapToGrid w:val="0"/>
        </w:rPr>
      </w:pPr>
      <w:r>
        <w:rPr>
          <w:snapToGrid w:val="0"/>
        </w:rPr>
        <w:tab/>
        <w:t>(g)</w:t>
      </w:r>
      <w:r>
        <w:rPr>
          <w:snapToGrid w:val="0"/>
        </w:rPr>
        <w:tab/>
        <w:t>proposed provisions for dividends; and</w:t>
      </w:r>
    </w:p>
    <w:p>
      <w:pPr>
        <w:pStyle w:val="Indenta"/>
        <w:rPr>
          <w:snapToGrid w:val="0"/>
        </w:rPr>
      </w:pPr>
      <w:r>
        <w:rPr>
          <w:snapToGrid w:val="0"/>
        </w:rPr>
        <w:tab/>
        <w:t>(h)</w:t>
      </w:r>
      <w:r>
        <w:rPr>
          <w:snapToGrid w:val="0"/>
        </w:rPr>
        <w:tab/>
        <w:t>the performance targets and other measures by which performances may be judged and related to objectives; and</w:t>
      </w:r>
    </w:p>
    <w:p>
      <w:pPr>
        <w:pStyle w:val="Indenta"/>
        <w:rPr>
          <w:snapToGrid w:val="0"/>
        </w:rPr>
      </w:pPr>
      <w:r>
        <w:rPr>
          <w:snapToGrid w:val="0"/>
        </w:rPr>
        <w:tab/>
        <w:t>(i)</w:t>
      </w:r>
      <w:r>
        <w:rPr>
          <w:snapToGrid w:val="0"/>
        </w:rPr>
        <w:tab/>
        <w:t>accounting policies that apply to the preparation of accounts; and</w:t>
      </w:r>
    </w:p>
    <w:p>
      <w:pPr>
        <w:pStyle w:val="Indenta"/>
        <w:rPr>
          <w:snapToGrid w:val="0"/>
        </w:rPr>
      </w:pPr>
      <w:r>
        <w:rPr>
          <w:snapToGrid w:val="0"/>
        </w:rPr>
        <w:tab/>
        <w:t>(j)</w:t>
      </w:r>
      <w:r>
        <w:rPr>
          <w:snapToGrid w:val="0"/>
        </w:rPr>
        <w:tab/>
        <w:t>the type of information to be given to the Minister, including information to be given in half</w:t>
      </w:r>
      <w:r>
        <w:rPr>
          <w:snapToGrid w:val="0"/>
        </w:rPr>
        <w:noBreakHyphen/>
        <w:t>yearly and annual reports; and</w:t>
      </w:r>
    </w:p>
    <w:p>
      <w:pPr>
        <w:pStyle w:val="Indenta"/>
      </w:pPr>
      <w:r>
        <w:tab/>
        <w:t>(ka)</w:t>
      </w:r>
      <w:r>
        <w:tab/>
        <w:t>proposed arrangements to facilitate the participation of potential suppliers in the provision of port services or, if no arrangements are proposed, the reason and justification for their absence; and</w:t>
      </w:r>
    </w:p>
    <w:p>
      <w:pPr>
        <w:pStyle w:val="Indenta"/>
        <w:rPr>
          <w:snapToGrid w:val="0"/>
        </w:rPr>
      </w:pPr>
      <w:r>
        <w:rPr>
          <w:snapToGrid w:val="0"/>
        </w:rPr>
        <w:tab/>
        <w:t>(k)</w:t>
      </w:r>
      <w:r>
        <w:rPr>
          <w:snapToGrid w:val="0"/>
        </w:rPr>
        <w:tab/>
        <w:t>the nature and extent of community service obligations that are to be performed; and</w:t>
      </w:r>
    </w:p>
    <w:p>
      <w:pPr>
        <w:pStyle w:val="Indenta"/>
        <w:rPr>
          <w:snapToGrid w:val="0"/>
        </w:rPr>
      </w:pPr>
      <w:r>
        <w:rPr>
          <w:snapToGrid w:val="0"/>
        </w:rPr>
        <w:tab/>
        <w:t>(l)</w:t>
      </w:r>
      <w:r>
        <w:rPr>
          <w:snapToGrid w:val="0"/>
        </w:rPr>
        <w:tab/>
        <w:t>the costings of, funding for, or other arrangements to make adjustments relating to, community service obligations; and</w:t>
      </w:r>
    </w:p>
    <w:p>
      <w:pPr>
        <w:pStyle w:val="Indenta"/>
        <w:rPr>
          <w:snapToGrid w:val="0"/>
        </w:rPr>
      </w:pPr>
      <w:r>
        <w:rPr>
          <w:snapToGrid w:val="0"/>
        </w:rPr>
        <w:tab/>
        <w:t>(m)</w:t>
      </w:r>
      <w:r>
        <w:rPr>
          <w:snapToGrid w:val="0"/>
        </w:rPr>
        <w:tab/>
        <w:t>the ways in which, and the extent to which, compensation will be made for performing community service obligations; and</w:t>
      </w:r>
    </w:p>
    <w:p>
      <w:pPr>
        <w:pStyle w:val="Indenta"/>
        <w:rPr>
          <w:snapToGrid w:val="0"/>
        </w:rPr>
      </w:pPr>
      <w:r>
        <w:rPr>
          <w:snapToGrid w:val="0"/>
        </w:rPr>
        <w:tab/>
        <w:t>(n)</w:t>
      </w:r>
      <w:r>
        <w:rPr>
          <w:snapToGrid w:val="0"/>
        </w:rPr>
        <w:tab/>
        <w:t>such other matters as may be agreed on by the Minister and the board of the port authority.</w:t>
      </w:r>
    </w:p>
    <w:p>
      <w:pPr>
        <w:pStyle w:val="Subsection"/>
        <w:rPr>
          <w:snapToGrid w:val="0"/>
        </w:rPr>
      </w:pPr>
      <w:r>
        <w:rPr>
          <w:snapToGrid w:val="0"/>
        </w:rPr>
        <w:tab/>
        <w:t>(3)</w:t>
      </w:r>
      <w:r>
        <w:rPr>
          <w:snapToGrid w:val="0"/>
        </w:rPr>
        <w:tab/>
        <w:t>The Minister may exempt a port authority from including any matter, or any aspect of a matter, mentioned in subsection (2) in the statement of corporate intent and any such exemptions are to be noted in the statement of corporate intent of the relevant port authority.</w:t>
      </w:r>
    </w:p>
    <w:p>
      <w:pPr>
        <w:pStyle w:val="Subsection"/>
        <w:rPr>
          <w:snapToGrid w:val="0"/>
        </w:rPr>
      </w:pPr>
      <w:r>
        <w:rPr>
          <w:snapToGrid w:val="0"/>
        </w:rPr>
        <w:tab/>
        <w:t>(4)</w:t>
      </w:r>
      <w:r>
        <w:rPr>
          <w:snapToGrid w:val="0"/>
        </w:rPr>
        <w:tab/>
        <w:t>A community service obligation arises for the purposes of subsection (2) if — </w:t>
      </w:r>
    </w:p>
    <w:p>
      <w:pPr>
        <w:pStyle w:val="Indenta"/>
        <w:rPr>
          <w:snapToGrid w:val="0"/>
        </w:rPr>
      </w:pPr>
      <w:r>
        <w:rPr>
          <w:snapToGrid w:val="0"/>
        </w:rPr>
        <w:tab/>
        <w:t>(a)</w:t>
      </w:r>
      <w:r>
        <w:rPr>
          <w:snapToGrid w:val="0"/>
        </w:rPr>
        <w:tab/>
        <w:t>the Minister specifically requires a port authority to do something; and</w:t>
      </w:r>
    </w:p>
    <w:p>
      <w:pPr>
        <w:pStyle w:val="Indenta"/>
        <w:rPr>
          <w:snapToGrid w:val="0"/>
        </w:rPr>
      </w:pPr>
      <w:r>
        <w:rPr>
          <w:snapToGrid w:val="0"/>
        </w:rPr>
        <w:tab/>
        <w:t>(b)</w:t>
      </w:r>
      <w:r>
        <w:rPr>
          <w:snapToGrid w:val="0"/>
        </w:rPr>
        <w:tab/>
        <w:t>for commercial reasons, the port authority would not do the thing if it did not have to; and</w:t>
      </w:r>
    </w:p>
    <w:p>
      <w:pPr>
        <w:pStyle w:val="Indenta"/>
        <w:rPr>
          <w:snapToGrid w:val="0"/>
        </w:rPr>
      </w:pPr>
      <w:r>
        <w:rPr>
          <w:snapToGrid w:val="0"/>
        </w:rPr>
        <w:tab/>
        <w:t>(c)</w:t>
      </w:r>
      <w:r>
        <w:rPr>
          <w:snapToGrid w:val="0"/>
        </w:rPr>
        <w:tab/>
        <w:t>the Government does not require things of that kind to be done by businesses in the public or private sector generally.</w:t>
      </w:r>
    </w:p>
    <w:p>
      <w:pPr>
        <w:pStyle w:val="Footnotesection"/>
      </w:pPr>
      <w:r>
        <w:tab/>
        <w:t>[Section 60 amended by No. 9 of 2014 s. 19.]</w:t>
      </w:r>
    </w:p>
    <w:p>
      <w:pPr>
        <w:pStyle w:val="Heading5"/>
        <w:spacing w:before="180"/>
        <w:rPr>
          <w:snapToGrid w:val="0"/>
        </w:rPr>
      </w:pPr>
      <w:bookmarkStart w:id="157" w:name="_Toc398890002"/>
      <w:bookmarkStart w:id="158" w:name="_Toc424284437"/>
      <w:r>
        <w:rPr>
          <w:rStyle w:val="CharSectno"/>
        </w:rPr>
        <w:t>61</w:t>
      </w:r>
      <w:r>
        <w:rPr>
          <w:snapToGrid w:val="0"/>
        </w:rPr>
        <w:t>.</w:t>
      </w:r>
      <w:r>
        <w:rPr>
          <w:snapToGrid w:val="0"/>
        </w:rPr>
        <w:tab/>
        <w:t>Statement of corporate intent to be agreed if possible</w:t>
      </w:r>
      <w:bookmarkEnd w:id="157"/>
      <w:bookmarkEnd w:id="158"/>
      <w:r>
        <w:rPr>
          <w:snapToGrid w:val="0"/>
        </w:rPr>
        <w:t xml:space="preserve"> </w:t>
      </w:r>
    </w:p>
    <w:p>
      <w:pPr>
        <w:pStyle w:val="Subsection"/>
        <w:rPr>
          <w:snapToGrid w:val="0"/>
        </w:rPr>
      </w:pPr>
      <w:r>
        <w:rPr>
          <w:snapToGrid w:val="0"/>
        </w:rPr>
        <w:tab/>
      </w:r>
      <w:r>
        <w:rPr>
          <w:snapToGrid w:val="0"/>
        </w:rPr>
        <w:tab/>
        <w:t>A board and the Minister must try to reach agreement on a statement of corporate intent as soon as possible and, in any event not later than the start of the next financial year.</w:t>
      </w:r>
    </w:p>
    <w:p>
      <w:pPr>
        <w:pStyle w:val="Heading5"/>
        <w:spacing w:before="180"/>
        <w:rPr>
          <w:snapToGrid w:val="0"/>
        </w:rPr>
      </w:pPr>
      <w:bookmarkStart w:id="159" w:name="_Toc398890003"/>
      <w:bookmarkStart w:id="160" w:name="_Toc424284438"/>
      <w:r>
        <w:rPr>
          <w:rStyle w:val="CharSectno"/>
        </w:rPr>
        <w:t>62</w:t>
      </w:r>
      <w:r>
        <w:rPr>
          <w:snapToGrid w:val="0"/>
        </w:rPr>
        <w:t>.</w:t>
      </w:r>
      <w:r>
        <w:rPr>
          <w:snapToGrid w:val="0"/>
        </w:rPr>
        <w:tab/>
        <w:t>Minister’s powers in relation to draft statement of corporate intent</w:t>
      </w:r>
      <w:bookmarkEnd w:id="159"/>
      <w:bookmarkEnd w:id="160"/>
      <w:r>
        <w:rPr>
          <w:snapToGrid w:val="0"/>
        </w:rPr>
        <w:t xml:space="preserve"> </w:t>
      </w:r>
    </w:p>
    <w:p>
      <w:pPr>
        <w:pStyle w:val="Subsection"/>
        <w:rPr>
          <w:snapToGrid w:val="0"/>
        </w:rPr>
      </w:pPr>
      <w:r>
        <w:rPr>
          <w:snapToGrid w:val="0"/>
        </w:rPr>
        <w:tab/>
        <w:t>(1)</w:t>
      </w:r>
      <w:r>
        <w:rPr>
          <w:snapToGrid w:val="0"/>
        </w:rPr>
        <w:tab/>
        <w:t>The Minister may return a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spacing w:val="-4"/>
        </w:rPr>
      </w:pPr>
      <w:r>
        <w:rPr>
          <w:snapToGrid w:val="0"/>
          <w:spacing w:val="-4"/>
        </w:rPr>
        <w:tab/>
        <w:t>(a)</w:t>
      </w:r>
      <w:r>
        <w:rPr>
          <w:snapToGrid w:val="0"/>
          <w:spacing w:val="-4"/>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161" w:name="_Toc398890004"/>
      <w:bookmarkStart w:id="162" w:name="_Toc424284439"/>
      <w:r>
        <w:rPr>
          <w:rStyle w:val="CharSectno"/>
        </w:rPr>
        <w:t>63</w:t>
      </w:r>
      <w:r>
        <w:rPr>
          <w:snapToGrid w:val="0"/>
        </w:rPr>
        <w:t>.</w:t>
      </w:r>
      <w:r>
        <w:rPr>
          <w:snapToGrid w:val="0"/>
        </w:rPr>
        <w:tab/>
        <w:t>Statement of corporate intent pending agreement</w:t>
      </w:r>
      <w:bookmarkEnd w:id="161"/>
      <w:bookmarkEnd w:id="162"/>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statement of corporate intent before the start of a financial year, the latest draft statement is to be the statement of corporate intent for the port authority and any subsidiary until a draft statement of corporate intent is agreed to under section 64.</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163" w:name="_Toc398890005"/>
      <w:bookmarkStart w:id="164" w:name="_Toc424284440"/>
      <w:r>
        <w:rPr>
          <w:rStyle w:val="CharSectno"/>
        </w:rPr>
        <w:t>64</w:t>
      </w:r>
      <w:r>
        <w:rPr>
          <w:snapToGrid w:val="0"/>
        </w:rPr>
        <w:t>.</w:t>
      </w:r>
      <w:r>
        <w:rPr>
          <w:snapToGrid w:val="0"/>
        </w:rPr>
        <w:tab/>
        <w:t>Agreed draft becomes statement of corporate intent</w:t>
      </w:r>
      <w:bookmarkEnd w:id="163"/>
      <w:bookmarkEnd w:id="164"/>
      <w:r>
        <w:rPr>
          <w:snapToGrid w:val="0"/>
        </w:rPr>
        <w:t xml:space="preserve"> </w:t>
      </w:r>
    </w:p>
    <w:p>
      <w:pPr>
        <w:pStyle w:val="Subsection"/>
        <w:rPr>
          <w:snapToGrid w:val="0"/>
        </w:rPr>
      </w:pPr>
      <w:r>
        <w:rPr>
          <w:snapToGrid w:val="0"/>
        </w:rPr>
        <w:tab/>
        <w:t>(1)</w:t>
      </w:r>
      <w:r>
        <w:rPr>
          <w:snapToGrid w:val="0"/>
        </w:rPr>
        <w:tab/>
        <w:t>When a board and the Minister reach agreement on a draft statement of corporate intent,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133.</w:t>
      </w:r>
    </w:p>
    <w:p>
      <w:pPr>
        <w:pStyle w:val="Subsection"/>
        <w:rPr>
          <w:snapToGrid w:val="0"/>
        </w:rPr>
      </w:pPr>
      <w:r>
        <w:rPr>
          <w:snapToGrid w:val="0"/>
        </w:rPr>
        <w:tab/>
        <w:t>(3)</w:t>
      </w:r>
      <w:r>
        <w:rPr>
          <w:snapToGrid w:val="0"/>
        </w:rP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rPr>
          <w:snapToGrid w:val="0"/>
        </w:rPr>
        <w:tab/>
        <w:t>(4)</w:t>
      </w:r>
      <w:r>
        <w:rPr>
          <w:snapToGrid w:val="0"/>
        </w:rPr>
        <w:tab/>
      </w:r>
      <w:r>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rPr>
          <w:snapToGrid w:val="0"/>
        </w:rPr>
      </w:pPr>
      <w:bookmarkStart w:id="165" w:name="_Toc398890006"/>
      <w:bookmarkStart w:id="166" w:name="_Toc424284441"/>
      <w:r>
        <w:rPr>
          <w:rStyle w:val="CharSectno"/>
        </w:rPr>
        <w:t>65</w:t>
      </w:r>
      <w:r>
        <w:rPr>
          <w:snapToGrid w:val="0"/>
        </w:rPr>
        <w:t>.</w:t>
      </w:r>
      <w:r>
        <w:rPr>
          <w:snapToGrid w:val="0"/>
        </w:rPr>
        <w:tab/>
        <w:t>Modifying statement of corporate intent</w:t>
      </w:r>
      <w:bookmarkEnd w:id="165"/>
      <w:bookmarkEnd w:id="166"/>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167" w:name="_Toc398890007"/>
      <w:bookmarkStart w:id="168" w:name="_Toc424284442"/>
      <w:r>
        <w:rPr>
          <w:rStyle w:val="CharSectno"/>
        </w:rPr>
        <w:t>66</w:t>
      </w:r>
      <w:r>
        <w:rPr>
          <w:snapToGrid w:val="0"/>
        </w:rPr>
        <w:t>.</w:t>
      </w:r>
      <w:r>
        <w:rPr>
          <w:snapToGrid w:val="0"/>
        </w:rPr>
        <w:tab/>
        <w:t>Treasurer’s concurrence needed by Minister for s. 64 and 65</w:t>
      </w:r>
      <w:bookmarkEnd w:id="167"/>
      <w:bookmarkEnd w:id="168"/>
    </w:p>
    <w:p>
      <w:pPr>
        <w:pStyle w:val="Subsection"/>
        <w:keepNext/>
        <w:keepLines/>
        <w:rPr>
          <w:snapToGrid w:val="0"/>
        </w:rPr>
      </w:pPr>
      <w:r>
        <w:tab/>
        <w:t>(1)</w:t>
      </w:r>
      <w:r>
        <w:tab/>
        <w:t>The</w:t>
      </w:r>
      <w:r>
        <w:rPr>
          <w:snapToGrid w:val="0"/>
        </w:rPr>
        <w:t xml:space="preserve"> Minister is not to — </w:t>
      </w:r>
    </w:p>
    <w:p>
      <w:pPr>
        <w:pStyle w:val="Indenta"/>
        <w:rPr>
          <w:snapToGrid w:val="0"/>
        </w:rPr>
      </w:pPr>
      <w:r>
        <w:rPr>
          <w:snapToGrid w:val="0"/>
        </w:rPr>
        <w:tab/>
        <w:t>(a)</w:t>
      </w:r>
      <w:r>
        <w:rPr>
          <w:snapToGrid w:val="0"/>
        </w:rPr>
        <w:tab/>
        <w:t>agree to a draft statement of corporate intent under section 64; or</w:t>
      </w:r>
    </w:p>
    <w:p>
      <w:pPr>
        <w:pStyle w:val="Indenta"/>
        <w:keepNext/>
        <w:rPr>
          <w:snapToGrid w:val="0"/>
        </w:rPr>
      </w:pPr>
      <w:r>
        <w:rPr>
          <w:snapToGrid w:val="0"/>
        </w:rPr>
        <w:tab/>
        <w:t>(b)</w:t>
      </w:r>
      <w:r>
        <w:rPr>
          <w:snapToGrid w:val="0"/>
        </w:rPr>
        <w:tab/>
        <w:t>agree to or direct any modification of a statement of corporate intent under section 65,</w:t>
      </w:r>
    </w:p>
    <w:p>
      <w:pPr>
        <w:pStyle w:val="Subsection"/>
        <w:rPr>
          <w:snapToGrid w:val="0"/>
        </w:rPr>
      </w:pPr>
      <w:r>
        <w:rPr>
          <w:snapToGrid w:val="0"/>
        </w:rPr>
        <w:tab/>
      </w:r>
      <w:r>
        <w:rPr>
          <w:snapToGrid w:val="0"/>
        </w:rPr>
        <w:tab/>
        <w:t>except with the Treasurer’s concurrence.</w:t>
      </w:r>
    </w:p>
    <w:p>
      <w:pPr>
        <w:pStyle w:val="Subsection"/>
      </w:pPr>
      <w:r>
        <w:tab/>
        <w:t>(2)</w:t>
      </w:r>
      <w:r>
        <w:tab/>
        <w:t xml:space="preserve">Without limiting section 34A, any agreement or concurrence mentioned in subsection (1) has effect subject to the reservation that the port authority must — </w:t>
      </w:r>
    </w:p>
    <w:p>
      <w:pPr>
        <w:pStyle w:val="Indenta"/>
      </w:pPr>
      <w:r>
        <w:tab/>
        <w:t>(a)</w:t>
      </w:r>
      <w:r>
        <w:tab/>
        <w:t>comply with the requirements mentioned in section 34A(2)(a); and</w:t>
      </w:r>
    </w:p>
    <w:p>
      <w:pPr>
        <w:pStyle w:val="Indenta"/>
      </w:pPr>
      <w:r>
        <w:tab/>
        <w:t>(b)</w:t>
      </w:r>
      <w:r>
        <w:tab/>
        <w:t>endeavour to achieve the financial outcomes mentioned in section 34A(2)(b),</w:t>
      </w:r>
    </w:p>
    <w:p>
      <w:pPr>
        <w:pStyle w:val="Subsection"/>
      </w:pPr>
      <w:r>
        <w:tab/>
      </w:r>
      <w:r>
        <w:tab/>
        <w:t>whether or not they are consistent with the statement of corporate intent or modified statement of corporate intent, as the case may be.</w:t>
      </w:r>
    </w:p>
    <w:p>
      <w:pPr>
        <w:pStyle w:val="Footnotesection"/>
      </w:pPr>
      <w:r>
        <w:tab/>
        <w:t>[Section 66 amended by No. 9 of 2014 s. 20.]</w:t>
      </w:r>
    </w:p>
    <w:p>
      <w:pPr>
        <w:pStyle w:val="Heading3"/>
      </w:pPr>
      <w:bookmarkStart w:id="169" w:name="_Toc398890008"/>
      <w:bookmarkStart w:id="170" w:name="_Toc424284443"/>
      <w:r>
        <w:rPr>
          <w:rStyle w:val="CharDivNo"/>
        </w:rPr>
        <w:t>Division 3</w:t>
      </w:r>
      <w:r>
        <w:t xml:space="preserve"> — </w:t>
      </w:r>
      <w:r>
        <w:rPr>
          <w:rStyle w:val="CharDivText"/>
        </w:rPr>
        <w:t>Reporting requirements</w:t>
      </w:r>
      <w:bookmarkEnd w:id="169"/>
      <w:bookmarkEnd w:id="170"/>
      <w:r>
        <w:rPr>
          <w:rStyle w:val="CharDivText"/>
        </w:rPr>
        <w:t xml:space="preserve"> </w:t>
      </w:r>
    </w:p>
    <w:p>
      <w:pPr>
        <w:pStyle w:val="Heading5"/>
        <w:rPr>
          <w:snapToGrid w:val="0"/>
        </w:rPr>
      </w:pPr>
      <w:bookmarkStart w:id="171" w:name="_Toc398890009"/>
      <w:bookmarkStart w:id="172" w:name="_Toc424284444"/>
      <w:r>
        <w:rPr>
          <w:rStyle w:val="CharSectno"/>
        </w:rPr>
        <w:t>67</w:t>
      </w:r>
      <w:r>
        <w:rPr>
          <w:snapToGrid w:val="0"/>
        </w:rPr>
        <w:t>.</w:t>
      </w:r>
      <w:r>
        <w:rPr>
          <w:snapToGrid w:val="0"/>
        </w:rPr>
        <w:tab/>
        <w:t>Half</w:t>
      </w:r>
      <w:r>
        <w:rPr>
          <w:snapToGrid w:val="0"/>
        </w:rPr>
        <w:noBreakHyphen/>
        <w:t>yearly reports</w:t>
      </w:r>
      <w:bookmarkEnd w:id="171"/>
      <w:bookmarkEnd w:id="172"/>
      <w:r>
        <w:rPr>
          <w:snapToGrid w:val="0"/>
        </w:rPr>
        <w:t xml:space="preserve"> </w:t>
      </w:r>
    </w:p>
    <w:p>
      <w:pPr>
        <w:pStyle w:val="Subsection"/>
        <w:rPr>
          <w:snapToGrid w:val="0"/>
        </w:rPr>
      </w:pPr>
      <w:r>
        <w:rPr>
          <w:snapToGrid w:val="0"/>
        </w:rPr>
        <w:tab/>
        <w:t>(1)</w:t>
      </w:r>
      <w:r>
        <w:rPr>
          <w:snapToGrid w:val="0"/>
        </w:rPr>
        <w:tab/>
        <w:t>A port authority must, for the first half of a financial year, give to the Minister a report on the operations of the port authority and of each subsidiary.</w:t>
      </w:r>
    </w:p>
    <w:p>
      <w:pPr>
        <w:pStyle w:val="Subsection"/>
        <w:rPr>
          <w:snapToGrid w:val="0"/>
        </w:rPr>
      </w:pPr>
      <w:r>
        <w:rPr>
          <w:snapToGrid w:val="0"/>
        </w:rPr>
        <w:tab/>
        <w:t>(2)</w:t>
      </w:r>
      <w:r>
        <w:rPr>
          <w:snapToGrid w:val="0"/>
        </w:rPr>
        <w:tab/>
        <w:t>A half</w:t>
      </w:r>
      <w:r>
        <w:rPr>
          <w:snapToGrid w:val="0"/>
        </w:rPr>
        <w:noBreakHyphen/>
        <w:t>yearly report is to be prepared on a consolidated basis.</w:t>
      </w:r>
    </w:p>
    <w:p>
      <w:pPr>
        <w:pStyle w:val="Subsection"/>
        <w:rPr>
          <w:snapToGrid w:val="0"/>
        </w:rPr>
      </w:pPr>
      <w:r>
        <w:rPr>
          <w:snapToGrid w:val="0"/>
        </w:rPr>
        <w:tab/>
        <w:t>(3)</w:t>
      </w:r>
      <w:r>
        <w:rPr>
          <w:snapToGrid w:val="0"/>
        </w:rPr>
        <w:tab/>
        <w:t>A half</w:t>
      </w:r>
      <w:r>
        <w:rPr>
          <w:snapToGrid w:val="0"/>
        </w:rPr>
        <w:noBreakHyphen/>
        <w:t>yearly report must be given to the Minister — </w:t>
      </w:r>
    </w:p>
    <w:p>
      <w:pPr>
        <w:pStyle w:val="Indenta"/>
        <w:rPr>
          <w:snapToGrid w:val="0"/>
        </w:rPr>
      </w:pPr>
      <w:r>
        <w:rPr>
          <w:snapToGrid w:val="0"/>
        </w:rPr>
        <w:tab/>
        <w:t>(a)</w:t>
      </w:r>
      <w:r>
        <w:rPr>
          <w:snapToGrid w:val="0"/>
        </w:rPr>
        <w:tab/>
        <w:t>within 2 months after the end of the reporting period; or</w:t>
      </w:r>
    </w:p>
    <w:p>
      <w:pPr>
        <w:pStyle w:val="Indenta"/>
        <w:rPr>
          <w:snapToGrid w:val="0"/>
        </w:rPr>
      </w:pPr>
      <w:r>
        <w:rPr>
          <w:snapToGrid w:val="0"/>
        </w:rPr>
        <w:tab/>
        <w:t>(b)</w:t>
      </w:r>
      <w:r>
        <w:rPr>
          <w:snapToGrid w:val="0"/>
        </w:rPr>
        <w:tab/>
        <w:t>if another period after the end of the reporting period is agreed between the board and the Minister, within the agreed period.</w:t>
      </w:r>
    </w:p>
    <w:p>
      <w:pPr>
        <w:pStyle w:val="Subsection"/>
        <w:rPr>
          <w:snapToGrid w:val="0"/>
        </w:rPr>
      </w:pPr>
      <w:r>
        <w:rPr>
          <w:snapToGrid w:val="0"/>
        </w:rPr>
        <w:tab/>
        <w:t>(4)</w:t>
      </w:r>
      <w:r>
        <w:rPr>
          <w:snapToGrid w:val="0"/>
        </w:rPr>
        <w:tab/>
        <w:t>The port authority must give a copy of each half</w:t>
      </w:r>
      <w:r>
        <w:rPr>
          <w:snapToGrid w:val="0"/>
        </w:rPr>
        <w:noBreakHyphen/>
        <w:t>yearly report to the Treasurer.</w:t>
      </w:r>
    </w:p>
    <w:p>
      <w:pPr>
        <w:pStyle w:val="Subsection"/>
        <w:rPr>
          <w:snapToGrid w:val="0"/>
        </w:rPr>
      </w:pPr>
      <w:r>
        <w:rPr>
          <w:snapToGrid w:val="0"/>
        </w:rPr>
        <w:tab/>
        <w:t>(5)</w:t>
      </w:r>
      <w:r>
        <w:rPr>
          <w:snapToGrid w:val="0"/>
        </w:rPr>
        <w:tab/>
        <w:t>A half</w:t>
      </w:r>
      <w:r>
        <w:rPr>
          <w:snapToGrid w:val="0"/>
        </w:rPr>
        <w:noBreakHyphen/>
        <w:t>yearly report must include the information required to be given in the report by a relevant statement of corporate intent under Division 2.</w:t>
      </w:r>
    </w:p>
    <w:p>
      <w:pPr>
        <w:pStyle w:val="Heading5"/>
        <w:rPr>
          <w:snapToGrid w:val="0"/>
        </w:rPr>
      </w:pPr>
      <w:bookmarkStart w:id="173" w:name="_Toc398890010"/>
      <w:bookmarkStart w:id="174" w:name="_Toc424284445"/>
      <w:r>
        <w:rPr>
          <w:rStyle w:val="CharSectno"/>
        </w:rPr>
        <w:t>68</w:t>
      </w:r>
      <w:r>
        <w:rPr>
          <w:snapToGrid w:val="0"/>
        </w:rPr>
        <w:t>.</w:t>
      </w:r>
      <w:r>
        <w:rPr>
          <w:snapToGrid w:val="0"/>
        </w:rPr>
        <w:tab/>
        <w:t>Annual reports</w:t>
      </w:r>
      <w:bookmarkEnd w:id="173"/>
      <w:bookmarkEnd w:id="174"/>
      <w:r>
        <w:rPr>
          <w:snapToGrid w:val="0"/>
        </w:rPr>
        <w:t xml:space="preserve"> </w:t>
      </w:r>
    </w:p>
    <w:p>
      <w:pPr>
        <w:pStyle w:val="Subsection"/>
        <w:rPr>
          <w:snapToGrid w:val="0"/>
        </w:rPr>
      </w:pPr>
      <w:r>
        <w:rPr>
          <w:snapToGrid w:val="0"/>
        </w:rPr>
        <w:tab/>
        <w:t>(1)</w:t>
      </w:r>
      <w:r>
        <w:rPr>
          <w:snapToGrid w:val="0"/>
        </w:rPr>
        <w:tab/>
        <w:t>A port authority must prepare and deliver to the Minister in each year separate annual reports on the operations of the port authority and of each subsidiary in accordance with Schedule 5, clauses 34 and 35.</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 copy of an annual report of a port authority is delivered to the Minister cause a copy of the report to be laid before each House of Parliament or dealt with in accordance with section 133.</w:t>
      </w:r>
    </w:p>
    <w:p>
      <w:pPr>
        <w:pStyle w:val="Subsection"/>
        <w:rPr>
          <w:snapToGrid w:val="0"/>
        </w:rPr>
      </w:pPr>
      <w:r>
        <w:rPr>
          <w:snapToGrid w:val="0"/>
        </w:rPr>
        <w:tab/>
        <w:t>(4)</w:t>
      </w:r>
      <w:r>
        <w:rPr>
          <w:snapToGrid w:val="0"/>
        </w:rPr>
        <w:tab/>
        <w:t>An annual report on the operations of a subsidiary is not required to be laid before Parliament or dealt with under section 133.</w:t>
      </w:r>
    </w:p>
    <w:p>
      <w:pPr>
        <w:pStyle w:val="Heading5"/>
        <w:rPr>
          <w:snapToGrid w:val="0"/>
        </w:rPr>
      </w:pPr>
      <w:bookmarkStart w:id="175" w:name="_Toc398890011"/>
      <w:bookmarkStart w:id="176" w:name="_Toc424284446"/>
      <w:r>
        <w:rPr>
          <w:rStyle w:val="CharSectno"/>
        </w:rPr>
        <w:t>69</w:t>
      </w:r>
      <w:r>
        <w:rPr>
          <w:snapToGrid w:val="0"/>
        </w:rPr>
        <w:t>.</w:t>
      </w:r>
      <w:r>
        <w:rPr>
          <w:snapToGrid w:val="0"/>
        </w:rPr>
        <w:tab/>
        <w:t>Annual reports, contents of</w:t>
      </w:r>
      <w:bookmarkEnd w:id="175"/>
      <w:bookmarkEnd w:id="176"/>
    </w:p>
    <w:p>
      <w:pPr>
        <w:pStyle w:val="Subsection"/>
        <w:rPr>
          <w:snapToGrid w:val="0"/>
        </w:rPr>
      </w:pPr>
      <w:r>
        <w:rPr>
          <w:snapToGrid w:val="0"/>
        </w:rPr>
        <w:tab/>
        <w:t>(1)</w:t>
      </w:r>
      <w:r>
        <w:rPr>
          <w:snapToGrid w:val="0"/>
        </w:rPr>
        <w:tab/>
        <w:t>The annual report in respect of a port authority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port authority or the subsidiary; and</w:t>
      </w:r>
    </w:p>
    <w:p>
      <w:pPr>
        <w:pStyle w:val="Indenta"/>
        <w:rPr>
          <w:snapToGrid w:val="0"/>
        </w:rPr>
      </w:pPr>
      <w:r>
        <w:rPr>
          <w:snapToGrid w:val="0"/>
        </w:rPr>
        <w:tab/>
        <w:t>(b)</w:t>
      </w:r>
      <w:r>
        <w:rPr>
          <w:snapToGrid w:val="0"/>
        </w:rPr>
        <w:tab/>
        <w:t>include a commentary on any significant issues relating to the performance of the port authority or the subsidiary that were raised in any relevant statement of corporate intent; and</w:t>
      </w:r>
    </w:p>
    <w:p>
      <w:pPr>
        <w:pStyle w:val="Indenta"/>
        <w:rPr>
          <w:snapToGrid w:val="0"/>
        </w:rPr>
      </w:pPr>
      <w:r>
        <w:rPr>
          <w:snapToGrid w:val="0"/>
        </w:rPr>
        <w:tab/>
        <w:t>(c)</w:t>
      </w:r>
      <w:r>
        <w:rPr>
          <w:snapToGrid w:val="0"/>
        </w:rPr>
        <w:tab/>
        <w:t>include particulars of any directions given by the Minister under section 53(3), 56(2), 62(3), 65(2), 72(1) or 84(3) that — </w:t>
      </w:r>
    </w:p>
    <w:p>
      <w:pPr>
        <w:pStyle w:val="Indenti"/>
        <w:rPr>
          <w:snapToGrid w:val="0"/>
        </w:rPr>
      </w:pPr>
      <w:r>
        <w:rPr>
          <w:snapToGrid w:val="0"/>
        </w:rPr>
        <w:tab/>
        <w:t>(i)</w:t>
      </w:r>
      <w:r>
        <w:rPr>
          <w:snapToGrid w:val="0"/>
        </w:rPr>
        <w:tab/>
        <w:t>apply to the port authority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include particulars of the impact on the financial position, profits and losses and prospects of the port authority or the subsidiary of any directions that were given by the Minister under section 72(1) during the relevant financial year; and</w:t>
      </w:r>
    </w:p>
    <w:p>
      <w:pPr>
        <w:pStyle w:val="Indenta"/>
        <w:rPr>
          <w:snapToGrid w:val="0"/>
        </w:rPr>
      </w:pPr>
      <w:r>
        <w:rPr>
          <w:snapToGrid w:val="0"/>
        </w:rPr>
        <w:tab/>
        <w:t>(e)</w:t>
      </w:r>
      <w:r>
        <w:rPr>
          <w:snapToGrid w:val="0"/>
        </w:rPr>
        <w:tab/>
        <w:t>include total value of payments and details of remuneration made to directors of the board of the port authority; and</w:t>
      </w:r>
    </w:p>
    <w:p>
      <w:pPr>
        <w:pStyle w:val="Indenta"/>
      </w:pPr>
      <w:r>
        <w:rPr>
          <w:snapToGrid w:val="0"/>
        </w:rPr>
        <w:tab/>
        <w:t>(f)</w:t>
      </w:r>
      <w:r>
        <w:rPr>
          <w:snapToGrid w:val="0"/>
        </w:rPr>
        <w:tab/>
      </w:r>
      <w:r>
        <w:t>provide a summary of the performance of the port authority in relation to its function under section 30(1)(f).</w:t>
      </w:r>
    </w:p>
    <w:p>
      <w:pPr>
        <w:pStyle w:val="Subsection"/>
        <w:rPr>
          <w:snapToGrid w:val="0"/>
        </w:rPr>
      </w:pPr>
      <w:r>
        <w:rPr>
          <w:snapToGrid w:val="0"/>
        </w:rPr>
        <w:tab/>
        <w:t>(2)</w:t>
      </w:r>
      <w:r>
        <w:rPr>
          <w:snapToGrid w:val="0"/>
        </w:rPr>
        <w:tab/>
        <w:t>The requirements of this section are in addition to Schedule 5, clauses 34 and 35.</w:t>
      </w:r>
    </w:p>
    <w:p>
      <w:pPr>
        <w:pStyle w:val="Heading5"/>
        <w:rPr>
          <w:snapToGrid w:val="0"/>
        </w:rPr>
      </w:pPr>
      <w:bookmarkStart w:id="177" w:name="_Toc398890012"/>
      <w:bookmarkStart w:id="178" w:name="_Toc424284447"/>
      <w:r>
        <w:rPr>
          <w:rStyle w:val="CharSectno"/>
        </w:rPr>
        <w:t>70</w:t>
      </w:r>
      <w:r>
        <w:rPr>
          <w:snapToGrid w:val="0"/>
        </w:rPr>
        <w:t>.</w:t>
      </w:r>
      <w:r>
        <w:rPr>
          <w:snapToGrid w:val="0"/>
        </w:rPr>
        <w:tab/>
        <w:t>Commercially sensitive matters, deletion of from reports</w:t>
      </w:r>
      <w:bookmarkEnd w:id="177"/>
      <w:bookmarkEnd w:id="178"/>
      <w:r>
        <w:rPr>
          <w:snapToGrid w:val="0"/>
        </w:rPr>
        <w:t xml:space="preserve"> </w:t>
      </w:r>
    </w:p>
    <w:p>
      <w:pPr>
        <w:pStyle w:val="Subsection"/>
        <w:rPr>
          <w:snapToGrid w:val="0"/>
        </w:rPr>
      </w:pPr>
      <w:r>
        <w:rPr>
          <w:snapToGrid w:val="0"/>
        </w:rPr>
        <w:tab/>
        <w:t>(1)</w:t>
      </w:r>
      <w:r>
        <w:rPr>
          <w:snapToGrid w:val="0"/>
        </w:rPr>
        <w:tab/>
        <w:t>A board may request the Minister to delete a matter from the copies of a report (and accompanying documents) that are to be made public if the board believes, on reasonable grounds, that the disclosure of the matter would compromise the competitiveness or commercial operations of another person.</w:t>
      </w:r>
    </w:p>
    <w:p>
      <w:pPr>
        <w:pStyle w:val="Subsection"/>
        <w:rPr>
          <w:snapToGrid w:val="0"/>
        </w:rPr>
      </w:pPr>
      <w:r>
        <w:rPr>
          <w:snapToGrid w:val="0"/>
        </w:rPr>
        <w:tab/>
        <w:t>(2)</w:t>
      </w:r>
      <w:r>
        <w:rPr>
          <w:snapToGrid w:val="0"/>
        </w:rPr>
        <w:tab/>
        <w:t>The Minister may comply with a request under subsection (1) unless the matter is one that is required under Schedule 5, clause 35 to be included in the report.</w:t>
      </w:r>
    </w:p>
    <w:p>
      <w:pPr>
        <w:pStyle w:val="Subsection"/>
        <w:rPr>
          <w:snapToGrid w:val="0"/>
        </w:rPr>
      </w:pPr>
      <w:r>
        <w:rPr>
          <w:snapToGrid w:val="0"/>
        </w:rPr>
        <w:tab/>
        <w:t>(3)</w:t>
      </w:r>
      <w:r>
        <w:rPr>
          <w:snapToGrid w:val="0"/>
        </w:rPr>
        <w:tab/>
        <w:t>If the Minister complies with a request under subsection (1) the copies of the report are to include a statement that a matter has been deleted from it under this section.</w:t>
      </w:r>
    </w:p>
    <w:p>
      <w:pPr>
        <w:pStyle w:val="Heading3"/>
      </w:pPr>
      <w:bookmarkStart w:id="179" w:name="_Toc398890013"/>
      <w:bookmarkStart w:id="180" w:name="_Toc424284448"/>
      <w:r>
        <w:rPr>
          <w:rStyle w:val="CharDivNo"/>
        </w:rPr>
        <w:t>Division 4</w:t>
      </w:r>
      <w:r>
        <w:rPr>
          <w:snapToGrid w:val="0"/>
        </w:rPr>
        <w:t xml:space="preserve"> — </w:t>
      </w:r>
      <w:r>
        <w:rPr>
          <w:rStyle w:val="CharDivText"/>
        </w:rPr>
        <w:t>Ministerial directions, general provisions</w:t>
      </w:r>
      <w:bookmarkEnd w:id="179"/>
      <w:bookmarkEnd w:id="180"/>
      <w:r>
        <w:rPr>
          <w:rStyle w:val="CharDivText"/>
        </w:rPr>
        <w:t xml:space="preserve"> </w:t>
      </w:r>
    </w:p>
    <w:p>
      <w:pPr>
        <w:pStyle w:val="Heading5"/>
        <w:rPr>
          <w:snapToGrid w:val="0"/>
        </w:rPr>
      </w:pPr>
      <w:bookmarkStart w:id="181" w:name="_Toc398890014"/>
      <w:bookmarkStart w:id="182" w:name="_Toc424284449"/>
      <w:r>
        <w:rPr>
          <w:rStyle w:val="CharSectno"/>
        </w:rPr>
        <w:t>71</w:t>
      </w:r>
      <w:r>
        <w:rPr>
          <w:snapToGrid w:val="0"/>
        </w:rPr>
        <w:t>.</w:t>
      </w:r>
      <w:r>
        <w:rPr>
          <w:snapToGrid w:val="0"/>
        </w:rPr>
        <w:tab/>
        <w:t>Which directions port authority obliged to obey</w:t>
      </w:r>
      <w:bookmarkEnd w:id="181"/>
      <w:bookmarkEnd w:id="182"/>
    </w:p>
    <w:p>
      <w:pPr>
        <w:pStyle w:val="Subsection"/>
        <w:rPr>
          <w:snapToGrid w:val="0"/>
        </w:rPr>
      </w:pPr>
      <w:r>
        <w:rPr>
          <w:snapToGrid w:val="0"/>
        </w:rPr>
        <w:tab/>
      </w:r>
      <w:r>
        <w:rPr>
          <w:snapToGrid w:val="0"/>
        </w:rPr>
        <w:tab/>
        <w:t>Except as provided by this Act or any other written law, a port authority is not required to comply with any direction or administrative request given or made by or on behalf of the Government.</w:t>
      </w:r>
    </w:p>
    <w:p>
      <w:pPr>
        <w:pStyle w:val="Heading5"/>
        <w:rPr>
          <w:snapToGrid w:val="0"/>
        </w:rPr>
      </w:pPr>
      <w:bookmarkStart w:id="183" w:name="_Toc398890015"/>
      <w:bookmarkStart w:id="184" w:name="_Toc424284450"/>
      <w:r>
        <w:rPr>
          <w:rStyle w:val="CharSectno"/>
        </w:rPr>
        <w:t>72</w:t>
      </w:r>
      <w:r>
        <w:rPr>
          <w:snapToGrid w:val="0"/>
        </w:rPr>
        <w:t>.</w:t>
      </w:r>
      <w:r>
        <w:rPr>
          <w:snapToGrid w:val="0"/>
        </w:rPr>
        <w:tab/>
        <w:t>Minister may give directions</w:t>
      </w:r>
      <w:bookmarkEnd w:id="183"/>
      <w:bookmarkEnd w:id="184"/>
      <w:r>
        <w:rPr>
          <w:snapToGrid w:val="0"/>
        </w:rPr>
        <w:t xml:space="preserve"> </w:t>
      </w:r>
    </w:p>
    <w:p>
      <w:pPr>
        <w:pStyle w:val="Subsection"/>
        <w:rPr>
          <w:snapToGrid w:val="0"/>
        </w:rPr>
      </w:pPr>
      <w:r>
        <w:rPr>
          <w:snapToGrid w:val="0"/>
        </w:rPr>
        <w:tab/>
        <w:t>(1)</w:t>
      </w:r>
      <w:r>
        <w:rPr>
          <w:snapToGrid w:val="0"/>
        </w:rPr>
        <w:tab/>
        <w:t>The Minister may give directions in writing to a port authority with respect to the performance of its functions, either generally or in relation to a particular matter, and, subject to section 73, the port authority is to give effect to any such direction.</w:t>
      </w:r>
    </w:p>
    <w:p>
      <w:pPr>
        <w:pStyle w:val="Subsection"/>
        <w:rPr>
          <w:snapToGrid w:val="0"/>
        </w:rPr>
      </w:pPr>
      <w:r>
        <w:rPr>
          <w:snapToGrid w:val="0"/>
        </w:rPr>
        <w:tab/>
        <w:t>(2)</w:t>
      </w:r>
      <w:r>
        <w:rPr>
          <w:snapToGrid w:val="0"/>
        </w:rPr>
        <w:tab/>
        <w:t>The Minister must cause the text of any direction under subsection (1) to be laid before each House of Parliament or dealt with under section 133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185" w:name="_Toc398890016"/>
      <w:bookmarkStart w:id="186" w:name="_Toc424284451"/>
      <w:r>
        <w:rPr>
          <w:rStyle w:val="CharSectno"/>
        </w:rPr>
        <w:t>73</w:t>
      </w:r>
      <w:r>
        <w:rPr>
          <w:snapToGrid w:val="0"/>
        </w:rPr>
        <w:t>.</w:t>
      </w:r>
      <w:r>
        <w:rPr>
          <w:snapToGrid w:val="0"/>
        </w:rPr>
        <w:tab/>
        <w:t>When s. 72(1) direction takes effect</w:t>
      </w:r>
      <w:bookmarkEnd w:id="185"/>
      <w:bookmarkEnd w:id="186"/>
      <w:r>
        <w:rPr>
          <w:snapToGrid w:val="0"/>
        </w:rPr>
        <w:t xml:space="preserve"> </w:t>
      </w:r>
    </w:p>
    <w:p>
      <w:pPr>
        <w:pStyle w:val="Subsection"/>
        <w:keepNext/>
        <w:rPr>
          <w:snapToGrid w:val="0"/>
        </w:rPr>
      </w:pPr>
      <w:r>
        <w:rPr>
          <w:snapToGrid w:val="0"/>
        </w:rPr>
        <w:tab/>
        <w:t>(1)</w:t>
      </w:r>
      <w:r>
        <w:rPr>
          <w:snapToGrid w:val="0"/>
        </w:rPr>
        <w:tab/>
        <w:t>A direction under section 72(1) becomes effective — </w:t>
      </w:r>
    </w:p>
    <w:p>
      <w:pPr>
        <w:pStyle w:val="Indenta"/>
        <w:rPr>
          <w:snapToGrid w:val="0"/>
        </w:rPr>
      </w:pPr>
      <w:r>
        <w:rPr>
          <w:snapToGrid w:val="0"/>
        </w:rPr>
        <w:tab/>
        <w:t>(a)</w:t>
      </w:r>
      <w:r>
        <w:rPr>
          <w:snapToGrid w:val="0"/>
        </w:rPr>
        <w:tab/>
        <w:t>on the expiry of 7 days after its receipt by a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a board asks the Minister to extend the 7 day period under subsection (1), the Minister must decide whether or not to agree to the request and notify the board of that decision before the 7 day period has expired.</w:t>
      </w:r>
    </w:p>
    <w:p>
      <w:pPr>
        <w:pStyle w:val="Heading3"/>
        <w:keepNext w:val="0"/>
      </w:pPr>
      <w:bookmarkStart w:id="187" w:name="_Toc398890017"/>
      <w:bookmarkStart w:id="188" w:name="_Toc424284452"/>
      <w:r>
        <w:rPr>
          <w:rStyle w:val="CharDivNo"/>
        </w:rPr>
        <w:t>Division 5</w:t>
      </w:r>
      <w:r>
        <w:rPr>
          <w:snapToGrid w:val="0"/>
        </w:rPr>
        <w:t xml:space="preserve"> — </w:t>
      </w:r>
      <w:r>
        <w:rPr>
          <w:rStyle w:val="CharDivText"/>
        </w:rPr>
        <w:t>Consultation and provision of information</w:t>
      </w:r>
      <w:bookmarkEnd w:id="187"/>
      <w:bookmarkEnd w:id="188"/>
      <w:r>
        <w:rPr>
          <w:rStyle w:val="CharDivText"/>
        </w:rPr>
        <w:t xml:space="preserve"> </w:t>
      </w:r>
    </w:p>
    <w:p>
      <w:pPr>
        <w:pStyle w:val="Heading5"/>
        <w:keepNext w:val="0"/>
        <w:rPr>
          <w:snapToGrid w:val="0"/>
        </w:rPr>
      </w:pPr>
      <w:bookmarkStart w:id="189" w:name="_Toc398890018"/>
      <w:bookmarkStart w:id="190" w:name="_Toc424284453"/>
      <w:r>
        <w:rPr>
          <w:rStyle w:val="CharSectno"/>
        </w:rPr>
        <w:t>74</w:t>
      </w:r>
      <w:r>
        <w:rPr>
          <w:snapToGrid w:val="0"/>
        </w:rPr>
        <w:t>.</w:t>
      </w:r>
      <w:r>
        <w:rPr>
          <w:snapToGrid w:val="0"/>
        </w:rPr>
        <w:tab/>
        <w:t>Consultation between board and Minister</w:t>
      </w:r>
      <w:bookmarkEnd w:id="189"/>
      <w:bookmarkEnd w:id="190"/>
    </w:p>
    <w:p>
      <w:pPr>
        <w:pStyle w:val="Subsection"/>
        <w:rPr>
          <w:snapToGrid w:val="0"/>
        </w:rPr>
      </w:pPr>
      <w:r>
        <w:rPr>
          <w:snapToGrid w:val="0"/>
        </w:rPr>
        <w:tab/>
      </w:r>
      <w:r>
        <w:rPr>
          <w:snapToGrid w:val="0"/>
        </w:rPr>
        <w:tab/>
        <w:t>The board of a port authority and the Minister, at the request of either, are to consult together, either personally or through appropriate representatives, in relation to any aspect of the operations of the port authority.</w:t>
      </w:r>
    </w:p>
    <w:p>
      <w:pPr>
        <w:pStyle w:val="Heading5"/>
        <w:rPr>
          <w:snapToGrid w:val="0"/>
        </w:rPr>
      </w:pPr>
      <w:bookmarkStart w:id="191" w:name="_Toc398890019"/>
      <w:bookmarkStart w:id="192" w:name="_Toc424284454"/>
      <w:r>
        <w:rPr>
          <w:rStyle w:val="CharSectno"/>
        </w:rPr>
        <w:t>75</w:t>
      </w:r>
      <w:r>
        <w:rPr>
          <w:snapToGrid w:val="0"/>
        </w:rPr>
        <w:t>.</w:t>
      </w:r>
      <w:r>
        <w:rPr>
          <w:snapToGrid w:val="0"/>
        </w:rPr>
        <w:tab/>
        <w:t>Minister to have access to information</w:t>
      </w:r>
      <w:bookmarkEnd w:id="191"/>
      <w:bookmarkEnd w:id="192"/>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a port authority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CEO or the board of the port authority to furnish information to the Minister;</w:t>
      </w:r>
    </w:p>
    <w:p>
      <w:pPr>
        <w:pStyle w:val="Indenta"/>
        <w:rPr>
          <w:snapToGrid w:val="0"/>
        </w:rPr>
      </w:pPr>
      <w:r>
        <w:rPr>
          <w:snapToGrid w:val="0"/>
        </w:rPr>
        <w:tab/>
        <w:t>(b)</w:t>
      </w:r>
      <w:r>
        <w:rPr>
          <w:snapToGrid w:val="0"/>
        </w:rPr>
        <w:tab/>
        <w:t>request the CEO or the board of the port authority to give the Minister access to information;</w:t>
      </w:r>
    </w:p>
    <w:p>
      <w:pPr>
        <w:pStyle w:val="Indenta"/>
        <w:rPr>
          <w:snapToGrid w:val="0"/>
        </w:rPr>
      </w:pPr>
      <w:r>
        <w:rPr>
          <w:snapToGrid w:val="0"/>
        </w:rPr>
        <w:tab/>
        <w:t>(c)</w:t>
      </w:r>
      <w:r>
        <w:rPr>
          <w:snapToGrid w:val="0"/>
        </w:rPr>
        <w:tab/>
        <w:t>for the purposes of paragraph (b) make use of the staff of the port authority and any subsidiary to obtain the information and furnish it to the Minister.</w:t>
      </w:r>
    </w:p>
    <w:p>
      <w:pPr>
        <w:pStyle w:val="Subsection"/>
        <w:rPr>
          <w:snapToGrid w:val="0"/>
        </w:rPr>
      </w:pPr>
      <w:r>
        <w:rPr>
          <w:snapToGrid w:val="0"/>
        </w:rPr>
        <w:tab/>
        <w:t>(3)</w:t>
      </w:r>
      <w:r>
        <w:rPr>
          <w:snapToGrid w:val="0"/>
        </w:rPr>
        <w:tab/>
        <w:t>The CEO or the board of a port authority is to — </w:t>
      </w:r>
    </w:p>
    <w:p>
      <w:pPr>
        <w:pStyle w:val="Indenta"/>
        <w:rPr>
          <w:snapToGrid w:val="0"/>
        </w:rPr>
      </w:pPr>
      <w:r>
        <w:rPr>
          <w:snapToGrid w:val="0"/>
        </w:rPr>
        <w:tab/>
        <w:t>(a)</w:t>
      </w:r>
      <w:r>
        <w:rPr>
          <w:snapToGrid w:val="0"/>
        </w:rPr>
        <w:tab/>
        <w:t>comply with a request under subsection (2); and</w:t>
      </w:r>
    </w:p>
    <w:p>
      <w:pPr>
        <w:pStyle w:val="Indenta"/>
        <w:rPr>
          <w:snapToGrid w:val="0"/>
        </w:rPr>
      </w:pPr>
      <w:r>
        <w:rPr>
          <w:snapToGrid w:val="0"/>
        </w:rPr>
        <w:tab/>
        <w:t>(b)</w:t>
      </w:r>
      <w:r>
        <w:rPr>
          <w:snapToGrid w:val="0"/>
        </w:rPr>
        <w:tab/>
        <w:t>make staff and facilities available to the Minister for the purposes of subsection (2)(c).</w:t>
      </w:r>
    </w:p>
    <w:p>
      <w:pPr>
        <w:pStyle w:val="Subsection"/>
        <w:rPr>
          <w:snapToGrid w:val="0"/>
        </w:rPr>
      </w:pPr>
      <w:r>
        <w:rPr>
          <w:snapToGrid w:val="0"/>
        </w:rPr>
        <w:tab/>
        <w:t>(4)</w:t>
      </w:r>
      <w:r>
        <w:rPr>
          <w:snapToGrid w:val="0"/>
        </w:rPr>
        <w:tab/>
        <w:t>Where the CEO or the board of a port authority furnishes or gives access to information to the Minister, the Minister is to be advised whether or not in the opinion of the CEO or the board the public disclosure of the information would adversely affect the commercial interests of the port authority or any subsidiary or of any other person.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port authority.</w:t>
      </w:r>
    </w:p>
    <w:p>
      <w:pPr>
        <w:pStyle w:val="Heading5"/>
        <w:rPr>
          <w:snapToGrid w:val="0"/>
        </w:rPr>
      </w:pPr>
      <w:bookmarkStart w:id="193" w:name="_Toc398890020"/>
      <w:bookmarkStart w:id="194" w:name="_Toc424284455"/>
      <w:r>
        <w:rPr>
          <w:rStyle w:val="CharSectno"/>
        </w:rPr>
        <w:t>76</w:t>
      </w:r>
      <w:r>
        <w:rPr>
          <w:snapToGrid w:val="0"/>
        </w:rPr>
        <w:t>.</w:t>
      </w:r>
      <w:r>
        <w:rPr>
          <w:snapToGrid w:val="0"/>
        </w:rPr>
        <w:tab/>
        <w:t>Minister to be kept informed</w:t>
      </w:r>
      <w:bookmarkEnd w:id="193"/>
      <w:bookmarkEnd w:id="194"/>
      <w:r>
        <w:rPr>
          <w:snapToGrid w:val="0"/>
        </w:rPr>
        <w:t xml:space="preserve"> </w:t>
      </w:r>
    </w:p>
    <w:p>
      <w:pPr>
        <w:pStyle w:val="Subsection"/>
        <w:keepNext/>
        <w:rPr>
          <w:snapToGrid w:val="0"/>
        </w:rPr>
      </w:pPr>
      <w:r>
        <w:rPr>
          <w:snapToGrid w:val="0"/>
        </w:rPr>
        <w:tab/>
      </w:r>
      <w:r>
        <w:rPr>
          <w:snapToGrid w:val="0"/>
        </w:rPr>
        <w:tab/>
        <w:t>A port authority must — </w:t>
      </w:r>
    </w:p>
    <w:p>
      <w:pPr>
        <w:pStyle w:val="Indenta"/>
        <w:rPr>
          <w:snapToGrid w:val="0"/>
        </w:rPr>
      </w:pPr>
      <w:r>
        <w:rPr>
          <w:snapToGrid w:val="0"/>
        </w:rPr>
        <w:tab/>
        <w:t>(a)</w:t>
      </w:r>
      <w:r>
        <w:rPr>
          <w:snapToGrid w:val="0"/>
        </w:rPr>
        <w:tab/>
        <w:t>keep the Minister reasonably informed of the operations, financial performance and financial position of the port authority and its subsidiaries, including the assets and liabilities, profits and losses and prospects of the port authority and its subsidiaries; and</w:t>
      </w:r>
    </w:p>
    <w:p>
      <w:pPr>
        <w:pStyle w:val="Indenta"/>
        <w:rPr>
          <w:snapToGrid w:val="0"/>
        </w:rPr>
      </w:pPr>
      <w:r>
        <w:rPr>
          <w:snapToGrid w:val="0"/>
        </w:rPr>
        <w:tab/>
        <w:t>(b)</w:t>
      </w:r>
      <w:r>
        <w:rPr>
          <w:snapToGrid w:val="0"/>
        </w:rPr>
        <w:tab/>
        <w:t>give the Minister reports and information that the Minister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port authority may prevent, or significantly affect, achievement of the port authority’s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195" w:name="_Toc398890021"/>
      <w:bookmarkStart w:id="196" w:name="_Toc424284456"/>
      <w:r>
        <w:rPr>
          <w:rStyle w:val="CharSectno"/>
        </w:rPr>
        <w:t>77</w:t>
      </w:r>
      <w:r>
        <w:rPr>
          <w:snapToGrid w:val="0"/>
        </w:rPr>
        <w:t>.</w:t>
      </w:r>
      <w:r>
        <w:rPr>
          <w:snapToGrid w:val="0"/>
        </w:rPr>
        <w:tab/>
        <w:t>Financial difficulty, board to notify Minister of etc.</w:t>
      </w:r>
      <w:bookmarkEnd w:id="195"/>
      <w:bookmarkEnd w:id="196"/>
    </w:p>
    <w:p>
      <w:pPr>
        <w:pStyle w:val="Subsection"/>
        <w:rPr>
          <w:snapToGrid w:val="0"/>
        </w:rPr>
      </w:pPr>
      <w:r>
        <w:rPr>
          <w:snapToGrid w:val="0"/>
        </w:rPr>
        <w:tab/>
        <w:t>(1)</w:t>
      </w:r>
      <w:r>
        <w:rPr>
          <w:snapToGrid w:val="0"/>
        </w:rPr>
        <w:tab/>
        <w:t>The board of a port authority must notify the Minister if the board forms the opinion that the port authority or a subsidiary is unable to, or will be unlikely to be able to, satisfy any financial obligation, of the port authority or the subsidiary from the financial resources available or likely to be available to the port authority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port authority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port authority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a port authority a direction under section 72 requiring the port authority or any subsidiary to cease or limit the performance of any function.</w:t>
      </w:r>
    </w:p>
    <w:p>
      <w:pPr>
        <w:pStyle w:val="Subsection"/>
        <w:rPr>
          <w:snapToGrid w:val="0"/>
        </w:rPr>
      </w:pPr>
      <w:r>
        <w:rPr>
          <w:snapToGrid w:val="0"/>
        </w:rPr>
        <w:tab/>
        <w:t>(5)</w:t>
      </w:r>
      <w:r>
        <w:rPr>
          <w:snapToGrid w:val="0"/>
        </w:rPr>
        <w:tab/>
        <w:t>In giving effect to a direction under subsection (4) a board must ensure that it is complied with in relation to any relevant subsidiary.</w:t>
      </w:r>
    </w:p>
    <w:p>
      <w:pPr>
        <w:pStyle w:val="Heading3"/>
      </w:pPr>
      <w:bookmarkStart w:id="197" w:name="_Toc398890022"/>
      <w:bookmarkStart w:id="198" w:name="_Toc424284457"/>
      <w:r>
        <w:rPr>
          <w:rStyle w:val="CharDivNo"/>
        </w:rPr>
        <w:t>Division 6</w:t>
      </w:r>
      <w:r>
        <w:rPr>
          <w:snapToGrid w:val="0"/>
        </w:rPr>
        <w:t xml:space="preserve"> — </w:t>
      </w:r>
      <w:r>
        <w:rPr>
          <w:rStyle w:val="CharDivText"/>
        </w:rPr>
        <w:t>Protection from liability</w:t>
      </w:r>
      <w:bookmarkEnd w:id="197"/>
      <w:bookmarkEnd w:id="198"/>
      <w:r>
        <w:rPr>
          <w:rStyle w:val="CharDivText"/>
        </w:rPr>
        <w:t xml:space="preserve"> </w:t>
      </w:r>
    </w:p>
    <w:p>
      <w:pPr>
        <w:pStyle w:val="Heading5"/>
        <w:rPr>
          <w:snapToGrid w:val="0"/>
        </w:rPr>
      </w:pPr>
      <w:bookmarkStart w:id="199" w:name="_Toc398890023"/>
      <w:bookmarkStart w:id="200" w:name="_Toc424284458"/>
      <w:r>
        <w:rPr>
          <w:rStyle w:val="CharSectno"/>
        </w:rPr>
        <w:t>78</w:t>
      </w:r>
      <w:r>
        <w:rPr>
          <w:snapToGrid w:val="0"/>
        </w:rPr>
        <w:t>.</w:t>
      </w:r>
      <w:r>
        <w:rPr>
          <w:snapToGrid w:val="0"/>
        </w:rPr>
        <w:tab/>
        <w:t>No liability for things done under this Part</w:t>
      </w:r>
      <w:bookmarkEnd w:id="199"/>
      <w:bookmarkEnd w:id="200"/>
      <w:r>
        <w:rPr>
          <w:snapToGrid w:val="0"/>
        </w:rPr>
        <w:t xml:space="preserve"> </w:t>
      </w:r>
    </w:p>
    <w:p>
      <w:pPr>
        <w:pStyle w:val="Subsection"/>
        <w:rPr>
          <w:snapToGrid w:val="0"/>
        </w:rPr>
      </w:pPr>
      <w:r>
        <w:rPr>
          <w:snapToGrid w:val="0"/>
        </w:rPr>
        <w:tab/>
        <w:t>(1)</w:t>
      </w:r>
      <w:r>
        <w:rPr>
          <w:snapToGrid w:val="0"/>
        </w:rPr>
        <w:tab/>
        <w:t>A port authority, a subsidiary of a port authority or a person performing functions under this Act is not liable — </w:t>
      </w:r>
    </w:p>
    <w:p>
      <w:pPr>
        <w:pStyle w:val="Indenta"/>
        <w:rPr>
          <w:snapToGrid w:val="0"/>
        </w:rPr>
      </w:pPr>
      <w:r>
        <w:rPr>
          <w:snapToGrid w:val="0"/>
        </w:rPr>
        <w:tab/>
        <w:t>(a)</w:t>
      </w:r>
      <w:r>
        <w:rPr>
          <w:snapToGrid w:val="0"/>
        </w:rPr>
        <w:tab/>
        <w:t>in respect of any claim arising as a consequence of the disclosure of information or documents under section 67, 68, 74, 75, 76 or 77; or</w:t>
      </w:r>
    </w:p>
    <w:p>
      <w:pPr>
        <w:pStyle w:val="Indenta"/>
        <w:rPr>
          <w:snapToGrid w:val="0"/>
        </w:rPr>
      </w:pPr>
      <w:r>
        <w:rPr>
          <w:snapToGrid w:val="0"/>
        </w:rPr>
        <w:tab/>
        <w:t>(b)</w:t>
      </w:r>
      <w:r>
        <w:rPr>
          <w:snapToGrid w:val="0"/>
        </w:rPr>
        <w:tab/>
        <w:t>for the fact of having done or omitted a thing that is required to be done or omitted by a direction given under section 53(3), 56(2), 62(3), 65(2), 72(1) or 84(3).</w:t>
      </w:r>
    </w:p>
    <w:p>
      <w:pPr>
        <w:pStyle w:val="Subsection"/>
        <w:rPr>
          <w:snapToGrid w:val="0"/>
        </w:rPr>
      </w:pPr>
      <w:r>
        <w:rPr>
          <w:snapToGrid w:val="0"/>
        </w:rPr>
        <w:tab/>
        <w:t>(2)</w:t>
      </w:r>
      <w:r>
        <w:rPr>
          <w:snapToGrid w:val="0"/>
        </w:rPr>
        <w:tab/>
        <w:t xml:space="preserve">Subsection (1) does not extend to the manner in which a thing is done or omitted if it is done or omitted contrary to section 9 or 10 of the </w:t>
      </w:r>
      <w:r>
        <w:rPr>
          <w:i/>
          <w:snapToGrid w:val="0"/>
        </w:rPr>
        <w:t>Statutory Corporations (Liability of Directors) Act 1996</w:t>
      </w:r>
      <w:r>
        <w:rPr>
          <w:snapToGrid w:val="0"/>
        </w:rPr>
        <w:t xml:space="preserve"> or Schedule 3, clause 3 or 4.</w:t>
      </w:r>
    </w:p>
    <w:p>
      <w:pPr>
        <w:pStyle w:val="Heading2"/>
      </w:pPr>
      <w:bookmarkStart w:id="201" w:name="_Toc398890024"/>
      <w:bookmarkStart w:id="202" w:name="_Toc424284459"/>
      <w:r>
        <w:rPr>
          <w:rStyle w:val="CharPartNo"/>
        </w:rPr>
        <w:t>Part 6</w:t>
      </w:r>
      <w:r>
        <w:t xml:space="preserve"> — </w:t>
      </w:r>
      <w:r>
        <w:rPr>
          <w:rStyle w:val="CharPartText"/>
        </w:rPr>
        <w:t>Financial provisions</w:t>
      </w:r>
      <w:bookmarkEnd w:id="201"/>
      <w:bookmarkEnd w:id="202"/>
      <w:r>
        <w:rPr>
          <w:rStyle w:val="CharPartText"/>
        </w:rPr>
        <w:t xml:space="preserve"> </w:t>
      </w:r>
    </w:p>
    <w:p>
      <w:pPr>
        <w:pStyle w:val="Heading3"/>
      </w:pPr>
      <w:bookmarkStart w:id="203" w:name="_Toc398890025"/>
      <w:bookmarkStart w:id="204" w:name="_Toc424284460"/>
      <w:r>
        <w:rPr>
          <w:rStyle w:val="CharDivNo"/>
        </w:rPr>
        <w:t>Division 1</w:t>
      </w:r>
      <w:r>
        <w:t xml:space="preserve"> — </w:t>
      </w:r>
      <w:r>
        <w:rPr>
          <w:rStyle w:val="CharDivText"/>
        </w:rPr>
        <w:t>General</w:t>
      </w:r>
      <w:bookmarkEnd w:id="203"/>
      <w:bookmarkEnd w:id="204"/>
      <w:r>
        <w:rPr>
          <w:rStyle w:val="CharDivText"/>
        </w:rPr>
        <w:t xml:space="preserve"> </w:t>
      </w:r>
    </w:p>
    <w:p>
      <w:pPr>
        <w:pStyle w:val="Heading5"/>
        <w:rPr>
          <w:snapToGrid w:val="0"/>
        </w:rPr>
      </w:pPr>
      <w:bookmarkStart w:id="205" w:name="_Toc398890026"/>
      <w:bookmarkStart w:id="206" w:name="_Toc424284461"/>
      <w:r>
        <w:rPr>
          <w:rStyle w:val="CharSectno"/>
        </w:rPr>
        <w:t>79</w:t>
      </w:r>
      <w:r>
        <w:rPr>
          <w:snapToGrid w:val="0"/>
        </w:rPr>
        <w:t>.</w:t>
      </w:r>
      <w:r>
        <w:rPr>
          <w:snapToGrid w:val="0"/>
        </w:rPr>
        <w:tab/>
        <w:t>Bank account</w:t>
      </w:r>
      <w:bookmarkEnd w:id="205"/>
      <w:bookmarkEnd w:id="206"/>
      <w:r>
        <w:rPr>
          <w:snapToGrid w:val="0"/>
        </w:rPr>
        <w:t xml:space="preserve"> </w:t>
      </w:r>
    </w:p>
    <w:p>
      <w:pPr>
        <w:pStyle w:val="Subsection"/>
      </w:pPr>
      <w:r>
        <w:tab/>
        <w:t>(1)</w:t>
      </w:r>
      <w:r>
        <w:tab/>
        <w:t xml:space="preserve">In this section — </w:t>
      </w:r>
    </w:p>
    <w:p>
      <w:pPr>
        <w:pStyle w:val="Defstart"/>
      </w:pPr>
      <w:r>
        <w:rPr>
          <w:b/>
        </w:rPr>
        <w:tab/>
      </w:r>
      <w:r>
        <w:rPr>
          <w:rStyle w:val="CharDefText"/>
        </w:rPr>
        <w:t>account</w:t>
      </w:r>
      <w:r>
        <w:t xml:space="preserve"> means an account at a bank as defined by section 3 of the </w:t>
      </w:r>
      <w:r>
        <w:rPr>
          <w:i/>
        </w:rPr>
        <w:t>Financial Management Act 2006</w:t>
      </w:r>
      <w:r>
        <w:t>;</w:t>
      </w:r>
    </w:p>
    <w:p>
      <w:pPr>
        <w:pStyle w:val="Defstart"/>
      </w:pPr>
      <w:r>
        <w:rPr>
          <w:b/>
        </w:rPr>
        <w:tab/>
      </w:r>
      <w:r>
        <w:rPr>
          <w:rStyle w:val="CharDefText"/>
        </w:rPr>
        <w:t>Public Bank Account</w:t>
      </w:r>
      <w:r>
        <w:t xml:space="preserve"> has the meaning given by section 3 of the </w:t>
      </w:r>
      <w:r>
        <w:rPr>
          <w:i/>
        </w:rPr>
        <w:t>Financial Management Act 2006</w:t>
      </w:r>
      <w:r>
        <w:t>.</w:t>
      </w:r>
    </w:p>
    <w:p>
      <w:pPr>
        <w:pStyle w:val="Subsection"/>
        <w:rPr>
          <w:snapToGrid w:val="0"/>
        </w:rPr>
      </w:pPr>
      <w:r>
        <w:rPr>
          <w:snapToGrid w:val="0"/>
        </w:rPr>
        <w:tab/>
        <w:t>(2)</w:t>
      </w:r>
      <w:r>
        <w:rPr>
          <w:snapToGrid w:val="0"/>
        </w:rPr>
        <w:tab/>
        <w:t>A port authority is to maintain one or more accounts.</w:t>
      </w:r>
    </w:p>
    <w:p>
      <w:pPr>
        <w:pStyle w:val="Subsection"/>
      </w:pPr>
      <w:r>
        <w:tab/>
        <w:t>(3)</w:t>
      </w:r>
      <w:r>
        <w:tab/>
        <w:t>An account maintained by a port authority may form part of the Public Bank Account.</w:t>
      </w:r>
    </w:p>
    <w:p>
      <w:pPr>
        <w:pStyle w:val="Subsection"/>
      </w:pPr>
      <w:r>
        <w:tab/>
        <w:t>(3a)</w:t>
      </w:r>
      <w:r>
        <w:tab/>
        <w:t xml:space="preserve">Without limiting section 90 — </w:t>
      </w:r>
    </w:p>
    <w:p>
      <w:pPr>
        <w:pStyle w:val="Indenta"/>
      </w:pPr>
      <w:r>
        <w:tab/>
        <w:t>(a)</w:t>
      </w:r>
      <w:r>
        <w:tab/>
        <w:t xml:space="preserve">sections 12 and 35 of the </w:t>
      </w:r>
      <w:r>
        <w:rPr>
          <w:i/>
        </w:rPr>
        <w:t>Financial Management Act 2006</w:t>
      </w:r>
      <w:r>
        <w:t xml:space="preserve"> do not apply to an account maintained by a port authority that forms part of the Public Bank Account; and</w:t>
      </w:r>
    </w:p>
    <w:p>
      <w:pPr>
        <w:pStyle w:val="Indenta"/>
      </w:pPr>
      <w:r>
        <w:tab/>
        <w:t>(b)</w:t>
      </w:r>
      <w:r>
        <w:tab/>
        <w:t>section 37(1) of that Act does not apply to money standing to the credit of an account referred to in paragraph (a).</w:t>
      </w:r>
    </w:p>
    <w:p>
      <w:pPr>
        <w:pStyle w:val="Subsection"/>
        <w:rPr>
          <w:snapToGrid w:val="0"/>
        </w:rPr>
      </w:pPr>
      <w:r>
        <w:rPr>
          <w:snapToGrid w:val="0"/>
        </w:rPr>
        <w:tab/>
        <w:t>(4)</w:t>
      </w:r>
      <w:r>
        <w:rPr>
          <w:snapToGrid w:val="0"/>
        </w:rPr>
        <w:tab/>
        <w:t>Money received by and expenditure of a port authority is to be credited to or paid from an account.</w:t>
      </w:r>
    </w:p>
    <w:p>
      <w:pPr>
        <w:pStyle w:val="Footnotesection"/>
      </w:pPr>
      <w:r>
        <w:tab/>
        <w:t>[Section 79 amended by No. 77 of 2006 Sch. 1 cl. 131(1) and (2).]</w:t>
      </w:r>
    </w:p>
    <w:p>
      <w:pPr>
        <w:pStyle w:val="Heading5"/>
        <w:rPr>
          <w:snapToGrid w:val="0"/>
        </w:rPr>
      </w:pPr>
      <w:bookmarkStart w:id="207" w:name="_Toc398890027"/>
      <w:bookmarkStart w:id="208" w:name="_Toc424284462"/>
      <w:r>
        <w:rPr>
          <w:rStyle w:val="CharSectno"/>
        </w:rPr>
        <w:t>80</w:t>
      </w:r>
      <w:r>
        <w:rPr>
          <w:snapToGrid w:val="0"/>
        </w:rPr>
        <w:t>.</w:t>
      </w:r>
      <w:r>
        <w:rPr>
          <w:snapToGrid w:val="0"/>
        </w:rPr>
        <w:tab/>
        <w:t>Investing funds</w:t>
      </w:r>
      <w:bookmarkEnd w:id="207"/>
      <w:bookmarkEnd w:id="208"/>
      <w:r>
        <w:rPr>
          <w:snapToGrid w:val="0"/>
        </w:rPr>
        <w:t xml:space="preserve"> </w:t>
      </w:r>
    </w:p>
    <w:p>
      <w:pPr>
        <w:pStyle w:val="Subsection"/>
        <w:rPr>
          <w:snapToGrid w:val="0"/>
        </w:rPr>
      </w:pPr>
      <w:r>
        <w:rPr>
          <w:snapToGrid w:val="0"/>
        </w:rPr>
        <w:tab/>
      </w:r>
      <w:r>
        <w:rPr>
          <w:snapToGrid w:val="0"/>
        </w:rPr>
        <w:tab/>
        <w:t>Funds of a port authority that are not in an account at the Treasury and are not being used for the performance of the port authority’s functions may be invested in such investments as the board of the port authority determines.</w:t>
      </w:r>
    </w:p>
    <w:p>
      <w:pPr>
        <w:pStyle w:val="Heading5"/>
        <w:rPr>
          <w:snapToGrid w:val="0"/>
        </w:rPr>
      </w:pPr>
      <w:bookmarkStart w:id="209" w:name="_Toc398890028"/>
      <w:bookmarkStart w:id="210" w:name="_Toc424284463"/>
      <w:r>
        <w:rPr>
          <w:rStyle w:val="CharSectno"/>
        </w:rPr>
        <w:t>81</w:t>
      </w:r>
      <w:r>
        <w:rPr>
          <w:snapToGrid w:val="0"/>
        </w:rPr>
        <w:t>.</w:t>
      </w:r>
      <w:r>
        <w:rPr>
          <w:snapToGrid w:val="0"/>
        </w:rPr>
        <w:tab/>
        <w:t>Exemption from rates</w:t>
      </w:r>
      <w:bookmarkEnd w:id="209"/>
      <w:bookmarkEnd w:id="210"/>
      <w:r>
        <w:rPr>
          <w:snapToGrid w:val="0"/>
        </w:rPr>
        <w:t xml:space="preserve"> </w:t>
      </w:r>
    </w:p>
    <w:p>
      <w:pPr>
        <w:pStyle w:val="Subsection"/>
        <w:rPr>
          <w:snapToGrid w:val="0"/>
        </w:rPr>
      </w:pPr>
      <w:r>
        <w:rPr>
          <w:snapToGrid w:val="0"/>
        </w:rPr>
        <w:tab/>
        <w:t>(1)</w:t>
      </w:r>
      <w:r>
        <w:rPr>
          <w:snapToGrid w:val="0"/>
        </w:rPr>
        <w:tab/>
        <w:t xml:space="preserve">Subject to subsection (2), port land, or land under the management and control of a port authority, is not rateable land for the purposes of the </w:t>
      </w:r>
      <w:r>
        <w:rPr>
          <w:i/>
          <w:snapToGrid w:val="0"/>
        </w:rPr>
        <w:t>Local Government Act 1995</w:t>
      </w:r>
      <w:r>
        <w:rPr>
          <w:snapToGrid w:val="0"/>
        </w:rPr>
        <w:t>.</w:t>
      </w:r>
    </w:p>
    <w:p>
      <w:pPr>
        <w:pStyle w:val="Subsection"/>
        <w:rPr>
          <w:snapToGrid w:val="0"/>
        </w:rPr>
      </w:pPr>
      <w:r>
        <w:rPr>
          <w:snapToGrid w:val="0"/>
        </w:rPr>
        <w:tab/>
        <w:t>(2)</w:t>
      </w:r>
      <w:r>
        <w:rPr>
          <w:snapToGrid w:val="0"/>
        </w:rPr>
        <w:tab/>
        <w:t xml:space="preserve">If a port authority leases or lets port land, or land under its management and control, the land is by reason of the lease or tenancy rateable land for the purposes of the </w:t>
      </w:r>
      <w:r>
        <w:rPr>
          <w:i/>
          <w:snapToGrid w:val="0"/>
        </w:rPr>
        <w:t>Local Government Act 1995</w:t>
      </w:r>
      <w:r>
        <w:rPr>
          <w:snapToGrid w:val="0"/>
        </w:rPr>
        <w:t xml:space="preserve"> in the hands of the lessee or tenant.</w:t>
      </w:r>
    </w:p>
    <w:p>
      <w:pPr>
        <w:pStyle w:val="Heading3"/>
      </w:pPr>
      <w:bookmarkStart w:id="211" w:name="_Toc398890029"/>
      <w:bookmarkStart w:id="212" w:name="_Toc424284464"/>
      <w:r>
        <w:rPr>
          <w:rStyle w:val="CharDivNo"/>
        </w:rPr>
        <w:t>Division 2</w:t>
      </w:r>
      <w:r>
        <w:rPr>
          <w:snapToGrid w:val="0"/>
        </w:rPr>
        <w:t xml:space="preserve"> — </w:t>
      </w:r>
      <w:r>
        <w:rPr>
          <w:rStyle w:val="CharDivText"/>
        </w:rPr>
        <w:t>Payments to State</w:t>
      </w:r>
      <w:bookmarkEnd w:id="211"/>
      <w:bookmarkEnd w:id="212"/>
      <w:r>
        <w:rPr>
          <w:rStyle w:val="CharDivText"/>
        </w:rPr>
        <w:t xml:space="preserve"> </w:t>
      </w:r>
    </w:p>
    <w:p>
      <w:pPr>
        <w:pStyle w:val="Heading5"/>
        <w:rPr>
          <w:snapToGrid w:val="0"/>
        </w:rPr>
      </w:pPr>
      <w:bookmarkStart w:id="213" w:name="_Toc398890030"/>
      <w:bookmarkStart w:id="214" w:name="_Toc424284465"/>
      <w:r>
        <w:rPr>
          <w:rStyle w:val="CharSectno"/>
        </w:rPr>
        <w:t>82</w:t>
      </w:r>
      <w:r>
        <w:rPr>
          <w:snapToGrid w:val="0"/>
        </w:rPr>
        <w:t>.</w:t>
      </w:r>
      <w:r>
        <w:rPr>
          <w:snapToGrid w:val="0"/>
        </w:rPr>
        <w:tab/>
        <w:t>Payment of amount in lieu of rates</w:t>
      </w:r>
      <w:bookmarkEnd w:id="213"/>
      <w:bookmarkEnd w:id="214"/>
      <w:r>
        <w:rPr>
          <w:snapToGrid w:val="0"/>
        </w:rPr>
        <w:t xml:space="preserve"> </w:t>
      </w:r>
    </w:p>
    <w:p>
      <w:pPr>
        <w:pStyle w:val="Subsection"/>
        <w:rPr>
          <w:snapToGrid w:val="0"/>
        </w:rPr>
      </w:pPr>
      <w:r>
        <w:rPr>
          <w:snapToGrid w:val="0"/>
        </w:rPr>
        <w:tab/>
        <w:t>(1)</w:t>
      </w:r>
      <w:r>
        <w:rPr>
          <w:snapToGrid w:val="0"/>
        </w:rPr>
        <w:tab/>
        <w:t>A port authority is to pay to the Treasurer in respect of a financial year an amount equal to the sum of all local government rates and charges that, but for — </w:t>
      </w:r>
    </w:p>
    <w:p>
      <w:pPr>
        <w:pStyle w:val="Indenta"/>
        <w:rPr>
          <w:snapToGrid w:val="0"/>
        </w:rPr>
      </w:pPr>
      <w:r>
        <w:rPr>
          <w:snapToGrid w:val="0"/>
        </w:rPr>
        <w:tab/>
        <w:t>(a)</w:t>
      </w:r>
      <w:r>
        <w:rPr>
          <w:snapToGrid w:val="0"/>
        </w:rPr>
        <w:tab/>
        <w:t>section 81(1); and</w:t>
      </w:r>
    </w:p>
    <w:p>
      <w:pPr>
        <w:pStyle w:val="Indenta"/>
        <w:rPr>
          <w:snapToGrid w:val="0"/>
        </w:rPr>
      </w:pPr>
      <w:r>
        <w:rPr>
          <w:snapToGrid w:val="0"/>
        </w:rPr>
        <w:tab/>
        <w:t>(b)</w:t>
      </w:r>
      <w:r>
        <w:rPr>
          <w:snapToGrid w:val="0"/>
        </w:rPr>
        <w:tab/>
        <w:t xml:space="preserve">section 6.26(2)(a)(i) of the </w:t>
      </w:r>
      <w:r>
        <w:rPr>
          <w:i/>
          <w:snapToGrid w:val="0"/>
        </w:rPr>
        <w:t>Local Government Act 1995</w:t>
      </w:r>
      <w:r>
        <w:rPr>
          <w:snapToGrid w:val="0"/>
        </w:rPr>
        <w:t xml:space="preserve">, </w:t>
      </w:r>
    </w:p>
    <w:p>
      <w:pPr>
        <w:pStyle w:val="Subsection"/>
        <w:rPr>
          <w:snapToGrid w:val="0"/>
        </w:rPr>
      </w:pPr>
      <w:r>
        <w:rPr>
          <w:snapToGrid w:val="0"/>
        </w:rPr>
        <w:tab/>
      </w:r>
      <w:r>
        <w:rPr>
          <w:snapToGrid w:val="0"/>
        </w:rPr>
        <w:tab/>
        <w:t>the port authority would have been liable to pay in respect of that financial year.</w:t>
      </w:r>
    </w:p>
    <w:p>
      <w:pPr>
        <w:pStyle w:val="Subsection"/>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land that is rateable under section 81(2); or</w:t>
      </w:r>
    </w:p>
    <w:p>
      <w:pPr>
        <w:pStyle w:val="Indenta"/>
        <w:rPr>
          <w:snapToGrid w:val="0"/>
        </w:rPr>
      </w:pPr>
      <w:r>
        <w:rPr>
          <w:snapToGrid w:val="0"/>
        </w:rPr>
        <w:tab/>
        <w:t>(b)</w:t>
      </w:r>
      <w:r>
        <w:rPr>
          <w:snapToGrid w:val="0"/>
        </w:rPr>
        <w:tab/>
        <w:t>land used or reserved for a purpose prescribed for the purposes of this section; or</w:t>
      </w:r>
    </w:p>
    <w:p>
      <w:pPr>
        <w:pStyle w:val="Indenta"/>
        <w:rPr>
          <w:snapToGrid w:val="0"/>
        </w:rPr>
      </w:pPr>
      <w:r>
        <w:rPr>
          <w:snapToGrid w:val="0"/>
        </w:rPr>
        <w:tab/>
        <w:t>(c)</w:t>
      </w:r>
      <w:r>
        <w:rPr>
          <w:snapToGrid w:val="0"/>
        </w:rPr>
        <w:tab/>
        <w:t>an area of land prescribed for the purposes of this section.</w:t>
      </w:r>
    </w:p>
    <w:p>
      <w:pPr>
        <w:pStyle w:val="Heading5"/>
        <w:rPr>
          <w:snapToGrid w:val="0"/>
        </w:rPr>
      </w:pPr>
      <w:bookmarkStart w:id="215" w:name="_Toc398890031"/>
      <w:bookmarkStart w:id="216" w:name="_Toc424284466"/>
      <w:r>
        <w:rPr>
          <w:rStyle w:val="CharSectno"/>
        </w:rPr>
        <w:t>83</w:t>
      </w:r>
      <w:r>
        <w:rPr>
          <w:snapToGrid w:val="0"/>
        </w:rPr>
        <w:t>.</w:t>
      </w:r>
      <w:r>
        <w:rPr>
          <w:snapToGrid w:val="0"/>
        </w:rPr>
        <w:tab/>
        <w:t>Determining amounts under s. 82</w:t>
      </w:r>
      <w:bookmarkEnd w:id="215"/>
      <w:bookmarkEnd w:id="216"/>
      <w:r>
        <w:rPr>
          <w:snapToGrid w:val="0"/>
        </w:rPr>
        <w:t xml:space="preserve"> </w:t>
      </w:r>
    </w:p>
    <w:p>
      <w:pPr>
        <w:pStyle w:val="Subsection"/>
        <w:rPr>
          <w:snapToGrid w:val="0"/>
        </w:rPr>
      </w:pPr>
      <w:r>
        <w:rPr>
          <w:snapToGrid w:val="0"/>
        </w:rPr>
        <w:tab/>
      </w:r>
      <w:r>
        <w:rPr>
          <w:snapToGrid w:val="0"/>
        </w:rPr>
        <w:tab/>
        <w:t>Amounts payable under section 82 — </w:t>
      </w:r>
    </w:p>
    <w:p>
      <w:pPr>
        <w:pStyle w:val="Indenta"/>
        <w:rPr>
          <w:snapToGrid w:val="0"/>
        </w:rPr>
      </w:pPr>
      <w:r>
        <w:rPr>
          <w:snapToGrid w:val="0"/>
        </w:rPr>
        <w:tab/>
        <w:t>(a)</w:t>
      </w:r>
      <w:r>
        <w:rPr>
          <w:snapToGrid w:val="0"/>
        </w:rPr>
        <w:tab/>
        <w:t>are to be determined in accordance with such principles; and</w:t>
      </w:r>
    </w:p>
    <w:p>
      <w:pPr>
        <w:pStyle w:val="Indenta"/>
        <w:keepNext/>
        <w:rPr>
          <w:snapToGrid w:val="0"/>
        </w:rPr>
      </w:pPr>
      <w:r>
        <w:rPr>
          <w:snapToGrid w:val="0"/>
        </w:rPr>
        <w:tab/>
        <w:t>(b)</w:t>
      </w:r>
      <w:r>
        <w:rPr>
          <w:snapToGrid w:val="0"/>
        </w:rPr>
        <w:tab/>
        <w:t>are to be paid at such time or times,</w:t>
      </w:r>
    </w:p>
    <w:p>
      <w:pPr>
        <w:pStyle w:val="Subsection"/>
        <w:rPr>
          <w:snapToGrid w:val="0"/>
        </w:rPr>
      </w:pPr>
      <w:r>
        <w:rPr>
          <w:snapToGrid w:val="0"/>
        </w:rPr>
        <w:tab/>
      </w:r>
      <w:r>
        <w:rPr>
          <w:snapToGrid w:val="0"/>
        </w:rPr>
        <w:tab/>
        <w:t>as the Treasurer may direct.</w:t>
      </w:r>
    </w:p>
    <w:p>
      <w:pPr>
        <w:pStyle w:val="Heading5"/>
        <w:rPr>
          <w:snapToGrid w:val="0"/>
        </w:rPr>
      </w:pPr>
      <w:bookmarkStart w:id="217" w:name="_Toc398890032"/>
      <w:bookmarkStart w:id="218" w:name="_Toc424284467"/>
      <w:r>
        <w:rPr>
          <w:rStyle w:val="CharSectno"/>
        </w:rPr>
        <w:t>84</w:t>
      </w:r>
      <w:r>
        <w:rPr>
          <w:snapToGrid w:val="0"/>
        </w:rPr>
        <w:t>.</w:t>
      </w:r>
      <w:r>
        <w:rPr>
          <w:snapToGrid w:val="0"/>
        </w:rPr>
        <w:tab/>
        <w:t>Dividends</w:t>
      </w:r>
      <w:bookmarkEnd w:id="217"/>
      <w:bookmarkEnd w:id="218"/>
      <w:r>
        <w:rPr>
          <w:snapToGrid w:val="0"/>
        </w:rPr>
        <w:t xml:space="preserve"> </w:t>
      </w:r>
    </w:p>
    <w:p>
      <w:pPr>
        <w:pStyle w:val="Subsection"/>
        <w:keepNext/>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calculated with respect to the net profits of a port authority for a financial year after first taking into account — </w:t>
      </w:r>
    </w:p>
    <w:p>
      <w:pPr>
        <w:pStyle w:val="Indenti"/>
        <w:rPr>
          <w:snapToGrid w:val="0"/>
        </w:rPr>
      </w:pPr>
      <w:r>
        <w:rPr>
          <w:snapToGrid w:val="0"/>
        </w:rPr>
        <w:tab/>
        <w:t>(i)</w:t>
      </w:r>
      <w:r>
        <w:rPr>
          <w:snapToGrid w:val="0"/>
        </w:rPr>
        <w:tab/>
        <w:t xml:space="preserve">any amounts payable to the Treasurer under section 82 and the </w:t>
      </w:r>
      <w:r>
        <w:rPr>
          <w:i/>
          <w:snapToGrid w:val="0"/>
        </w:rPr>
        <w:t>State Enterprises (Commonwealth Tax Equivalents) Act 1996</w:t>
      </w:r>
      <w:r>
        <w:rPr>
          <w:snapToGrid w:val="0"/>
        </w:rPr>
        <w:t>; and</w:t>
      </w:r>
    </w:p>
    <w:p>
      <w:pPr>
        <w:pStyle w:val="Indenti"/>
      </w:pPr>
      <w:r>
        <w:tab/>
        <w:t>(iia)</w:t>
      </w:r>
      <w:r>
        <w:tab/>
        <w:t>any interim dividend paid to the Treasurer in relation to that financial year in accordance with subsections (5) to (8); and</w:t>
      </w:r>
    </w:p>
    <w:p>
      <w:pPr>
        <w:pStyle w:val="Indenti"/>
        <w:rPr>
          <w:snapToGrid w:val="0"/>
        </w:rPr>
      </w:pPr>
      <w:r>
        <w:rPr>
          <w:snapToGrid w:val="0"/>
        </w:rPr>
        <w:tab/>
        <w:t>(ii)</w:t>
      </w:r>
      <w:r>
        <w:rPr>
          <w:snapToGrid w:val="0"/>
        </w:rPr>
        <w:tab/>
        <w:t xml:space="preserve">any formula for calculation agreed between the Minister and the Treasurer;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to the Treasurer, in accordance with subsection (4).</w:t>
      </w:r>
    </w:p>
    <w:p>
      <w:pPr>
        <w:pStyle w:val="Subsection"/>
      </w:pPr>
      <w:r>
        <w:tab/>
        <w:t>(2A)</w:t>
      </w:r>
      <w:r>
        <w:tab/>
        <w:t>In calculating a dividend under this section no account is to be taken of a payment made to the port authority by another person for application towards the capital cost of providing port facilities if the Minister, with the concurrence of the Treasurer, has declared the payment to be an exempt payment for the purposes of this section.</w:t>
      </w:r>
    </w:p>
    <w:p>
      <w:pPr>
        <w:pStyle w:val="Subsection"/>
      </w:pPr>
      <w:r>
        <w:tab/>
        <w:t>(2B)</w:t>
      </w:r>
      <w:r>
        <w:tab/>
        <w:t>A declaration under subsection (2A) can be made before or after the payment is received by the port authority.</w:t>
      </w:r>
    </w:p>
    <w:p>
      <w:pPr>
        <w:pStyle w:val="Subsection"/>
        <w:rPr>
          <w:snapToGrid w:val="0"/>
        </w:rPr>
      </w:pPr>
      <w:r>
        <w:rPr>
          <w:snapToGrid w:val="0"/>
        </w:rPr>
        <w:tab/>
        <w:t>(2)</w:t>
      </w:r>
      <w:r>
        <w:rPr>
          <w:snapToGrid w:val="0"/>
        </w:rPr>
        <w:tab/>
        <w:t>The board of a port authority, as soon as practicable after the end of each financial year, is to make a recommendation to the Minister as to the amount of the dividend (if any) that the board recommends as appropriate for that financial year.</w:t>
      </w:r>
    </w:p>
    <w:p>
      <w:pPr>
        <w:pStyle w:val="Subsection"/>
        <w:rPr>
          <w:snapToGrid w:val="0"/>
        </w:rPr>
      </w:pPr>
      <w:r>
        <w:rPr>
          <w:snapToGrid w:val="0"/>
        </w:rPr>
        <w:tab/>
        <w:t>(3)</w:t>
      </w:r>
      <w:r>
        <w:rPr>
          <w:snapToGrid w:val="0"/>
        </w:rPr>
        <w:tab/>
        <w:t>The Minister, with the Treasurer’s concurrence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 xml:space="preserve">after consultation with the board, </w:t>
      </w:r>
      <w:r>
        <w:t>may</w:t>
      </w:r>
      <w:r>
        <w:rPr>
          <w:snapToGrid w:val="0"/>
        </w:rPr>
        <w:t xml:space="preserve"> direct that the amount of the dividend is to be some other amount.</w:t>
      </w:r>
    </w:p>
    <w:p>
      <w:pPr>
        <w:pStyle w:val="Subsection"/>
        <w:rPr>
          <w:snapToGrid w:val="0"/>
        </w:rPr>
      </w:pPr>
      <w:r>
        <w:rPr>
          <w:snapToGrid w:val="0"/>
        </w:rPr>
        <w:tab/>
        <w:t>(4)</w:t>
      </w:r>
      <w:r>
        <w:rPr>
          <w:snapToGrid w:val="0"/>
        </w:rPr>
        <w:tab/>
        <w:t>A port authority is to pay the dividend — </w:t>
      </w:r>
    </w:p>
    <w:p>
      <w:pPr>
        <w:pStyle w:val="Indenta"/>
        <w:rPr>
          <w:snapToGrid w:val="0"/>
        </w:rPr>
      </w:pPr>
      <w:r>
        <w:rPr>
          <w:snapToGrid w:val="0"/>
        </w:rPr>
        <w:tab/>
        <w:t>(a)</w:t>
      </w:r>
      <w:r>
        <w:rPr>
          <w:snapToGrid w:val="0"/>
        </w:rPr>
        <w:tab/>
        <w:t>as soon as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Subsection"/>
      </w:pPr>
      <w:r>
        <w:tab/>
        <w:t>(5)</w:t>
      </w:r>
      <w:r>
        <w:tab/>
        <w:t>If the Minister considers that payment by a port authority of an interim dividend in relation to a financial year is justified, the Minister may give written notice to the board of the port authority informing it that an interim dividend is to be paid to the Treasurer.</w:t>
      </w:r>
    </w:p>
    <w:p>
      <w:pPr>
        <w:pStyle w:val="Subsection"/>
      </w:pPr>
      <w:r>
        <w:tab/>
        <w:t>(6)</w:t>
      </w:r>
      <w:r>
        <w:tab/>
        <w:t>As soon as practicable after it receives a notice under subsection (5) the board of a port authority is to make a recommendation to the Minister as to the amount of the interim dividend that the board recommends as appropriate.</w:t>
      </w:r>
    </w:p>
    <w:p>
      <w:pPr>
        <w:pStyle w:val="Subsection"/>
      </w:pPr>
      <w:r>
        <w:tab/>
        <w:t>(7)</w:t>
      </w:r>
      <w:r>
        <w:tab/>
        <w:t xml:space="preserve">The Minister, with the Treasurer’s concurrence — </w:t>
      </w:r>
    </w:p>
    <w:p>
      <w:pPr>
        <w:pStyle w:val="Indenta"/>
      </w:pPr>
      <w:r>
        <w:tab/>
        <w:t>(a)</w:t>
      </w:r>
      <w:r>
        <w:tab/>
        <w:t>may accept a recommendation under subsection (6); or</w:t>
      </w:r>
    </w:p>
    <w:p>
      <w:pPr>
        <w:pStyle w:val="Indenta"/>
      </w:pPr>
      <w:r>
        <w:tab/>
        <w:t>(b)</w:t>
      </w:r>
      <w:r>
        <w:tab/>
        <w:t>after consultation with the board, may direct that the amount of the interim dividend is to be some other amount.</w:t>
      </w:r>
    </w:p>
    <w:p>
      <w:pPr>
        <w:pStyle w:val="Subsection"/>
      </w:pPr>
      <w:r>
        <w:tab/>
        <w:t>(8)</w:t>
      </w:r>
      <w:r>
        <w:tab/>
        <w:t xml:space="preserve">A port authority is to pay the interim dividend — </w:t>
      </w:r>
    </w:p>
    <w:p>
      <w:pPr>
        <w:pStyle w:val="Indenta"/>
      </w:pPr>
      <w:r>
        <w:tab/>
        <w:t>(a)</w:t>
      </w:r>
      <w:r>
        <w:tab/>
        <w:t>as soon as practicable after the amount is fixed under subsection (7); and</w:t>
      </w:r>
    </w:p>
    <w:p>
      <w:pPr>
        <w:pStyle w:val="Indenta"/>
      </w:pPr>
      <w:r>
        <w:tab/>
        <w:t>(b)</w:t>
      </w:r>
      <w:r>
        <w:tab/>
        <w:t>in any case not later than the end of the financial year to which the interim dividend relates.</w:t>
      </w:r>
    </w:p>
    <w:p>
      <w:pPr>
        <w:pStyle w:val="Subsection"/>
      </w:pPr>
      <w:r>
        <w:tab/>
        <w:t>(9)</w:t>
      </w:r>
      <w:r>
        <w:tab/>
        <w:t>The Minister must within 14 days after a direction is given under subsection (3) or (7) cause a copy of it to be laid before each House of Parliament or dealt with in accordance with section 133.</w:t>
      </w:r>
    </w:p>
    <w:p>
      <w:pPr>
        <w:pStyle w:val="Footnotesection"/>
      </w:pPr>
      <w:r>
        <w:tab/>
        <w:t>[Section 84 amended by No. 9 of 2014 s. 21.]</w:t>
      </w:r>
    </w:p>
    <w:p>
      <w:pPr>
        <w:pStyle w:val="Heading3"/>
      </w:pPr>
      <w:bookmarkStart w:id="219" w:name="_Toc398890033"/>
      <w:bookmarkStart w:id="220" w:name="_Toc424284468"/>
      <w:r>
        <w:rPr>
          <w:rStyle w:val="CharDivNo"/>
        </w:rPr>
        <w:t>Division 3</w:t>
      </w:r>
      <w:r>
        <w:rPr>
          <w:snapToGrid w:val="0"/>
        </w:rPr>
        <w:t xml:space="preserve"> — </w:t>
      </w:r>
      <w:r>
        <w:rPr>
          <w:rStyle w:val="CharDivText"/>
        </w:rPr>
        <w:t>Borrowing</w:t>
      </w:r>
      <w:bookmarkEnd w:id="219"/>
      <w:bookmarkEnd w:id="220"/>
      <w:r>
        <w:rPr>
          <w:rStyle w:val="CharDivText"/>
        </w:rPr>
        <w:t xml:space="preserve"> </w:t>
      </w:r>
    </w:p>
    <w:p>
      <w:pPr>
        <w:pStyle w:val="Heading5"/>
        <w:rPr>
          <w:snapToGrid w:val="0"/>
        </w:rPr>
      </w:pPr>
      <w:bookmarkStart w:id="221" w:name="_Toc398890034"/>
      <w:bookmarkStart w:id="222" w:name="_Toc424284469"/>
      <w:r>
        <w:rPr>
          <w:rStyle w:val="CharSectno"/>
        </w:rPr>
        <w:t>85</w:t>
      </w:r>
      <w:r>
        <w:rPr>
          <w:snapToGrid w:val="0"/>
        </w:rPr>
        <w:t>.</w:t>
      </w:r>
      <w:r>
        <w:rPr>
          <w:snapToGrid w:val="0"/>
        </w:rPr>
        <w:tab/>
        <w:t>Borrowing powers</w:t>
      </w:r>
      <w:bookmarkEnd w:id="221"/>
      <w:bookmarkEnd w:id="222"/>
    </w:p>
    <w:p>
      <w:pPr>
        <w:pStyle w:val="Subsection"/>
        <w:rPr>
          <w:snapToGrid w:val="0"/>
        </w:rPr>
      </w:pPr>
      <w:r>
        <w:rPr>
          <w:snapToGrid w:val="0"/>
        </w:rPr>
        <w:tab/>
        <w:t>(1)</w:t>
      </w:r>
      <w:r>
        <w:rPr>
          <w:snapToGrid w:val="0"/>
        </w:rPr>
        <w:tab/>
        <w:t>A port authority may, subject to section 86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issue, acquire, hold or dispose of debt paper; or</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port authority.</w:t>
      </w:r>
    </w:p>
    <w:p>
      <w:pPr>
        <w:pStyle w:val="Subsection"/>
        <w:rPr>
          <w:snapToGrid w:val="0"/>
        </w:rPr>
      </w:pPr>
      <w:r>
        <w:rPr>
          <w:snapToGrid w:val="0"/>
        </w:rPr>
        <w:tab/>
        <w:t>(2)</w:t>
      </w:r>
      <w:r>
        <w:rPr>
          <w:snapToGrid w:val="0"/>
        </w:rPr>
        <w:tab/>
        <w:t>Capital instruments under subsection (1)(d) are to be created and issued on such terms as a port authority determines and the Minister approves.</w:t>
      </w:r>
    </w:p>
    <w:p>
      <w:pPr>
        <w:pStyle w:val="Subsection"/>
        <w:rPr>
          <w:snapToGrid w:val="0"/>
        </w:rPr>
      </w:pPr>
      <w:r>
        <w:rPr>
          <w:snapToGrid w:val="0"/>
        </w:rPr>
        <w:tab/>
        <w:t>(3)</w:t>
      </w:r>
      <w:r>
        <w:rPr>
          <w:snapToGrid w:val="0"/>
        </w:rPr>
        <w:tab/>
        <w:t>A port authority is to keep such registers for the purposes of this section as may be prescribed.</w:t>
      </w:r>
    </w:p>
    <w:p>
      <w:pPr>
        <w:pStyle w:val="Subsection"/>
        <w:rPr>
          <w:snapToGrid w:val="0"/>
        </w:rPr>
      </w:pPr>
      <w:r>
        <w:rPr>
          <w:snapToGrid w:val="0"/>
        </w:rPr>
        <w:tab/>
        <w:t>(4)</w:t>
      </w:r>
      <w:r>
        <w:rPr>
          <w:snapToGrid w:val="0"/>
        </w:rPr>
        <w:tab/>
        <w:t>In subsection (1)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Heading5"/>
        <w:rPr>
          <w:snapToGrid w:val="0"/>
        </w:rPr>
      </w:pPr>
      <w:bookmarkStart w:id="223" w:name="_Toc398890035"/>
      <w:bookmarkStart w:id="224" w:name="_Toc424284470"/>
      <w:r>
        <w:rPr>
          <w:rStyle w:val="CharSectno"/>
        </w:rPr>
        <w:t>86</w:t>
      </w:r>
      <w:r>
        <w:rPr>
          <w:snapToGrid w:val="0"/>
        </w:rPr>
        <w:t>.</w:t>
      </w:r>
      <w:r>
        <w:rPr>
          <w:snapToGrid w:val="0"/>
        </w:rPr>
        <w:tab/>
        <w:t>Borrowing limits</w:t>
      </w:r>
      <w:bookmarkEnd w:id="223"/>
      <w:bookmarkEnd w:id="224"/>
      <w:r>
        <w:rPr>
          <w:snapToGrid w:val="0"/>
        </w:rPr>
        <w:t xml:space="preserve"> </w:t>
      </w:r>
    </w:p>
    <w:p>
      <w:pPr>
        <w:pStyle w:val="Subsection"/>
        <w:keepLines/>
        <w:rPr>
          <w:snapToGrid w:val="0"/>
        </w:rPr>
      </w:pPr>
      <w:r>
        <w:rPr>
          <w:snapToGrid w:val="0"/>
        </w:rPr>
        <w:tab/>
        <w:t>(1)</w:t>
      </w:r>
      <w:r>
        <w:rPr>
          <w:snapToGrid w:val="0"/>
        </w:rPr>
        <w:tab/>
        <w:t>The Minister, with the Treasurer’s concurrence and in accordance with subsections (2), (3) and (4), may, by notice to a port authority, impose monetary limits on the exercise of the powers conferred by section 85.</w:t>
      </w:r>
    </w:p>
    <w:p>
      <w:pPr>
        <w:pStyle w:val="Subsection"/>
        <w:rPr>
          <w:snapToGrid w:val="0"/>
        </w:rPr>
      </w:pPr>
      <w:r>
        <w:rPr>
          <w:snapToGrid w:val="0"/>
        </w:rPr>
        <w:tab/>
        <w:t>(2)</w:t>
      </w:r>
      <w:r>
        <w:rPr>
          <w:snapToGrid w:val="0"/>
        </w:rPr>
        <w:tab/>
        <w:t>The monetary limit is to be determined for the exercise of those powers in a financial year specified by the Minister and may relate to — </w:t>
      </w:r>
    </w:p>
    <w:p>
      <w:pPr>
        <w:pStyle w:val="Indenta"/>
        <w:rPr>
          <w:snapToGrid w:val="0"/>
        </w:rPr>
      </w:pPr>
      <w:r>
        <w:rPr>
          <w:snapToGrid w:val="0"/>
        </w:rPr>
        <w:tab/>
        <w:t>(a)</w:t>
      </w:r>
      <w:r>
        <w:rPr>
          <w:snapToGrid w:val="0"/>
        </w:rPr>
        <w:tab/>
        <w:t>the total amount that can be outstanding at any one time during that year as a result of the exercise of those powers; or</w:t>
      </w:r>
    </w:p>
    <w:p>
      <w:pPr>
        <w:pStyle w:val="Indenta"/>
        <w:rPr>
          <w:snapToGrid w:val="0"/>
        </w:rPr>
      </w:pPr>
      <w:r>
        <w:rPr>
          <w:snapToGrid w:val="0"/>
        </w:rPr>
        <w:tab/>
        <w:t>(b)</w:t>
      </w:r>
      <w:r>
        <w:rPr>
          <w:snapToGrid w:val="0"/>
        </w:rPr>
        <w:tab/>
        <w:t>the total liabilities that can be incurred during that year as a result of the exercise of those powers.</w:t>
      </w:r>
    </w:p>
    <w:p>
      <w:pPr>
        <w:pStyle w:val="Subsection"/>
        <w:rPr>
          <w:snapToGrid w:val="0"/>
        </w:rPr>
      </w:pPr>
      <w:r>
        <w:rPr>
          <w:snapToGrid w:val="0"/>
        </w:rPr>
        <w:tab/>
        <w:t>(3)</w:t>
      </w:r>
      <w:r>
        <w:rPr>
          <w:snapToGrid w:val="0"/>
        </w:rPr>
        <w:tab/>
        <w:t>A limit for the time being in force may be varied for a subsequent financial year.</w:t>
      </w:r>
    </w:p>
    <w:p>
      <w:pPr>
        <w:pStyle w:val="Subsection"/>
        <w:rPr>
          <w:snapToGrid w:val="0"/>
        </w:rPr>
      </w:pPr>
      <w:r>
        <w:rPr>
          <w:snapToGrid w:val="0"/>
        </w:rPr>
        <w:tab/>
        <w:t>(4)</w:t>
      </w:r>
      <w:r>
        <w:rPr>
          <w:snapToGrid w:val="0"/>
        </w:rPr>
        <w:tab/>
        <w:t>A limit for the time being in force continues to apply until it is so varied.</w:t>
      </w:r>
    </w:p>
    <w:p>
      <w:pPr>
        <w:pStyle w:val="Subsection"/>
        <w:rPr>
          <w:snapToGrid w:val="0"/>
        </w:rPr>
      </w:pPr>
      <w:r>
        <w:rPr>
          <w:snapToGrid w:val="0"/>
        </w:rPr>
        <w:tab/>
        <w:t>(5)</w:t>
      </w:r>
      <w:r>
        <w:rPr>
          <w:snapToGrid w:val="0"/>
        </w:rPr>
        <w:tab/>
        <w:t>A port authority must comply with any limit for the time being in force in relation to it.</w:t>
      </w:r>
    </w:p>
    <w:p>
      <w:pPr>
        <w:pStyle w:val="Subsection"/>
        <w:rPr>
          <w:snapToGrid w:val="0"/>
        </w:rPr>
      </w:pPr>
      <w:r>
        <w:rPr>
          <w:snapToGrid w:val="0"/>
        </w:rPr>
        <w:tab/>
        <w:t>(6)</w:t>
      </w:r>
      <w:r>
        <w:rPr>
          <w:snapToGrid w:val="0"/>
        </w:rPr>
        <w:tab/>
        <w:t>A liability of a port authority is not unenforceable or in any way affected by a failure of the port authority to comply with this section.</w:t>
      </w:r>
    </w:p>
    <w:p>
      <w:pPr>
        <w:pStyle w:val="Subsection"/>
        <w:rPr>
          <w:snapToGrid w:val="0"/>
        </w:rPr>
      </w:pPr>
      <w:r>
        <w:rPr>
          <w:snapToGrid w:val="0"/>
        </w:rPr>
        <w:tab/>
        <w:t>(7)</w:t>
      </w:r>
      <w:r>
        <w:rPr>
          <w:snapToGrid w:val="0"/>
        </w:rPr>
        <w:tab/>
        <w:t>No person dealing with a port authority is bound or concerned to enquire whether the port authority has complied or is complying with this section.</w:t>
      </w:r>
    </w:p>
    <w:p>
      <w:pPr>
        <w:pStyle w:val="Heading5"/>
        <w:rPr>
          <w:snapToGrid w:val="0"/>
        </w:rPr>
      </w:pPr>
      <w:bookmarkStart w:id="225" w:name="_Toc398890036"/>
      <w:bookmarkStart w:id="226" w:name="_Toc424284471"/>
      <w:r>
        <w:rPr>
          <w:rStyle w:val="CharSectno"/>
        </w:rPr>
        <w:t>87</w:t>
      </w:r>
      <w:r>
        <w:rPr>
          <w:snapToGrid w:val="0"/>
        </w:rPr>
        <w:t>.</w:t>
      </w:r>
      <w:r>
        <w:rPr>
          <w:snapToGrid w:val="0"/>
        </w:rPr>
        <w:tab/>
        <w:t>Hedging transactions</w:t>
      </w:r>
      <w:bookmarkEnd w:id="225"/>
      <w:bookmarkEnd w:id="226"/>
      <w:r>
        <w:rPr>
          <w:snapToGrid w:val="0"/>
        </w:rPr>
        <w:t xml:space="preserve"> </w:t>
      </w:r>
    </w:p>
    <w:p>
      <w:pPr>
        <w:pStyle w:val="Subsection"/>
        <w:rPr>
          <w:snapToGrid w:val="0"/>
        </w:rPr>
      </w:pPr>
      <w:r>
        <w:rPr>
          <w:snapToGrid w:val="0"/>
        </w:rPr>
        <w:tab/>
        <w:t>(1)</w:t>
      </w:r>
      <w:r>
        <w:rPr>
          <w:snapToGrid w:val="0"/>
        </w:rPr>
        <w:tab/>
        <w:t>A port authority may, for the purpose of managing, limiting or reducing perceived risks or anticipated costs in connection with the exercise of any power conferred by section 85 — </w:t>
      </w:r>
    </w:p>
    <w:p>
      <w:pPr>
        <w:pStyle w:val="Indenta"/>
        <w:rPr>
          <w:snapToGrid w:val="0"/>
        </w:rPr>
      </w:pPr>
      <w:r>
        <w:rPr>
          <w:snapToGrid w:val="0"/>
        </w:rPr>
        <w:tab/>
        <w:t>(a)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 or</w:t>
      </w:r>
    </w:p>
    <w:p>
      <w:pPr>
        <w:pStyle w:val="Indenti"/>
        <w:rPr>
          <w:snapToGrid w:val="0"/>
        </w:rPr>
      </w:pPr>
      <w:r>
        <w:rPr>
          <w:snapToGrid w:val="0"/>
        </w:rPr>
        <w:tab/>
        <w:t>(ii)</w:t>
      </w:r>
      <w:r>
        <w:rPr>
          <w:snapToGrid w:val="0"/>
        </w:rPr>
        <w:tab/>
        <w:t>a forward foreign exchange transaction; or</w:t>
      </w:r>
    </w:p>
    <w:p>
      <w:pPr>
        <w:pStyle w:val="Indenti"/>
        <w:rPr>
          <w:snapToGrid w:val="0"/>
        </w:rPr>
      </w:pPr>
      <w:r>
        <w:rPr>
          <w:snapToGrid w:val="0"/>
        </w:rPr>
        <w:tab/>
        <w:t>(iii)</w:t>
      </w:r>
      <w:r>
        <w:rPr>
          <w:snapToGrid w:val="0"/>
        </w:rPr>
        <w:tab/>
        <w:t>a currency swap; or</w:t>
      </w:r>
    </w:p>
    <w:p>
      <w:pPr>
        <w:pStyle w:val="Indenti"/>
        <w:rPr>
          <w:snapToGrid w:val="0"/>
        </w:rPr>
      </w:pPr>
      <w:r>
        <w:rPr>
          <w:snapToGrid w:val="0"/>
        </w:rPr>
        <w:tab/>
        <w:t>(iv)</w:t>
      </w:r>
      <w:r>
        <w:rPr>
          <w:snapToGrid w:val="0"/>
        </w:rPr>
        <w:tab/>
        <w:t>a forward currency swap; or</w:t>
      </w:r>
    </w:p>
    <w:p>
      <w:pPr>
        <w:pStyle w:val="Indenti"/>
        <w:rPr>
          <w:snapToGrid w:val="0"/>
        </w:rPr>
      </w:pPr>
      <w:r>
        <w:rPr>
          <w:snapToGrid w:val="0"/>
        </w:rPr>
        <w:tab/>
        <w:t>(v)</w:t>
      </w:r>
      <w:r>
        <w:rPr>
          <w:snapToGrid w:val="0"/>
        </w:rPr>
        <w:tab/>
        <w:t>a foreign currency cap, a foreign currency collar or a foreign currency floor; or</w:t>
      </w:r>
    </w:p>
    <w:p>
      <w:pPr>
        <w:pStyle w:val="Indenti"/>
        <w:rPr>
          <w:snapToGrid w:val="0"/>
        </w:rPr>
      </w:pPr>
      <w:r>
        <w:rPr>
          <w:snapToGrid w:val="0"/>
        </w:rPr>
        <w:tab/>
        <w:t>(vi)</w:t>
      </w:r>
      <w:r>
        <w:rPr>
          <w:snapToGrid w:val="0"/>
        </w:rPr>
        <w:tab/>
        <w:t>a forward interest rate agreement; or</w:t>
      </w:r>
    </w:p>
    <w:p>
      <w:pPr>
        <w:pStyle w:val="Indenti"/>
        <w:rPr>
          <w:snapToGrid w:val="0"/>
        </w:rPr>
      </w:pPr>
      <w:r>
        <w:rPr>
          <w:snapToGrid w:val="0"/>
        </w:rPr>
        <w:tab/>
        <w:t>(vii)</w:t>
      </w:r>
      <w:r>
        <w:rPr>
          <w:snapToGrid w:val="0"/>
        </w:rPr>
        <w:tab/>
        <w:t>an interest rate swap; or</w:t>
      </w:r>
    </w:p>
    <w:p>
      <w:pPr>
        <w:pStyle w:val="Indenti"/>
        <w:rPr>
          <w:snapToGrid w:val="0"/>
        </w:rPr>
      </w:pPr>
      <w:r>
        <w:rPr>
          <w:snapToGrid w:val="0"/>
        </w:rPr>
        <w:tab/>
        <w:t>(viii)</w:t>
      </w:r>
      <w:r>
        <w:rPr>
          <w:snapToGrid w:val="0"/>
        </w:rPr>
        <w:tab/>
        <w:t>a forward interest rate swap; or</w:t>
      </w:r>
    </w:p>
    <w:p>
      <w:pPr>
        <w:pStyle w:val="Indenti"/>
        <w:rPr>
          <w:snapToGrid w:val="0"/>
        </w:rPr>
      </w:pPr>
      <w:r>
        <w:rPr>
          <w:snapToGrid w:val="0"/>
        </w:rPr>
        <w:tab/>
        <w:t>(ix)</w:t>
      </w:r>
      <w:r>
        <w:rPr>
          <w:snapToGrid w:val="0"/>
        </w:rPr>
        <w:tab/>
        <w:t>an interest rate cap, an interest rate collar or an interest rate floor; or</w:t>
      </w:r>
    </w:p>
    <w:p>
      <w:pPr>
        <w:pStyle w:val="Indenti"/>
        <w:rPr>
          <w:snapToGrid w:val="0"/>
        </w:rPr>
      </w:pPr>
      <w:r>
        <w:rPr>
          <w:snapToGrid w:val="0"/>
        </w:rPr>
        <w:tab/>
        <w:t>(x)</w:t>
      </w:r>
      <w:r>
        <w:rPr>
          <w:snapToGrid w:val="0"/>
        </w:rPr>
        <w:tab/>
        <w:t>an option for interest rate or currency management purposes; or</w:t>
      </w:r>
    </w:p>
    <w:p>
      <w:pPr>
        <w:pStyle w:val="Indenti"/>
        <w:rPr>
          <w:snapToGrid w:val="0"/>
        </w:rPr>
      </w:pPr>
      <w:r>
        <w:rPr>
          <w:snapToGrid w:val="0"/>
        </w:rPr>
        <w:tab/>
        <w:t>(xi)</w:t>
      </w:r>
      <w:r>
        <w:rPr>
          <w:snapToGrid w:val="0"/>
        </w:rPr>
        <w:tab/>
        <w:t>a futures contract or a futures option; or</w:t>
      </w:r>
    </w:p>
    <w:p>
      <w:pPr>
        <w:pStyle w:val="Indenti"/>
        <w:rPr>
          <w:snapToGrid w:val="0"/>
        </w:rPr>
      </w:pPr>
      <w:r>
        <w:rPr>
          <w:snapToGrid w:val="0"/>
        </w:rPr>
        <w:tab/>
        <w:t>(xii)</w:t>
      </w:r>
      <w:r>
        <w:rPr>
          <w:snapToGrid w:val="0"/>
        </w:rPr>
        <w:tab/>
        <w:t xml:space="preserve">a transaction of such other class as is approved in writing by the Minister, with the Treasurer’s concurrence, as a class of transactions to which this paragraph applies;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85.</w:t>
      </w:r>
    </w:p>
    <w:p>
      <w:pPr>
        <w:pStyle w:val="Subsection"/>
      </w:pPr>
      <w:r>
        <w:tab/>
        <w:t>(2)</w:t>
      </w:r>
      <w:r>
        <w:tab/>
        <w:t xml:space="preserve">A port authority may also enter into a hedging arrangement for the purpose of managing, limiting or reducing perceived risks or anticipated costs in connection with a transaction that involves capital expenditure and is undertaken in, or based on, a foreign currency as long as the port authority, with advice from the Treasury Corporation — </w:t>
      </w:r>
    </w:p>
    <w:p>
      <w:pPr>
        <w:pStyle w:val="Indenta"/>
      </w:pPr>
      <w:r>
        <w:tab/>
        <w:t>(a)</w:t>
      </w:r>
      <w:r>
        <w:tab/>
        <w:t>identifies, considers and takes steps to minimise any foreign exchange risks before entering into the hedging arrangement; and</w:t>
      </w:r>
    </w:p>
    <w:p>
      <w:pPr>
        <w:pStyle w:val="Indenta"/>
      </w:pPr>
      <w:r>
        <w:tab/>
        <w:t>(b)</w:t>
      </w:r>
      <w:r>
        <w:tab/>
        <w:t>monitors any foreign exchange risks that may result from entering into the hedging arrangement.</w:t>
      </w:r>
    </w:p>
    <w:p>
      <w:pPr>
        <w:pStyle w:val="Subsection"/>
      </w:pPr>
      <w:r>
        <w:tab/>
        <w:t>(3)</w:t>
      </w:r>
      <w:r>
        <w:tab/>
        <w:t xml:space="preserve">In this section — </w:t>
      </w:r>
    </w:p>
    <w:p>
      <w:pPr>
        <w:pStyle w:val="Defstart"/>
      </w:pPr>
      <w:r>
        <w:tab/>
      </w:r>
      <w:r>
        <w:rPr>
          <w:rStyle w:val="CharDefText"/>
        </w:rPr>
        <w:t xml:space="preserve">hedging arrangement </w:t>
      </w:r>
      <w:r>
        <w:t>means an agreement or arrangement described in subsection (1)(a) or (b);</w:t>
      </w:r>
    </w:p>
    <w:p>
      <w:pPr>
        <w:pStyle w:val="Defstart"/>
      </w:pPr>
      <w:r>
        <w:rPr>
          <w:b/>
        </w:rPr>
        <w:tab/>
      </w:r>
      <w:r>
        <w:rPr>
          <w:rStyle w:val="CharDefText"/>
        </w:rPr>
        <w:t>interest rate</w:t>
      </w:r>
      <w:r>
        <w:t xml:space="preserve"> includes coupon rate, discount rate and yield;</w:t>
      </w:r>
    </w:p>
    <w:p>
      <w:pPr>
        <w:pStyle w:val="Defstart"/>
      </w:pPr>
      <w:r>
        <w:tab/>
      </w:r>
      <w:r>
        <w:rPr>
          <w:rStyle w:val="CharDefText"/>
        </w:rPr>
        <w:t>Treasury Corporation</w:t>
      </w:r>
      <w:r>
        <w:t xml:space="preserve"> means the Western Australian Treasury Corporation established under the </w:t>
      </w:r>
      <w:r>
        <w:rPr>
          <w:i/>
        </w:rPr>
        <w:t>Western Australian Treasury Corporation Act 1986</w:t>
      </w:r>
      <w:r>
        <w:t>.</w:t>
      </w:r>
    </w:p>
    <w:p>
      <w:pPr>
        <w:pStyle w:val="Footnotesection"/>
      </w:pPr>
      <w:r>
        <w:tab/>
        <w:t>[Section 87 amended by No. 10 of 2001 s. 158; No. 21 of 2003 s. 19; No. 9 of 2014 s. 22.]</w:t>
      </w:r>
    </w:p>
    <w:p>
      <w:pPr>
        <w:pStyle w:val="Heading3"/>
      </w:pPr>
      <w:bookmarkStart w:id="227" w:name="_Toc398890037"/>
      <w:bookmarkStart w:id="228" w:name="_Toc424284472"/>
      <w:r>
        <w:rPr>
          <w:rStyle w:val="CharDivNo"/>
        </w:rPr>
        <w:t>Division 4</w:t>
      </w:r>
      <w:r>
        <w:t xml:space="preserve"> — </w:t>
      </w:r>
      <w:r>
        <w:rPr>
          <w:rStyle w:val="CharDivText"/>
        </w:rPr>
        <w:t>Guarantees</w:t>
      </w:r>
      <w:bookmarkEnd w:id="227"/>
      <w:bookmarkEnd w:id="228"/>
      <w:r>
        <w:rPr>
          <w:rStyle w:val="CharDivText"/>
        </w:rPr>
        <w:t xml:space="preserve"> </w:t>
      </w:r>
    </w:p>
    <w:p>
      <w:pPr>
        <w:pStyle w:val="Heading5"/>
        <w:rPr>
          <w:snapToGrid w:val="0"/>
        </w:rPr>
      </w:pPr>
      <w:bookmarkStart w:id="229" w:name="_Toc398890038"/>
      <w:bookmarkStart w:id="230" w:name="_Toc424284473"/>
      <w:r>
        <w:rPr>
          <w:rStyle w:val="CharSectno"/>
        </w:rPr>
        <w:t>88</w:t>
      </w:r>
      <w:r>
        <w:rPr>
          <w:snapToGrid w:val="0"/>
        </w:rPr>
        <w:t>.</w:t>
      </w:r>
      <w:r>
        <w:rPr>
          <w:snapToGrid w:val="0"/>
        </w:rPr>
        <w:tab/>
        <w:t>Guarantees by Treasurer</w:t>
      </w:r>
      <w:bookmarkEnd w:id="229"/>
      <w:bookmarkEnd w:id="230"/>
    </w:p>
    <w:p>
      <w:pPr>
        <w:pStyle w:val="Subsection"/>
        <w:rPr>
          <w:snapToGrid w:val="0"/>
        </w:rPr>
      </w:pPr>
      <w:r>
        <w:rPr>
          <w:snapToGrid w:val="0"/>
        </w:rPr>
        <w:tab/>
        <w:t>(1)</w:t>
      </w:r>
      <w:r>
        <w:rPr>
          <w:snapToGrid w:val="0"/>
        </w:rPr>
        <w:tab/>
        <w:t>The Treasurer, with the Minister’s concurrence, may, in the name and on behalf of the State, guarantee the performance by a port authority, in the State or elsewhere, of any financial obligation of the port authority arising under section 85.</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port authority or otherwise in respect of any payment made by the Treasurer under a guarantee to be credited to the Consolidated Account.</w:t>
      </w:r>
    </w:p>
    <w:p>
      <w:pPr>
        <w:pStyle w:val="Footnotesection"/>
      </w:pPr>
      <w:r>
        <w:tab/>
        <w:t>[Section 88 amended by No. 77 of 2006 s. 4, 5(1).]</w:t>
      </w:r>
    </w:p>
    <w:p>
      <w:pPr>
        <w:pStyle w:val="Heading5"/>
        <w:rPr>
          <w:snapToGrid w:val="0"/>
        </w:rPr>
      </w:pPr>
      <w:bookmarkStart w:id="231" w:name="_Toc398890039"/>
      <w:bookmarkStart w:id="232" w:name="_Toc424284474"/>
      <w:r>
        <w:rPr>
          <w:rStyle w:val="CharSectno"/>
        </w:rPr>
        <w:t>89</w:t>
      </w:r>
      <w:r>
        <w:rPr>
          <w:snapToGrid w:val="0"/>
        </w:rPr>
        <w:t>.</w:t>
      </w:r>
      <w:r>
        <w:rPr>
          <w:snapToGrid w:val="0"/>
        </w:rPr>
        <w:tab/>
        <w:t>Charges for Treasurer’s guarantee</w:t>
      </w:r>
      <w:bookmarkEnd w:id="231"/>
      <w:bookmarkEnd w:id="232"/>
      <w:r>
        <w:rPr>
          <w:snapToGrid w:val="0"/>
        </w:rPr>
        <w:t xml:space="preserve"> </w:t>
      </w:r>
    </w:p>
    <w:p>
      <w:pPr>
        <w:pStyle w:val="Subsection"/>
        <w:rPr>
          <w:snapToGrid w:val="0"/>
        </w:rPr>
      </w:pPr>
      <w:r>
        <w:rPr>
          <w:snapToGrid w:val="0"/>
        </w:rPr>
        <w:tab/>
        <w:t>(1)</w:t>
      </w:r>
      <w:r>
        <w:rPr>
          <w:snapToGrid w:val="0"/>
        </w:rPr>
        <w:tab/>
        <w:t>The Treasurer may, after consultation with the board of a port authority, fix charges to be paid by the port authority to the Treasurer for the benefit of the Consolidated Account in respect of a guarantee given under section 88.</w:t>
      </w:r>
    </w:p>
    <w:p>
      <w:pPr>
        <w:pStyle w:val="Subsection"/>
        <w:rPr>
          <w:snapToGrid w:val="0"/>
        </w:rPr>
      </w:pPr>
      <w:r>
        <w:rPr>
          <w:snapToGrid w:val="0"/>
        </w:rPr>
        <w:tab/>
        <w:t>(2)</w:t>
      </w:r>
      <w:r>
        <w:rPr>
          <w:snapToGrid w:val="0"/>
        </w:rPr>
        <w:tab/>
        <w:t>Payments by a port authority to the Treasurer in respect of any such charges are required to be made at such times, and in such instalments, as the Treasurer determines.</w:t>
      </w:r>
    </w:p>
    <w:p>
      <w:pPr>
        <w:pStyle w:val="Footnotesection"/>
      </w:pPr>
      <w:r>
        <w:tab/>
        <w:t>[Section 89 amended by No. 77 of 2006 s. 4.]</w:t>
      </w:r>
    </w:p>
    <w:p>
      <w:pPr>
        <w:pStyle w:val="Heading3"/>
      </w:pPr>
      <w:bookmarkStart w:id="233" w:name="_Toc398890040"/>
      <w:bookmarkStart w:id="234" w:name="_Toc424284475"/>
      <w:r>
        <w:rPr>
          <w:rStyle w:val="CharDivNo"/>
        </w:rPr>
        <w:t>Division 5</w:t>
      </w:r>
      <w:r>
        <w:rPr>
          <w:snapToGrid w:val="0"/>
        </w:rPr>
        <w:t xml:space="preserve"> — </w:t>
      </w:r>
      <w:r>
        <w:rPr>
          <w:rStyle w:val="CharDivText"/>
        </w:rPr>
        <w:t>Financial administration and audit</w:t>
      </w:r>
      <w:bookmarkEnd w:id="233"/>
      <w:bookmarkEnd w:id="234"/>
      <w:r>
        <w:rPr>
          <w:rStyle w:val="CharDivText"/>
        </w:rPr>
        <w:t xml:space="preserve"> </w:t>
      </w:r>
    </w:p>
    <w:p>
      <w:pPr>
        <w:pStyle w:val="Heading5"/>
        <w:rPr>
          <w:snapToGrid w:val="0"/>
        </w:rPr>
      </w:pPr>
      <w:bookmarkStart w:id="235" w:name="_Toc398890041"/>
      <w:bookmarkStart w:id="236" w:name="_Toc424284476"/>
      <w:r>
        <w:rPr>
          <w:rStyle w:val="CharSectno"/>
        </w:rPr>
        <w:t>90</w:t>
      </w:r>
      <w:r>
        <w:rPr>
          <w:snapToGrid w:val="0"/>
        </w:rPr>
        <w:t>.</w:t>
      </w:r>
      <w:r>
        <w:rPr>
          <w:snapToGrid w:val="0"/>
        </w:rPr>
        <w:tab/>
      </w:r>
      <w:r>
        <w:rPr>
          <w:i/>
        </w:rPr>
        <w:t>Financial Management Act 2006</w:t>
      </w:r>
      <w:r>
        <w:t xml:space="preserve"> and </w:t>
      </w:r>
      <w:r>
        <w:rPr>
          <w:i/>
        </w:rPr>
        <w:t>Auditor General Act 2006</w:t>
      </w:r>
      <w:r>
        <w:t>, limited application of</w:t>
      </w:r>
      <w:bookmarkEnd w:id="235"/>
      <w:bookmarkEnd w:id="236"/>
    </w:p>
    <w:p>
      <w:pPr>
        <w:pStyle w:val="Subsection"/>
        <w:rPr>
          <w:snapToGrid w:val="0"/>
        </w:rPr>
      </w:pPr>
      <w:r>
        <w:rPr>
          <w:snapToGrid w:val="0"/>
        </w:rPr>
        <w:tab/>
        <w:t>(1)</w:t>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subsection (2) and Schedule 5, clauses 37(2) and 44(4), do not apply to a port authority or any person performing functions under this Act.</w:t>
      </w:r>
    </w:p>
    <w:p>
      <w:pPr>
        <w:pStyle w:val="Subsection"/>
        <w:spacing w:before="120"/>
        <w:rPr>
          <w:i/>
        </w:rPr>
      </w:pPr>
      <w:r>
        <w:rPr>
          <w:snapToGrid w:val="0"/>
        </w:rPr>
        <w:tab/>
        <w:t>(2)</w:t>
      </w:r>
      <w:r>
        <w:rPr>
          <w:snapToGrid w:val="0"/>
        </w:rPr>
        <w:tab/>
      </w:r>
      <w:r>
        <w:t xml:space="preserve">The Minister and the board of a port authority must comply with sections 81 and 82 of the </w:t>
      </w:r>
      <w:r>
        <w:rPr>
          <w:i/>
        </w:rPr>
        <w:t xml:space="preserve">Financial Management Act 2006 </w:t>
      </w:r>
      <w:r>
        <w:t>as if —</w:t>
      </w:r>
    </w:p>
    <w:p>
      <w:pPr>
        <w:pStyle w:val="Indenta"/>
      </w:pPr>
      <w:r>
        <w:tab/>
        <w:t>(a)</w:t>
      </w:r>
      <w:r>
        <w:tab/>
        <w:t>the port authority were a statutory authority; and</w:t>
      </w:r>
    </w:p>
    <w:p>
      <w:pPr>
        <w:pStyle w:val="Indenta"/>
        <w:keepNext/>
      </w:pPr>
      <w:r>
        <w:tab/>
        <w:t>(b)</w:t>
      </w:r>
      <w:r>
        <w:tab/>
        <w:t>the board were its accountable authority,</w:t>
      </w:r>
    </w:p>
    <w:p>
      <w:pPr>
        <w:pStyle w:val="Subsection"/>
      </w:pPr>
      <w:r>
        <w:tab/>
      </w:r>
      <w:r>
        <w:tab/>
        <w:t>within the meaning of that Act.</w:t>
      </w:r>
    </w:p>
    <w:p>
      <w:pPr>
        <w:pStyle w:val="Footnotesection"/>
      </w:pPr>
      <w:r>
        <w:tab/>
        <w:t>[Section 90 amended by No. 77 of 2006 Sch. 1 cl. 131(3) and (4).]</w:t>
      </w:r>
    </w:p>
    <w:p>
      <w:pPr>
        <w:pStyle w:val="Heading5"/>
        <w:rPr>
          <w:snapToGrid w:val="0"/>
        </w:rPr>
      </w:pPr>
      <w:bookmarkStart w:id="237" w:name="_Toc398890042"/>
      <w:bookmarkStart w:id="238" w:name="_Toc424284477"/>
      <w:r>
        <w:rPr>
          <w:rStyle w:val="CharSectno"/>
        </w:rPr>
        <w:t>91</w:t>
      </w:r>
      <w:r>
        <w:rPr>
          <w:snapToGrid w:val="0"/>
        </w:rPr>
        <w:t>.</w:t>
      </w:r>
      <w:r>
        <w:rPr>
          <w:snapToGrid w:val="0"/>
        </w:rPr>
        <w:tab/>
        <w:t>Financial administration and audit (Sch. 5)</w:t>
      </w:r>
      <w:bookmarkEnd w:id="237"/>
      <w:bookmarkEnd w:id="238"/>
    </w:p>
    <w:p>
      <w:pPr>
        <w:pStyle w:val="Subsection"/>
        <w:spacing w:before="120"/>
        <w:rPr>
          <w:snapToGrid w:val="0"/>
        </w:rPr>
      </w:pPr>
      <w:r>
        <w:rPr>
          <w:snapToGrid w:val="0"/>
        </w:rPr>
        <w:tab/>
        <w:t>(1)</w:t>
      </w:r>
      <w:r>
        <w:rPr>
          <w:snapToGrid w:val="0"/>
        </w:rPr>
        <w:tab/>
        <w:t>Schedule 5 has effect in relation to the financial administration and audit of a port authority.</w:t>
      </w:r>
    </w:p>
    <w:p>
      <w:pPr>
        <w:pStyle w:val="Subsection"/>
        <w:spacing w:before="120"/>
        <w:rPr>
          <w:snapToGrid w:val="0"/>
        </w:rPr>
      </w:pPr>
      <w:r>
        <w:rPr>
          <w:snapToGrid w:val="0"/>
        </w:rPr>
        <w:tab/>
        <w:t>(2)</w:t>
      </w:r>
      <w:r>
        <w:rPr>
          <w:snapToGrid w:val="0"/>
        </w:rPr>
        <w:tab/>
        <w:t>That Schedule may be amended by regulations made by the Governor in accordance with subsections (3) and (4).</w:t>
      </w:r>
    </w:p>
    <w:p>
      <w:pPr>
        <w:pStyle w:val="Subsection"/>
        <w:spacing w:before="120"/>
      </w:pPr>
      <w:r>
        <w:tab/>
        <w:t>(3)</w:t>
      </w:r>
      <w:r>
        <w:tab/>
        <w:t xml:space="preserve">If — </w:t>
      </w:r>
    </w:p>
    <w:p>
      <w:pPr>
        <w:pStyle w:val="Indenta"/>
      </w:pPr>
      <w:r>
        <w:tab/>
        <w:t>(a)</w:t>
      </w:r>
      <w:r>
        <w:tab/>
        <w:t xml:space="preserve">a provision of Schedule 5 that set out the substance of a provision of — </w:t>
      </w:r>
    </w:p>
    <w:p>
      <w:pPr>
        <w:pStyle w:val="Indenti"/>
      </w:pPr>
      <w:r>
        <w:tab/>
        <w:t>(i)</w:t>
      </w:r>
      <w:r>
        <w:tab/>
        <w:t xml:space="preserve">the Corporations Law (as in force at any time before the commencement of the Corporations Act); or </w:t>
      </w:r>
    </w:p>
    <w:p>
      <w:pPr>
        <w:pStyle w:val="Indenti"/>
      </w:pPr>
      <w:r>
        <w:tab/>
        <w:t>(ii)</w:t>
      </w:r>
      <w:r>
        <w:tab/>
        <w:t>the Corporations Act,</w:t>
      </w:r>
    </w:p>
    <w:p>
      <w:pPr>
        <w:pStyle w:val="Indenta"/>
      </w:pPr>
      <w:r>
        <w:tab/>
      </w:r>
      <w:r>
        <w:tab/>
        <w:t>does not accurately reflect the corresponding provision of the Corporations Act; or</w:t>
      </w:r>
    </w:p>
    <w:p>
      <w:pPr>
        <w:pStyle w:val="Indenta"/>
      </w:pPr>
      <w:r>
        <w:tab/>
        <w:t>(b)</w:t>
      </w:r>
      <w:r>
        <w:tab/>
        <w:t xml:space="preserve">the Corporations Act does not contain a provision that corresponds to a provision of Schedule 5 that set out the substance of a provision of — </w:t>
      </w:r>
    </w:p>
    <w:p>
      <w:pPr>
        <w:pStyle w:val="Indenti"/>
      </w:pPr>
      <w:r>
        <w:tab/>
        <w:t>(i)</w:t>
      </w:r>
      <w:r>
        <w:tab/>
        <w:t>the Corporations Law (as in force at any time before the commencement of the Corporations Act); or</w:t>
      </w:r>
    </w:p>
    <w:p>
      <w:pPr>
        <w:pStyle w:val="Indenti"/>
        <w:keepNext/>
      </w:pPr>
      <w:r>
        <w:tab/>
        <w:t>(ii)</w:t>
      </w:r>
      <w:r>
        <w:tab/>
        <w:t>the Corporations Act;</w:t>
      </w:r>
    </w:p>
    <w:p>
      <w:pPr>
        <w:pStyle w:val="Indenta"/>
      </w:pPr>
      <w:r>
        <w:tab/>
      </w:r>
      <w:r>
        <w:tab/>
        <w:t>or</w:t>
      </w:r>
    </w:p>
    <w:p>
      <w:pPr>
        <w:pStyle w:val="Indenta"/>
      </w:pPr>
      <w:r>
        <w:tab/>
        <w:t>(c)</w:t>
      </w:r>
      <w:r>
        <w:tab/>
      </w:r>
      <w:r>
        <w:rPr>
          <w:spacing w:val="-4"/>
        </w:rPr>
        <w:t>the Corporations Act contains a provision relating to a matter provided for by Schedule 5, the substance of which is not set out in Schedule 5,</w:t>
      </w:r>
    </w:p>
    <w:p>
      <w:pPr>
        <w:pStyle w:val="Subsection"/>
        <w:spacing w:before="180"/>
      </w:pPr>
      <w:r>
        <w:tab/>
      </w:r>
      <w:r>
        <w:tab/>
        <w:t>the Minister may recommend to the Governor, as soon as practicable after the circumstance in paragraph (a), (b) or (c) arises, that regulations be made under subsection (2).</w:t>
      </w:r>
    </w:p>
    <w:p>
      <w:pPr>
        <w:pStyle w:val="Subsection"/>
        <w:spacing w:before="180"/>
      </w:pPr>
      <w:r>
        <w:tab/>
        <w:t>(4)</w:t>
      </w:r>
      <w:r>
        <w:tab/>
        <w:t>The regulations are to be in such form that Schedule 5 as amended will, in the opinion of the Minister, be substantially the same as the corresponding provisions of the Corporations Act, but with such modifications as are consistent with the policy of this Act.</w:t>
      </w:r>
    </w:p>
    <w:p>
      <w:pPr>
        <w:pStyle w:val="Footnotesection"/>
        <w:ind w:left="890" w:hanging="890"/>
      </w:pPr>
      <w:r>
        <w:tab/>
        <w:t>[Section 91 amended by No. 10 of 2001 s. 159.]</w:t>
      </w:r>
    </w:p>
    <w:p>
      <w:pPr>
        <w:pStyle w:val="Heading3"/>
        <w:spacing w:before="260"/>
      </w:pPr>
      <w:bookmarkStart w:id="239" w:name="_Toc398890043"/>
      <w:bookmarkStart w:id="240" w:name="_Toc424284478"/>
      <w:r>
        <w:rPr>
          <w:rStyle w:val="CharDivNo"/>
        </w:rPr>
        <w:t>Division 6</w:t>
      </w:r>
      <w:r>
        <w:rPr>
          <w:snapToGrid w:val="0"/>
        </w:rPr>
        <w:t xml:space="preserve"> — </w:t>
      </w:r>
      <w:r>
        <w:rPr>
          <w:rStyle w:val="CharDivText"/>
        </w:rPr>
        <w:t>Financial targets</w:t>
      </w:r>
      <w:bookmarkEnd w:id="239"/>
      <w:bookmarkEnd w:id="240"/>
    </w:p>
    <w:p>
      <w:pPr>
        <w:pStyle w:val="Heading5"/>
        <w:spacing w:before="240"/>
        <w:rPr>
          <w:snapToGrid w:val="0"/>
        </w:rPr>
      </w:pPr>
      <w:bookmarkStart w:id="241" w:name="_Toc398890044"/>
      <w:bookmarkStart w:id="242" w:name="_Toc424284479"/>
      <w:r>
        <w:rPr>
          <w:rStyle w:val="CharSectno"/>
        </w:rPr>
        <w:t>92</w:t>
      </w:r>
      <w:r>
        <w:rPr>
          <w:snapToGrid w:val="0"/>
        </w:rPr>
        <w:t>.</w:t>
      </w:r>
      <w:r>
        <w:rPr>
          <w:snapToGrid w:val="0"/>
        </w:rPr>
        <w:tab/>
        <w:t>Annual financial targets, Minister may set</w:t>
      </w:r>
      <w:bookmarkEnd w:id="241"/>
      <w:bookmarkEnd w:id="242"/>
    </w:p>
    <w:p>
      <w:pPr>
        <w:pStyle w:val="Subsection"/>
        <w:spacing w:before="180"/>
        <w:rPr>
          <w:snapToGrid w:val="0"/>
        </w:rPr>
      </w:pPr>
      <w:r>
        <w:rPr>
          <w:snapToGrid w:val="0"/>
        </w:rPr>
        <w:tab/>
        <w:t>(1)</w:t>
      </w:r>
      <w:r>
        <w:rPr>
          <w:snapToGrid w:val="0"/>
        </w:rPr>
        <w:tab/>
        <w:t>The Minister, with the Treasurer’s concurrence, may, by written notice given to a port authority on or before 31 December preceding the start of a financial year, determine a financial target for the port authority for that financial year.</w:t>
      </w:r>
    </w:p>
    <w:p>
      <w:pPr>
        <w:pStyle w:val="Subsection"/>
        <w:spacing w:before="180"/>
        <w:rPr>
          <w:snapToGrid w:val="0"/>
        </w:rPr>
      </w:pPr>
      <w:r>
        <w:rPr>
          <w:snapToGrid w:val="0"/>
        </w:rPr>
        <w:tab/>
        <w:t>(2)</w:t>
      </w:r>
      <w:r>
        <w:rPr>
          <w:snapToGrid w:val="0"/>
        </w:rPr>
        <w:tab/>
        <w:t>If a port authority has a financial target for a financial year under subsection (1), the port authority must pursue a policy aimed at attaining the target, or the target as varied under subsection (4), during that financial year.</w:t>
      </w:r>
    </w:p>
    <w:p>
      <w:pPr>
        <w:pStyle w:val="Subsection"/>
        <w:spacing w:before="180"/>
        <w:rPr>
          <w:snapToGrid w:val="0"/>
        </w:rPr>
      </w:pPr>
      <w:r>
        <w:rPr>
          <w:snapToGrid w:val="0"/>
        </w:rPr>
        <w:tab/>
        <w:t>(3)</w:t>
      </w:r>
      <w:r>
        <w:rPr>
          <w:snapToGrid w:val="0"/>
        </w:rPr>
        <w:tab/>
        <w:t>A notice under subsection (1) has to describe the procedure to be used to ascertain whether or not the financial target will be, or has been attained.</w:t>
      </w:r>
    </w:p>
    <w:p>
      <w:pPr>
        <w:pStyle w:val="Subsection"/>
        <w:spacing w:before="180"/>
        <w:rPr>
          <w:snapToGrid w:val="0"/>
        </w:rPr>
      </w:pPr>
      <w:r>
        <w:rPr>
          <w:snapToGrid w:val="0"/>
        </w:rPr>
        <w:tab/>
        <w:t>(4)</w:t>
      </w:r>
      <w:r>
        <w:rPr>
          <w:snapToGrid w:val="0"/>
        </w:rPr>
        <w:tab/>
        <w:t>If a port authority has a financial target for a financial year under subsection (1), and during that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target; or</w:t>
      </w:r>
    </w:p>
    <w:p>
      <w:pPr>
        <w:pStyle w:val="Indenta"/>
        <w:rPr>
          <w:snapToGrid w:val="0"/>
        </w:rPr>
      </w:pPr>
      <w:r>
        <w:rPr>
          <w:snapToGrid w:val="0"/>
        </w:rPr>
        <w:tab/>
        <w:t>(b)</w:t>
      </w:r>
      <w:r>
        <w:rPr>
          <w:snapToGrid w:val="0"/>
        </w:rPr>
        <w:tab/>
        <w:t>likely that the port authority will exceed the target,</w:t>
      </w:r>
    </w:p>
    <w:p>
      <w:pPr>
        <w:pStyle w:val="Subsection"/>
        <w:rPr>
          <w:snapToGrid w:val="0"/>
        </w:rPr>
      </w:pPr>
      <w:r>
        <w:rPr>
          <w:snapToGrid w:val="0"/>
        </w:rPr>
        <w:tab/>
      </w:r>
      <w:r>
        <w:rPr>
          <w:snapToGrid w:val="0"/>
        </w:rPr>
        <w:tab/>
        <w:t>the Minister may, with the Treasurer’s concurrence, vary the target by written notice given to the port authority.</w:t>
      </w:r>
    </w:p>
    <w:p>
      <w:pPr>
        <w:pStyle w:val="Heading2"/>
      </w:pPr>
      <w:bookmarkStart w:id="243" w:name="_Toc398890045"/>
      <w:bookmarkStart w:id="244" w:name="_Toc424284480"/>
      <w:r>
        <w:rPr>
          <w:rStyle w:val="CharPartNo"/>
        </w:rPr>
        <w:t>Part 7</w:t>
      </w:r>
      <w:r>
        <w:t xml:space="preserve"> — </w:t>
      </w:r>
      <w:r>
        <w:rPr>
          <w:rStyle w:val="CharPartText"/>
        </w:rPr>
        <w:t>Navigation and port matters</w:t>
      </w:r>
      <w:bookmarkEnd w:id="243"/>
      <w:bookmarkEnd w:id="244"/>
      <w:r>
        <w:rPr>
          <w:rStyle w:val="CharPartText"/>
        </w:rPr>
        <w:t xml:space="preserve"> </w:t>
      </w:r>
    </w:p>
    <w:p>
      <w:pPr>
        <w:pStyle w:val="Heading3"/>
        <w:spacing w:before="180"/>
      </w:pPr>
      <w:bookmarkStart w:id="245" w:name="_Toc398890046"/>
      <w:bookmarkStart w:id="246" w:name="_Toc424284481"/>
      <w:r>
        <w:rPr>
          <w:rStyle w:val="CharDivNo"/>
        </w:rPr>
        <w:t>Division 1</w:t>
      </w:r>
      <w:r>
        <w:t xml:space="preserve"> — </w:t>
      </w:r>
      <w:r>
        <w:rPr>
          <w:rStyle w:val="CharDivText"/>
        </w:rPr>
        <w:t>Navigational aids</w:t>
      </w:r>
      <w:bookmarkEnd w:id="245"/>
      <w:bookmarkEnd w:id="246"/>
    </w:p>
    <w:p>
      <w:pPr>
        <w:pStyle w:val="Heading5"/>
        <w:rPr>
          <w:snapToGrid w:val="0"/>
        </w:rPr>
      </w:pPr>
      <w:bookmarkStart w:id="247" w:name="_Toc398890047"/>
      <w:bookmarkStart w:id="248" w:name="_Toc424284482"/>
      <w:r>
        <w:rPr>
          <w:rStyle w:val="CharSectno"/>
        </w:rPr>
        <w:t>93</w:t>
      </w:r>
      <w:r>
        <w:rPr>
          <w:snapToGrid w:val="0"/>
        </w:rPr>
        <w:t>.</w:t>
      </w:r>
      <w:r>
        <w:rPr>
          <w:snapToGrid w:val="0"/>
        </w:rPr>
        <w:tab/>
        <w:t>Port authority may provide etc. navigational aids etc.</w:t>
      </w:r>
      <w:bookmarkEnd w:id="247"/>
      <w:bookmarkEnd w:id="248"/>
    </w:p>
    <w:p>
      <w:pPr>
        <w:pStyle w:val="Subsection"/>
        <w:rPr>
          <w:snapToGrid w:val="0"/>
        </w:rPr>
      </w:pPr>
      <w:r>
        <w:rPr>
          <w:snapToGrid w:val="0"/>
        </w:rPr>
        <w:tab/>
        <w:t>(1)</w:t>
      </w:r>
      <w:r>
        <w:rPr>
          <w:snapToGrid w:val="0"/>
        </w:rPr>
        <w:tab/>
        <w:t>A port authority may — </w:t>
      </w:r>
    </w:p>
    <w:p>
      <w:pPr>
        <w:pStyle w:val="Indenta"/>
        <w:rPr>
          <w:snapToGrid w:val="0"/>
        </w:rPr>
      </w:pPr>
      <w:r>
        <w:rPr>
          <w:snapToGrid w:val="0"/>
        </w:rPr>
        <w:tab/>
        <w:t>(a)</w:t>
      </w:r>
      <w:r>
        <w:rPr>
          <w:snapToGrid w:val="0"/>
        </w:rPr>
        <w:tab/>
        <w:t>provide navigational aids for the port; or</w:t>
      </w:r>
    </w:p>
    <w:p>
      <w:pPr>
        <w:pStyle w:val="Indenta"/>
      </w:pPr>
      <w:r>
        <w:rPr>
          <w:snapToGrid w:val="0"/>
        </w:rPr>
        <w:tab/>
        <w:t>(b)</w:t>
      </w:r>
      <w:r>
        <w:rPr>
          <w:snapToGrid w:val="0"/>
        </w:rPr>
        <w:tab/>
      </w:r>
      <w:r>
        <w:t>agree to take over the control of a navigational aid for the port; or</w:t>
      </w:r>
    </w:p>
    <w:p>
      <w:pPr>
        <w:pStyle w:val="Indenta"/>
        <w:rPr>
          <w:snapToGrid w:val="0"/>
        </w:rPr>
      </w:pPr>
      <w:r>
        <w:rPr>
          <w:snapToGrid w:val="0"/>
        </w:rPr>
        <w:tab/>
        <w:t>(c)</w:t>
      </w:r>
      <w:r>
        <w:rPr>
          <w:snapToGrid w:val="0"/>
        </w:rPr>
        <w:tab/>
        <w:t>maintain, move, remove, discontinue or replace any navigational aid provided by or under the control of the port authority; or</w:t>
      </w:r>
    </w:p>
    <w:p>
      <w:pPr>
        <w:pStyle w:val="Indenta"/>
        <w:rPr>
          <w:snapToGrid w:val="0"/>
        </w:rPr>
      </w:pPr>
      <w:r>
        <w:rPr>
          <w:snapToGrid w:val="0"/>
        </w:rPr>
        <w:tab/>
        <w:t>(d)</w:t>
      </w:r>
      <w:r>
        <w:rPr>
          <w:snapToGrid w:val="0"/>
        </w:rPr>
        <w:tab/>
        <w:t>vary the character of, or the mode of display or operation of, any navigational aid provided by or under the control of the port authority.</w:t>
      </w:r>
    </w:p>
    <w:p>
      <w:pPr>
        <w:pStyle w:val="Subsection"/>
      </w:pPr>
      <w:r>
        <w:rPr>
          <w:snapToGrid w:val="0"/>
        </w:rPr>
        <w:tab/>
        <w:t>(2)</w:t>
      </w:r>
      <w:r>
        <w:rPr>
          <w:snapToGrid w:val="0"/>
        </w:rPr>
        <w:tab/>
      </w:r>
      <w:r>
        <w:t>If a port authority enters into an agreement under subsection (1)(b), provision is to be made in the agreement for the payment from time to time of the expense incurred in the exercise of the powers conferred by subsection (1)(c) or (d).</w:t>
      </w:r>
    </w:p>
    <w:p>
      <w:pPr>
        <w:pStyle w:val="Subsection"/>
      </w:pPr>
      <w:r>
        <w:tab/>
        <w:t>(3)</w:t>
      </w:r>
      <w:r>
        <w:tab/>
        <w:t>A person to whom this subsection applies is not liable for any loss or damage resulting from —</w:t>
      </w:r>
    </w:p>
    <w:p>
      <w:pPr>
        <w:pStyle w:val="Indenta"/>
      </w:pPr>
      <w:r>
        <w:tab/>
        <w:t>(a)</w:t>
      </w:r>
      <w:r>
        <w:tab/>
        <w:t>a thing done or omitted to be done in good faith in relation to a navigational aid for a port; or</w:t>
      </w:r>
    </w:p>
    <w:p>
      <w:pPr>
        <w:pStyle w:val="Indenta"/>
      </w:pPr>
      <w:r>
        <w:tab/>
        <w:t>(b)</w:t>
      </w:r>
      <w:r>
        <w:tab/>
        <w:t>any defect in, or in the placing or operation of, a navigational aid for a port.</w:t>
      </w:r>
    </w:p>
    <w:p>
      <w:pPr>
        <w:pStyle w:val="Subsection"/>
      </w:pPr>
      <w:r>
        <w:tab/>
        <w:t>(4)</w:t>
      </w:r>
      <w:r>
        <w:tab/>
        <w:t>Subsection (3) applies to —</w:t>
      </w:r>
    </w:p>
    <w:p>
      <w:pPr>
        <w:pStyle w:val="Indenta"/>
      </w:pPr>
      <w:r>
        <w:tab/>
        <w:t>(a)</w:t>
      </w:r>
      <w:r>
        <w:tab/>
        <w:t>the State; and</w:t>
      </w:r>
    </w:p>
    <w:p>
      <w:pPr>
        <w:pStyle w:val="Indenta"/>
      </w:pPr>
      <w:r>
        <w:tab/>
        <w:t>(b)</w:t>
      </w:r>
      <w:r>
        <w:tab/>
        <w:t>the port authority; and</w:t>
      </w:r>
    </w:p>
    <w:p>
      <w:pPr>
        <w:pStyle w:val="Indenta"/>
      </w:pPr>
      <w:r>
        <w:tab/>
        <w:t>(c)</w:t>
      </w:r>
      <w:r>
        <w:tab/>
        <w:t>the CEO and members of staff of the port authority; and</w:t>
      </w:r>
    </w:p>
    <w:p>
      <w:pPr>
        <w:pStyle w:val="Indenta"/>
      </w:pPr>
      <w:r>
        <w:tab/>
        <w:t>(d)</w:t>
      </w:r>
      <w:r>
        <w:tab/>
        <w:t>if the control of the navigational aid has been taken over by the port authority under an agreement under subsection (1)(b), a person who is or was the owner, lessee or bailee of the navigational aid.</w:t>
      </w:r>
    </w:p>
    <w:p>
      <w:pPr>
        <w:pStyle w:val="Heading5"/>
        <w:rPr>
          <w:snapToGrid w:val="0"/>
        </w:rPr>
      </w:pPr>
      <w:bookmarkStart w:id="249" w:name="_Toc398890048"/>
      <w:bookmarkStart w:id="250" w:name="_Toc424284483"/>
      <w:r>
        <w:rPr>
          <w:rStyle w:val="CharSectno"/>
        </w:rPr>
        <w:t>94</w:t>
      </w:r>
      <w:r>
        <w:rPr>
          <w:snapToGrid w:val="0"/>
        </w:rPr>
        <w:t>.</w:t>
      </w:r>
      <w:r>
        <w:rPr>
          <w:snapToGrid w:val="0"/>
        </w:rPr>
        <w:tab/>
        <w:t>Interference with navigational aids, offence</w:t>
      </w:r>
      <w:bookmarkEnd w:id="249"/>
      <w:bookmarkEnd w:id="250"/>
    </w:p>
    <w:p>
      <w:pPr>
        <w:pStyle w:val="Subsection"/>
        <w:rPr>
          <w:snapToGrid w:val="0"/>
        </w:rPr>
      </w:pPr>
      <w:r>
        <w:rPr>
          <w:snapToGrid w:val="0"/>
        </w:rPr>
        <w:tab/>
        <w:t>(1)</w:t>
      </w:r>
      <w:r>
        <w:rPr>
          <w:snapToGrid w:val="0"/>
        </w:rPr>
        <w:tab/>
        <w:t>A person must not, without lawful excuse (proof of which lies on the person) do any of the following things in relation to a navigational aid for a port — </w:t>
      </w:r>
    </w:p>
    <w:p>
      <w:pPr>
        <w:pStyle w:val="Indenta"/>
        <w:rPr>
          <w:snapToGrid w:val="0"/>
        </w:rPr>
      </w:pPr>
      <w:r>
        <w:rPr>
          <w:snapToGrid w:val="0"/>
        </w:rPr>
        <w:tab/>
        <w:t>(a)</w:t>
      </w:r>
      <w:r>
        <w:rPr>
          <w:snapToGrid w:val="0"/>
        </w:rPr>
        <w:tab/>
        <w:t>damage it;</w:t>
      </w:r>
    </w:p>
    <w:p>
      <w:pPr>
        <w:pStyle w:val="Indenta"/>
        <w:rPr>
          <w:snapToGrid w:val="0"/>
        </w:rPr>
      </w:pPr>
      <w:r>
        <w:rPr>
          <w:snapToGrid w:val="0"/>
        </w:rPr>
        <w:tab/>
        <w:t>(b)</w:t>
      </w:r>
      <w:r>
        <w:rPr>
          <w:snapToGrid w:val="0"/>
        </w:rPr>
        <w:tab/>
        <w:t>make a vessel fast to it or otherwise use a vessel in a way that might damage it;</w:t>
      </w:r>
    </w:p>
    <w:p>
      <w:pPr>
        <w:pStyle w:val="Indenta"/>
        <w:rPr>
          <w:snapToGrid w:val="0"/>
        </w:rPr>
      </w:pPr>
      <w:r>
        <w:rPr>
          <w:snapToGrid w:val="0"/>
        </w:rPr>
        <w:tab/>
        <w:t>(c)</w:t>
      </w:r>
      <w:r>
        <w:rPr>
          <w:snapToGrid w:val="0"/>
        </w:rPr>
        <w:tab/>
        <w:t>obstruct or interfere with its display or operation;</w:t>
      </w:r>
    </w:p>
    <w:p>
      <w:pPr>
        <w:pStyle w:val="Indenta"/>
        <w:rPr>
          <w:snapToGrid w:val="0"/>
        </w:rPr>
      </w:pPr>
      <w:r>
        <w:rPr>
          <w:snapToGrid w:val="0"/>
        </w:rPr>
        <w:tab/>
        <w:t>(d)</w:t>
      </w:r>
      <w:r>
        <w:rPr>
          <w:snapToGrid w:val="0"/>
        </w:rPr>
        <w:tab/>
        <w:t xml:space="preserve">obstruct or interfere with any emission or transmission from it. </w:t>
      </w:r>
    </w:p>
    <w:p>
      <w:pPr>
        <w:pStyle w:val="Penstart"/>
        <w:rPr>
          <w:snapToGrid w:val="0"/>
        </w:rPr>
      </w:pPr>
      <w:r>
        <w:rPr>
          <w:snapToGrid w:val="0"/>
        </w:rPr>
        <w:tab/>
        <w:t>Penalty: $20 000 or imprisonment for 20 months.</w:t>
      </w:r>
    </w:p>
    <w:p>
      <w:pPr>
        <w:pStyle w:val="Subsection"/>
        <w:rPr>
          <w:snapToGrid w:val="0"/>
        </w:rPr>
      </w:pPr>
      <w:r>
        <w:rPr>
          <w:snapToGrid w:val="0"/>
        </w:rPr>
        <w:tab/>
        <w:t>(2)</w:t>
      </w:r>
      <w:r>
        <w:rPr>
          <w:snapToGrid w:val="0"/>
        </w:rPr>
        <w:tab/>
        <w:t>A person who is convicted of an offence under subsection (1)(a) is liable, in addition to suffering any penalty imposed in respect of that offence, to pay to the port authority for the port all expenses reasonably incurred by the port authority in making good the damage and the port authority may recover those expenses from that person in a court of competent jurisdiction as a debt due to the port authority.</w:t>
      </w:r>
    </w:p>
    <w:p>
      <w:pPr>
        <w:pStyle w:val="Subsection"/>
        <w:rPr>
          <w:snapToGrid w:val="0"/>
        </w:rPr>
      </w:pPr>
      <w:r>
        <w:rPr>
          <w:snapToGrid w:val="0"/>
        </w:rPr>
        <w:tab/>
        <w:t>(3)</w:t>
      </w:r>
      <w:r>
        <w:rPr>
          <w:snapToGrid w:val="0"/>
        </w:rPr>
        <w:tab/>
        <w:t>Subsection (2) does not affect the operation of section 113 in relation to damage to which that section applies.</w:t>
      </w:r>
    </w:p>
    <w:p>
      <w:pPr>
        <w:pStyle w:val="Heading3"/>
      </w:pPr>
      <w:bookmarkStart w:id="251" w:name="_Toc398890049"/>
      <w:bookmarkStart w:id="252" w:name="_Toc424284484"/>
      <w:r>
        <w:rPr>
          <w:rStyle w:val="CharDivNo"/>
        </w:rPr>
        <w:t>Division 2</w:t>
      </w:r>
      <w:r>
        <w:rPr>
          <w:snapToGrid w:val="0"/>
        </w:rPr>
        <w:t xml:space="preserve"> — </w:t>
      </w:r>
      <w:r>
        <w:rPr>
          <w:rStyle w:val="CharDivText"/>
        </w:rPr>
        <w:t>Pilotage</w:t>
      </w:r>
      <w:bookmarkEnd w:id="251"/>
      <w:bookmarkEnd w:id="252"/>
      <w:r>
        <w:rPr>
          <w:rStyle w:val="CharDivText"/>
        </w:rPr>
        <w:t xml:space="preserve"> </w:t>
      </w:r>
    </w:p>
    <w:p>
      <w:pPr>
        <w:pStyle w:val="Heading5"/>
        <w:rPr>
          <w:snapToGrid w:val="0"/>
        </w:rPr>
      </w:pPr>
      <w:bookmarkStart w:id="253" w:name="_Toc398890050"/>
      <w:bookmarkStart w:id="254" w:name="_Toc424284485"/>
      <w:r>
        <w:rPr>
          <w:rStyle w:val="CharSectno"/>
        </w:rPr>
        <w:t>95</w:t>
      </w:r>
      <w:r>
        <w:rPr>
          <w:snapToGrid w:val="0"/>
        </w:rPr>
        <w:t>.</w:t>
      </w:r>
      <w:r>
        <w:rPr>
          <w:snapToGrid w:val="0"/>
        </w:rPr>
        <w:tab/>
        <w:t>Terms used in, and application of, this Division</w:t>
      </w:r>
      <w:bookmarkEnd w:id="253"/>
      <w:bookmarkEnd w:id="254"/>
      <w:r>
        <w:rPr>
          <w:snapToGrid w:val="0"/>
        </w:rPr>
        <w:t xml:space="preserve"> </w:t>
      </w:r>
    </w:p>
    <w:p>
      <w:pPr>
        <w:pStyle w:val="Subsection"/>
        <w:keepNext/>
        <w:rPr>
          <w:snapToGrid w:val="0"/>
        </w:rPr>
      </w:pPr>
      <w:r>
        <w:rPr>
          <w:snapToGrid w:val="0"/>
        </w:rPr>
        <w:tab/>
        <w:t>(1)</w:t>
      </w:r>
      <w:r>
        <w:rPr>
          <w:snapToGrid w:val="0"/>
        </w:rPr>
        <w:tab/>
        <w:t>In this Division — </w:t>
      </w:r>
    </w:p>
    <w:p>
      <w:pPr>
        <w:pStyle w:val="Defstart"/>
      </w:pPr>
      <w:r>
        <w:rPr>
          <w:b/>
        </w:rPr>
        <w:tab/>
      </w:r>
      <w:r>
        <w:rPr>
          <w:rStyle w:val="CharDefText"/>
        </w:rPr>
        <w:t>approved</w:t>
      </w:r>
      <w:r>
        <w:t>, in relation to a pilot, means approved under section 96;</w:t>
      </w:r>
    </w:p>
    <w:p>
      <w:pPr>
        <w:pStyle w:val="Defstart"/>
      </w:pPr>
      <w:r>
        <w:rPr>
          <w:b/>
        </w:rPr>
        <w:tab/>
      </w:r>
      <w:r>
        <w:rPr>
          <w:rStyle w:val="CharDefText"/>
        </w:rPr>
        <w:t>under compulsory pilotage</w:t>
      </w:r>
      <w:r>
        <w:t>, in relation to a vessel, means under the control of a pilot as required by section 97.</w:t>
      </w:r>
    </w:p>
    <w:p>
      <w:pPr>
        <w:pStyle w:val="Subsection"/>
        <w:rPr>
          <w:snapToGrid w:val="0"/>
        </w:rPr>
      </w:pPr>
      <w:r>
        <w:rPr>
          <w:snapToGrid w:val="0"/>
        </w:rPr>
        <w:tab/>
        <w:t>(2)</w:t>
      </w:r>
      <w:r>
        <w:rPr>
          <w:snapToGrid w:val="0"/>
        </w:rPr>
        <w:tab/>
        <w:t>A reference in this Division to a port includes a reference to any area that is outside the port and is declared by the regulations to be associated with the port and to be an area in which pilotage services are to be used.</w:t>
      </w:r>
    </w:p>
    <w:p>
      <w:pPr>
        <w:pStyle w:val="Subsection"/>
        <w:rPr>
          <w:snapToGrid w:val="0"/>
        </w:rPr>
      </w:pPr>
      <w:r>
        <w:rPr>
          <w:snapToGrid w:val="0"/>
        </w:rPr>
        <w:tab/>
        <w:t>(3)</w:t>
      </w:r>
      <w:r>
        <w:rPr>
          <w:snapToGrid w:val="0"/>
        </w:rPr>
        <w:tab/>
        <w:t>This Division applies to vessels — </w:t>
      </w:r>
    </w:p>
    <w:p>
      <w:pPr>
        <w:pStyle w:val="Indenta"/>
        <w:rPr>
          <w:snapToGrid w:val="0"/>
        </w:rPr>
      </w:pPr>
      <w:r>
        <w:rPr>
          <w:snapToGrid w:val="0"/>
        </w:rPr>
        <w:tab/>
        <w:t>(a)</w:t>
      </w:r>
      <w:r>
        <w:rPr>
          <w:snapToGrid w:val="0"/>
        </w:rPr>
        <w:tab/>
        <w:t>moving in a port in the course of entering or leaving the port; or</w:t>
      </w:r>
    </w:p>
    <w:p>
      <w:pPr>
        <w:pStyle w:val="Indenta"/>
        <w:rPr>
          <w:snapToGrid w:val="0"/>
        </w:rPr>
      </w:pPr>
      <w:r>
        <w:rPr>
          <w:snapToGrid w:val="0"/>
        </w:rPr>
        <w:tab/>
        <w:t>(b)</w:t>
      </w:r>
      <w:r>
        <w:rPr>
          <w:snapToGrid w:val="0"/>
        </w:rPr>
        <w:tab/>
        <w:t>moving between places in a port.</w:t>
      </w:r>
    </w:p>
    <w:p>
      <w:pPr>
        <w:pStyle w:val="Heading5"/>
        <w:rPr>
          <w:snapToGrid w:val="0"/>
        </w:rPr>
      </w:pPr>
      <w:bookmarkStart w:id="255" w:name="_Toc398890051"/>
      <w:bookmarkStart w:id="256" w:name="_Toc424284486"/>
      <w:r>
        <w:rPr>
          <w:rStyle w:val="CharSectno"/>
        </w:rPr>
        <w:t>96</w:t>
      </w:r>
      <w:r>
        <w:rPr>
          <w:snapToGrid w:val="0"/>
        </w:rPr>
        <w:t>.</w:t>
      </w:r>
      <w:r>
        <w:rPr>
          <w:snapToGrid w:val="0"/>
        </w:rPr>
        <w:tab/>
        <w:t>Port authority to approve pilots and ensure pilotage services are provided</w:t>
      </w:r>
      <w:bookmarkEnd w:id="255"/>
      <w:bookmarkEnd w:id="256"/>
    </w:p>
    <w:p>
      <w:pPr>
        <w:pStyle w:val="Subsection"/>
        <w:rPr>
          <w:snapToGrid w:val="0"/>
        </w:rPr>
      </w:pPr>
      <w:r>
        <w:rPr>
          <w:snapToGrid w:val="0"/>
        </w:rPr>
        <w:tab/>
        <w:t>(1)</w:t>
      </w:r>
      <w:r>
        <w:rPr>
          <w:snapToGrid w:val="0"/>
        </w:rPr>
        <w:tab/>
        <w:t>A port authority may approve a competent and suitably qualified person as a pilot for the port and is to ensure that there is at all times at least one approved pilot for the port.</w:t>
      </w:r>
    </w:p>
    <w:p>
      <w:pPr>
        <w:pStyle w:val="Subsection"/>
        <w:rPr>
          <w:snapToGrid w:val="0"/>
        </w:rPr>
      </w:pPr>
      <w:r>
        <w:rPr>
          <w:snapToGrid w:val="0"/>
        </w:rPr>
        <w:tab/>
        <w:t>(2)</w:t>
      </w:r>
      <w:r>
        <w:rPr>
          <w:snapToGrid w:val="0"/>
        </w:rPr>
        <w:tab/>
        <w:t>An approval under subsection (1) has effect for the period set out in the approval unless it is revoked by the port authority before that period ends.</w:t>
      </w:r>
    </w:p>
    <w:p>
      <w:pPr>
        <w:pStyle w:val="Subsection"/>
        <w:rPr>
          <w:snapToGrid w:val="0"/>
        </w:rPr>
      </w:pPr>
      <w:r>
        <w:rPr>
          <w:snapToGrid w:val="0"/>
        </w:rPr>
        <w:tab/>
        <w:t>(3)</w:t>
      </w:r>
      <w:r>
        <w:rPr>
          <w:snapToGrid w:val="0"/>
        </w:rPr>
        <w:tab/>
        <w:t>An approval under subsection (1), or any revocation of such an approval, is to be in writing.</w:t>
      </w:r>
    </w:p>
    <w:p>
      <w:pPr>
        <w:pStyle w:val="Subsection"/>
        <w:rPr>
          <w:snapToGrid w:val="0"/>
        </w:rPr>
      </w:pPr>
      <w:r>
        <w:rPr>
          <w:snapToGrid w:val="0"/>
        </w:rPr>
        <w:tab/>
        <w:t>(4)</w:t>
      </w:r>
      <w:r>
        <w:rPr>
          <w:snapToGrid w:val="0"/>
        </w:rPr>
        <w:tab/>
        <w:t>No person is to act as a pilot in a port unless the person is approved as a pilot for the port.</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port authority is responsible for ensuring that pilotage services are provided in its port — </w:t>
      </w:r>
    </w:p>
    <w:p>
      <w:pPr>
        <w:pStyle w:val="Indenta"/>
        <w:rPr>
          <w:snapToGrid w:val="0"/>
        </w:rPr>
      </w:pPr>
      <w:r>
        <w:rPr>
          <w:snapToGrid w:val="0"/>
        </w:rPr>
        <w:tab/>
        <w:t>(a)</w:t>
      </w:r>
      <w:r>
        <w:rPr>
          <w:snapToGrid w:val="0"/>
        </w:rPr>
        <w:tab/>
        <w:t>by the port authority; or</w:t>
      </w:r>
    </w:p>
    <w:p>
      <w:pPr>
        <w:pStyle w:val="Indenta"/>
        <w:rPr>
          <w:snapToGrid w:val="0"/>
        </w:rPr>
      </w:pPr>
      <w:r>
        <w:rPr>
          <w:snapToGrid w:val="0"/>
        </w:rPr>
        <w:tab/>
        <w:t>(b)</w:t>
      </w:r>
      <w:r>
        <w:rPr>
          <w:snapToGrid w:val="0"/>
        </w:rPr>
        <w:tab/>
        <w:t>if regulations under section 143 provide that a person providing pilotage services in the port needs a licence referred to in that section, by a person who holds such a licence; or</w:t>
      </w:r>
    </w:p>
    <w:p>
      <w:pPr>
        <w:pStyle w:val="Indenta"/>
        <w:rPr>
          <w:snapToGrid w:val="0"/>
        </w:rPr>
      </w:pPr>
      <w:r>
        <w:rPr>
          <w:snapToGrid w:val="0"/>
        </w:rPr>
        <w:tab/>
        <w:t>(c)</w:t>
      </w:r>
      <w:r>
        <w:rPr>
          <w:snapToGrid w:val="0"/>
        </w:rPr>
        <w:tab/>
        <w:t>partly under paragraph (a) and partly under paragraph (b).</w:t>
      </w:r>
    </w:p>
    <w:p>
      <w:pPr>
        <w:pStyle w:val="Subsection"/>
        <w:rPr>
          <w:snapToGrid w:val="0"/>
        </w:rPr>
      </w:pPr>
      <w:r>
        <w:rPr>
          <w:snapToGrid w:val="0"/>
        </w:rPr>
        <w:tab/>
        <w:t>(6)</w:t>
      </w:r>
      <w:r>
        <w:rPr>
          <w:snapToGrid w:val="0"/>
        </w:rPr>
        <w:tab/>
        <w:t>A reference in subsection (5) to pilotage services provided by the port authority includes a reference to pilotage services provided under a contract or arrangement under section 35(2).</w:t>
      </w:r>
    </w:p>
    <w:p>
      <w:pPr>
        <w:pStyle w:val="Subsection"/>
        <w:rPr>
          <w:snapToGrid w:val="0"/>
        </w:rPr>
      </w:pPr>
      <w:r>
        <w:rPr>
          <w:snapToGrid w:val="0"/>
        </w:rPr>
        <w:tab/>
        <w:t>(7)</w:t>
      </w:r>
      <w:r>
        <w:rPr>
          <w:snapToGrid w:val="0"/>
        </w:rPr>
        <w:tab/>
      </w:r>
      <w:r>
        <w:t xml:space="preserve">Subject to subsection (8), </w:t>
      </w:r>
      <w:r>
        <w:rPr>
          <w:snapToGrid w:val="0"/>
        </w:rPr>
        <w:t>any charges for pilotage services provided in a port — </w:t>
      </w:r>
    </w:p>
    <w:p>
      <w:pPr>
        <w:pStyle w:val="Indenta"/>
        <w:rPr>
          <w:snapToGrid w:val="0"/>
        </w:rPr>
      </w:pPr>
      <w:r>
        <w:rPr>
          <w:snapToGrid w:val="0"/>
        </w:rPr>
        <w:tab/>
        <w:t>(a)</w:t>
      </w:r>
      <w:r>
        <w:rPr>
          <w:snapToGrid w:val="0"/>
        </w:rPr>
        <w:tab/>
        <w:t>are to be determined</w:t>
      </w:r>
      <w:r>
        <w:t xml:space="preserve"> under section 37; and</w:t>
      </w:r>
    </w:p>
    <w:p>
      <w:pPr>
        <w:pStyle w:val="Indenta"/>
        <w:rPr>
          <w:snapToGrid w:val="0"/>
        </w:rPr>
      </w:pPr>
      <w:r>
        <w:rPr>
          <w:snapToGrid w:val="0"/>
        </w:rPr>
        <w:tab/>
        <w:t>(b)</w:t>
      </w:r>
      <w:r>
        <w:rPr>
          <w:snapToGrid w:val="0"/>
        </w:rPr>
        <w:tab/>
        <w:t>are to be paid to the port authority, irrespective of how or by whom they are provided.</w:t>
      </w:r>
    </w:p>
    <w:p>
      <w:pPr>
        <w:pStyle w:val="Subsection"/>
        <w:rPr>
          <w:snapToGrid w:val="0"/>
        </w:rPr>
      </w:pPr>
      <w:r>
        <w:rPr>
          <w:snapToGrid w:val="0"/>
        </w:rPr>
        <w:tab/>
        <w:t>(8)</w:t>
      </w:r>
      <w:r>
        <w:rPr>
          <w:snapToGrid w:val="0"/>
        </w:rPr>
        <w:tab/>
        <w:t>If regulations under section 143 provide that a person providing pilotage services in the port needs a licence referred to in that section, subsection (7) does not apply in relation to pilotage services provided by a person who holds such a licence.</w:t>
      </w:r>
    </w:p>
    <w:p>
      <w:pPr>
        <w:pStyle w:val="Footnotesection"/>
        <w:ind w:left="890" w:hanging="890"/>
      </w:pPr>
      <w:r>
        <w:tab/>
        <w:t>[Section 96 amended by No. 9 of 2014 s. 23.]</w:t>
      </w:r>
    </w:p>
    <w:p>
      <w:pPr>
        <w:pStyle w:val="Heading5"/>
        <w:rPr>
          <w:snapToGrid w:val="0"/>
        </w:rPr>
      </w:pPr>
      <w:bookmarkStart w:id="257" w:name="_Toc398890052"/>
      <w:bookmarkStart w:id="258" w:name="_Toc424284487"/>
      <w:r>
        <w:rPr>
          <w:rStyle w:val="CharSectno"/>
        </w:rPr>
        <w:t>97</w:t>
      </w:r>
      <w:r>
        <w:rPr>
          <w:snapToGrid w:val="0"/>
        </w:rPr>
        <w:t>.</w:t>
      </w:r>
      <w:r>
        <w:rPr>
          <w:snapToGrid w:val="0"/>
        </w:rPr>
        <w:tab/>
        <w:t>Pilotage compulsory in ports</w:t>
      </w:r>
      <w:bookmarkEnd w:id="257"/>
      <w:bookmarkEnd w:id="258"/>
      <w:r>
        <w:rPr>
          <w:snapToGrid w:val="0"/>
        </w:rPr>
        <w:t xml:space="preserve"> </w:t>
      </w:r>
    </w:p>
    <w:p>
      <w:pPr>
        <w:pStyle w:val="Subsection"/>
        <w:rPr>
          <w:snapToGrid w:val="0"/>
        </w:rPr>
      </w:pPr>
      <w:r>
        <w:rPr>
          <w:snapToGrid w:val="0"/>
        </w:rPr>
        <w:tab/>
        <w:t>(1)</w:t>
      </w:r>
      <w:r>
        <w:rPr>
          <w:snapToGrid w:val="0"/>
        </w:rPr>
        <w:tab/>
        <w:t>Except as otherwise provided by the regulations, a vessel moving in a port must use pilotage services.</w:t>
      </w:r>
    </w:p>
    <w:p>
      <w:pPr>
        <w:pStyle w:val="Subsection"/>
        <w:rPr>
          <w:snapToGrid w:val="0"/>
        </w:rPr>
      </w:pPr>
      <w:r>
        <w:rPr>
          <w:snapToGrid w:val="0"/>
        </w:rPr>
        <w:tab/>
        <w:t>(2)</w:t>
      </w:r>
      <w:r>
        <w:rPr>
          <w:snapToGrid w:val="0"/>
        </w:rPr>
        <w:tab/>
        <w:t>A person who moves a vessel in a port without it being under the control of a person approved as a pilot for the port commits an offence unless under the regulations — </w:t>
      </w:r>
    </w:p>
    <w:p>
      <w:pPr>
        <w:pStyle w:val="Indenta"/>
        <w:rPr>
          <w:snapToGrid w:val="0"/>
        </w:rPr>
      </w:pPr>
      <w:r>
        <w:rPr>
          <w:snapToGrid w:val="0"/>
        </w:rPr>
        <w:tab/>
        <w:t>(a)</w:t>
      </w:r>
      <w:r>
        <w:rPr>
          <w:snapToGrid w:val="0"/>
        </w:rPr>
        <w:tab/>
        <w:t>the vessel does not have to have an approved pilot; or</w:t>
      </w:r>
    </w:p>
    <w:p>
      <w:pPr>
        <w:pStyle w:val="Indenta"/>
        <w:rPr>
          <w:snapToGrid w:val="0"/>
        </w:rPr>
      </w:pPr>
      <w:r>
        <w:rPr>
          <w:snapToGrid w:val="0"/>
        </w:rPr>
        <w:tab/>
        <w:t>(b)</w:t>
      </w:r>
      <w:r>
        <w:rPr>
          <w:snapToGrid w:val="0"/>
        </w:rPr>
        <w:tab/>
        <w:t>the person is permitted to do so.</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vessel is being moved in a port without it being under the control of a person approved as a pilot for the port, neither the State nor the port authority is liable for — </w:t>
      </w:r>
    </w:p>
    <w:p>
      <w:pPr>
        <w:pStyle w:val="Indenta"/>
        <w:rPr>
          <w:snapToGrid w:val="0"/>
        </w:rPr>
      </w:pPr>
      <w:r>
        <w:rPr>
          <w:snapToGrid w:val="0"/>
        </w:rPr>
        <w:tab/>
        <w:t>(a)</w:t>
      </w:r>
      <w:r>
        <w:rPr>
          <w:snapToGrid w:val="0"/>
        </w:rPr>
        <w:tab/>
        <w:t>any loss or damage caused by the vessel; or</w:t>
      </w:r>
    </w:p>
    <w:p>
      <w:pPr>
        <w:pStyle w:val="Indenta"/>
        <w:rPr>
          <w:snapToGrid w:val="0"/>
        </w:rPr>
      </w:pPr>
      <w:r>
        <w:rPr>
          <w:snapToGrid w:val="0"/>
        </w:rPr>
        <w:tab/>
        <w:t>(b)</w:t>
      </w:r>
      <w:r>
        <w:rPr>
          <w:snapToGrid w:val="0"/>
        </w:rPr>
        <w:tab/>
        <w:t>the loss of, or damage to, the vessel or a thing in or on the vessel,</w:t>
      </w:r>
    </w:p>
    <w:p>
      <w:pPr>
        <w:pStyle w:val="Subsection"/>
        <w:rPr>
          <w:snapToGrid w:val="0"/>
        </w:rPr>
      </w:pPr>
      <w:r>
        <w:rPr>
          <w:snapToGrid w:val="0"/>
        </w:rPr>
        <w:tab/>
      </w:r>
      <w:r>
        <w:rPr>
          <w:snapToGrid w:val="0"/>
        </w:rPr>
        <w:tab/>
        <w:t>while the vessel is being so moved, whether or not it is being so moved by reason of an exemption under the regulations.</w:t>
      </w:r>
    </w:p>
    <w:p>
      <w:pPr>
        <w:pStyle w:val="Heading5"/>
        <w:rPr>
          <w:snapToGrid w:val="0"/>
        </w:rPr>
      </w:pPr>
      <w:bookmarkStart w:id="259" w:name="_Toc398890053"/>
      <w:bookmarkStart w:id="260" w:name="_Toc424284488"/>
      <w:r>
        <w:rPr>
          <w:rStyle w:val="CharSectno"/>
        </w:rPr>
        <w:t>98</w:t>
      </w:r>
      <w:r>
        <w:rPr>
          <w:snapToGrid w:val="0"/>
        </w:rPr>
        <w:t>.</w:t>
      </w:r>
      <w:r>
        <w:rPr>
          <w:snapToGrid w:val="0"/>
        </w:rPr>
        <w:tab/>
        <w:t>Pilot under authority of master</w:t>
      </w:r>
      <w:bookmarkEnd w:id="259"/>
      <w:bookmarkEnd w:id="260"/>
      <w:r>
        <w:rPr>
          <w:snapToGrid w:val="0"/>
        </w:rPr>
        <w:t xml:space="preserve"> </w:t>
      </w:r>
    </w:p>
    <w:p>
      <w:pPr>
        <w:pStyle w:val="Subsection"/>
        <w:rPr>
          <w:snapToGrid w:val="0"/>
        </w:rPr>
      </w:pPr>
      <w:r>
        <w:rPr>
          <w:snapToGrid w:val="0"/>
        </w:rPr>
        <w:tab/>
      </w:r>
      <w:r>
        <w:rPr>
          <w:snapToGrid w:val="0"/>
        </w:rPr>
        <w:tab/>
        <w:t xml:space="preserve">An approved pilot who as pilot has control of a vessel in a port is subject to the authority of the master of the vessel, and the master is not relieved from responsibility for the conduct and navigation of the vessel by reason only of those circumstances. </w:t>
      </w:r>
    </w:p>
    <w:p>
      <w:pPr>
        <w:pStyle w:val="Heading5"/>
        <w:rPr>
          <w:snapToGrid w:val="0"/>
        </w:rPr>
      </w:pPr>
      <w:bookmarkStart w:id="261" w:name="_Toc398890054"/>
      <w:bookmarkStart w:id="262" w:name="_Toc424284489"/>
      <w:r>
        <w:rPr>
          <w:rStyle w:val="CharSectno"/>
        </w:rPr>
        <w:t>99</w:t>
      </w:r>
      <w:r>
        <w:rPr>
          <w:snapToGrid w:val="0"/>
        </w:rPr>
        <w:t>.</w:t>
      </w:r>
      <w:r>
        <w:rPr>
          <w:snapToGrid w:val="0"/>
        </w:rPr>
        <w:tab/>
        <w:t>Liability of owner or master of piloted vessel</w:t>
      </w:r>
      <w:bookmarkEnd w:id="261"/>
      <w:bookmarkEnd w:id="262"/>
      <w:r>
        <w:rPr>
          <w:snapToGrid w:val="0"/>
        </w:rPr>
        <w:t xml:space="preserve"> </w:t>
      </w:r>
    </w:p>
    <w:p>
      <w:pPr>
        <w:pStyle w:val="Subsection"/>
        <w:rPr>
          <w:snapToGrid w:val="0"/>
        </w:rPr>
      </w:pPr>
      <w:r>
        <w:rPr>
          <w:snapToGrid w:val="0"/>
        </w:rPr>
        <w:tab/>
      </w:r>
      <w:r>
        <w:rPr>
          <w:snapToGrid w:val="0"/>
        </w:rPr>
        <w:tab/>
        <w:t>The owner or master of a vessel moving under compulsory pilotage in a port is liable for any loss or damage caused by the vessel, or by a fault in the conduct or navigation of the vessel, in the same manner as the owner or master would be liable if pilotage were not compulsory.</w:t>
      </w:r>
    </w:p>
    <w:p>
      <w:pPr>
        <w:pStyle w:val="Heading5"/>
        <w:rPr>
          <w:snapToGrid w:val="0"/>
        </w:rPr>
      </w:pPr>
      <w:bookmarkStart w:id="263" w:name="_Toc398890055"/>
      <w:bookmarkStart w:id="264" w:name="_Toc424284490"/>
      <w:r>
        <w:rPr>
          <w:rStyle w:val="CharSectno"/>
        </w:rPr>
        <w:t>100</w:t>
      </w:r>
      <w:r>
        <w:rPr>
          <w:snapToGrid w:val="0"/>
        </w:rPr>
        <w:t>.</w:t>
      </w:r>
      <w:r>
        <w:rPr>
          <w:snapToGrid w:val="0"/>
        </w:rPr>
        <w:tab/>
        <w:t>Immunity from liability for negligent provision of pilotage services</w:t>
      </w:r>
      <w:bookmarkEnd w:id="263"/>
      <w:bookmarkEnd w:id="264"/>
    </w:p>
    <w:p>
      <w:pPr>
        <w:pStyle w:val="Subsection"/>
        <w:rPr>
          <w:snapToGrid w:val="0"/>
        </w:rPr>
      </w:pPr>
      <w:r>
        <w:tab/>
        <w:t>(1)</w:t>
      </w:r>
      <w:r>
        <w:tab/>
      </w:r>
      <w:r>
        <w:rPr>
          <w:snapToGrid w:val="0"/>
        </w:rPr>
        <w:t xml:space="preserve">Neither the State nor the port authority is liable for any loss or damage resulting from — </w:t>
      </w:r>
    </w:p>
    <w:p>
      <w:pPr>
        <w:pStyle w:val="Indenta"/>
      </w:pPr>
      <w:r>
        <w:tab/>
        <w:t>(a)</w:t>
      </w:r>
      <w:r>
        <w:tab/>
      </w:r>
      <w:r>
        <w:rPr>
          <w:snapToGrid w:val="0"/>
        </w:rPr>
        <w:t>an act or omission by</w:t>
      </w:r>
      <w:r>
        <w:t xml:space="preserve"> a port authority, a harbour master or a member of staff of a port authority in connection with the provision of pilotage services; or</w:t>
      </w:r>
    </w:p>
    <w:p>
      <w:pPr>
        <w:pStyle w:val="Indenta"/>
        <w:rPr>
          <w:snapToGrid w:val="0"/>
        </w:rPr>
      </w:pPr>
      <w:r>
        <w:rPr>
          <w:snapToGrid w:val="0"/>
        </w:rPr>
        <w:tab/>
        <w:t>(b)</w:t>
      </w:r>
      <w:r>
        <w:rPr>
          <w:snapToGrid w:val="0"/>
        </w:rPr>
        <w:tab/>
        <w:t>an act or omission by a person approved as a pilot by a port authority in the conduct or navigation of a vessel of which the person is the pilot.</w:t>
      </w:r>
    </w:p>
    <w:p>
      <w:pPr>
        <w:pStyle w:val="Subsection"/>
        <w:rPr>
          <w:snapToGrid w:val="0"/>
        </w:rPr>
      </w:pPr>
      <w:r>
        <w:rPr>
          <w:snapToGrid w:val="0"/>
        </w:rPr>
        <w:tab/>
        <w:t>(2)</w:t>
      </w:r>
      <w:r>
        <w:rPr>
          <w:snapToGrid w:val="0"/>
        </w:rPr>
        <w:tab/>
        <w:t>An approved pilot is not personally liable for any loss or damage resulting from an act or omission by him or her in the conduct or navigation of a vessel of which he or she is the pilot.</w:t>
      </w:r>
    </w:p>
    <w:p>
      <w:pPr>
        <w:pStyle w:val="Subsection"/>
        <w:rPr>
          <w:snapToGrid w:val="0"/>
        </w:rPr>
      </w:pPr>
      <w:r>
        <w:rPr>
          <w:snapToGrid w:val="0"/>
        </w:rPr>
        <w:tab/>
        <w:t>(3)</w:t>
      </w:r>
      <w:r>
        <w:rPr>
          <w:snapToGrid w:val="0"/>
        </w:rPr>
        <w:tab/>
        <w:t>The employer of a person who is an approved pilot is not liable for any loss or damage resulting from an act or omission by the person in the conduct or navigation of a vessel of which the person is the pilot.</w:t>
      </w:r>
    </w:p>
    <w:p>
      <w:pPr>
        <w:pStyle w:val="Footnotesection"/>
        <w:ind w:left="890" w:hanging="890"/>
      </w:pPr>
      <w:r>
        <w:tab/>
        <w:t>[Section 100 amended by No. 9 of 2014 s. 24.]</w:t>
      </w:r>
    </w:p>
    <w:p>
      <w:pPr>
        <w:pStyle w:val="Heading3"/>
        <w:rPr>
          <w:snapToGrid w:val="0"/>
        </w:rPr>
      </w:pPr>
      <w:bookmarkStart w:id="265" w:name="_Toc398890056"/>
      <w:bookmarkStart w:id="266" w:name="_Toc424284491"/>
      <w:r>
        <w:rPr>
          <w:rStyle w:val="CharDivNo"/>
        </w:rPr>
        <w:t>Division 3</w:t>
      </w:r>
      <w:r>
        <w:rPr>
          <w:snapToGrid w:val="0"/>
        </w:rPr>
        <w:t> — </w:t>
      </w:r>
      <w:r>
        <w:rPr>
          <w:rStyle w:val="CharDivText"/>
        </w:rPr>
        <w:t>Harbour masters</w:t>
      </w:r>
      <w:bookmarkEnd w:id="265"/>
      <w:bookmarkEnd w:id="266"/>
      <w:r>
        <w:rPr>
          <w:rStyle w:val="CharDivText"/>
        </w:rPr>
        <w:t xml:space="preserve"> </w:t>
      </w:r>
    </w:p>
    <w:p>
      <w:pPr>
        <w:pStyle w:val="Heading5"/>
        <w:rPr>
          <w:snapToGrid w:val="0"/>
        </w:rPr>
      </w:pPr>
      <w:bookmarkStart w:id="267" w:name="_Toc398890057"/>
      <w:bookmarkStart w:id="268" w:name="_Toc424284492"/>
      <w:r>
        <w:rPr>
          <w:rStyle w:val="CharSectno"/>
        </w:rPr>
        <w:t>101</w:t>
      </w:r>
      <w:r>
        <w:rPr>
          <w:snapToGrid w:val="0"/>
        </w:rPr>
        <w:t>.</w:t>
      </w:r>
      <w:r>
        <w:rPr>
          <w:snapToGrid w:val="0"/>
        </w:rPr>
        <w:tab/>
        <w:t>Port includes other declared areas</w:t>
      </w:r>
      <w:bookmarkEnd w:id="267"/>
      <w:bookmarkEnd w:id="268"/>
      <w:r>
        <w:rPr>
          <w:snapToGrid w:val="0"/>
        </w:rPr>
        <w:t xml:space="preserve"> </w:t>
      </w:r>
    </w:p>
    <w:p>
      <w:pPr>
        <w:pStyle w:val="Subsection"/>
        <w:rPr>
          <w:snapToGrid w:val="0"/>
        </w:rPr>
      </w:pPr>
      <w:r>
        <w:rPr>
          <w:snapToGrid w:val="0"/>
        </w:rPr>
        <w:tab/>
      </w:r>
      <w:r>
        <w:rPr>
          <w:snapToGrid w:val="0"/>
        </w:rPr>
        <w:tab/>
        <w:t>A reference in this Division to a port includes a reference to — </w:t>
      </w:r>
    </w:p>
    <w:p>
      <w:pPr>
        <w:pStyle w:val="Indenta"/>
        <w:rPr>
          <w:snapToGrid w:val="0"/>
        </w:rPr>
      </w:pPr>
      <w:r>
        <w:rPr>
          <w:snapToGrid w:val="0"/>
        </w:rPr>
        <w:tab/>
        <w:t>(a)</w:t>
      </w:r>
      <w:r>
        <w:rPr>
          <w:snapToGrid w:val="0"/>
        </w:rPr>
        <w:tab/>
        <w:t>any area that is outside, but contiguous with, a port and is declared by the regulations to be an adjacent area in relation to the port; and</w:t>
      </w:r>
    </w:p>
    <w:p>
      <w:pPr>
        <w:pStyle w:val="Indenta"/>
        <w:rPr>
          <w:snapToGrid w:val="0"/>
        </w:rPr>
      </w:pPr>
      <w:r>
        <w:rPr>
          <w:snapToGrid w:val="0"/>
        </w:rPr>
        <w:tab/>
        <w:t>(b)</w:t>
      </w:r>
      <w:r>
        <w:rPr>
          <w:snapToGrid w:val="0"/>
        </w:rPr>
        <w:tab/>
        <w:t>any area that is declared under section 95(2) in relation to the port.</w:t>
      </w:r>
    </w:p>
    <w:p>
      <w:pPr>
        <w:pStyle w:val="Heading5"/>
        <w:rPr>
          <w:snapToGrid w:val="0"/>
        </w:rPr>
      </w:pPr>
      <w:bookmarkStart w:id="269" w:name="_Toc398890058"/>
      <w:bookmarkStart w:id="270" w:name="_Toc424284493"/>
      <w:r>
        <w:rPr>
          <w:rStyle w:val="CharSectno"/>
        </w:rPr>
        <w:t>102</w:t>
      </w:r>
      <w:r>
        <w:rPr>
          <w:snapToGrid w:val="0"/>
        </w:rPr>
        <w:t>.</w:t>
      </w:r>
      <w:r>
        <w:rPr>
          <w:snapToGrid w:val="0"/>
        </w:rPr>
        <w:tab/>
        <w:t>Appointment of harbour master and deputy harbour master etc.</w:t>
      </w:r>
      <w:bookmarkEnd w:id="269"/>
      <w:bookmarkEnd w:id="270"/>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eligible person</w:t>
      </w:r>
      <w:r>
        <w:t xml:space="preserve"> means — </w:t>
      </w:r>
    </w:p>
    <w:p>
      <w:pPr>
        <w:pStyle w:val="Defpara"/>
      </w:pPr>
      <w:r>
        <w:tab/>
        <w:t>(a)</w:t>
      </w:r>
      <w:r>
        <w:tab/>
        <w:t>the CEO; or</w:t>
      </w:r>
    </w:p>
    <w:p>
      <w:pPr>
        <w:pStyle w:val="Defpara"/>
      </w:pPr>
      <w:r>
        <w:tab/>
        <w:t>(b)</w:t>
      </w:r>
      <w:r>
        <w:tab/>
        <w:t>a member of staff who is competent and suitably qualified; or</w:t>
      </w:r>
    </w:p>
    <w:p>
      <w:pPr>
        <w:pStyle w:val="Defpara"/>
      </w:pPr>
      <w:r>
        <w:tab/>
        <w:t>(c)</w:t>
      </w:r>
      <w:r>
        <w:tab/>
        <w:t>any other person who is competent and suitably qualified.</w:t>
      </w:r>
    </w:p>
    <w:p>
      <w:pPr>
        <w:pStyle w:val="Subsection"/>
        <w:rPr>
          <w:snapToGrid w:val="0"/>
        </w:rPr>
      </w:pPr>
      <w:r>
        <w:rPr>
          <w:snapToGrid w:val="0"/>
        </w:rPr>
        <w:tab/>
        <w:t>(2)</w:t>
      </w:r>
      <w:r>
        <w:rPr>
          <w:snapToGrid w:val="0"/>
        </w:rPr>
        <w:tab/>
        <w:t>The board of a port authority is to appoint an eligible person as the harbour master of the port.</w:t>
      </w:r>
    </w:p>
    <w:p>
      <w:pPr>
        <w:pStyle w:val="Subsection"/>
        <w:rPr>
          <w:snapToGrid w:val="0"/>
        </w:rPr>
      </w:pPr>
      <w:r>
        <w:rPr>
          <w:snapToGrid w:val="0"/>
        </w:rPr>
        <w:tab/>
        <w:t>(3)</w:t>
      </w:r>
      <w:r>
        <w:rPr>
          <w:snapToGrid w:val="0"/>
        </w:rPr>
        <w:tab/>
        <w:t>The board of a port authority may appoint an eligible person as the deputy harbour master of the port.</w:t>
      </w:r>
    </w:p>
    <w:p>
      <w:pPr>
        <w:pStyle w:val="Subsection"/>
        <w:rPr>
          <w:snapToGrid w:val="0"/>
        </w:rPr>
      </w:pPr>
      <w:r>
        <w:rPr>
          <w:snapToGrid w:val="0"/>
        </w:rPr>
        <w:tab/>
        <w:t>(4)</w:t>
      </w:r>
      <w:r>
        <w:rPr>
          <w:snapToGrid w:val="0"/>
        </w:rPr>
        <w:tab/>
        <w:t>Subject to subsection (5), the deputy harbour master may perform the functions of the harbour master if the harbour master is absent from the port or on leave, or unable for any other reason to perform those functions.</w:t>
      </w:r>
    </w:p>
    <w:p>
      <w:pPr>
        <w:pStyle w:val="Subsection"/>
        <w:rPr>
          <w:snapToGrid w:val="0"/>
        </w:rPr>
      </w:pPr>
      <w:r>
        <w:rPr>
          <w:snapToGrid w:val="0"/>
        </w:rPr>
        <w:tab/>
        <w:t>(5)</w:t>
      </w:r>
      <w:r>
        <w:rPr>
          <w:snapToGrid w:val="0"/>
        </w:rPr>
        <w:tab/>
        <w:t>The board of a port authority may appoint an eligible person to act in the office of harbour master of the port if the harbour master is, or is expected to be, absent from the port, or on leave, or unable for any other reason to perform the functions of the office.</w:t>
      </w:r>
    </w:p>
    <w:p>
      <w:pPr>
        <w:pStyle w:val="Subsection"/>
        <w:rPr>
          <w:snapToGrid w:val="0"/>
        </w:rPr>
      </w:pPr>
      <w:r>
        <w:rPr>
          <w:snapToGrid w:val="0"/>
        </w:rPr>
        <w:tab/>
        <w:t>(6)</w:t>
      </w:r>
      <w:r>
        <w:rPr>
          <w:snapToGrid w:val="0"/>
        </w:rPr>
        <w:tab/>
        <w:t>If there is no person appointed under subsection (2), (3) or (5) who is able to perform the functions of the harbour master, those functions may be performed by a person determined by the board of the port authority.</w:t>
      </w:r>
    </w:p>
    <w:p>
      <w:pPr>
        <w:pStyle w:val="Subsection"/>
        <w:rPr>
          <w:snapToGrid w:val="0"/>
        </w:rPr>
      </w:pPr>
      <w:r>
        <w:rPr>
          <w:snapToGrid w:val="0"/>
        </w:rPr>
        <w:tab/>
        <w:t>(7)</w:t>
      </w:r>
      <w:r>
        <w:rPr>
          <w:snapToGrid w:val="0"/>
        </w:rPr>
        <w:tab/>
        <w:t>The harbour master may, in writing, delegate any of his or her functions, other than this power of delegation, to a member of staff.</w:t>
      </w:r>
    </w:p>
    <w:p>
      <w:pPr>
        <w:pStyle w:val="Heading5"/>
        <w:rPr>
          <w:snapToGrid w:val="0"/>
        </w:rPr>
      </w:pPr>
      <w:bookmarkStart w:id="271" w:name="_Toc398890059"/>
      <w:bookmarkStart w:id="272" w:name="_Toc424284494"/>
      <w:r>
        <w:rPr>
          <w:rStyle w:val="CharSectno"/>
        </w:rPr>
        <w:t>103</w:t>
      </w:r>
      <w:r>
        <w:rPr>
          <w:snapToGrid w:val="0"/>
        </w:rPr>
        <w:t>.</w:t>
      </w:r>
      <w:r>
        <w:rPr>
          <w:snapToGrid w:val="0"/>
        </w:rPr>
        <w:tab/>
        <w:t>Functions of harbour master</w:t>
      </w:r>
      <w:bookmarkEnd w:id="271"/>
      <w:bookmarkEnd w:id="272"/>
    </w:p>
    <w:p>
      <w:pPr>
        <w:pStyle w:val="Subsection"/>
        <w:keepNext/>
        <w:rPr>
          <w:snapToGrid w:val="0"/>
        </w:rPr>
      </w:pPr>
      <w:r>
        <w:rPr>
          <w:snapToGrid w:val="0"/>
        </w:rPr>
        <w:tab/>
        <w:t>(1)</w:t>
      </w:r>
      <w:r>
        <w:rPr>
          <w:snapToGrid w:val="0"/>
        </w:rPr>
        <w:tab/>
        <w:t>The principal functions of a harbour master are — </w:t>
      </w:r>
    </w:p>
    <w:p>
      <w:pPr>
        <w:pStyle w:val="Indenta"/>
        <w:rPr>
          <w:snapToGrid w:val="0"/>
        </w:rPr>
      </w:pPr>
      <w:r>
        <w:rPr>
          <w:snapToGrid w:val="0"/>
        </w:rPr>
        <w:tab/>
        <w:t>(a)</w:t>
      </w:r>
      <w:r>
        <w:rPr>
          <w:snapToGrid w:val="0"/>
        </w:rPr>
        <w:tab/>
        <w:t>to control the movement and mooring of vessels in the port; and</w:t>
      </w:r>
    </w:p>
    <w:p>
      <w:pPr>
        <w:pStyle w:val="Indenta"/>
        <w:rPr>
          <w:snapToGrid w:val="0"/>
        </w:rPr>
      </w:pPr>
      <w:r>
        <w:rPr>
          <w:snapToGrid w:val="0"/>
        </w:rPr>
        <w:tab/>
        <w:t>(b)</w:t>
      </w:r>
      <w:r>
        <w:rPr>
          <w:snapToGrid w:val="0"/>
        </w:rPr>
        <w:tab/>
        <w:t>to ensure the port is kept free of obstructions or possible obstructions to vessels using the port; and</w:t>
      </w:r>
    </w:p>
    <w:p>
      <w:pPr>
        <w:pStyle w:val="Indenta"/>
        <w:rPr>
          <w:snapToGrid w:val="0"/>
        </w:rPr>
      </w:pPr>
      <w:r>
        <w:rPr>
          <w:snapToGrid w:val="0"/>
        </w:rPr>
        <w:tab/>
        <w:t>(c)</w:t>
      </w:r>
      <w:r>
        <w:rPr>
          <w:snapToGrid w:val="0"/>
        </w:rPr>
        <w:tab/>
        <w:t>to ensure that the safety of people and property in the port is not endangered by vessels or dangerous things; and</w:t>
      </w:r>
    </w:p>
    <w:p>
      <w:pPr>
        <w:pStyle w:val="Indenta"/>
        <w:rPr>
          <w:snapToGrid w:val="0"/>
        </w:rPr>
      </w:pPr>
      <w:r>
        <w:rPr>
          <w:snapToGrid w:val="0"/>
        </w:rPr>
        <w:tab/>
        <w:t>(d)</w:t>
      </w:r>
      <w:r>
        <w:rPr>
          <w:snapToGrid w:val="0"/>
        </w:rPr>
        <w:tab/>
        <w:t>to ensure that the operations of the port in relation to vessels are conducted safely and efficiently.</w:t>
      </w:r>
    </w:p>
    <w:p>
      <w:pPr>
        <w:pStyle w:val="Subsection"/>
        <w:rPr>
          <w:snapToGrid w:val="0"/>
        </w:rPr>
      </w:pPr>
      <w:r>
        <w:rPr>
          <w:snapToGrid w:val="0"/>
        </w:rPr>
        <w:tab/>
        <w:t>(2)</w:t>
      </w:r>
      <w:r>
        <w:rPr>
          <w:snapToGrid w:val="0"/>
        </w:rPr>
        <w:tab/>
        <w:t>A harbour master has such other functions as the port authority determines.</w:t>
      </w:r>
    </w:p>
    <w:p>
      <w:pPr>
        <w:pStyle w:val="Subsection"/>
        <w:rPr>
          <w:snapToGrid w:val="0"/>
        </w:rPr>
      </w:pPr>
      <w:r>
        <w:rPr>
          <w:snapToGrid w:val="0"/>
        </w:rPr>
        <w:tab/>
        <w:t>(3)</w:t>
      </w:r>
      <w:r>
        <w:rPr>
          <w:snapToGrid w:val="0"/>
        </w:rPr>
        <w:tab/>
        <w:t>The fact that a harbour master is a member of staff does not affect the powers of the CEO in relation to that member of staff.</w:t>
      </w:r>
    </w:p>
    <w:p>
      <w:pPr>
        <w:pStyle w:val="Subsection"/>
        <w:rPr>
          <w:snapToGrid w:val="0"/>
        </w:rPr>
      </w:pPr>
      <w:r>
        <w:rPr>
          <w:snapToGrid w:val="0"/>
        </w:rPr>
        <w:tab/>
        <w:t>(4)</w:t>
      </w:r>
      <w:r>
        <w:rPr>
          <w:snapToGrid w:val="0"/>
        </w:rPr>
        <w:tab/>
        <w:t>If a harbour master is a person referred to in section 102(1)(c), the CEO may give directions to the harbour master as to the performance of his or her functions and the harbour master is to comply with those directions.</w:t>
      </w:r>
    </w:p>
    <w:p>
      <w:pPr>
        <w:pStyle w:val="Heading5"/>
        <w:rPr>
          <w:snapToGrid w:val="0"/>
        </w:rPr>
      </w:pPr>
      <w:bookmarkStart w:id="273" w:name="_Toc398890060"/>
      <w:bookmarkStart w:id="274" w:name="_Toc424284495"/>
      <w:r>
        <w:rPr>
          <w:rStyle w:val="CharSectno"/>
        </w:rPr>
        <w:t>104</w:t>
      </w:r>
      <w:r>
        <w:rPr>
          <w:snapToGrid w:val="0"/>
        </w:rPr>
        <w:t>.</w:t>
      </w:r>
      <w:r>
        <w:rPr>
          <w:snapToGrid w:val="0"/>
        </w:rPr>
        <w:tab/>
        <w:t>Directions to masters etc.</w:t>
      </w:r>
      <w:bookmarkEnd w:id="273"/>
      <w:bookmarkEnd w:id="274"/>
      <w:r>
        <w:rPr>
          <w:snapToGrid w:val="0"/>
        </w:rPr>
        <w:t xml:space="preserve"> </w:t>
      </w:r>
    </w:p>
    <w:p>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to do any or all of the following — </w:t>
      </w:r>
    </w:p>
    <w:p>
      <w:pPr>
        <w:pStyle w:val="Indenta"/>
        <w:rPr>
          <w:snapToGrid w:val="0"/>
        </w:rPr>
      </w:pPr>
      <w:r>
        <w:rPr>
          <w:snapToGrid w:val="0"/>
        </w:rPr>
        <w:tab/>
        <w:t>(a)</w:t>
      </w:r>
      <w:r>
        <w:rPr>
          <w:snapToGrid w:val="0"/>
        </w:rPr>
        <w:tab/>
        <w:t>to ensure that the vessel does not enter the port;</w:t>
      </w:r>
    </w:p>
    <w:p>
      <w:pPr>
        <w:pStyle w:val="Indenta"/>
        <w:rPr>
          <w:snapToGrid w:val="0"/>
        </w:rPr>
      </w:pPr>
      <w:r>
        <w:rPr>
          <w:snapToGrid w:val="0"/>
        </w:rPr>
        <w:tab/>
        <w:t>(b)</w:t>
      </w:r>
      <w:r>
        <w:rPr>
          <w:snapToGrid w:val="0"/>
        </w:rPr>
        <w:tab/>
        <w:t>to navigate the vessel in a specified manner while it is in the port;</w:t>
      </w:r>
    </w:p>
    <w:p>
      <w:pPr>
        <w:pStyle w:val="Indenta"/>
        <w:rPr>
          <w:snapToGrid w:val="0"/>
        </w:rPr>
      </w:pPr>
      <w:r>
        <w:rPr>
          <w:snapToGrid w:val="0"/>
        </w:rPr>
        <w:tab/>
        <w:t>(c)</w:t>
      </w:r>
      <w:r>
        <w:rPr>
          <w:snapToGrid w:val="0"/>
        </w:rPr>
        <w:tab/>
        <w:t>to moor the vessel in the port at a specified place and in a specified manner;</w:t>
      </w:r>
    </w:p>
    <w:p>
      <w:pPr>
        <w:pStyle w:val="Indenta"/>
        <w:rPr>
          <w:snapToGrid w:val="0"/>
        </w:rPr>
      </w:pPr>
      <w:r>
        <w:rPr>
          <w:snapToGrid w:val="0"/>
        </w:rPr>
        <w:tab/>
        <w:t>(d)</w:t>
      </w:r>
      <w:r>
        <w:rPr>
          <w:snapToGrid w:val="0"/>
        </w:rPr>
        <w:tab/>
        <w:t>to move the vessel out of the port or to another place in it;</w:t>
      </w:r>
    </w:p>
    <w:p>
      <w:pPr>
        <w:pStyle w:val="Indenta"/>
        <w:rPr>
          <w:snapToGrid w:val="0"/>
        </w:rPr>
      </w:pPr>
      <w:r>
        <w:rPr>
          <w:snapToGrid w:val="0"/>
        </w:rPr>
        <w:tab/>
        <w:t>(e)</w:t>
      </w:r>
      <w:r>
        <w:rPr>
          <w:snapToGrid w:val="0"/>
        </w:rPr>
        <w:tab/>
        <w:t>to take any action specified by the harbour master in relation to the means by which the vessel is moored in the port.</w:t>
      </w:r>
    </w:p>
    <w:p>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the harbour master may direct the owner, master, or person in charge of the vessel to scuttle it immediately.</w:t>
      </w:r>
    </w:p>
    <w:p>
      <w:pPr>
        <w:pStyle w:val="Heading5"/>
        <w:rPr>
          <w:snapToGrid w:val="0"/>
        </w:rPr>
      </w:pPr>
      <w:bookmarkStart w:id="275" w:name="_Toc398890061"/>
      <w:bookmarkStart w:id="276" w:name="_Toc424284496"/>
      <w:r>
        <w:rPr>
          <w:rStyle w:val="CharSectno"/>
        </w:rPr>
        <w:t>105</w:t>
      </w:r>
      <w:r>
        <w:rPr>
          <w:snapToGrid w:val="0"/>
        </w:rPr>
        <w:t>.</w:t>
      </w:r>
      <w:r>
        <w:rPr>
          <w:snapToGrid w:val="0"/>
        </w:rPr>
        <w:tab/>
        <w:t>Directions as to dangerous things</w:t>
      </w:r>
      <w:bookmarkEnd w:id="275"/>
      <w:bookmarkEnd w:id="27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owner</w:t>
      </w:r>
      <w:r>
        <w:t>, in relation to — </w:t>
      </w:r>
    </w:p>
    <w:p>
      <w:pPr>
        <w:pStyle w:val="Defpara"/>
      </w:pPr>
      <w:r>
        <w:tab/>
        <w:t>(a)</w:t>
      </w:r>
      <w:r>
        <w:tab/>
        <w:t>a vessel or part of a vessel, means the owner immediately prior to the time of the loss or abandonment of the vessel or part of the vessel;</w:t>
      </w:r>
    </w:p>
    <w:p>
      <w:pPr>
        <w:pStyle w:val="Defpara"/>
      </w:pPr>
      <w:r>
        <w:tab/>
        <w:t>(b)</w:t>
      </w:r>
      <w:r>
        <w:tab/>
        <w:t>a thing in the water that was in or on a vessel, means the owner of the vessel.</w:t>
      </w:r>
    </w:p>
    <w:p>
      <w:pPr>
        <w:pStyle w:val="Subsection"/>
        <w:rPr>
          <w:snapToGrid w:val="0"/>
        </w:rPr>
      </w:pPr>
      <w:r>
        <w:rPr>
          <w:snapToGrid w:val="0"/>
        </w:rPr>
        <w:tab/>
        <w:t>(2)</w:t>
      </w:r>
      <w:r>
        <w:rPr>
          <w:snapToGrid w:val="0"/>
        </w:rPr>
        <w:tab/>
        <w:t>For the purpose of performing his or her principal functions a harbour master may direct the owner of a dangerous thing in the port to do any or all of the following — </w:t>
      </w:r>
    </w:p>
    <w:p>
      <w:pPr>
        <w:pStyle w:val="Indenta"/>
        <w:rPr>
          <w:snapToGrid w:val="0"/>
        </w:rPr>
      </w:pPr>
      <w:r>
        <w:rPr>
          <w:snapToGrid w:val="0"/>
        </w:rPr>
        <w:tab/>
        <w:t>(a)</w:t>
      </w:r>
      <w:r>
        <w:rPr>
          <w:snapToGrid w:val="0"/>
        </w:rPr>
        <w:tab/>
        <w:t>to move the dangerous thing out of the port or to another place within it;</w:t>
      </w:r>
    </w:p>
    <w:p>
      <w:pPr>
        <w:pStyle w:val="Indenta"/>
        <w:rPr>
          <w:snapToGrid w:val="0"/>
        </w:rPr>
      </w:pPr>
      <w:r>
        <w:rPr>
          <w:snapToGrid w:val="0"/>
        </w:rPr>
        <w:tab/>
        <w:t>(b)</w:t>
      </w:r>
      <w:r>
        <w:rPr>
          <w:snapToGrid w:val="0"/>
        </w:rPr>
        <w:tab/>
        <w:t>to destroy the dangerous thing;</w:t>
      </w:r>
    </w:p>
    <w:p>
      <w:pPr>
        <w:pStyle w:val="Indenta"/>
        <w:rPr>
          <w:snapToGrid w:val="0"/>
        </w:rPr>
      </w:pPr>
      <w:r>
        <w:rPr>
          <w:snapToGrid w:val="0"/>
        </w:rPr>
        <w:tab/>
        <w:t>(c)</w:t>
      </w:r>
      <w:r>
        <w:rPr>
          <w:snapToGrid w:val="0"/>
        </w:rPr>
        <w:tab/>
        <w:t>to sink the dangerous thing.</w:t>
      </w:r>
    </w:p>
    <w:p>
      <w:pPr>
        <w:pStyle w:val="Heading5"/>
        <w:rPr>
          <w:snapToGrid w:val="0"/>
        </w:rPr>
      </w:pPr>
      <w:bookmarkStart w:id="277" w:name="_Toc398890062"/>
      <w:bookmarkStart w:id="278" w:name="_Toc424284497"/>
      <w:r>
        <w:rPr>
          <w:rStyle w:val="CharSectno"/>
        </w:rPr>
        <w:t>106</w:t>
      </w:r>
      <w:r>
        <w:rPr>
          <w:snapToGrid w:val="0"/>
        </w:rPr>
        <w:t>.</w:t>
      </w:r>
      <w:r>
        <w:rPr>
          <w:snapToGrid w:val="0"/>
        </w:rPr>
        <w:tab/>
        <w:t>Limit on power to order removal of vessels or dangerous things</w:t>
      </w:r>
      <w:bookmarkEnd w:id="277"/>
      <w:bookmarkEnd w:id="278"/>
      <w:r>
        <w:rPr>
          <w:snapToGrid w:val="0"/>
        </w:rPr>
        <w:t xml:space="preserve"> </w:t>
      </w:r>
    </w:p>
    <w:p>
      <w:pPr>
        <w:pStyle w:val="Subsection"/>
        <w:rPr>
          <w:snapToGrid w:val="0"/>
        </w:rPr>
      </w:pPr>
      <w:r>
        <w:rPr>
          <w:snapToGrid w:val="0"/>
        </w:rPr>
        <w:tab/>
      </w:r>
      <w:r>
        <w:rPr>
          <w:snapToGrid w:val="0"/>
        </w:rPr>
        <w:tab/>
        <w:t>A harbour master must not direct that a vessel or dangerous thing be moved out of a port unless satisfied that there is no other place in the port where the vessel or dangerous thing can lie without — </w:t>
      </w:r>
    </w:p>
    <w:p>
      <w:pPr>
        <w:pStyle w:val="Indenta"/>
        <w:rPr>
          <w:snapToGrid w:val="0"/>
        </w:rPr>
      </w:pPr>
      <w:r>
        <w:rPr>
          <w:snapToGrid w:val="0"/>
        </w:rPr>
        <w:tab/>
        <w:t>(a)</w:t>
      </w:r>
      <w:r>
        <w:rPr>
          <w:snapToGrid w:val="0"/>
        </w:rPr>
        <w:tab/>
        <w:t>obstructing other vessels; or</w:t>
      </w:r>
    </w:p>
    <w:p>
      <w:pPr>
        <w:pStyle w:val="Indenta"/>
        <w:rPr>
          <w:snapToGrid w:val="0"/>
        </w:rPr>
      </w:pPr>
      <w:r>
        <w:rPr>
          <w:snapToGrid w:val="0"/>
        </w:rPr>
        <w:tab/>
        <w:t>(b)</w:t>
      </w:r>
      <w:r>
        <w:rPr>
          <w:snapToGrid w:val="0"/>
        </w:rPr>
        <w:tab/>
        <w:t>hindering the efficiency of the operations of the port; or</w:t>
      </w:r>
    </w:p>
    <w:p>
      <w:pPr>
        <w:pStyle w:val="Indenta"/>
        <w:rPr>
          <w:snapToGrid w:val="0"/>
        </w:rPr>
      </w:pPr>
      <w:r>
        <w:rPr>
          <w:snapToGrid w:val="0"/>
        </w:rPr>
        <w:tab/>
        <w:t>(c)</w:t>
      </w:r>
      <w:r>
        <w:rPr>
          <w:snapToGrid w:val="0"/>
        </w:rPr>
        <w:tab/>
        <w:t>endangering the safety of people or property; or</w:t>
      </w:r>
    </w:p>
    <w:p>
      <w:pPr>
        <w:pStyle w:val="Indenta"/>
        <w:rPr>
          <w:snapToGrid w:val="0"/>
        </w:rPr>
      </w:pPr>
      <w:r>
        <w:rPr>
          <w:snapToGrid w:val="0"/>
        </w:rPr>
        <w:tab/>
        <w:t>(d)</w:t>
      </w:r>
      <w:r>
        <w:rPr>
          <w:snapToGrid w:val="0"/>
        </w:rPr>
        <w:tab/>
        <w:t>polluting the waters of the port.</w:t>
      </w:r>
    </w:p>
    <w:p>
      <w:pPr>
        <w:pStyle w:val="Heading5"/>
        <w:rPr>
          <w:snapToGrid w:val="0"/>
        </w:rPr>
      </w:pPr>
      <w:bookmarkStart w:id="279" w:name="_Toc398890063"/>
      <w:bookmarkStart w:id="280" w:name="_Toc424284498"/>
      <w:r>
        <w:rPr>
          <w:rStyle w:val="CharSectno"/>
        </w:rPr>
        <w:t>107</w:t>
      </w:r>
      <w:r>
        <w:rPr>
          <w:snapToGrid w:val="0"/>
        </w:rPr>
        <w:t>.</w:t>
      </w:r>
      <w:r>
        <w:rPr>
          <w:snapToGrid w:val="0"/>
        </w:rPr>
        <w:tab/>
        <w:t>Ownerless vessels and dangerous things, removal of</w:t>
      </w:r>
      <w:bookmarkEnd w:id="279"/>
      <w:bookmarkEnd w:id="280"/>
    </w:p>
    <w:p>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dangerous thing the owner of which cannot, after reasonable enquiries, be ascertained or found.</w:t>
      </w:r>
    </w:p>
    <w:p>
      <w:pPr>
        <w:pStyle w:val="Heading5"/>
        <w:rPr>
          <w:snapToGrid w:val="0"/>
        </w:rPr>
      </w:pPr>
      <w:bookmarkStart w:id="281" w:name="_Toc398890064"/>
      <w:bookmarkStart w:id="282" w:name="_Toc424284499"/>
      <w:r>
        <w:rPr>
          <w:rStyle w:val="CharSectno"/>
        </w:rPr>
        <w:t>108</w:t>
      </w:r>
      <w:r>
        <w:rPr>
          <w:snapToGrid w:val="0"/>
        </w:rPr>
        <w:t>.</w:t>
      </w:r>
      <w:r>
        <w:rPr>
          <w:snapToGrid w:val="0"/>
        </w:rPr>
        <w:tab/>
        <w:t>Not obeying s. 104 or 106 direction, offence</w:t>
      </w:r>
      <w:bookmarkEnd w:id="281"/>
      <w:bookmarkEnd w:id="282"/>
    </w:p>
    <w:p>
      <w:pPr>
        <w:pStyle w:val="Subsection"/>
        <w:rPr>
          <w:snapToGrid w:val="0"/>
        </w:rPr>
      </w:pPr>
      <w:r>
        <w:rPr>
          <w:snapToGrid w:val="0"/>
        </w:rPr>
        <w:tab/>
      </w:r>
      <w:r>
        <w:rPr>
          <w:snapToGrid w:val="0"/>
        </w:rPr>
        <w:tab/>
        <w:t>A person who without reasonable excuse (proof of which lies on that person) does not comply with a direction under section 104 or 105 commits an offence.</w:t>
      </w:r>
    </w:p>
    <w:p>
      <w:pPr>
        <w:pStyle w:val="Penstart"/>
        <w:rPr>
          <w:snapToGrid w:val="0"/>
        </w:rPr>
      </w:pPr>
      <w:r>
        <w:rPr>
          <w:snapToGrid w:val="0"/>
        </w:rPr>
        <w:tab/>
        <w:t>Penalty: $20 000.</w:t>
      </w:r>
    </w:p>
    <w:p>
      <w:pPr>
        <w:pStyle w:val="Heading5"/>
        <w:rPr>
          <w:snapToGrid w:val="0"/>
        </w:rPr>
      </w:pPr>
      <w:bookmarkStart w:id="283" w:name="_Toc398890065"/>
      <w:bookmarkStart w:id="284" w:name="_Toc424284500"/>
      <w:r>
        <w:rPr>
          <w:rStyle w:val="CharSectno"/>
        </w:rPr>
        <w:t>109</w:t>
      </w:r>
      <w:r>
        <w:rPr>
          <w:snapToGrid w:val="0"/>
        </w:rPr>
        <w:t>.</w:t>
      </w:r>
      <w:r>
        <w:rPr>
          <w:snapToGrid w:val="0"/>
        </w:rPr>
        <w:tab/>
        <w:t>Powers if direction not obeyed</w:t>
      </w:r>
      <w:bookmarkEnd w:id="283"/>
      <w:bookmarkEnd w:id="284"/>
      <w:r>
        <w:rPr>
          <w:snapToGrid w:val="0"/>
        </w:rPr>
        <w:t xml:space="preserve"> </w:t>
      </w:r>
    </w:p>
    <w:p>
      <w:pPr>
        <w:pStyle w:val="Subsection"/>
        <w:rPr>
          <w:snapToGrid w:val="0"/>
        </w:rPr>
      </w:pPr>
      <w:r>
        <w:rPr>
          <w:snapToGrid w:val="0"/>
        </w:rPr>
        <w:tab/>
        <w:t>(1)</w:t>
      </w:r>
      <w:r>
        <w:rPr>
          <w:snapToGrid w:val="0"/>
        </w:rPr>
        <w:tab/>
        <w:t>If a person does not comply with a direction under section 104(1)(c), (d) or (e) or (2) or section 105 within a reasonable time after being given it, the harbour master may cause the direction to be complied with using such means as the harbour master thinks fit.</w:t>
      </w:r>
    </w:p>
    <w:p>
      <w:pPr>
        <w:pStyle w:val="Subsection"/>
        <w:rPr>
          <w:snapToGrid w:val="0"/>
        </w:rPr>
      </w:pPr>
      <w:r>
        <w:rPr>
          <w:snapToGrid w:val="0"/>
        </w:rPr>
        <w:tab/>
        <w:t>(2)</w:t>
      </w:r>
      <w:r>
        <w:rPr>
          <w:snapToGrid w:val="0"/>
        </w:rPr>
        <w:tab/>
        <w:t>When causing a vessel to be moved under subsection (1) the harbour master may cause the vessel to be made fast to another vessel that is moored in the port.</w:t>
      </w:r>
    </w:p>
    <w:p>
      <w:pPr>
        <w:pStyle w:val="Subsection"/>
        <w:rPr>
          <w:snapToGrid w:val="0"/>
        </w:rPr>
      </w:pPr>
      <w:r>
        <w:rPr>
          <w:snapToGrid w:val="0"/>
        </w:rPr>
        <w:tab/>
        <w:t>(3)</w:t>
      </w:r>
      <w:r>
        <w:rPr>
          <w:snapToGrid w:val="0"/>
        </w:rPr>
        <w:tab/>
        <w:t>Subsection (2) does not prevent the owner or master of a vessel to which another vessel is made fast under that subsection from recovering from the owner or master of that other vessel damages for loss or damage occasioned by that making fast.</w:t>
      </w:r>
    </w:p>
    <w:p>
      <w:pPr>
        <w:pStyle w:val="Heading5"/>
        <w:rPr>
          <w:snapToGrid w:val="0"/>
        </w:rPr>
      </w:pPr>
      <w:bookmarkStart w:id="285" w:name="_Toc398890066"/>
      <w:bookmarkStart w:id="286" w:name="_Toc424284501"/>
      <w:r>
        <w:rPr>
          <w:rStyle w:val="CharSectno"/>
        </w:rPr>
        <w:t>110</w:t>
      </w:r>
      <w:r>
        <w:rPr>
          <w:snapToGrid w:val="0"/>
        </w:rPr>
        <w:t>.</w:t>
      </w:r>
      <w:r>
        <w:rPr>
          <w:snapToGrid w:val="0"/>
        </w:rPr>
        <w:tab/>
        <w:t>Recovering port authority’s s. 107 costs</w:t>
      </w:r>
      <w:bookmarkEnd w:id="285"/>
      <w:bookmarkEnd w:id="286"/>
    </w:p>
    <w:p>
      <w:pPr>
        <w:pStyle w:val="Subsection"/>
        <w:rPr>
          <w:snapToGrid w:val="0"/>
        </w:rPr>
      </w:pPr>
      <w:r>
        <w:rPr>
          <w:snapToGrid w:val="0"/>
        </w:rPr>
        <w:tab/>
        <w:t>(1)</w:t>
      </w:r>
      <w:r>
        <w:rPr>
          <w:snapToGrid w:val="0"/>
        </w:rPr>
        <w:tab/>
        <w:t>A port authority may recover — </w:t>
      </w:r>
    </w:p>
    <w:p>
      <w:pPr>
        <w:pStyle w:val="Indenta"/>
        <w:rPr>
          <w:snapToGrid w:val="0"/>
        </w:rPr>
      </w:pPr>
      <w:r>
        <w:rPr>
          <w:snapToGrid w:val="0"/>
        </w:rPr>
        <w:tab/>
        <w:t>(a)</w:t>
      </w:r>
      <w:r>
        <w:rPr>
          <w:snapToGrid w:val="0"/>
        </w:rPr>
        <w:tab/>
        <w:t>the costs of exercising the powers in section 107 from the owner of the vessel or dangerous thing; or</w:t>
      </w:r>
    </w:p>
    <w:p>
      <w:pPr>
        <w:pStyle w:val="Indenta"/>
        <w:rPr>
          <w:snapToGrid w:val="0"/>
        </w:rPr>
      </w:pPr>
      <w:r>
        <w:rPr>
          <w:snapToGrid w:val="0"/>
        </w:rPr>
        <w:tab/>
        <w:t>(b)</w:t>
      </w:r>
      <w:r>
        <w:rPr>
          <w:snapToGrid w:val="0"/>
        </w:rPr>
        <w:tab/>
        <w:t>the cost of exercising the powers in section 109 from the owner, master, or person in charge, of the vessel or the owner of the dangerous thing,</w:t>
      </w:r>
    </w:p>
    <w:p>
      <w:pPr>
        <w:pStyle w:val="Subsection"/>
        <w:rPr>
          <w:snapToGrid w:val="0"/>
        </w:rPr>
      </w:pPr>
      <w:r>
        <w:rPr>
          <w:snapToGrid w:val="0"/>
        </w:rPr>
        <w:tab/>
      </w:r>
      <w:r>
        <w:rPr>
          <w:snapToGrid w:val="0"/>
        </w:rPr>
        <w:tab/>
        <w:t>in a court of competent jurisdiction as a debt due to the port authority.</w:t>
      </w:r>
    </w:p>
    <w:p>
      <w:pPr>
        <w:pStyle w:val="Subsection"/>
        <w:rPr>
          <w:snapToGrid w:val="0"/>
        </w:rPr>
      </w:pPr>
      <w:r>
        <w:rPr>
          <w:snapToGrid w:val="0"/>
        </w:rPr>
        <w:tab/>
        <w:t>(2)</w:t>
      </w:r>
      <w:r>
        <w:rPr>
          <w:snapToGrid w:val="0"/>
        </w:rPr>
        <w:tab/>
        <w:t>A port authority may recover the costs of exercising the powers in section 107 by selling the vessel or dangerous thing.</w:t>
      </w:r>
    </w:p>
    <w:p>
      <w:pPr>
        <w:pStyle w:val="Subsection"/>
        <w:rPr>
          <w:snapToGrid w:val="0"/>
        </w:rPr>
      </w:pPr>
      <w:r>
        <w:rPr>
          <w:snapToGrid w:val="0"/>
        </w:rPr>
        <w:tab/>
        <w:t>(3)</w:t>
      </w:r>
      <w:r>
        <w:rPr>
          <w:snapToGrid w:val="0"/>
        </w:rPr>
        <w:tab/>
        <w:t>The proceeds of a sale are to be applied — </w:t>
      </w:r>
    </w:p>
    <w:p>
      <w:pPr>
        <w:pStyle w:val="Indenta"/>
        <w:rPr>
          <w:snapToGrid w:val="0"/>
        </w:rPr>
      </w:pPr>
      <w:r>
        <w:rPr>
          <w:snapToGrid w:val="0"/>
        </w:rPr>
        <w:tab/>
        <w:t>(a)</w:t>
      </w:r>
      <w:r>
        <w:rPr>
          <w:snapToGrid w:val="0"/>
        </w:rPr>
        <w:tab/>
        <w:t>first to the expenses of the sale; and</w:t>
      </w:r>
    </w:p>
    <w:p>
      <w:pPr>
        <w:pStyle w:val="Indenta"/>
        <w:rPr>
          <w:snapToGrid w:val="0"/>
        </w:rPr>
      </w:pPr>
      <w:r>
        <w:rPr>
          <w:snapToGrid w:val="0"/>
        </w:rPr>
        <w:tab/>
        <w:t>(b)</w:t>
      </w:r>
      <w:r>
        <w:rPr>
          <w:snapToGrid w:val="0"/>
        </w:rPr>
        <w:tab/>
        <w:t>second to the costs of exercising the powers in section 107,</w:t>
      </w:r>
    </w:p>
    <w:p>
      <w:pPr>
        <w:pStyle w:val="Subsection"/>
        <w:rPr>
          <w:snapToGrid w:val="0"/>
        </w:rPr>
      </w:pPr>
      <w:r>
        <w:rPr>
          <w:snapToGrid w:val="0"/>
        </w:rPr>
        <w:tab/>
      </w:r>
      <w:r>
        <w:rPr>
          <w:snapToGrid w:val="0"/>
        </w:rPr>
        <w:tab/>
        <w:t>and the balance, if any, is to be paid to the owner of the vessel or dangerous thing but, if the identity or whereabouts, or both, of the owner cannot be ascertained, that balance is to be paid to the Treasurer.</w:t>
      </w:r>
    </w:p>
    <w:p>
      <w:pPr>
        <w:pStyle w:val="Subsection"/>
        <w:rPr>
          <w:snapToGrid w:val="0"/>
        </w:rPr>
      </w:pPr>
      <w:r>
        <w:rPr>
          <w:snapToGrid w:val="0"/>
        </w:rPr>
        <w:tab/>
        <w:t>(4)</w:t>
      </w:r>
      <w:r>
        <w:rPr>
          <w:snapToGrid w:val="0"/>
        </w:rPr>
        <w:tab/>
        <w:t>The powers in subsections (1) and (2) may be exercised together.</w:t>
      </w:r>
    </w:p>
    <w:p>
      <w:pPr>
        <w:pStyle w:val="Heading5"/>
        <w:rPr>
          <w:snapToGrid w:val="0"/>
        </w:rPr>
      </w:pPr>
      <w:bookmarkStart w:id="287" w:name="_Toc398890067"/>
      <w:bookmarkStart w:id="288" w:name="_Toc424284502"/>
      <w:r>
        <w:rPr>
          <w:rStyle w:val="CharSectno"/>
        </w:rPr>
        <w:t>111</w:t>
      </w:r>
      <w:r>
        <w:rPr>
          <w:snapToGrid w:val="0"/>
        </w:rPr>
        <w:t>.</w:t>
      </w:r>
      <w:r>
        <w:rPr>
          <w:snapToGrid w:val="0"/>
        </w:rPr>
        <w:tab/>
        <w:t>Immunity from liability for acts under this Division</w:t>
      </w:r>
      <w:bookmarkEnd w:id="287"/>
      <w:bookmarkEnd w:id="288"/>
      <w:r>
        <w:rPr>
          <w:snapToGrid w:val="0"/>
        </w:rPr>
        <w:t xml:space="preserve"> </w:t>
      </w:r>
    </w:p>
    <w:p>
      <w:pPr>
        <w:pStyle w:val="Subsection"/>
        <w:rPr>
          <w:snapToGrid w:val="0"/>
        </w:rPr>
      </w:pPr>
      <w:r>
        <w:rPr>
          <w:snapToGrid w:val="0"/>
        </w:rPr>
        <w:tab/>
      </w:r>
      <w:r>
        <w:rPr>
          <w:snapToGrid w:val="0"/>
        </w:rPr>
        <w:tab/>
        <w:t>Neither the State, the port authority, the harbour master, nor any person acting under the direction of the harbour master, is liable for any loss or damage occasioned by — </w:t>
      </w:r>
    </w:p>
    <w:p>
      <w:pPr>
        <w:pStyle w:val="Indenta"/>
        <w:rPr>
          <w:snapToGrid w:val="0"/>
        </w:rPr>
      </w:pPr>
      <w:r>
        <w:rPr>
          <w:snapToGrid w:val="0"/>
        </w:rPr>
        <w:tab/>
        <w:t>(a)</w:t>
      </w:r>
      <w:r>
        <w:rPr>
          <w:snapToGrid w:val="0"/>
        </w:rPr>
        <w:tab/>
        <w:t>complying with a direction under section 104 or 105 given in good faith; or</w:t>
      </w:r>
    </w:p>
    <w:p>
      <w:pPr>
        <w:pStyle w:val="Indenta"/>
        <w:rPr>
          <w:snapToGrid w:val="0"/>
        </w:rPr>
      </w:pPr>
      <w:r>
        <w:rPr>
          <w:snapToGrid w:val="0"/>
        </w:rPr>
        <w:tab/>
        <w:t>(b)</w:t>
      </w:r>
      <w:r>
        <w:rPr>
          <w:snapToGrid w:val="0"/>
        </w:rPr>
        <w:tab/>
        <w:t>the exercise in good faith of the powers in section 107, 109 or 110(2).</w:t>
      </w:r>
    </w:p>
    <w:p>
      <w:pPr>
        <w:pStyle w:val="Heading5"/>
        <w:rPr>
          <w:snapToGrid w:val="0"/>
        </w:rPr>
      </w:pPr>
      <w:bookmarkStart w:id="289" w:name="_Toc398890068"/>
      <w:bookmarkStart w:id="290" w:name="_Toc424284503"/>
      <w:r>
        <w:rPr>
          <w:rStyle w:val="CharSectno"/>
        </w:rPr>
        <w:t>112</w:t>
      </w:r>
      <w:r>
        <w:rPr>
          <w:snapToGrid w:val="0"/>
        </w:rPr>
        <w:t>.</w:t>
      </w:r>
      <w:r>
        <w:rPr>
          <w:snapToGrid w:val="0"/>
        </w:rPr>
        <w:tab/>
        <w:t>Hindering harbour master etc., offence</w:t>
      </w:r>
      <w:bookmarkEnd w:id="289"/>
      <w:bookmarkEnd w:id="290"/>
      <w:r>
        <w:rPr>
          <w:snapToGrid w:val="0"/>
        </w:rPr>
        <w:t xml:space="preserve"> </w:t>
      </w:r>
    </w:p>
    <w:p>
      <w:pPr>
        <w:pStyle w:val="Subsection"/>
        <w:rPr>
          <w:snapToGrid w:val="0"/>
        </w:rPr>
      </w:pPr>
      <w:r>
        <w:rPr>
          <w:snapToGrid w:val="0"/>
        </w:rPr>
        <w:tab/>
      </w:r>
      <w:r>
        <w:rPr>
          <w:snapToGrid w:val="0"/>
        </w:rPr>
        <w:tab/>
        <w:t>A person who hinders a harbour master, or a person acting under the direction of a harbour master, in the exercise of the powers in section 107 or 109 commits an offence.</w:t>
      </w:r>
    </w:p>
    <w:p>
      <w:pPr>
        <w:pStyle w:val="Penstart"/>
        <w:rPr>
          <w:snapToGrid w:val="0"/>
        </w:rPr>
      </w:pPr>
      <w:r>
        <w:rPr>
          <w:snapToGrid w:val="0"/>
        </w:rPr>
        <w:tab/>
        <w:t>Penalty: $10 000.</w:t>
      </w:r>
    </w:p>
    <w:p>
      <w:pPr>
        <w:pStyle w:val="Heading3"/>
        <w:rPr>
          <w:snapToGrid w:val="0"/>
        </w:rPr>
      </w:pPr>
      <w:bookmarkStart w:id="291" w:name="_Toc398890069"/>
      <w:bookmarkStart w:id="292" w:name="_Toc424284504"/>
      <w:r>
        <w:rPr>
          <w:rStyle w:val="CharDivNo"/>
        </w:rPr>
        <w:t>Division 4</w:t>
      </w:r>
      <w:r>
        <w:rPr>
          <w:snapToGrid w:val="0"/>
        </w:rPr>
        <w:t> — </w:t>
      </w:r>
      <w:r>
        <w:rPr>
          <w:rStyle w:val="CharDivText"/>
        </w:rPr>
        <w:t>Damage in a port caused by vessels etc.</w:t>
      </w:r>
      <w:bookmarkEnd w:id="291"/>
      <w:bookmarkEnd w:id="292"/>
      <w:r>
        <w:rPr>
          <w:rStyle w:val="CharDivText"/>
        </w:rPr>
        <w:t xml:space="preserve"> </w:t>
      </w:r>
    </w:p>
    <w:p>
      <w:pPr>
        <w:pStyle w:val="Heading5"/>
        <w:rPr>
          <w:snapToGrid w:val="0"/>
        </w:rPr>
      </w:pPr>
      <w:bookmarkStart w:id="293" w:name="_Toc398890070"/>
      <w:bookmarkStart w:id="294" w:name="_Toc424284505"/>
      <w:r>
        <w:rPr>
          <w:rStyle w:val="CharSectno"/>
        </w:rPr>
        <w:t>113</w:t>
      </w:r>
      <w:r>
        <w:rPr>
          <w:snapToGrid w:val="0"/>
        </w:rPr>
        <w:t>.</w:t>
      </w:r>
      <w:r>
        <w:rPr>
          <w:snapToGrid w:val="0"/>
        </w:rPr>
        <w:tab/>
        <w:t>Responsibility for damage to port facilities or property</w:t>
      </w:r>
      <w:bookmarkEnd w:id="293"/>
      <w:bookmarkEnd w:id="294"/>
      <w:r>
        <w:rPr>
          <w:snapToGrid w:val="0"/>
        </w:rPr>
        <w:t xml:space="preserve"> </w:t>
      </w:r>
    </w:p>
    <w:p>
      <w:pPr>
        <w:pStyle w:val="Subsection"/>
      </w:pPr>
      <w:r>
        <w:tab/>
        <w:t>(1A)</w:t>
      </w:r>
      <w:r>
        <w:tab/>
        <w:t xml:space="preserve">In this section — </w:t>
      </w:r>
    </w:p>
    <w:p>
      <w:pPr>
        <w:pStyle w:val="Defstart"/>
      </w:pPr>
      <w:r>
        <w:tab/>
      </w:r>
      <w:r>
        <w:rPr>
          <w:rStyle w:val="CharDefText"/>
        </w:rPr>
        <w:t>prescribed thing</w:t>
      </w:r>
      <w:r>
        <w:t xml:space="preserve"> means — </w:t>
      </w:r>
    </w:p>
    <w:p>
      <w:pPr>
        <w:pStyle w:val="Defpara"/>
      </w:pPr>
      <w:r>
        <w:tab/>
        <w:t>(a)</w:t>
      </w:r>
      <w:r>
        <w:tab/>
        <w:t>any floating object; or</w:t>
      </w:r>
    </w:p>
    <w:p>
      <w:pPr>
        <w:pStyle w:val="Defpara"/>
      </w:pPr>
      <w:r>
        <w:tab/>
        <w:t>(b)</w:t>
      </w:r>
      <w:r>
        <w:tab/>
        <w:t>any material, product or substance (whether solid, liquid or gas); or</w:t>
      </w:r>
    </w:p>
    <w:p>
      <w:pPr>
        <w:pStyle w:val="Defpara"/>
      </w:pPr>
      <w:r>
        <w:tab/>
        <w:t>(c)</w:t>
      </w:r>
      <w:r>
        <w:tab/>
        <w:t>any vehicle, plant, machinery, equipment or infrastructure.</w:t>
      </w:r>
    </w:p>
    <w:p>
      <w:pPr>
        <w:pStyle w:val="Subsection"/>
        <w:rPr>
          <w:snapToGrid w:val="0"/>
        </w:rPr>
      </w:pPr>
      <w:r>
        <w:rPr>
          <w:snapToGrid w:val="0"/>
        </w:rPr>
        <w:tab/>
        <w:t>(1)</w:t>
      </w:r>
      <w:r>
        <w:rPr>
          <w:snapToGrid w:val="0"/>
        </w:rPr>
        <w:tab/>
        <w:t>This section applies if any port facility or other property of a port authority is damaged by — </w:t>
      </w:r>
    </w:p>
    <w:p>
      <w:pPr>
        <w:pStyle w:val="Indenta"/>
        <w:rPr>
          <w:snapToGrid w:val="0"/>
        </w:rPr>
      </w:pPr>
      <w:r>
        <w:rPr>
          <w:snapToGrid w:val="0"/>
        </w:rPr>
        <w:tab/>
        <w:t>(a)</w:t>
      </w:r>
      <w:r>
        <w:rPr>
          <w:snapToGrid w:val="0"/>
        </w:rPr>
        <w:tab/>
        <w:t>a vessel or its equipment or cargo; or</w:t>
      </w:r>
    </w:p>
    <w:p>
      <w:pPr>
        <w:pStyle w:val="Indenta"/>
      </w:pPr>
      <w:r>
        <w:tab/>
        <w:t>(b)</w:t>
      </w:r>
      <w:r>
        <w:tab/>
        <w:t>a prescribed thing; or</w:t>
      </w:r>
    </w:p>
    <w:p>
      <w:pPr>
        <w:pStyle w:val="Indenta"/>
        <w:rPr>
          <w:snapToGrid w:val="0"/>
        </w:rPr>
      </w:pPr>
      <w:r>
        <w:tab/>
        <w:t>(c)</w:t>
      </w:r>
      <w:r>
        <w:tab/>
        <w:t xml:space="preserve">any person employed in, on or in relation to, a </w:t>
      </w:r>
      <w:r>
        <w:rPr>
          <w:snapToGrid w:val="0"/>
        </w:rPr>
        <w:t>vessel, or its equipment or cargo, or a prescribed thing.</w:t>
      </w:r>
    </w:p>
    <w:p>
      <w:pPr>
        <w:pStyle w:val="Ednotepara"/>
        <w:rPr>
          <w:snapToGrid w:val="0"/>
        </w:rPr>
      </w:pPr>
      <w:r>
        <w:tab/>
        <w:t>[(d)</w:t>
      </w:r>
      <w:r>
        <w:tab/>
        <w:t>deleted]</w:t>
      </w:r>
    </w:p>
    <w:p>
      <w:pPr>
        <w:pStyle w:val="Subsection"/>
        <w:rPr>
          <w:snapToGrid w:val="0"/>
        </w:rPr>
      </w:pPr>
      <w:r>
        <w:rPr>
          <w:snapToGrid w:val="0"/>
        </w:rPr>
        <w:tab/>
        <w:t>(2)</w:t>
      </w:r>
      <w:r>
        <w:rPr>
          <w:snapToGrid w:val="0"/>
        </w:rPr>
        <w:tab/>
        <w:t>If this section applies, the owner of the vessel or prescribed thing is answerable in damages to the port authority for the whole of the damage whether or not the damage is caused through a person’s wilful or negligent act or omission.</w:t>
      </w:r>
    </w:p>
    <w:p>
      <w:pPr>
        <w:pStyle w:val="Subsection"/>
        <w:rPr>
          <w:snapToGrid w:val="0"/>
        </w:rPr>
      </w:pPr>
      <w:r>
        <w:rPr>
          <w:snapToGrid w:val="0"/>
        </w:rPr>
        <w:tab/>
        <w:t>(3)</w:t>
      </w:r>
      <w:r>
        <w:rPr>
          <w:snapToGrid w:val="0"/>
        </w:rPr>
        <w:tab/>
        <w:t>If the damage is caused through the wilful or negligent act or omission of the master of the vessel or of the person having charge or control of the prescribed thing, that master or person (as well as the owner) is answerable in damages to the port authority for the whole of the damage.</w:t>
      </w:r>
    </w:p>
    <w:p>
      <w:pPr>
        <w:pStyle w:val="Subsection"/>
        <w:rPr>
          <w:snapToGrid w:val="0"/>
        </w:rPr>
      </w:pPr>
      <w:r>
        <w:rPr>
          <w:snapToGrid w:val="0"/>
        </w:rPr>
        <w:tab/>
        <w:t>(4)</w:t>
      </w:r>
      <w:r>
        <w:rPr>
          <w:snapToGrid w:val="0"/>
        </w:rPr>
        <w:tab/>
        <w:t>Neither the port authority nor any other person is entitled under this section to recover more than once for the same cause of action.</w:t>
      </w:r>
    </w:p>
    <w:p>
      <w:pPr>
        <w:pStyle w:val="Subsection"/>
        <w:rPr>
          <w:snapToGrid w:val="0"/>
        </w:rPr>
      </w:pPr>
      <w:r>
        <w:rPr>
          <w:snapToGrid w:val="0"/>
        </w:rPr>
        <w:tab/>
        <w:t>(5)</w:t>
      </w:r>
      <w:r>
        <w:rPr>
          <w:snapToGrid w:val="0"/>
        </w:rPr>
        <w:tab/>
        <w:t>If the owner of any vessel or prescribed thing —</w:t>
      </w:r>
    </w:p>
    <w:p>
      <w:pPr>
        <w:pStyle w:val="Indenta"/>
        <w:rPr>
          <w:snapToGrid w:val="0"/>
        </w:rPr>
      </w:pPr>
      <w:r>
        <w:rPr>
          <w:snapToGrid w:val="0"/>
        </w:rPr>
        <w:tab/>
        <w:t>(a)</w:t>
      </w:r>
      <w:r>
        <w:rPr>
          <w:snapToGrid w:val="0"/>
        </w:rPr>
        <w:tab/>
        <w:t>pays any money in respect of any damage to which this section applies caused through the wilful or negligent act or omission of a master or other person referred to in subsection (3); or</w:t>
      </w:r>
    </w:p>
    <w:p>
      <w:pPr>
        <w:pStyle w:val="Indenta"/>
        <w:rPr>
          <w:snapToGrid w:val="0"/>
        </w:rPr>
      </w:pPr>
      <w:r>
        <w:rPr>
          <w:snapToGrid w:val="0"/>
        </w:rPr>
        <w:tab/>
        <w:t>(b)</w:t>
      </w:r>
      <w:r>
        <w:rPr>
          <w:snapToGrid w:val="0"/>
        </w:rPr>
        <w:tab/>
        <w:t>pays any fine by reason of any act or omission of a master or other person referred to in subsection (3),</w:t>
      </w:r>
    </w:p>
    <w:p>
      <w:pPr>
        <w:pStyle w:val="Subsection"/>
        <w:rPr>
          <w:snapToGrid w:val="0"/>
        </w:rPr>
      </w:pPr>
      <w:r>
        <w:rPr>
          <w:snapToGrid w:val="0"/>
        </w:rPr>
        <w:tab/>
      </w:r>
      <w:r>
        <w:rPr>
          <w:snapToGrid w:val="0"/>
        </w:rPr>
        <w:tab/>
        <w:t>the owner may recover the money or fine so paid, with costs, from that master or other person in a court of competent jurisdiction as a debt due to the owner.</w:t>
      </w:r>
    </w:p>
    <w:p>
      <w:pPr>
        <w:pStyle w:val="Subsection"/>
        <w:rPr>
          <w:snapToGrid w:val="0"/>
        </w:rPr>
      </w:pPr>
      <w:r>
        <w:rPr>
          <w:snapToGrid w:val="0"/>
        </w:rPr>
        <w:tab/>
        <w:t>(6)</w:t>
      </w:r>
      <w:r>
        <w:rPr>
          <w:snapToGrid w:val="0"/>
        </w:rPr>
        <w:tab/>
        <w:t>In an action under this section the damages recoverable are to be determined on the basis of — </w:t>
      </w:r>
    </w:p>
    <w:p>
      <w:pPr>
        <w:pStyle w:val="Indenta"/>
        <w:rPr>
          <w:snapToGrid w:val="0"/>
        </w:rPr>
      </w:pPr>
      <w:r>
        <w:rPr>
          <w:snapToGrid w:val="0"/>
        </w:rPr>
        <w:tab/>
        <w:t>(a)</w:t>
      </w:r>
      <w:r>
        <w:rPr>
          <w:snapToGrid w:val="0"/>
        </w:rPr>
        <w:tab/>
        <w:t>the actual cost incurred in repairing or replacing the damaged port facility or property without taking into account any betterment or depreciation; and</w:t>
      </w:r>
    </w:p>
    <w:p>
      <w:pPr>
        <w:pStyle w:val="Indenta"/>
        <w:rPr>
          <w:snapToGrid w:val="0"/>
        </w:rPr>
      </w:pPr>
      <w:r>
        <w:rPr>
          <w:snapToGrid w:val="0"/>
        </w:rPr>
        <w:tab/>
        <w:t>(b)</w:t>
      </w:r>
      <w:r>
        <w:rPr>
          <w:snapToGrid w:val="0"/>
        </w:rPr>
        <w:tab/>
        <w:t>any economic loss suffered by the port authority as a result of the damage.</w:t>
      </w:r>
    </w:p>
    <w:p>
      <w:pPr>
        <w:pStyle w:val="Footnotesection"/>
        <w:ind w:left="890" w:hanging="890"/>
      </w:pPr>
      <w:r>
        <w:tab/>
        <w:t>[Section 113 amended by No. 9 of 2014 s. 25.]</w:t>
      </w:r>
    </w:p>
    <w:p>
      <w:pPr>
        <w:pStyle w:val="Heading3"/>
        <w:rPr>
          <w:snapToGrid w:val="0"/>
        </w:rPr>
      </w:pPr>
      <w:bookmarkStart w:id="295" w:name="_Toc398890071"/>
      <w:bookmarkStart w:id="296" w:name="_Toc424284506"/>
      <w:r>
        <w:rPr>
          <w:rStyle w:val="CharDivNo"/>
        </w:rPr>
        <w:t>Division 5</w:t>
      </w:r>
      <w:r>
        <w:rPr>
          <w:snapToGrid w:val="0"/>
        </w:rPr>
        <w:t xml:space="preserve"> — </w:t>
      </w:r>
      <w:r>
        <w:rPr>
          <w:rStyle w:val="CharDivText"/>
        </w:rPr>
        <w:t>Port safety</w:t>
      </w:r>
      <w:bookmarkEnd w:id="295"/>
      <w:bookmarkEnd w:id="296"/>
    </w:p>
    <w:p>
      <w:pPr>
        <w:pStyle w:val="Heading5"/>
      </w:pPr>
      <w:bookmarkStart w:id="297" w:name="_Toc398890072"/>
      <w:bookmarkStart w:id="298" w:name="_Toc424284507"/>
      <w:r>
        <w:rPr>
          <w:rStyle w:val="CharSectno"/>
        </w:rPr>
        <w:t>114</w:t>
      </w:r>
      <w:r>
        <w:t>.</w:t>
      </w:r>
      <w:r>
        <w:tab/>
        <w:t>Marine safety plan, port authority to have</w:t>
      </w:r>
      <w:bookmarkEnd w:id="297"/>
      <w:bookmarkEnd w:id="298"/>
    </w:p>
    <w:p>
      <w:pPr>
        <w:pStyle w:val="Subsection"/>
        <w:keepNext/>
      </w:pPr>
      <w:r>
        <w:tab/>
        <w:t>(1)</w:t>
      </w:r>
      <w:r>
        <w:tab/>
        <w:t>In this section —</w:t>
      </w:r>
    </w:p>
    <w:p>
      <w:pPr>
        <w:pStyle w:val="Defstart"/>
      </w:pPr>
      <w:r>
        <w:tab/>
      </w:r>
      <w:r>
        <w:rPr>
          <w:rStyle w:val="CharDefText"/>
        </w:rPr>
        <w:t>marine safety plan</w:t>
      </w:r>
      <w:r>
        <w:t xml:space="preserve"> means a plan prepared by a port authority and approved by the Minister setting out the arrangements for marine safety at the port.</w:t>
      </w:r>
    </w:p>
    <w:p>
      <w:pPr>
        <w:pStyle w:val="Subsection"/>
      </w:pPr>
      <w:r>
        <w:tab/>
        <w:t>(2)</w:t>
      </w:r>
      <w:r>
        <w:tab/>
        <w:t>A port authority is to have, maintain and implement a marine safety plan for its port.</w:t>
      </w:r>
    </w:p>
    <w:p>
      <w:pPr>
        <w:pStyle w:val="Subsection"/>
      </w:pPr>
      <w:r>
        <w:tab/>
        <w:t>(3)</w:t>
      </w:r>
      <w:r>
        <w:tab/>
        <w:t>The Minister is to monitor the maintenance of a port authority’s marine safety plan and may —</w:t>
      </w:r>
    </w:p>
    <w:p>
      <w:pPr>
        <w:pStyle w:val="Indenta"/>
      </w:pPr>
      <w:r>
        <w:tab/>
        <w:t>(a)</w:t>
      </w:r>
      <w:r>
        <w:tab/>
        <w:t>give directions to the port authority as to the maintenance of the plan; and</w:t>
      </w:r>
    </w:p>
    <w:p>
      <w:pPr>
        <w:pStyle w:val="Indenta"/>
      </w:pPr>
      <w:r>
        <w:tab/>
        <w:t>(b)</w:t>
      </w:r>
      <w:r>
        <w:tab/>
        <w:t>direct the port authority to review the plan from time to time and submit modifications of it to the Minister for approval.</w:t>
      </w:r>
    </w:p>
    <w:p>
      <w:pPr>
        <w:pStyle w:val="Subsection"/>
      </w:pPr>
      <w:r>
        <w:tab/>
        <w:t>(4)</w:t>
      </w:r>
      <w:r>
        <w:tab/>
        <w:t>The port authority is to give effect to any direction under subsection (3).</w:t>
      </w:r>
    </w:p>
    <w:p>
      <w:pPr>
        <w:pStyle w:val="Subsection"/>
      </w:pPr>
      <w:r>
        <w:tab/>
        <w:t>(5)</w:t>
      </w:r>
      <w:r>
        <w:tab/>
        <w:t>The Minister must within 14 days after a direction is given cause a copy of it to be laid before each House of Parliament or dealt with in accordance with section 133.</w:t>
      </w:r>
    </w:p>
    <w:p>
      <w:pPr>
        <w:pStyle w:val="Heading3"/>
        <w:keepLines/>
      </w:pPr>
      <w:bookmarkStart w:id="299" w:name="_Toc398890073"/>
      <w:bookmarkStart w:id="300" w:name="_Toc424284508"/>
      <w:r>
        <w:rPr>
          <w:rStyle w:val="CharDivNo"/>
        </w:rPr>
        <w:t>Division 6</w:t>
      </w:r>
      <w:r>
        <w:t xml:space="preserve"> — </w:t>
      </w:r>
      <w:r>
        <w:rPr>
          <w:rStyle w:val="CharDivText"/>
        </w:rPr>
        <w:t>Powers of police officers and others</w:t>
      </w:r>
      <w:bookmarkEnd w:id="299"/>
      <w:bookmarkEnd w:id="300"/>
      <w:r>
        <w:t xml:space="preserve"> </w:t>
      </w:r>
    </w:p>
    <w:p>
      <w:pPr>
        <w:pStyle w:val="Footnoteheading"/>
        <w:keepNext/>
        <w:keepLines/>
        <w:tabs>
          <w:tab w:val="left" w:pos="851"/>
        </w:tabs>
      </w:pPr>
      <w:r>
        <w:tab/>
        <w:t>[Heading inserted by No. 71 of 2003 s. 7.]</w:t>
      </w:r>
    </w:p>
    <w:p>
      <w:pPr>
        <w:pStyle w:val="Heading5"/>
      </w:pPr>
      <w:bookmarkStart w:id="301" w:name="_Toc398890074"/>
      <w:bookmarkStart w:id="302" w:name="_Toc424284509"/>
      <w:r>
        <w:rPr>
          <w:rStyle w:val="CharSectno"/>
        </w:rPr>
        <w:t>114A</w:t>
      </w:r>
      <w:r>
        <w:t>.</w:t>
      </w:r>
      <w:r>
        <w:tab/>
        <w:t>Police officers and others may enter vessels and conduct examinations and enquiries</w:t>
      </w:r>
      <w:bookmarkEnd w:id="301"/>
      <w:bookmarkEnd w:id="302"/>
    </w:p>
    <w:p>
      <w:pPr>
        <w:pStyle w:val="Subsection"/>
      </w:pPr>
      <w:r>
        <w:tab/>
        <w:t>(1)</w:t>
      </w:r>
      <w:r>
        <w:tab/>
        <w:t>An authorised officer may at any time enter a vessel in a port and conduct any examination or enquiry that the authorised officer considers necessary to determine whether there has been compliance with this Act.</w:t>
      </w:r>
    </w:p>
    <w:p>
      <w:pPr>
        <w:pStyle w:val="Subsection"/>
      </w:pPr>
      <w:r>
        <w:tab/>
        <w:t>(2)</w:t>
      </w:r>
      <w:r>
        <w:tab/>
        <w:t xml:space="preserve">In this section — </w:t>
      </w:r>
    </w:p>
    <w:p>
      <w:pPr>
        <w:pStyle w:val="Defstart"/>
      </w:pPr>
      <w:r>
        <w:tab/>
      </w:r>
      <w:r>
        <w:rPr>
          <w:rStyle w:val="CharDefText"/>
        </w:rPr>
        <w:t>authorised officer</w:t>
      </w:r>
      <w:r>
        <w:t xml:space="preserve"> means — </w:t>
      </w:r>
    </w:p>
    <w:p>
      <w:pPr>
        <w:pStyle w:val="Defpara"/>
      </w:pPr>
      <w:r>
        <w:tab/>
        <w:t>(a)</w:t>
      </w:r>
      <w:r>
        <w:tab/>
        <w:t>a police officer; or</w:t>
      </w:r>
    </w:p>
    <w:p>
      <w:pPr>
        <w:pStyle w:val="Defpara"/>
      </w:pPr>
      <w:r>
        <w:tab/>
        <w:t>(b)</w:t>
      </w:r>
      <w:r>
        <w:tab/>
        <w:t>a member of staff of the port authority, or another person, authorised by the port authority for the purposes of this section.</w:t>
      </w:r>
    </w:p>
    <w:p>
      <w:pPr>
        <w:pStyle w:val="Footnotesection"/>
        <w:ind w:left="890" w:hanging="890"/>
      </w:pPr>
      <w:r>
        <w:tab/>
        <w:t>[Section 114A inserted by No. 71 of 2003 s. 7.]</w:t>
      </w:r>
    </w:p>
    <w:p>
      <w:pPr>
        <w:pStyle w:val="Heading3"/>
      </w:pPr>
      <w:bookmarkStart w:id="303" w:name="_Toc398890075"/>
      <w:bookmarkStart w:id="304" w:name="_Toc424284510"/>
      <w:r>
        <w:rPr>
          <w:rStyle w:val="CharDivNo"/>
        </w:rPr>
        <w:t>Division 7</w:t>
      </w:r>
      <w:r>
        <w:t xml:space="preserve"> — </w:t>
      </w:r>
      <w:r>
        <w:rPr>
          <w:rStyle w:val="CharDivText"/>
        </w:rPr>
        <w:t>Protection from liability</w:t>
      </w:r>
      <w:bookmarkEnd w:id="303"/>
      <w:bookmarkEnd w:id="304"/>
    </w:p>
    <w:p>
      <w:pPr>
        <w:pStyle w:val="Footnoteheading"/>
        <w:tabs>
          <w:tab w:val="left" w:pos="851"/>
        </w:tabs>
      </w:pPr>
      <w:r>
        <w:tab/>
        <w:t>[Heading inserted by No. 71 of 2003 s. 7.]</w:t>
      </w:r>
    </w:p>
    <w:p>
      <w:pPr>
        <w:pStyle w:val="Heading5"/>
      </w:pPr>
      <w:bookmarkStart w:id="305" w:name="_Toc398890076"/>
      <w:bookmarkStart w:id="306" w:name="_Toc424284511"/>
      <w:r>
        <w:rPr>
          <w:rStyle w:val="CharSectno"/>
        </w:rPr>
        <w:t>114B</w:t>
      </w:r>
      <w:r>
        <w:t>.</w:t>
      </w:r>
      <w:r>
        <w:tab/>
        <w:t>Immunity from liability for damage to vessels</w:t>
      </w:r>
      <w:bookmarkEnd w:id="305"/>
      <w:bookmarkEnd w:id="306"/>
    </w:p>
    <w:p>
      <w:pPr>
        <w:pStyle w:val="Subsection"/>
      </w:pPr>
      <w:r>
        <w:tab/>
        <w:t>(1)</w:t>
      </w:r>
      <w:r>
        <w:tab/>
        <w:t>Without limiting any other provision of this Part, a port authority is not liable for any loss or damage caused to a vessel in its port.</w:t>
      </w:r>
    </w:p>
    <w:p>
      <w:pPr>
        <w:pStyle w:val="Subsection"/>
      </w:pPr>
      <w:r>
        <w:tab/>
        <w:t>(2)</w:t>
      </w:r>
      <w:r>
        <w:tab/>
        <w:t xml:space="preserve">Without limiting subsection (1) or any other provision of this Part, a port authority is not liable for any loss or damage caused to a vessel in its port — </w:t>
      </w:r>
    </w:p>
    <w:p>
      <w:pPr>
        <w:pStyle w:val="Indenta"/>
      </w:pPr>
      <w:r>
        <w:tab/>
        <w:t>(a)</w:t>
      </w:r>
      <w:r>
        <w:tab/>
        <w:t xml:space="preserve">that results from — </w:t>
      </w:r>
    </w:p>
    <w:p>
      <w:pPr>
        <w:pStyle w:val="Indenti"/>
      </w:pPr>
      <w:r>
        <w:tab/>
        <w:t>(i)</w:t>
      </w:r>
      <w:r>
        <w:tab/>
        <w:t>the master of the vessel complying with a direction given in good faith; or</w:t>
      </w:r>
    </w:p>
    <w:p>
      <w:pPr>
        <w:pStyle w:val="Indenti"/>
        <w:keepNext/>
        <w:keepLines/>
      </w:pPr>
      <w:r>
        <w:tab/>
        <w:t>(ii)</w:t>
      </w:r>
      <w:r>
        <w:tab/>
        <w:t>a thing done or omitted to be done in good faith in respect of the vessel,</w:t>
      </w:r>
    </w:p>
    <w:p>
      <w:pPr>
        <w:pStyle w:val="Indenta"/>
        <w:keepLines/>
        <w:spacing w:before="60"/>
      </w:pPr>
      <w:r>
        <w:tab/>
      </w:r>
      <w:r>
        <w:tab/>
        <w:t>by the harbour master or a member of the staff of the port authority; or</w:t>
      </w:r>
    </w:p>
    <w:p>
      <w:pPr>
        <w:pStyle w:val="Indenta"/>
      </w:pPr>
      <w:r>
        <w:tab/>
        <w:t>(b)</w:t>
      </w:r>
      <w:r>
        <w:tab/>
        <w:t>that results from a defect in a mooring, anchorage or berth, or anything else, provided by the port authority.</w:t>
      </w:r>
    </w:p>
    <w:p>
      <w:pPr>
        <w:pStyle w:val="Footnotesection"/>
        <w:ind w:left="890" w:hanging="890"/>
      </w:pPr>
      <w:r>
        <w:tab/>
        <w:t>[Section 114B inserted by No. 71 of 2003 s. 7.]</w:t>
      </w:r>
    </w:p>
    <w:p>
      <w:pPr>
        <w:pStyle w:val="Heading5"/>
      </w:pPr>
      <w:bookmarkStart w:id="307" w:name="_Toc398890077"/>
      <w:bookmarkStart w:id="308" w:name="_Toc424284512"/>
      <w:r>
        <w:rPr>
          <w:rStyle w:val="CharSectno"/>
        </w:rPr>
        <w:t>114C</w:t>
      </w:r>
      <w:r>
        <w:t>.</w:t>
      </w:r>
      <w:r>
        <w:tab/>
        <w:t>Immunity from liability for damaged goods</w:t>
      </w:r>
      <w:bookmarkEnd w:id="307"/>
      <w:bookmarkEnd w:id="308"/>
    </w:p>
    <w:p>
      <w:pPr>
        <w:pStyle w:val="Subsection"/>
      </w:pPr>
      <w:r>
        <w:tab/>
        <w:t>(1)</w:t>
      </w:r>
      <w:r>
        <w:tab/>
        <w:t xml:space="preserve">A port authority is not liable for any loss or damage caused to any goods that a person (other than the port authority) — </w:t>
      </w:r>
    </w:p>
    <w:p>
      <w:pPr>
        <w:pStyle w:val="Indenta"/>
      </w:pPr>
      <w:r>
        <w:tab/>
        <w:t>(a)</w:t>
      </w:r>
      <w:r>
        <w:tab/>
        <w:t>loads on to or unloads from a vessel at the port; or</w:t>
      </w:r>
    </w:p>
    <w:p>
      <w:pPr>
        <w:pStyle w:val="Indenta"/>
      </w:pPr>
      <w:r>
        <w:tab/>
        <w:t>(b)</w:t>
      </w:r>
      <w:r>
        <w:tab/>
        <w:t>stores at the port.</w:t>
      </w:r>
    </w:p>
    <w:p>
      <w:pPr>
        <w:pStyle w:val="Subsection"/>
      </w:pPr>
      <w:r>
        <w:tab/>
        <w:t>(2)</w:t>
      </w:r>
      <w:r>
        <w:tab/>
        <w:t>The port authority does not become liable for any loss or damage caused to any goods referred to in subsection (1)(b) stored in an uncovered or unprotected manner at the port because the port authority provides, or attempts to provide, any temporary cover or protection for those goods.</w:t>
      </w:r>
    </w:p>
    <w:p>
      <w:pPr>
        <w:pStyle w:val="Footnotesection"/>
      </w:pPr>
      <w:r>
        <w:tab/>
        <w:t>[Section 114C inserted by No. 71 of 2003 s. 7.]</w:t>
      </w:r>
    </w:p>
    <w:p>
      <w:pPr>
        <w:pStyle w:val="Heading5"/>
      </w:pPr>
      <w:bookmarkStart w:id="309" w:name="_Toc398890078"/>
      <w:bookmarkStart w:id="310" w:name="_Toc424284513"/>
      <w:r>
        <w:rPr>
          <w:rStyle w:val="CharSectno"/>
        </w:rPr>
        <w:t>114D</w:t>
      </w:r>
      <w:r>
        <w:t>.</w:t>
      </w:r>
      <w:r>
        <w:tab/>
        <w:t>Immunity from liability for delay in delivery of goods</w:t>
      </w:r>
      <w:bookmarkEnd w:id="309"/>
      <w:bookmarkEnd w:id="310"/>
    </w:p>
    <w:p>
      <w:pPr>
        <w:pStyle w:val="Subsection"/>
      </w:pPr>
      <w:r>
        <w:tab/>
      </w:r>
      <w:r>
        <w:tab/>
        <w:t>A port authority is not liable for any loss caused by or relating to a delay in the delivery of any goods loaded on to or unloaded from a vessel at the port.</w:t>
      </w:r>
    </w:p>
    <w:p>
      <w:pPr>
        <w:pStyle w:val="Footnotesection"/>
      </w:pPr>
      <w:r>
        <w:tab/>
        <w:t>[Section 114D inserted by No. 71 of 2003 s. 7.]</w:t>
      </w:r>
    </w:p>
    <w:p>
      <w:pPr>
        <w:pStyle w:val="Heading5"/>
      </w:pPr>
      <w:bookmarkStart w:id="311" w:name="_Toc398890079"/>
      <w:bookmarkStart w:id="312" w:name="_Toc424284514"/>
      <w:r>
        <w:rPr>
          <w:rStyle w:val="CharSectno"/>
        </w:rPr>
        <w:t>114EA</w:t>
      </w:r>
      <w:r>
        <w:t>.</w:t>
      </w:r>
      <w:r>
        <w:tab/>
        <w:t>Immunity from liability for acts or omissions of port users</w:t>
      </w:r>
      <w:bookmarkEnd w:id="311"/>
      <w:bookmarkEnd w:id="312"/>
    </w:p>
    <w:p>
      <w:pPr>
        <w:pStyle w:val="Subsection"/>
      </w:pPr>
      <w:r>
        <w:tab/>
        <w:t>(1)</w:t>
      </w:r>
      <w:r>
        <w:tab/>
        <w:t>A port authority is not liable for any loss or damage resulting from an act or omission of a person who is, or is acting on behalf of, a user of its port.</w:t>
      </w:r>
    </w:p>
    <w:p>
      <w:pPr>
        <w:pStyle w:val="Subsection"/>
      </w:pPr>
      <w:r>
        <w:tab/>
        <w:t>(2)</w:t>
      </w:r>
      <w:r>
        <w:tab/>
        <w:t>Subsection (1) does not affect any liability a port authority might have for breach of contract.</w:t>
      </w:r>
    </w:p>
    <w:p>
      <w:pPr>
        <w:pStyle w:val="Footnotesection"/>
      </w:pPr>
      <w:r>
        <w:tab/>
        <w:t>[Section 114EA inserted by No. 9 of 2014 s. 26.]</w:t>
      </w:r>
    </w:p>
    <w:p>
      <w:pPr>
        <w:pStyle w:val="Heading5"/>
      </w:pPr>
      <w:bookmarkStart w:id="313" w:name="_Toc398890080"/>
      <w:bookmarkStart w:id="314" w:name="_Toc424284515"/>
      <w:r>
        <w:rPr>
          <w:rStyle w:val="CharSectno"/>
        </w:rPr>
        <w:t>114E</w:t>
      </w:r>
      <w:r>
        <w:t>.</w:t>
      </w:r>
      <w:r>
        <w:tab/>
        <w:t>Immunity from liability for certain events and actions</w:t>
      </w:r>
      <w:bookmarkEnd w:id="313"/>
      <w:bookmarkEnd w:id="314"/>
    </w:p>
    <w:p>
      <w:pPr>
        <w:pStyle w:val="Subsection"/>
      </w:pPr>
      <w:r>
        <w:tab/>
        <w:t>(1)</w:t>
      </w:r>
      <w:r>
        <w:tab/>
        <w:t xml:space="preserve">A port authority is not liable for any loss or damage resulting from an event outside the control of the port authority, including — </w:t>
      </w:r>
    </w:p>
    <w:p>
      <w:pPr>
        <w:pStyle w:val="Indenta"/>
      </w:pPr>
      <w:r>
        <w:tab/>
        <w:t>(a)</w:t>
      </w:r>
      <w:r>
        <w:tab/>
        <w:t>an act of God; or</w:t>
      </w:r>
    </w:p>
    <w:p>
      <w:pPr>
        <w:pStyle w:val="Indenta"/>
      </w:pPr>
      <w:r>
        <w:tab/>
        <w:t>(b)</w:t>
      </w:r>
      <w:r>
        <w:tab/>
        <w:t>an act of war; or</w:t>
      </w:r>
    </w:p>
    <w:p>
      <w:pPr>
        <w:pStyle w:val="Indenta"/>
      </w:pPr>
      <w:r>
        <w:tab/>
        <w:t>(c)</w:t>
      </w:r>
      <w:r>
        <w:tab/>
        <w:t>an act of public enemies; or</w:t>
      </w:r>
    </w:p>
    <w:p>
      <w:pPr>
        <w:pStyle w:val="Indenta"/>
      </w:pPr>
      <w:r>
        <w:tab/>
        <w:t>(d)</w:t>
      </w:r>
      <w:r>
        <w:tab/>
        <w:t>any insurrection, revolution or civil disorder; or</w:t>
      </w:r>
    </w:p>
    <w:p>
      <w:pPr>
        <w:pStyle w:val="Indenta"/>
      </w:pPr>
      <w:r>
        <w:tab/>
        <w:t>(e)</w:t>
      </w:r>
      <w:r>
        <w:tab/>
        <w:t>the unlawful seizure or control of any people or any vessels, vehicles or other property; or</w:t>
      </w:r>
    </w:p>
    <w:p>
      <w:pPr>
        <w:pStyle w:val="Indenta"/>
      </w:pPr>
      <w:r>
        <w:tab/>
        <w:t>(f)</w:t>
      </w:r>
      <w:r>
        <w:tab/>
        <w:t>any industrial disputes of any kind, including strikes, lockouts, stoppages or restraints of labour (whether partial or general) from any cause; or</w:t>
      </w:r>
    </w:p>
    <w:p>
      <w:pPr>
        <w:pStyle w:val="Indenta"/>
      </w:pPr>
      <w:r>
        <w:tab/>
        <w:t>(g)</w:t>
      </w:r>
      <w:r>
        <w:tab/>
        <w:t>the use for the purpose of war or defence, or training or preparation for war or defence, of any port facilities or other property of the port authority.</w:t>
      </w:r>
    </w:p>
    <w:p>
      <w:pPr>
        <w:pStyle w:val="Subsection"/>
      </w:pPr>
      <w:r>
        <w:tab/>
        <w:t>(2)</w:t>
      </w:r>
      <w:r>
        <w:tab/>
        <w:t xml:space="preserve">A port authority is not liable for any loss or damage resulting from any action taken or caused to be taken by the port authority under section 27 or 28 of the </w:t>
      </w:r>
      <w:r>
        <w:rPr>
          <w:i/>
        </w:rPr>
        <w:t>Pollution of Waters by Oil and Noxious Substances Act 1987</w:t>
      </w:r>
      <w:r>
        <w:t>.</w:t>
      </w:r>
    </w:p>
    <w:p>
      <w:pPr>
        <w:pStyle w:val="Footnotesection"/>
      </w:pPr>
      <w:r>
        <w:tab/>
        <w:t>[Section 114E inserted by No. 71 of 2003 s. 7.]</w:t>
      </w:r>
    </w:p>
    <w:p>
      <w:pPr>
        <w:pStyle w:val="Heading2"/>
      </w:pPr>
      <w:bookmarkStart w:id="315" w:name="_Toc398890081"/>
      <w:bookmarkStart w:id="316" w:name="_Toc424284516"/>
      <w:r>
        <w:rPr>
          <w:rStyle w:val="CharPartNo"/>
        </w:rPr>
        <w:t>Part 8</w:t>
      </w:r>
      <w:r>
        <w:rPr>
          <w:rStyle w:val="CharDivNo"/>
        </w:rPr>
        <w:t xml:space="preserve"> </w:t>
      </w:r>
      <w:r>
        <w:t>—</w:t>
      </w:r>
      <w:r>
        <w:rPr>
          <w:rStyle w:val="CharDivText"/>
        </w:rPr>
        <w:t xml:space="preserve"> </w:t>
      </w:r>
      <w:r>
        <w:rPr>
          <w:rStyle w:val="CharPartText"/>
        </w:rPr>
        <w:t>Port charges</w:t>
      </w:r>
      <w:bookmarkEnd w:id="315"/>
      <w:bookmarkEnd w:id="316"/>
      <w:r>
        <w:rPr>
          <w:rStyle w:val="CharPartText"/>
        </w:rPr>
        <w:t xml:space="preserve"> </w:t>
      </w:r>
    </w:p>
    <w:p>
      <w:pPr>
        <w:pStyle w:val="Heading5"/>
        <w:rPr>
          <w:snapToGrid w:val="0"/>
        </w:rPr>
      </w:pPr>
      <w:bookmarkStart w:id="317" w:name="_Toc398890082"/>
      <w:bookmarkStart w:id="318" w:name="_Toc424284517"/>
      <w:r>
        <w:rPr>
          <w:rStyle w:val="CharSectno"/>
        </w:rPr>
        <w:t>115</w:t>
      </w:r>
      <w:r>
        <w:rPr>
          <w:snapToGrid w:val="0"/>
        </w:rPr>
        <w:t>.</w:t>
      </w:r>
      <w:r>
        <w:rPr>
          <w:snapToGrid w:val="0"/>
        </w:rPr>
        <w:tab/>
        <w:t>Term used: port charges; application of this Part</w:t>
      </w:r>
      <w:bookmarkEnd w:id="317"/>
      <w:bookmarkEnd w:id="318"/>
    </w:p>
    <w:p>
      <w:pPr>
        <w:pStyle w:val="Subsection"/>
        <w:rPr>
          <w:snapToGrid w:val="0"/>
        </w:rPr>
      </w:pPr>
      <w:r>
        <w:rPr>
          <w:snapToGrid w:val="0"/>
        </w:rPr>
        <w:tab/>
        <w:t>(1)</w:t>
      </w:r>
      <w:r>
        <w:rPr>
          <w:snapToGrid w:val="0"/>
        </w:rPr>
        <w:tab/>
        <w:t>In this Part — </w:t>
      </w:r>
    </w:p>
    <w:p>
      <w:pPr>
        <w:pStyle w:val="Defstart"/>
      </w:pPr>
      <w:r>
        <w:rPr>
          <w:b/>
        </w:rPr>
        <w:tab/>
      </w:r>
      <w:r>
        <w:rPr>
          <w:rStyle w:val="CharDefText"/>
        </w:rPr>
        <w:t>port charges</w:t>
      </w:r>
      <w:r>
        <w:t xml:space="preserve"> means — </w:t>
      </w:r>
    </w:p>
    <w:p>
      <w:pPr>
        <w:pStyle w:val="Defpara"/>
      </w:pPr>
      <w:r>
        <w:tab/>
        <w:t>(a)</w:t>
      </w:r>
      <w:r>
        <w:tab/>
        <w:t>port dues and wharfage, berthage, tonnage and access charges; or</w:t>
      </w:r>
    </w:p>
    <w:p>
      <w:pPr>
        <w:pStyle w:val="Defpara"/>
      </w:pPr>
      <w:r>
        <w:tab/>
        <w:t>(b)</w:t>
      </w:r>
      <w:r>
        <w:tab/>
        <w:t>port improvement rates; or</w:t>
      </w:r>
    </w:p>
    <w:p>
      <w:pPr>
        <w:pStyle w:val="Defpara"/>
      </w:pPr>
      <w:r>
        <w:tab/>
        <w:t>(c)</w:t>
      </w:r>
      <w:r>
        <w:tab/>
        <w:t>charges for port services or navigational aids provided by or under the control of a port authority.</w:t>
      </w:r>
    </w:p>
    <w:p>
      <w:pPr>
        <w:pStyle w:val="Subsection"/>
        <w:rPr>
          <w:snapToGrid w:val="0"/>
        </w:rPr>
      </w:pPr>
      <w:r>
        <w:rPr>
          <w:snapToGrid w:val="0"/>
        </w:rPr>
        <w:tab/>
        <w:t>(2)</w:t>
      </w:r>
      <w:r>
        <w:rPr>
          <w:snapToGrid w:val="0"/>
        </w:rPr>
        <w:tab/>
        <w:t>This Part applies to the payment and recovery of port charges levied by a port authority.</w:t>
      </w:r>
    </w:p>
    <w:p>
      <w:pPr>
        <w:pStyle w:val="Heading5"/>
        <w:rPr>
          <w:snapToGrid w:val="0"/>
        </w:rPr>
      </w:pPr>
      <w:bookmarkStart w:id="319" w:name="_Toc398890083"/>
      <w:bookmarkStart w:id="320" w:name="_Toc424284518"/>
      <w:r>
        <w:rPr>
          <w:rStyle w:val="CharSectno"/>
        </w:rPr>
        <w:t>116</w:t>
      </w:r>
      <w:r>
        <w:rPr>
          <w:snapToGrid w:val="0"/>
        </w:rPr>
        <w:t>.</w:t>
      </w:r>
      <w:r>
        <w:rPr>
          <w:snapToGrid w:val="0"/>
        </w:rPr>
        <w:tab/>
        <w:t>Liability to pay port charges in respect of vessels</w:t>
      </w:r>
      <w:bookmarkEnd w:id="319"/>
      <w:bookmarkEnd w:id="320"/>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a vessel — </w:t>
      </w:r>
    </w:p>
    <w:p>
      <w:pPr>
        <w:pStyle w:val="Indenta"/>
        <w:rPr>
          <w:snapToGrid w:val="0"/>
        </w:rPr>
      </w:pPr>
      <w:r>
        <w:rPr>
          <w:snapToGrid w:val="0"/>
        </w:rPr>
        <w:tab/>
        <w:t>(a)</w:t>
      </w:r>
      <w:r>
        <w:rPr>
          <w:snapToGrid w:val="0"/>
        </w:rPr>
        <w:tab/>
        <w:t>the owner of the vessel;</w:t>
      </w:r>
    </w:p>
    <w:p>
      <w:pPr>
        <w:pStyle w:val="Indenta"/>
        <w:rPr>
          <w:snapToGrid w:val="0"/>
        </w:rPr>
      </w:pPr>
      <w:r>
        <w:rPr>
          <w:snapToGrid w:val="0"/>
        </w:rPr>
        <w:tab/>
        <w:t>(b)</w:t>
      </w:r>
      <w:r>
        <w:rPr>
          <w:snapToGrid w:val="0"/>
        </w:rPr>
        <w:tab/>
        <w:t>the master of the vessel;</w:t>
      </w:r>
    </w:p>
    <w:p>
      <w:pPr>
        <w:pStyle w:val="Indenta"/>
        <w:rPr>
          <w:snapToGrid w:val="0"/>
        </w:rPr>
      </w:pPr>
      <w:r>
        <w:rPr>
          <w:snapToGrid w:val="0"/>
        </w:rPr>
        <w:tab/>
        <w:t>(c)</w:t>
      </w:r>
      <w:r>
        <w:rPr>
          <w:snapToGrid w:val="0"/>
        </w:rPr>
        <w:tab/>
        <w:t>each person who is — </w:t>
      </w:r>
    </w:p>
    <w:p>
      <w:pPr>
        <w:pStyle w:val="Indenti"/>
        <w:rPr>
          <w:snapToGrid w:val="0"/>
        </w:rPr>
      </w:pPr>
      <w:r>
        <w:rPr>
          <w:snapToGrid w:val="0"/>
        </w:rPr>
        <w:tab/>
        <w:t>(i)</w:t>
      </w:r>
      <w:r>
        <w:rPr>
          <w:snapToGrid w:val="0"/>
        </w:rPr>
        <w:tab/>
        <w:t>a consignee, consignor or shipper of goods carried on the vessel; or</w:t>
      </w:r>
    </w:p>
    <w:p>
      <w:pPr>
        <w:pStyle w:val="Indenti"/>
        <w:rPr>
          <w:snapToGrid w:val="0"/>
        </w:rPr>
      </w:pPr>
      <w:r>
        <w:rPr>
          <w:snapToGrid w:val="0"/>
        </w:rPr>
        <w:tab/>
        <w:t>(ii)</w:t>
      </w:r>
      <w:r>
        <w:rPr>
          <w:snapToGrid w:val="0"/>
        </w:rPr>
        <w:tab/>
        <w:t>an agent of the vessel,</w:t>
      </w:r>
    </w:p>
    <w:p>
      <w:pPr>
        <w:pStyle w:val="Indenta"/>
        <w:rPr>
          <w:snapToGrid w:val="0"/>
        </w:rPr>
      </w:pPr>
      <w:r>
        <w:rPr>
          <w:snapToGrid w:val="0"/>
        </w:rPr>
        <w:tab/>
      </w:r>
      <w:r>
        <w:rPr>
          <w:snapToGrid w:val="0"/>
        </w:rPr>
        <w:tab/>
        <w:t>and has paid or undertaken to pay any charge on account of the vessel.</w:t>
      </w:r>
    </w:p>
    <w:p>
      <w:pPr>
        <w:pStyle w:val="Heading5"/>
        <w:rPr>
          <w:snapToGrid w:val="0"/>
        </w:rPr>
      </w:pPr>
      <w:bookmarkStart w:id="321" w:name="_Toc398890084"/>
      <w:bookmarkStart w:id="322" w:name="_Toc424284519"/>
      <w:r>
        <w:rPr>
          <w:rStyle w:val="CharSectno"/>
        </w:rPr>
        <w:t>117</w:t>
      </w:r>
      <w:r>
        <w:rPr>
          <w:snapToGrid w:val="0"/>
        </w:rPr>
        <w:t>.</w:t>
      </w:r>
      <w:r>
        <w:rPr>
          <w:snapToGrid w:val="0"/>
        </w:rPr>
        <w:tab/>
        <w:t>Liability to pay port charges in respect of goods</w:t>
      </w:r>
      <w:bookmarkEnd w:id="321"/>
      <w:bookmarkEnd w:id="322"/>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goods carried on a vessel — </w:t>
      </w:r>
    </w:p>
    <w:p>
      <w:pPr>
        <w:pStyle w:val="Indenta"/>
        <w:rPr>
          <w:snapToGrid w:val="0"/>
        </w:rPr>
      </w:pPr>
      <w:r>
        <w:rPr>
          <w:snapToGrid w:val="0"/>
        </w:rPr>
        <w:tab/>
        <w:t>(a)</w:t>
      </w:r>
      <w:r>
        <w:rPr>
          <w:snapToGrid w:val="0"/>
        </w:rPr>
        <w:tab/>
        <w:t>the owner of the goods;</w:t>
      </w:r>
    </w:p>
    <w:p>
      <w:pPr>
        <w:pStyle w:val="Indenta"/>
        <w:rPr>
          <w:snapToGrid w:val="0"/>
        </w:rPr>
      </w:pPr>
      <w:r>
        <w:rPr>
          <w:snapToGrid w:val="0"/>
        </w:rPr>
        <w:tab/>
        <w:t>(b)</w:t>
      </w:r>
      <w:r>
        <w:rPr>
          <w:snapToGrid w:val="0"/>
        </w:rPr>
        <w:tab/>
        <w:t>the owner of the vessel;</w:t>
      </w:r>
    </w:p>
    <w:p>
      <w:pPr>
        <w:pStyle w:val="Indenta"/>
        <w:rPr>
          <w:snapToGrid w:val="0"/>
        </w:rPr>
      </w:pPr>
      <w:r>
        <w:rPr>
          <w:snapToGrid w:val="0"/>
        </w:rPr>
        <w:tab/>
        <w:t>(c)</w:t>
      </w:r>
      <w:r>
        <w:rPr>
          <w:snapToGrid w:val="0"/>
        </w:rPr>
        <w:tab/>
        <w:t>each consignor, consignee or shipper of the goods;</w:t>
      </w:r>
    </w:p>
    <w:p>
      <w:pPr>
        <w:pStyle w:val="Indenta"/>
        <w:rPr>
          <w:snapToGrid w:val="0"/>
        </w:rPr>
      </w:pPr>
      <w:r>
        <w:rPr>
          <w:snapToGrid w:val="0"/>
        </w:rPr>
        <w:tab/>
        <w:t>(d)</w:t>
      </w:r>
      <w:r>
        <w:rPr>
          <w:snapToGrid w:val="0"/>
        </w:rPr>
        <w:tab/>
        <w:t xml:space="preserve">each agent for the sale of or custody of the goods; </w:t>
      </w:r>
    </w:p>
    <w:p>
      <w:pPr>
        <w:pStyle w:val="Indenta"/>
        <w:rPr>
          <w:snapToGrid w:val="0"/>
        </w:rPr>
      </w:pPr>
      <w:r>
        <w:rPr>
          <w:snapToGrid w:val="0"/>
        </w:rPr>
        <w:tab/>
        <w:t>(e)</w:t>
      </w:r>
      <w:r>
        <w:rPr>
          <w:snapToGrid w:val="0"/>
        </w:rPr>
        <w:tab/>
        <w:t>each person entitled, either as the owner of the goods or on behalf of that owner, to the possession of the goods.</w:t>
      </w:r>
    </w:p>
    <w:p>
      <w:pPr>
        <w:pStyle w:val="Heading5"/>
        <w:rPr>
          <w:snapToGrid w:val="0"/>
        </w:rPr>
      </w:pPr>
      <w:bookmarkStart w:id="323" w:name="_Toc398890085"/>
      <w:bookmarkStart w:id="324" w:name="_Toc424284520"/>
      <w:r>
        <w:rPr>
          <w:rStyle w:val="CharSectno"/>
        </w:rPr>
        <w:t>118</w:t>
      </w:r>
      <w:r>
        <w:rPr>
          <w:snapToGrid w:val="0"/>
        </w:rPr>
        <w:t>.</w:t>
      </w:r>
      <w:r>
        <w:rPr>
          <w:snapToGrid w:val="0"/>
        </w:rPr>
        <w:tab/>
        <w:t>Recovery of port charges by port authority</w:t>
      </w:r>
      <w:bookmarkEnd w:id="323"/>
      <w:bookmarkEnd w:id="324"/>
      <w:r>
        <w:rPr>
          <w:snapToGrid w:val="0"/>
        </w:rPr>
        <w:t xml:space="preserve"> </w:t>
      </w:r>
    </w:p>
    <w:p>
      <w:pPr>
        <w:pStyle w:val="Subsection"/>
        <w:rPr>
          <w:snapToGrid w:val="0"/>
        </w:rPr>
      </w:pPr>
      <w:r>
        <w:rPr>
          <w:snapToGrid w:val="0"/>
        </w:rPr>
        <w:tab/>
      </w:r>
      <w:r>
        <w:rPr>
          <w:snapToGrid w:val="0"/>
        </w:rPr>
        <w:tab/>
        <w:t>A port authority may recover any port charges payable to it in a court of competent jurisdiction as a debt due to the port authority.</w:t>
      </w:r>
    </w:p>
    <w:p>
      <w:pPr>
        <w:pStyle w:val="Heading5"/>
        <w:rPr>
          <w:snapToGrid w:val="0"/>
        </w:rPr>
      </w:pPr>
      <w:bookmarkStart w:id="325" w:name="_Toc398890086"/>
      <w:bookmarkStart w:id="326" w:name="_Toc424284521"/>
      <w:r>
        <w:rPr>
          <w:rStyle w:val="CharSectno"/>
        </w:rPr>
        <w:t>119</w:t>
      </w:r>
      <w:r>
        <w:rPr>
          <w:snapToGrid w:val="0"/>
        </w:rPr>
        <w:t>.</w:t>
      </w:r>
      <w:r>
        <w:rPr>
          <w:snapToGrid w:val="0"/>
        </w:rPr>
        <w:tab/>
        <w:t>Collectors of port charges</w:t>
      </w:r>
      <w:bookmarkEnd w:id="325"/>
      <w:bookmarkEnd w:id="326"/>
      <w:r>
        <w:rPr>
          <w:snapToGrid w:val="0"/>
        </w:rPr>
        <w:t xml:space="preserve"> </w:t>
      </w:r>
    </w:p>
    <w:p>
      <w:pPr>
        <w:pStyle w:val="Subsection"/>
        <w:rPr>
          <w:snapToGrid w:val="0"/>
        </w:rPr>
      </w:pPr>
      <w:r>
        <w:rPr>
          <w:snapToGrid w:val="0"/>
        </w:rPr>
        <w:tab/>
      </w:r>
      <w:r>
        <w:rPr>
          <w:snapToGrid w:val="0"/>
        </w:rPr>
        <w:tab/>
        <w:t>A port authority may, in writing — </w:t>
      </w:r>
    </w:p>
    <w:p>
      <w:pPr>
        <w:pStyle w:val="Indenta"/>
        <w:rPr>
          <w:snapToGrid w:val="0"/>
        </w:rPr>
      </w:pPr>
      <w:r>
        <w:rPr>
          <w:snapToGrid w:val="0"/>
        </w:rPr>
        <w:tab/>
        <w:t>(a)</w:t>
      </w:r>
      <w:r>
        <w:rPr>
          <w:snapToGrid w:val="0"/>
        </w:rPr>
        <w:tab/>
        <w:t>authorise an officer or employee or any other person to collect port charges on its behalf; or</w:t>
      </w:r>
    </w:p>
    <w:p>
      <w:pPr>
        <w:pStyle w:val="Indenta"/>
        <w:rPr>
          <w:snapToGrid w:val="0"/>
        </w:rPr>
      </w:pPr>
      <w:r>
        <w:rPr>
          <w:snapToGrid w:val="0"/>
        </w:rPr>
        <w:tab/>
        <w:t>(b)</w:t>
      </w:r>
      <w:r>
        <w:rPr>
          <w:snapToGrid w:val="0"/>
        </w:rPr>
        <w:tab/>
        <w:t>revoke an authorisation made under this section.</w:t>
      </w:r>
    </w:p>
    <w:p>
      <w:pPr>
        <w:pStyle w:val="Heading2"/>
      </w:pPr>
      <w:bookmarkStart w:id="327" w:name="_Toc398890087"/>
      <w:bookmarkStart w:id="328" w:name="_Toc424284522"/>
      <w:r>
        <w:rPr>
          <w:rStyle w:val="CharPartNo"/>
        </w:rPr>
        <w:t>Part 9</w:t>
      </w:r>
      <w:r>
        <w:t xml:space="preserve"> — </w:t>
      </w:r>
      <w:r>
        <w:rPr>
          <w:rStyle w:val="CharPartText"/>
        </w:rPr>
        <w:t>Proceedings for offences</w:t>
      </w:r>
      <w:bookmarkEnd w:id="327"/>
      <w:bookmarkEnd w:id="328"/>
      <w:r>
        <w:rPr>
          <w:rStyle w:val="CharPartText"/>
        </w:rPr>
        <w:t xml:space="preserve"> </w:t>
      </w:r>
    </w:p>
    <w:p>
      <w:pPr>
        <w:pStyle w:val="Heading3"/>
        <w:rPr>
          <w:snapToGrid w:val="0"/>
        </w:rPr>
      </w:pPr>
      <w:bookmarkStart w:id="329" w:name="_Toc398890088"/>
      <w:bookmarkStart w:id="330" w:name="_Toc424284523"/>
      <w:r>
        <w:rPr>
          <w:rStyle w:val="CharDivNo"/>
        </w:rPr>
        <w:t xml:space="preserve">Division 1 </w:t>
      </w:r>
      <w:r>
        <w:rPr>
          <w:snapToGrid w:val="0"/>
        </w:rPr>
        <w:t>— </w:t>
      </w:r>
      <w:r>
        <w:rPr>
          <w:rStyle w:val="CharDivText"/>
        </w:rPr>
        <w:t>General</w:t>
      </w:r>
      <w:bookmarkEnd w:id="329"/>
      <w:bookmarkEnd w:id="330"/>
      <w:r>
        <w:rPr>
          <w:rStyle w:val="CharDivText"/>
        </w:rPr>
        <w:t xml:space="preserve"> </w:t>
      </w:r>
    </w:p>
    <w:p>
      <w:pPr>
        <w:pStyle w:val="Heading5"/>
        <w:rPr>
          <w:snapToGrid w:val="0"/>
        </w:rPr>
      </w:pPr>
      <w:bookmarkStart w:id="331" w:name="_Toc398890089"/>
      <w:bookmarkStart w:id="332" w:name="_Toc424284524"/>
      <w:r>
        <w:rPr>
          <w:rStyle w:val="CharSectno"/>
        </w:rPr>
        <w:t>120</w:t>
      </w:r>
      <w:r>
        <w:rPr>
          <w:snapToGrid w:val="0"/>
        </w:rPr>
        <w:t>.</w:t>
      </w:r>
      <w:r>
        <w:rPr>
          <w:snapToGrid w:val="0"/>
        </w:rPr>
        <w:tab/>
        <w:t>Who can commence prosecutions</w:t>
      </w:r>
      <w:bookmarkEnd w:id="331"/>
      <w:bookmarkEnd w:id="332"/>
    </w:p>
    <w:p>
      <w:pPr>
        <w:pStyle w:val="Subsection"/>
        <w:rPr>
          <w:snapToGrid w:val="0"/>
        </w:rPr>
      </w:pPr>
      <w:r>
        <w:rPr>
          <w:snapToGrid w:val="0"/>
        </w:rPr>
        <w:tab/>
        <w:t>(1)</w:t>
      </w:r>
      <w:r>
        <w:rPr>
          <w:snapToGrid w:val="0"/>
        </w:rPr>
        <w:tab/>
        <w:t>Proceedings for an offence against this Act may be taken — </w:t>
      </w:r>
    </w:p>
    <w:p>
      <w:pPr>
        <w:pStyle w:val="Indenta"/>
        <w:rPr>
          <w:snapToGrid w:val="0"/>
        </w:rPr>
      </w:pPr>
      <w:r>
        <w:rPr>
          <w:snapToGrid w:val="0"/>
        </w:rPr>
        <w:tab/>
        <w:t>(a)</w:t>
      </w:r>
      <w:r>
        <w:rPr>
          <w:snapToGrid w:val="0"/>
        </w:rPr>
        <w:tab/>
        <w:t>by a person authorised to do so by the port authority for the port within or in relation to which the offence is alleged to have been committed; or</w:t>
      </w:r>
    </w:p>
    <w:p>
      <w:pPr>
        <w:pStyle w:val="Indenta"/>
        <w:rPr>
          <w:snapToGrid w:val="0"/>
        </w:rPr>
      </w:pPr>
      <w:r>
        <w:rPr>
          <w:snapToGrid w:val="0"/>
        </w:rPr>
        <w:tab/>
        <w:t>(b)</w:t>
      </w:r>
      <w:r>
        <w:rPr>
          <w:snapToGrid w:val="0"/>
        </w:rPr>
        <w:tab/>
        <w:t>by a police officer.</w:t>
      </w:r>
    </w:p>
    <w:p>
      <w:pPr>
        <w:pStyle w:val="Subsection"/>
        <w:rPr>
          <w:snapToGrid w:val="0"/>
        </w:rPr>
      </w:pPr>
      <w:r>
        <w:rPr>
          <w:snapToGrid w:val="0"/>
        </w:rPr>
        <w:tab/>
        <w:t>(2)</w:t>
      </w:r>
      <w:r>
        <w:rPr>
          <w:snapToGrid w:val="0"/>
        </w:rPr>
        <w:tab/>
        <w:t>An authorisation under subsection (1)(a) may be given generally or in relation to a specified offence or specified offences.</w:t>
      </w:r>
    </w:p>
    <w:p>
      <w:pPr>
        <w:pStyle w:val="Subsection"/>
        <w:rPr>
          <w:snapToGrid w:val="0"/>
        </w:rPr>
      </w:pPr>
      <w:r>
        <w:rPr>
          <w:snapToGrid w:val="0"/>
        </w:rPr>
        <w:tab/>
        <w:t>(3)</w:t>
      </w:r>
      <w:r>
        <w:rPr>
          <w:snapToGrid w:val="0"/>
        </w:rPr>
        <w:tab/>
        <w:t xml:space="preserve">If a </w:t>
      </w:r>
      <w:r>
        <w:t>prosecution notice</w:t>
      </w:r>
      <w:r>
        <w:rPr>
          <w:snapToGrid w:val="0"/>
        </w:rPr>
        <w:t xml:space="preserve"> alleging an offence under this Act purports to be made or sworn by a person authorised by a port authority to take proceedings for offences of that kind, it is to be presumed, in the absence of proof to the contrary, that the </w:t>
      </w:r>
      <w:r>
        <w:t>prosecution notice</w:t>
      </w:r>
      <w:r>
        <w:rPr>
          <w:snapToGrid w:val="0"/>
        </w:rPr>
        <w:t xml:space="preserve"> was made or sworn by such a person.</w:t>
      </w:r>
    </w:p>
    <w:p>
      <w:pPr>
        <w:pStyle w:val="Footnotesection"/>
      </w:pPr>
      <w:r>
        <w:tab/>
        <w:t xml:space="preserve">[Section 120 amended by No. 84 of 2004 s. 80.] </w:t>
      </w:r>
    </w:p>
    <w:p>
      <w:pPr>
        <w:pStyle w:val="Heading5"/>
        <w:rPr>
          <w:snapToGrid w:val="0"/>
        </w:rPr>
      </w:pPr>
      <w:bookmarkStart w:id="333" w:name="_Toc398890090"/>
      <w:bookmarkStart w:id="334" w:name="_Toc424284525"/>
      <w:r>
        <w:rPr>
          <w:rStyle w:val="CharSectno"/>
        </w:rPr>
        <w:t>121</w:t>
      </w:r>
      <w:r>
        <w:rPr>
          <w:snapToGrid w:val="0"/>
        </w:rPr>
        <w:t>.</w:t>
      </w:r>
      <w:r>
        <w:rPr>
          <w:snapToGrid w:val="0"/>
        </w:rPr>
        <w:tab/>
        <w:t>Time limit for prosecutions</w:t>
      </w:r>
      <w:bookmarkEnd w:id="333"/>
      <w:bookmarkEnd w:id="334"/>
      <w:r>
        <w:rPr>
          <w:snapToGrid w:val="0"/>
        </w:rPr>
        <w:t xml:space="preserve"> </w:t>
      </w:r>
    </w:p>
    <w:p>
      <w:pPr>
        <w:pStyle w:val="Subsection"/>
        <w:rPr>
          <w:snapToGrid w:val="0"/>
        </w:rPr>
      </w:pPr>
      <w:r>
        <w:rPr>
          <w:snapToGrid w:val="0"/>
        </w:rPr>
        <w:tab/>
      </w:r>
      <w:r>
        <w:rPr>
          <w:snapToGrid w:val="0"/>
        </w:rPr>
        <w:tab/>
        <w:t>Proceedings for an offence against this Act cannot be commenced more than 2 years after the offence is committed.</w:t>
      </w:r>
    </w:p>
    <w:p>
      <w:pPr>
        <w:pStyle w:val="Heading5"/>
        <w:rPr>
          <w:snapToGrid w:val="0"/>
        </w:rPr>
      </w:pPr>
      <w:bookmarkStart w:id="335" w:name="_Toc398890091"/>
      <w:bookmarkStart w:id="336" w:name="_Toc424284526"/>
      <w:r>
        <w:rPr>
          <w:rStyle w:val="CharSectno"/>
        </w:rPr>
        <w:t>122</w:t>
      </w:r>
      <w:r>
        <w:rPr>
          <w:snapToGrid w:val="0"/>
        </w:rPr>
        <w:t>.</w:t>
      </w:r>
      <w:r>
        <w:rPr>
          <w:snapToGrid w:val="0"/>
        </w:rPr>
        <w:tab/>
        <w:t>Averment as to place of offence</w:t>
      </w:r>
      <w:bookmarkEnd w:id="335"/>
      <w:bookmarkEnd w:id="336"/>
    </w:p>
    <w:p>
      <w:pPr>
        <w:pStyle w:val="Subsection"/>
        <w:rPr>
          <w:snapToGrid w:val="0"/>
        </w:rPr>
      </w:pPr>
      <w:r>
        <w:rPr>
          <w:snapToGrid w:val="0"/>
        </w:rPr>
        <w:tab/>
        <w:t>(1)</w:t>
      </w:r>
      <w:r>
        <w:rPr>
          <w:snapToGrid w:val="0"/>
        </w:rPr>
        <w:tab/>
        <w:t>In proceedings for an offence under this Act, an averment that that offence was committed in a port is sufficient proof that the act or omission alleged to constitute that offence occurred in the port, unless the contrary is proved.</w:t>
      </w:r>
    </w:p>
    <w:p>
      <w:pPr>
        <w:pStyle w:val="Subsection"/>
        <w:rPr>
          <w:snapToGrid w:val="0"/>
        </w:rPr>
      </w:pPr>
      <w:r>
        <w:rPr>
          <w:snapToGrid w:val="0"/>
        </w:rPr>
        <w:tab/>
        <w:t>(2)</w:t>
      </w:r>
      <w:r>
        <w:rPr>
          <w:snapToGrid w:val="0"/>
        </w:rPr>
        <w:tab/>
        <w:t>Where appropriate, a reference in subsection (1) to a port includes a reference to any area declared under section 95(2) or 101(a) in relation to the port.</w:t>
      </w:r>
    </w:p>
    <w:p>
      <w:pPr>
        <w:pStyle w:val="Heading3"/>
        <w:rPr>
          <w:snapToGrid w:val="0"/>
        </w:rPr>
      </w:pPr>
      <w:bookmarkStart w:id="337" w:name="_Toc398890092"/>
      <w:bookmarkStart w:id="338" w:name="_Toc424284527"/>
      <w:r>
        <w:rPr>
          <w:rStyle w:val="CharDivNo"/>
        </w:rPr>
        <w:t>Division 2</w:t>
      </w:r>
      <w:r>
        <w:rPr>
          <w:snapToGrid w:val="0"/>
        </w:rPr>
        <w:t> — </w:t>
      </w:r>
      <w:r>
        <w:rPr>
          <w:rStyle w:val="CharDivText"/>
        </w:rPr>
        <w:t>Infringement notices</w:t>
      </w:r>
      <w:bookmarkEnd w:id="337"/>
      <w:bookmarkEnd w:id="338"/>
      <w:r>
        <w:rPr>
          <w:rStyle w:val="CharDivText"/>
        </w:rPr>
        <w:t xml:space="preserve"> </w:t>
      </w:r>
    </w:p>
    <w:p>
      <w:pPr>
        <w:pStyle w:val="Heading5"/>
        <w:rPr>
          <w:snapToGrid w:val="0"/>
        </w:rPr>
      </w:pPr>
      <w:bookmarkStart w:id="339" w:name="_Toc398890093"/>
      <w:bookmarkStart w:id="340" w:name="_Toc424284528"/>
      <w:r>
        <w:rPr>
          <w:rStyle w:val="CharSectno"/>
        </w:rPr>
        <w:t>123</w:t>
      </w:r>
      <w:r>
        <w:rPr>
          <w:snapToGrid w:val="0"/>
        </w:rPr>
        <w:t>.</w:t>
      </w:r>
      <w:r>
        <w:rPr>
          <w:snapToGrid w:val="0"/>
        </w:rPr>
        <w:tab/>
        <w:t>Terms used</w:t>
      </w:r>
      <w:bookmarkEnd w:id="339"/>
      <w:bookmarkEnd w:id="34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authorised person</w:t>
      </w:r>
      <w:r>
        <w:t xml:space="preserve"> in section 124, 125, 126 or 127 means a person appointed under section 130(1) by the port authority to be an authorised person for the purposes of the section in which the term is used;</w:t>
      </w:r>
    </w:p>
    <w:p>
      <w:pPr>
        <w:pStyle w:val="Defstart"/>
      </w:pPr>
      <w:r>
        <w:rPr>
          <w:b/>
        </w:rPr>
        <w:tab/>
      </w:r>
      <w:r>
        <w:rPr>
          <w:rStyle w:val="CharDefText"/>
        </w:rPr>
        <w:t>port authority</w:t>
      </w:r>
      <w:r>
        <w:t xml:space="preserve"> means the port authority for the port where the offence is alleged to have been committed.</w:t>
      </w:r>
    </w:p>
    <w:p>
      <w:pPr>
        <w:pStyle w:val="Heading5"/>
        <w:rPr>
          <w:snapToGrid w:val="0"/>
        </w:rPr>
      </w:pPr>
      <w:bookmarkStart w:id="341" w:name="_Toc398890094"/>
      <w:bookmarkStart w:id="342" w:name="_Toc424284529"/>
      <w:r>
        <w:rPr>
          <w:rStyle w:val="CharSectno"/>
        </w:rPr>
        <w:t>124</w:t>
      </w:r>
      <w:r>
        <w:rPr>
          <w:snapToGrid w:val="0"/>
        </w:rPr>
        <w:t>.</w:t>
      </w:r>
      <w:r>
        <w:rPr>
          <w:snapToGrid w:val="0"/>
        </w:rPr>
        <w:tab/>
        <w:t>Giving of notice</w:t>
      </w:r>
      <w:bookmarkEnd w:id="341"/>
      <w:bookmarkEnd w:id="342"/>
      <w:r>
        <w:rPr>
          <w:snapToGrid w:val="0"/>
        </w:rPr>
        <w:t xml:space="preserve"> </w:t>
      </w:r>
    </w:p>
    <w:p>
      <w:pPr>
        <w:pStyle w:val="Subsection"/>
        <w:rPr>
          <w:snapToGrid w:val="0"/>
        </w:rPr>
      </w:pPr>
      <w:r>
        <w:rPr>
          <w:snapToGrid w:val="0"/>
        </w:rPr>
        <w:tab/>
      </w:r>
      <w:r>
        <w:rPr>
          <w:snapToGrid w:val="0"/>
        </w:rP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Heading5"/>
        <w:rPr>
          <w:snapToGrid w:val="0"/>
        </w:rPr>
      </w:pPr>
      <w:bookmarkStart w:id="343" w:name="_Toc398890095"/>
      <w:bookmarkStart w:id="344" w:name="_Toc424284530"/>
      <w:r>
        <w:rPr>
          <w:rStyle w:val="CharSectno"/>
        </w:rPr>
        <w:t>125</w:t>
      </w:r>
      <w:r>
        <w:rPr>
          <w:snapToGrid w:val="0"/>
        </w:rPr>
        <w:t>.</w:t>
      </w:r>
      <w:r>
        <w:rPr>
          <w:snapToGrid w:val="0"/>
        </w:rPr>
        <w:tab/>
        <w:t>Content of notice</w:t>
      </w:r>
      <w:bookmarkEnd w:id="343"/>
      <w:bookmarkEnd w:id="344"/>
      <w:r>
        <w:rPr>
          <w:snapToGrid w:val="0"/>
        </w:rPr>
        <w:t xml:space="preserve"> </w:t>
      </w:r>
    </w:p>
    <w:p>
      <w:pPr>
        <w:pStyle w:val="Subsection"/>
        <w:rPr>
          <w:snapToGrid w:val="0"/>
        </w:rPr>
      </w:pPr>
      <w:r>
        <w:rPr>
          <w:snapToGrid w:val="0"/>
        </w:rPr>
        <w:tab/>
        <w:t>(1)</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that may be prescribed for an offence is not to exceed 20% of the maximum penalty that could be imposed for that offence by a court.</w:t>
      </w:r>
    </w:p>
    <w:p>
      <w:pPr>
        <w:pStyle w:val="Footnotesection"/>
      </w:pPr>
      <w:r>
        <w:tab/>
        <w:t xml:space="preserve">[Section 125 amended by No. 84 of 2004 s. 80.] </w:t>
      </w:r>
    </w:p>
    <w:p>
      <w:pPr>
        <w:pStyle w:val="Heading5"/>
        <w:rPr>
          <w:snapToGrid w:val="0"/>
        </w:rPr>
      </w:pPr>
      <w:bookmarkStart w:id="345" w:name="_Toc398890096"/>
      <w:bookmarkStart w:id="346" w:name="_Toc424284531"/>
      <w:r>
        <w:rPr>
          <w:rStyle w:val="CharSectno"/>
        </w:rPr>
        <w:t>126</w:t>
      </w:r>
      <w:r>
        <w:rPr>
          <w:snapToGrid w:val="0"/>
        </w:rPr>
        <w:t>.</w:t>
      </w:r>
      <w:r>
        <w:rPr>
          <w:snapToGrid w:val="0"/>
        </w:rPr>
        <w:tab/>
        <w:t>Extending time for paying modified penalty</w:t>
      </w:r>
      <w:bookmarkEnd w:id="345"/>
      <w:bookmarkEnd w:id="346"/>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347" w:name="_Toc398890097"/>
      <w:bookmarkStart w:id="348" w:name="_Toc424284532"/>
      <w:r>
        <w:rPr>
          <w:rStyle w:val="CharSectno"/>
        </w:rPr>
        <w:t>127</w:t>
      </w:r>
      <w:r>
        <w:rPr>
          <w:snapToGrid w:val="0"/>
        </w:rPr>
        <w:t>.</w:t>
      </w:r>
      <w:r>
        <w:rPr>
          <w:snapToGrid w:val="0"/>
        </w:rPr>
        <w:tab/>
        <w:t>Withdrawing notice</w:t>
      </w:r>
      <w:bookmarkEnd w:id="347"/>
      <w:bookmarkEnd w:id="348"/>
      <w:r>
        <w:rPr>
          <w:snapToGrid w:val="0"/>
        </w:rPr>
        <w:t xml:space="preserve"> </w:t>
      </w:r>
    </w:p>
    <w:p>
      <w:pPr>
        <w:pStyle w:val="Subsection"/>
        <w:rPr>
          <w:snapToGrid w:val="0"/>
        </w:rPr>
      </w:pPr>
      <w:r>
        <w:rPr>
          <w:snapToGrid w:val="0"/>
        </w:rPr>
        <w:tab/>
        <w:t>(1)</w:t>
      </w:r>
      <w:r>
        <w:rPr>
          <w:snapToGrid w:val="0"/>
        </w:rPr>
        <w:tab/>
        <w:t>Within 28 days after the giving of an infringement notice, an authorised person may, whether or not the modified penalty has been paid, withdraw the infringement notice by sending to the alleged offender a notice in the prescribed form stating that the infringement notice has been withdrawn.</w:t>
      </w:r>
    </w:p>
    <w:p>
      <w:pPr>
        <w:pStyle w:val="Subsection"/>
        <w:rPr>
          <w:snapToGrid w:val="0"/>
        </w:rPr>
      </w:pPr>
      <w:r>
        <w:rPr>
          <w:snapToGrid w:val="0"/>
        </w:rPr>
        <w:tab/>
        <w:t>(2)</w:t>
      </w:r>
      <w:r>
        <w:rPr>
          <w:snapToGrid w:val="0"/>
        </w:rPr>
        <w:tab/>
        <w:t>Where an infringement notice is withdrawn after the modified penalty has been paid, the amount is to be refunded.</w:t>
      </w:r>
    </w:p>
    <w:p>
      <w:pPr>
        <w:pStyle w:val="Heading5"/>
        <w:rPr>
          <w:snapToGrid w:val="0"/>
        </w:rPr>
      </w:pPr>
      <w:bookmarkStart w:id="349" w:name="_Toc398890098"/>
      <w:bookmarkStart w:id="350" w:name="_Toc424284533"/>
      <w:r>
        <w:rPr>
          <w:rStyle w:val="CharSectno"/>
        </w:rPr>
        <w:t>128</w:t>
      </w:r>
      <w:r>
        <w:rPr>
          <w:snapToGrid w:val="0"/>
        </w:rPr>
        <w:t>.</w:t>
      </w:r>
      <w:r>
        <w:rPr>
          <w:snapToGrid w:val="0"/>
        </w:rPr>
        <w:tab/>
        <w:t>Benefit of paying modified penalty</w:t>
      </w:r>
      <w:bookmarkEnd w:id="349"/>
      <w:bookmarkEnd w:id="350"/>
      <w:r>
        <w:rPr>
          <w:snapToGrid w:val="0"/>
        </w:rPr>
        <w:t xml:space="preserve"> </w:t>
      </w:r>
    </w:p>
    <w:p>
      <w:pPr>
        <w:pStyle w:val="Subsection"/>
        <w:rPr>
          <w:snapToGrid w:val="0"/>
        </w:rPr>
      </w:pPr>
      <w:r>
        <w:rPr>
          <w:snapToGrid w:val="0"/>
        </w:rPr>
        <w:tab/>
        <w:t>(1)</w:t>
      </w:r>
      <w:r>
        <w:rPr>
          <w:snapToGrid w:val="0"/>
        </w:rPr>
        <w:tab/>
        <w:t>Subsection (2) applies if the modified penalty specified in an infringement notice has been paid within 28 days or such further time as is allowed and the notice has not been withdrawn.</w:t>
      </w:r>
    </w:p>
    <w:p>
      <w:pPr>
        <w:pStyle w:val="Subsection"/>
        <w:rPr>
          <w:snapToGrid w:val="0"/>
        </w:rPr>
      </w:pPr>
      <w:r>
        <w:rPr>
          <w:snapToGrid w:val="0"/>
        </w:rPr>
        <w:tab/>
        <w:t>(2)</w:t>
      </w:r>
      <w:r>
        <w:rPr>
          <w:snapToGrid w:val="0"/>
        </w:rP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Heading5"/>
        <w:keepLines w:val="0"/>
        <w:rPr>
          <w:snapToGrid w:val="0"/>
        </w:rPr>
      </w:pPr>
      <w:bookmarkStart w:id="351" w:name="_Toc398890099"/>
      <w:bookmarkStart w:id="352" w:name="_Toc424284534"/>
      <w:r>
        <w:rPr>
          <w:rStyle w:val="CharSectno"/>
        </w:rPr>
        <w:t>129</w:t>
      </w:r>
      <w:r>
        <w:rPr>
          <w:snapToGrid w:val="0"/>
        </w:rPr>
        <w:t>.</w:t>
      </w:r>
      <w:r>
        <w:rPr>
          <w:snapToGrid w:val="0"/>
        </w:rPr>
        <w:tab/>
        <w:t>Application of penalties collected</w:t>
      </w:r>
      <w:bookmarkEnd w:id="351"/>
      <w:bookmarkEnd w:id="352"/>
      <w:r>
        <w:rPr>
          <w:snapToGrid w:val="0"/>
        </w:rPr>
        <w:t xml:space="preserve"> </w:t>
      </w:r>
    </w:p>
    <w:p>
      <w:pPr>
        <w:pStyle w:val="Subsection"/>
        <w:rPr>
          <w:snapToGrid w:val="0"/>
        </w:rPr>
      </w:pPr>
      <w:r>
        <w:rPr>
          <w:snapToGrid w:val="0"/>
        </w:rPr>
        <w:tab/>
      </w:r>
      <w:r>
        <w:rPr>
          <w:snapToGrid w:val="0"/>
        </w:rPr>
        <w:tab/>
        <w:t>An amount paid as a modified penalty for an offence is, subject to section 127(2), to be dealt with as if it were a fine imposed by a court as a penalty for that offence.</w:t>
      </w:r>
    </w:p>
    <w:p>
      <w:pPr>
        <w:pStyle w:val="Heading5"/>
        <w:rPr>
          <w:snapToGrid w:val="0"/>
        </w:rPr>
      </w:pPr>
      <w:bookmarkStart w:id="353" w:name="_Toc398890100"/>
      <w:bookmarkStart w:id="354" w:name="_Toc424284535"/>
      <w:r>
        <w:rPr>
          <w:rStyle w:val="CharSectno"/>
        </w:rPr>
        <w:t>130</w:t>
      </w:r>
      <w:r>
        <w:rPr>
          <w:snapToGrid w:val="0"/>
        </w:rPr>
        <w:t>.</w:t>
      </w:r>
      <w:r>
        <w:rPr>
          <w:snapToGrid w:val="0"/>
        </w:rPr>
        <w:tab/>
        <w:t>Authorised persons, appointment of</w:t>
      </w:r>
      <w:bookmarkEnd w:id="353"/>
      <w:bookmarkEnd w:id="354"/>
    </w:p>
    <w:p>
      <w:pPr>
        <w:pStyle w:val="Subsection"/>
        <w:rPr>
          <w:snapToGrid w:val="0"/>
        </w:rPr>
      </w:pPr>
      <w:r>
        <w:rPr>
          <w:snapToGrid w:val="0"/>
        </w:rPr>
        <w:tab/>
        <w:t>(1)</w:t>
      </w:r>
      <w:r>
        <w:rPr>
          <w:snapToGrid w:val="0"/>
        </w:rPr>
        <w:tab/>
        <w:t>A port authority may, in writing, appoint persons or classes of persons to be authorised persons for the purposes of section 124, 125, 126 or 127 or for the purposes of 2 or more of those sections, but a person who is authorised to give infringement notices under section 124 is not eligible to be an authorised person for the purposes of any of the other sections.</w:t>
      </w:r>
    </w:p>
    <w:p>
      <w:pPr>
        <w:pStyle w:val="Subsection"/>
        <w:rPr>
          <w:snapToGrid w:val="0"/>
        </w:rPr>
      </w:pPr>
      <w:r>
        <w:rPr>
          <w:snapToGrid w:val="0"/>
        </w:rPr>
        <w:tab/>
        <w:t>(2)</w:t>
      </w:r>
      <w:r>
        <w:rPr>
          <w:snapToGrid w:val="0"/>
        </w:rPr>
        <w:tab/>
        <w:t>The port authority is to issue to each person who is authorised to give infringement notices under this Division a certificate stating that the person is so authorised, and the authorised person is to produce the certificate whenever required to do so by a person to whom an infringement notice has been or is about to be given.</w:t>
      </w:r>
    </w:p>
    <w:p>
      <w:pPr>
        <w:pStyle w:val="Heading2"/>
      </w:pPr>
      <w:bookmarkStart w:id="355" w:name="_Toc398890101"/>
      <w:bookmarkStart w:id="356" w:name="_Toc424284536"/>
      <w:r>
        <w:rPr>
          <w:rStyle w:val="CharPartNo"/>
        </w:rPr>
        <w:t>Part 10</w:t>
      </w:r>
      <w:r>
        <w:rPr>
          <w:rStyle w:val="CharDivNo"/>
        </w:rPr>
        <w:t xml:space="preserve"> </w:t>
      </w:r>
      <w:r>
        <w:t>—</w:t>
      </w:r>
      <w:r>
        <w:rPr>
          <w:rStyle w:val="CharDivText"/>
        </w:rPr>
        <w:t xml:space="preserve"> </w:t>
      </w:r>
      <w:r>
        <w:rPr>
          <w:rStyle w:val="CharPartText"/>
        </w:rPr>
        <w:t>Miscellaneous</w:t>
      </w:r>
      <w:bookmarkEnd w:id="355"/>
      <w:bookmarkEnd w:id="356"/>
    </w:p>
    <w:p>
      <w:pPr>
        <w:pStyle w:val="Heading5"/>
        <w:rPr>
          <w:snapToGrid w:val="0"/>
        </w:rPr>
      </w:pPr>
      <w:bookmarkStart w:id="357" w:name="_Toc398890102"/>
      <w:bookmarkStart w:id="358" w:name="_Toc424284537"/>
      <w:r>
        <w:rPr>
          <w:rStyle w:val="CharSectno"/>
        </w:rPr>
        <w:t>131</w:t>
      </w:r>
      <w:r>
        <w:rPr>
          <w:snapToGrid w:val="0"/>
        </w:rPr>
        <w:t>.</w:t>
      </w:r>
      <w:r>
        <w:rPr>
          <w:snapToGrid w:val="0"/>
        </w:rPr>
        <w:tab/>
        <w:t>Hindering, offence</w:t>
      </w:r>
      <w:bookmarkEnd w:id="357"/>
      <w:bookmarkEnd w:id="358"/>
    </w:p>
    <w:p>
      <w:pPr>
        <w:pStyle w:val="Subsection"/>
        <w:rPr>
          <w:snapToGrid w:val="0"/>
        </w:rPr>
      </w:pPr>
      <w:r>
        <w:rPr>
          <w:snapToGrid w:val="0"/>
        </w:rPr>
        <w:tab/>
        <w:t>(1)</w:t>
      </w:r>
      <w:r>
        <w:rPr>
          <w:snapToGrid w:val="0"/>
        </w:rPr>
        <w:tab/>
        <w:t>A person who hinders the operation of this Act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hinders the operation of this Act if the person — </w:t>
      </w:r>
    </w:p>
    <w:p>
      <w:pPr>
        <w:pStyle w:val="Indenta"/>
        <w:rPr>
          <w:snapToGrid w:val="0"/>
        </w:rPr>
      </w:pPr>
      <w:r>
        <w:rPr>
          <w:snapToGrid w:val="0"/>
        </w:rPr>
        <w:tab/>
        <w:t>(a)</w:t>
      </w:r>
      <w:r>
        <w:rPr>
          <w:snapToGrid w:val="0"/>
        </w:rPr>
        <w:tab/>
        <w:t>obstructs, impedes or interferes with the doing of, a thing required or authorised to be done by or under this Act; or</w:t>
      </w:r>
    </w:p>
    <w:p>
      <w:pPr>
        <w:pStyle w:val="Indenta"/>
      </w:pPr>
      <w:r>
        <w:tab/>
        <w:t>(aa)</w:t>
      </w:r>
      <w:r>
        <w:tab/>
        <w:t xml:space="preserve">obstructs, impedes or interferes with — </w:t>
      </w:r>
    </w:p>
    <w:p>
      <w:pPr>
        <w:pStyle w:val="Indenti"/>
      </w:pPr>
      <w:r>
        <w:tab/>
        <w:t>(i)</w:t>
      </w:r>
      <w:r>
        <w:tab/>
        <w:t>port facilities or other property of a port authority; or</w:t>
      </w:r>
    </w:p>
    <w:p>
      <w:pPr>
        <w:pStyle w:val="Indenti"/>
      </w:pPr>
      <w:r>
        <w:tab/>
        <w:t>(ii)</w:t>
      </w:r>
      <w:r>
        <w:tab/>
        <w:t>the operation of port facilities or other property of a port authority;</w:t>
      </w:r>
    </w:p>
    <w:p>
      <w:pPr>
        <w:pStyle w:val="Indenta"/>
      </w:pPr>
      <w:r>
        <w:tab/>
      </w:r>
      <w:r>
        <w:tab/>
        <w:t>or</w:t>
      </w:r>
    </w:p>
    <w:p>
      <w:pPr>
        <w:pStyle w:val="Indenta"/>
      </w:pPr>
      <w:r>
        <w:tab/>
        <w:t>(ab)</w:t>
      </w:r>
      <w:r>
        <w:tab/>
        <w:t>causes a nuisance in a port; or</w:t>
      </w:r>
    </w:p>
    <w:p>
      <w:pPr>
        <w:pStyle w:val="Indenta"/>
        <w:rPr>
          <w:snapToGrid w:val="0"/>
        </w:rPr>
      </w:pPr>
      <w:r>
        <w:rPr>
          <w:snapToGrid w:val="0"/>
        </w:rPr>
        <w:tab/>
        <w:t>(b)</w:t>
      </w:r>
      <w:r>
        <w:rPr>
          <w:snapToGrid w:val="0"/>
        </w:rPr>
        <w:tab/>
        <w:t>uses any threatening language to — </w:t>
      </w:r>
    </w:p>
    <w:p>
      <w:pPr>
        <w:pStyle w:val="Indenti"/>
        <w:rPr>
          <w:snapToGrid w:val="0"/>
        </w:rPr>
      </w:pPr>
      <w:r>
        <w:rPr>
          <w:snapToGrid w:val="0"/>
        </w:rPr>
        <w:tab/>
        <w:t>(i)</w:t>
      </w:r>
      <w:r>
        <w:rPr>
          <w:snapToGrid w:val="0"/>
        </w:rPr>
        <w:tab/>
        <w:t>the CEO or a member of staff of a port authority; or</w:t>
      </w:r>
    </w:p>
    <w:p>
      <w:pPr>
        <w:pStyle w:val="Indenti"/>
        <w:rPr>
          <w:snapToGrid w:val="0"/>
        </w:rPr>
      </w:pPr>
      <w:r>
        <w:rPr>
          <w:snapToGrid w:val="0"/>
        </w:rPr>
        <w:tab/>
        <w:t>(ii)</w:t>
      </w:r>
      <w:r>
        <w:rPr>
          <w:snapToGrid w:val="0"/>
        </w:rPr>
        <w:tab/>
        <w:t>the harbour master of a port,</w:t>
      </w:r>
    </w:p>
    <w:p>
      <w:pPr>
        <w:pStyle w:val="Indenta"/>
        <w:rPr>
          <w:snapToGrid w:val="0"/>
        </w:rPr>
      </w:pPr>
      <w:r>
        <w:rPr>
          <w:snapToGrid w:val="0"/>
        </w:rPr>
        <w:tab/>
      </w:r>
      <w:r>
        <w:rPr>
          <w:snapToGrid w:val="0"/>
        </w:rPr>
        <w:tab/>
        <w:t>who is acting in the performance of functions under this Act.</w:t>
      </w:r>
    </w:p>
    <w:p>
      <w:pPr>
        <w:pStyle w:val="Footnotesection"/>
      </w:pPr>
      <w:r>
        <w:tab/>
        <w:t>[Section 131 amended by No. 71 of 2003 s. 8.]</w:t>
      </w:r>
    </w:p>
    <w:p>
      <w:pPr>
        <w:pStyle w:val="Heading5"/>
        <w:rPr>
          <w:snapToGrid w:val="0"/>
        </w:rPr>
      </w:pPr>
      <w:bookmarkStart w:id="359" w:name="_Toc398890103"/>
      <w:bookmarkStart w:id="360" w:name="_Toc424284538"/>
      <w:r>
        <w:rPr>
          <w:rStyle w:val="CharSectno"/>
        </w:rPr>
        <w:t>132</w:t>
      </w:r>
      <w:r>
        <w:rPr>
          <w:snapToGrid w:val="0"/>
        </w:rPr>
        <w:t>.</w:t>
      </w:r>
      <w:r>
        <w:rPr>
          <w:snapToGrid w:val="0"/>
        </w:rPr>
        <w:tab/>
        <w:t>Individual port authorities, provisions for (Sch. 6)</w:t>
      </w:r>
      <w:bookmarkEnd w:id="359"/>
      <w:bookmarkEnd w:id="360"/>
    </w:p>
    <w:p>
      <w:pPr>
        <w:pStyle w:val="Subsection"/>
        <w:rPr>
          <w:snapToGrid w:val="0"/>
        </w:rPr>
      </w:pPr>
      <w:r>
        <w:rPr>
          <w:snapToGrid w:val="0"/>
        </w:rPr>
        <w:tab/>
      </w:r>
      <w:r>
        <w:rPr>
          <w:snapToGrid w:val="0"/>
        </w:rPr>
        <w:tab/>
        <w:t>If a Division of Schedule 6 applies to a port authority, the provisions of that Division have effect in relation to that port authority and its port even though they override, are inconsistent with, or are additional to, other provisions of this Act.</w:t>
      </w:r>
    </w:p>
    <w:p>
      <w:pPr>
        <w:pStyle w:val="Heading5"/>
        <w:rPr>
          <w:snapToGrid w:val="0"/>
        </w:rPr>
      </w:pPr>
      <w:bookmarkStart w:id="361" w:name="_Toc398890104"/>
      <w:bookmarkStart w:id="362" w:name="_Toc424284539"/>
      <w:r>
        <w:rPr>
          <w:rStyle w:val="CharSectno"/>
        </w:rPr>
        <w:t>133</w:t>
      </w:r>
      <w:r>
        <w:rPr>
          <w:snapToGrid w:val="0"/>
        </w:rPr>
        <w:t>.</w:t>
      </w:r>
      <w:r>
        <w:rPr>
          <w:snapToGrid w:val="0"/>
        </w:rPr>
        <w:tab/>
        <w:t>Supplementary provision about laying documents before Parliament</w:t>
      </w:r>
      <w:bookmarkEnd w:id="361"/>
      <w:bookmarkEnd w:id="362"/>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at the commencement of a period referred to in section 35(5), 41(4), 53(5), 56(4), 62(5), 64(2), 65(4), 68(3), 72(2), </w:t>
      </w:r>
      <w:r>
        <w:t xml:space="preserve">84(9) </w:t>
      </w:r>
      <w:r>
        <w:rPr>
          <w:snapToGrid w:val="0"/>
        </w:rPr>
        <w:t>or 114(5) or Schedule 2, clause 2(3) or 8(7) or Schedule 5, clause 33(6) or 37(1)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rPr>
          <w:snapToGrid w:val="0"/>
        </w:rPr>
      </w:pPr>
      <w:r>
        <w:rPr>
          <w:snapToGrid w:val="0"/>
        </w:rPr>
        <w:tab/>
        <w:t>(3)</w:t>
      </w:r>
      <w:r>
        <w:rPr>
          <w:snapToGrid w:val="0"/>
        </w:rPr>
        <w:tab/>
        <w:t xml:space="preserve">The laying of a copy of a document that is taken to have occurred under </w:t>
      </w:r>
      <w:r>
        <w:t xml:space="preserve">subsection (2) </w:t>
      </w:r>
      <w:r>
        <w:rPr>
          <w:snapToGrid w:val="0"/>
        </w:rPr>
        <w:t>is to be recorded in the Minutes, or Votes and Proceedings, of the House on the first sitting day of the House after the receipt of the copy by the Clerk.</w:t>
      </w:r>
    </w:p>
    <w:p>
      <w:pPr>
        <w:pStyle w:val="Footnotesection"/>
      </w:pPr>
      <w:r>
        <w:tab/>
        <w:t>[Section 133 amended by No. 8 of 2009 s. 102(4) and (5); No. 9 of 2014 s. 27.]</w:t>
      </w:r>
    </w:p>
    <w:p>
      <w:pPr>
        <w:pStyle w:val="Heading5"/>
        <w:rPr>
          <w:snapToGrid w:val="0"/>
        </w:rPr>
      </w:pPr>
      <w:bookmarkStart w:id="363" w:name="_Toc398890105"/>
      <w:bookmarkStart w:id="364" w:name="_Toc424284540"/>
      <w:r>
        <w:rPr>
          <w:rStyle w:val="CharSectno"/>
        </w:rPr>
        <w:t>134</w:t>
      </w:r>
      <w:r>
        <w:rPr>
          <w:snapToGrid w:val="0"/>
        </w:rPr>
        <w:t>.</w:t>
      </w:r>
      <w:r>
        <w:rPr>
          <w:snapToGrid w:val="0"/>
        </w:rPr>
        <w:tab/>
        <w:t>Execution of documents by port authority</w:t>
      </w:r>
      <w:bookmarkEnd w:id="363"/>
      <w:bookmarkEnd w:id="364"/>
    </w:p>
    <w:p>
      <w:pPr>
        <w:pStyle w:val="Subsection"/>
        <w:rPr>
          <w:snapToGrid w:val="0"/>
        </w:rPr>
      </w:pPr>
      <w:r>
        <w:rPr>
          <w:snapToGrid w:val="0"/>
        </w:rPr>
        <w:tab/>
        <w:t>(1)</w:t>
      </w:r>
      <w:r>
        <w:rPr>
          <w:snapToGrid w:val="0"/>
        </w:rPr>
        <w:tab/>
        <w:t>A port authority is to have a common seal.</w:t>
      </w:r>
    </w:p>
    <w:p>
      <w:pPr>
        <w:pStyle w:val="Subsection"/>
        <w:rPr>
          <w:snapToGrid w:val="0"/>
        </w:rPr>
      </w:pPr>
      <w:r>
        <w:rPr>
          <w:snapToGrid w:val="0"/>
        </w:rPr>
        <w:tab/>
        <w:t>(2)</w:t>
      </w:r>
      <w:r>
        <w:rPr>
          <w:snapToGrid w:val="0"/>
        </w:rPr>
        <w:tab/>
        <w:t>A document is duly executed by a port authority if — </w:t>
      </w:r>
    </w:p>
    <w:p>
      <w:pPr>
        <w:pStyle w:val="Indenta"/>
        <w:rPr>
          <w:snapToGrid w:val="0"/>
        </w:rPr>
      </w:pPr>
      <w:r>
        <w:rPr>
          <w:snapToGrid w:val="0"/>
        </w:rPr>
        <w:tab/>
        <w:t>(a)</w:t>
      </w:r>
      <w:r>
        <w:rPr>
          <w:snapToGrid w:val="0"/>
        </w:rPr>
        <w:tab/>
        <w:t>the common seal of the port authority is affixed to it in the presence of 2 directors or of a director and the CEO; or</w:t>
      </w:r>
    </w:p>
    <w:p>
      <w:pPr>
        <w:pStyle w:val="Indenta"/>
        <w:rPr>
          <w:snapToGrid w:val="0"/>
        </w:rPr>
      </w:pPr>
      <w:r>
        <w:rPr>
          <w:snapToGrid w:val="0"/>
        </w:rPr>
        <w:tab/>
        <w:t>(b)</w:t>
      </w:r>
      <w:r>
        <w:rPr>
          <w:snapToGrid w:val="0"/>
        </w:rPr>
        <w:tab/>
        <w:t>it is signed on behalf of the port authority by a person or persons referred to in subsection (4).</w:t>
      </w:r>
    </w:p>
    <w:p>
      <w:pPr>
        <w:pStyle w:val="Subsection"/>
        <w:rPr>
          <w:snapToGrid w:val="0"/>
        </w:rPr>
      </w:pPr>
      <w:r>
        <w:rPr>
          <w:snapToGrid w:val="0"/>
        </w:rPr>
        <w:tab/>
        <w:t>(3)</w:t>
      </w:r>
      <w:r>
        <w:rPr>
          <w:snapToGrid w:val="0"/>
        </w:rPr>
        <w:tab/>
        <w:t>The common seal of a port authority is not to be affixed to a document except in accordance with this section.</w:t>
      </w:r>
    </w:p>
    <w:p>
      <w:pPr>
        <w:pStyle w:val="Subsection"/>
        <w:rPr>
          <w:snapToGrid w:val="0"/>
        </w:rPr>
      </w:pPr>
      <w:r>
        <w:rPr>
          <w:snapToGrid w:val="0"/>
        </w:rPr>
        <w:tab/>
        <w:t>(4)</w:t>
      </w:r>
      <w:r>
        <w:rPr>
          <w:snapToGrid w:val="0"/>
        </w:rPr>
        <w:tab/>
        <w:t>A port authority may, by writing under its common seal, authorise a director, the CEO, a member of staff or other agent of the port authority to execute documents on its behalf.</w:t>
      </w:r>
    </w:p>
    <w:p>
      <w:pPr>
        <w:pStyle w:val="Subsection"/>
        <w:rPr>
          <w:snapToGrid w:val="0"/>
        </w:rPr>
      </w:pPr>
      <w:r>
        <w:rPr>
          <w:snapToGrid w:val="0"/>
        </w:rPr>
        <w:tab/>
        <w:t>(5)</w:t>
      </w:r>
      <w:r>
        <w:rPr>
          <w:snapToGrid w:val="0"/>
        </w:rPr>
        <w:tab/>
        <w:t>An authorisation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port authority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section is to be taken to be duly executed until the contrary is shown.</w:t>
      </w:r>
    </w:p>
    <w:p>
      <w:pPr>
        <w:pStyle w:val="Heading5"/>
        <w:rPr>
          <w:snapToGrid w:val="0"/>
        </w:rPr>
      </w:pPr>
      <w:bookmarkStart w:id="365" w:name="_Toc398890106"/>
      <w:bookmarkStart w:id="366" w:name="_Toc424284541"/>
      <w:r>
        <w:rPr>
          <w:rStyle w:val="CharSectno"/>
        </w:rPr>
        <w:t>135</w:t>
      </w:r>
      <w:r>
        <w:rPr>
          <w:snapToGrid w:val="0"/>
        </w:rPr>
        <w:t>.</w:t>
      </w:r>
      <w:r>
        <w:rPr>
          <w:snapToGrid w:val="0"/>
        </w:rPr>
        <w:tab/>
        <w:t>Contracts with port authority, formalities of</w:t>
      </w:r>
      <w:bookmarkEnd w:id="365"/>
      <w:bookmarkEnd w:id="366"/>
    </w:p>
    <w:p>
      <w:pPr>
        <w:pStyle w:val="Subsection"/>
        <w:rPr>
          <w:snapToGrid w:val="0"/>
        </w:rPr>
      </w:pPr>
      <w:r>
        <w:rPr>
          <w:snapToGrid w:val="0"/>
        </w:rPr>
        <w:tab/>
        <w:t>(1)</w:t>
      </w:r>
      <w:r>
        <w:rPr>
          <w:snapToGrid w:val="0"/>
        </w:rPr>
        <w:tab/>
        <w:t>In so far as the formalities of making, varying or discharging a contract are concerned, a person acting under the authority of a port authority may make, vary or discharge a contract in the name of or on behalf of the port authority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port authority and other parties to the contract.</w:t>
      </w:r>
    </w:p>
    <w:p>
      <w:pPr>
        <w:pStyle w:val="Subsection"/>
        <w:rPr>
          <w:snapToGrid w:val="0"/>
        </w:rPr>
      </w:pPr>
      <w:r>
        <w:rPr>
          <w:snapToGrid w:val="0"/>
        </w:rPr>
        <w:tab/>
        <w:t>(3)</w:t>
      </w:r>
      <w:r>
        <w:rPr>
          <w:snapToGrid w:val="0"/>
        </w:rPr>
        <w:tab/>
        <w:t>Subsection (1) does not prevent a port authority from making, varying or discharging a contract under its common seal.</w:t>
      </w:r>
    </w:p>
    <w:p>
      <w:pPr>
        <w:pStyle w:val="Heading5"/>
        <w:rPr>
          <w:snapToGrid w:val="0"/>
        </w:rPr>
      </w:pPr>
      <w:bookmarkStart w:id="367" w:name="_Toc398890107"/>
      <w:bookmarkStart w:id="368" w:name="_Toc424284542"/>
      <w:r>
        <w:rPr>
          <w:rStyle w:val="CharSectno"/>
        </w:rPr>
        <w:t>136</w:t>
      </w:r>
      <w:r>
        <w:rPr>
          <w:snapToGrid w:val="0"/>
        </w:rPr>
        <w:t>.</w:t>
      </w:r>
      <w:r>
        <w:rPr>
          <w:snapToGrid w:val="0"/>
        </w:rPr>
        <w:tab/>
        <w:t>Overdue amounts, interest on</w:t>
      </w:r>
      <w:bookmarkEnd w:id="367"/>
      <w:bookmarkEnd w:id="368"/>
    </w:p>
    <w:p>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pPr>
        <w:pStyle w:val="Subsection"/>
        <w:rPr>
          <w:snapToGrid w:val="0"/>
        </w:rPr>
      </w:pPr>
      <w:r>
        <w:rPr>
          <w:snapToGrid w:val="0"/>
        </w:rPr>
        <w:tab/>
        <w:t>(2)</w:t>
      </w:r>
      <w:r>
        <w:rPr>
          <w:snapToGrid w:val="0"/>
        </w:rPr>
        <w:tab/>
        <w:t>Interest under subsection (1) may be recovered by a port authority in the same way as the money due to it may be recovered.</w:t>
      </w:r>
    </w:p>
    <w:p>
      <w:pPr>
        <w:pStyle w:val="Subsection"/>
        <w:rPr>
          <w:snapToGrid w:val="0"/>
        </w:rPr>
      </w:pPr>
      <w:r>
        <w:rPr>
          <w:snapToGrid w:val="0"/>
        </w:rPr>
        <w:tab/>
        <w:t>(3)</w:t>
      </w:r>
      <w:r>
        <w:rPr>
          <w:snapToGrid w:val="0"/>
        </w:rPr>
        <w:tab/>
        <w:t>Unless the context requires otherwise, a reference in this Act to port charges is to be taken as including a reference to interest under subsection (1) payable on those port charges if they are overdue.</w:t>
      </w:r>
    </w:p>
    <w:p>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pPr>
        <w:pStyle w:val="Heading5"/>
        <w:rPr>
          <w:snapToGrid w:val="0"/>
        </w:rPr>
      </w:pPr>
      <w:bookmarkStart w:id="369" w:name="_Toc398890108"/>
      <w:bookmarkStart w:id="370" w:name="_Toc424284543"/>
      <w:r>
        <w:rPr>
          <w:rStyle w:val="CharSectno"/>
        </w:rPr>
        <w:t>137</w:t>
      </w:r>
      <w:r>
        <w:rPr>
          <w:snapToGrid w:val="0"/>
        </w:rPr>
        <w:t>.</w:t>
      </w:r>
      <w:r>
        <w:rPr>
          <w:snapToGrid w:val="0"/>
        </w:rPr>
        <w:tab/>
        <w:t>Recovery of expenses due to offence</w:t>
      </w:r>
      <w:bookmarkEnd w:id="369"/>
      <w:bookmarkEnd w:id="370"/>
    </w:p>
    <w:p>
      <w:pPr>
        <w:pStyle w:val="Subsection"/>
        <w:rPr>
          <w:snapToGrid w:val="0"/>
        </w:rPr>
      </w:pPr>
      <w:r>
        <w:rPr>
          <w:snapToGrid w:val="0"/>
        </w:rPr>
        <w:tab/>
      </w:r>
      <w:r>
        <w:rPr>
          <w:snapToGrid w:val="0"/>
        </w:rPr>
        <w:tab/>
        <w:t>Without affecting the operation of section 94(2) or 113, a person who is convicted of an offence under this Act is liable, in addition to suffering any penalty imposed in respect of that offence, to pay to a port authority all expenses incurred by the port authority by reason of the commission of that offence, and the port authority may recover those expenses from that person in a court of competent jurisdiction as a debt due to the port authority.</w:t>
      </w:r>
    </w:p>
    <w:p>
      <w:pPr>
        <w:pStyle w:val="Heading5"/>
      </w:pPr>
      <w:bookmarkStart w:id="371" w:name="_Toc398890109"/>
      <w:bookmarkStart w:id="372" w:name="_Toc424284544"/>
      <w:r>
        <w:rPr>
          <w:rStyle w:val="CharSectno"/>
        </w:rPr>
        <w:t>138</w:t>
      </w:r>
      <w:r>
        <w:t>.</w:t>
      </w:r>
      <w:r>
        <w:tab/>
      </w:r>
      <w:r>
        <w:rPr>
          <w:i/>
        </w:rPr>
        <w:t>Government Agreements Act 1979</w:t>
      </w:r>
      <w:r>
        <w:t xml:space="preserve"> not affected</w:t>
      </w:r>
      <w:bookmarkEnd w:id="371"/>
      <w:bookmarkEnd w:id="372"/>
    </w:p>
    <w:p>
      <w:pPr>
        <w:pStyle w:val="Subsection"/>
      </w:pPr>
      <w:r>
        <w:tab/>
      </w:r>
      <w:r>
        <w:tab/>
        <w:t xml:space="preserve">The operation of the </w:t>
      </w:r>
      <w:r>
        <w:rPr>
          <w:i/>
        </w:rPr>
        <w:t>Government Agreements Act 1979</w:t>
      </w:r>
      <w:r>
        <w:t xml:space="preserve"> in relation to this Act is not limited or otherwise affected by — </w:t>
      </w:r>
    </w:p>
    <w:p>
      <w:pPr>
        <w:pStyle w:val="Indenta"/>
      </w:pPr>
      <w:r>
        <w:tab/>
        <w:t>(a)</w:t>
      </w:r>
      <w:r>
        <w:tab/>
        <w:t>Schedule 6 clause 1.3 or 2.3 or the mention of particular agreements in those clauses; or</w:t>
      </w:r>
    </w:p>
    <w:p>
      <w:pPr>
        <w:pStyle w:val="Indenta"/>
      </w:pPr>
      <w:r>
        <w:tab/>
        <w:t>(b)</w:t>
      </w:r>
      <w:r>
        <w:tab/>
        <w:t>the affecting provisions as defined in Schedule 8 clause 45; or</w:t>
      </w:r>
    </w:p>
    <w:p>
      <w:pPr>
        <w:pStyle w:val="Indenta"/>
      </w:pPr>
      <w:r>
        <w:tab/>
        <w:t>(c)</w:t>
      </w:r>
      <w:r>
        <w:tab/>
        <w:t>Schedule 9 or regulations referred to in Schedule 9.</w:t>
      </w:r>
    </w:p>
    <w:p>
      <w:pPr>
        <w:pStyle w:val="Footnotesection"/>
      </w:pPr>
      <w:r>
        <w:tab/>
        <w:t>[Section 138 inserted by No. 9 of 2014 s. 28(1); amended by No. 9 of 2014 s. 28(2).]</w:t>
      </w:r>
    </w:p>
    <w:p>
      <w:pPr>
        <w:pStyle w:val="Heading5"/>
      </w:pPr>
      <w:bookmarkStart w:id="373" w:name="_Toc398890110"/>
      <w:bookmarkStart w:id="374" w:name="_Toc424284545"/>
      <w:r>
        <w:rPr>
          <w:rStyle w:val="CharSectno"/>
        </w:rPr>
        <w:t>139A</w:t>
      </w:r>
      <w:r>
        <w:t>.</w:t>
      </w:r>
      <w:r>
        <w:tab/>
        <w:t>Transitional provisions</w:t>
      </w:r>
      <w:bookmarkEnd w:id="373"/>
      <w:bookmarkEnd w:id="374"/>
    </w:p>
    <w:p>
      <w:pPr>
        <w:pStyle w:val="Subsection"/>
      </w:pPr>
      <w:r>
        <w:tab/>
      </w:r>
      <w:r>
        <w:tab/>
        <w:t>Schedule 8 sets out transitional provisions.</w:t>
      </w:r>
    </w:p>
    <w:p>
      <w:pPr>
        <w:pStyle w:val="Footnotesection"/>
      </w:pPr>
      <w:r>
        <w:tab/>
        <w:t>[Section 139A inserted by No. 9 of 2014 s. 29.]</w:t>
      </w:r>
    </w:p>
    <w:p>
      <w:pPr>
        <w:pStyle w:val="Heading2"/>
      </w:pPr>
      <w:bookmarkStart w:id="375" w:name="_Toc398890111"/>
      <w:bookmarkStart w:id="376" w:name="_Toc424284546"/>
      <w:r>
        <w:rPr>
          <w:rStyle w:val="CharPartNo"/>
        </w:rPr>
        <w:t>Part 11</w:t>
      </w:r>
      <w:r>
        <w:rPr>
          <w:rStyle w:val="CharDivNo"/>
        </w:rPr>
        <w:t xml:space="preserve"> </w:t>
      </w:r>
      <w:r>
        <w:t>—</w:t>
      </w:r>
      <w:r>
        <w:rPr>
          <w:rStyle w:val="CharDivText"/>
        </w:rPr>
        <w:t xml:space="preserve"> </w:t>
      </w:r>
      <w:r>
        <w:rPr>
          <w:rStyle w:val="CharPartText"/>
        </w:rPr>
        <w:t>Regulations</w:t>
      </w:r>
      <w:bookmarkEnd w:id="375"/>
      <w:bookmarkEnd w:id="376"/>
    </w:p>
    <w:p>
      <w:pPr>
        <w:pStyle w:val="Heading5"/>
        <w:rPr>
          <w:snapToGrid w:val="0"/>
        </w:rPr>
      </w:pPr>
      <w:bookmarkStart w:id="377" w:name="_Toc398890112"/>
      <w:bookmarkStart w:id="378" w:name="_Toc424284547"/>
      <w:r>
        <w:rPr>
          <w:rStyle w:val="CharSectno"/>
        </w:rPr>
        <w:t>139</w:t>
      </w:r>
      <w:r>
        <w:rPr>
          <w:snapToGrid w:val="0"/>
        </w:rPr>
        <w:t>.</w:t>
      </w:r>
      <w:r>
        <w:rPr>
          <w:snapToGrid w:val="0"/>
        </w:rPr>
        <w:tab/>
        <w:t>General power to make regulations</w:t>
      </w:r>
      <w:bookmarkEnd w:id="377"/>
      <w:bookmarkEnd w:id="37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for all or any of the purposes, or about all or any of the matters, set out in Schedule 7.</w:t>
      </w:r>
    </w:p>
    <w:p>
      <w:pPr>
        <w:pStyle w:val="Heading5"/>
        <w:rPr>
          <w:snapToGrid w:val="0"/>
        </w:rPr>
      </w:pPr>
      <w:bookmarkStart w:id="379" w:name="_Toc398890113"/>
      <w:bookmarkStart w:id="380" w:name="_Toc424284548"/>
      <w:r>
        <w:rPr>
          <w:rStyle w:val="CharSectno"/>
        </w:rPr>
        <w:t>140</w:t>
      </w:r>
      <w:r>
        <w:rPr>
          <w:snapToGrid w:val="0"/>
        </w:rPr>
        <w:t>.</w:t>
      </w:r>
      <w:r>
        <w:rPr>
          <w:snapToGrid w:val="0"/>
        </w:rPr>
        <w:tab/>
        <w:t>Offences against regulations</w:t>
      </w:r>
      <w:bookmarkEnd w:id="379"/>
      <w:bookmarkEnd w:id="380"/>
      <w:r>
        <w:rPr>
          <w:snapToGrid w:val="0"/>
        </w:rPr>
        <w:t xml:space="preserve"> </w:t>
      </w:r>
    </w:p>
    <w:p>
      <w:pPr>
        <w:pStyle w:val="Subsection"/>
        <w:rPr>
          <w:snapToGrid w:val="0"/>
        </w:rPr>
      </w:pPr>
      <w:r>
        <w:rPr>
          <w:snapToGrid w:val="0"/>
        </w:rPr>
        <w:tab/>
      </w:r>
      <w:r>
        <w:rPr>
          <w:snapToGrid w:val="0"/>
        </w:rPr>
        <w:tab/>
        <w:t>Regulations may create offences and provide, in respect of an offence so created, for the imposition of a penalty not exceeding a fine of $12 000 with or without imprisonment for a term not exceeding 12 months.</w:t>
      </w:r>
    </w:p>
    <w:p>
      <w:pPr>
        <w:pStyle w:val="Heading5"/>
        <w:rPr>
          <w:snapToGrid w:val="0"/>
        </w:rPr>
      </w:pPr>
      <w:bookmarkStart w:id="381" w:name="_Toc398890114"/>
      <w:bookmarkStart w:id="382" w:name="_Toc424284549"/>
      <w:r>
        <w:rPr>
          <w:rStyle w:val="CharSectno"/>
        </w:rPr>
        <w:t>141</w:t>
      </w:r>
      <w:r>
        <w:rPr>
          <w:snapToGrid w:val="0"/>
        </w:rPr>
        <w:t>.</w:t>
      </w:r>
      <w:r>
        <w:rPr>
          <w:snapToGrid w:val="0"/>
        </w:rPr>
        <w:tab/>
        <w:t>Adoption of other laws, codes etc.</w:t>
      </w:r>
      <w:bookmarkEnd w:id="381"/>
      <w:bookmarkEnd w:id="382"/>
      <w:r>
        <w:rPr>
          <w:snapToGrid w:val="0"/>
        </w:rPr>
        <w:t xml:space="preserve"> </w:t>
      </w:r>
    </w:p>
    <w:p>
      <w:pPr>
        <w:pStyle w:val="Subsection"/>
        <w:rPr>
          <w:snapToGrid w:val="0"/>
        </w:rPr>
      </w:pPr>
      <w:r>
        <w:rPr>
          <w:snapToGrid w:val="0"/>
        </w:rPr>
        <w:tab/>
        <w:t>(1)</w:t>
      </w:r>
      <w:r>
        <w:rPr>
          <w:snapToGrid w:val="0"/>
        </w:rPr>
        <w:tab/>
        <w:t>Regulations may adopt, either wholly or in part or with modifications — </w:t>
      </w:r>
    </w:p>
    <w:p>
      <w:pPr>
        <w:pStyle w:val="Indenta"/>
        <w:rPr>
          <w:snapToGrid w:val="0"/>
        </w:rPr>
      </w:pPr>
      <w:r>
        <w:rPr>
          <w:snapToGrid w:val="0"/>
        </w:rPr>
        <w:tab/>
        <w:t>(a)</w:t>
      </w:r>
      <w:r>
        <w:rPr>
          <w:snapToGrid w:val="0"/>
        </w:rPr>
        <w:tab/>
        <w:t>any rules, regulations, codes, instructions or other subsidiary legislation made, determined or issued under any other Act or under any Imperial Act or Commonwealth Act; or</w:t>
      </w:r>
    </w:p>
    <w:p>
      <w:pPr>
        <w:pStyle w:val="Indenta"/>
        <w:rPr>
          <w:snapToGrid w:val="0"/>
        </w:rPr>
      </w:pPr>
      <w:r>
        <w:rPr>
          <w:snapToGrid w:val="0"/>
        </w:rPr>
        <w:tab/>
        <w:t>(b)</w:t>
      </w:r>
      <w:r>
        <w:rPr>
          <w:snapToGrid w:val="0"/>
        </w:rPr>
        <w:tab/>
        <w:t>any of the standards, rules, codes or specifications of the bodies known as the International Maritime Organization,</w:t>
      </w:r>
      <w:r>
        <w:t xml:space="preserve"> Standards Australia</w:t>
      </w:r>
      <w:r>
        <w:rPr>
          <w:snapToGrid w:val="0"/>
        </w:rPr>
        <w:t>, the British Standards Institution or The Association of Australian Port and Marine Authorities or of any other like body that is specified in those regulations.</w:t>
      </w:r>
    </w:p>
    <w:p>
      <w:pPr>
        <w:pStyle w:val="Subsection"/>
        <w:rPr>
          <w:snapToGrid w:val="0"/>
        </w:rPr>
      </w:pPr>
      <w:r>
        <w:rPr>
          <w:snapToGrid w:val="0"/>
        </w:rPr>
        <w:tab/>
        <w:t>(2)</w:t>
      </w:r>
      <w:r>
        <w:rPr>
          <w:snapToGrid w:val="0"/>
        </w:rPr>
        <w:tab/>
        <w:t>If regulations adopt any subsidiary legislation, standard, rule, code or specification under subsection (1), it is adopted as in force from time to time unless those regulations specify that a particular text is adopted.</w:t>
      </w:r>
    </w:p>
    <w:p>
      <w:pPr>
        <w:pStyle w:val="Subsection"/>
        <w:rPr>
          <w:snapToGrid w:val="0"/>
        </w:rPr>
      </w:pPr>
      <w:r>
        <w:rPr>
          <w:snapToGrid w:val="0"/>
        </w:rPr>
        <w:tab/>
        <w:t>(3)</w:t>
      </w:r>
      <w:r>
        <w:rPr>
          <w:snapToGrid w:val="0"/>
        </w:rPr>
        <w:tab/>
        <w:t>Regulations may provide that if by reason of unavailability of materials or for any other reason that a port authority considers valid any requirement of any subsidiary legislation or standard, rule, code or specification adopted by those regulations in accordance with subsection (1) cannot be conformed to, a port authority may approve such use of materials or other matters as it considers to be consistent with the achievement of the objects of those regulations.</w:t>
      </w:r>
    </w:p>
    <w:p>
      <w:pPr>
        <w:pStyle w:val="Footnotesection"/>
      </w:pPr>
      <w:r>
        <w:tab/>
        <w:t>[Section 141 amended by No. 74 of 2003 s. 93(4).]</w:t>
      </w:r>
    </w:p>
    <w:p>
      <w:pPr>
        <w:pStyle w:val="Heading5"/>
        <w:rPr>
          <w:snapToGrid w:val="0"/>
        </w:rPr>
      </w:pPr>
      <w:bookmarkStart w:id="383" w:name="_Toc398890115"/>
      <w:bookmarkStart w:id="384" w:name="_Toc424284550"/>
      <w:r>
        <w:rPr>
          <w:rStyle w:val="CharSectno"/>
        </w:rPr>
        <w:t>142</w:t>
      </w:r>
      <w:r>
        <w:rPr>
          <w:snapToGrid w:val="0"/>
        </w:rPr>
        <w:t>.</w:t>
      </w:r>
      <w:r>
        <w:rPr>
          <w:snapToGrid w:val="0"/>
        </w:rPr>
        <w:tab/>
        <w:t>References to other approvals or decisions</w:t>
      </w:r>
      <w:bookmarkEnd w:id="383"/>
      <w:bookmarkEnd w:id="384"/>
      <w:r>
        <w:rPr>
          <w:snapToGrid w:val="0"/>
        </w:rPr>
        <w:t xml:space="preserve"> </w:t>
      </w:r>
    </w:p>
    <w:p>
      <w:pPr>
        <w:pStyle w:val="Subsection"/>
        <w:rPr>
          <w:snapToGrid w:val="0"/>
        </w:rPr>
      </w:pPr>
      <w:r>
        <w:rPr>
          <w:snapToGrid w:val="0"/>
        </w:rPr>
        <w:tab/>
      </w:r>
      <w:r>
        <w:rPr>
          <w:snapToGrid w:val="0"/>
        </w:rPr>
        <w:tab/>
        <w:t>Regulations may be made so as to apply according to an approval or other administrative decision of a person or body specified in those regulations even if that approval or other decision may not have been, or may not have been primarily, given or made for the purposes of this Act.</w:t>
      </w:r>
    </w:p>
    <w:p>
      <w:pPr>
        <w:pStyle w:val="Heading5"/>
        <w:rPr>
          <w:snapToGrid w:val="0"/>
        </w:rPr>
      </w:pPr>
      <w:bookmarkStart w:id="385" w:name="_Toc398890116"/>
      <w:bookmarkStart w:id="386" w:name="_Toc424284551"/>
      <w:r>
        <w:rPr>
          <w:rStyle w:val="CharSectno"/>
        </w:rPr>
        <w:t>143</w:t>
      </w:r>
      <w:r>
        <w:rPr>
          <w:snapToGrid w:val="0"/>
        </w:rPr>
        <w:t>.</w:t>
      </w:r>
      <w:r>
        <w:rPr>
          <w:snapToGrid w:val="0"/>
        </w:rPr>
        <w:tab/>
        <w:t>Licensing, provisions as to</w:t>
      </w:r>
      <w:bookmarkEnd w:id="385"/>
      <w:bookmarkEnd w:id="386"/>
    </w:p>
    <w:p>
      <w:pPr>
        <w:pStyle w:val="Subsection"/>
        <w:rPr>
          <w:snapToGrid w:val="0"/>
        </w:rPr>
      </w:pPr>
      <w:r>
        <w:rPr>
          <w:snapToGrid w:val="0"/>
        </w:rPr>
        <w:tab/>
        <w:t>(1)</w:t>
      </w:r>
      <w:r>
        <w:rPr>
          <w:snapToGrid w:val="0"/>
        </w:rPr>
        <w:tab/>
        <w:t>Regulations may control an activity or thing by prohibiting it from being carried out or done in a port except under a licence issued by the port authority.</w:t>
      </w:r>
    </w:p>
    <w:p>
      <w:pPr>
        <w:pStyle w:val="Subsection"/>
        <w:rPr>
          <w:snapToGrid w:val="0"/>
        </w:rPr>
      </w:pPr>
      <w:r>
        <w:rPr>
          <w:snapToGrid w:val="0"/>
        </w:rPr>
        <w:tab/>
        <w:t>(2)</w:t>
      </w:r>
      <w:r>
        <w:rPr>
          <w:snapToGrid w:val="0"/>
        </w:rPr>
        <w:tab/>
        <w:t>Regulations may provide for the following — </w:t>
      </w:r>
    </w:p>
    <w:p>
      <w:pPr>
        <w:pStyle w:val="Indenta"/>
        <w:rPr>
          <w:snapToGrid w:val="0"/>
        </w:rPr>
      </w:pPr>
      <w:r>
        <w:rPr>
          <w:snapToGrid w:val="0"/>
        </w:rPr>
        <w:tab/>
        <w:t>(a)</w:t>
      </w:r>
      <w:r>
        <w:rPr>
          <w:snapToGrid w:val="0"/>
        </w:rPr>
        <w:tab/>
        <w:t>the calling of applications or tenders for licences;</w:t>
      </w:r>
    </w:p>
    <w:p>
      <w:pPr>
        <w:pStyle w:val="Indenta"/>
        <w:rPr>
          <w:snapToGrid w:val="0"/>
        </w:rPr>
      </w:pPr>
      <w:r>
        <w:rPr>
          <w:snapToGrid w:val="0"/>
        </w:rPr>
        <w:tab/>
        <w:t>(b)</w:t>
      </w:r>
      <w:r>
        <w:rPr>
          <w:snapToGrid w:val="0"/>
        </w:rPr>
        <w:tab/>
        <w:t>the method of applying or tendering for licences;</w:t>
      </w:r>
    </w:p>
    <w:p>
      <w:pPr>
        <w:pStyle w:val="Indenta"/>
        <w:rPr>
          <w:snapToGrid w:val="0"/>
        </w:rPr>
      </w:pPr>
      <w:r>
        <w:rPr>
          <w:snapToGrid w:val="0"/>
        </w:rPr>
        <w:tab/>
        <w:t>(c)</w:t>
      </w:r>
      <w:r>
        <w:rPr>
          <w:snapToGrid w:val="0"/>
        </w:rPr>
        <w:tab/>
        <w:t>the issue, duration, renewal, suspension or cancellation of licences;</w:t>
      </w:r>
    </w:p>
    <w:p>
      <w:pPr>
        <w:pStyle w:val="Indenta"/>
        <w:rPr>
          <w:snapToGrid w:val="0"/>
        </w:rPr>
      </w:pPr>
      <w:r>
        <w:rPr>
          <w:snapToGrid w:val="0"/>
        </w:rPr>
        <w:tab/>
        <w:t>(d)</w:t>
      </w:r>
      <w:r>
        <w:rPr>
          <w:snapToGrid w:val="0"/>
        </w:rPr>
        <w:tab/>
        <w:t>the imposition of conditions or restrictions on licences.</w:t>
      </w:r>
    </w:p>
    <w:p>
      <w:pPr>
        <w:pStyle w:val="Subsection"/>
      </w:pPr>
      <w:r>
        <w:rPr>
          <w:snapToGrid w:val="0"/>
        </w:rPr>
        <w:tab/>
        <w:t>(3)</w:t>
      </w:r>
      <w:r>
        <w:rPr>
          <w:snapToGrid w:val="0"/>
        </w:rPr>
        <w:tab/>
      </w:r>
      <w:r>
        <w:t>Neither the port authority, nor a person acting on its behalf, needs a licence referred to in this section.</w:t>
      </w:r>
    </w:p>
    <w:p>
      <w:pPr>
        <w:pStyle w:val="Subsection"/>
        <w:rPr>
          <w:snapToGrid w:val="0"/>
        </w:rPr>
      </w:pPr>
      <w:r>
        <w:rPr>
          <w:snapToGrid w:val="0"/>
        </w:rPr>
        <w:tab/>
        <w:t>(4)</w:t>
      </w:r>
      <w:r>
        <w:rPr>
          <w:snapToGrid w:val="0"/>
        </w:rPr>
        <w:tab/>
        <w:t>This section does not limit the methods by which the regulations may control an activity or thing.</w:t>
      </w:r>
    </w:p>
    <w:p>
      <w:pPr>
        <w:pStyle w:val="Heading2"/>
      </w:pPr>
      <w:bookmarkStart w:id="387" w:name="_Toc398890117"/>
      <w:bookmarkStart w:id="388" w:name="_Toc424284552"/>
      <w:r>
        <w:rPr>
          <w:rStyle w:val="CharPartNo"/>
        </w:rPr>
        <w:t>Part 12</w:t>
      </w:r>
      <w:r>
        <w:rPr>
          <w:rStyle w:val="CharDivNo"/>
        </w:rPr>
        <w:t xml:space="preserve"> </w:t>
      </w:r>
      <w:r>
        <w:t>—</w:t>
      </w:r>
      <w:r>
        <w:rPr>
          <w:rStyle w:val="CharDivText"/>
        </w:rPr>
        <w:t xml:space="preserve"> </w:t>
      </w:r>
      <w:r>
        <w:rPr>
          <w:rStyle w:val="CharPartText"/>
        </w:rPr>
        <w:t>Review of Act</w:t>
      </w:r>
      <w:bookmarkEnd w:id="387"/>
      <w:bookmarkEnd w:id="388"/>
    </w:p>
    <w:p>
      <w:pPr>
        <w:pStyle w:val="Heading5"/>
      </w:pPr>
      <w:bookmarkStart w:id="389" w:name="_Toc398890118"/>
      <w:bookmarkStart w:id="390" w:name="_Toc424284553"/>
      <w:r>
        <w:rPr>
          <w:rStyle w:val="CharSectno"/>
        </w:rPr>
        <w:t>144</w:t>
      </w:r>
      <w:r>
        <w:t>.</w:t>
      </w:r>
      <w:r>
        <w:tab/>
        <w:t>Minister to review and report on Act</w:t>
      </w:r>
      <w:bookmarkEnd w:id="389"/>
      <w:bookmarkEnd w:id="390"/>
    </w:p>
    <w:p>
      <w:pPr>
        <w:pStyle w:val="Subsection"/>
      </w:pPr>
      <w:r>
        <w:tab/>
        <w:t>(1)</w:t>
      </w:r>
      <w:r>
        <w:tab/>
        <w:t>The Minister is to carry out a review of the operation and effectiveness of this Act as soon as is practicable after the expiry of 5 years from the commencement of section 4.</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22"/>
          <w:headerReference w:type="default" r:id="rId23"/>
          <w:footerReference w:type="even"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391" w:name="_Toc398890119"/>
      <w:bookmarkStart w:id="392" w:name="_Toc424284554"/>
      <w:r>
        <w:rPr>
          <w:rStyle w:val="CharSchNo"/>
        </w:rPr>
        <w:t>Schedule 1</w:t>
      </w:r>
      <w:r>
        <w:t> — </w:t>
      </w:r>
      <w:r>
        <w:rPr>
          <w:rStyle w:val="CharSchText"/>
        </w:rPr>
        <w:t>Port authorities and ports</w:t>
      </w:r>
      <w:bookmarkEnd w:id="391"/>
      <w:bookmarkEnd w:id="392"/>
    </w:p>
    <w:p>
      <w:pPr>
        <w:pStyle w:val="yShoulderClause"/>
      </w:pPr>
      <w:r>
        <w:t>[s. 4]</w:t>
      </w:r>
    </w:p>
    <w:p>
      <w:pPr>
        <w:pStyle w:val="yFootnoteheading"/>
        <w:spacing w:after="120"/>
      </w:pPr>
      <w:r>
        <w:tab/>
        <w:t>[Heading inserted by No. 9 of 2014 s. 30.]</w:t>
      </w:r>
    </w:p>
    <w:tbl>
      <w:tblPr>
        <w:tblpPr w:leftFromText="180" w:rightFromText="180" w:vertAnchor="text" w:tblpX="567" w:tblpY="1"/>
        <w:tblOverlap w:val="never"/>
        <w:tblW w:w="0" w:type="auto"/>
        <w:tblLayout w:type="fixed"/>
        <w:tblCellMar>
          <w:left w:w="141" w:type="dxa"/>
          <w:right w:w="141" w:type="dxa"/>
        </w:tblCellMar>
        <w:tblLook w:val="0000" w:firstRow="0" w:lastRow="0" w:firstColumn="0" w:lastColumn="0" w:noHBand="0" w:noVBand="0"/>
      </w:tblPr>
      <w:tblGrid>
        <w:gridCol w:w="1275"/>
        <w:gridCol w:w="2694"/>
        <w:gridCol w:w="2693"/>
      </w:tblGrid>
      <w:tr>
        <w:tc>
          <w:tcPr>
            <w:tcW w:w="1275" w:type="dxa"/>
            <w:tcBorders>
              <w:top w:val="single" w:sz="4" w:space="0" w:color="auto"/>
              <w:bottom w:val="single" w:sz="4" w:space="0" w:color="auto"/>
            </w:tcBorders>
          </w:tcPr>
          <w:p>
            <w:pPr>
              <w:pStyle w:val="yTableNAm"/>
              <w:rPr>
                <w:b/>
              </w:rPr>
            </w:pPr>
            <w:r>
              <w:rPr>
                <w:b/>
              </w:rPr>
              <w:t>Column 1</w:t>
            </w:r>
          </w:p>
          <w:p>
            <w:pPr>
              <w:pStyle w:val="yTableNAm"/>
              <w:rPr>
                <w:b/>
              </w:rPr>
            </w:pPr>
            <w:r>
              <w:rPr>
                <w:b/>
              </w:rPr>
              <w:t>Item</w:t>
            </w:r>
          </w:p>
        </w:tc>
        <w:tc>
          <w:tcPr>
            <w:tcW w:w="2694" w:type="dxa"/>
            <w:tcBorders>
              <w:top w:val="single" w:sz="4" w:space="0" w:color="auto"/>
              <w:bottom w:val="single" w:sz="4" w:space="0" w:color="auto"/>
            </w:tcBorders>
          </w:tcPr>
          <w:p>
            <w:pPr>
              <w:pStyle w:val="yTableNAm"/>
              <w:rPr>
                <w:b/>
              </w:rPr>
            </w:pPr>
            <w:r>
              <w:rPr>
                <w:b/>
              </w:rPr>
              <w:t>Column 2</w:t>
            </w:r>
          </w:p>
          <w:p>
            <w:pPr>
              <w:pStyle w:val="yTableNAm"/>
              <w:rPr>
                <w:b/>
              </w:rPr>
            </w:pPr>
            <w:r>
              <w:rPr>
                <w:b/>
              </w:rPr>
              <w:t>Name of port authority</w:t>
            </w:r>
          </w:p>
        </w:tc>
        <w:tc>
          <w:tcPr>
            <w:tcW w:w="2693" w:type="dxa"/>
            <w:tcBorders>
              <w:top w:val="single" w:sz="4" w:space="0" w:color="auto"/>
              <w:bottom w:val="single" w:sz="4" w:space="0" w:color="auto"/>
            </w:tcBorders>
          </w:tcPr>
          <w:p>
            <w:pPr>
              <w:pStyle w:val="yTableNAm"/>
              <w:rPr>
                <w:b/>
              </w:rPr>
            </w:pPr>
            <w:r>
              <w:rPr>
                <w:b/>
              </w:rPr>
              <w:t>Column 3</w:t>
            </w:r>
          </w:p>
          <w:p>
            <w:pPr>
              <w:pStyle w:val="yTableNAm"/>
              <w:rPr>
                <w:b/>
              </w:rPr>
            </w:pPr>
            <w:r>
              <w:rPr>
                <w:b/>
              </w:rPr>
              <w:t>Port or ports</w:t>
            </w:r>
          </w:p>
        </w:tc>
      </w:tr>
      <w:tr>
        <w:tc>
          <w:tcPr>
            <w:tcW w:w="1275" w:type="dxa"/>
          </w:tcPr>
          <w:p>
            <w:pPr>
              <w:pStyle w:val="yTableNAm"/>
            </w:pPr>
            <w:r>
              <w:t>1</w:t>
            </w:r>
          </w:p>
        </w:tc>
        <w:tc>
          <w:tcPr>
            <w:tcW w:w="2694" w:type="dxa"/>
          </w:tcPr>
          <w:p>
            <w:pPr>
              <w:pStyle w:val="yTableNAm"/>
            </w:pPr>
            <w:r>
              <w:t>Fremantle Port Authority</w:t>
            </w:r>
          </w:p>
        </w:tc>
        <w:tc>
          <w:tcPr>
            <w:tcW w:w="2693" w:type="dxa"/>
          </w:tcPr>
          <w:p>
            <w:pPr>
              <w:pStyle w:val="yTableNAm"/>
            </w:pPr>
            <w:r>
              <w:t xml:space="preserve">Port of Fremantle </w:t>
            </w:r>
          </w:p>
        </w:tc>
      </w:tr>
      <w:tr>
        <w:tc>
          <w:tcPr>
            <w:tcW w:w="3969" w:type="dxa"/>
            <w:gridSpan w:val="2"/>
          </w:tcPr>
          <w:p>
            <w:pPr>
              <w:pStyle w:val="yTableNAm"/>
            </w:pPr>
            <w:r>
              <w:rPr>
                <w:i/>
              </w:rPr>
              <w:t>[2</w:t>
            </w:r>
            <w:r>
              <w:rPr>
                <w:i/>
              </w:rPr>
              <w:tab/>
              <w:t>deleted]</w:t>
            </w:r>
          </w:p>
        </w:tc>
        <w:tc>
          <w:tcPr>
            <w:tcW w:w="2693" w:type="dxa"/>
          </w:tcPr>
          <w:p>
            <w:pPr>
              <w:pStyle w:val="yTableNAm"/>
            </w:pPr>
          </w:p>
        </w:tc>
      </w:tr>
      <w:tr>
        <w:tc>
          <w:tcPr>
            <w:tcW w:w="1275" w:type="dxa"/>
          </w:tcPr>
          <w:p>
            <w:pPr>
              <w:pStyle w:val="yTableNAm"/>
            </w:pPr>
            <w:r>
              <w:t>3</w:t>
            </w:r>
          </w:p>
        </w:tc>
        <w:tc>
          <w:tcPr>
            <w:tcW w:w="2694" w:type="dxa"/>
          </w:tcPr>
          <w:p>
            <w:pPr>
              <w:pStyle w:val="yTableNAm"/>
            </w:pPr>
            <w:r>
              <w:rPr>
                <w:szCs w:val="22"/>
              </w:rPr>
              <w:t>Southern Ports Authority</w:t>
            </w:r>
          </w:p>
        </w:tc>
        <w:tc>
          <w:tcPr>
            <w:tcW w:w="2693" w:type="dxa"/>
          </w:tcPr>
          <w:p>
            <w:pPr>
              <w:pStyle w:val="yTableNAm"/>
            </w:pPr>
            <w:r>
              <w:rPr>
                <w:szCs w:val="22"/>
              </w:rPr>
              <w:t>Port of Albany</w:t>
            </w:r>
            <w:r>
              <w:br/>
              <w:t>Port of Bunbury</w:t>
            </w:r>
            <w:r>
              <w:br/>
            </w:r>
            <w:r>
              <w:rPr>
                <w:szCs w:val="22"/>
              </w:rPr>
              <w:t>Port of Esperance</w:t>
            </w:r>
          </w:p>
        </w:tc>
      </w:tr>
      <w:tr>
        <w:tc>
          <w:tcPr>
            <w:tcW w:w="3969" w:type="dxa"/>
            <w:gridSpan w:val="2"/>
          </w:tcPr>
          <w:p>
            <w:pPr>
              <w:pStyle w:val="yTableNAm"/>
            </w:pPr>
            <w:r>
              <w:rPr>
                <w:i/>
              </w:rPr>
              <w:t>[4</w:t>
            </w:r>
            <w:r>
              <w:rPr>
                <w:i/>
              </w:rPr>
              <w:tab/>
              <w:t>deleted]</w:t>
            </w:r>
          </w:p>
        </w:tc>
        <w:tc>
          <w:tcPr>
            <w:tcW w:w="2693" w:type="dxa"/>
          </w:tcPr>
          <w:p>
            <w:pPr>
              <w:pStyle w:val="yTableNAm"/>
            </w:pPr>
          </w:p>
        </w:tc>
      </w:tr>
      <w:tr>
        <w:tc>
          <w:tcPr>
            <w:tcW w:w="1275" w:type="dxa"/>
          </w:tcPr>
          <w:p>
            <w:pPr>
              <w:pStyle w:val="yTableNAm"/>
            </w:pPr>
            <w:r>
              <w:t>5</w:t>
            </w:r>
          </w:p>
        </w:tc>
        <w:tc>
          <w:tcPr>
            <w:tcW w:w="2694" w:type="dxa"/>
          </w:tcPr>
          <w:p>
            <w:pPr>
              <w:pStyle w:val="yTableNAm"/>
            </w:pPr>
            <w:r>
              <w:rPr>
                <w:szCs w:val="22"/>
              </w:rPr>
              <w:t>Mid West Ports Authority</w:t>
            </w:r>
          </w:p>
        </w:tc>
        <w:tc>
          <w:tcPr>
            <w:tcW w:w="2693" w:type="dxa"/>
          </w:tcPr>
          <w:p>
            <w:pPr>
              <w:pStyle w:val="yTableNAm"/>
            </w:pPr>
            <w:r>
              <w:t>Port of Geraldton</w:t>
            </w:r>
          </w:p>
        </w:tc>
      </w:tr>
      <w:tr>
        <w:tc>
          <w:tcPr>
            <w:tcW w:w="3969" w:type="dxa"/>
            <w:gridSpan w:val="2"/>
          </w:tcPr>
          <w:p>
            <w:pPr>
              <w:pStyle w:val="yTableNAm"/>
            </w:pPr>
            <w:r>
              <w:rPr>
                <w:i/>
              </w:rPr>
              <w:t xml:space="preserve">[6 </w:t>
            </w:r>
            <w:r>
              <w:rPr>
                <w:i/>
              </w:rPr>
              <w:tab/>
              <w:t>deleted]</w:t>
            </w:r>
            <w:r>
              <w:t xml:space="preserve"> </w:t>
            </w:r>
          </w:p>
        </w:tc>
        <w:tc>
          <w:tcPr>
            <w:tcW w:w="2693" w:type="dxa"/>
          </w:tcPr>
          <w:p>
            <w:pPr>
              <w:pStyle w:val="yTableNAm"/>
            </w:pPr>
          </w:p>
        </w:tc>
      </w:tr>
      <w:tr>
        <w:tc>
          <w:tcPr>
            <w:tcW w:w="1275" w:type="dxa"/>
          </w:tcPr>
          <w:p>
            <w:pPr>
              <w:pStyle w:val="yTableNAm"/>
            </w:pPr>
            <w:r>
              <w:t>7</w:t>
            </w:r>
          </w:p>
        </w:tc>
        <w:tc>
          <w:tcPr>
            <w:tcW w:w="2694" w:type="dxa"/>
          </w:tcPr>
          <w:p>
            <w:pPr>
              <w:pStyle w:val="yTableNAm"/>
            </w:pPr>
            <w:r>
              <w:rPr>
                <w:szCs w:val="22"/>
              </w:rPr>
              <w:t>Pilbara Ports Authority</w:t>
            </w:r>
          </w:p>
        </w:tc>
        <w:tc>
          <w:tcPr>
            <w:tcW w:w="2693" w:type="dxa"/>
          </w:tcPr>
          <w:p>
            <w:pPr>
              <w:pStyle w:val="yTableNAm"/>
            </w:pPr>
            <w:r>
              <w:rPr>
                <w:szCs w:val="22"/>
              </w:rPr>
              <w:t>Port of Ashburton</w:t>
            </w:r>
            <w:r>
              <w:rPr>
                <w:szCs w:val="22"/>
              </w:rPr>
              <w:br/>
              <w:t>Port of Dampier</w:t>
            </w:r>
            <w:r>
              <w:t xml:space="preserve"> </w:t>
            </w:r>
            <w:r>
              <w:br/>
              <w:t>Port of Port Hedland</w:t>
            </w:r>
          </w:p>
        </w:tc>
      </w:tr>
      <w:tr>
        <w:tc>
          <w:tcPr>
            <w:tcW w:w="1275" w:type="dxa"/>
            <w:tcBorders>
              <w:bottom w:val="single" w:sz="4" w:space="0" w:color="auto"/>
            </w:tcBorders>
          </w:tcPr>
          <w:p>
            <w:pPr>
              <w:pStyle w:val="yTableNAm"/>
            </w:pPr>
            <w:r>
              <w:t>8</w:t>
            </w:r>
          </w:p>
        </w:tc>
        <w:tc>
          <w:tcPr>
            <w:tcW w:w="2694" w:type="dxa"/>
            <w:tcBorders>
              <w:bottom w:val="single" w:sz="4" w:space="0" w:color="auto"/>
            </w:tcBorders>
          </w:tcPr>
          <w:p>
            <w:pPr>
              <w:pStyle w:val="yTableNAm"/>
            </w:pPr>
            <w:r>
              <w:rPr>
                <w:szCs w:val="22"/>
              </w:rPr>
              <w:t xml:space="preserve">Kimberley Ports Authority  </w:t>
            </w:r>
          </w:p>
        </w:tc>
        <w:tc>
          <w:tcPr>
            <w:tcW w:w="2693" w:type="dxa"/>
            <w:tcBorders>
              <w:bottom w:val="single" w:sz="4" w:space="0" w:color="auto"/>
            </w:tcBorders>
          </w:tcPr>
          <w:p>
            <w:pPr>
              <w:pStyle w:val="yTableNAm"/>
            </w:pPr>
            <w:r>
              <w:t xml:space="preserve">Port of Broome </w:t>
            </w:r>
          </w:p>
        </w:tc>
      </w:tr>
    </w:tbl>
    <w:p>
      <w:pPr>
        <w:pStyle w:val="yFootnotesection"/>
      </w:pPr>
      <w:r>
        <w:tab/>
        <w:t>[Schedule 1 inserted by No. 9 of 2014 s. 30; amended by No. 9 of 2014 s. 31.]</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394" w:name="_Toc398890120"/>
      <w:bookmarkStart w:id="395" w:name="_Toc424284555"/>
      <w:r>
        <w:rPr>
          <w:rStyle w:val="CharSchNo"/>
        </w:rPr>
        <w:t>Schedule 2</w:t>
      </w:r>
      <w:r>
        <w:t xml:space="preserve"> — </w:t>
      </w:r>
      <w:r>
        <w:rPr>
          <w:rStyle w:val="CharSchText"/>
        </w:rPr>
        <w:t>Provisions about the constitution and proceedings of boards</w:t>
      </w:r>
      <w:bookmarkEnd w:id="394"/>
      <w:bookmarkEnd w:id="395"/>
      <w:r>
        <w:rPr>
          <w:rStyle w:val="CharSchText"/>
        </w:rPr>
        <w:t xml:space="preserve"> </w:t>
      </w:r>
    </w:p>
    <w:p>
      <w:pPr>
        <w:pStyle w:val="yShoulderClause"/>
      </w:pPr>
      <w:r>
        <w:t>[s. 9]</w:t>
      </w:r>
    </w:p>
    <w:p>
      <w:pPr>
        <w:pStyle w:val="yHeading5"/>
        <w:outlineLvl w:val="9"/>
        <w:rPr>
          <w:snapToGrid w:val="0"/>
        </w:rPr>
      </w:pPr>
      <w:bookmarkStart w:id="396" w:name="_Toc398890121"/>
      <w:bookmarkStart w:id="397" w:name="_Toc424284556"/>
      <w:r>
        <w:rPr>
          <w:rStyle w:val="CharSClsNo"/>
        </w:rPr>
        <w:t>1</w:t>
      </w:r>
      <w:r>
        <w:rPr>
          <w:snapToGrid w:val="0"/>
        </w:rPr>
        <w:t>.</w:t>
      </w:r>
      <w:r>
        <w:rPr>
          <w:snapToGrid w:val="0"/>
        </w:rPr>
        <w:tab/>
        <w:t>Term of office</w:t>
      </w:r>
      <w:bookmarkEnd w:id="396"/>
      <w:bookmarkEnd w:id="397"/>
      <w:r>
        <w:rPr>
          <w:snapToGrid w:val="0"/>
        </w:rPr>
        <w:t xml:space="preserve"> </w:t>
      </w:r>
    </w:p>
    <w:p>
      <w:pPr>
        <w:pStyle w:val="ySubsection"/>
        <w:rPr>
          <w:snapToGrid w:val="0"/>
        </w:rPr>
      </w:pPr>
      <w:r>
        <w:rPr>
          <w:snapToGrid w:val="0"/>
        </w:rPr>
        <w:tab/>
        <w:t>(1)</w:t>
      </w:r>
      <w:r>
        <w:rPr>
          <w:snapToGrid w:val="0"/>
        </w:rPr>
        <w:tab/>
        <w:t>Subject to clause 2, a director holds office for such period, not exceeding 3 years, as is specified in the instrument appointing the director, and is eligible for reappointment.</w:t>
      </w:r>
    </w:p>
    <w:p>
      <w:pPr>
        <w:pStyle w:val="ySubsection"/>
        <w:rPr>
          <w:snapToGrid w:val="0"/>
        </w:rPr>
      </w:pPr>
      <w:r>
        <w:rPr>
          <w:snapToGrid w:val="0"/>
        </w:rPr>
        <w:tab/>
        <w:t>(2)</w:t>
      </w:r>
      <w:r>
        <w:rPr>
          <w:snapToGrid w:val="0"/>
        </w:rPr>
        <w:tab/>
        <w:t>A director’s duties are not required to be performed on a full</w:t>
      </w:r>
      <w:r>
        <w:rPr>
          <w:snapToGrid w:val="0"/>
        </w:rPr>
        <w:noBreakHyphen/>
        <w:t>time basis.</w:t>
      </w:r>
    </w:p>
    <w:p>
      <w:pPr>
        <w:pStyle w:val="ySubsection"/>
        <w:rPr>
          <w:snapToGrid w:val="0"/>
        </w:rPr>
      </w:pPr>
      <w:r>
        <w:rPr>
          <w:snapToGrid w:val="0"/>
        </w:rPr>
        <w:tab/>
        <w:t>(3)</w:t>
      </w:r>
      <w:r>
        <w:rPr>
          <w:snapToGrid w:val="0"/>
        </w:rPr>
        <w:tab/>
        <w:t>Periods of appointment are to be fixed in a way that results in approximately one third of the directors retiring each year.</w:t>
      </w:r>
    </w:p>
    <w:p>
      <w:pPr>
        <w:pStyle w:val="ySubsection"/>
        <w:rPr>
          <w:snapToGrid w:val="0"/>
        </w:rPr>
      </w:pPr>
      <w:r>
        <w:rPr>
          <w:snapToGrid w:val="0"/>
        </w:rPr>
        <w:tab/>
        <w:t>(4)</w:t>
      </w:r>
      <w:r>
        <w:rPr>
          <w:snapToGrid w:val="0"/>
        </w:rPr>
        <w:tab/>
        <w:t>Despite subclause (1), if the period of office of a director expires by effluxion of time without a person having been appointed to fill the vacancy, the director continues in office until — </w:t>
      </w:r>
    </w:p>
    <w:p>
      <w:pPr>
        <w:pStyle w:val="yIndenta"/>
        <w:rPr>
          <w:snapToGrid w:val="0"/>
        </w:rPr>
      </w:pPr>
      <w:r>
        <w:rPr>
          <w:snapToGrid w:val="0"/>
        </w:rPr>
        <w:tab/>
        <w:t>(a)</w:t>
      </w:r>
      <w:r>
        <w:rPr>
          <w:snapToGrid w:val="0"/>
        </w:rPr>
        <w:tab/>
        <w:t>a person is appointed to fill the vacancy; or</w:t>
      </w:r>
    </w:p>
    <w:p>
      <w:pPr>
        <w:pStyle w:val="yIndenta"/>
        <w:rPr>
          <w:snapToGrid w:val="0"/>
        </w:rPr>
      </w:pPr>
      <w:r>
        <w:rPr>
          <w:snapToGrid w:val="0"/>
        </w:rPr>
        <w:tab/>
        <w:t>(b)</w:t>
      </w:r>
      <w:r>
        <w:rPr>
          <w:snapToGrid w:val="0"/>
        </w:rPr>
        <w:tab/>
        <w:t>a period of 3 months elapses after the expiry of the period of office,</w:t>
      </w:r>
    </w:p>
    <w:p>
      <w:pPr>
        <w:pStyle w:val="ySubsection"/>
        <w:rPr>
          <w:snapToGrid w:val="0"/>
        </w:rPr>
      </w:pPr>
      <w:r>
        <w:rPr>
          <w:snapToGrid w:val="0"/>
        </w:rPr>
        <w:tab/>
      </w:r>
      <w:r>
        <w:rPr>
          <w:snapToGrid w:val="0"/>
        </w:rPr>
        <w:tab/>
        <w:t>whichever occurs first.</w:t>
      </w:r>
    </w:p>
    <w:p>
      <w:pPr>
        <w:pStyle w:val="yHeading5"/>
        <w:outlineLvl w:val="9"/>
        <w:rPr>
          <w:snapToGrid w:val="0"/>
        </w:rPr>
      </w:pPr>
      <w:bookmarkStart w:id="398" w:name="_Toc398890122"/>
      <w:bookmarkStart w:id="399" w:name="_Toc424284557"/>
      <w:r>
        <w:rPr>
          <w:rStyle w:val="CharSClsNo"/>
        </w:rPr>
        <w:t>2</w:t>
      </w:r>
      <w:r>
        <w:rPr>
          <w:snapToGrid w:val="0"/>
        </w:rPr>
        <w:t>.</w:t>
      </w:r>
      <w:r>
        <w:rPr>
          <w:snapToGrid w:val="0"/>
        </w:rPr>
        <w:tab/>
        <w:t>Resignation and removal</w:t>
      </w:r>
      <w:bookmarkEnd w:id="398"/>
      <w:bookmarkEnd w:id="399"/>
      <w:r>
        <w:rPr>
          <w:snapToGrid w:val="0"/>
        </w:rPr>
        <w:t xml:space="preserve"> </w:t>
      </w:r>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Subsection"/>
        <w:rPr>
          <w:snapToGrid w:val="0"/>
        </w:rPr>
      </w:pPr>
      <w:r>
        <w:rPr>
          <w:snapToGrid w:val="0"/>
        </w:rPr>
        <w:tab/>
        <w:t>(3)</w:t>
      </w:r>
      <w:r>
        <w:rPr>
          <w:snapToGrid w:val="0"/>
        </w:rPr>
        <w:tab/>
        <w:t>The Minister must within 14 days after a director is removed from office under subclause (2) cause a statement of the reason for the removal to be laid before each House of Parliament or to be dealt with under section 133.</w:t>
      </w:r>
    </w:p>
    <w:p>
      <w:pPr>
        <w:pStyle w:val="ySubsection"/>
        <w:rPr>
          <w:snapToGrid w:val="0"/>
        </w:rPr>
      </w:pPr>
      <w:r>
        <w:rPr>
          <w:snapToGrid w:val="0"/>
        </w:rPr>
        <w:tab/>
        <w:t>(4)</w:t>
      </w:r>
      <w:r>
        <w:rPr>
          <w:snapToGrid w:val="0"/>
        </w:rPr>
        <w:tab/>
        <w:t>This clause extends to a director whose period of office is prolonged under clause 1(4).</w:t>
      </w:r>
    </w:p>
    <w:p>
      <w:pPr>
        <w:pStyle w:val="yHeading5"/>
        <w:outlineLvl w:val="9"/>
        <w:rPr>
          <w:snapToGrid w:val="0"/>
        </w:rPr>
      </w:pPr>
      <w:bookmarkStart w:id="400" w:name="_Toc398890123"/>
      <w:bookmarkStart w:id="401" w:name="_Toc424284558"/>
      <w:r>
        <w:rPr>
          <w:rStyle w:val="CharSClsNo"/>
        </w:rPr>
        <w:t>3</w:t>
      </w:r>
      <w:r>
        <w:rPr>
          <w:snapToGrid w:val="0"/>
        </w:rPr>
        <w:t>.</w:t>
      </w:r>
      <w:r>
        <w:rPr>
          <w:snapToGrid w:val="0"/>
        </w:rPr>
        <w:tab/>
        <w:t>Chairperson and deputy chairperson</w:t>
      </w:r>
      <w:bookmarkEnd w:id="400"/>
      <w:bookmarkEnd w:id="401"/>
      <w:r>
        <w:rPr>
          <w:snapToGrid w:val="0"/>
        </w:rPr>
        <w:t xml:space="preserve"> </w:t>
      </w:r>
    </w:p>
    <w:p>
      <w:pPr>
        <w:pStyle w:val="ySubsection"/>
        <w:rPr>
          <w:snapToGrid w:val="0"/>
        </w:rPr>
      </w:pPr>
      <w:r>
        <w:rPr>
          <w:snapToGrid w:val="0"/>
        </w:rPr>
        <w:tab/>
        <w:t>(1)</w:t>
      </w:r>
      <w:r>
        <w:rPr>
          <w:snapToGrid w:val="0"/>
        </w:rPr>
        <w:tab/>
        <w:t>The Minister is to appoint a director to be chairperson of a board and another to be deputy chairperson.</w:t>
      </w:r>
    </w:p>
    <w:p>
      <w:pPr>
        <w:pStyle w:val="ySubsection"/>
        <w:rPr>
          <w:snapToGrid w:val="0"/>
        </w:rPr>
      </w:pPr>
      <w:r>
        <w:rPr>
          <w:snapToGrid w:val="0"/>
        </w:rPr>
        <w:tab/>
        <w:t>(2)</w:t>
      </w:r>
      <w:r>
        <w:rPr>
          <w:snapToGrid w:val="0"/>
        </w:rPr>
        <w:tab/>
        <w:t>Where the chairperson is unable to act because of sickness, absence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Subsection"/>
        <w:rPr>
          <w:snapToGrid w:val="0"/>
        </w:rPr>
      </w:pPr>
      <w:r>
        <w:rPr>
          <w:snapToGrid w:val="0"/>
        </w:rPr>
        <w:tab/>
        <w:t>(4)</w:t>
      </w:r>
      <w:r>
        <w:rPr>
          <w:snapToGrid w:val="0"/>
        </w:rPr>
        <w:tab/>
        <w:t>Despite section 10(2) — </w:t>
      </w:r>
    </w:p>
    <w:p>
      <w:pPr>
        <w:pStyle w:val="yIndenta"/>
        <w:rPr>
          <w:snapToGrid w:val="0"/>
        </w:rPr>
      </w:pPr>
      <w:r>
        <w:rPr>
          <w:snapToGrid w:val="0"/>
        </w:rPr>
        <w:tab/>
        <w:t>(a)</w:t>
      </w:r>
      <w:r>
        <w:rPr>
          <w:snapToGrid w:val="0"/>
        </w:rPr>
        <w:tab/>
        <w:t>the chairperson is to be paid out of the funds of the port authority such additional remuneration and allowances as are determined by the Minister; and</w:t>
      </w:r>
    </w:p>
    <w:p>
      <w:pPr>
        <w:pStyle w:val="yIndenta"/>
        <w:rPr>
          <w:snapToGrid w:val="0"/>
        </w:rPr>
      </w:pPr>
      <w:r>
        <w:rPr>
          <w:snapToGrid w:val="0"/>
        </w:rPr>
        <w:tab/>
        <w:t>(b)</w:t>
      </w:r>
      <w:r>
        <w:rPr>
          <w:snapToGrid w:val="0"/>
        </w:rPr>
        <w:tab/>
        <w:t>the deputy chairperson is to be paid additional remuneration and allowances out of the funds of the port authority if, and to the extent that, the Minister so determines.</w:t>
      </w:r>
    </w:p>
    <w:p>
      <w:pPr>
        <w:pStyle w:val="yHeading5"/>
        <w:outlineLvl w:val="9"/>
        <w:rPr>
          <w:snapToGrid w:val="0"/>
        </w:rPr>
      </w:pPr>
      <w:bookmarkStart w:id="402" w:name="_Toc398890124"/>
      <w:bookmarkStart w:id="403" w:name="_Toc424284559"/>
      <w:r>
        <w:rPr>
          <w:rStyle w:val="CharSClsNo"/>
        </w:rPr>
        <w:t>4</w:t>
      </w:r>
      <w:r>
        <w:rPr>
          <w:snapToGrid w:val="0"/>
        </w:rPr>
        <w:t>.</w:t>
      </w:r>
      <w:r>
        <w:rPr>
          <w:snapToGrid w:val="0"/>
        </w:rPr>
        <w:tab/>
        <w:t>Alternate directors</w:t>
      </w:r>
      <w:bookmarkEnd w:id="402"/>
      <w:bookmarkEnd w:id="403"/>
      <w:r>
        <w:rPr>
          <w:snapToGrid w:val="0"/>
        </w:rPr>
        <w:t xml:space="preserve"> </w:t>
      </w:r>
    </w:p>
    <w:p>
      <w:pPr>
        <w:pStyle w:val="ySubsection"/>
        <w:rPr>
          <w:snapToGrid w:val="0"/>
        </w:rPr>
      </w:pPr>
      <w:r>
        <w:rPr>
          <w:snapToGrid w:val="0"/>
        </w:rPr>
        <w:tab/>
        <w:t>(1)</w:t>
      </w:r>
      <w:r>
        <w:rPr>
          <w:snapToGrid w:val="0"/>
        </w:rPr>
        <w:tab/>
        <w:t>If a director is unable to act because of sickness, absence or other cause, the Minister may appoint another person as an alternate director to act temporarily in the director’s place, and while so acting according to the tenor of the appointment that alternate director is to be taken to be a director and is entitled to remuneration under section 10.</w:t>
      </w:r>
    </w:p>
    <w:p>
      <w:pPr>
        <w:pStyle w:val="ySubsection"/>
        <w:rPr>
          <w:snapToGrid w:val="0"/>
        </w:rPr>
      </w:pPr>
      <w:r>
        <w:rPr>
          <w:snapToGrid w:val="0"/>
        </w:rPr>
        <w:tab/>
        <w:t>(2)</w:t>
      </w:r>
      <w:r>
        <w:rPr>
          <w:snapToGrid w:val="0"/>
        </w:rPr>
        <w:tab/>
        <w:t>No act or omission of an alternate director acting in place of a director under this clause may be questioned on the ground that the occasion for the appointment or acting had not arisen or had ceased.</w:t>
      </w:r>
    </w:p>
    <w:p>
      <w:pPr>
        <w:pStyle w:val="yHeading5"/>
        <w:outlineLvl w:val="9"/>
        <w:rPr>
          <w:snapToGrid w:val="0"/>
        </w:rPr>
      </w:pPr>
      <w:bookmarkStart w:id="404" w:name="_Toc398890125"/>
      <w:bookmarkStart w:id="405" w:name="_Toc424284560"/>
      <w:r>
        <w:rPr>
          <w:rStyle w:val="CharSClsNo"/>
        </w:rPr>
        <w:t>5</w:t>
      </w:r>
      <w:r>
        <w:rPr>
          <w:snapToGrid w:val="0"/>
        </w:rPr>
        <w:t>.</w:t>
      </w:r>
      <w:r>
        <w:rPr>
          <w:snapToGrid w:val="0"/>
        </w:rPr>
        <w:tab/>
        <w:t>Meetings</w:t>
      </w:r>
      <w:bookmarkEnd w:id="404"/>
      <w:bookmarkEnd w:id="405"/>
      <w:r>
        <w:rPr>
          <w:snapToGrid w:val="0"/>
        </w:rPr>
        <w:t xml:space="preserve"> </w:t>
      </w:r>
    </w:p>
    <w:p>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the board at or in which he or she is present, or participating under clause 6.</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the board — </w:t>
      </w:r>
    </w:p>
    <w:p>
      <w:pPr>
        <w:pStyle w:val="yIndenta"/>
      </w:pPr>
      <w:r>
        <w:tab/>
        <w:t>(a)</w:t>
      </w:r>
      <w:r>
        <w:tab/>
        <w:t>a number of directors equal to at least half the number of directors in office constitutes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Footnotesection"/>
      </w:pPr>
      <w:r>
        <w:tab/>
        <w:t>[Clause 5 amended by No. 9 of 2014 s. 32.]</w:t>
      </w:r>
    </w:p>
    <w:p>
      <w:pPr>
        <w:pStyle w:val="yHeading5"/>
        <w:outlineLvl w:val="9"/>
        <w:rPr>
          <w:snapToGrid w:val="0"/>
        </w:rPr>
      </w:pPr>
      <w:bookmarkStart w:id="406" w:name="_Toc398890126"/>
      <w:bookmarkStart w:id="407" w:name="_Toc424284561"/>
      <w:r>
        <w:rPr>
          <w:rStyle w:val="CharSClsNo"/>
        </w:rPr>
        <w:t>6</w:t>
      </w:r>
      <w:r>
        <w:rPr>
          <w:snapToGrid w:val="0"/>
        </w:rPr>
        <w:t>.</w:t>
      </w:r>
      <w:r>
        <w:rPr>
          <w:snapToGrid w:val="0"/>
        </w:rPr>
        <w:tab/>
        <w:t>Telephone and video meetings</w:t>
      </w:r>
      <w:bookmarkEnd w:id="406"/>
      <w:bookmarkEnd w:id="407"/>
      <w:r>
        <w:rPr>
          <w:snapToGrid w:val="0"/>
        </w:rPr>
        <w:t xml:space="preserve"> </w:t>
      </w:r>
    </w:p>
    <w:p>
      <w:pPr>
        <w:pStyle w:val="ySubsection"/>
        <w:rPr>
          <w:snapToGrid w:val="0"/>
        </w:rPr>
      </w:pPr>
      <w:r>
        <w:rPr>
          <w:snapToGrid w:val="0"/>
        </w:rPr>
        <w:tab/>
      </w:r>
      <w:r>
        <w:rPr>
          <w:snapToGrid w:val="0"/>
        </w:rPr>
        <w:tab/>
        <w:t>Despite anything in this Schedule, a communication between directors constituting a quorum under clause 5(5)(a) by telephone or audio</w:t>
      </w:r>
      <w:r>
        <w:rPr>
          <w:snapToGrid w:val="0"/>
        </w:rP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rPr>
          <w:snapToGrid w:val="0"/>
        </w:rPr>
      </w:pPr>
      <w:bookmarkStart w:id="408" w:name="_Toc398890127"/>
      <w:bookmarkStart w:id="409" w:name="_Toc424284562"/>
      <w:r>
        <w:rPr>
          <w:rStyle w:val="CharSClsNo"/>
        </w:rPr>
        <w:t>7</w:t>
      </w:r>
      <w:r>
        <w:rPr>
          <w:snapToGrid w:val="0"/>
        </w:rPr>
        <w:t>.</w:t>
      </w:r>
      <w:r>
        <w:rPr>
          <w:snapToGrid w:val="0"/>
        </w:rPr>
        <w:tab/>
        <w:t>Resolution may be passed without meeting</w:t>
      </w:r>
      <w:bookmarkEnd w:id="408"/>
      <w:bookmarkEnd w:id="409"/>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directors of a port authority and is assented to by not less than 3 directors that act, matter, thing or resolution is to be taken as having been done at or passed by a meeting of the board of the port authority.</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a director may signify assent to a document by signing the document or by notifying the port authority of the director’s assent in person or by post, facsimile,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director of a port authority signifies assent to a document otherwise than by signing the document, the director must by way of confirmation sign the document at the next meeting of the board of the port authority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9"/>
        <w:rPr>
          <w:snapToGrid w:val="0"/>
        </w:rPr>
      </w:pPr>
      <w:bookmarkStart w:id="410" w:name="_Toc398890128"/>
      <w:bookmarkStart w:id="411" w:name="_Toc424284563"/>
      <w:r>
        <w:rPr>
          <w:rStyle w:val="CharSClsNo"/>
        </w:rPr>
        <w:t>8</w:t>
      </w:r>
      <w:r>
        <w:rPr>
          <w:snapToGrid w:val="0"/>
        </w:rPr>
        <w:t>.</w:t>
      </w:r>
      <w:r>
        <w:rPr>
          <w:snapToGrid w:val="0"/>
        </w:rPr>
        <w:tab/>
        <w:t>Directors with material personal interests, voting by etc.</w:t>
      </w:r>
      <w:bookmarkEnd w:id="410"/>
      <w:bookmarkEnd w:id="411"/>
    </w:p>
    <w:p>
      <w:pPr>
        <w:pStyle w:val="ySubsection"/>
        <w:rPr>
          <w:snapToGrid w:val="0"/>
        </w:rPr>
      </w:pPr>
      <w:r>
        <w:rPr>
          <w:snapToGrid w:val="0"/>
        </w:rPr>
        <w:tab/>
        <w:t>(1)</w:t>
      </w:r>
      <w:r>
        <w:rPr>
          <w:snapToGrid w:val="0"/>
        </w:rPr>
        <w:tab/>
        <w:t>A director of a port authority who has a material personal interest in a matter that is being considered by the board of the port authority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keepNext/>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the port authority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5(5), if a director of a port authority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section 133.</w:t>
      </w:r>
    </w:p>
    <w:p>
      <w:pPr>
        <w:pStyle w:val="yHeading5"/>
        <w:outlineLvl w:val="9"/>
        <w:rPr>
          <w:snapToGrid w:val="0"/>
        </w:rPr>
      </w:pPr>
      <w:bookmarkStart w:id="412" w:name="_Toc398890129"/>
      <w:bookmarkStart w:id="413" w:name="_Toc424284564"/>
      <w:r>
        <w:rPr>
          <w:rStyle w:val="CharSClsNo"/>
        </w:rPr>
        <w:t>9</w:t>
      </w:r>
      <w:r>
        <w:rPr>
          <w:snapToGrid w:val="0"/>
        </w:rPr>
        <w:t>.</w:t>
      </w:r>
      <w:r>
        <w:rPr>
          <w:snapToGrid w:val="0"/>
        </w:rPr>
        <w:tab/>
        <w:t>Minutes of meetings etc.</w:t>
      </w:r>
      <w:bookmarkEnd w:id="412"/>
      <w:bookmarkEnd w:id="413"/>
      <w:r>
        <w:rPr>
          <w:snapToGrid w:val="0"/>
        </w:rPr>
        <w:t xml:space="preserve"> </w:t>
      </w:r>
    </w:p>
    <w:p>
      <w:pPr>
        <w:pStyle w:val="ySubsection"/>
        <w:rPr>
          <w:snapToGrid w:val="0"/>
        </w:rPr>
      </w:pPr>
      <w:r>
        <w:rPr>
          <w:snapToGrid w:val="0"/>
        </w:rPr>
        <w:tab/>
      </w:r>
      <w:r>
        <w:rPr>
          <w:snapToGrid w:val="0"/>
        </w:rPr>
        <w:tab/>
        <w:t>A board is to ensure that an accurate record is kept and preserved of the proceedings at each meeting of the board and of each resolution passed under clause 7.</w:t>
      </w:r>
    </w:p>
    <w:p>
      <w:pPr>
        <w:pStyle w:val="yHeading5"/>
        <w:outlineLvl w:val="9"/>
        <w:rPr>
          <w:snapToGrid w:val="0"/>
        </w:rPr>
      </w:pPr>
      <w:bookmarkStart w:id="414" w:name="_Toc398890130"/>
      <w:bookmarkStart w:id="415" w:name="_Toc424284565"/>
      <w:r>
        <w:rPr>
          <w:rStyle w:val="CharSClsNo"/>
        </w:rPr>
        <w:t>10</w:t>
      </w:r>
      <w:r>
        <w:rPr>
          <w:snapToGrid w:val="0"/>
        </w:rPr>
        <w:t>.</w:t>
      </w:r>
      <w:r>
        <w:rPr>
          <w:snapToGrid w:val="0"/>
        </w:rPr>
        <w:tab/>
        <w:t>Leave of absence</w:t>
      </w:r>
      <w:bookmarkEnd w:id="414"/>
      <w:bookmarkEnd w:id="415"/>
      <w:r>
        <w:rPr>
          <w:snapToGrid w:val="0"/>
        </w:rPr>
        <w:t xml:space="preserve"> </w:t>
      </w:r>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9"/>
        <w:rPr>
          <w:snapToGrid w:val="0"/>
        </w:rPr>
      </w:pPr>
      <w:bookmarkStart w:id="416" w:name="_Toc398890131"/>
      <w:bookmarkStart w:id="417" w:name="_Toc424284566"/>
      <w:r>
        <w:rPr>
          <w:rStyle w:val="CharSClsNo"/>
        </w:rPr>
        <w:t>11</w:t>
      </w:r>
      <w:r>
        <w:rPr>
          <w:snapToGrid w:val="0"/>
        </w:rPr>
        <w:t>.</w:t>
      </w:r>
      <w:r>
        <w:rPr>
          <w:snapToGrid w:val="0"/>
        </w:rPr>
        <w:tab/>
        <w:t>Board to determine own procedures</w:t>
      </w:r>
      <w:bookmarkEnd w:id="416"/>
      <w:bookmarkEnd w:id="417"/>
      <w:r>
        <w:rPr>
          <w:snapToGrid w:val="0"/>
        </w:rPr>
        <w:t xml:space="preserve"> </w:t>
      </w:r>
    </w:p>
    <w:p>
      <w:pPr>
        <w:pStyle w:val="ySubsection"/>
        <w:rPr>
          <w:snapToGrid w:val="0"/>
        </w:rPr>
      </w:pPr>
      <w:r>
        <w:rPr>
          <w:snapToGrid w:val="0"/>
        </w:rPr>
        <w:tab/>
      </w:r>
      <w:r>
        <w:rPr>
          <w:snapToGrid w:val="0"/>
        </w:rPr>
        <w:tab/>
        <w:t>Subject to this Act, a board may determine its own procedures.</w:t>
      </w:r>
    </w:p>
    <w:p>
      <w:pPr>
        <w:pStyle w:val="yScheduleHeading"/>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yScheduleHeading"/>
        <w:outlineLvl w:val="0"/>
      </w:pPr>
      <w:bookmarkStart w:id="418" w:name="_Toc398890132"/>
      <w:bookmarkStart w:id="419" w:name="_Toc424284567"/>
      <w:r>
        <w:rPr>
          <w:rStyle w:val="CharSchNo"/>
        </w:rPr>
        <w:t>Schedule 3</w:t>
      </w:r>
      <w:r>
        <w:t xml:space="preserve"> — </w:t>
      </w:r>
      <w:r>
        <w:rPr>
          <w:rStyle w:val="CharSchText"/>
        </w:rPr>
        <w:t>Provisions about duties of CEO and staff</w:t>
      </w:r>
      <w:bookmarkEnd w:id="418"/>
      <w:bookmarkEnd w:id="419"/>
      <w:r>
        <w:rPr>
          <w:rStyle w:val="CharSchText"/>
        </w:rPr>
        <w:t xml:space="preserve"> </w:t>
      </w:r>
    </w:p>
    <w:p>
      <w:pPr>
        <w:pStyle w:val="yShoulderClause"/>
      </w:pPr>
      <w:r>
        <w:t>[s. 20]</w:t>
      </w:r>
    </w:p>
    <w:p>
      <w:pPr>
        <w:pStyle w:val="yHeading3"/>
        <w:outlineLvl w:val="0"/>
      </w:pPr>
      <w:bookmarkStart w:id="420" w:name="_Toc398890133"/>
      <w:bookmarkStart w:id="421" w:name="_Toc424284568"/>
      <w:r>
        <w:rPr>
          <w:rStyle w:val="CharSDivNo"/>
        </w:rPr>
        <w:t>Division 1</w:t>
      </w:r>
      <w:r>
        <w:t xml:space="preserve"> — </w:t>
      </w:r>
      <w:r>
        <w:rPr>
          <w:rStyle w:val="CharSDivText"/>
        </w:rPr>
        <w:t>General duties of CEO</w:t>
      </w:r>
      <w:bookmarkEnd w:id="420"/>
      <w:bookmarkEnd w:id="421"/>
    </w:p>
    <w:p>
      <w:pPr>
        <w:pStyle w:val="yHeading5"/>
        <w:outlineLvl w:val="0"/>
        <w:rPr>
          <w:snapToGrid w:val="0"/>
        </w:rPr>
      </w:pPr>
      <w:bookmarkStart w:id="422" w:name="_Toc398890134"/>
      <w:bookmarkStart w:id="423" w:name="_Toc424284569"/>
      <w:r>
        <w:rPr>
          <w:rStyle w:val="CharSClsNo"/>
        </w:rPr>
        <w:t>1</w:t>
      </w:r>
      <w:r>
        <w:rPr>
          <w:snapToGrid w:val="0"/>
        </w:rPr>
        <w:t>.</w:t>
      </w:r>
      <w:r>
        <w:rPr>
          <w:snapToGrid w:val="0"/>
        </w:rPr>
        <w:tab/>
        <w:t>Duties of CEO</w:t>
      </w:r>
      <w:bookmarkEnd w:id="422"/>
      <w:bookmarkEnd w:id="423"/>
      <w:r>
        <w:rPr>
          <w:snapToGrid w:val="0"/>
        </w:rPr>
        <w:t xml:space="preserve"> </w:t>
      </w:r>
    </w:p>
    <w:p>
      <w:pPr>
        <w:pStyle w:val="ySubsection"/>
        <w:rPr>
          <w:snapToGrid w:val="0"/>
        </w:rPr>
      </w:pPr>
      <w:r>
        <w:rPr>
          <w:snapToGrid w:val="0"/>
        </w:rPr>
        <w:tab/>
        <w:t>(1)</w:t>
      </w:r>
      <w:r>
        <w:rPr>
          <w:snapToGrid w:val="0"/>
        </w:rPr>
        <w:tab/>
        <w:t>It is declared that the CEO of a port authority has — </w:t>
      </w:r>
    </w:p>
    <w:p>
      <w:pPr>
        <w:pStyle w:val="yIndenta"/>
        <w:rPr>
          <w:snapToGrid w:val="0"/>
        </w:rPr>
      </w:pPr>
      <w:r>
        <w:rPr>
          <w:snapToGrid w:val="0"/>
        </w:rPr>
        <w:tab/>
        <w:t>(a)</w:t>
      </w:r>
      <w:r>
        <w:rPr>
          <w:snapToGrid w:val="0"/>
        </w:rPr>
        <w:tab/>
        <w:t>the same fiduciary relationship with the port authority; and</w:t>
      </w:r>
    </w:p>
    <w:p>
      <w:pPr>
        <w:pStyle w:val="yIndenta"/>
        <w:rPr>
          <w:snapToGrid w:val="0"/>
        </w:rPr>
      </w:pPr>
      <w:r>
        <w:rPr>
          <w:snapToGrid w:val="0"/>
        </w:rPr>
        <w:tab/>
        <w:t>(b)</w:t>
      </w:r>
      <w:r>
        <w:rPr>
          <w:snapToGrid w:val="0"/>
        </w:rPr>
        <w:tab/>
        <w:t>the same duties to the port authority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board of the port authority and not otherwise.</w:t>
      </w:r>
    </w:p>
    <w:p>
      <w:pPr>
        <w:pStyle w:val="yFootnotesection"/>
      </w:pPr>
      <w:r>
        <w:tab/>
      </w:r>
      <w:r>
        <w:tab/>
        <w:t>[Clause 1 amended by No. 10 of 2001 s. 160.]</w:t>
      </w:r>
    </w:p>
    <w:p>
      <w:pPr>
        <w:pStyle w:val="yHeading3"/>
        <w:outlineLvl w:val="0"/>
        <w:rPr>
          <w:rStyle w:val="CharDivNo"/>
        </w:rPr>
      </w:pPr>
      <w:bookmarkStart w:id="424" w:name="_Toc398890135"/>
      <w:bookmarkStart w:id="425" w:name="_Toc424284570"/>
      <w:r>
        <w:rPr>
          <w:rStyle w:val="CharSDivNo"/>
        </w:rPr>
        <w:t>Division 2</w:t>
      </w:r>
      <w:r>
        <w:rPr>
          <w:rStyle w:val="CharDivNo"/>
        </w:rPr>
        <w:t xml:space="preserve"> — </w:t>
      </w:r>
      <w:r>
        <w:rPr>
          <w:rStyle w:val="CharSDivText"/>
        </w:rPr>
        <w:t>Particular duties stated</w:t>
      </w:r>
      <w:bookmarkEnd w:id="424"/>
      <w:bookmarkEnd w:id="425"/>
    </w:p>
    <w:p>
      <w:pPr>
        <w:pStyle w:val="yHeading5"/>
        <w:outlineLvl w:val="0"/>
        <w:rPr>
          <w:snapToGrid w:val="0"/>
        </w:rPr>
      </w:pPr>
      <w:bookmarkStart w:id="426" w:name="_Toc398890136"/>
      <w:bookmarkStart w:id="427" w:name="_Toc424284571"/>
      <w:r>
        <w:rPr>
          <w:rStyle w:val="CharSClsNo"/>
        </w:rPr>
        <w:t>2</w:t>
      </w:r>
      <w:r>
        <w:rPr>
          <w:snapToGrid w:val="0"/>
        </w:rPr>
        <w:t>.</w:t>
      </w:r>
      <w:r>
        <w:rPr>
          <w:snapToGrid w:val="0"/>
        </w:rPr>
        <w:tab/>
        <w:t>Term used: officer and interpretation</w:t>
      </w:r>
      <w:bookmarkEnd w:id="426"/>
      <w:bookmarkEnd w:id="427"/>
    </w:p>
    <w:p>
      <w:pPr>
        <w:pStyle w:val="ySubsection"/>
        <w:rPr>
          <w:snapToGrid w:val="0"/>
        </w:rPr>
      </w:pPr>
      <w:r>
        <w:rPr>
          <w:snapToGrid w:val="0"/>
        </w:rPr>
        <w:tab/>
        <w:t>(1)</w:t>
      </w:r>
      <w:r>
        <w:rPr>
          <w:snapToGrid w:val="0"/>
        </w:rPr>
        <w:tab/>
        <w:t>In this Division — </w:t>
      </w:r>
    </w:p>
    <w:p>
      <w:pPr>
        <w:pStyle w:val="yDefstart"/>
      </w:pPr>
      <w:r>
        <w:tab/>
      </w:r>
      <w:r>
        <w:rPr>
          <w:rStyle w:val="CharDefText"/>
        </w:rPr>
        <w:t>officer</w:t>
      </w:r>
      <w:r>
        <w:t xml:space="preserve"> means — </w:t>
      </w:r>
    </w:p>
    <w:p>
      <w:pPr>
        <w:pStyle w:val="yDefpara"/>
      </w:pPr>
      <w:r>
        <w:tab/>
        <w:t>(a)</w:t>
      </w:r>
      <w:r>
        <w:tab/>
        <w:t>the CEO of a port authority; or</w:t>
      </w:r>
    </w:p>
    <w:p>
      <w:pPr>
        <w:pStyle w:val="yDefpara"/>
      </w:pPr>
      <w:r>
        <w:tab/>
        <w:t>(b)</w:t>
      </w:r>
      <w:r>
        <w:tab/>
        <w:t>an executive officer or other member of staff of a port authority.</w:t>
      </w:r>
    </w:p>
    <w:p>
      <w:pPr>
        <w:pStyle w:val="y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Division is guilty of that offence.</w:t>
      </w:r>
    </w:p>
    <w:p>
      <w:pPr>
        <w:pStyle w:val="ySubsection"/>
        <w:rPr>
          <w:snapToGrid w:val="0"/>
        </w:rPr>
      </w:pPr>
      <w:r>
        <w:rPr>
          <w:snapToGrid w:val="0"/>
        </w:rPr>
        <w:tab/>
        <w:t>(3)</w:t>
      </w:r>
      <w:r>
        <w:rPr>
          <w:snapToGrid w:val="0"/>
        </w:rPr>
        <w:tab/>
        <w:t>For the CEO of a port authority, the duties provided for by this Division are in addition to those in clause 1.</w:t>
      </w:r>
    </w:p>
    <w:p>
      <w:pPr>
        <w:pStyle w:val="yFootnotesection"/>
      </w:pPr>
      <w:r>
        <w:tab/>
        <w:t>[Clause 2 amended by No. 4 of 2004 s. 58.]</w:t>
      </w:r>
    </w:p>
    <w:p>
      <w:pPr>
        <w:pStyle w:val="yHeading5"/>
        <w:outlineLvl w:val="0"/>
        <w:rPr>
          <w:snapToGrid w:val="0"/>
        </w:rPr>
      </w:pPr>
      <w:bookmarkStart w:id="428" w:name="_Toc398890137"/>
      <w:bookmarkStart w:id="429" w:name="_Toc424284572"/>
      <w:r>
        <w:rPr>
          <w:rStyle w:val="CharSClsNo"/>
        </w:rPr>
        <w:t>3</w:t>
      </w:r>
      <w:r>
        <w:rPr>
          <w:snapToGrid w:val="0"/>
        </w:rPr>
        <w:t>.</w:t>
      </w:r>
      <w:r>
        <w:rPr>
          <w:snapToGrid w:val="0"/>
        </w:rPr>
        <w:tab/>
        <w:t>Duty to act honestly</w:t>
      </w:r>
      <w:bookmarkEnd w:id="428"/>
      <w:bookmarkEnd w:id="429"/>
      <w:r>
        <w:rPr>
          <w:snapToGrid w:val="0"/>
        </w:rPr>
        <w:t xml:space="preserve"> </w:t>
      </w:r>
    </w:p>
    <w:p>
      <w:pPr>
        <w:pStyle w:val="ySubsection"/>
        <w:rPr>
          <w:snapToGrid w:val="0"/>
        </w:rPr>
      </w:pPr>
      <w:r>
        <w:rPr>
          <w:snapToGrid w:val="0"/>
        </w:rPr>
        <w:tab/>
        <w:t>(1)</w:t>
      </w:r>
      <w:r>
        <w:rPr>
          <w:snapToGrid w:val="0"/>
        </w:rPr>
        <w:tab/>
        <w:t>The CEO or an executive officer of a port authority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the port authority; or</w:t>
      </w:r>
    </w:p>
    <w:p>
      <w:pPr>
        <w:pStyle w:val="yIndenti0"/>
        <w:rPr>
          <w:snapToGrid w:val="0"/>
        </w:rPr>
      </w:pPr>
      <w:r>
        <w:rPr>
          <w:snapToGrid w:val="0"/>
        </w:rPr>
        <w:tab/>
        <w:t>(ii)</w:t>
      </w:r>
      <w:r>
        <w:rPr>
          <w:snapToGrid w:val="0"/>
        </w:rPr>
        <w:tab/>
        <w:t>creditors of the port authority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0"/>
        <w:rPr>
          <w:snapToGrid w:val="0"/>
        </w:rPr>
      </w:pPr>
      <w:bookmarkStart w:id="430" w:name="_Toc398890138"/>
      <w:bookmarkStart w:id="431" w:name="_Toc424284573"/>
      <w:r>
        <w:rPr>
          <w:rStyle w:val="CharSClsNo"/>
        </w:rPr>
        <w:t>4</w:t>
      </w:r>
      <w:r>
        <w:rPr>
          <w:snapToGrid w:val="0"/>
        </w:rPr>
        <w:t>.</w:t>
      </w:r>
      <w:r>
        <w:rPr>
          <w:snapToGrid w:val="0"/>
        </w:rPr>
        <w:tab/>
        <w:t>Duty to exercise reasonable care and diligence</w:t>
      </w:r>
      <w:bookmarkEnd w:id="430"/>
      <w:bookmarkEnd w:id="431"/>
      <w:r>
        <w:rPr>
          <w:snapToGrid w:val="0"/>
        </w:rPr>
        <w:t xml:space="preserve"> </w:t>
      </w:r>
    </w:p>
    <w:p>
      <w:pPr>
        <w:pStyle w:val="ySubsection"/>
        <w:rPr>
          <w:snapToGrid w:val="0"/>
        </w:rPr>
      </w:pPr>
      <w:r>
        <w:rPr>
          <w:snapToGrid w:val="0"/>
        </w:rPr>
        <w:tab/>
      </w:r>
      <w:r>
        <w:rPr>
          <w:snapToGrid w:val="0"/>
        </w:rPr>
        <w:tab/>
        <w:t>The CEO or an executive officer of a port authority must at all times exercise the degree of care and diligence in the performance of the functions of his or her office, whether within or outside the State, that a reasonable person in that position would reasonably be expected to exercise in the port authority’s circumstances.</w:t>
      </w:r>
    </w:p>
    <w:p>
      <w:pPr>
        <w:pStyle w:val="yPenstart"/>
        <w:rPr>
          <w:snapToGrid w:val="0"/>
        </w:rPr>
      </w:pPr>
      <w:r>
        <w:rPr>
          <w:snapToGrid w:val="0"/>
        </w:rPr>
        <w:tab/>
        <w:t>Penalty:   $5 000.</w:t>
      </w:r>
    </w:p>
    <w:p>
      <w:pPr>
        <w:pStyle w:val="yHeading5"/>
        <w:outlineLvl w:val="0"/>
        <w:rPr>
          <w:snapToGrid w:val="0"/>
        </w:rPr>
      </w:pPr>
      <w:bookmarkStart w:id="432" w:name="_Toc398890139"/>
      <w:bookmarkStart w:id="433" w:name="_Toc424284574"/>
      <w:r>
        <w:rPr>
          <w:rStyle w:val="CharSClsNo"/>
        </w:rPr>
        <w:t>5</w:t>
      </w:r>
      <w:r>
        <w:rPr>
          <w:snapToGrid w:val="0"/>
        </w:rPr>
        <w:t>.</w:t>
      </w:r>
      <w:r>
        <w:rPr>
          <w:snapToGrid w:val="0"/>
        </w:rPr>
        <w:tab/>
        <w:t>Duty not to make improper use of information</w:t>
      </w:r>
      <w:bookmarkEnd w:id="432"/>
      <w:bookmarkEnd w:id="433"/>
      <w:r>
        <w:rPr>
          <w:snapToGrid w:val="0"/>
        </w:rPr>
        <w:t xml:space="preserve"> </w:t>
      </w:r>
    </w:p>
    <w:p>
      <w:pPr>
        <w:pStyle w:val="ySubsection"/>
        <w:rPr>
          <w:snapToGrid w:val="0"/>
        </w:rPr>
      </w:pPr>
      <w:r>
        <w:rPr>
          <w:snapToGrid w:val="0"/>
        </w:rPr>
        <w:tab/>
        <w:t>(1)</w:t>
      </w:r>
      <w:r>
        <w:rPr>
          <w:snapToGrid w:val="0"/>
        </w:rPr>
        <w:tab/>
        <w:t>An officer or a former officer of a port authority must not, whether within or outside the State, make improper use of information acquired by virtue of his or her position as such to gain, directly or indirectly, an advantage for himself or herself or for any other person or to cause detriment to the port authority.</w:t>
      </w:r>
    </w:p>
    <w:p>
      <w:pPr>
        <w:pStyle w:val="ySubsection"/>
        <w:keepNext/>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rPr>
          <w:snapToGrid w:val="0"/>
        </w:rPr>
      </w:pPr>
      <w:bookmarkStart w:id="434" w:name="_Toc398890140"/>
      <w:bookmarkStart w:id="435" w:name="_Toc424284575"/>
      <w:r>
        <w:rPr>
          <w:rStyle w:val="CharSClsNo"/>
        </w:rPr>
        <w:t>6</w:t>
      </w:r>
      <w:r>
        <w:rPr>
          <w:snapToGrid w:val="0"/>
        </w:rPr>
        <w:t>.</w:t>
      </w:r>
      <w:r>
        <w:rPr>
          <w:snapToGrid w:val="0"/>
        </w:rPr>
        <w:tab/>
        <w:t>Duty not to make improper use of position</w:t>
      </w:r>
      <w:bookmarkEnd w:id="434"/>
      <w:bookmarkEnd w:id="435"/>
      <w:r>
        <w:rPr>
          <w:snapToGrid w:val="0"/>
        </w:rPr>
        <w:t xml:space="preserve"> </w:t>
      </w:r>
    </w:p>
    <w:p>
      <w:pPr>
        <w:pStyle w:val="ySubsection"/>
        <w:rPr>
          <w:snapToGrid w:val="0"/>
        </w:rPr>
      </w:pPr>
      <w:r>
        <w:rPr>
          <w:snapToGrid w:val="0"/>
        </w:rPr>
        <w:tab/>
        <w:t>(1)</w:t>
      </w:r>
      <w:r>
        <w:rPr>
          <w:snapToGrid w:val="0"/>
        </w:rPr>
        <w:tab/>
        <w:t>An officer of a port authority must not, whether within or outside the State, make improper use of his or her position as such to gain, directly or indirectly, an advantage for himself or herself or for any other person or to cause detriment to the port authority.</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rPr>
          <w:rStyle w:val="CharDivNo"/>
        </w:rPr>
      </w:pPr>
      <w:bookmarkStart w:id="436" w:name="_Toc398890141"/>
      <w:bookmarkStart w:id="437" w:name="_Toc424284576"/>
      <w:r>
        <w:rPr>
          <w:rStyle w:val="CharSDivNo"/>
        </w:rPr>
        <w:t>Division 3</w:t>
      </w:r>
      <w:r>
        <w:rPr>
          <w:rStyle w:val="CharDivNo"/>
        </w:rPr>
        <w:t xml:space="preserve"> — </w:t>
      </w:r>
      <w:r>
        <w:rPr>
          <w:rStyle w:val="CharSDivText"/>
        </w:rPr>
        <w:t>Compensation</w:t>
      </w:r>
      <w:bookmarkEnd w:id="436"/>
      <w:bookmarkEnd w:id="437"/>
    </w:p>
    <w:p>
      <w:pPr>
        <w:pStyle w:val="yHeading5"/>
        <w:spacing w:before="180"/>
        <w:outlineLvl w:val="0"/>
        <w:rPr>
          <w:snapToGrid w:val="0"/>
        </w:rPr>
      </w:pPr>
      <w:bookmarkStart w:id="438" w:name="_Toc398890142"/>
      <w:bookmarkStart w:id="439" w:name="_Toc424284577"/>
      <w:r>
        <w:rPr>
          <w:rStyle w:val="CharSClsNo"/>
        </w:rPr>
        <w:t>7</w:t>
      </w:r>
      <w:r>
        <w:rPr>
          <w:snapToGrid w:val="0"/>
        </w:rPr>
        <w:t>.</w:t>
      </w:r>
      <w:r>
        <w:rPr>
          <w:snapToGrid w:val="0"/>
        </w:rPr>
        <w:tab/>
        <w:t>Compensation may be ordered if cl. 3, 4, 5 or 6 offence</w:t>
      </w:r>
      <w:bookmarkEnd w:id="438"/>
      <w:bookmarkEnd w:id="439"/>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a person is convicted of an offence for a contravention of clause 3, 4, 5 or 6; and</w:t>
      </w:r>
    </w:p>
    <w:p>
      <w:pPr>
        <w:pStyle w:val="yIndenta"/>
        <w:rPr>
          <w:snapToGrid w:val="0"/>
        </w:rPr>
      </w:pPr>
      <w:r>
        <w:rPr>
          <w:snapToGrid w:val="0"/>
        </w:rPr>
        <w:tab/>
        <w:t>(b)</w:t>
      </w:r>
      <w:r>
        <w:rPr>
          <w:snapToGrid w:val="0"/>
        </w:rPr>
        <w:tab/>
        <w:t>the court is satisfied that the port authority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port authority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spacing w:before="180"/>
        <w:outlineLvl w:val="0"/>
        <w:rPr>
          <w:snapToGrid w:val="0"/>
        </w:rPr>
      </w:pPr>
      <w:bookmarkStart w:id="440" w:name="_Toc398890143"/>
      <w:bookmarkStart w:id="441" w:name="_Toc424284578"/>
      <w:r>
        <w:rPr>
          <w:rStyle w:val="CharSClsNo"/>
        </w:rPr>
        <w:t>8</w:t>
      </w:r>
      <w:r>
        <w:rPr>
          <w:snapToGrid w:val="0"/>
        </w:rPr>
        <w:t>.</w:t>
      </w:r>
      <w:r>
        <w:rPr>
          <w:snapToGrid w:val="0"/>
        </w:rPr>
        <w:tab/>
        <w:t>Civil recovery if cl. 3, 4, 5 or 6 offence</w:t>
      </w:r>
      <w:bookmarkEnd w:id="440"/>
      <w:bookmarkEnd w:id="441"/>
    </w:p>
    <w:p>
      <w:pPr>
        <w:pStyle w:val="ySubsection"/>
        <w:rPr>
          <w:snapToGrid w:val="0"/>
        </w:rPr>
      </w:pPr>
      <w:r>
        <w:rPr>
          <w:snapToGrid w:val="0"/>
        </w:rPr>
        <w:tab/>
      </w:r>
      <w:r>
        <w:rPr>
          <w:snapToGrid w:val="0"/>
        </w:rPr>
        <w:tab/>
        <w:t>Where a person contravenes clause 3, 4, 5 or 6, the port authority may, whether or not the person has been convicted of an offence in respect of that contravention, recover from the person as a debt due to the port authority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port authority has suffered loss or damage as a result of the contravention, an amount equal to that loss or damage.</w:t>
      </w:r>
    </w:p>
    <w:p>
      <w:pPr>
        <w:pStyle w:val="yHeading3"/>
        <w:outlineLvl w:val="0"/>
        <w:rPr>
          <w:rStyle w:val="CharDivNo"/>
        </w:rPr>
      </w:pPr>
      <w:bookmarkStart w:id="442" w:name="_Toc398890144"/>
      <w:bookmarkStart w:id="443" w:name="_Toc424284579"/>
      <w:r>
        <w:rPr>
          <w:rStyle w:val="CharSDivNo"/>
        </w:rPr>
        <w:t>Division 4</w:t>
      </w:r>
      <w:r>
        <w:rPr>
          <w:rStyle w:val="CharDivNo"/>
        </w:rPr>
        <w:t> — </w:t>
      </w:r>
      <w:r>
        <w:rPr>
          <w:rStyle w:val="CharSDivText"/>
        </w:rPr>
        <w:t>Relief from liability</w:t>
      </w:r>
      <w:bookmarkEnd w:id="442"/>
      <w:bookmarkEnd w:id="443"/>
      <w:r>
        <w:rPr>
          <w:rStyle w:val="CharDivNo"/>
        </w:rPr>
        <w:t xml:space="preserve"> </w:t>
      </w:r>
    </w:p>
    <w:p>
      <w:pPr>
        <w:pStyle w:val="yHeading5"/>
        <w:outlineLvl w:val="0"/>
        <w:rPr>
          <w:snapToGrid w:val="0"/>
        </w:rPr>
      </w:pPr>
      <w:bookmarkStart w:id="444" w:name="_Toc398890145"/>
      <w:bookmarkStart w:id="445" w:name="_Toc424284580"/>
      <w:r>
        <w:rPr>
          <w:rStyle w:val="CharSClsNo"/>
        </w:rPr>
        <w:t>9</w:t>
      </w:r>
      <w:r>
        <w:rPr>
          <w:snapToGrid w:val="0"/>
        </w:rPr>
        <w:t>.</w:t>
      </w:r>
      <w:r>
        <w:rPr>
          <w:snapToGrid w:val="0"/>
        </w:rPr>
        <w:tab/>
        <w:t>Relief from liability under cl. 1, 7 and 8</w:t>
      </w:r>
      <w:bookmarkEnd w:id="444"/>
      <w:bookmarkEnd w:id="445"/>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section; and</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rPr>
          <w:snapToGrid w:val="0"/>
        </w:rPr>
      </w:pPr>
      <w:bookmarkStart w:id="446" w:name="_Toc398890146"/>
      <w:bookmarkStart w:id="447" w:name="_Toc424284581"/>
      <w:r>
        <w:rPr>
          <w:rStyle w:val="CharSClsNo"/>
        </w:rPr>
        <w:t>10</w:t>
      </w:r>
      <w:r>
        <w:rPr>
          <w:snapToGrid w:val="0"/>
        </w:rPr>
        <w:t>.</w:t>
      </w:r>
      <w:r>
        <w:rPr>
          <w:snapToGrid w:val="0"/>
        </w:rPr>
        <w:tab/>
        <w:t>Application for relief from liability under cl. 1, 7 or 8</w:t>
      </w:r>
      <w:bookmarkEnd w:id="446"/>
      <w:bookmarkEnd w:id="447"/>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rPr>
          <w:snapToGrid w:val="0"/>
        </w:rPr>
      </w:pPr>
      <w:bookmarkStart w:id="448" w:name="_Toc398890147"/>
      <w:bookmarkStart w:id="449" w:name="_Toc424284582"/>
      <w:r>
        <w:rPr>
          <w:rStyle w:val="CharSClsNo"/>
        </w:rPr>
        <w:t>11</w:t>
      </w:r>
      <w:r>
        <w:rPr>
          <w:snapToGrid w:val="0"/>
        </w:rPr>
        <w:t>.</w:t>
      </w:r>
      <w:r>
        <w:rPr>
          <w:snapToGrid w:val="0"/>
        </w:rPr>
        <w:tab/>
        <w:t>Case as to cl. 9 may be withdrawn from jury</w:t>
      </w:r>
      <w:bookmarkEnd w:id="448"/>
      <w:bookmarkEnd w:id="449"/>
      <w:r>
        <w:rPr>
          <w:snapToGrid w:val="0"/>
        </w:rPr>
        <w:t xml:space="preserve"> </w:t>
      </w:r>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rPr>
          <w:snapToGrid w:val="0"/>
        </w:rPr>
      </w:pPr>
      <w:bookmarkStart w:id="450" w:name="_Toc398890148"/>
      <w:bookmarkStart w:id="451" w:name="_Toc424284583"/>
      <w:r>
        <w:rPr>
          <w:rStyle w:val="CharSClsNo"/>
        </w:rPr>
        <w:t>12</w:t>
      </w:r>
      <w:r>
        <w:rPr>
          <w:snapToGrid w:val="0"/>
        </w:rPr>
        <w:t>.</w:t>
      </w:r>
      <w:r>
        <w:rPr>
          <w:snapToGrid w:val="0"/>
        </w:rPr>
        <w:tab/>
        <w:t>Compliance with directions is not contravention of cl. 1, 3 or 4</w:t>
      </w:r>
      <w:bookmarkEnd w:id="450"/>
      <w:bookmarkEnd w:id="451"/>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No"/>
        </w:rPr>
      </w:pPr>
      <w:bookmarkStart w:id="452" w:name="_Toc398890149"/>
      <w:bookmarkStart w:id="453" w:name="_Toc424284584"/>
      <w:r>
        <w:rPr>
          <w:rStyle w:val="CharSDivNo"/>
        </w:rPr>
        <w:t>Division 5</w:t>
      </w:r>
      <w:r>
        <w:rPr>
          <w:rStyle w:val="CharDivNo"/>
        </w:rPr>
        <w:t xml:space="preserve"> — </w:t>
      </w:r>
      <w:r>
        <w:rPr>
          <w:rStyle w:val="CharSDivText"/>
        </w:rPr>
        <w:t>Restrictions on indemnities and exemptions</w:t>
      </w:r>
      <w:bookmarkEnd w:id="452"/>
      <w:bookmarkEnd w:id="453"/>
    </w:p>
    <w:p>
      <w:pPr>
        <w:pStyle w:val="yHeading5"/>
        <w:outlineLvl w:val="0"/>
      </w:pPr>
      <w:bookmarkStart w:id="454" w:name="_Toc398890150"/>
      <w:bookmarkStart w:id="455" w:name="_Toc424284585"/>
      <w:r>
        <w:rPr>
          <w:rStyle w:val="CharSClsNo"/>
        </w:rPr>
        <w:t>13</w:t>
      </w:r>
      <w:r>
        <w:t>.</w:t>
      </w:r>
      <w:r>
        <w:tab/>
        <w:t>CEO and executive officers not to be exempted or indemnified for some liability</w:t>
      </w:r>
      <w:bookmarkEnd w:id="454"/>
      <w:bookmarkEnd w:id="455"/>
    </w:p>
    <w:p>
      <w:pPr>
        <w:pStyle w:val="ySubsection"/>
      </w:pPr>
      <w:r>
        <w:tab/>
        <w:t>(1)</w:t>
      </w:r>
      <w:r>
        <w:tab/>
        <w:t>A port authority or a subsidiary must not exempt a person (whether directly or through an interposed entity) from a liability to the port authority incurred as the CEO or an executive officer of the port authority.</w:t>
      </w:r>
    </w:p>
    <w:p>
      <w:pPr>
        <w:pStyle w:val="ySubsection"/>
      </w:pPr>
      <w:r>
        <w:tab/>
        <w:t>(2)</w:t>
      </w:r>
      <w:r>
        <w:tab/>
        <w:t>A port authority or a subsidiary must not indemnify a person (whether by agreement or by making a payment and whether directly or through an interposed entity) against any of the following liabilities incurred as the CEO or an executive officer of the port authority —</w:t>
      </w:r>
    </w:p>
    <w:p>
      <w:pPr>
        <w:pStyle w:val="yIndenta"/>
      </w:pPr>
      <w:r>
        <w:tab/>
        <w:t>(a)</w:t>
      </w:r>
      <w:r>
        <w:tab/>
        <w:t>a liability owed to the port authority or a subsidiary; or</w:t>
      </w:r>
    </w:p>
    <w:p>
      <w:pPr>
        <w:pStyle w:val="yIndenta"/>
      </w:pPr>
      <w:r>
        <w:tab/>
        <w:t>(b)</w:t>
      </w:r>
      <w:r>
        <w:tab/>
        <w:t>a liability that is owed to someone other than the port authority or a subsidiary and did not arise out of conduct in good faith.</w:t>
      </w:r>
    </w:p>
    <w:p>
      <w:pPr>
        <w:pStyle w:val="ySubsection"/>
      </w:pPr>
      <w:r>
        <w:tab/>
        <w:t>(3)</w:t>
      </w:r>
      <w:r>
        <w:tab/>
        <w:t>Subclause (2) does not apply to a liability for legal costs.</w:t>
      </w:r>
    </w:p>
    <w:p>
      <w:pPr>
        <w:pStyle w:val="ySubsection"/>
      </w:pPr>
      <w:r>
        <w:tab/>
        <w:t>(4)</w:t>
      </w:r>
      <w:r>
        <w:tab/>
        <w:t>A port authority or a subsidiary must not indemnify a person (whether by agreement or by making a payment and whether directly or through an interposed entity) against legal costs incurred in defending an action for a liability incurred as the CEO or an executive officer of the port authority if the costs are incurred —</w:t>
      </w:r>
    </w:p>
    <w:p>
      <w:pPr>
        <w:pStyle w:val="yIndenta"/>
      </w:pPr>
      <w:r>
        <w:tab/>
        <w:t>(a)</w:t>
      </w:r>
      <w:r>
        <w:tab/>
        <w:t>in defending or resisting a proceeding in which the person is found to have a liability for which the person could not be indemnified under subclause (2); or</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456" w:name="_Toc398890151"/>
      <w:bookmarkStart w:id="457" w:name="_Toc424284586"/>
      <w:r>
        <w:rPr>
          <w:rStyle w:val="CharSClsNo"/>
        </w:rPr>
        <w:t>14</w:t>
      </w:r>
      <w:r>
        <w:t>.</w:t>
      </w:r>
      <w:r>
        <w:tab/>
        <w:t>Insurance premiums for certain liabilities of CEO and executive officers</w:t>
      </w:r>
      <w:bookmarkEnd w:id="456"/>
      <w:bookmarkEnd w:id="457"/>
    </w:p>
    <w:p>
      <w:pPr>
        <w:pStyle w:val="ySubsection"/>
      </w:pPr>
      <w:r>
        <w:tab/>
        <w:t>(1)</w:t>
      </w:r>
      <w:r>
        <w:tab/>
        <w:t>A port authority or a subsidiary must not pay, or agree to pay, a premium for a contract insuring the CEO or an executive officer of the port authority against a liability (other than one for legal costs) arising out of —</w:t>
      </w:r>
    </w:p>
    <w:p>
      <w:pPr>
        <w:pStyle w:val="yIndenta"/>
      </w:pPr>
      <w:r>
        <w:tab/>
        <w:t>(a)</w:t>
      </w:r>
      <w:r>
        <w:tab/>
        <w:t>conduct involving a wilful breach of duty in relation to the port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458" w:name="_Toc398890152"/>
      <w:bookmarkStart w:id="459" w:name="_Toc424284587"/>
      <w:r>
        <w:rPr>
          <w:rStyle w:val="CharSClsNo"/>
        </w:rPr>
        <w:t>15</w:t>
      </w:r>
      <w:r>
        <w:t>.</w:t>
      </w:r>
      <w:r>
        <w:tab/>
        <w:t>Certain indemnities, exemptions, payments and agreements not authorised and certain documents void</w:t>
      </w:r>
      <w:bookmarkEnd w:id="458"/>
      <w:bookmarkEnd w:id="459"/>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yScheduleHeading"/>
      </w:pPr>
      <w:bookmarkStart w:id="460" w:name="_Toc398890153"/>
      <w:bookmarkStart w:id="461" w:name="_Toc424284588"/>
      <w:r>
        <w:rPr>
          <w:rStyle w:val="CharSchNo"/>
        </w:rPr>
        <w:t>Schedule 4</w:t>
      </w:r>
      <w:r>
        <w:t xml:space="preserve"> — </w:t>
      </w:r>
      <w:r>
        <w:rPr>
          <w:rStyle w:val="CharSchText"/>
        </w:rPr>
        <w:t>Provisions to be included in articles of association of subsidiaries</w:t>
      </w:r>
      <w:bookmarkEnd w:id="460"/>
      <w:bookmarkEnd w:id="461"/>
      <w:r>
        <w:rPr>
          <w:rStyle w:val="CharSchText"/>
        </w:rPr>
        <w:t xml:space="preserve"> </w:t>
      </w:r>
    </w:p>
    <w:p>
      <w:pPr>
        <w:pStyle w:val="yShoulderClause"/>
      </w:pPr>
      <w:r>
        <w:t>[s. 39]</w:t>
      </w:r>
    </w:p>
    <w:p>
      <w:pPr>
        <w:pStyle w:val="yHeading5"/>
        <w:outlineLvl w:val="0"/>
        <w:rPr>
          <w:snapToGrid w:val="0"/>
        </w:rPr>
      </w:pPr>
      <w:bookmarkStart w:id="462" w:name="_Toc398890154"/>
      <w:bookmarkStart w:id="463" w:name="_Toc424284589"/>
      <w:r>
        <w:rPr>
          <w:rStyle w:val="CharSClsNo"/>
        </w:rPr>
        <w:t>1</w:t>
      </w:r>
      <w:r>
        <w:rPr>
          <w:snapToGrid w:val="0"/>
        </w:rPr>
        <w:t>.</w:t>
      </w:r>
      <w:r>
        <w:rPr>
          <w:snapToGrid w:val="0"/>
        </w:rPr>
        <w:tab/>
        <w:t>Disposal of shares</w:t>
      </w:r>
      <w:bookmarkEnd w:id="462"/>
      <w:bookmarkEnd w:id="463"/>
      <w:r>
        <w:rPr>
          <w:snapToGrid w:val="0"/>
        </w:rPr>
        <w:t xml:space="preserve"> </w:t>
      </w:r>
    </w:p>
    <w:p>
      <w:pPr>
        <w:pStyle w:val="ySubsection"/>
        <w:rPr>
          <w:snapToGrid w:val="0"/>
        </w:rPr>
      </w:pPr>
      <w:r>
        <w:rPr>
          <w:snapToGrid w:val="0"/>
        </w:rPr>
        <w:tab/>
        <w:t>(1)</w:t>
      </w:r>
      <w:r>
        <w:rPr>
          <w:snapToGrid w:val="0"/>
        </w:rPr>
        <w:tab/>
        <w:t>The port authority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port authority.</w:t>
      </w:r>
    </w:p>
    <w:p>
      <w:pPr>
        <w:pStyle w:val="yHeading5"/>
        <w:outlineLvl w:val="0"/>
        <w:rPr>
          <w:snapToGrid w:val="0"/>
        </w:rPr>
      </w:pPr>
      <w:bookmarkStart w:id="464" w:name="_Toc398890155"/>
      <w:bookmarkStart w:id="465" w:name="_Toc424284590"/>
      <w:r>
        <w:rPr>
          <w:rStyle w:val="CharSClsNo"/>
        </w:rPr>
        <w:t>2</w:t>
      </w:r>
      <w:r>
        <w:rPr>
          <w:snapToGrid w:val="0"/>
        </w:rPr>
        <w:t>.</w:t>
      </w:r>
      <w:r>
        <w:rPr>
          <w:snapToGrid w:val="0"/>
        </w:rPr>
        <w:tab/>
        <w:t>Directors</w:t>
      </w:r>
      <w:bookmarkEnd w:id="464"/>
      <w:bookmarkEnd w:id="465"/>
      <w:r>
        <w:rPr>
          <w:snapToGrid w:val="0"/>
        </w:rPr>
        <w:t xml:space="preserve"> </w:t>
      </w:r>
    </w:p>
    <w:p>
      <w:pPr>
        <w:pStyle w:val="ySubsection"/>
        <w:rPr>
          <w:snapToGrid w:val="0"/>
        </w:rPr>
      </w:pPr>
      <w:r>
        <w:rPr>
          <w:snapToGrid w:val="0"/>
        </w:rPr>
        <w:tab/>
        <w:t>(1)</w:t>
      </w:r>
      <w:r>
        <w:rPr>
          <w:snapToGrid w:val="0"/>
        </w:rPr>
        <w:tab/>
        <w:t>The directors of the subsidiary are to be appointed by the port authority,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port authority and the subsidiary.</w:t>
      </w:r>
    </w:p>
    <w:p>
      <w:pPr>
        <w:pStyle w:val="ySubsection"/>
        <w:rPr>
          <w:snapToGrid w:val="0"/>
        </w:rPr>
      </w:pPr>
      <w:r>
        <w:rPr>
          <w:snapToGrid w:val="0"/>
        </w:rPr>
        <w:tab/>
        <w:t>(3)</w:t>
      </w:r>
      <w:r>
        <w:rPr>
          <w:snapToGrid w:val="0"/>
        </w:rPr>
        <w:tab/>
        <w:t>The board of the subsidiary is accountable to the Minister in the manner set out in Part 5 and in the memorandum and articles of association of the subsidiary.</w:t>
      </w:r>
    </w:p>
    <w:p>
      <w:pPr>
        <w:pStyle w:val="yHeading5"/>
        <w:outlineLvl w:val="0"/>
        <w:rPr>
          <w:snapToGrid w:val="0"/>
        </w:rPr>
      </w:pPr>
      <w:bookmarkStart w:id="466" w:name="_Toc398890156"/>
      <w:bookmarkStart w:id="467" w:name="_Toc424284591"/>
      <w:r>
        <w:rPr>
          <w:rStyle w:val="CharSClsNo"/>
        </w:rPr>
        <w:t>3</w:t>
      </w:r>
      <w:r>
        <w:rPr>
          <w:snapToGrid w:val="0"/>
        </w:rPr>
        <w:t>.</w:t>
      </w:r>
      <w:r>
        <w:rPr>
          <w:snapToGrid w:val="0"/>
        </w:rPr>
        <w:tab/>
        <w:t>Further shares</w:t>
      </w:r>
      <w:bookmarkEnd w:id="466"/>
      <w:bookmarkEnd w:id="467"/>
      <w:r>
        <w:rPr>
          <w:snapToGrid w:val="0"/>
        </w:rPr>
        <w:t xml:space="preserve"> </w:t>
      </w:r>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outlineLvl w:val="0"/>
        <w:rPr>
          <w:snapToGrid w:val="0"/>
        </w:rPr>
      </w:pPr>
      <w:bookmarkStart w:id="468" w:name="_Toc398890157"/>
      <w:bookmarkStart w:id="469" w:name="_Toc424284592"/>
      <w:r>
        <w:rPr>
          <w:rStyle w:val="CharSClsNo"/>
        </w:rPr>
        <w:t>4</w:t>
      </w:r>
      <w:r>
        <w:rPr>
          <w:snapToGrid w:val="0"/>
        </w:rPr>
        <w:t>.</w:t>
      </w:r>
      <w:r>
        <w:rPr>
          <w:snapToGrid w:val="0"/>
        </w:rPr>
        <w:tab/>
        <w:t>Subsidiaries of subsidiary</w:t>
      </w:r>
      <w:bookmarkEnd w:id="468"/>
      <w:bookmarkEnd w:id="469"/>
      <w:r>
        <w:rPr>
          <w:snapToGrid w:val="0"/>
        </w:rPr>
        <w:t xml:space="preserve"> </w:t>
      </w:r>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memorandum and articles of association of each of its subsidiaries at all times comply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memorandum and articles of association and with the requirements of this Act.</w:t>
      </w:r>
    </w:p>
    <w:p>
      <w:pPr>
        <w:pStyle w:val="yScheduleHeading"/>
        <w:sectPr>
          <w:headerReference w:type="even" r:id="rId34"/>
          <w:headerReference w:type="default" r:id="rId35"/>
          <w:pgSz w:w="11907" w:h="16840" w:code="9"/>
          <w:pgMar w:top="2376" w:right="2405" w:bottom="3542" w:left="2405" w:header="706" w:footer="3380" w:gutter="0"/>
          <w:cols w:space="720"/>
          <w:noEndnote/>
          <w:docGrid w:linePitch="326"/>
        </w:sectPr>
      </w:pPr>
    </w:p>
    <w:p>
      <w:pPr>
        <w:pStyle w:val="yScheduleHeading"/>
        <w:outlineLvl w:val="0"/>
      </w:pPr>
      <w:bookmarkStart w:id="470" w:name="_Toc398890158"/>
      <w:bookmarkStart w:id="471" w:name="_Toc424284593"/>
      <w:r>
        <w:rPr>
          <w:rStyle w:val="CharSchNo"/>
        </w:rPr>
        <w:t>Schedule 5</w:t>
      </w:r>
      <w:r>
        <w:t xml:space="preserve"> — </w:t>
      </w:r>
      <w:r>
        <w:rPr>
          <w:rStyle w:val="CharSchText"/>
        </w:rPr>
        <w:t>Financial administration and audit</w:t>
      </w:r>
      <w:bookmarkEnd w:id="470"/>
      <w:bookmarkEnd w:id="471"/>
    </w:p>
    <w:p>
      <w:pPr>
        <w:pStyle w:val="yShoulderClause"/>
      </w:pPr>
      <w:r>
        <w:t>[s. 91(1)]</w:t>
      </w:r>
    </w:p>
    <w:p>
      <w:pPr>
        <w:pStyle w:val="yFootnoteheading"/>
      </w:pPr>
      <w:r>
        <w:tab/>
        <w:t>[Heading inserted in Gazette 4 Mar 2003 p. 711.]</w:t>
      </w:r>
    </w:p>
    <w:p>
      <w:pPr>
        <w:pStyle w:val="yHeading3"/>
        <w:outlineLvl w:val="0"/>
      </w:pPr>
      <w:bookmarkStart w:id="472" w:name="_Toc398890159"/>
      <w:bookmarkStart w:id="473" w:name="_Toc424284594"/>
      <w:r>
        <w:rPr>
          <w:rStyle w:val="CharSDivNo"/>
        </w:rPr>
        <w:t>Division 1</w:t>
      </w:r>
      <w:r>
        <w:t xml:space="preserve"> — </w:t>
      </w:r>
      <w:r>
        <w:rPr>
          <w:rStyle w:val="CharSDivText"/>
        </w:rPr>
        <w:t>Preliminary</w:t>
      </w:r>
      <w:bookmarkEnd w:id="472"/>
      <w:bookmarkEnd w:id="473"/>
    </w:p>
    <w:p>
      <w:pPr>
        <w:pStyle w:val="yFootnoteheading"/>
      </w:pPr>
      <w:r>
        <w:tab/>
        <w:t>[Heading inserted in Gazette 4 Mar 2003 p. 711.]</w:t>
      </w:r>
    </w:p>
    <w:p>
      <w:pPr>
        <w:pStyle w:val="yHeading5"/>
      </w:pPr>
      <w:bookmarkStart w:id="474" w:name="_Toc398890160"/>
      <w:bookmarkStart w:id="475" w:name="_Toc424284595"/>
      <w:r>
        <w:rPr>
          <w:rStyle w:val="CharSClsNo"/>
        </w:rPr>
        <w:t>1</w:t>
      </w:r>
      <w:r>
        <w:t>.</w:t>
      </w:r>
      <w:r>
        <w:tab/>
        <w:t>Terms used</w:t>
      </w:r>
      <w:bookmarkEnd w:id="474"/>
      <w:bookmarkEnd w:id="475"/>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respective meanings given to them by Part 1.2 of the Corporations Act.</w:t>
      </w:r>
    </w:p>
    <w:p>
      <w:pPr>
        <w:pStyle w:val="yFootnotesection"/>
        <w:rPr>
          <w:i w:val="0"/>
        </w:rPr>
      </w:pPr>
      <w:r>
        <w:tab/>
      </w:r>
      <w:r>
        <w:tab/>
        <w:t>[Clause 1 inserted in Gazette 4 Mar 2003 p. 711.]</w:t>
      </w:r>
    </w:p>
    <w:p>
      <w:pPr>
        <w:pStyle w:val="yHeading3"/>
        <w:outlineLvl w:val="0"/>
      </w:pPr>
      <w:bookmarkStart w:id="476" w:name="_Toc398890161"/>
      <w:bookmarkStart w:id="477" w:name="_Toc424284596"/>
      <w:r>
        <w:rPr>
          <w:rStyle w:val="CharSDivNo"/>
        </w:rPr>
        <w:t>Division 2</w:t>
      </w:r>
      <w:r>
        <w:t xml:space="preserve"> — </w:t>
      </w:r>
      <w:r>
        <w:rPr>
          <w:rStyle w:val="CharSDivText"/>
        </w:rPr>
        <w:t>Financial records</w:t>
      </w:r>
      <w:bookmarkEnd w:id="476"/>
      <w:bookmarkEnd w:id="477"/>
    </w:p>
    <w:p>
      <w:pPr>
        <w:pStyle w:val="yFootnoteheading"/>
      </w:pPr>
      <w:r>
        <w:tab/>
        <w:t>[Heading inserted in Gazette 4 Mar 2003 p. 712.]</w:t>
      </w:r>
    </w:p>
    <w:p>
      <w:pPr>
        <w:pStyle w:val="yHeading5"/>
      </w:pPr>
      <w:bookmarkStart w:id="478" w:name="_Toc398890162"/>
      <w:bookmarkStart w:id="479" w:name="_Toc424284597"/>
      <w:r>
        <w:rPr>
          <w:rStyle w:val="CharSClsNo"/>
        </w:rPr>
        <w:t>2</w:t>
      </w:r>
      <w:r>
        <w:t>.</w:t>
      </w:r>
      <w:r>
        <w:tab/>
        <w:t>Obligation to keep financial records</w:t>
      </w:r>
      <w:r>
        <w:br/>
      </w:r>
      <w:r>
        <w:rPr>
          <w:i/>
        </w:rPr>
        <w:t>(cf. Corporations Act s. 286)</w:t>
      </w:r>
      <w:bookmarkEnd w:id="478"/>
      <w:bookmarkEnd w:id="479"/>
    </w:p>
    <w:p>
      <w:pPr>
        <w:pStyle w:val="ySubsection"/>
      </w:pPr>
      <w:r>
        <w:tab/>
        <w:t>(1)</w:t>
      </w:r>
      <w:r>
        <w:tab/>
        <w:t xml:space="preserve">A port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r>
      <w:r>
        <w:tab/>
        <w:t>[Clause 2 inserted in Gazette 4 Mar 2003 p. 712.]</w:t>
      </w:r>
    </w:p>
    <w:p>
      <w:pPr>
        <w:pStyle w:val="yHeading5"/>
      </w:pPr>
      <w:bookmarkStart w:id="480" w:name="_Toc398890163"/>
      <w:bookmarkStart w:id="481" w:name="_Toc424284598"/>
      <w:r>
        <w:rPr>
          <w:rStyle w:val="CharSClsNo"/>
        </w:rPr>
        <w:t>3</w:t>
      </w:r>
      <w:r>
        <w:t>.</w:t>
      </w:r>
      <w:r>
        <w:tab/>
        <w:t>Physical format</w:t>
      </w:r>
      <w:r>
        <w:br/>
      </w:r>
      <w:r>
        <w:rPr>
          <w:i/>
        </w:rPr>
        <w:t>(cf. Corporations Act s. 288)</w:t>
      </w:r>
      <w:bookmarkEnd w:id="480"/>
      <w:bookmarkEnd w:id="481"/>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r>
      <w:r>
        <w:tab/>
        <w:t>[Clause 3 inserted in Gazette 4 Mar 2003 p. 712.]</w:t>
      </w:r>
    </w:p>
    <w:p>
      <w:pPr>
        <w:pStyle w:val="yHeading5"/>
      </w:pPr>
      <w:bookmarkStart w:id="482" w:name="_Toc398890164"/>
      <w:bookmarkStart w:id="483" w:name="_Toc424284599"/>
      <w:r>
        <w:rPr>
          <w:rStyle w:val="CharSClsNo"/>
        </w:rPr>
        <w:t>4</w:t>
      </w:r>
      <w:r>
        <w:t>.</w:t>
      </w:r>
      <w:r>
        <w:tab/>
        <w:t>Place where records are kept</w:t>
      </w:r>
      <w:r>
        <w:br/>
      </w:r>
      <w:r>
        <w:rPr>
          <w:i/>
        </w:rPr>
        <w:t>(cf. Corporations Act s. 289)</w:t>
      </w:r>
      <w:bookmarkEnd w:id="482"/>
      <w:bookmarkEnd w:id="483"/>
    </w:p>
    <w:p>
      <w:pPr>
        <w:pStyle w:val="ySubsection"/>
      </w:pPr>
      <w:r>
        <w:tab/>
        <w:t>(1)</w:t>
      </w:r>
      <w:r>
        <w:tab/>
        <w:t>A port authority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place">
        <w:smartTag w:uri="urn:schemas-microsoft-com:office:smarttags" w:element="country-region">
          <w:r>
            <w:t>Australia</w:t>
          </w:r>
        </w:smartTag>
      </w:smartTag>
      <w:r>
        <w:t xml:space="preserve"> to enable true and fair financial statements to be prepared.</w:t>
      </w:r>
    </w:p>
    <w:p>
      <w:pPr>
        <w:pStyle w:val="ySubsection"/>
      </w:pPr>
      <w:r>
        <w:tab/>
        <w:t>(3)</w:t>
      </w:r>
      <w:r>
        <w:tab/>
        <w:t>A port authority must give the Treasurer written notice of the place where the information is kept.</w:t>
      </w:r>
    </w:p>
    <w:p>
      <w:pPr>
        <w:pStyle w:val="ySubsection"/>
      </w:pPr>
      <w:r>
        <w:tab/>
        <w:t>(4)</w:t>
      </w:r>
      <w:r>
        <w:tab/>
        <w:t xml:space="preserve">The Minister may direct a port authority to produce specified financial records that are kept outside </w:t>
      </w:r>
      <w:smartTag w:uri="urn:schemas-microsoft-com:office:smarttags" w:element="place">
        <w:smartTag w:uri="urn:schemas-microsoft-com:office:smarttags" w:element="country-region">
          <w:r>
            <w:t>Australia</w:t>
          </w:r>
        </w:smartTag>
      </w:smartTag>
      <w:r>
        <w:t>.</w:t>
      </w:r>
    </w:p>
    <w:p>
      <w:pPr>
        <w:pStyle w:val="ySubsection"/>
      </w:pPr>
      <w:r>
        <w:tab/>
        <w:t>(5)</w:t>
      </w:r>
      <w:r>
        <w:tab/>
        <w:t xml:space="preserve">The direction must — </w:t>
      </w:r>
    </w:p>
    <w:p>
      <w:pPr>
        <w:pStyle w:val="yIndenta"/>
      </w:pPr>
      <w:r>
        <w:tab/>
        <w:t>(a)</w:t>
      </w:r>
      <w:r>
        <w:tab/>
        <w:t>be in writing; and</w:t>
      </w:r>
    </w:p>
    <w:p>
      <w:pPr>
        <w:pStyle w:val="yIndenta"/>
      </w:pPr>
      <w:r>
        <w:tab/>
        <w:t>(b)</w:t>
      </w:r>
      <w:r>
        <w:tab/>
        <w:t xml:space="preserve">specify a place in </w:t>
      </w:r>
      <w:smartTag w:uri="urn:schemas-microsoft-com:office:smarttags" w:element="place">
        <w:smartTag w:uri="urn:schemas-microsoft-com:office:smarttags" w:element="country-region">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r>
      <w:r>
        <w:tab/>
        <w:t>[Clause 4 inserted in Gazette 4 Mar 2003 p. 712.]</w:t>
      </w:r>
    </w:p>
    <w:p>
      <w:pPr>
        <w:pStyle w:val="yHeading5"/>
      </w:pPr>
      <w:bookmarkStart w:id="484" w:name="_Toc398890165"/>
      <w:bookmarkStart w:id="485" w:name="_Toc424284600"/>
      <w:r>
        <w:rPr>
          <w:rStyle w:val="CharSClsNo"/>
        </w:rPr>
        <w:t>5</w:t>
      </w:r>
      <w:r>
        <w:t>.</w:t>
      </w:r>
      <w:r>
        <w:tab/>
        <w:t>Director access</w:t>
      </w:r>
      <w:r>
        <w:br/>
      </w:r>
      <w:r>
        <w:rPr>
          <w:i/>
        </w:rPr>
        <w:t>(cf. Corporations Act s. 290)</w:t>
      </w:r>
      <w:bookmarkEnd w:id="484"/>
      <w:bookmarkEnd w:id="485"/>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r>
      <w:r>
        <w:tab/>
        <w:t>[Clause 5 inserted in Gazette 4 Mar 2003 p. 712</w:t>
      </w:r>
      <w:r>
        <w:noBreakHyphen/>
        <w:t>13.]</w:t>
      </w:r>
    </w:p>
    <w:p>
      <w:pPr>
        <w:pStyle w:val="yHeading3"/>
        <w:outlineLvl w:val="0"/>
      </w:pPr>
      <w:bookmarkStart w:id="486" w:name="_Toc398890166"/>
      <w:bookmarkStart w:id="487" w:name="_Toc424284601"/>
      <w:r>
        <w:rPr>
          <w:rStyle w:val="CharSDivNo"/>
        </w:rPr>
        <w:t>Division 3</w:t>
      </w:r>
      <w:r>
        <w:t xml:space="preserve"> — </w:t>
      </w:r>
      <w:r>
        <w:rPr>
          <w:rStyle w:val="CharSDivText"/>
        </w:rPr>
        <w:t>Financial reporting</w:t>
      </w:r>
      <w:bookmarkEnd w:id="486"/>
      <w:bookmarkEnd w:id="487"/>
    </w:p>
    <w:p>
      <w:pPr>
        <w:pStyle w:val="yFootnoteheading"/>
      </w:pPr>
      <w:r>
        <w:tab/>
        <w:t>[Heading inserted in Gazette 4 Mar 2003 p. 713.]</w:t>
      </w:r>
    </w:p>
    <w:p>
      <w:pPr>
        <w:pStyle w:val="yHeading4"/>
        <w:outlineLvl w:val="0"/>
      </w:pPr>
      <w:bookmarkStart w:id="488" w:name="_Toc398890167"/>
      <w:bookmarkStart w:id="489" w:name="_Toc424284602"/>
      <w:r>
        <w:t>Subdivision 1 — Annual financial reports and directors’ reports</w:t>
      </w:r>
      <w:bookmarkEnd w:id="488"/>
      <w:bookmarkEnd w:id="489"/>
    </w:p>
    <w:p>
      <w:pPr>
        <w:pStyle w:val="yFootnoteheading"/>
      </w:pPr>
      <w:r>
        <w:tab/>
        <w:t>[Heading inserted in Gazette 4 Mar 2003 p. 713.]</w:t>
      </w:r>
    </w:p>
    <w:p>
      <w:pPr>
        <w:pStyle w:val="yHeading5"/>
      </w:pPr>
      <w:bookmarkStart w:id="490" w:name="_Toc398890168"/>
      <w:bookmarkStart w:id="491" w:name="_Toc424284603"/>
      <w:r>
        <w:rPr>
          <w:rStyle w:val="CharSClsNo"/>
        </w:rPr>
        <w:t>6</w:t>
      </w:r>
      <w:r>
        <w:t>.</w:t>
      </w:r>
      <w:r>
        <w:tab/>
        <w:t>Preparation of annual financial report and directors’ report</w:t>
      </w:r>
      <w:r>
        <w:br/>
      </w:r>
      <w:r>
        <w:rPr>
          <w:i/>
        </w:rPr>
        <w:t>(cf. Corporations Act s. 292)</w:t>
      </w:r>
      <w:bookmarkEnd w:id="490"/>
      <w:bookmarkEnd w:id="491"/>
    </w:p>
    <w:p>
      <w:pPr>
        <w:pStyle w:val="ySubsection"/>
      </w:pPr>
      <w:r>
        <w:tab/>
      </w:r>
      <w:r>
        <w:tab/>
        <w:t>A financial report and a directors’ report must be prepared for each financial year by a port authority before 30 September.</w:t>
      </w:r>
    </w:p>
    <w:p>
      <w:pPr>
        <w:pStyle w:val="yFootnotesection"/>
      </w:pPr>
      <w:r>
        <w:tab/>
      </w:r>
      <w:r>
        <w:tab/>
        <w:t>[Clause 6 inserted in Gazette 4 Mar 2003 p. 713.]</w:t>
      </w:r>
    </w:p>
    <w:p>
      <w:pPr>
        <w:pStyle w:val="yHeading5"/>
      </w:pPr>
      <w:bookmarkStart w:id="492" w:name="_Toc398890169"/>
      <w:bookmarkStart w:id="493" w:name="_Toc424284604"/>
      <w:r>
        <w:rPr>
          <w:rStyle w:val="CharSClsNo"/>
        </w:rPr>
        <w:t>7</w:t>
      </w:r>
      <w:r>
        <w:t>.</w:t>
      </w:r>
      <w:r>
        <w:tab/>
        <w:t>Contents of annual financial report</w:t>
      </w:r>
      <w:r>
        <w:br/>
      </w:r>
      <w:r>
        <w:rPr>
          <w:i/>
        </w:rPr>
        <w:t>(cf. Corporations Act s. 295)</w:t>
      </w:r>
      <w:bookmarkEnd w:id="492"/>
      <w:bookmarkEnd w:id="493"/>
    </w:p>
    <w:p>
      <w:pPr>
        <w:pStyle w:val="ySubsection"/>
      </w:pPr>
      <w:r>
        <w:tab/>
        <w:t>(1)</w:t>
      </w:r>
      <w:r>
        <w:tab/>
        <w:t xml:space="preserve">The financial report for a financial year consists of — </w:t>
      </w:r>
    </w:p>
    <w:p>
      <w:pPr>
        <w:pStyle w:val="yIndenta"/>
      </w:pPr>
      <w:r>
        <w:tab/>
        <w:t>(a)</w:t>
      </w:r>
      <w:r>
        <w:tab/>
        <w:t>the financial statements for the year; and</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pPr>
      <w:r>
        <w:tab/>
        <w:t>(c)</w:t>
      </w:r>
      <w:r>
        <w:tab/>
        <w:t>whether, in the directors’ opinion, there are reasonable grounds to believe that the port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spacing w:before="120"/>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Subsection"/>
      </w:pPr>
      <w:r>
        <w:tab/>
      </w:r>
      <w:r>
        <w:tab/>
      </w:r>
      <w:r>
        <w:rPr>
          <w:i/>
        </w:rPr>
        <w:t>[Clause 7 inserted in Gazette 4 Mar 2003 p. 713</w:t>
      </w:r>
      <w:r>
        <w:rPr>
          <w:i/>
        </w:rPr>
        <w:noBreakHyphen/>
        <w:t>14.]</w:t>
      </w:r>
    </w:p>
    <w:p>
      <w:pPr>
        <w:pStyle w:val="yHeading5"/>
        <w:spacing w:before="180"/>
      </w:pPr>
      <w:bookmarkStart w:id="494" w:name="_Toc398890170"/>
      <w:bookmarkStart w:id="495" w:name="_Toc424284605"/>
      <w:r>
        <w:rPr>
          <w:rStyle w:val="CharSClsNo"/>
        </w:rPr>
        <w:t>8</w:t>
      </w:r>
      <w:r>
        <w:t>.</w:t>
      </w:r>
      <w:r>
        <w:tab/>
        <w:t>Compliance with accounting standards and regulations</w:t>
      </w:r>
      <w:r>
        <w:br/>
      </w:r>
      <w:r>
        <w:rPr>
          <w:i/>
        </w:rPr>
        <w:t>(cf. Corporations Act s. 296)</w:t>
      </w:r>
      <w:bookmarkEnd w:id="494"/>
      <w:bookmarkEnd w:id="495"/>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Footnotesection"/>
        <w:spacing w:before="80"/>
      </w:pPr>
      <w:r>
        <w:tab/>
      </w:r>
      <w:r>
        <w:tab/>
        <w:t>[Clause 8 inserted in Gazette 4 Mar 2003 p. 714.]</w:t>
      </w:r>
    </w:p>
    <w:p>
      <w:pPr>
        <w:pStyle w:val="yHeading5"/>
      </w:pPr>
      <w:bookmarkStart w:id="496" w:name="_Toc398890171"/>
      <w:bookmarkStart w:id="497" w:name="_Toc424284606"/>
      <w:r>
        <w:rPr>
          <w:rStyle w:val="CharSClsNo"/>
        </w:rPr>
        <w:t>9</w:t>
      </w:r>
      <w:r>
        <w:t>.</w:t>
      </w:r>
      <w:r>
        <w:tab/>
        <w:t>True and fair view</w:t>
      </w:r>
      <w:r>
        <w:br/>
      </w:r>
      <w:r>
        <w:rPr>
          <w:i/>
        </w:rPr>
        <w:t>(cf. Corporations Act s. 297)</w:t>
      </w:r>
      <w:bookmarkEnd w:id="496"/>
      <w:bookmarkEnd w:id="497"/>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port authority;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Footnotesection"/>
      </w:pPr>
      <w:r>
        <w:tab/>
      </w:r>
      <w:r>
        <w:tab/>
        <w:t>[Clause 9 inserted in Gazette 4 Mar 2003 p. 714.]</w:t>
      </w:r>
    </w:p>
    <w:p>
      <w:pPr>
        <w:pStyle w:val="yHeading5"/>
      </w:pPr>
      <w:bookmarkStart w:id="498" w:name="_Toc398890172"/>
      <w:bookmarkStart w:id="499" w:name="_Toc424284607"/>
      <w:r>
        <w:rPr>
          <w:rStyle w:val="CharSClsNo"/>
        </w:rPr>
        <w:t>10</w:t>
      </w:r>
      <w:r>
        <w:t>.</w:t>
      </w:r>
      <w:r>
        <w:tab/>
        <w:t>Annual directors’ report</w:t>
      </w:r>
      <w:r>
        <w:br/>
      </w:r>
      <w:r>
        <w:rPr>
          <w:i/>
        </w:rPr>
        <w:t>(cf. Corporations Act s. 298)</w:t>
      </w:r>
      <w:bookmarkEnd w:id="498"/>
      <w:bookmarkEnd w:id="499"/>
    </w:p>
    <w:p>
      <w:pPr>
        <w:pStyle w:val="ySubsection"/>
      </w:pPr>
      <w:r>
        <w:tab/>
        <w:t>(1)</w:t>
      </w:r>
      <w:r>
        <w:tab/>
        <w:t>A port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Subsection"/>
      </w:pPr>
      <w:r>
        <w:tab/>
      </w:r>
      <w:r>
        <w:tab/>
      </w:r>
      <w:r>
        <w:rPr>
          <w:i/>
        </w:rPr>
        <w:t>[</w:t>
      </w:r>
      <w:r>
        <w:rPr>
          <w:i/>
          <w:snapToGrid w:val="0"/>
        </w:rPr>
        <w:t>Clause 10 inserted in Gazette 4 Mar 2003 p. 714</w:t>
      </w:r>
      <w:r>
        <w:rPr>
          <w:i/>
          <w:snapToGrid w:val="0"/>
        </w:rPr>
        <w:noBreakHyphen/>
        <w:t>15.]</w:t>
      </w:r>
    </w:p>
    <w:p>
      <w:pPr>
        <w:pStyle w:val="yHeading5"/>
      </w:pPr>
      <w:bookmarkStart w:id="500" w:name="_Toc398890173"/>
      <w:bookmarkStart w:id="501" w:name="_Toc424284608"/>
      <w:r>
        <w:rPr>
          <w:rStyle w:val="CharSClsNo"/>
        </w:rPr>
        <w:t>11</w:t>
      </w:r>
      <w:r>
        <w:t>.</w:t>
      </w:r>
      <w:r>
        <w:tab/>
        <w:t>Annual directors’ report, general information in</w:t>
      </w:r>
      <w:r>
        <w:br/>
      </w:r>
      <w:r>
        <w:rPr>
          <w:i/>
        </w:rPr>
        <w:t>(cf. Corporations Act s. 299)</w:t>
      </w:r>
      <w:bookmarkEnd w:id="500"/>
      <w:bookmarkEnd w:id="501"/>
    </w:p>
    <w:p>
      <w:pPr>
        <w:pStyle w:val="ySubsection"/>
        <w:keepNext/>
        <w:keepLines/>
      </w:pPr>
      <w:r>
        <w:tab/>
        <w:t>(1)</w:t>
      </w:r>
      <w:r>
        <w:tab/>
        <w:t xml:space="preserve">The directors’ report for a financial year must — </w:t>
      </w:r>
    </w:p>
    <w:p>
      <w:pPr>
        <w:pStyle w:val="yIndenta"/>
      </w:pPr>
      <w:r>
        <w:tab/>
        <w:t>(a)</w:t>
      </w:r>
      <w:r>
        <w:tab/>
        <w:t>contain a review of operations during the year of the port authority and the results of those operations; and</w:t>
      </w:r>
    </w:p>
    <w:p>
      <w:pPr>
        <w:pStyle w:val="yIndenta"/>
      </w:pPr>
      <w:r>
        <w:tab/>
        <w:t>(b)</w:t>
      </w:r>
      <w:r>
        <w:tab/>
        <w:t>give details of any significant changes in the port authority’s state of affairs during the year; and</w:t>
      </w:r>
    </w:p>
    <w:p>
      <w:pPr>
        <w:pStyle w:val="yIndenta"/>
      </w:pPr>
      <w:r>
        <w:tab/>
        <w:t>(c)</w:t>
      </w:r>
      <w:r>
        <w:tab/>
        <w:t>state the port authority’s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port authority’s operations in future financial years; or</w:t>
      </w:r>
    </w:p>
    <w:p>
      <w:pPr>
        <w:pStyle w:val="yIndenti0"/>
      </w:pPr>
      <w:r>
        <w:tab/>
        <w:t>(ii)</w:t>
      </w:r>
      <w:r>
        <w:tab/>
        <w:t>the results of those operations in future financial years; or</w:t>
      </w:r>
    </w:p>
    <w:p>
      <w:pPr>
        <w:pStyle w:val="yIndenti0"/>
      </w:pPr>
      <w:r>
        <w:tab/>
        <w:t>(iii)</w:t>
      </w:r>
      <w:r>
        <w:tab/>
        <w:t>the port authority’s state of affairs in future financial years;</w:t>
      </w:r>
    </w:p>
    <w:p>
      <w:pPr>
        <w:pStyle w:val="yIndenta"/>
      </w:pPr>
      <w:r>
        <w:tab/>
      </w:r>
      <w:r>
        <w:tab/>
        <w:t>and</w:t>
      </w:r>
    </w:p>
    <w:p>
      <w:pPr>
        <w:pStyle w:val="yIndenta"/>
      </w:pPr>
      <w:r>
        <w:tab/>
        <w:t>(e)</w:t>
      </w:r>
      <w:r>
        <w:tab/>
        <w:t>refer to likely developments in the port authority’s operations in future financial years and the expected results of those operations; and</w:t>
      </w:r>
    </w:p>
    <w:p>
      <w:pPr>
        <w:pStyle w:val="yIndenta"/>
      </w:pPr>
      <w:r>
        <w:tab/>
        <w:t>(f)</w:t>
      </w:r>
      <w:r>
        <w:tab/>
        <w:t>if the port authority’s operations are subject to any particular and significant environmental regulation under a law of the State or of the Commonwealth or of another State or a Territory — give details of the port authority’s performance in relation to environmental regulation.</w:t>
      </w:r>
    </w:p>
    <w:p>
      <w:pPr>
        <w:pStyle w:val="ySubsection"/>
      </w:pPr>
      <w:r>
        <w:tab/>
        <w:t>(2)</w:t>
      </w:r>
      <w:r>
        <w:tab/>
        <w:t>If accounting standards require consolidated financial statements, the report must be on the consolidated entity of which the port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spacing w:before="60"/>
      </w:pPr>
      <w:r>
        <w:tab/>
        <w:t>(a)</w:t>
      </w:r>
      <w:r>
        <w:tab/>
        <w:t>the port authority; or</w:t>
      </w:r>
    </w:p>
    <w:p>
      <w:pPr>
        <w:pStyle w:val="yIndenta"/>
        <w:spacing w:before="60"/>
      </w:pPr>
      <w:r>
        <w:tab/>
        <w:t>(b)</w:t>
      </w:r>
      <w:r>
        <w:tab/>
        <w:t>if consolidated financial statements are required — the consolidated entity or any entity (including the port authority) that is part of the consolidated entity.</w:t>
      </w:r>
    </w:p>
    <w:p>
      <w:pPr>
        <w:pStyle w:val="ySubsection"/>
      </w:pPr>
      <w:r>
        <w:tab/>
        <w:t>(4)</w:t>
      </w:r>
      <w:r>
        <w:tab/>
        <w:t>If material is omitted from the report, the report must say so.</w:t>
      </w:r>
    </w:p>
    <w:p>
      <w:pPr>
        <w:pStyle w:val="yFootnotesection"/>
      </w:pPr>
      <w:r>
        <w:tab/>
        <w:t>[Clause 11 inserted in Gazette 4 Mar 2003 p. 714</w:t>
      </w:r>
      <w:r>
        <w:noBreakHyphen/>
        <w:t>15.]</w:t>
      </w:r>
    </w:p>
    <w:p>
      <w:pPr>
        <w:pStyle w:val="yHeading5"/>
      </w:pPr>
      <w:bookmarkStart w:id="502" w:name="_Toc398890174"/>
      <w:bookmarkStart w:id="503" w:name="_Toc424284609"/>
      <w:r>
        <w:rPr>
          <w:rStyle w:val="CharSClsNo"/>
        </w:rPr>
        <w:t>12</w:t>
      </w:r>
      <w:r>
        <w:t>.</w:t>
      </w:r>
      <w:r>
        <w:tab/>
        <w:t>Annual directors’ report, specific information in</w:t>
      </w:r>
      <w:r>
        <w:br/>
      </w:r>
      <w:r>
        <w:rPr>
          <w:i/>
        </w:rPr>
        <w:t>(cf. Corporations Act s. 300)</w:t>
      </w:r>
      <w:bookmarkEnd w:id="502"/>
      <w:bookmarkEnd w:id="503"/>
    </w:p>
    <w:p>
      <w:pPr>
        <w:pStyle w:val="ySubsection"/>
        <w:spacing w:before="120"/>
      </w:pPr>
      <w:r>
        <w:tab/>
        <w:t>(1)</w:t>
      </w:r>
      <w:r>
        <w:tab/>
        <w:t xml:space="preserve">The directors’ report for a financial year must include details of — </w:t>
      </w:r>
    </w:p>
    <w:p>
      <w:pPr>
        <w:pStyle w:val="yIndenta"/>
        <w:spacing w:before="60"/>
      </w:pPr>
      <w:r>
        <w:tab/>
        <w:t>(a)</w:t>
      </w:r>
      <w:r>
        <w:tab/>
        <w:t>dividends or distributions paid during the year; and</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port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 and</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Footnotesection"/>
      </w:pPr>
      <w:r>
        <w:tab/>
        <w:t>[Clause 12 inserted in Gazette 4 Mar 2003 p. 715</w:t>
      </w:r>
      <w:r>
        <w:noBreakHyphen/>
        <w:t>16.]</w:t>
      </w:r>
    </w:p>
    <w:p>
      <w:pPr>
        <w:pStyle w:val="yHeading5"/>
        <w:spacing w:before="180"/>
      </w:pPr>
      <w:bookmarkStart w:id="504" w:name="_Toc398890175"/>
      <w:bookmarkStart w:id="505" w:name="_Toc424284610"/>
      <w:r>
        <w:rPr>
          <w:rStyle w:val="CharSClsNo"/>
        </w:rPr>
        <w:t>13</w:t>
      </w:r>
      <w:r>
        <w:t>.</w:t>
      </w:r>
      <w:r>
        <w:tab/>
        <w:t>Annual directors’ report, other specific information in</w:t>
      </w:r>
      <w:r>
        <w:br/>
      </w:r>
      <w:r>
        <w:rPr>
          <w:i/>
        </w:rPr>
        <w:t>(cf. Corporations Act s. 300A)</w:t>
      </w:r>
      <w:bookmarkEnd w:id="504"/>
      <w:bookmarkEnd w:id="505"/>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board members and senior executives of the port authority; and</w:t>
      </w:r>
    </w:p>
    <w:p>
      <w:pPr>
        <w:pStyle w:val="yIndenta"/>
      </w:pPr>
      <w:r>
        <w:tab/>
        <w:t>(b)</w:t>
      </w:r>
      <w:r>
        <w:tab/>
        <w:t>discussion of the relationship between such policy and the port authority’s performance; and</w:t>
      </w:r>
    </w:p>
    <w:p>
      <w:pPr>
        <w:pStyle w:val="yIndenta"/>
        <w:keepNext/>
      </w:pPr>
      <w:r>
        <w:tab/>
        <w:t>(c)</w:t>
      </w:r>
      <w:r>
        <w:tab/>
        <w:t xml:space="preserve">details of the nature and amount of each element of the emolument of each director and — </w:t>
      </w:r>
    </w:p>
    <w:p>
      <w:pPr>
        <w:pStyle w:val="yIndenti0"/>
      </w:pPr>
      <w:r>
        <w:tab/>
        <w:t>(i)</w:t>
      </w:r>
      <w:r>
        <w:tab/>
        <w:t>in the case of the Fremantle Port Authority, each of the 5 named officers of the port authority;</w:t>
      </w:r>
    </w:p>
    <w:p>
      <w:pPr>
        <w:pStyle w:val="yIndenti0"/>
      </w:pPr>
      <w:r>
        <w:tab/>
        <w:t>(ii)</w:t>
      </w:r>
      <w:r>
        <w:tab/>
        <w:t>in the case of a port authority other than the Fremantle Port Authority, each of the 3 named officers of the port authority,</w:t>
      </w:r>
    </w:p>
    <w:p>
      <w:pPr>
        <w:pStyle w:val="yIndenta"/>
      </w:pPr>
      <w:r>
        <w:tab/>
      </w:r>
      <w:r>
        <w:tab/>
        <w:t>receiving the highest emolument.</w:t>
      </w:r>
    </w:p>
    <w:p>
      <w:pPr>
        <w:pStyle w:val="yFootnotesection"/>
        <w:spacing w:before="80"/>
      </w:pPr>
      <w:r>
        <w:tab/>
      </w:r>
      <w:r>
        <w:tab/>
        <w:t>[</w:t>
      </w:r>
      <w:r>
        <w:rPr>
          <w:snapToGrid/>
        </w:rPr>
        <w:t>Clause </w:t>
      </w:r>
      <w:r>
        <w:t>13</w:t>
      </w:r>
      <w:r>
        <w:rPr>
          <w:snapToGrid/>
        </w:rPr>
        <w:t> inserted in Gazette 4 Mar 2003 p. 71</w:t>
      </w:r>
      <w:r>
        <w:t>6</w:t>
      </w:r>
      <w:r>
        <w:rPr>
          <w:snapToGrid/>
        </w:rPr>
        <w:t>.]</w:t>
      </w:r>
    </w:p>
    <w:p>
      <w:pPr>
        <w:pStyle w:val="yHeading5"/>
      </w:pPr>
      <w:bookmarkStart w:id="506" w:name="_Toc398890176"/>
      <w:bookmarkStart w:id="507" w:name="_Toc424284611"/>
      <w:r>
        <w:rPr>
          <w:rStyle w:val="CharSClsNo"/>
        </w:rPr>
        <w:t>14</w:t>
      </w:r>
      <w:r>
        <w:t>.</w:t>
      </w:r>
      <w:r>
        <w:tab/>
        <w:t>Audit of annual financial report</w:t>
      </w:r>
      <w:r>
        <w:br/>
      </w:r>
      <w:r>
        <w:rPr>
          <w:i/>
        </w:rPr>
        <w:t>(cf. Corporations Act s. 301)</w:t>
      </w:r>
      <w:bookmarkEnd w:id="506"/>
      <w:bookmarkEnd w:id="507"/>
    </w:p>
    <w:p>
      <w:pPr>
        <w:pStyle w:val="ySubsection"/>
      </w:pPr>
      <w:r>
        <w:tab/>
      </w:r>
      <w:r>
        <w:tab/>
        <w:t>The port authority must have the financial report for a financial year audited by the Auditor General in accordance with Subdivision 2 and clauses 37 and 44 and obtain an auditor’s report.</w:t>
      </w:r>
    </w:p>
    <w:p>
      <w:pPr>
        <w:pStyle w:val="yFootnotesection"/>
      </w:pPr>
      <w:r>
        <w:tab/>
        <w:t>[</w:t>
      </w:r>
      <w:r>
        <w:rPr>
          <w:snapToGrid/>
        </w:rPr>
        <w:t>Clause </w:t>
      </w:r>
      <w:r>
        <w:t>14</w:t>
      </w:r>
      <w:r>
        <w:rPr>
          <w:snapToGrid/>
        </w:rPr>
        <w:t> inserted in Gazette 4 Mar 2003 p. 71</w:t>
      </w:r>
      <w:r>
        <w:t>6</w:t>
      </w:r>
      <w:r>
        <w:rPr>
          <w:snapToGrid/>
        </w:rPr>
        <w:t>.]</w:t>
      </w:r>
    </w:p>
    <w:p>
      <w:pPr>
        <w:pStyle w:val="yHeading4"/>
        <w:outlineLvl w:val="0"/>
      </w:pPr>
      <w:bookmarkStart w:id="508" w:name="_Toc398890177"/>
      <w:bookmarkStart w:id="509" w:name="_Toc424284612"/>
      <w:r>
        <w:t>Subdivision 2 — Audit and auditor’s report</w:t>
      </w:r>
      <w:bookmarkEnd w:id="508"/>
      <w:bookmarkEnd w:id="509"/>
    </w:p>
    <w:p>
      <w:pPr>
        <w:pStyle w:val="yFootnoteheading"/>
      </w:pPr>
      <w:r>
        <w:tab/>
        <w:t>[</w:t>
      </w:r>
      <w:r>
        <w:rPr>
          <w:snapToGrid w:val="0"/>
        </w:rPr>
        <w:t>Heading</w:t>
      </w:r>
      <w:r>
        <w:t xml:space="preserve"> inserted in Gazette 4 Mar 2003 p. 716.]</w:t>
      </w:r>
    </w:p>
    <w:p>
      <w:pPr>
        <w:pStyle w:val="yHeading5"/>
      </w:pPr>
      <w:bookmarkStart w:id="510" w:name="_Toc398890178"/>
      <w:bookmarkStart w:id="511" w:name="_Toc424284613"/>
      <w:r>
        <w:rPr>
          <w:rStyle w:val="CharSClsNo"/>
        </w:rPr>
        <w:t>15</w:t>
      </w:r>
      <w:r>
        <w:t>.</w:t>
      </w:r>
      <w:r>
        <w:tab/>
        <w:t>Audit opinion</w:t>
      </w:r>
      <w:r>
        <w:br/>
      </w:r>
      <w:r>
        <w:rPr>
          <w:i/>
        </w:rPr>
        <w:t>(cf. Corporations Act s. 307)</w:t>
      </w:r>
      <w:bookmarkEnd w:id="510"/>
      <w:bookmarkEnd w:id="511"/>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r>
      <w:r>
        <w:tab/>
        <w:t>and</w:t>
      </w:r>
    </w:p>
    <w:p>
      <w:pPr>
        <w:pStyle w:val="yIndenta"/>
      </w:pPr>
      <w:r>
        <w:tab/>
        <w:t>(b)</w:t>
      </w:r>
      <w:r>
        <w:tab/>
        <w:t>whether he or she has been given all information, explanation and assistance necessary for the conduct of the audit; and</w:t>
      </w:r>
    </w:p>
    <w:p>
      <w:pPr>
        <w:pStyle w:val="yIndenta"/>
      </w:pPr>
      <w:r>
        <w:tab/>
        <w:t>(c)</w:t>
      </w:r>
      <w:r>
        <w:tab/>
        <w:t>whether the port authority has kept financial records sufficient to enable a financial report to be prepared and audited; and</w:t>
      </w:r>
    </w:p>
    <w:p>
      <w:pPr>
        <w:pStyle w:val="yIndenta"/>
        <w:keepNext/>
      </w:pPr>
      <w:r>
        <w:tab/>
        <w:t>(d)</w:t>
      </w:r>
      <w:r>
        <w:tab/>
        <w:t>whether the port authority has kept other records and registers as required by this Schedule.</w:t>
      </w:r>
    </w:p>
    <w:p>
      <w:pPr>
        <w:pStyle w:val="yFootnotesection"/>
      </w:pPr>
      <w:r>
        <w:tab/>
        <w:t>[</w:t>
      </w:r>
      <w:r>
        <w:rPr>
          <w:snapToGrid/>
        </w:rPr>
        <w:t>Clause </w:t>
      </w:r>
      <w:r>
        <w:t>1</w:t>
      </w:r>
      <w:r>
        <w:rPr>
          <w:i w:val="0"/>
        </w:rPr>
        <w:t>5</w:t>
      </w:r>
      <w:r>
        <w:rPr>
          <w:snapToGrid/>
        </w:rPr>
        <w:t> inserted in Gazette 4 Mar 2003 p. 71</w:t>
      </w:r>
      <w:r>
        <w:t>6</w:t>
      </w:r>
      <w:r>
        <w:rPr>
          <w:snapToGrid/>
        </w:rPr>
        <w:t>.]</w:t>
      </w:r>
    </w:p>
    <w:p>
      <w:pPr>
        <w:pStyle w:val="yHeading5"/>
      </w:pPr>
      <w:bookmarkStart w:id="512" w:name="_Toc398890179"/>
      <w:bookmarkStart w:id="513" w:name="_Toc424284614"/>
      <w:r>
        <w:rPr>
          <w:rStyle w:val="CharSClsNo"/>
        </w:rPr>
        <w:t>16</w:t>
      </w:r>
      <w:r>
        <w:t>.</w:t>
      </w:r>
      <w:r>
        <w:tab/>
        <w:t>Auditor General’s report on annual financial report</w:t>
      </w:r>
      <w:r>
        <w:br/>
      </w:r>
      <w:r>
        <w:rPr>
          <w:i/>
        </w:rPr>
        <w:t>(cf. Corporations Act s. 308)</w:t>
      </w:r>
      <w:bookmarkEnd w:id="512"/>
      <w:bookmarkEnd w:id="513"/>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w:t>
      </w:r>
      <w:r>
        <w:rPr>
          <w:snapToGrid/>
        </w:rPr>
        <w:t>Clause </w:t>
      </w:r>
      <w:r>
        <w:t>16</w:t>
      </w:r>
      <w:r>
        <w:rPr>
          <w:snapToGrid/>
        </w:rPr>
        <w:t> inserted in Gazette 4 Mar 2003 p. 71</w:t>
      </w:r>
      <w:r>
        <w:t>7</w:t>
      </w:r>
      <w:r>
        <w:rPr>
          <w:snapToGrid/>
        </w:rPr>
        <w:t>.]</w:t>
      </w:r>
    </w:p>
    <w:p>
      <w:pPr>
        <w:pStyle w:val="yHeading5"/>
      </w:pPr>
      <w:bookmarkStart w:id="514" w:name="_Toc398890180"/>
      <w:bookmarkStart w:id="515" w:name="_Toc424284615"/>
      <w:r>
        <w:rPr>
          <w:rStyle w:val="CharSClsNo"/>
        </w:rPr>
        <w:t>17</w:t>
      </w:r>
      <w:r>
        <w:t>.</w:t>
      </w:r>
      <w:r>
        <w:tab/>
        <w:t>Auditor General’s power to obtain information</w:t>
      </w:r>
      <w:r>
        <w:br/>
      </w:r>
      <w:r>
        <w:rPr>
          <w:i/>
        </w:rPr>
        <w:t>(cf. Corporations Act s. 310)</w:t>
      </w:r>
      <w:bookmarkEnd w:id="514"/>
      <w:bookmarkEnd w:id="515"/>
    </w:p>
    <w:p>
      <w:pPr>
        <w:pStyle w:val="ySubsection"/>
      </w:pPr>
      <w:r>
        <w:tab/>
      </w:r>
      <w:r>
        <w:tab/>
        <w:t xml:space="preserve">The Auditor General — </w:t>
      </w:r>
    </w:p>
    <w:p>
      <w:pPr>
        <w:pStyle w:val="yIndenta"/>
      </w:pPr>
      <w:r>
        <w:tab/>
        <w:t>(a)</w:t>
      </w:r>
      <w:r>
        <w:tab/>
        <w:t>has a right of access at all reasonable times to the books of the port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w:t>
      </w:r>
      <w:r>
        <w:rPr>
          <w:snapToGrid/>
        </w:rPr>
        <w:t>Clause </w:t>
      </w:r>
      <w:r>
        <w:t>17</w:t>
      </w:r>
      <w:r>
        <w:rPr>
          <w:snapToGrid/>
        </w:rPr>
        <w:t> inserted in Gazette 4 Mar 2003 p. 71</w:t>
      </w:r>
      <w:r>
        <w:t>7</w:t>
      </w:r>
      <w:r>
        <w:rPr>
          <w:snapToGrid/>
        </w:rPr>
        <w:t>.]</w:t>
      </w:r>
    </w:p>
    <w:p>
      <w:pPr>
        <w:pStyle w:val="yHeading5"/>
        <w:spacing w:before="240"/>
      </w:pPr>
      <w:bookmarkStart w:id="516" w:name="_Toc398890181"/>
      <w:bookmarkStart w:id="517" w:name="_Toc424284616"/>
      <w:r>
        <w:rPr>
          <w:rStyle w:val="CharSClsNo"/>
        </w:rPr>
        <w:t>18</w:t>
      </w:r>
      <w:r>
        <w:t>.</w:t>
      </w:r>
      <w:r>
        <w:tab/>
        <w:t>Assisting Auditor General</w:t>
      </w:r>
      <w:r>
        <w:br/>
      </w:r>
      <w:r>
        <w:rPr>
          <w:i/>
        </w:rPr>
        <w:t>(cf. Corporations Act s. 312)</w:t>
      </w:r>
      <w:bookmarkEnd w:id="516"/>
      <w:bookmarkEnd w:id="517"/>
    </w:p>
    <w:p>
      <w:pPr>
        <w:pStyle w:val="ySubsection"/>
      </w:pPr>
      <w:r>
        <w:tab/>
      </w:r>
      <w:r>
        <w:tab/>
        <w:t xml:space="preserve">An officer of the port authority must — </w:t>
      </w:r>
    </w:p>
    <w:p>
      <w:pPr>
        <w:pStyle w:val="yIndenta"/>
      </w:pPr>
      <w:r>
        <w:tab/>
        <w:t>(a)</w:t>
      </w:r>
      <w:r>
        <w:tab/>
        <w:t>allow the Auditor General access to the books of the port authority; and</w:t>
      </w:r>
    </w:p>
    <w:p>
      <w:pPr>
        <w:pStyle w:val="yIndenta"/>
      </w:pPr>
      <w:r>
        <w:tab/>
        <w:t>(b)</w:t>
      </w:r>
      <w:r>
        <w:tab/>
        <w:t>give the Auditor General any information, explanation or assistance required under clause 17.</w:t>
      </w:r>
    </w:p>
    <w:p>
      <w:pPr>
        <w:pStyle w:val="yFootnotesection"/>
      </w:pPr>
      <w:r>
        <w:tab/>
        <w:t>[</w:t>
      </w:r>
      <w:r>
        <w:rPr>
          <w:snapToGrid/>
        </w:rPr>
        <w:t>Clause </w:t>
      </w:r>
      <w:r>
        <w:t>18</w:t>
      </w:r>
      <w:r>
        <w:rPr>
          <w:snapToGrid/>
        </w:rPr>
        <w:t> inserted in Gazette 4 Mar 2003 p. 71</w:t>
      </w:r>
      <w:r>
        <w:t>7</w:t>
      </w:r>
      <w:r>
        <w:rPr>
          <w:snapToGrid/>
        </w:rPr>
        <w:t>.]</w:t>
      </w:r>
    </w:p>
    <w:p>
      <w:pPr>
        <w:pStyle w:val="yHeading4"/>
        <w:outlineLvl w:val="0"/>
      </w:pPr>
      <w:bookmarkStart w:id="518" w:name="_Toc398890182"/>
      <w:bookmarkStart w:id="519" w:name="_Toc424284617"/>
      <w:r>
        <w:t>Subdivision 3 — Special provisions about consolidated financial statements</w:t>
      </w:r>
      <w:bookmarkEnd w:id="518"/>
      <w:bookmarkEnd w:id="519"/>
    </w:p>
    <w:p>
      <w:pPr>
        <w:pStyle w:val="yFootnoteheading"/>
      </w:pPr>
      <w:r>
        <w:tab/>
        <w:t>[Heading inserted in Gazette 4 Mar 2003 p. 717.]</w:t>
      </w:r>
    </w:p>
    <w:p>
      <w:pPr>
        <w:pStyle w:val="yHeading5"/>
      </w:pPr>
      <w:bookmarkStart w:id="520" w:name="_Toc398890183"/>
      <w:bookmarkStart w:id="521" w:name="_Toc424284618"/>
      <w:r>
        <w:rPr>
          <w:rStyle w:val="CharSClsNo"/>
        </w:rPr>
        <w:t>19</w:t>
      </w:r>
      <w:r>
        <w:t>.</w:t>
      </w:r>
      <w:r>
        <w:tab/>
        <w:t>Directors and officers of controlled entity to give information</w:t>
      </w:r>
      <w:r>
        <w:br/>
      </w:r>
      <w:r>
        <w:rPr>
          <w:i/>
        </w:rPr>
        <w:t>(cf. Corporations Act s. 323)</w:t>
      </w:r>
      <w:bookmarkEnd w:id="520"/>
      <w:bookmarkEnd w:id="521"/>
    </w:p>
    <w:p>
      <w:pPr>
        <w:pStyle w:val="ySubsection"/>
      </w:pPr>
      <w:r>
        <w:tab/>
      </w:r>
      <w:r>
        <w:tab/>
        <w:t>If a port authority has to prepare consolidated financial statements, a director or officer of a controlled entity must give the port authority all information requested that is necessary to prepare the consolidated financial statements and the notes to those statements.</w:t>
      </w:r>
    </w:p>
    <w:p>
      <w:pPr>
        <w:pStyle w:val="yFootnotesection"/>
      </w:pPr>
      <w:r>
        <w:tab/>
        <w:t>[</w:t>
      </w:r>
      <w:r>
        <w:rPr>
          <w:snapToGrid/>
        </w:rPr>
        <w:t>Clause </w:t>
      </w:r>
      <w:r>
        <w:t>19</w:t>
      </w:r>
      <w:r>
        <w:rPr>
          <w:snapToGrid/>
        </w:rPr>
        <w:t> inserted in Gazette 4 Mar 2003 p. 71</w:t>
      </w:r>
      <w:r>
        <w:t>7</w:t>
      </w:r>
      <w:r>
        <w:noBreakHyphen/>
        <w:t>18</w:t>
      </w:r>
      <w:r>
        <w:rPr>
          <w:snapToGrid/>
        </w:rPr>
        <w:t>.]</w:t>
      </w:r>
    </w:p>
    <w:p>
      <w:pPr>
        <w:pStyle w:val="yHeading5"/>
      </w:pPr>
      <w:bookmarkStart w:id="522" w:name="_Toc398890184"/>
      <w:bookmarkStart w:id="523" w:name="_Toc424284619"/>
      <w:r>
        <w:rPr>
          <w:rStyle w:val="CharSClsNo"/>
        </w:rPr>
        <w:t>20</w:t>
      </w:r>
      <w:r>
        <w:t>.</w:t>
      </w:r>
      <w:r>
        <w:tab/>
        <w:t>Auditor General’s power to obtain information from controlled entity</w:t>
      </w:r>
      <w:r>
        <w:br/>
      </w:r>
      <w:r>
        <w:rPr>
          <w:i/>
        </w:rPr>
        <w:t>(cf. Corporations Act s. 323A)</w:t>
      </w:r>
      <w:bookmarkEnd w:id="522"/>
      <w:bookmarkEnd w:id="523"/>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port authority.</w:t>
      </w:r>
    </w:p>
    <w:p>
      <w:pPr>
        <w:pStyle w:val="yFootnotesection"/>
        <w:rPr>
          <w:snapToGrid/>
        </w:rPr>
      </w:pPr>
      <w:r>
        <w:tab/>
        <w:t>[</w:t>
      </w:r>
      <w:r>
        <w:rPr>
          <w:snapToGrid/>
        </w:rPr>
        <w:t>Clause 20 inserted in Gazette 4 Mar 2003 p. 718.]</w:t>
      </w:r>
    </w:p>
    <w:p>
      <w:pPr>
        <w:pStyle w:val="yHeading5"/>
      </w:pPr>
      <w:bookmarkStart w:id="524" w:name="_Toc398890185"/>
      <w:bookmarkStart w:id="525" w:name="_Toc424284620"/>
      <w:r>
        <w:rPr>
          <w:rStyle w:val="CharSClsNo"/>
        </w:rPr>
        <w:t>21</w:t>
      </w:r>
      <w:r>
        <w:t>.</w:t>
      </w:r>
      <w:r>
        <w:tab/>
        <w:t>Controlled entity to assist the Auditor General</w:t>
      </w:r>
      <w:r>
        <w:br/>
      </w:r>
      <w:r>
        <w:rPr>
          <w:i/>
        </w:rPr>
        <w:t>(cf. Corporations Act s. 323B)</w:t>
      </w:r>
      <w:bookmarkEnd w:id="524"/>
      <w:bookmarkEnd w:id="525"/>
    </w:p>
    <w:p>
      <w:pPr>
        <w:pStyle w:val="ySubsection"/>
      </w:pPr>
      <w:r>
        <w:tab/>
      </w:r>
      <w:r>
        <w:tab/>
        <w:t xml:space="preserve">If a port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Footnotesection"/>
      </w:pPr>
      <w:r>
        <w:tab/>
        <w:t>[</w:t>
      </w:r>
      <w:r>
        <w:rPr>
          <w:snapToGrid/>
        </w:rPr>
        <w:t>Clause 21 inserted in Gazette 4 Mar 2003 p. 718.]</w:t>
      </w:r>
    </w:p>
    <w:p>
      <w:pPr>
        <w:pStyle w:val="yHeading5"/>
        <w:spacing w:before="180"/>
      </w:pPr>
      <w:bookmarkStart w:id="526" w:name="_Toc398890186"/>
      <w:bookmarkStart w:id="527" w:name="_Toc424284621"/>
      <w:r>
        <w:rPr>
          <w:rStyle w:val="CharSClsNo"/>
        </w:rPr>
        <w:t>22</w:t>
      </w:r>
      <w:r>
        <w:t>.</w:t>
      </w:r>
      <w:r>
        <w:tab/>
        <w:t>Application of cl. 19 to 21 to entity that has ceased to be controlled</w:t>
      </w:r>
      <w:r>
        <w:br/>
      </w:r>
      <w:r>
        <w:rPr>
          <w:i/>
        </w:rPr>
        <w:t>(cf. Corporations Act s. 323C)</w:t>
      </w:r>
      <w:bookmarkEnd w:id="526"/>
      <w:bookmarkEnd w:id="527"/>
    </w:p>
    <w:p>
      <w:pPr>
        <w:pStyle w:val="ySubsection"/>
      </w:pPr>
      <w:r>
        <w:tab/>
      </w:r>
      <w:r>
        <w:tab/>
        <w:t>Clauses 19, 20 and 21 apply to the preparation or audit of a financial report that covers a controlled entity even if the entity is no longer controlled by the port authority concerned when its financial report is being prepared or audited.</w:t>
      </w:r>
    </w:p>
    <w:p>
      <w:pPr>
        <w:pStyle w:val="yFootnotesection"/>
      </w:pPr>
      <w:r>
        <w:tab/>
        <w:t>[</w:t>
      </w:r>
      <w:r>
        <w:rPr>
          <w:snapToGrid/>
        </w:rPr>
        <w:t>Clause 22  inserted in Gazette 4 Mar 2003 p. 718.]</w:t>
      </w:r>
    </w:p>
    <w:p>
      <w:pPr>
        <w:pStyle w:val="yHeading4"/>
        <w:outlineLvl w:val="9"/>
      </w:pPr>
      <w:bookmarkStart w:id="528" w:name="_Toc398890187"/>
      <w:bookmarkStart w:id="529" w:name="_Toc424284622"/>
      <w:r>
        <w:t>Subdivision 4 — Financial years of a port authority and the entities it controls</w:t>
      </w:r>
      <w:bookmarkEnd w:id="528"/>
      <w:bookmarkEnd w:id="529"/>
    </w:p>
    <w:p>
      <w:pPr>
        <w:pStyle w:val="yFootnoteheading"/>
        <w:ind w:firstLine="879"/>
      </w:pPr>
      <w:r>
        <w:rPr>
          <w:snapToGrid w:val="0"/>
        </w:rPr>
        <w:t>[</w:t>
      </w:r>
      <w:r>
        <w:t>Heading inserted in Gazette 4 Mar 2003 p. 718.]</w:t>
      </w:r>
    </w:p>
    <w:p>
      <w:pPr>
        <w:pStyle w:val="yHeading5"/>
        <w:spacing w:before="180"/>
      </w:pPr>
      <w:bookmarkStart w:id="530" w:name="_Toc398890188"/>
      <w:bookmarkStart w:id="531" w:name="_Toc424284623"/>
      <w:r>
        <w:rPr>
          <w:rStyle w:val="CharSClsNo"/>
        </w:rPr>
        <w:t>23</w:t>
      </w:r>
      <w:r>
        <w:t>.</w:t>
      </w:r>
      <w:r>
        <w:tab/>
        <w:t>Financial years</w:t>
      </w:r>
      <w:r>
        <w:br/>
      </w:r>
      <w:r>
        <w:rPr>
          <w:i/>
        </w:rPr>
        <w:t>(cf. Corporations Act s. 323D)</w:t>
      </w:r>
      <w:bookmarkEnd w:id="530"/>
      <w:bookmarkEnd w:id="531"/>
    </w:p>
    <w:p>
      <w:pPr>
        <w:pStyle w:val="ySubsection"/>
      </w:pPr>
      <w:r>
        <w:tab/>
        <w:t>(1)</w:t>
      </w:r>
      <w:r>
        <w:tab/>
        <w:t>The financial year of a port authority is the 12 month period ending on 30 June.</w:t>
      </w:r>
    </w:p>
    <w:p>
      <w:pPr>
        <w:pStyle w:val="ySubsection"/>
      </w:pPr>
      <w:r>
        <w:tab/>
        <w:t>(2)</w:t>
      </w:r>
      <w:r>
        <w:tab/>
        <w:t>Where a port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w:t>
      </w:r>
      <w:r>
        <w:rPr>
          <w:snapToGrid/>
        </w:rPr>
        <w:t>Clause 2</w:t>
      </w:r>
      <w:r>
        <w:t>3</w:t>
      </w:r>
      <w:r>
        <w:rPr>
          <w:snapToGrid/>
        </w:rPr>
        <w:t> inserted in Gazette 4 Mar 2003 p. 718.]</w:t>
      </w:r>
    </w:p>
    <w:p>
      <w:pPr>
        <w:pStyle w:val="yHeading3"/>
        <w:outlineLvl w:val="0"/>
      </w:pPr>
      <w:bookmarkStart w:id="532" w:name="_Toc398890189"/>
      <w:bookmarkStart w:id="533" w:name="_Toc424284624"/>
      <w:r>
        <w:rPr>
          <w:rStyle w:val="CharSDivNo"/>
        </w:rPr>
        <w:t>Division 4</w:t>
      </w:r>
      <w:r>
        <w:t xml:space="preserve"> — </w:t>
      </w:r>
      <w:r>
        <w:rPr>
          <w:rStyle w:val="CharSDivText"/>
        </w:rPr>
        <w:t>Accounting standards</w:t>
      </w:r>
      <w:bookmarkEnd w:id="532"/>
      <w:bookmarkEnd w:id="533"/>
    </w:p>
    <w:p>
      <w:pPr>
        <w:pStyle w:val="yFootnoteheading"/>
      </w:pPr>
      <w:r>
        <w:tab/>
        <w:t>[Heading inserted in Gazette 4 Mar 2003 p. 719.]</w:t>
      </w:r>
    </w:p>
    <w:p>
      <w:pPr>
        <w:pStyle w:val="yHeading5"/>
        <w:spacing w:before="180"/>
      </w:pPr>
      <w:bookmarkStart w:id="534" w:name="_Toc398890190"/>
      <w:bookmarkStart w:id="535" w:name="_Toc424284625"/>
      <w:r>
        <w:rPr>
          <w:rStyle w:val="CharSClsNo"/>
        </w:rPr>
        <w:t>24</w:t>
      </w:r>
      <w:r>
        <w:t>.</w:t>
      </w:r>
      <w:r>
        <w:tab/>
        <w:t>Accounting standards</w:t>
      </w:r>
      <w:r>
        <w:br/>
      </w:r>
      <w:r>
        <w:rPr>
          <w:i/>
        </w:rPr>
        <w:t>(cf. Corporations Act s. 334)</w:t>
      </w:r>
      <w:bookmarkEnd w:id="534"/>
      <w:bookmarkEnd w:id="535"/>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port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pPr>
      <w:r>
        <w:tab/>
        <w:t>[</w:t>
      </w:r>
      <w:r>
        <w:rPr>
          <w:snapToGrid/>
        </w:rPr>
        <w:t>Clause 2</w:t>
      </w:r>
      <w:r>
        <w:t>4</w:t>
      </w:r>
      <w:r>
        <w:rPr>
          <w:snapToGrid/>
        </w:rPr>
        <w:t> inserted in Gazette 4 Mar 2003 p. 71</w:t>
      </w:r>
      <w:r>
        <w:t>9</w:t>
      </w:r>
      <w:r>
        <w:rPr>
          <w:snapToGrid/>
        </w:rPr>
        <w:t>.]</w:t>
      </w:r>
    </w:p>
    <w:p>
      <w:pPr>
        <w:pStyle w:val="yHeading5"/>
      </w:pPr>
      <w:bookmarkStart w:id="536" w:name="_Toc398890191"/>
      <w:bookmarkStart w:id="537" w:name="_Toc424284626"/>
      <w:r>
        <w:rPr>
          <w:rStyle w:val="CharSClsNo"/>
        </w:rPr>
        <w:t>25</w:t>
      </w:r>
      <w:r>
        <w:t>.</w:t>
      </w:r>
      <w:r>
        <w:tab/>
        <w:t>Equity accounting</w:t>
      </w:r>
      <w:r>
        <w:br/>
      </w:r>
      <w:r>
        <w:rPr>
          <w:i/>
        </w:rPr>
        <w:t>(cf. Corporations Act s. 335)</w:t>
      </w:r>
      <w:bookmarkEnd w:id="536"/>
      <w:bookmarkEnd w:id="537"/>
    </w:p>
    <w:p>
      <w:pPr>
        <w:pStyle w:val="ySubsection"/>
      </w:pPr>
      <w:r>
        <w:tab/>
      </w:r>
      <w:r>
        <w:tab/>
        <w:t>This Schedule (and, in particular, the provisions on consolidation of financial statements) does not prevent accounting standards from incorporating equity accounting principles.</w:t>
      </w:r>
    </w:p>
    <w:p>
      <w:pPr>
        <w:pStyle w:val="yFootnotesection"/>
      </w:pPr>
      <w:r>
        <w:tab/>
        <w:t>[</w:t>
      </w:r>
      <w:r>
        <w:rPr>
          <w:snapToGrid/>
        </w:rPr>
        <w:t>Clause 2</w:t>
      </w:r>
      <w:r>
        <w:t>5</w:t>
      </w:r>
      <w:r>
        <w:rPr>
          <w:snapToGrid/>
        </w:rPr>
        <w:t> inserted in Gazette 4 Mar 2003 p. 71</w:t>
      </w:r>
      <w:r>
        <w:t>9</w:t>
      </w:r>
      <w:r>
        <w:rPr>
          <w:snapToGrid/>
        </w:rPr>
        <w:t>.]</w:t>
      </w:r>
    </w:p>
    <w:p>
      <w:pPr>
        <w:pStyle w:val="yHeading5"/>
      </w:pPr>
      <w:bookmarkStart w:id="538" w:name="_Toc398890192"/>
      <w:bookmarkStart w:id="539" w:name="_Toc424284627"/>
      <w:r>
        <w:rPr>
          <w:rStyle w:val="CharSClsNo"/>
        </w:rPr>
        <w:t>26</w:t>
      </w:r>
      <w:r>
        <w:t>.</w:t>
      </w:r>
      <w:r>
        <w:tab/>
        <w:t>Interpretation of accounting standards</w:t>
      </w:r>
      <w:r>
        <w:br/>
      </w:r>
      <w:r>
        <w:rPr>
          <w:i/>
        </w:rPr>
        <w:t>(cf. Corporations Act s. 337)</w:t>
      </w:r>
      <w:bookmarkEnd w:id="538"/>
      <w:bookmarkEnd w:id="539"/>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Footnotesection"/>
      </w:pPr>
      <w:r>
        <w:tab/>
        <w:t>[</w:t>
      </w:r>
      <w:r>
        <w:rPr>
          <w:snapToGrid/>
        </w:rPr>
        <w:t>Clause 2</w:t>
      </w:r>
      <w:r>
        <w:t>6</w:t>
      </w:r>
      <w:r>
        <w:rPr>
          <w:snapToGrid/>
        </w:rPr>
        <w:t> inserted in Gazette 4 Mar 2003 p. 71</w:t>
      </w:r>
      <w:r>
        <w:t>9</w:t>
      </w:r>
      <w:r>
        <w:rPr>
          <w:snapToGrid/>
        </w:rPr>
        <w:t>.]</w:t>
      </w:r>
    </w:p>
    <w:p>
      <w:pPr>
        <w:pStyle w:val="yHeading5"/>
        <w:spacing w:before="180"/>
      </w:pPr>
      <w:bookmarkStart w:id="540" w:name="_Toc398890193"/>
      <w:bookmarkStart w:id="541" w:name="_Toc424284628"/>
      <w:r>
        <w:rPr>
          <w:rStyle w:val="CharSClsNo"/>
        </w:rPr>
        <w:t>27</w:t>
      </w:r>
      <w:r>
        <w:t>.</w:t>
      </w:r>
      <w:r>
        <w:tab/>
        <w:t>Evidence of text of accounting standard</w:t>
      </w:r>
      <w:bookmarkEnd w:id="540"/>
      <w:bookmarkEnd w:id="541"/>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keepNext/>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pPr>
      <w:r>
        <w:tab/>
        <w:t>[</w:t>
      </w:r>
      <w:r>
        <w:rPr>
          <w:snapToGrid/>
        </w:rPr>
        <w:t>Clause 2</w:t>
      </w:r>
      <w:r>
        <w:t>7</w:t>
      </w:r>
      <w:r>
        <w:rPr>
          <w:snapToGrid/>
        </w:rPr>
        <w:t> inserted in Gazette 4 Mar 2003 p. 719.]</w:t>
      </w:r>
    </w:p>
    <w:p>
      <w:pPr>
        <w:pStyle w:val="yHeading3"/>
        <w:outlineLvl w:val="0"/>
      </w:pPr>
      <w:bookmarkStart w:id="542" w:name="_Toc398890194"/>
      <w:bookmarkStart w:id="543" w:name="_Toc424284629"/>
      <w:r>
        <w:rPr>
          <w:rStyle w:val="CharSDivNo"/>
        </w:rPr>
        <w:t>Division 5</w:t>
      </w:r>
      <w:r>
        <w:t xml:space="preserve"> — </w:t>
      </w:r>
      <w:r>
        <w:rPr>
          <w:rStyle w:val="CharSDivText"/>
        </w:rPr>
        <w:t>Extension of time</w:t>
      </w:r>
      <w:bookmarkEnd w:id="542"/>
      <w:bookmarkEnd w:id="543"/>
    </w:p>
    <w:p>
      <w:pPr>
        <w:pStyle w:val="yFootnotesection"/>
      </w:pPr>
      <w:r>
        <w:tab/>
        <w:t>[Heading</w:t>
      </w:r>
      <w:r>
        <w:rPr>
          <w:snapToGrid/>
        </w:rPr>
        <w:t> inserted in Gazette 4 Mar 2003 p. 7</w:t>
      </w:r>
      <w:r>
        <w:t>20</w:t>
      </w:r>
      <w:r>
        <w:rPr>
          <w:snapToGrid/>
        </w:rPr>
        <w:t>.]</w:t>
      </w:r>
    </w:p>
    <w:p>
      <w:pPr>
        <w:pStyle w:val="yHeading5"/>
        <w:spacing w:before="180"/>
      </w:pPr>
      <w:bookmarkStart w:id="544" w:name="_Toc398890195"/>
      <w:bookmarkStart w:id="545" w:name="_Toc424284630"/>
      <w:r>
        <w:rPr>
          <w:rStyle w:val="CharSClsNo"/>
        </w:rPr>
        <w:t>28</w:t>
      </w:r>
      <w:r>
        <w:t>.</w:t>
      </w:r>
      <w:r>
        <w:tab/>
        <w:t>Extension of time</w:t>
      </w:r>
      <w:bookmarkEnd w:id="544"/>
      <w:bookmarkEnd w:id="545"/>
    </w:p>
    <w:p>
      <w:pPr>
        <w:pStyle w:val="ySubsection"/>
        <w:spacing w:before="120"/>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spacing w:before="120"/>
      </w:pPr>
      <w:r>
        <w:tab/>
        <w:t>(2)</w:t>
      </w:r>
      <w:r>
        <w:tab/>
        <w:t>Where the Minister grants an extension of time under subclause (1), the provisions of clause 33(6), apply to the memorandum evidencing the extension as if it were an order under clause 33(1).</w:t>
      </w:r>
    </w:p>
    <w:p>
      <w:pPr>
        <w:pStyle w:val="yFootnotesection"/>
        <w:spacing w:before="80"/>
      </w:pPr>
      <w:r>
        <w:tab/>
        <w:t>[Clause 28 inserted in Gazette 4 Mar 2003 p. 720.]</w:t>
      </w:r>
    </w:p>
    <w:p>
      <w:pPr>
        <w:pStyle w:val="yHeading3"/>
        <w:keepLines/>
        <w:outlineLvl w:val="0"/>
      </w:pPr>
      <w:bookmarkStart w:id="546" w:name="_Toc398890196"/>
      <w:bookmarkStart w:id="547" w:name="_Toc424284631"/>
      <w:r>
        <w:rPr>
          <w:rStyle w:val="CharSDivNo"/>
        </w:rPr>
        <w:t>Division 6</w:t>
      </w:r>
      <w:r>
        <w:t xml:space="preserve"> — </w:t>
      </w:r>
      <w:r>
        <w:rPr>
          <w:rStyle w:val="CharSDivText"/>
        </w:rPr>
        <w:t>Sanctions for contraventions of this Schedule</w:t>
      </w:r>
      <w:bookmarkEnd w:id="546"/>
      <w:bookmarkEnd w:id="547"/>
    </w:p>
    <w:p>
      <w:pPr>
        <w:pStyle w:val="yFootnoteheading"/>
        <w:keepNext/>
        <w:keepLines/>
      </w:pPr>
      <w:r>
        <w:tab/>
        <w:t>[Heading inserted in Gazette 4 Mar 2003 p. 720.]</w:t>
      </w:r>
    </w:p>
    <w:p>
      <w:pPr>
        <w:pStyle w:val="yHeading5"/>
      </w:pPr>
      <w:bookmarkStart w:id="548" w:name="_Toc398890197"/>
      <w:bookmarkStart w:id="549" w:name="_Toc424284632"/>
      <w:r>
        <w:rPr>
          <w:rStyle w:val="CharSClsNo"/>
        </w:rPr>
        <w:t>29</w:t>
      </w:r>
      <w:r>
        <w:t>.</w:t>
      </w:r>
      <w:r>
        <w:tab/>
        <w:t>Contravention of Div. 2 and 3</w:t>
      </w:r>
      <w:r>
        <w:br/>
      </w:r>
      <w:r>
        <w:rPr>
          <w:i/>
        </w:rPr>
        <w:t>(cf. Corporations Act s. 344)</w:t>
      </w:r>
      <w:bookmarkEnd w:id="548"/>
      <w:bookmarkEnd w:id="549"/>
    </w:p>
    <w:p>
      <w:pPr>
        <w:pStyle w:val="ySubsection"/>
      </w:pPr>
      <w:r>
        <w:tab/>
        <w:t>(1)</w:t>
      </w:r>
      <w:r>
        <w:tab/>
        <w:t>A director of a port authority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(b) does not apply, $5 000; or</w:t>
      </w:r>
    </w:p>
    <w:p>
      <w:pPr>
        <w:pStyle w:val="yIndenta"/>
      </w:pPr>
      <w:r>
        <w:tab/>
        <w:t>(b)</w:t>
      </w:r>
      <w:r>
        <w:tab/>
        <w:t>if the offence was committed with intent to deceive or defraud the Minister or the Treasurer or creditors of the port authority, $20 000 or imprisonment for 5 years or both.</w:t>
      </w:r>
    </w:p>
    <w:p>
      <w:pPr>
        <w:pStyle w:val="ySubsection"/>
      </w:pPr>
      <w:r>
        <w:tab/>
        <w:t>(3)</w:t>
      </w:r>
      <w:r>
        <w:tab/>
        <w:t>Subclause (1) does not apply to clause 17, 18, 20 or 21.</w:t>
      </w:r>
    </w:p>
    <w:p>
      <w:pPr>
        <w:pStyle w:val="yFootnotesection"/>
      </w:pPr>
      <w:r>
        <w:tab/>
        <w:t>[Clause 29</w:t>
      </w:r>
      <w:r>
        <w:rPr>
          <w:snapToGrid/>
        </w:rPr>
        <w:t> inserted in Gazette 4 Mar 2003 p. 7</w:t>
      </w:r>
      <w:r>
        <w:t>20</w:t>
      </w:r>
      <w:r>
        <w:rPr>
          <w:snapToGrid/>
        </w:rPr>
        <w:t>.]</w:t>
      </w:r>
    </w:p>
    <w:p>
      <w:pPr>
        <w:pStyle w:val="yHeading3"/>
        <w:outlineLvl w:val="0"/>
      </w:pPr>
      <w:bookmarkStart w:id="550" w:name="_Toc398890198"/>
      <w:bookmarkStart w:id="551" w:name="_Toc424284633"/>
      <w:r>
        <w:rPr>
          <w:rStyle w:val="CharSDivNo"/>
        </w:rPr>
        <w:t>Division 7</w:t>
      </w:r>
      <w:r>
        <w:t xml:space="preserve"> — </w:t>
      </w:r>
      <w:r>
        <w:rPr>
          <w:rStyle w:val="CharSDivText"/>
        </w:rPr>
        <w:t>Miscellaneous</w:t>
      </w:r>
      <w:bookmarkEnd w:id="550"/>
      <w:bookmarkEnd w:id="551"/>
    </w:p>
    <w:p>
      <w:pPr>
        <w:pStyle w:val="yFootnoteheading"/>
      </w:pPr>
      <w:r>
        <w:tab/>
        <w:t>[Heading inserted in Gazette 4 Mar 2003 p. 720.]</w:t>
      </w:r>
    </w:p>
    <w:p>
      <w:pPr>
        <w:pStyle w:val="yHeading5"/>
        <w:outlineLvl w:val="0"/>
      </w:pPr>
      <w:bookmarkStart w:id="552" w:name="_Toc398890199"/>
      <w:bookmarkStart w:id="553" w:name="_Toc424284634"/>
      <w:r>
        <w:rPr>
          <w:rStyle w:val="CharSClsNo"/>
        </w:rPr>
        <w:t>33</w:t>
      </w:r>
      <w:r>
        <w:t>.</w:t>
      </w:r>
      <w:r>
        <w:tab/>
        <w:t>Treasurer’s power to make specific exemption orders</w:t>
      </w:r>
      <w:r>
        <w:br/>
      </w:r>
      <w:r>
        <w:rPr>
          <w:i/>
        </w:rPr>
        <w:t>(cf. Corporations Act s. 340)</w:t>
      </w:r>
      <w:bookmarkEnd w:id="552"/>
      <w:bookmarkEnd w:id="553"/>
    </w:p>
    <w:p>
      <w:pPr>
        <w:pStyle w:val="ySubsection"/>
      </w:pPr>
      <w:r>
        <w:tab/>
        <w:t>(1)</w:t>
      </w:r>
      <w:r>
        <w:tab/>
        <w:t xml:space="preserve">On an application made in accordance with subclause (3) in relation to a port authority, the Treasurer may make an order in writing relieving any of the following from all or specified requirements of Divisions 2 and 3 — </w:t>
      </w:r>
    </w:p>
    <w:p>
      <w:pPr>
        <w:pStyle w:val="yIndenta"/>
      </w:pPr>
      <w:r>
        <w:tab/>
        <w:t>(a)</w:t>
      </w:r>
      <w:r>
        <w:tab/>
        <w:t>the directors;</w:t>
      </w:r>
    </w:p>
    <w:p>
      <w:pPr>
        <w:pStyle w:val="yIndenta"/>
        <w:keepNext/>
      </w:pPr>
      <w:r>
        <w:tab/>
        <w:t>(b)</w:t>
      </w:r>
      <w:r>
        <w:tab/>
        <w:t>the port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keepNext/>
      </w:pPr>
      <w:r>
        <w:tab/>
        <w:t>(3)</w:t>
      </w:r>
      <w:r>
        <w:tab/>
        <w:t xml:space="preserve">The application must be — </w:t>
      </w:r>
    </w:p>
    <w:p>
      <w:pPr>
        <w:pStyle w:val="yIndenta"/>
      </w:pPr>
      <w:r>
        <w:tab/>
        <w:t>(a)</w:t>
      </w:r>
      <w:r>
        <w:tab/>
        <w:t>authorised by a resolution of the directors; and</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port authority concerned written notice of the making, revocation or suspension of the order.</w:t>
      </w:r>
    </w:p>
    <w:p>
      <w:pPr>
        <w:pStyle w:val="ySubsection"/>
      </w:pPr>
      <w:r>
        <w:tab/>
        <w:t>(6)</w:t>
      </w:r>
      <w:r>
        <w:tab/>
        <w:t>If the Treasurer makes an order under subclause (1) the Treasurer is to cause the text of the order to be laid before each House of Parliament or dealt with under section 133 within 14 days after the order is made.</w:t>
      </w:r>
    </w:p>
    <w:p>
      <w:pPr>
        <w:pStyle w:val="yFootnotesection"/>
      </w:pPr>
      <w:r>
        <w:tab/>
        <w:t>[Clause 33 </w:t>
      </w:r>
      <w:r>
        <w:rPr>
          <w:snapToGrid/>
        </w:rPr>
        <w:t>inserted in Gazette 4 Mar 2003 p. 7</w:t>
      </w:r>
      <w:r>
        <w:t>20</w:t>
      </w:r>
      <w:r>
        <w:noBreakHyphen/>
        <w:t>1</w:t>
      </w:r>
      <w:r>
        <w:rPr>
          <w:snapToGrid/>
        </w:rPr>
        <w:t>.]</w:t>
      </w:r>
    </w:p>
    <w:p>
      <w:pPr>
        <w:pStyle w:val="yHeading5"/>
      </w:pPr>
      <w:bookmarkStart w:id="554" w:name="_Toc398890200"/>
      <w:bookmarkStart w:id="555" w:name="_Toc424284635"/>
      <w:r>
        <w:rPr>
          <w:rStyle w:val="CharSClsNo"/>
        </w:rPr>
        <w:t>33A</w:t>
      </w:r>
      <w:r>
        <w:t>.</w:t>
      </w:r>
      <w:r>
        <w:tab/>
        <w:t xml:space="preserve">Criteria for specific exemption orders and class orders  </w:t>
      </w:r>
      <w:r>
        <w:br/>
      </w:r>
      <w:r>
        <w:rPr>
          <w:i/>
        </w:rPr>
        <w:t>(cf. Corporations Act s. 342)</w:t>
      </w:r>
      <w:bookmarkEnd w:id="554"/>
      <w:bookmarkEnd w:id="555"/>
    </w:p>
    <w:p>
      <w:pPr>
        <w:pStyle w:val="ySubsection"/>
      </w:pPr>
      <w:r>
        <w:tab/>
      </w:r>
      <w:r>
        <w:tab/>
        <w:t xml:space="preserve">To make an order under clause 33, the Treasurer must be satisfied that complying with the relevant requirements of Divisions 2 and 3 would — </w:t>
      </w:r>
    </w:p>
    <w:p>
      <w:pPr>
        <w:pStyle w:val="yIndenta"/>
      </w:pPr>
      <w:r>
        <w:tab/>
        <w:t>(a)</w:t>
      </w:r>
      <w:r>
        <w:tab/>
        <w:t>make the financial report or other reports misleading; or</w:t>
      </w:r>
    </w:p>
    <w:p>
      <w:pPr>
        <w:pStyle w:val="yIndenta"/>
      </w:pPr>
      <w:r>
        <w:tab/>
        <w:t>(b)</w:t>
      </w:r>
      <w:r>
        <w:tab/>
        <w:t>be inappropriate in the circumstances; or</w:t>
      </w:r>
    </w:p>
    <w:p>
      <w:pPr>
        <w:pStyle w:val="yIndenta"/>
      </w:pPr>
      <w:r>
        <w:tab/>
        <w:t>(c)</w:t>
      </w:r>
      <w:r>
        <w:tab/>
        <w:t>impose unreasonable burdens.</w:t>
      </w:r>
    </w:p>
    <w:p>
      <w:pPr>
        <w:pStyle w:val="yFootnotesection"/>
      </w:pPr>
      <w:r>
        <w:tab/>
        <w:t>[Clause 33A </w:t>
      </w:r>
      <w:r>
        <w:rPr>
          <w:snapToGrid/>
        </w:rPr>
        <w:t>inserted in Gazette 4 Mar 2003 p. 7</w:t>
      </w:r>
      <w:r>
        <w:t>21</w:t>
      </w:r>
      <w:r>
        <w:rPr>
          <w:snapToGrid/>
        </w:rPr>
        <w:t>.]</w:t>
      </w:r>
    </w:p>
    <w:p>
      <w:pPr>
        <w:pStyle w:val="yHeading5"/>
        <w:outlineLvl w:val="0"/>
      </w:pPr>
      <w:bookmarkStart w:id="556" w:name="_Toc398890201"/>
      <w:bookmarkStart w:id="557" w:name="_Toc424284636"/>
      <w:r>
        <w:rPr>
          <w:rStyle w:val="CharSClsNo"/>
        </w:rPr>
        <w:t>34</w:t>
      </w:r>
      <w:r>
        <w:t>.</w:t>
      </w:r>
      <w:r>
        <w:tab/>
        <w:t>Deadline for reporting to Minister</w:t>
      </w:r>
      <w:r>
        <w:br/>
      </w:r>
      <w:r>
        <w:rPr>
          <w:i/>
        </w:rPr>
        <w:t>(cf. Corporations Act s. 315)</w:t>
      </w:r>
      <w:bookmarkEnd w:id="556"/>
      <w:bookmarkEnd w:id="557"/>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port authority must as soon as practicable but not later than the close of business on the prescribed day in each year send to the Minister a copy of the annual report required by section 68.</w:t>
      </w:r>
    </w:p>
    <w:p>
      <w:pPr>
        <w:pStyle w:val="yFootnotesection"/>
      </w:pPr>
      <w:r>
        <w:tab/>
        <w:t>[Clause 34 </w:t>
      </w:r>
      <w:r>
        <w:rPr>
          <w:snapToGrid/>
        </w:rPr>
        <w:t>inserted in Gazette 4 Mar 2003 p. 7</w:t>
      </w:r>
      <w:r>
        <w:t>21</w:t>
      </w:r>
      <w:r>
        <w:rPr>
          <w:snapToGrid/>
        </w:rPr>
        <w:t>.]</w:t>
      </w:r>
    </w:p>
    <w:p>
      <w:pPr>
        <w:pStyle w:val="yHeading5"/>
        <w:outlineLvl w:val="0"/>
      </w:pPr>
      <w:bookmarkStart w:id="558" w:name="_Toc398890202"/>
      <w:bookmarkStart w:id="559" w:name="_Toc424284637"/>
      <w:r>
        <w:rPr>
          <w:rStyle w:val="CharSClsNo"/>
        </w:rPr>
        <w:t>35</w:t>
      </w:r>
      <w:r>
        <w:t>.</w:t>
      </w:r>
      <w:r>
        <w:tab/>
        <w:t>Annual report to Minister, content of</w:t>
      </w:r>
      <w:r>
        <w:br/>
      </w:r>
      <w:r>
        <w:rPr>
          <w:i/>
        </w:rPr>
        <w:t>(cf. Corporations Act s. 314)</w:t>
      </w:r>
      <w:bookmarkEnd w:id="558"/>
      <w:bookmarkEnd w:id="559"/>
    </w:p>
    <w:p>
      <w:pPr>
        <w:pStyle w:val="ySubsection"/>
      </w:pPr>
      <w:r>
        <w:tab/>
      </w:r>
      <w:r>
        <w:tab/>
        <w:t xml:space="preserve">The annual report of a port authority under section 68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33.</w:t>
      </w:r>
    </w:p>
    <w:p>
      <w:pPr>
        <w:pStyle w:val="yFootnotesection"/>
      </w:pPr>
      <w:r>
        <w:tab/>
        <w:t>[Clause 35</w:t>
      </w:r>
      <w:r>
        <w:rPr>
          <w:snapToGrid/>
        </w:rPr>
        <w:t xml:space="preserve"> inserted in Gazette 4 Mar 2003 p. 7</w:t>
      </w:r>
      <w:r>
        <w:t>21</w:t>
      </w:r>
      <w:r>
        <w:rPr>
          <w:snapToGrid/>
        </w:rPr>
        <w:t>.]</w:t>
      </w:r>
    </w:p>
    <w:p>
      <w:pPr>
        <w:pStyle w:val="yHeading5"/>
        <w:outlineLvl w:val="0"/>
      </w:pPr>
      <w:bookmarkStart w:id="560" w:name="_Toc398890203"/>
      <w:bookmarkStart w:id="561" w:name="_Toc424284638"/>
      <w:r>
        <w:rPr>
          <w:rStyle w:val="CharSClsNo"/>
        </w:rPr>
        <w:t>37</w:t>
      </w:r>
      <w:r>
        <w:t>.</w:t>
      </w:r>
      <w:r>
        <w:tab/>
        <w:t>Audit, deadline for; interim report</w:t>
      </w:r>
      <w:bookmarkEnd w:id="560"/>
      <w:bookmarkEnd w:id="561"/>
    </w:p>
    <w:p>
      <w:pPr>
        <w:pStyle w:val="ySubsection"/>
      </w:pPr>
      <w:r>
        <w:tab/>
        <w:t>(1)</w:t>
      </w:r>
      <w:r>
        <w:tab/>
        <w:t>If the Auditor General cannot complete the audit of a port authority by 30 September in any year he or she is to submit an interim report to the Minister setting out the reasons for the inability to complete the audit by that date, and the Minister is to cause copies of the report to be laid before each House of Parliament or dealt with under section 133 within 14 sitting days after receiving that report.</w:t>
      </w:r>
    </w:p>
    <w:p>
      <w:pPr>
        <w:pStyle w:val="ySubsection"/>
        <w:keepNext/>
      </w:pPr>
      <w:r>
        <w:tab/>
        <w:t>(2)</w:t>
      </w:r>
      <w:r>
        <w:tab/>
        <w:t xml:space="preserve">Section 21 of the </w:t>
      </w:r>
      <w:r>
        <w:rPr>
          <w:i/>
        </w:rPr>
        <w:t>Auditor General Act 2006</w:t>
      </w:r>
      <w:r>
        <w:t xml:space="preserve"> applies to the audit of a port authority.</w:t>
      </w:r>
    </w:p>
    <w:p>
      <w:pPr>
        <w:pStyle w:val="yFootnotesection"/>
      </w:pPr>
      <w:r>
        <w:tab/>
        <w:t>[Clause 37 </w:t>
      </w:r>
      <w:r>
        <w:rPr>
          <w:snapToGrid/>
        </w:rPr>
        <w:t>inserted in Gazette 4 Mar 2003 p. 7</w:t>
      </w:r>
      <w:r>
        <w:t>21; amended by No. 77 of 2006 Sch. 1 cl. 131(5)</w:t>
      </w:r>
      <w:r>
        <w:rPr>
          <w:snapToGrid/>
        </w:rPr>
        <w:t>.]</w:t>
      </w:r>
    </w:p>
    <w:p>
      <w:pPr>
        <w:pStyle w:val="yHeading5"/>
        <w:outlineLvl w:val="0"/>
      </w:pPr>
      <w:bookmarkStart w:id="562" w:name="_Toc398890204"/>
      <w:bookmarkStart w:id="563" w:name="_Toc424284639"/>
      <w:r>
        <w:rPr>
          <w:rStyle w:val="CharSClsNo"/>
        </w:rPr>
        <w:t>44</w:t>
      </w:r>
      <w:r>
        <w:t>.</w:t>
      </w:r>
      <w:r>
        <w:tab/>
        <w:t>Auditor General, duties and powers of</w:t>
      </w:r>
      <w:bookmarkEnd w:id="562"/>
      <w:bookmarkEnd w:id="563"/>
    </w:p>
    <w:p>
      <w:pPr>
        <w:pStyle w:val="ySubsection"/>
      </w:pPr>
      <w:r>
        <w:tab/>
        <w:t>(1)</w:t>
      </w:r>
      <w:r>
        <w:tab/>
        <w:t xml:space="preserve">If the Auditor General in the course of the performance of duties as auditor of a port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port authority,</w:t>
      </w:r>
    </w:p>
    <w:p>
      <w:pPr>
        <w:pStyle w:val="ySubsection"/>
      </w:pPr>
      <w:r>
        <w:tab/>
      </w:r>
      <w:r>
        <w:tab/>
        <w:t>the Auditor General is to report the matter to the Minister, in writing as soon as is practicable.</w:t>
      </w:r>
    </w:p>
    <w:p>
      <w:pPr>
        <w:pStyle w:val="ySubsection"/>
      </w:pPr>
      <w:r>
        <w:tab/>
        <w:t>(4)</w:t>
      </w:r>
      <w:r>
        <w:tab/>
        <w:t xml:space="preserve">The provisions of sections 14, 16 to 18, 24 to 37, 45 and 46 of the </w:t>
      </w:r>
      <w:r>
        <w:rPr>
          <w:i/>
        </w:rPr>
        <w:t xml:space="preserve">Auditor General Act 2006 </w:t>
      </w:r>
      <w:r>
        <w:t xml:space="preserve">apply to a port authority as if it were a statutory authority named in Schedule 1 to the </w:t>
      </w:r>
      <w:r>
        <w:rPr>
          <w:i/>
        </w:rPr>
        <w:t>Financial Management Act 2006</w:t>
      </w:r>
      <w:r>
        <w:t>.</w:t>
      </w:r>
    </w:p>
    <w:p>
      <w:pPr>
        <w:pStyle w:val="yFootnotesection"/>
      </w:pPr>
      <w:r>
        <w:tab/>
        <w:t>[Clause 44 inserted in Gazette 4 Mar 2003 p. 722; amended by No. 77 of 2006 Sch. 1 cl. 131(6).]</w:t>
      </w:r>
    </w:p>
    <w:p>
      <w:pPr>
        <w:pStyle w:val="yScheduleHeading"/>
        <w:sectPr>
          <w:headerReference w:type="even" r:id="rId36"/>
          <w:headerReference w:type="default" r:id="rId37"/>
          <w:pgSz w:w="11907" w:h="16840" w:code="9"/>
          <w:pgMar w:top="2376" w:right="2405" w:bottom="3542" w:left="2405" w:header="706" w:footer="3380" w:gutter="0"/>
          <w:cols w:space="720"/>
          <w:noEndnote/>
          <w:docGrid w:linePitch="326"/>
        </w:sectPr>
      </w:pPr>
    </w:p>
    <w:p>
      <w:pPr>
        <w:pStyle w:val="yScheduleHeading"/>
        <w:outlineLvl w:val="0"/>
      </w:pPr>
      <w:bookmarkStart w:id="564" w:name="_Toc398890205"/>
      <w:bookmarkStart w:id="565" w:name="_Toc424284640"/>
      <w:r>
        <w:rPr>
          <w:rStyle w:val="CharSchNo"/>
        </w:rPr>
        <w:t>Schedule 6</w:t>
      </w:r>
      <w:r>
        <w:t xml:space="preserve"> — </w:t>
      </w:r>
      <w:r>
        <w:rPr>
          <w:rStyle w:val="CharSchText"/>
        </w:rPr>
        <w:t>Provisions for Pilbara Ports Authority</w:t>
      </w:r>
      <w:bookmarkEnd w:id="564"/>
      <w:bookmarkEnd w:id="565"/>
    </w:p>
    <w:p>
      <w:pPr>
        <w:pStyle w:val="yShoulderClause"/>
      </w:pPr>
      <w:r>
        <w:t>[s. 132]</w:t>
      </w:r>
    </w:p>
    <w:p>
      <w:pPr>
        <w:pStyle w:val="yFootnoteheading"/>
      </w:pPr>
      <w:r>
        <w:tab/>
        <w:t>[Heading amended by No. 9 of 2014 s. 34(1).]</w:t>
      </w:r>
    </w:p>
    <w:p>
      <w:pPr>
        <w:pStyle w:val="yHeading3"/>
        <w:outlineLvl w:val="0"/>
        <w:rPr>
          <w:rStyle w:val="CharSDivText"/>
        </w:rPr>
      </w:pPr>
      <w:bookmarkStart w:id="566" w:name="_Toc398890206"/>
      <w:bookmarkStart w:id="567" w:name="_Toc424284641"/>
      <w:r>
        <w:rPr>
          <w:rStyle w:val="CharSDivNo"/>
        </w:rPr>
        <w:t>Division 1</w:t>
      </w:r>
      <w:r>
        <w:t xml:space="preserve"> — </w:t>
      </w:r>
      <w:r>
        <w:rPr>
          <w:rStyle w:val="CharSDivText"/>
        </w:rPr>
        <w:t>Port of Dampier</w:t>
      </w:r>
      <w:bookmarkEnd w:id="566"/>
      <w:bookmarkEnd w:id="567"/>
    </w:p>
    <w:p>
      <w:pPr>
        <w:pStyle w:val="yFootnoteheading"/>
      </w:pPr>
      <w:r>
        <w:tab/>
        <w:t>[Heading amended by No. 9 of 2014 s. 34(2).]</w:t>
      </w:r>
    </w:p>
    <w:p>
      <w:pPr>
        <w:pStyle w:val="yHeading5"/>
        <w:outlineLvl w:val="0"/>
        <w:rPr>
          <w:snapToGrid w:val="0"/>
        </w:rPr>
      </w:pPr>
      <w:bookmarkStart w:id="568" w:name="_Toc398890207"/>
      <w:bookmarkStart w:id="569" w:name="_Toc424284642"/>
      <w:r>
        <w:rPr>
          <w:rStyle w:val="CharSClsNo"/>
        </w:rPr>
        <w:t>1.1</w:t>
      </w:r>
      <w:r>
        <w:rPr>
          <w:snapToGrid w:val="0"/>
        </w:rPr>
        <w:t>.</w:t>
      </w:r>
      <w:r>
        <w:rPr>
          <w:snapToGrid w:val="0"/>
        </w:rPr>
        <w:tab/>
        <w:t>Application of Division</w:t>
      </w:r>
      <w:bookmarkEnd w:id="568"/>
      <w:bookmarkEnd w:id="569"/>
    </w:p>
    <w:p>
      <w:pPr>
        <w:pStyle w:val="ySubsection"/>
        <w:rPr>
          <w:snapToGrid w:val="0"/>
        </w:rPr>
      </w:pPr>
      <w:r>
        <w:rPr>
          <w:snapToGrid w:val="0"/>
        </w:rPr>
        <w:tab/>
      </w:r>
      <w:r>
        <w:rPr>
          <w:snapToGrid w:val="0"/>
        </w:rPr>
        <w:tab/>
        <w:t xml:space="preserve">This Division applies to the </w:t>
      </w:r>
      <w:r>
        <w:rPr>
          <w:szCs w:val="22"/>
        </w:rPr>
        <w:t>Pilbara Ports</w:t>
      </w:r>
      <w:r>
        <w:rPr>
          <w:snapToGrid w:val="0"/>
        </w:rPr>
        <w:t xml:space="preserve"> Authority and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Dampier</w:t>
          </w:r>
        </w:smartTag>
      </w:smartTag>
      <w:r>
        <w:rPr>
          <w:snapToGrid w:val="0"/>
        </w:rPr>
        <w:t>.</w:t>
      </w:r>
    </w:p>
    <w:p>
      <w:pPr>
        <w:pStyle w:val="yFootnotesection"/>
      </w:pPr>
      <w:r>
        <w:tab/>
        <w:t>[Clause 1.1 amended by No. 9 of 2014 s. 34(3).]</w:t>
      </w:r>
    </w:p>
    <w:p>
      <w:pPr>
        <w:pStyle w:val="yHeading5"/>
        <w:outlineLvl w:val="0"/>
        <w:rPr>
          <w:snapToGrid w:val="0"/>
        </w:rPr>
      </w:pPr>
      <w:bookmarkStart w:id="570" w:name="_Toc398890208"/>
      <w:bookmarkStart w:id="571" w:name="_Toc424284643"/>
      <w:r>
        <w:rPr>
          <w:rStyle w:val="CharSClsNo"/>
        </w:rPr>
        <w:t>1.2</w:t>
      </w:r>
      <w:r>
        <w:rPr>
          <w:snapToGrid w:val="0"/>
        </w:rPr>
        <w:t>.</w:t>
      </w:r>
      <w:r>
        <w:rPr>
          <w:snapToGrid w:val="0"/>
        </w:rPr>
        <w:tab/>
        <w:t>Terms used</w:t>
      </w:r>
      <w:bookmarkEnd w:id="570"/>
      <w:bookmarkEnd w:id="571"/>
      <w:r>
        <w:rPr>
          <w:snapToGrid w:val="0"/>
        </w:rPr>
        <w:t xml:space="preserve"> </w:t>
      </w:r>
    </w:p>
    <w:p>
      <w:pPr>
        <w:pStyle w:val="ySubsection"/>
        <w:rPr>
          <w:snapToGrid w:val="0"/>
        </w:rPr>
      </w:pPr>
      <w:r>
        <w:rPr>
          <w:snapToGrid w:val="0"/>
        </w:rPr>
        <w:tab/>
      </w:r>
      <w:r>
        <w:rPr>
          <w:snapToGrid w:val="0"/>
        </w:rPr>
        <w:tab/>
        <w:t>In this Division — </w:t>
      </w:r>
    </w:p>
    <w:p>
      <w:pPr>
        <w:pStyle w:val="yDefstart"/>
      </w:pPr>
      <w:r>
        <w:tab/>
      </w:r>
      <w:r>
        <w:rPr>
          <w:rStyle w:val="CharDefText"/>
        </w:rPr>
        <w:t>Company</w:t>
      </w:r>
      <w:r>
        <w:t xml:space="preserve"> has the meaning given by the Iron Ore (</w:t>
      </w:r>
      <w:smartTag w:uri="urn:schemas-microsoft-com:office:smarttags" w:element="place">
        <w:smartTag w:uri="urn:schemas-microsoft-com:office:smarttags" w:element="PlaceName">
          <w:r>
            <w:t>Hamersley</w:t>
          </w:r>
        </w:smartTag>
        <w:r>
          <w:t xml:space="preserve"> </w:t>
        </w:r>
        <w:smartTag w:uri="urn:schemas-microsoft-com:office:smarttags" w:element="PlaceType">
          <w:r>
            <w:t>Range</w:t>
          </w:r>
        </w:smartTag>
      </w:smartTag>
      <w:r>
        <w:t>) Agreement;</w:t>
      </w:r>
    </w:p>
    <w:p>
      <w:pPr>
        <w:pStyle w:val="yDefstart"/>
      </w:pPr>
      <w:r>
        <w:rPr>
          <w:b/>
        </w:rPr>
        <w:tab/>
      </w:r>
      <w:r>
        <w:rPr>
          <w:rStyle w:val="CharDefText"/>
        </w:rPr>
        <w:t>Dampier Solar Salt Industry Agreement</w:t>
      </w:r>
      <w:r>
        <w:t xml:space="preserve"> means the agreement a copy of which is set forth in the First Schedule to the </w:t>
      </w:r>
      <w:r>
        <w:rPr>
          <w:i/>
        </w:rPr>
        <w:t>Dampier Solar Salt Industry Agreement Act 1967</w:t>
      </w:r>
      <w:r>
        <w:t>, as that agreement is amended from time to time;</w:t>
      </w:r>
    </w:p>
    <w:p>
      <w:pPr>
        <w:pStyle w:val="yDefstart"/>
      </w:pPr>
      <w:r>
        <w:rPr>
          <w:b/>
        </w:rP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r>
        <w:rPr>
          <w:rStyle w:val="CharDefText"/>
        </w:rPr>
        <w:t>) Agreement</w:t>
      </w:r>
      <w:r>
        <w:t xml:space="preserve"> means the agreement a copy of which is set forth in the First Schedule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as that agreement is amended from time to time;</w:t>
      </w:r>
    </w:p>
    <w:p>
      <w:pPr>
        <w:pStyle w:val="yDefstart"/>
      </w:pPr>
      <w:r>
        <w:tab/>
      </w:r>
      <w:r>
        <w:rPr>
          <w:rStyle w:val="CharDefText"/>
        </w:rPr>
        <w:t>Joint Venturers</w:t>
      </w:r>
      <w:r>
        <w:t xml:space="preserve"> has the meaning given by the North West Gas Development (Woodside) Agreement;</w:t>
      </w:r>
    </w:p>
    <w:p>
      <w:pPr>
        <w:pStyle w:val="yDefstart"/>
      </w:pPr>
      <w:r>
        <w:rPr>
          <w:b/>
        </w:rPr>
        <w:tab/>
      </w:r>
      <w:r>
        <w:rPr>
          <w:rStyle w:val="CharDefText"/>
        </w:rPr>
        <w:t>North West Gas Development (Woodside) Agreement</w:t>
      </w:r>
      <w:r>
        <w:t xml:space="preserve"> means the agreement a copy of which is set forth in the Schedule to the </w:t>
      </w:r>
      <w:r>
        <w:rPr>
          <w:i/>
        </w:rPr>
        <w:t>North West Gas Development (Woodside) Agreement Act 1979</w:t>
      </w:r>
      <w:r>
        <w:t>, as that agreement is amended from time to time;</w:t>
      </w:r>
    </w:p>
    <w:p>
      <w:pPr>
        <w:pStyle w:val="yDefstart"/>
      </w:pPr>
      <w:r>
        <w:rPr>
          <w:b/>
        </w:rPr>
        <w:tab/>
      </w:r>
      <w:r>
        <w:rPr>
          <w:rStyle w:val="CharDefText"/>
        </w:rPr>
        <w:t>Salt Company</w:t>
      </w:r>
      <w:r>
        <w:t xml:space="preserve"> means the Company within the meaning of the Dampier Solar Salt Industry Agreement.</w:t>
      </w:r>
    </w:p>
    <w:p>
      <w:pPr>
        <w:pStyle w:val="yFootnotesection"/>
      </w:pPr>
      <w:r>
        <w:tab/>
        <w:t>[Clause 1.2 amended by No. 9 of 2014 s. 33(1).]</w:t>
      </w:r>
    </w:p>
    <w:p>
      <w:pPr>
        <w:pStyle w:val="yHeading5"/>
        <w:outlineLvl w:val="0"/>
        <w:rPr>
          <w:snapToGrid w:val="0"/>
        </w:rPr>
      </w:pPr>
      <w:bookmarkStart w:id="572" w:name="_Toc398890209"/>
      <w:bookmarkStart w:id="573" w:name="_Toc424284644"/>
      <w:r>
        <w:rPr>
          <w:rStyle w:val="CharSClsNo"/>
        </w:rPr>
        <w:t>1.3</w:t>
      </w:r>
      <w:r>
        <w:rPr>
          <w:snapToGrid w:val="0"/>
        </w:rPr>
        <w:t>.</w:t>
      </w:r>
      <w:r>
        <w:rPr>
          <w:snapToGrid w:val="0"/>
        </w:rPr>
        <w:tab/>
        <w:t>Act does not affect State agreements</w:t>
      </w:r>
      <w:bookmarkEnd w:id="572"/>
      <w:bookmarkEnd w:id="573"/>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any right or obligation of a party to the Dampier Solar Salt Industry Agreement; or</w:t>
      </w:r>
    </w:p>
    <w:p>
      <w:pPr>
        <w:pStyle w:val="yIndenta"/>
        <w:rPr>
          <w:snapToGrid w:val="0"/>
        </w:rPr>
      </w:pPr>
      <w:r>
        <w:rPr>
          <w:snapToGrid w:val="0"/>
        </w:rPr>
        <w:tab/>
        <w:t>(b)</w:t>
      </w:r>
      <w:r>
        <w:rPr>
          <w:snapToGrid w:val="0"/>
        </w:rPr>
        <w:tab/>
        <w:t>any right or obligation of a party to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 or</w:t>
      </w:r>
    </w:p>
    <w:p>
      <w:pPr>
        <w:pStyle w:val="yIndenta"/>
        <w:rPr>
          <w:snapToGrid w:val="0"/>
        </w:rPr>
      </w:pPr>
      <w:r>
        <w:rPr>
          <w:snapToGrid w:val="0"/>
        </w:rPr>
        <w:tab/>
        <w:t>(c)</w:t>
      </w:r>
      <w:r>
        <w:rPr>
          <w:snapToGrid w:val="0"/>
        </w:rPr>
        <w:tab/>
        <w:t>any right or obligation of a party to the North West Gas Development (Woodside) Agreement.</w:t>
      </w:r>
    </w:p>
    <w:p>
      <w:pPr>
        <w:pStyle w:val="yEdnotesection"/>
      </w:pPr>
      <w:r>
        <w:t>[</w:t>
      </w:r>
      <w:r>
        <w:rPr>
          <w:b/>
        </w:rPr>
        <w:t>1.4-1.7.</w:t>
      </w:r>
      <w:r>
        <w:tab/>
        <w:t>Deleted by No. 9 of 2014 s. 33(2).]</w:t>
      </w:r>
    </w:p>
    <w:p>
      <w:pPr>
        <w:pStyle w:val="yHeading5"/>
        <w:outlineLvl w:val="0"/>
        <w:rPr>
          <w:snapToGrid w:val="0"/>
        </w:rPr>
      </w:pPr>
      <w:bookmarkStart w:id="574" w:name="_Toc398890210"/>
      <w:bookmarkStart w:id="575" w:name="_Toc424284645"/>
      <w:r>
        <w:rPr>
          <w:rStyle w:val="CharSClsNo"/>
        </w:rPr>
        <w:t>1.8</w:t>
      </w:r>
      <w:r>
        <w:rPr>
          <w:snapToGrid w:val="0"/>
        </w:rPr>
        <w:t>.</w:t>
      </w:r>
      <w:r>
        <w:rPr>
          <w:snapToGrid w:val="0"/>
        </w:rPr>
        <w:tab/>
        <w:t>Some property excepted from s. 26(1)</w:t>
      </w:r>
      <w:bookmarkEnd w:id="574"/>
      <w:bookmarkEnd w:id="575"/>
    </w:p>
    <w:p>
      <w:pPr>
        <w:pStyle w:val="ySubsection"/>
        <w:keepNext/>
        <w:keepLines/>
        <w:spacing w:before="100"/>
        <w:rPr>
          <w:snapToGrid w:val="0"/>
        </w:rPr>
      </w:pPr>
      <w:r>
        <w:rPr>
          <w:snapToGrid w:val="0"/>
        </w:rPr>
        <w:tab/>
      </w:r>
      <w:r>
        <w:rPr>
          <w:snapToGrid w:val="0"/>
        </w:rPr>
        <w:tab/>
        <w:t>Except with the consent of the port authority, an order is not to be made under section 26(1) in respect of any real or personal property — </w:t>
      </w:r>
    </w:p>
    <w:p>
      <w:pPr>
        <w:pStyle w:val="yIndenta"/>
        <w:rPr>
          <w:snapToGrid w:val="0"/>
        </w:rPr>
      </w:pPr>
      <w:r>
        <w:rPr>
          <w:snapToGrid w:val="0"/>
        </w:rPr>
        <w:tab/>
        <w:t>(a)</w:t>
      </w:r>
      <w:r>
        <w:rPr>
          <w:snapToGrid w:val="0"/>
        </w:rPr>
        <w:tab/>
        <w:t>which is a facility improved or expanded, or an additional facility provided, under an agreement with the port authority, the capital cost of which improvement or expansion or provision has been wholly met by payments made under that agreement; or</w:t>
      </w:r>
    </w:p>
    <w:p>
      <w:pPr>
        <w:pStyle w:val="yIndenta"/>
        <w:rPr>
          <w:snapToGrid w:val="0"/>
        </w:rPr>
      </w:pPr>
      <w:r>
        <w:rPr>
          <w:snapToGrid w:val="0"/>
        </w:rPr>
        <w:tab/>
        <w:t>(b)</w:t>
      </w:r>
      <w:r>
        <w:rPr>
          <w:snapToGrid w:val="0"/>
        </w:rPr>
        <w:tab/>
        <w:t>which has been vested free of cost in the port authority; or</w:t>
      </w:r>
    </w:p>
    <w:p>
      <w:pPr>
        <w:pStyle w:val="yIndenta"/>
        <w:keepNext/>
        <w:rPr>
          <w:snapToGrid w:val="0"/>
        </w:rPr>
      </w:pPr>
      <w:r>
        <w:rPr>
          <w:snapToGrid w:val="0"/>
        </w:rPr>
        <w:tab/>
        <w:t>(c)</w:t>
      </w:r>
      <w:r>
        <w:rPr>
          <w:snapToGrid w:val="0"/>
        </w:rPr>
        <w:tab/>
        <w:t>which has been acquired or constructed by the port authority with moneys provided,</w:t>
      </w:r>
    </w:p>
    <w:p>
      <w:pPr>
        <w:pStyle w:val="ySubsection"/>
        <w:rPr>
          <w:snapToGrid w:val="0"/>
        </w:rPr>
      </w:pPr>
      <w:r>
        <w:rPr>
          <w:snapToGrid w:val="0"/>
        </w:rPr>
        <w:tab/>
      </w:r>
      <w:r>
        <w:rPr>
          <w:snapToGrid w:val="0"/>
        </w:rPr>
        <w:tab/>
        <w:t>by the Company, the Salt Company or the Joint Venturers or any 2 or all 3 of them.</w:t>
      </w:r>
    </w:p>
    <w:p>
      <w:pPr>
        <w:pStyle w:val="yHeading5"/>
        <w:outlineLvl w:val="0"/>
        <w:rPr>
          <w:snapToGrid w:val="0"/>
        </w:rPr>
      </w:pPr>
      <w:bookmarkStart w:id="576" w:name="_Toc398890211"/>
      <w:bookmarkStart w:id="577" w:name="_Toc424284646"/>
      <w:r>
        <w:rPr>
          <w:rStyle w:val="CharSClsNo"/>
        </w:rPr>
        <w:t>1.9</w:t>
      </w:r>
      <w:r>
        <w:rPr>
          <w:snapToGrid w:val="0"/>
        </w:rPr>
        <w:t>.</w:t>
      </w:r>
      <w:r>
        <w:rPr>
          <w:snapToGrid w:val="0"/>
        </w:rPr>
        <w:tab/>
        <w:t>Recovery of costs from users, functions include</w:t>
      </w:r>
      <w:bookmarkEnd w:id="576"/>
      <w:bookmarkEnd w:id="577"/>
    </w:p>
    <w:p>
      <w:pPr>
        <w:pStyle w:val="ySubsection"/>
        <w:rPr>
          <w:snapToGrid w:val="0"/>
        </w:rPr>
      </w:pPr>
      <w:r>
        <w:rPr>
          <w:snapToGrid w:val="0"/>
        </w:rPr>
        <w:tab/>
      </w:r>
      <w:r>
        <w:rPr>
          <w:snapToGrid w:val="0"/>
        </w:rPr>
        <w:tab/>
        <w:t>The functions of the port authority include recovering as far as possible, the cost of the facilities and services provided by the port authority from the users of those facilities and services.</w:t>
      </w:r>
    </w:p>
    <w:p>
      <w:pPr>
        <w:pStyle w:val="yHeading5"/>
        <w:outlineLvl w:val="0"/>
        <w:rPr>
          <w:snapToGrid w:val="0"/>
        </w:rPr>
      </w:pPr>
      <w:bookmarkStart w:id="578" w:name="_Toc398890212"/>
      <w:bookmarkStart w:id="579" w:name="_Toc424284647"/>
      <w:r>
        <w:rPr>
          <w:rStyle w:val="CharSClsNo"/>
        </w:rPr>
        <w:t>1.10</w:t>
      </w:r>
      <w:r>
        <w:rPr>
          <w:snapToGrid w:val="0"/>
        </w:rPr>
        <w:t>.</w:t>
      </w:r>
      <w:r>
        <w:rPr>
          <w:snapToGrid w:val="0"/>
        </w:rPr>
        <w:tab/>
        <w:t>Companies, Joint Venturers and Salt Company, duties of</w:t>
      </w:r>
      <w:bookmarkEnd w:id="578"/>
      <w:bookmarkEnd w:id="579"/>
    </w:p>
    <w:p>
      <w:pPr>
        <w:pStyle w:val="ySubsection"/>
        <w:rPr>
          <w:snapToGrid w:val="0"/>
        </w:rPr>
      </w:pPr>
      <w:r>
        <w:rPr>
          <w:snapToGrid w:val="0"/>
        </w:rPr>
        <w:tab/>
        <w:t>(1)</w:t>
      </w:r>
      <w:r>
        <w:rPr>
          <w:snapToGrid w:val="0"/>
        </w:rPr>
        <w:tab/>
        <w:t>Despite anything in section 30 — </w:t>
      </w:r>
    </w:p>
    <w:p>
      <w:pPr>
        <w:pStyle w:val="yIndenta"/>
        <w:rPr>
          <w:snapToGrid w:val="0"/>
        </w:rPr>
      </w:pPr>
      <w:r>
        <w:rPr>
          <w:snapToGrid w:val="0"/>
        </w:rPr>
        <w:tab/>
        <w:t>(a)</w:t>
      </w:r>
      <w:r>
        <w:rPr>
          <w:snapToGrid w:val="0"/>
        </w:rPr>
        <w:tab/>
        <w:t>the Company, for its own requirements under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 and</w:t>
      </w:r>
    </w:p>
    <w:p>
      <w:pPr>
        <w:pStyle w:val="yIndenta"/>
        <w:rPr>
          <w:snapToGrid w:val="0"/>
        </w:rPr>
      </w:pPr>
      <w:r>
        <w:rPr>
          <w:snapToGrid w:val="0"/>
        </w:rPr>
        <w:tab/>
        <w:t>(b)</w:t>
      </w:r>
      <w:r>
        <w:rPr>
          <w:snapToGrid w:val="0"/>
        </w:rPr>
        <w:tab/>
        <w:t>the Salt Company, for its own requirements under the Dampier Solar Salt Industry Agreement; and</w:t>
      </w:r>
    </w:p>
    <w:p>
      <w:pPr>
        <w:pStyle w:val="yIndenta"/>
        <w:rPr>
          <w:snapToGrid w:val="0"/>
        </w:rPr>
      </w:pPr>
      <w:r>
        <w:rPr>
          <w:snapToGrid w:val="0"/>
        </w:rPr>
        <w:tab/>
        <w:t>(c)</w:t>
      </w:r>
      <w:r>
        <w:rPr>
          <w:snapToGrid w:val="0"/>
        </w:rPr>
        <w:tab/>
        <w:t>the Joint Venturers, for their own requirements under the North West Gas Development (Woodside) Agreement,</w:t>
      </w:r>
    </w:p>
    <w:p>
      <w:pPr>
        <w:pStyle w:val="ySubsection"/>
        <w:rPr>
          <w:snapToGrid w:val="0"/>
        </w:rPr>
      </w:pPr>
      <w:r>
        <w:rPr>
          <w:snapToGrid w:val="0"/>
        </w:rPr>
        <w:tab/>
      </w:r>
      <w:r>
        <w:rPr>
          <w:snapToGrid w:val="0"/>
        </w:rPr>
        <w:tab/>
        <w:t>are to maintain and keep in repair and proper working order all necessary dredged channels, berthing basins and navigational aids required and used by the Company, the Salt Company or the Joint Venturers, as the case requires.</w:t>
      </w:r>
    </w:p>
    <w:p>
      <w:pPr>
        <w:pStyle w:val="ySubsection"/>
        <w:rPr>
          <w:snapToGrid w:val="0"/>
        </w:rPr>
      </w:pPr>
      <w:r>
        <w:rPr>
          <w:snapToGrid w:val="0"/>
        </w:rPr>
        <w:tab/>
        <w:t>(2)</w:t>
      </w:r>
      <w:r>
        <w:rPr>
          <w:snapToGrid w:val="0"/>
        </w:rPr>
        <w:tab/>
        <w:t>Despite anything in section 30, the port authority may from time to time direct the Salt Company, the Company or the Joint Venturers or any 2 or all 3 of them — </w:t>
      </w:r>
    </w:p>
    <w:p>
      <w:pPr>
        <w:pStyle w:val="yIndenta"/>
        <w:rPr>
          <w:snapToGrid w:val="0"/>
        </w:rPr>
      </w:pPr>
      <w:r>
        <w:rPr>
          <w:snapToGrid w:val="0"/>
        </w:rPr>
        <w:tab/>
        <w:t>(a)</w:t>
      </w:r>
      <w:r>
        <w:rPr>
          <w:snapToGrid w:val="0"/>
        </w:rPr>
        <w:tab/>
        <w:t>to provide, maintain and keep in repair and proper working order all dredged channels, berthing basins and navigational aids required and used by it or them in its or their operations under the Dampier Solar Salt Industry Agreement, the Iron Ore (Hamersley Range) Agreement or the North West Gas Development (Woodside) Agreement, as the case requires; and</w:t>
      </w:r>
    </w:p>
    <w:p>
      <w:pPr>
        <w:pStyle w:val="yIndenta"/>
        <w:rPr>
          <w:snapToGrid w:val="0"/>
        </w:rPr>
      </w:pPr>
      <w:r>
        <w:rPr>
          <w:snapToGrid w:val="0"/>
        </w:rPr>
        <w:tab/>
        <w:t>(b)</w:t>
      </w:r>
      <w:r>
        <w:rPr>
          <w:snapToGrid w:val="0"/>
        </w:rPr>
        <w:tab/>
        <w:t>for the purpose of determining whether or not any dredged channels, berthing basins and navigational aids referred to in paragraph (a) are being maintained and kept in repair and proper working order, to provide the port authority at its or their cost with such information, reports and hydrographic surveys as are specified in that direction.</w:t>
      </w:r>
    </w:p>
    <w:p>
      <w:pPr>
        <w:pStyle w:val="ySubsection"/>
        <w:rPr>
          <w:snapToGrid w:val="0"/>
        </w:rPr>
      </w:pPr>
      <w:r>
        <w:rPr>
          <w:snapToGrid w:val="0"/>
        </w:rPr>
        <w:tab/>
        <w:t>(3)</w:t>
      </w:r>
      <w:r>
        <w:rPr>
          <w:snapToGrid w:val="0"/>
        </w:rPr>
        <w:tab/>
        <w:t>The Salt Company, the Company or the Joint Venturers must, without delay, comply with any direction given to it or them, as the case requires, by the port authority under subclause (2).</w:t>
      </w:r>
    </w:p>
    <w:p>
      <w:pPr>
        <w:pStyle w:val="ySubsection"/>
        <w:rPr>
          <w:snapToGrid w:val="0"/>
        </w:rPr>
      </w:pPr>
      <w:r>
        <w:rPr>
          <w:snapToGrid w:val="0"/>
        </w:rPr>
        <w:tab/>
        <w:t>(4)</w:t>
      </w:r>
      <w:r>
        <w:rPr>
          <w:snapToGrid w:val="0"/>
        </w:rPr>
        <w:tab/>
        <w:t>If the Salt Company, the Company or the Joint Venturers does not or do not comply with — </w:t>
      </w:r>
    </w:p>
    <w:p>
      <w:pPr>
        <w:pStyle w:val="yIndenta"/>
        <w:rPr>
          <w:snapToGrid w:val="0"/>
        </w:rPr>
      </w:pPr>
      <w:r>
        <w:rPr>
          <w:snapToGrid w:val="0"/>
        </w:rPr>
        <w:tab/>
        <w:t>(a)</w:t>
      </w:r>
      <w:r>
        <w:rPr>
          <w:snapToGrid w:val="0"/>
        </w:rPr>
        <w:tab/>
        <w:t>subclause (1), the port authority is to cause the requisite works to be undertaken and the cost of those works is to be borne by the person which has not complied with that subclause; or</w:t>
      </w:r>
    </w:p>
    <w:p>
      <w:pPr>
        <w:pStyle w:val="yIndenta"/>
        <w:rPr>
          <w:snapToGrid w:val="0"/>
        </w:rPr>
      </w:pPr>
      <w:r>
        <w:rPr>
          <w:snapToGrid w:val="0"/>
        </w:rPr>
        <w:tab/>
        <w:t>(b)</w:t>
      </w:r>
      <w:r>
        <w:rPr>
          <w:snapToGrid w:val="0"/>
        </w:rPr>
        <w:tab/>
        <w:t>a direction given under subclause (2), the port authority is to cause — </w:t>
      </w:r>
    </w:p>
    <w:p>
      <w:pPr>
        <w:pStyle w:val="yIndenti0"/>
        <w:rPr>
          <w:snapToGrid w:val="0"/>
        </w:rPr>
      </w:pPr>
      <w:r>
        <w:rPr>
          <w:snapToGrid w:val="0"/>
        </w:rPr>
        <w:tab/>
        <w:t>(i)</w:t>
      </w:r>
      <w:r>
        <w:rPr>
          <w:snapToGrid w:val="0"/>
        </w:rPr>
        <w:tab/>
        <w:t>the requisite work to be undertaken; or</w:t>
      </w:r>
    </w:p>
    <w:p>
      <w:pPr>
        <w:pStyle w:val="yIndenti0"/>
        <w:rPr>
          <w:snapToGrid w:val="0"/>
        </w:rPr>
      </w:pPr>
      <w:r>
        <w:rPr>
          <w:snapToGrid w:val="0"/>
        </w:rPr>
        <w:tab/>
        <w:t>(ii)</w:t>
      </w:r>
      <w:r>
        <w:rPr>
          <w:snapToGrid w:val="0"/>
        </w:rPr>
        <w:tab/>
        <w:t>the requisite information, reports or hydrographic surveys to be provided,</w:t>
      </w:r>
    </w:p>
    <w:p>
      <w:pPr>
        <w:pStyle w:val="yIndenta"/>
        <w:rPr>
          <w:snapToGrid w:val="0"/>
        </w:rPr>
      </w:pPr>
      <w:r>
        <w:rPr>
          <w:snapToGrid w:val="0"/>
        </w:rPr>
        <w:tab/>
      </w:r>
      <w:r>
        <w:rPr>
          <w:snapToGrid w:val="0"/>
        </w:rPr>
        <w:tab/>
        <w:t>and the cost of those works or the cost of that provision be borne by the person which has not complied with that direction.</w:t>
      </w:r>
    </w:p>
    <w:p>
      <w:pPr>
        <w:pStyle w:val="yHeading5"/>
        <w:outlineLvl w:val="0"/>
        <w:rPr>
          <w:snapToGrid w:val="0"/>
        </w:rPr>
      </w:pPr>
      <w:bookmarkStart w:id="580" w:name="_Toc398890213"/>
      <w:bookmarkStart w:id="581" w:name="_Toc424284648"/>
      <w:r>
        <w:rPr>
          <w:rStyle w:val="CharSClsNo"/>
        </w:rPr>
        <w:t>1.11</w:t>
      </w:r>
      <w:r>
        <w:rPr>
          <w:snapToGrid w:val="0"/>
        </w:rPr>
        <w:t>.</w:t>
      </w:r>
      <w:r>
        <w:rPr>
          <w:snapToGrid w:val="0"/>
        </w:rPr>
        <w:tab/>
        <w:t>Pilotage services, agreements with Companies etc. as to</w:t>
      </w:r>
      <w:bookmarkEnd w:id="580"/>
      <w:bookmarkEnd w:id="581"/>
    </w:p>
    <w:p>
      <w:pPr>
        <w:pStyle w:val="ySubsection"/>
        <w:rPr>
          <w:snapToGrid w:val="0"/>
        </w:rPr>
      </w:pPr>
      <w:r>
        <w:rPr>
          <w:snapToGrid w:val="0"/>
        </w:rPr>
        <w:tab/>
      </w:r>
      <w:r>
        <w:rPr>
          <w:snapToGrid w:val="0"/>
        </w:rPr>
        <w:tab/>
        <w:t>Having entered into a contract or other arrangement with the port authority under section 35(2) for the provision of pilotage services — </w:t>
      </w:r>
    </w:p>
    <w:p>
      <w:pPr>
        <w:pStyle w:val="yIndenta"/>
        <w:rPr>
          <w:snapToGrid w:val="0"/>
        </w:rPr>
      </w:pPr>
      <w:r>
        <w:rPr>
          <w:snapToGrid w:val="0"/>
        </w:rPr>
        <w:tab/>
        <w:t>(a)</w:t>
      </w:r>
      <w:r>
        <w:rPr>
          <w:snapToGrid w:val="0"/>
        </w:rPr>
        <w:tab/>
        <w:t>the Company may for its own requirements under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 or</w:t>
      </w:r>
    </w:p>
    <w:p>
      <w:pPr>
        <w:pStyle w:val="yIndenta"/>
        <w:rPr>
          <w:snapToGrid w:val="0"/>
        </w:rPr>
      </w:pPr>
      <w:r>
        <w:rPr>
          <w:snapToGrid w:val="0"/>
        </w:rPr>
        <w:tab/>
        <w:t>(b)</w:t>
      </w:r>
      <w:r>
        <w:rPr>
          <w:snapToGrid w:val="0"/>
        </w:rPr>
        <w:tab/>
        <w:t>the Salt Company may for its own requirements under the Dampier Solar Salt Industry Agreement; or</w:t>
      </w:r>
    </w:p>
    <w:p>
      <w:pPr>
        <w:pStyle w:val="yIndenta"/>
        <w:rPr>
          <w:snapToGrid w:val="0"/>
        </w:rPr>
      </w:pPr>
      <w:r>
        <w:rPr>
          <w:snapToGrid w:val="0"/>
        </w:rPr>
        <w:tab/>
        <w:t>(c)</w:t>
      </w:r>
      <w:r>
        <w:rPr>
          <w:snapToGrid w:val="0"/>
        </w:rPr>
        <w:tab/>
        <w:t>the Joint Venturers may for their own requirements under the North West Gas Development (Woodside) Agreement,</w:t>
      </w:r>
    </w:p>
    <w:p>
      <w:pPr>
        <w:pStyle w:val="ySubsection"/>
        <w:rPr>
          <w:snapToGrid w:val="0"/>
        </w:rPr>
      </w:pPr>
      <w:r>
        <w:rPr>
          <w:snapToGrid w:val="0"/>
        </w:rPr>
        <w:tab/>
      </w:r>
      <w:r>
        <w:rPr>
          <w:snapToGrid w:val="0"/>
        </w:rPr>
        <w:tab/>
        <w:t>provide its own or their own pilotage services in the port in accordance with that contract or arrangement and section 96(7) does not apply in relation to pilotage services so provided.</w:t>
      </w:r>
    </w:p>
    <w:p>
      <w:pPr>
        <w:pStyle w:val="yHeading3"/>
        <w:outlineLvl w:val="0"/>
        <w:rPr>
          <w:rStyle w:val="CharSDivText"/>
        </w:rPr>
      </w:pPr>
      <w:bookmarkStart w:id="582" w:name="_Toc398890214"/>
      <w:bookmarkStart w:id="583" w:name="_Toc424284649"/>
      <w:r>
        <w:rPr>
          <w:rStyle w:val="CharSDivNo"/>
        </w:rPr>
        <w:t>Division 2</w:t>
      </w:r>
      <w:r>
        <w:t xml:space="preserve"> — </w:t>
      </w:r>
      <w:r>
        <w:rPr>
          <w:rStyle w:val="CharSDivText"/>
        </w:rPr>
        <w:t>Port of Port Hedland</w:t>
      </w:r>
      <w:bookmarkEnd w:id="582"/>
      <w:bookmarkEnd w:id="583"/>
    </w:p>
    <w:p>
      <w:pPr>
        <w:pStyle w:val="yFootnoteheading"/>
      </w:pPr>
      <w:r>
        <w:tab/>
        <w:t>[Heading amended by No. 9 of 2014 s. 34(4).]</w:t>
      </w:r>
    </w:p>
    <w:p>
      <w:pPr>
        <w:pStyle w:val="yHeading5"/>
        <w:outlineLvl w:val="0"/>
        <w:rPr>
          <w:snapToGrid w:val="0"/>
        </w:rPr>
      </w:pPr>
      <w:bookmarkStart w:id="584" w:name="_Toc398890215"/>
      <w:bookmarkStart w:id="585" w:name="_Toc424284650"/>
      <w:r>
        <w:rPr>
          <w:rStyle w:val="CharSClsNo"/>
        </w:rPr>
        <w:t>2.1</w:t>
      </w:r>
      <w:r>
        <w:rPr>
          <w:snapToGrid w:val="0"/>
        </w:rPr>
        <w:t>.</w:t>
      </w:r>
      <w:r>
        <w:rPr>
          <w:snapToGrid w:val="0"/>
        </w:rPr>
        <w:tab/>
        <w:t>Application of Division</w:t>
      </w:r>
      <w:bookmarkEnd w:id="584"/>
      <w:bookmarkEnd w:id="585"/>
    </w:p>
    <w:p>
      <w:pPr>
        <w:pStyle w:val="ySubsection"/>
        <w:rPr>
          <w:snapToGrid w:val="0"/>
        </w:rPr>
      </w:pPr>
      <w:r>
        <w:rPr>
          <w:snapToGrid w:val="0"/>
        </w:rPr>
        <w:tab/>
      </w:r>
      <w:r>
        <w:rPr>
          <w:snapToGrid w:val="0"/>
        </w:rPr>
        <w:tab/>
        <w:t xml:space="preserve">This Division applies to the </w:t>
      </w:r>
      <w:r>
        <w:rPr>
          <w:szCs w:val="22"/>
        </w:rPr>
        <w:t>Pilbara Ports</w:t>
      </w:r>
      <w:r>
        <w:rPr>
          <w:snapToGrid w:val="0"/>
        </w:rPr>
        <w:t xml:space="preserve"> Authority and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Port Hedland</w:t>
          </w:r>
        </w:smartTag>
      </w:smartTag>
      <w:r>
        <w:rPr>
          <w:snapToGrid w:val="0"/>
        </w:rPr>
        <w:t>.</w:t>
      </w:r>
    </w:p>
    <w:p>
      <w:pPr>
        <w:pStyle w:val="yFootnotesection"/>
      </w:pPr>
      <w:r>
        <w:tab/>
        <w:t>[Clause 2.1 amended by No. 9 of 2014 s. 34(5).]</w:t>
      </w:r>
    </w:p>
    <w:p>
      <w:pPr>
        <w:pStyle w:val="yEdnotesection"/>
      </w:pPr>
      <w:r>
        <w:t>[</w:t>
      </w:r>
      <w:r>
        <w:rPr>
          <w:b/>
        </w:rPr>
        <w:t>2.2.</w:t>
      </w:r>
      <w:r>
        <w:tab/>
        <w:t>Deleted by No. 9 of 2014 s. 33(3).]</w:t>
      </w:r>
    </w:p>
    <w:p>
      <w:pPr>
        <w:pStyle w:val="yHeading5"/>
        <w:outlineLvl w:val="0"/>
        <w:rPr>
          <w:snapToGrid w:val="0"/>
        </w:rPr>
      </w:pPr>
      <w:bookmarkStart w:id="586" w:name="_Toc398890216"/>
      <w:bookmarkStart w:id="587" w:name="_Toc424284651"/>
      <w:r>
        <w:rPr>
          <w:rStyle w:val="CharSClsNo"/>
        </w:rPr>
        <w:t>2.3</w:t>
      </w:r>
      <w:r>
        <w:rPr>
          <w:snapToGrid w:val="0"/>
        </w:rPr>
        <w:t>.</w:t>
      </w:r>
      <w:r>
        <w:rPr>
          <w:snapToGrid w:val="0"/>
        </w:rPr>
        <w:tab/>
        <w:t>Act does not affect State agreements</w:t>
      </w:r>
      <w:bookmarkEnd w:id="586"/>
      <w:bookmarkEnd w:id="587"/>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of the persons entitled to them to receive the payments referred to in clause 20(1) of the agreement a copy of which is set forth in the Schedule to the </w:t>
      </w:r>
      <w:r>
        <w:rPr>
          <w:i/>
          <w:snapToGrid w:val="0"/>
        </w:rPr>
        <w:t>Leslie Solar Salt Industry Agreement Act 1966</w:t>
      </w:r>
      <w:r>
        <w:rPr>
          <w:snapToGrid w:val="0"/>
        </w:rPr>
        <w:t>, as that agreement is amended from time to time;</w:t>
      </w:r>
    </w:p>
    <w:p>
      <w:pPr>
        <w:pStyle w:val="yIndenta"/>
        <w:rPr>
          <w:snapToGrid w:val="0"/>
        </w:rPr>
      </w:pPr>
      <w:r>
        <w:rPr>
          <w:snapToGrid w:val="0"/>
        </w:rPr>
        <w:tab/>
        <w:t>(b)</w:t>
      </w:r>
      <w:r>
        <w:rPr>
          <w:snapToGrid w:val="0"/>
        </w:rPr>
        <w:tab/>
        <w:t xml:space="preserve">any right or obligation of a party to the agreement a copy of which is set forth in the First Schedule to the </w:t>
      </w:r>
      <w:r>
        <w:rPr>
          <w:i/>
          <w:snapToGrid w:val="0"/>
        </w:rPr>
        <w:t>Iron Ore (Mount Goldsworthy) Agreement Act 1964</w:t>
      </w:r>
      <w:r>
        <w:rPr>
          <w:snapToGrid w:val="0"/>
        </w:rPr>
        <w:t>, as that agreement is amended from time to time;</w:t>
      </w:r>
    </w:p>
    <w:p>
      <w:pPr>
        <w:pStyle w:val="yIndenta"/>
        <w:rPr>
          <w:snapToGrid w:val="0"/>
        </w:rPr>
      </w:pPr>
      <w:r>
        <w:rPr>
          <w:snapToGrid w:val="0"/>
        </w:rPr>
        <w:tab/>
        <w:t>(c)</w:t>
      </w:r>
      <w:r>
        <w:rPr>
          <w:snapToGrid w:val="0"/>
        </w:rPr>
        <w:tab/>
        <w:t xml:space="preserve">any right or obligation of a party to the agreement a copy of which is set forth in the First Schedule to the </w:t>
      </w:r>
      <w:r>
        <w:rPr>
          <w:i/>
          <w:snapToGrid w:val="0"/>
        </w:rPr>
        <w:t xml:space="preserve">Iron </w:t>
      </w:r>
      <w:smartTag w:uri="urn:schemas-microsoft-com:office:smarttags" w:element="State">
        <w:r>
          <w:rPr>
            <w:i/>
            <w:snapToGrid w:val="0"/>
          </w:rPr>
          <w:t>Ore</w:t>
        </w:r>
      </w:smartTag>
      <w:r>
        <w:rPr>
          <w:i/>
          <w:snapToGrid w:val="0"/>
        </w:rPr>
        <w:t xml:space="preserve"> (</w:t>
      </w:r>
      <w:smartTag w:uri="urn:schemas-microsoft-com:office:smarttags" w:element="place">
        <w:smartTag w:uri="urn:schemas-microsoft-com:office:smarttags" w:element="PlaceType">
          <w:r>
            <w:rPr>
              <w:i/>
              <w:snapToGrid w:val="0"/>
            </w:rPr>
            <w:t>Mount</w:t>
          </w:r>
        </w:smartTag>
        <w:r>
          <w:rPr>
            <w:i/>
            <w:snapToGrid w:val="0"/>
          </w:rPr>
          <w:t xml:space="preserve"> </w:t>
        </w:r>
        <w:smartTag w:uri="urn:schemas-microsoft-com:office:smarttags" w:element="PlaceName">
          <w:r>
            <w:rPr>
              <w:i/>
              <w:snapToGrid w:val="0"/>
            </w:rPr>
            <w:t>Newman</w:t>
          </w:r>
        </w:smartTag>
      </w:smartTag>
      <w:r>
        <w:rPr>
          <w:i/>
          <w:snapToGrid w:val="0"/>
        </w:rPr>
        <w:t>) Agreement Act 1964</w:t>
      </w:r>
      <w:r>
        <w:rPr>
          <w:snapToGrid w:val="0"/>
        </w:rPr>
        <w:t>, as that agreement is amended from time to time.</w:t>
      </w:r>
    </w:p>
    <w:p>
      <w:pPr>
        <w:pStyle w:val="yEdnotesection"/>
      </w:pPr>
      <w:r>
        <w:t>[</w:t>
      </w:r>
      <w:r>
        <w:rPr>
          <w:b/>
        </w:rPr>
        <w:t>2.4</w:t>
      </w:r>
      <w:r>
        <w:rPr>
          <w:b/>
        </w:rPr>
        <w:noBreakHyphen/>
        <w:t>2.7.</w:t>
      </w:r>
      <w:r>
        <w:tab/>
        <w:t>Deleted by No. 9 of 2014 s. 33(3).]</w:t>
      </w:r>
    </w:p>
    <w:p>
      <w:pPr>
        <w:pStyle w:val="yHeading5"/>
        <w:outlineLvl w:val="0"/>
        <w:rPr>
          <w:snapToGrid w:val="0"/>
        </w:rPr>
      </w:pPr>
      <w:bookmarkStart w:id="588" w:name="_Toc398890217"/>
      <w:bookmarkStart w:id="589" w:name="_Toc424284652"/>
      <w:r>
        <w:rPr>
          <w:rStyle w:val="CharSClsNo"/>
        </w:rPr>
        <w:t>2.8</w:t>
      </w:r>
      <w:r>
        <w:rPr>
          <w:snapToGrid w:val="0"/>
        </w:rPr>
        <w:t>.</w:t>
      </w:r>
      <w:r>
        <w:rPr>
          <w:snapToGrid w:val="0"/>
        </w:rPr>
        <w:tab/>
        <w:t>Port includes pilotage area for some purposes</w:t>
      </w:r>
      <w:bookmarkEnd w:id="588"/>
      <w:bookmarkEnd w:id="589"/>
      <w:r>
        <w:rPr>
          <w:snapToGrid w:val="0"/>
        </w:rPr>
        <w:t xml:space="preserve"> </w:t>
      </w:r>
    </w:p>
    <w:p>
      <w:pPr>
        <w:pStyle w:val="ySubsection"/>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 xml:space="preserve">A reference in Part 7, Divisions 2 and 3 and, where appropriate, in section 122(1) </w:t>
      </w:r>
      <w:r>
        <w:t>to the</w:t>
      </w:r>
      <w:r>
        <w:rPr>
          <w:snapToGrid w:val="0"/>
          <w:sz w:val="24"/>
        </w:rPr>
        <w:t xml:space="preserve"> </w:t>
      </w:r>
      <w:r>
        <w:rPr>
          <w:rStyle w:val="CharDefText"/>
        </w:rPr>
        <w:t>port</w:t>
      </w:r>
      <w:r>
        <w:rPr>
          <w:snapToGrid w:val="0"/>
        </w:rPr>
        <w:t xml:space="preserve"> includes a reference to the pilotage area set out below:</w:t>
      </w:r>
    </w:p>
    <w:tbl>
      <w:tblPr>
        <w:tblW w:w="0" w:type="auto"/>
        <w:tblInd w:w="1908" w:type="dxa"/>
        <w:tblLayout w:type="fixed"/>
        <w:tblLook w:val="0000" w:firstRow="0" w:lastRow="0" w:firstColumn="0" w:lastColumn="0" w:noHBand="0" w:noVBand="0"/>
      </w:tblPr>
      <w:tblGrid>
        <w:gridCol w:w="3480"/>
      </w:tblGrid>
      <w:tr>
        <w:tc>
          <w:tcPr>
            <w:tcW w:w="3480" w:type="dxa"/>
          </w:tcPr>
          <w:p>
            <w:pPr>
              <w:pStyle w:val="MiscellaneousHeading"/>
              <w:rPr>
                <w:snapToGrid w:val="0"/>
                <w:sz w:val="22"/>
                <w:szCs w:val="22"/>
              </w:rPr>
            </w:pPr>
            <w:r>
              <w:rPr>
                <w:snapToGrid w:val="0"/>
                <w:sz w:val="22"/>
                <w:szCs w:val="22"/>
              </w:rPr>
              <w:t>The Pilotage Area</w:t>
            </w:r>
          </w:p>
        </w:tc>
      </w:tr>
    </w:tbl>
    <w:p>
      <w:pPr>
        <w:pStyle w:val="ySubsection"/>
        <w:rPr>
          <w:snapToGrid w:val="0"/>
        </w:rPr>
      </w:pPr>
      <w:r>
        <w:rPr>
          <w:snapToGrid w:val="0"/>
        </w:rPr>
        <w:tab/>
      </w:r>
      <w:r>
        <w:rPr>
          <w:snapToGrid w:val="0"/>
        </w:rPr>
        <w:tab/>
        <w:t>All that area of the sea beyond the boundaries of the Port of Port Hedland that is within a radius of 20 nautical miles, or such greater distance as may be prescribed by regulations, from the Hunt Point Beacon.</w:t>
      </w:r>
    </w:p>
    <w:p>
      <w:pPr>
        <w:sectPr>
          <w:pgSz w:w="11907" w:h="16840" w:code="9"/>
          <w:pgMar w:top="2376" w:right="2405" w:bottom="3542" w:left="2405" w:header="706" w:footer="3380" w:gutter="0"/>
          <w:cols w:space="720"/>
          <w:noEndnote/>
          <w:docGrid w:linePitch="326"/>
        </w:sectPr>
      </w:pPr>
    </w:p>
    <w:p>
      <w:pPr>
        <w:pStyle w:val="yScheduleHeading"/>
      </w:pPr>
      <w:bookmarkStart w:id="590" w:name="_Toc398890218"/>
      <w:bookmarkStart w:id="591" w:name="_Toc424284653"/>
      <w:r>
        <w:rPr>
          <w:rStyle w:val="CharSchNo"/>
        </w:rPr>
        <w:t>Schedule 7</w:t>
      </w:r>
      <w:r>
        <w:t xml:space="preserve"> — </w:t>
      </w:r>
      <w:r>
        <w:rPr>
          <w:rStyle w:val="CharSchText"/>
        </w:rPr>
        <w:t>Purposes for which, or matters about which, regulations may be made</w:t>
      </w:r>
      <w:bookmarkEnd w:id="590"/>
      <w:bookmarkEnd w:id="591"/>
    </w:p>
    <w:p>
      <w:pPr>
        <w:pStyle w:val="yShoulderClause"/>
      </w:pPr>
      <w:r>
        <w:t>[s. 139(2)]</w:t>
      </w:r>
    </w:p>
    <w:p>
      <w:pPr>
        <w:pStyle w:val="ySubsection"/>
        <w:spacing w:before="120"/>
        <w:rPr>
          <w:snapToGrid w:val="0"/>
        </w:rPr>
      </w:pPr>
      <w:r>
        <w:rPr>
          <w:snapToGrid w:val="0"/>
        </w:rPr>
        <w:t>1.</w:t>
      </w:r>
      <w:r>
        <w:rPr>
          <w:snapToGrid w:val="0"/>
        </w:rPr>
        <w:tab/>
      </w:r>
      <w:r>
        <w:rPr>
          <w:snapToGrid w:val="0"/>
        </w:rPr>
        <w:tab/>
        <w:t>The control, duties, supervision and guidance of the CEO and members of staff of a port authority.</w:t>
      </w:r>
    </w:p>
    <w:p>
      <w:pPr>
        <w:pStyle w:val="ySubsection"/>
        <w:spacing w:before="120"/>
      </w:pPr>
      <w:r>
        <w:rPr>
          <w:snapToGrid w:val="0"/>
        </w:rPr>
        <w:t>2.</w:t>
      </w:r>
      <w:r>
        <w:rPr>
          <w:snapToGrid w:val="0"/>
        </w:rPr>
        <w:tab/>
      </w:r>
      <w:r>
        <w:rPr>
          <w:snapToGrid w:val="0"/>
        </w:rPr>
        <w:tab/>
        <w:t>The control or prohibition of — </w:t>
      </w:r>
    </w:p>
    <w:p>
      <w:pPr>
        <w:pStyle w:val="yIndenta"/>
        <w:spacing w:before="60"/>
        <w:rPr>
          <w:snapToGrid w:val="0"/>
        </w:rPr>
      </w:pPr>
      <w:r>
        <w:rPr>
          <w:snapToGrid w:val="0"/>
        </w:rPr>
        <w:tab/>
        <w:t>(a)</w:t>
      </w:r>
      <w:r>
        <w:rPr>
          <w:snapToGrid w:val="0"/>
        </w:rPr>
        <w:tab/>
        <w:t>entry into or presence in a port or any specified part or parts of a port by or of a person or class of persons or by or of a thing or class of things; or</w:t>
      </w:r>
    </w:p>
    <w:p>
      <w:pPr>
        <w:pStyle w:val="yIndenta"/>
        <w:spacing w:before="60"/>
        <w:rPr>
          <w:snapToGrid w:val="0"/>
        </w:rPr>
      </w:pPr>
      <w:r>
        <w:rPr>
          <w:snapToGrid w:val="0"/>
        </w:rPr>
        <w:tab/>
        <w:t>(b)</w:t>
      </w:r>
      <w:r>
        <w:rPr>
          <w:snapToGrid w:val="0"/>
        </w:rPr>
        <w:tab/>
        <w:t>doing or omitting to do a thing or class of things in a port or any specified part or parts of a port.</w:t>
      </w:r>
    </w:p>
    <w:p>
      <w:pPr>
        <w:pStyle w:val="ySubsection"/>
        <w:spacing w:before="120"/>
        <w:rPr>
          <w:snapToGrid w:val="0"/>
        </w:rPr>
      </w:pPr>
      <w:r>
        <w:rPr>
          <w:snapToGrid w:val="0"/>
        </w:rPr>
        <w:t>3.</w:t>
      </w:r>
      <w:r>
        <w:rPr>
          <w:snapToGrid w:val="0"/>
        </w:rPr>
        <w:tab/>
      </w:r>
      <w:r>
        <w:rPr>
          <w:snapToGrid w:val="0"/>
        </w:rPr>
        <w:tab/>
        <w:t>All matters relating to the protection of life and property and safe navigation in a port.</w:t>
      </w:r>
    </w:p>
    <w:p>
      <w:pPr>
        <w:pStyle w:val="ySubsection"/>
        <w:spacing w:before="120"/>
        <w:rPr>
          <w:snapToGrid w:val="0"/>
        </w:rPr>
      </w:pPr>
      <w:r>
        <w:rPr>
          <w:snapToGrid w:val="0"/>
        </w:rPr>
        <w:t>4.</w:t>
      </w:r>
      <w:r>
        <w:rPr>
          <w:snapToGrid w:val="0"/>
        </w:rPr>
        <w:tab/>
      </w:r>
      <w:r>
        <w:rPr>
          <w:snapToGrid w:val="0"/>
        </w:rPr>
        <w:tab/>
        <w:t>The use of tide signals and other signals in a port.</w:t>
      </w:r>
    </w:p>
    <w:p>
      <w:pPr>
        <w:pStyle w:val="ySubsection"/>
        <w:spacing w:before="120"/>
        <w:rPr>
          <w:snapToGrid w:val="0"/>
        </w:rPr>
      </w:pPr>
      <w:r>
        <w:rPr>
          <w:snapToGrid w:val="0"/>
        </w:rPr>
        <w:t>5.</w:t>
      </w:r>
      <w:r>
        <w:rPr>
          <w:snapToGrid w:val="0"/>
        </w:rPr>
        <w:tab/>
      </w:r>
      <w:r>
        <w:rPr>
          <w:snapToGrid w:val="0"/>
        </w:rPr>
        <w:tab/>
        <w:t>Prevention of overloading or overcrowding of vessels.</w:t>
      </w:r>
    </w:p>
    <w:p>
      <w:pPr>
        <w:pStyle w:val="ySubsection"/>
        <w:spacing w:before="120"/>
        <w:rPr>
          <w:snapToGrid w:val="0"/>
        </w:rPr>
      </w:pPr>
      <w:r>
        <w:rPr>
          <w:snapToGrid w:val="0"/>
        </w:rPr>
        <w:t>6.</w:t>
      </w:r>
      <w:r>
        <w:rPr>
          <w:snapToGrid w:val="0"/>
        </w:rPr>
        <w:tab/>
      </w:r>
      <w:r>
        <w:rPr>
          <w:snapToGrid w:val="0"/>
        </w:rPr>
        <w:tab/>
        <w:t>The powers, duties and obligations of the harbour master of a port in respect of the matters referred to in item 5 and the rights and liabilities of persons affected by the exercise of such a power or connected with a vessel in respect of which such a power is exercised.</w:t>
      </w:r>
    </w:p>
    <w:p>
      <w:pPr>
        <w:pStyle w:val="ySubsection"/>
        <w:spacing w:before="120"/>
        <w:rPr>
          <w:snapToGrid w:val="0"/>
        </w:rPr>
      </w:pPr>
      <w:r>
        <w:rPr>
          <w:snapToGrid w:val="0"/>
        </w:rPr>
        <w:t>7.</w:t>
      </w:r>
      <w:r>
        <w:rPr>
          <w:snapToGrid w:val="0"/>
        </w:rPr>
        <w:tab/>
        <w:t>(1)</w:t>
      </w:r>
      <w:r>
        <w:rPr>
          <w:snapToGrid w:val="0"/>
        </w:rPr>
        <w:tab/>
        <w:t>The landing, shipping, trans</w:t>
      </w:r>
      <w:r>
        <w:rPr>
          <w:snapToGrid w:val="0"/>
        </w:rPr>
        <w:noBreakHyphen/>
        <w:t xml:space="preserve">shipping, unshipping, warehousing, stowing, depositing, removal or keeping of dangerous goods as defined by the </w:t>
      </w:r>
      <w:r>
        <w:rPr>
          <w:i/>
          <w:iCs/>
          <w:snapToGrid w:val="0"/>
        </w:rPr>
        <w:t>Dangerous Goods Safety Act 2004</w:t>
      </w:r>
      <w:r>
        <w:rPr>
          <w:snapToGrid w:val="0"/>
        </w:rPr>
        <w:t xml:space="preserve"> and of such other substances as the Minister may specify as being dangerous goods for the purposes of the regulations.</w:t>
      </w:r>
    </w:p>
    <w:p>
      <w:pPr>
        <w:pStyle w:val="ySubsection"/>
        <w:spacing w:before="120"/>
        <w:rPr>
          <w:snapToGrid w:val="0"/>
        </w:rPr>
      </w:pPr>
      <w:r>
        <w:rPr>
          <w:snapToGrid w:val="0"/>
        </w:rPr>
        <w:tab/>
        <w:t>(2)</w:t>
      </w:r>
      <w:r>
        <w:rPr>
          <w:snapToGrid w:val="0"/>
        </w:rPr>
        <w:tab/>
        <w:t>The landing, shipping, trans</w:t>
      </w:r>
      <w:r>
        <w:rPr>
          <w:snapToGrid w:val="0"/>
        </w:rPr>
        <w:noBreakHyphen/>
        <w:t>shipping, unshipping, warehousing, stowing, depositing, removal or keeping of goods other than those substances referred to in subitem (1).</w:t>
      </w:r>
    </w:p>
    <w:p>
      <w:pPr>
        <w:pStyle w:val="ySubsection"/>
        <w:spacing w:before="120"/>
        <w:rPr>
          <w:snapToGrid w:val="0"/>
        </w:rPr>
      </w:pPr>
      <w:r>
        <w:rPr>
          <w:snapToGrid w:val="0"/>
        </w:rPr>
        <w:t>8.</w:t>
      </w:r>
      <w:r>
        <w:rPr>
          <w:snapToGrid w:val="0"/>
        </w:rPr>
        <w:tab/>
      </w:r>
      <w:r>
        <w:rPr>
          <w:snapToGrid w:val="0"/>
        </w:rPr>
        <w:tab/>
        <w:t>The movement, mooring, loading and unloading of vessels.</w:t>
      </w:r>
    </w:p>
    <w:p>
      <w:pPr>
        <w:pStyle w:val="ySubsection"/>
        <w:keepNext/>
        <w:spacing w:before="120"/>
        <w:rPr>
          <w:snapToGrid w:val="0"/>
        </w:rPr>
      </w:pPr>
      <w:r>
        <w:rPr>
          <w:snapToGrid w:val="0"/>
        </w:rPr>
        <w:t>9.</w:t>
      </w:r>
      <w:r>
        <w:rPr>
          <w:snapToGrid w:val="0"/>
        </w:rPr>
        <w:tab/>
      </w:r>
      <w:r>
        <w:rPr>
          <w:snapToGrid w:val="0"/>
        </w:rPr>
        <w:tab/>
        <w:t>The control of the provision, at or in relation to a port, of —</w:t>
      </w:r>
    </w:p>
    <w:p>
      <w:pPr>
        <w:pStyle w:val="yIndenta"/>
        <w:rPr>
          <w:snapToGrid w:val="0"/>
        </w:rPr>
      </w:pPr>
      <w:r>
        <w:rPr>
          <w:snapToGrid w:val="0"/>
        </w:rPr>
        <w:tab/>
        <w:t>(a)</w:t>
      </w:r>
      <w:r>
        <w:rPr>
          <w:snapToGrid w:val="0"/>
        </w:rPr>
        <w:tab/>
        <w:t>pilotage services; or</w:t>
      </w:r>
    </w:p>
    <w:p>
      <w:pPr>
        <w:pStyle w:val="yIndenta"/>
        <w:rPr>
          <w:snapToGrid w:val="0"/>
        </w:rPr>
      </w:pPr>
      <w:r>
        <w:rPr>
          <w:snapToGrid w:val="0"/>
        </w:rPr>
        <w:tab/>
        <w:t>(b)</w:t>
      </w:r>
      <w:r>
        <w:rPr>
          <w:snapToGrid w:val="0"/>
        </w:rPr>
        <w:tab/>
        <w:t>towage services; or</w:t>
      </w:r>
    </w:p>
    <w:p>
      <w:pPr>
        <w:pStyle w:val="yIndenta"/>
        <w:rPr>
          <w:snapToGrid w:val="0"/>
        </w:rPr>
      </w:pPr>
      <w:r>
        <w:rPr>
          <w:snapToGrid w:val="0"/>
        </w:rPr>
        <w:tab/>
        <w:t>(c)</w:t>
      </w:r>
      <w:r>
        <w:rPr>
          <w:snapToGrid w:val="0"/>
        </w:rPr>
        <w:tab/>
        <w:t>stevedoring services; or</w:t>
      </w:r>
    </w:p>
    <w:p>
      <w:pPr>
        <w:pStyle w:val="yIndenta"/>
        <w:rPr>
          <w:snapToGrid w:val="0"/>
        </w:rPr>
      </w:pPr>
      <w:r>
        <w:rPr>
          <w:snapToGrid w:val="0"/>
        </w:rPr>
        <w:tab/>
        <w:t>(d)</w:t>
      </w:r>
      <w:r>
        <w:rPr>
          <w:snapToGrid w:val="0"/>
        </w:rPr>
        <w:tab/>
        <w:t>port services of any other kind.</w:t>
      </w:r>
    </w:p>
    <w:p>
      <w:pPr>
        <w:pStyle w:val="ySubsection"/>
        <w:rPr>
          <w:snapToGrid w:val="0"/>
        </w:rPr>
      </w:pPr>
      <w:r>
        <w:rPr>
          <w:snapToGrid w:val="0"/>
        </w:rPr>
        <w:t>10.</w:t>
      </w:r>
      <w:r>
        <w:rPr>
          <w:snapToGrid w:val="0"/>
        </w:rPr>
        <w:tab/>
      </w:r>
      <w:r>
        <w:rPr>
          <w:snapToGrid w:val="0"/>
        </w:rPr>
        <w:tab/>
        <w:t>The taking on and landing of passengers.</w:t>
      </w:r>
    </w:p>
    <w:p>
      <w:pPr>
        <w:pStyle w:val="ySubsection"/>
        <w:rPr>
          <w:snapToGrid w:val="0"/>
        </w:rPr>
      </w:pPr>
      <w:r>
        <w:rPr>
          <w:snapToGrid w:val="0"/>
        </w:rPr>
        <w:t>11.</w:t>
      </w:r>
      <w:r>
        <w:rPr>
          <w:snapToGrid w:val="0"/>
        </w:rPr>
        <w:tab/>
      </w:r>
      <w:r>
        <w:rPr>
          <w:snapToGrid w:val="0"/>
        </w:rPr>
        <w:tab/>
        <w:t>The taking in, management and discharge or delivery of ballast.</w:t>
      </w:r>
    </w:p>
    <w:p>
      <w:pPr>
        <w:pStyle w:val="ySubsection"/>
        <w:rPr>
          <w:snapToGrid w:val="0"/>
        </w:rPr>
      </w:pPr>
      <w:r>
        <w:rPr>
          <w:snapToGrid w:val="0"/>
        </w:rPr>
        <w:t>12.</w:t>
      </w:r>
      <w:r>
        <w:rPr>
          <w:snapToGrid w:val="0"/>
        </w:rPr>
        <w:tab/>
      </w:r>
      <w:r>
        <w:rPr>
          <w:snapToGrid w:val="0"/>
        </w:rPr>
        <w:tab/>
        <w:t>The use, cleaning, repair, maintenance and effective preservation of jetties and wharf loading areas.</w:t>
      </w:r>
    </w:p>
    <w:p>
      <w:pPr>
        <w:pStyle w:val="ySubsection"/>
        <w:rPr>
          <w:snapToGrid w:val="0"/>
        </w:rPr>
      </w:pPr>
      <w:r>
        <w:rPr>
          <w:snapToGrid w:val="0"/>
        </w:rPr>
        <w:t>13.</w:t>
      </w:r>
      <w:r>
        <w:rPr>
          <w:snapToGrid w:val="0"/>
        </w:rPr>
        <w:tab/>
      </w:r>
      <w:r>
        <w:rPr>
          <w:snapToGrid w:val="0"/>
        </w:rPr>
        <w:tab/>
        <w:t>Traffic in a port.</w:t>
      </w:r>
    </w:p>
    <w:p>
      <w:pPr>
        <w:pStyle w:val="ySubsection"/>
        <w:rPr>
          <w:snapToGrid w:val="0"/>
        </w:rPr>
      </w:pPr>
      <w:r>
        <w:rPr>
          <w:snapToGrid w:val="0"/>
        </w:rPr>
        <w:t>14.</w:t>
      </w:r>
      <w:r>
        <w:rPr>
          <w:snapToGrid w:val="0"/>
        </w:rPr>
        <w:tab/>
      </w:r>
      <w:r>
        <w:rPr>
          <w:snapToGrid w:val="0"/>
        </w:rPr>
        <w:tab/>
        <w:t>The powers of a port authority to — </w:t>
      </w:r>
    </w:p>
    <w:p>
      <w:pPr>
        <w:pStyle w:val="yIndenta"/>
        <w:rPr>
          <w:snapToGrid w:val="0"/>
        </w:rPr>
      </w:pPr>
      <w:r>
        <w:rPr>
          <w:snapToGrid w:val="0"/>
        </w:rPr>
        <w:tab/>
        <w:t>(a)</w:t>
      </w:r>
      <w:r>
        <w:rPr>
          <w:snapToGrid w:val="0"/>
        </w:rPr>
        <w:tab/>
        <w:t>move; or</w:t>
      </w:r>
    </w:p>
    <w:p>
      <w:pPr>
        <w:pStyle w:val="yIndenta"/>
        <w:rPr>
          <w:snapToGrid w:val="0"/>
        </w:rPr>
      </w:pPr>
      <w:r>
        <w:rPr>
          <w:snapToGrid w:val="0"/>
        </w:rPr>
        <w:tab/>
        <w:t>(b)</w:t>
      </w:r>
      <w:r>
        <w:rPr>
          <w:snapToGrid w:val="0"/>
        </w:rPr>
        <w:tab/>
        <w:t>remove from the port,</w:t>
      </w:r>
    </w:p>
    <w:p>
      <w:pPr>
        <w:pStyle w:val="ySubsection"/>
        <w:rPr>
          <w:snapToGrid w:val="0"/>
        </w:rPr>
      </w:pPr>
      <w:r>
        <w:rPr>
          <w:snapToGrid w:val="0"/>
        </w:rPr>
        <w:tab/>
      </w:r>
      <w:r>
        <w:rPr>
          <w:snapToGrid w:val="0"/>
        </w:rPr>
        <w:tab/>
        <w:t>vehicles or other things that are obstructing, or may obstruct, traffic in the port.</w:t>
      </w:r>
    </w:p>
    <w:p>
      <w:pPr>
        <w:pStyle w:val="ySubsection"/>
        <w:rPr>
          <w:snapToGrid w:val="0"/>
        </w:rPr>
      </w:pPr>
      <w:r>
        <w:rPr>
          <w:snapToGrid w:val="0"/>
        </w:rPr>
        <w:t>15.</w:t>
      </w:r>
      <w:r>
        <w:rPr>
          <w:snapToGrid w:val="0"/>
        </w:rPr>
        <w:tab/>
      </w:r>
      <w:r>
        <w:rPr>
          <w:snapToGrid w:val="0"/>
        </w:rPr>
        <w:tab/>
        <w:t>Parking of vehicles in a port.</w:t>
      </w:r>
    </w:p>
    <w:p>
      <w:pPr>
        <w:pStyle w:val="ySubsection"/>
        <w:rPr>
          <w:snapToGrid w:val="0"/>
        </w:rPr>
      </w:pPr>
      <w:r>
        <w:rPr>
          <w:snapToGrid w:val="0"/>
        </w:rPr>
        <w:t>16.</w:t>
      </w:r>
      <w:r>
        <w:rPr>
          <w:snapToGrid w:val="0"/>
        </w:rPr>
        <w:tab/>
      </w:r>
      <w:r>
        <w:rPr>
          <w:snapToGrid w:val="0"/>
        </w:rPr>
        <w:tab/>
        <w:t>The powers of a port authority to deal with or sell or otherwise dispose of goods that have remained in the port for longer than a prescribed period or are affecting or may affect any property of the port authority or any other goods in the port, and — </w:t>
      </w:r>
    </w:p>
    <w:p>
      <w:pPr>
        <w:pStyle w:val="yIndenta"/>
        <w:rPr>
          <w:snapToGrid w:val="0"/>
        </w:rPr>
      </w:pPr>
      <w:r>
        <w:rPr>
          <w:snapToGrid w:val="0"/>
        </w:rPr>
        <w:tab/>
        <w:t>(a)</w:t>
      </w:r>
      <w:r>
        <w:rPr>
          <w:snapToGrid w:val="0"/>
        </w:rPr>
        <w:tab/>
        <w:t>the liability of persons for any charges imposed or expenses incurred by the port authority in the exercise of its powers under regulations made under this item; and</w:t>
      </w:r>
    </w:p>
    <w:p>
      <w:pPr>
        <w:pStyle w:val="yIndenta"/>
        <w:rPr>
          <w:snapToGrid w:val="0"/>
        </w:rPr>
      </w:pPr>
      <w:r>
        <w:rPr>
          <w:snapToGrid w:val="0"/>
        </w:rPr>
        <w:tab/>
        <w:t>(b)</w:t>
      </w:r>
      <w:r>
        <w:rPr>
          <w:snapToGrid w:val="0"/>
        </w:rPr>
        <w:tab/>
        <w:t>the manner in which the proceeds of goods sold by a port authority under its powers under regulations made under this item may be applied.</w:t>
      </w:r>
    </w:p>
    <w:p>
      <w:pPr>
        <w:pStyle w:val="ySubsection"/>
        <w:rPr>
          <w:snapToGrid w:val="0"/>
        </w:rPr>
      </w:pPr>
      <w:r>
        <w:rPr>
          <w:snapToGrid w:val="0"/>
        </w:rPr>
        <w:t>17.</w:t>
      </w:r>
      <w:r>
        <w:rPr>
          <w:snapToGrid w:val="0"/>
        </w:rPr>
        <w:tab/>
      </w:r>
      <w:r>
        <w:rPr>
          <w:snapToGrid w:val="0"/>
        </w:rPr>
        <w:tab/>
        <w:t>Regulation of the duties and conduct of persons in a port.</w:t>
      </w:r>
    </w:p>
    <w:p>
      <w:pPr>
        <w:pStyle w:val="ySubsection"/>
        <w:rPr>
          <w:snapToGrid w:val="0"/>
        </w:rPr>
      </w:pPr>
      <w:r>
        <w:rPr>
          <w:snapToGrid w:val="0"/>
        </w:rPr>
        <w:t>18.</w:t>
      </w:r>
      <w:r>
        <w:rPr>
          <w:snapToGrid w:val="0"/>
        </w:rPr>
        <w:tab/>
      </w:r>
      <w:r>
        <w:rPr>
          <w:snapToGrid w:val="0"/>
        </w:rPr>
        <w:tab/>
        <w:t>The control and management of ferries operating for hire at jetties or public thoroughfares.</w:t>
      </w:r>
    </w:p>
    <w:p>
      <w:pPr>
        <w:pStyle w:val="ySubsection"/>
        <w:rPr>
          <w:snapToGrid w:val="0"/>
        </w:rPr>
      </w:pPr>
      <w:r>
        <w:rPr>
          <w:snapToGrid w:val="0"/>
        </w:rPr>
        <w:t>19.</w:t>
      </w:r>
      <w:r>
        <w:rPr>
          <w:snapToGrid w:val="0"/>
        </w:rPr>
        <w:tab/>
      </w:r>
      <w:r>
        <w:rPr>
          <w:snapToGrid w:val="0"/>
        </w:rPr>
        <w:tab/>
        <w:t>The control of the operation of vessels operating for hire either for goods or passengers in a port.</w:t>
      </w:r>
    </w:p>
    <w:p>
      <w:pPr>
        <w:pStyle w:val="ySubsection"/>
        <w:rPr>
          <w:snapToGrid w:val="0"/>
        </w:rPr>
      </w:pPr>
      <w:r>
        <w:rPr>
          <w:snapToGrid w:val="0"/>
        </w:rPr>
        <w:t>20.</w:t>
      </w:r>
      <w:r>
        <w:rPr>
          <w:snapToGrid w:val="0"/>
        </w:rPr>
        <w:tab/>
      </w:r>
      <w:r>
        <w:rPr>
          <w:snapToGrid w:val="0"/>
        </w:rPr>
        <w:tab/>
        <w:t>The control of the operation of machinery on jetties and wharf loading areas.</w:t>
      </w:r>
    </w:p>
    <w:p>
      <w:pPr>
        <w:pStyle w:val="ySubsection"/>
        <w:rPr>
          <w:snapToGrid w:val="0"/>
        </w:rPr>
      </w:pPr>
      <w:r>
        <w:rPr>
          <w:snapToGrid w:val="0"/>
        </w:rPr>
        <w:t>21.</w:t>
      </w:r>
      <w:r>
        <w:rPr>
          <w:snapToGrid w:val="0"/>
        </w:rPr>
        <w:tab/>
      </w:r>
      <w:r>
        <w:rPr>
          <w:snapToGrid w:val="0"/>
        </w:rPr>
        <w:tab/>
        <w:t>The conduct of persons operating vessels or machinery referred to in item 19 or 20.</w:t>
      </w:r>
    </w:p>
    <w:p>
      <w:pPr>
        <w:pStyle w:val="ySubsection"/>
        <w:rPr>
          <w:snapToGrid w:val="0"/>
        </w:rPr>
      </w:pPr>
      <w:r>
        <w:rPr>
          <w:snapToGrid w:val="0"/>
        </w:rPr>
        <w:t>22.</w:t>
      </w:r>
      <w:r>
        <w:rPr>
          <w:snapToGrid w:val="0"/>
        </w:rPr>
        <w:tab/>
      </w:r>
      <w:r>
        <w:rPr>
          <w:snapToGrid w:val="0"/>
        </w:rPr>
        <w:tab/>
        <w:t xml:space="preserve">The control of the installation and use of moorings. </w:t>
      </w:r>
    </w:p>
    <w:p>
      <w:pPr>
        <w:pStyle w:val="ySubsection"/>
        <w:rPr>
          <w:snapToGrid w:val="0"/>
        </w:rPr>
      </w:pPr>
      <w:r>
        <w:rPr>
          <w:snapToGrid w:val="0"/>
        </w:rPr>
        <w:t>23.</w:t>
      </w:r>
      <w:r>
        <w:rPr>
          <w:snapToGrid w:val="0"/>
        </w:rPr>
        <w:tab/>
      </w:r>
      <w:r>
        <w:rPr>
          <w:snapToGrid w:val="0"/>
        </w:rPr>
        <w:tab/>
        <w:t>The calculation or ascertainment of port charges and the powers of a collector of port charges, either alone or with other persons, to enter a vessel in order to calculate or ascertain the port charges payable in respect of the vessel or of goods on the vessel.</w:t>
      </w:r>
    </w:p>
    <w:p>
      <w:pPr>
        <w:pStyle w:val="ySubsection"/>
        <w:rPr>
          <w:snapToGrid w:val="0"/>
        </w:rPr>
      </w:pPr>
      <w:r>
        <w:rPr>
          <w:snapToGrid w:val="0"/>
        </w:rPr>
        <w:t>24.</w:t>
      </w:r>
      <w:r>
        <w:rPr>
          <w:snapToGrid w:val="0"/>
        </w:rPr>
        <w:tab/>
      </w:r>
      <w:r>
        <w:rPr>
          <w:snapToGrid w:val="0"/>
        </w:rPr>
        <w:tab/>
        <w:t>To require the master of every vessel to give notice of arrival at a port within a specified time before arrival.</w:t>
      </w:r>
    </w:p>
    <w:p>
      <w:pPr>
        <w:pStyle w:val="ySubsection"/>
        <w:rPr>
          <w:snapToGrid w:val="0"/>
        </w:rPr>
      </w:pPr>
      <w:r>
        <w:rPr>
          <w:snapToGrid w:val="0"/>
        </w:rPr>
        <w:t>25.</w:t>
      </w:r>
      <w:r>
        <w:rPr>
          <w:snapToGrid w:val="0"/>
        </w:rPr>
        <w:tab/>
      </w:r>
      <w:r>
        <w:rPr>
          <w:snapToGrid w:val="0"/>
        </w:rPr>
        <w:tab/>
        <w:t>To require the master of every vessel to produce the certificate of registry or other national papers of that vessel to a collector of port charges or to any other member of staff on demand.</w:t>
      </w:r>
    </w:p>
    <w:p>
      <w:pPr>
        <w:pStyle w:val="ySubsection"/>
        <w:rPr>
          <w:snapToGrid w:val="0"/>
        </w:rPr>
      </w:pPr>
      <w:r>
        <w:rPr>
          <w:snapToGrid w:val="0"/>
        </w:rPr>
        <w:t>26.</w:t>
      </w:r>
      <w:r>
        <w:rPr>
          <w:snapToGrid w:val="0"/>
        </w:rPr>
        <w:tab/>
      </w:r>
      <w:r>
        <w:rPr>
          <w:snapToGrid w:val="0"/>
        </w:rPr>
        <w:tab/>
        <w:t>To require the master of a vessel to give documentation or information in such form as may be required by a port authority of all goods to be loaded or unloaded on to or from the vessel at the port.</w:t>
      </w:r>
    </w:p>
    <w:p>
      <w:pPr>
        <w:pStyle w:val="ySubsection"/>
        <w:rPr>
          <w:snapToGrid w:val="0"/>
        </w:rPr>
      </w:pPr>
      <w:r>
        <w:rPr>
          <w:snapToGrid w:val="0"/>
        </w:rPr>
        <w:t>27.</w:t>
      </w:r>
      <w:r>
        <w:rPr>
          <w:snapToGrid w:val="0"/>
        </w:rPr>
        <w:tab/>
      </w:r>
      <w:r>
        <w:rPr>
          <w:snapToGrid w:val="0"/>
        </w:rPr>
        <w:tab/>
        <w:t>To require the master of a vessel to obtain permission to load or unload goods at a port before doing so.</w:t>
      </w:r>
    </w:p>
    <w:p>
      <w:pPr>
        <w:pStyle w:val="ySubsection"/>
        <w:rPr>
          <w:snapToGrid w:val="0"/>
        </w:rPr>
      </w:pPr>
      <w:r>
        <w:rPr>
          <w:snapToGrid w:val="0"/>
        </w:rPr>
        <w:t>28.</w:t>
      </w:r>
      <w:r>
        <w:rPr>
          <w:snapToGrid w:val="0"/>
        </w:rPr>
        <w:tab/>
      </w:r>
      <w:r>
        <w:rPr>
          <w:snapToGrid w:val="0"/>
        </w:rPr>
        <w:tab/>
        <w:t>To require the shippers of goods to furnish information as to the goods intended to be shipped.</w:t>
      </w:r>
    </w:p>
    <w:p>
      <w:pPr>
        <w:pStyle w:val="ySubsection"/>
        <w:rPr>
          <w:snapToGrid w:val="0"/>
        </w:rPr>
      </w:pPr>
      <w:r>
        <w:rPr>
          <w:snapToGrid w:val="0"/>
        </w:rPr>
        <w:t>29.</w:t>
      </w:r>
      <w:r>
        <w:rPr>
          <w:snapToGrid w:val="0"/>
        </w:rPr>
        <w:tab/>
      </w:r>
      <w:r>
        <w:rPr>
          <w:snapToGrid w:val="0"/>
        </w:rPr>
        <w:tab/>
        <w:t>To give binding effect to — </w:t>
      </w:r>
    </w:p>
    <w:p>
      <w:pPr>
        <w:pStyle w:val="yIndenta"/>
        <w:rPr>
          <w:snapToGrid w:val="0"/>
        </w:rPr>
      </w:pPr>
      <w:r>
        <w:rPr>
          <w:snapToGrid w:val="0"/>
        </w:rPr>
        <w:tab/>
        <w:t>(a)</w:t>
      </w:r>
      <w:r>
        <w:rPr>
          <w:snapToGrid w:val="0"/>
        </w:rPr>
        <w:tab/>
        <w:t>descriptions of and statements about goods (including as to value) in bills of lading, manifests or receipts; and</w:t>
      </w:r>
    </w:p>
    <w:p>
      <w:pPr>
        <w:pStyle w:val="yIndenta"/>
        <w:rPr>
          <w:snapToGrid w:val="0"/>
        </w:rPr>
      </w:pPr>
      <w:r>
        <w:rPr>
          <w:snapToGrid w:val="0"/>
        </w:rPr>
        <w:tab/>
        <w:t>(b)</w:t>
      </w:r>
      <w:r>
        <w:rPr>
          <w:snapToGrid w:val="0"/>
        </w:rPr>
        <w:tab/>
        <w:t>the terms and conditions of bills of lading, manifests or receipts.</w:t>
      </w:r>
    </w:p>
    <w:p>
      <w:pPr>
        <w:pStyle w:val="ySubsection"/>
        <w:rPr>
          <w:snapToGrid w:val="0"/>
        </w:rPr>
      </w:pPr>
      <w:r>
        <w:rPr>
          <w:snapToGrid w:val="0"/>
        </w:rPr>
        <w:t>30.</w:t>
      </w:r>
      <w:r>
        <w:rPr>
          <w:snapToGrid w:val="0"/>
        </w:rPr>
        <w:tab/>
      </w:r>
      <w:r>
        <w:rPr>
          <w:snapToGrid w:val="0"/>
        </w:rPr>
        <w:tab/>
        <w:t>Pilotage matters generally and, in particular —</w:t>
      </w:r>
    </w:p>
    <w:p>
      <w:pPr>
        <w:pStyle w:val="yIndenta"/>
        <w:rPr>
          <w:snapToGrid w:val="0"/>
        </w:rPr>
      </w:pPr>
      <w:r>
        <w:rPr>
          <w:snapToGrid w:val="0"/>
        </w:rPr>
        <w:tab/>
        <w:t>(a)</w:t>
      </w:r>
      <w:r>
        <w:rPr>
          <w:snapToGrid w:val="0"/>
        </w:rPr>
        <w:tab/>
        <w:t>procedures for and matters relating to the approval of persons as pilots for a port; and</w:t>
      </w:r>
    </w:p>
    <w:p>
      <w:pPr>
        <w:pStyle w:val="yIndenta"/>
        <w:rPr>
          <w:snapToGrid w:val="0"/>
        </w:rPr>
      </w:pPr>
      <w:r>
        <w:rPr>
          <w:snapToGrid w:val="0"/>
        </w:rPr>
        <w:tab/>
        <w:t>(b)</w:t>
      </w:r>
      <w:r>
        <w:rPr>
          <w:snapToGrid w:val="0"/>
        </w:rPr>
        <w:tab/>
        <w:t>vessels that do not have to have an approved pilot; and</w:t>
      </w:r>
    </w:p>
    <w:p>
      <w:pPr>
        <w:pStyle w:val="yIndenta"/>
      </w:pPr>
      <w:r>
        <w:rPr>
          <w:snapToGrid w:val="0"/>
        </w:rPr>
        <w:tab/>
        <w:t>(c)</w:t>
      </w:r>
      <w:r>
        <w:rPr>
          <w:snapToGrid w:val="0"/>
        </w:rPr>
        <w:tab/>
        <w:t>procedures for and matters relating to pilotage exemption certificates.</w:t>
      </w:r>
    </w:p>
    <w:p>
      <w:pPr>
        <w:pStyle w:val="ySubsection"/>
        <w:rPr>
          <w:snapToGrid w:val="0"/>
        </w:rPr>
      </w:pPr>
      <w:r>
        <w:rPr>
          <w:snapToGrid w:val="0"/>
        </w:rPr>
        <w:t>31.</w:t>
      </w:r>
      <w:r>
        <w:rPr>
          <w:snapToGrid w:val="0"/>
        </w:rPr>
        <w:tab/>
      </w:r>
      <w:r>
        <w:rPr>
          <w:snapToGrid w:val="0"/>
        </w:rPr>
        <w:tab/>
        <w:t>The speed of vessels in a port.</w:t>
      </w:r>
    </w:p>
    <w:p>
      <w:pPr>
        <w:pStyle w:val="ySubsection"/>
        <w:rPr>
          <w:snapToGrid w:val="0"/>
        </w:rPr>
      </w:pPr>
      <w:r>
        <w:rPr>
          <w:snapToGrid w:val="0"/>
        </w:rPr>
        <w:t>32.</w:t>
      </w:r>
      <w:r>
        <w:rPr>
          <w:snapToGrid w:val="0"/>
        </w:rPr>
        <w:tab/>
      </w:r>
      <w:r>
        <w:rPr>
          <w:snapToGrid w:val="0"/>
        </w:rPr>
        <w:tab/>
        <w:t>The recovery of expenses incurred by a port authority in exercising powers under the regulations.</w:t>
      </w:r>
    </w:p>
    <w:p>
      <w:pPr>
        <w:pStyle w:val="ySubsection"/>
        <w:rPr>
          <w:snapToGrid w:val="0"/>
        </w:rPr>
      </w:pPr>
      <w:r>
        <w:rPr>
          <w:snapToGrid w:val="0"/>
        </w:rPr>
        <w:t>33.</w:t>
      </w:r>
      <w:r>
        <w:rPr>
          <w:snapToGrid w:val="0"/>
        </w:rPr>
        <w:tab/>
      </w:r>
      <w:r>
        <w:rPr>
          <w:snapToGrid w:val="0"/>
        </w:rPr>
        <w:tab/>
        <w:t>Limitation of the liability of a port authority for damage or loss either generally or in circumstances specified in the regulations.</w:t>
      </w:r>
    </w:p>
    <w:p>
      <w:pPr>
        <w:pStyle w:val="ySubsection"/>
        <w:rPr>
          <w:snapToGrid w:val="0"/>
        </w:rPr>
      </w:pPr>
      <w:r>
        <w:rPr>
          <w:snapToGrid w:val="0"/>
        </w:rPr>
        <w:t>34.</w:t>
      </w:r>
      <w:r>
        <w:rPr>
          <w:snapToGrid w:val="0"/>
        </w:rPr>
        <w:tab/>
      </w:r>
      <w:r>
        <w:rPr>
          <w:snapToGrid w:val="0"/>
        </w:rPr>
        <w:tab/>
        <w:t>Exemption of a port authority from liability for damage or loss in circumstances specified in the regulations.</w:t>
      </w:r>
    </w:p>
    <w:p>
      <w:pPr>
        <w:pStyle w:val="ySubsection"/>
        <w:rPr>
          <w:snapToGrid w:val="0"/>
        </w:rPr>
      </w:pPr>
      <w:r>
        <w:rPr>
          <w:snapToGrid w:val="0"/>
        </w:rPr>
        <w:t>35.</w:t>
      </w:r>
      <w:r>
        <w:rPr>
          <w:snapToGrid w:val="0"/>
        </w:rPr>
        <w:tab/>
      </w:r>
      <w:r>
        <w:rPr>
          <w:snapToGrid w:val="0"/>
        </w:rPr>
        <w:tab/>
        <w:t>Limitation of the time for making a claim against a port authority for loss or damage.</w:t>
      </w:r>
    </w:p>
    <w:p>
      <w:pPr>
        <w:pStyle w:val="ySubsection"/>
        <w:rPr>
          <w:snapToGrid w:val="0"/>
        </w:rPr>
      </w:pPr>
      <w:r>
        <w:rPr>
          <w:snapToGrid w:val="0"/>
        </w:rPr>
        <w:t>36.</w:t>
      </w:r>
      <w:r>
        <w:rPr>
          <w:snapToGrid w:val="0"/>
        </w:rPr>
        <w:tab/>
      </w:r>
      <w:r>
        <w:rPr>
          <w:snapToGrid w:val="0"/>
        </w:rPr>
        <w:tab/>
        <w:t>Conditions to be inserted in a lease granted under this Act.</w:t>
      </w:r>
    </w:p>
    <w:p>
      <w:pPr>
        <w:pStyle w:val="ySubsection"/>
        <w:rPr>
          <w:snapToGrid w:val="0"/>
        </w:rPr>
      </w:pPr>
      <w:r>
        <w:rPr>
          <w:snapToGrid w:val="0"/>
        </w:rPr>
        <w:t>37.</w:t>
      </w:r>
      <w:r>
        <w:rPr>
          <w:snapToGrid w:val="0"/>
        </w:rPr>
        <w:tab/>
      </w:r>
      <w:r>
        <w:rPr>
          <w:snapToGrid w:val="0"/>
        </w:rPr>
        <w:tab/>
        <w:t>The powers of members of staff and police officers in relation to persons who are committing or have committed or are believed to be committing, or to have committed, offences under this Act.</w:t>
      </w:r>
    </w:p>
    <w:p>
      <w:pPr>
        <w:pStyle w:val="ySubsection"/>
        <w:rPr>
          <w:snapToGrid w:val="0"/>
        </w:rPr>
      </w:pPr>
      <w:r>
        <w:rPr>
          <w:snapToGrid w:val="0"/>
        </w:rPr>
        <w:t>38.</w:t>
      </w:r>
      <w:r>
        <w:rPr>
          <w:snapToGrid w:val="0"/>
        </w:rPr>
        <w:tab/>
      </w:r>
      <w:r>
        <w:rPr>
          <w:snapToGrid w:val="0"/>
        </w:rPr>
        <w:tab/>
        <w:t>The deposit of litter, rubbish or waste substances of any kind and the abandonment or neglect of vessels or other material — </w:t>
      </w:r>
    </w:p>
    <w:p>
      <w:pPr>
        <w:pStyle w:val="yIndenta"/>
        <w:rPr>
          <w:snapToGrid w:val="0"/>
        </w:rPr>
      </w:pPr>
      <w:r>
        <w:rPr>
          <w:snapToGrid w:val="0"/>
        </w:rPr>
        <w:tab/>
        <w:t>(a)</w:t>
      </w:r>
      <w:r>
        <w:rPr>
          <w:snapToGrid w:val="0"/>
        </w:rPr>
        <w:tab/>
        <w:t>in a port; or</w:t>
      </w:r>
    </w:p>
    <w:p>
      <w:pPr>
        <w:pStyle w:val="yIndenta"/>
        <w:rPr>
          <w:snapToGrid w:val="0"/>
        </w:rPr>
      </w:pPr>
      <w:r>
        <w:rPr>
          <w:snapToGrid w:val="0"/>
        </w:rPr>
        <w:tab/>
        <w:t>(b)</w:t>
      </w:r>
      <w:r>
        <w:rPr>
          <w:snapToGrid w:val="0"/>
        </w:rPr>
        <w:tab/>
        <w:t>outside a port so as to affect or potentially affect, a port.</w:t>
      </w:r>
    </w:p>
    <w:p>
      <w:pPr>
        <w:pStyle w:val="yNumberedItem"/>
      </w:pPr>
      <w:r>
        <w:t>39.</w:t>
      </w:r>
      <w:r>
        <w:tab/>
        <w:t>The protection of port facilities or other property of a port authority.</w:t>
      </w:r>
    </w:p>
    <w:p>
      <w:pPr>
        <w:pStyle w:val="ySubsection"/>
        <w:rPr>
          <w:snapToGrid w:val="0"/>
        </w:rPr>
      </w:pPr>
      <w:r>
        <w:rPr>
          <w:snapToGrid w:val="0"/>
        </w:rPr>
        <w:t>40.</w:t>
      </w:r>
      <w:r>
        <w:rPr>
          <w:snapToGrid w:val="0"/>
        </w:rPr>
        <w:tab/>
      </w:r>
      <w:r>
        <w:rPr>
          <w:snapToGrid w:val="0"/>
        </w:rPr>
        <w:tab/>
        <w:t>Liability for loss or damage occurring because of obstruction of or interference with the operation of a navigational aid.</w:t>
      </w:r>
    </w:p>
    <w:p>
      <w:pPr>
        <w:pStyle w:val="ySubsection"/>
        <w:rPr>
          <w:snapToGrid w:val="0"/>
        </w:rPr>
      </w:pPr>
      <w:r>
        <w:rPr>
          <w:snapToGrid w:val="0"/>
        </w:rPr>
        <w:t>41.</w:t>
      </w:r>
      <w:r>
        <w:rPr>
          <w:snapToGrid w:val="0"/>
        </w:rPr>
        <w:tab/>
      </w:r>
      <w:r>
        <w:rPr>
          <w:snapToGrid w:val="0"/>
        </w:rPr>
        <w:tab/>
        <w:t>The protection of the environment of a port.</w:t>
      </w:r>
    </w:p>
    <w:p>
      <w:pPr>
        <w:pStyle w:val="ySubsection"/>
        <w:keepNext/>
        <w:rPr>
          <w:snapToGrid w:val="0"/>
        </w:rPr>
      </w:pPr>
      <w:r>
        <w:rPr>
          <w:snapToGrid w:val="0"/>
        </w:rPr>
        <w:t>42.</w:t>
      </w:r>
      <w:r>
        <w:rPr>
          <w:snapToGrid w:val="0"/>
        </w:rPr>
        <w:tab/>
      </w:r>
      <w:r>
        <w:rPr>
          <w:snapToGrid w:val="0"/>
        </w:rPr>
        <w:tab/>
        <w:t>Any other matters relating to — </w:t>
      </w:r>
    </w:p>
    <w:p>
      <w:pPr>
        <w:pStyle w:val="yIndenta"/>
        <w:rPr>
          <w:snapToGrid w:val="0"/>
        </w:rPr>
      </w:pPr>
      <w:r>
        <w:rPr>
          <w:snapToGrid w:val="0"/>
        </w:rPr>
        <w:tab/>
        <w:t>(a)</w:t>
      </w:r>
      <w:r>
        <w:rPr>
          <w:snapToGrid w:val="0"/>
        </w:rPr>
        <w:tab/>
        <w:t>the convenience of shipping, or of operations to do with the storage, loading or unloading of cargo, or of the public, in a port; or</w:t>
      </w:r>
    </w:p>
    <w:p>
      <w:pPr>
        <w:pStyle w:val="yIndenta"/>
        <w:rPr>
          <w:snapToGrid w:val="0"/>
        </w:rPr>
      </w:pPr>
      <w:r>
        <w:rPr>
          <w:snapToGrid w:val="0"/>
        </w:rPr>
        <w:tab/>
        <w:t>(b)</w:t>
      </w:r>
      <w:r>
        <w:rPr>
          <w:snapToGrid w:val="0"/>
        </w:rPr>
        <w:tab/>
        <w:t>the performance of the functions imposed on a port authority by this Act.</w:t>
      </w:r>
    </w:p>
    <w:p>
      <w:pPr>
        <w:pStyle w:val="yFootnotesection"/>
      </w:pPr>
      <w:r>
        <w:tab/>
        <w:t>[Schedule 7 amended by No. 71 of 2003 s. 9; No. 7 of 2004 s. 70.]</w:t>
      </w:r>
    </w:p>
    <w:p>
      <w:pPr>
        <w:sectPr>
          <w:headerReference w:type="even" r:id="rId38"/>
          <w:headerReference w:type="default" r:id="rId39"/>
          <w:pgSz w:w="11907" w:h="16840" w:code="9"/>
          <w:pgMar w:top="2376" w:right="2405" w:bottom="3542" w:left="2405" w:header="706" w:footer="3380" w:gutter="0"/>
          <w:cols w:space="720"/>
          <w:noEndnote/>
          <w:docGrid w:linePitch="326"/>
        </w:sectPr>
      </w:pPr>
    </w:p>
    <w:p>
      <w:pPr>
        <w:pStyle w:val="yScheduleHeading"/>
      </w:pPr>
      <w:bookmarkStart w:id="592" w:name="_Toc398890219"/>
      <w:bookmarkStart w:id="593" w:name="_Toc424284654"/>
      <w:r>
        <w:rPr>
          <w:rStyle w:val="CharSchNo"/>
        </w:rPr>
        <w:t>Schedule 8</w:t>
      </w:r>
      <w:r>
        <w:t> — </w:t>
      </w:r>
      <w:r>
        <w:rPr>
          <w:rStyle w:val="CharSchText"/>
        </w:rPr>
        <w:t>Transitional provisions</w:t>
      </w:r>
      <w:bookmarkEnd w:id="592"/>
      <w:bookmarkEnd w:id="593"/>
    </w:p>
    <w:p>
      <w:pPr>
        <w:pStyle w:val="yShoulderClause"/>
      </w:pPr>
      <w:r>
        <w:t>[s. 139A]</w:t>
      </w:r>
    </w:p>
    <w:p>
      <w:pPr>
        <w:pStyle w:val="yFootnoteheading"/>
        <w:spacing w:after="120"/>
      </w:pPr>
      <w:r>
        <w:tab/>
        <w:t>[Heading inserted by No. 9 of 2014 s. 35.]</w:t>
      </w:r>
    </w:p>
    <w:p>
      <w:pPr>
        <w:pStyle w:val="yHeading3"/>
      </w:pPr>
      <w:bookmarkStart w:id="594" w:name="_Toc398890220"/>
      <w:bookmarkStart w:id="595" w:name="_Toc424284655"/>
      <w:r>
        <w:rPr>
          <w:rStyle w:val="CharSDivNo"/>
        </w:rPr>
        <w:t>Division 1</w:t>
      </w:r>
      <w:r>
        <w:rPr>
          <w:b w:val="0"/>
        </w:rPr>
        <w:t> — </w:t>
      </w:r>
      <w:r>
        <w:rPr>
          <w:rStyle w:val="CharSDivText"/>
        </w:rPr>
        <w:t xml:space="preserve">Provisions for </w:t>
      </w:r>
      <w:r>
        <w:rPr>
          <w:rStyle w:val="CharSDivText"/>
          <w:i/>
        </w:rPr>
        <w:t>Ports Legislation Amendment Act 2014</w:t>
      </w:r>
      <w:bookmarkEnd w:id="594"/>
      <w:bookmarkEnd w:id="595"/>
    </w:p>
    <w:p>
      <w:pPr>
        <w:pStyle w:val="yFootnoteheading"/>
        <w:spacing w:after="120"/>
      </w:pPr>
      <w:r>
        <w:tab/>
        <w:t>[Heading inserted by No. 9 of 2014 s. 35.]</w:t>
      </w:r>
    </w:p>
    <w:p>
      <w:pPr>
        <w:pStyle w:val="yHeading4"/>
      </w:pPr>
      <w:bookmarkStart w:id="596" w:name="_Toc398890221"/>
      <w:bookmarkStart w:id="597" w:name="_Toc424284656"/>
      <w:r>
        <w:t>Subdivision 1</w:t>
      </w:r>
      <w:r>
        <w:rPr>
          <w:b w:val="0"/>
        </w:rPr>
        <w:t> — </w:t>
      </w:r>
      <w:r>
        <w:t>Preliminary</w:t>
      </w:r>
      <w:bookmarkEnd w:id="596"/>
      <w:bookmarkEnd w:id="597"/>
    </w:p>
    <w:p>
      <w:pPr>
        <w:pStyle w:val="yFootnoteheading"/>
        <w:spacing w:after="120"/>
      </w:pPr>
      <w:r>
        <w:tab/>
        <w:t>[Heading inserted by No. 9 of 2014 s. 35.]</w:t>
      </w:r>
    </w:p>
    <w:p>
      <w:pPr>
        <w:pStyle w:val="yHeading5"/>
      </w:pPr>
      <w:bookmarkStart w:id="598" w:name="_Toc398890222"/>
      <w:bookmarkStart w:id="599" w:name="_Toc424284657"/>
      <w:r>
        <w:rPr>
          <w:rStyle w:val="CharSClsNo"/>
        </w:rPr>
        <w:t>1</w:t>
      </w:r>
      <w:r>
        <w:t>.</w:t>
      </w:r>
      <w:r>
        <w:tab/>
        <w:t>Terms used</w:t>
      </w:r>
      <w:bookmarkEnd w:id="598"/>
      <w:bookmarkEnd w:id="599"/>
    </w:p>
    <w:p>
      <w:pPr>
        <w:pStyle w:val="ySubsection"/>
      </w:pPr>
      <w:r>
        <w:tab/>
      </w:r>
      <w:r>
        <w:tab/>
        <w:t xml:space="preserve">In this Division — </w:t>
      </w:r>
    </w:p>
    <w:p>
      <w:pPr>
        <w:pStyle w:val="yDefstart"/>
      </w:pPr>
      <w:r>
        <w:tab/>
      </w:r>
      <w:r>
        <w:rPr>
          <w:rStyle w:val="CharDefText"/>
        </w:rPr>
        <w:t>agreement</w:t>
      </w:r>
      <w:r>
        <w:t xml:space="preserve"> includes a Government agreement;</w:t>
      </w:r>
    </w:p>
    <w:p>
      <w:pPr>
        <w:pStyle w:val="yDefstart"/>
      </w:pPr>
      <w:r>
        <w:tab/>
      </w:r>
      <w:r>
        <w:rPr>
          <w:rStyle w:val="CharDefText"/>
        </w:rPr>
        <w:t>amending Act</w:t>
      </w:r>
      <w:r>
        <w:t xml:space="preserve"> means the </w:t>
      </w:r>
      <w:r>
        <w:rPr>
          <w:i/>
        </w:rPr>
        <w:t>Ports Legislation Amendment Act 2014</w:t>
      </w:r>
      <w:r>
        <w:t>;</w:t>
      </w:r>
    </w:p>
    <w:p>
      <w:pPr>
        <w:pStyle w:val="yDefstart"/>
      </w:pPr>
      <w:r>
        <w:tab/>
      </w:r>
      <w:r>
        <w:rPr>
          <w:rStyle w:val="CharDefText"/>
        </w:rPr>
        <w:t>asset</w:t>
      </w:r>
      <w:r>
        <w:t xml:space="preserve"> means any legal or equitable estate or interest (whether present or future, whether vested or contingent and whether personal or assignable) in real or personal property of any description and includes any money, security, chose in action or document;</w:t>
      </w:r>
    </w:p>
    <w:p>
      <w:pPr>
        <w:pStyle w:val="yDefstart"/>
      </w:pPr>
      <w:r>
        <w:tab/>
      </w:r>
      <w:r>
        <w:rPr>
          <w:rStyle w:val="CharDefText"/>
        </w:rPr>
        <w:t>Government agreement</w:t>
      </w:r>
      <w:r>
        <w:t xml:space="preserve"> means an agreement referred to in paragraph (a) of the definition of </w:t>
      </w:r>
      <w:r>
        <w:rPr>
          <w:b/>
          <w:i/>
        </w:rPr>
        <w:t>Government agreement</w:t>
      </w:r>
      <w:r>
        <w:rPr>
          <w:i/>
        </w:rPr>
        <w:t xml:space="preserve"> </w:t>
      </w:r>
      <w:r>
        <w:t>in the</w:t>
      </w:r>
      <w:r>
        <w:rPr>
          <w:i/>
        </w:rPr>
        <w:t xml:space="preserve"> Government Agreements Act 1979</w:t>
      </w:r>
      <w:r>
        <w:t xml:space="preserve"> section 2 and, if the agreement has been varied, means the agreement as varied;</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prospective or contingent.</w:t>
      </w:r>
    </w:p>
    <w:p>
      <w:pPr>
        <w:pStyle w:val="yFootnotesection"/>
      </w:pPr>
      <w:r>
        <w:tab/>
        <w:t>[Clause 1 inserted by No. 9 of 2014 s. 35.]</w:t>
      </w:r>
    </w:p>
    <w:p>
      <w:pPr>
        <w:pStyle w:val="yHeading4"/>
      </w:pPr>
      <w:bookmarkStart w:id="600" w:name="_Toc398890223"/>
      <w:bookmarkStart w:id="601" w:name="_Toc424284658"/>
      <w:r>
        <w:t>Subdivision 2</w:t>
      </w:r>
      <w:r>
        <w:rPr>
          <w:b w:val="0"/>
        </w:rPr>
        <w:t> — </w:t>
      </w:r>
      <w:r>
        <w:t>Provisions for the Southern Ports Authority</w:t>
      </w:r>
      <w:bookmarkEnd w:id="600"/>
      <w:bookmarkEnd w:id="601"/>
    </w:p>
    <w:p>
      <w:pPr>
        <w:pStyle w:val="yFootnoteheading"/>
        <w:spacing w:after="120"/>
      </w:pPr>
      <w:r>
        <w:tab/>
        <w:t>[Heading inserted by No. 9 of 2014 s. 35.]</w:t>
      </w:r>
    </w:p>
    <w:p>
      <w:pPr>
        <w:pStyle w:val="yHeading5"/>
      </w:pPr>
      <w:bookmarkStart w:id="602" w:name="_Toc398890224"/>
      <w:bookmarkStart w:id="603" w:name="_Toc424284659"/>
      <w:r>
        <w:rPr>
          <w:rStyle w:val="CharSClsNo"/>
        </w:rPr>
        <w:t>2</w:t>
      </w:r>
      <w:r>
        <w:t>.</w:t>
      </w:r>
      <w:r>
        <w:tab/>
        <w:t>Terms used</w:t>
      </w:r>
      <w:bookmarkEnd w:id="602"/>
      <w:bookmarkEnd w:id="603"/>
    </w:p>
    <w:p>
      <w:pPr>
        <w:pStyle w:val="ySubsection"/>
      </w:pPr>
      <w:r>
        <w:tab/>
      </w:r>
      <w:r>
        <w:tab/>
        <w:t xml:space="preserve">In this Subdivision — </w:t>
      </w:r>
    </w:p>
    <w:p>
      <w:pPr>
        <w:pStyle w:val="yDefstart"/>
      </w:pPr>
      <w:r>
        <w:tab/>
      </w:r>
      <w:r>
        <w:rPr>
          <w:rStyle w:val="CharDefText"/>
        </w:rPr>
        <w:t>continuing authority</w:t>
      </w:r>
      <w:r>
        <w:t xml:space="preserve"> means the Bunbury Port Authority;</w:t>
      </w:r>
    </w:p>
    <w:p>
      <w:pPr>
        <w:pStyle w:val="yDefstart"/>
      </w:pPr>
      <w:r>
        <w:tab/>
      </w:r>
      <w:r>
        <w:rPr>
          <w:rStyle w:val="CharDefText"/>
        </w:rPr>
        <w:t>merger</w:t>
      </w:r>
      <w:r>
        <w:t xml:space="preserve"> means — </w:t>
      </w:r>
    </w:p>
    <w:p>
      <w:pPr>
        <w:pStyle w:val="yDefpara"/>
      </w:pPr>
      <w:r>
        <w:tab/>
        <w:t>(a)</w:t>
      </w:r>
      <w:r>
        <w:tab/>
        <w:t>the actions effected by the coming into operation of section 31(1) of the amending Act; and</w:t>
      </w:r>
    </w:p>
    <w:p>
      <w:pPr>
        <w:pStyle w:val="yDefpara"/>
      </w:pPr>
      <w:r>
        <w:tab/>
        <w:t>(b)</w:t>
      </w:r>
      <w:r>
        <w:tab/>
        <w:t>the merging of the Albany Port Authority and the Esperance Port Authority into the SPA under clause 3(1);</w:t>
      </w:r>
    </w:p>
    <w:p>
      <w:pPr>
        <w:pStyle w:val="yDefstart"/>
      </w:pPr>
      <w:r>
        <w:tab/>
      </w:r>
      <w:r>
        <w:rPr>
          <w:rStyle w:val="CharDefText"/>
        </w:rPr>
        <w:t>merger time</w:t>
      </w:r>
      <w:r>
        <w:t xml:space="preserve"> means the time at which section 31(1) of the amending Act comes into operation;</w:t>
      </w:r>
    </w:p>
    <w:p>
      <w:pPr>
        <w:pStyle w:val="yDefstart"/>
      </w:pPr>
      <w:r>
        <w:tab/>
      </w:r>
      <w:r>
        <w:rPr>
          <w:rStyle w:val="CharDefText"/>
        </w:rPr>
        <w:t>merging authority</w:t>
      </w:r>
      <w:r>
        <w:t xml:space="preserve"> means the Albany Port Authority or the Esperance Port Authority;</w:t>
      </w:r>
    </w:p>
    <w:p>
      <w:pPr>
        <w:pStyle w:val="yDefstart"/>
      </w:pPr>
      <w:r>
        <w:tab/>
      </w:r>
      <w:r>
        <w:rPr>
          <w:rStyle w:val="CharDefText"/>
        </w:rPr>
        <w:t>new board</w:t>
      </w:r>
      <w:r>
        <w:t xml:space="preserve"> means the board of directors established under clause 4(3);</w:t>
      </w:r>
    </w:p>
    <w:p>
      <w:pPr>
        <w:pStyle w:val="yDefstart"/>
      </w:pPr>
      <w:r>
        <w:tab/>
      </w:r>
      <w:r>
        <w:rPr>
          <w:rStyle w:val="CharDefText"/>
        </w:rPr>
        <w:t>SPA</w:t>
      </w:r>
      <w:r>
        <w:t xml:space="preserve"> means the continuing authority as renamed as the Southern Ports Authority by operation of section 31(1)(a) of the amending Act;</w:t>
      </w:r>
    </w:p>
    <w:p>
      <w:pPr>
        <w:pStyle w:val="yDefstart"/>
      </w:pPr>
      <w:r>
        <w:tab/>
      </w:r>
      <w:r>
        <w:rPr>
          <w:rStyle w:val="CharDefText"/>
        </w:rPr>
        <w:t>transitional regulations</w:t>
      </w:r>
      <w:r>
        <w:t xml:space="preserve"> has the meaning given in clause 15(1).</w:t>
      </w:r>
    </w:p>
    <w:p>
      <w:pPr>
        <w:pStyle w:val="yFootnotesection"/>
      </w:pPr>
      <w:r>
        <w:tab/>
        <w:t>[Clause 2 inserted by No. 9 of 2014 s. 35.]</w:t>
      </w:r>
    </w:p>
    <w:p>
      <w:pPr>
        <w:pStyle w:val="yHeading5"/>
      </w:pPr>
      <w:bookmarkStart w:id="604" w:name="_Toc398890225"/>
      <w:bookmarkStart w:id="605" w:name="_Toc424284660"/>
      <w:r>
        <w:rPr>
          <w:rStyle w:val="CharSClsNo"/>
        </w:rPr>
        <w:t>3</w:t>
      </w:r>
      <w:r>
        <w:t>.</w:t>
      </w:r>
      <w:r>
        <w:tab/>
        <w:t>Merger of Albany Port Authority and Esperance Port Authority into Southern Ports Authority</w:t>
      </w:r>
      <w:bookmarkEnd w:id="604"/>
      <w:bookmarkEnd w:id="605"/>
    </w:p>
    <w:p>
      <w:pPr>
        <w:pStyle w:val="ySubsection"/>
      </w:pPr>
      <w:r>
        <w:tab/>
        <w:t>(1)</w:t>
      </w:r>
      <w:r>
        <w:tab/>
        <w:t>At the merger time the Albany Port Authority and the Esperance Port Authority cease to be port authorities under this Act and merge into the SPA.</w:t>
      </w:r>
    </w:p>
    <w:p>
      <w:pPr>
        <w:pStyle w:val="ySubsection"/>
      </w:pPr>
      <w:r>
        <w:tab/>
        <w:t>(2)</w:t>
      </w:r>
      <w:r>
        <w:tab/>
        <w:t>From the merger time the SPA is a continuation of each of the merging authorities.</w:t>
      </w:r>
    </w:p>
    <w:p>
      <w:pPr>
        <w:pStyle w:val="yFootnotesection"/>
      </w:pPr>
      <w:r>
        <w:tab/>
        <w:t>[Clause 3 inserted by No. 9 of 2014 s. 35.]</w:t>
      </w:r>
    </w:p>
    <w:p>
      <w:pPr>
        <w:pStyle w:val="yHeading5"/>
      </w:pPr>
      <w:bookmarkStart w:id="606" w:name="_Toc398890226"/>
      <w:bookmarkStart w:id="607" w:name="_Toc424284661"/>
      <w:r>
        <w:rPr>
          <w:rStyle w:val="CharSClsNo"/>
        </w:rPr>
        <w:t>4</w:t>
      </w:r>
      <w:r>
        <w:t>.</w:t>
      </w:r>
      <w:r>
        <w:tab/>
        <w:t>Directors and former directors</w:t>
      </w:r>
      <w:bookmarkEnd w:id="606"/>
      <w:bookmarkEnd w:id="607"/>
    </w:p>
    <w:p>
      <w:pPr>
        <w:pStyle w:val="ySubsection"/>
      </w:pPr>
      <w:r>
        <w:tab/>
        <w:t>(1)</w:t>
      </w:r>
      <w:r>
        <w:tab/>
        <w:t>Immediately before the merger time a person then holding office as a director of a merging authority or the continuing authority ceases to hold that office.</w:t>
      </w:r>
    </w:p>
    <w:p>
      <w:pPr>
        <w:pStyle w:val="ySubsection"/>
      </w:pPr>
      <w:r>
        <w:tab/>
        <w:t>(2)</w:t>
      </w:r>
      <w:r>
        <w:tab/>
        <w:t xml:space="preserve">From the merger time — </w:t>
      </w:r>
    </w:p>
    <w:p>
      <w:pPr>
        <w:pStyle w:val="yIndenta"/>
      </w:pPr>
      <w:r>
        <w:tab/>
        <w:t>(a)</w:t>
      </w:r>
      <w:r>
        <w:tab/>
        <w:t xml:space="preserve">a former director of a merging authority is to be taken to be a former director of the SPA for the purposes of the </w:t>
      </w:r>
      <w:r>
        <w:rPr>
          <w:i/>
        </w:rPr>
        <w:t>Statutory Corporations (Liability of Directors) Act 1996</w:t>
      </w:r>
      <w:r>
        <w:t>; and</w:t>
      </w:r>
    </w:p>
    <w:p>
      <w:pPr>
        <w:pStyle w:val="yIndenta"/>
      </w:pPr>
      <w:r>
        <w:tab/>
        <w:t>(b)</w:t>
      </w:r>
      <w:r>
        <w:tab/>
        <w:t xml:space="preserve">a former director of the continuing authority is a former director of the SPA for the purposes of the </w:t>
      </w:r>
      <w:r>
        <w:rPr>
          <w:i/>
        </w:rPr>
        <w:t>Statutory Corporations (Liability of Directors) Act 1996</w:t>
      </w:r>
      <w:r>
        <w:t>.</w:t>
      </w:r>
    </w:p>
    <w:p>
      <w:pPr>
        <w:pStyle w:val="ySubsection"/>
      </w:pPr>
      <w:r>
        <w:tab/>
        <w:t>(3)</w:t>
      </w:r>
      <w:r>
        <w:tab/>
        <w:t>The board of directors of the SPA may be established by the appointment of directors before the merger time.</w:t>
      </w:r>
    </w:p>
    <w:p>
      <w:pPr>
        <w:pStyle w:val="ySubsection"/>
      </w:pPr>
      <w:r>
        <w:tab/>
        <w:t>(4)</w:t>
      </w:r>
      <w:r>
        <w:tab/>
        <w:t xml:space="preserve">For the purposes of Schedule 2 clause 1 the term of office of a director appointed under subclause (3) does not begin until the merger time. </w:t>
      </w:r>
    </w:p>
    <w:p>
      <w:pPr>
        <w:pStyle w:val="ySubsection"/>
      </w:pPr>
      <w:r>
        <w:tab/>
        <w:t>(5)</w:t>
      </w:r>
      <w:r>
        <w:tab/>
        <w:t>Nothing in this Schedule prevents a person who is a director of an existing port authority from being appointed under subclause (3).</w:t>
      </w:r>
    </w:p>
    <w:p>
      <w:pPr>
        <w:pStyle w:val="yFootnotesection"/>
      </w:pPr>
      <w:r>
        <w:tab/>
        <w:t>[Clause 4 inserted by No. 9 of 2014 s. 35.]</w:t>
      </w:r>
    </w:p>
    <w:p>
      <w:pPr>
        <w:pStyle w:val="yHeading5"/>
      </w:pPr>
      <w:bookmarkStart w:id="608" w:name="_Toc398890227"/>
      <w:bookmarkStart w:id="609" w:name="_Toc424284662"/>
      <w:r>
        <w:rPr>
          <w:rStyle w:val="CharSClsNo"/>
        </w:rPr>
        <w:t>5</w:t>
      </w:r>
      <w:r>
        <w:t>.</w:t>
      </w:r>
      <w:r>
        <w:tab/>
        <w:t>Powers of new board in anticipation of merger</w:t>
      </w:r>
      <w:bookmarkEnd w:id="608"/>
      <w:bookmarkEnd w:id="609"/>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merger; and</w:t>
      </w:r>
    </w:p>
    <w:p>
      <w:pPr>
        <w:pStyle w:val="yIndenta"/>
      </w:pPr>
      <w:r>
        <w:tab/>
        <w:t>(b)</w:t>
      </w:r>
      <w:r>
        <w:tab/>
        <w:t>do anything that is prescribed by transitional regulations and anything else that may be necessary or expedient to provide for, implement or facilitate the merger.</w:t>
      </w:r>
    </w:p>
    <w:p>
      <w:pPr>
        <w:pStyle w:val="ySubsection"/>
      </w:pPr>
      <w:r>
        <w:tab/>
        <w:t>(2)</w:t>
      </w:r>
      <w:r>
        <w:tab/>
        <w:t>The matters that the new board can deal with in performing its functions under subclause (1)(a) include, but are not limited to, matters set out in clause 48.</w:t>
      </w:r>
    </w:p>
    <w:p>
      <w:pPr>
        <w:pStyle w:val="ySubsection"/>
      </w:pPr>
      <w:r>
        <w:tab/>
        <w:t>(3)</w:t>
      </w:r>
      <w:r>
        <w:tab/>
        <w:t>For the purposes of subclause (1) the new board may incur costs for which the continuing authority is liable.</w:t>
      </w:r>
    </w:p>
    <w:p>
      <w:pPr>
        <w:pStyle w:val="yFootnotesection"/>
      </w:pPr>
      <w:r>
        <w:tab/>
        <w:t>[Clause 5 inserted by No. 9 of 2014 s. 35.]</w:t>
      </w:r>
    </w:p>
    <w:p>
      <w:pPr>
        <w:pStyle w:val="yHeading5"/>
      </w:pPr>
      <w:bookmarkStart w:id="610" w:name="_Toc398890228"/>
      <w:bookmarkStart w:id="611" w:name="_Toc424284663"/>
      <w:r>
        <w:rPr>
          <w:rStyle w:val="CharSClsNo"/>
        </w:rPr>
        <w:t>6</w:t>
      </w:r>
      <w:r>
        <w:t>.</w:t>
      </w:r>
      <w:r>
        <w:tab/>
        <w:t>CEOs and members of staff</w:t>
      </w:r>
      <w:bookmarkEnd w:id="610"/>
      <w:bookmarkEnd w:id="611"/>
      <w:r>
        <w:t xml:space="preserve"> </w:t>
      </w:r>
    </w:p>
    <w:p>
      <w:pPr>
        <w:pStyle w:val="ySubsection"/>
      </w:pPr>
      <w:r>
        <w:tab/>
        <w:t>(1)</w:t>
      </w:r>
      <w:r>
        <w:tab/>
        <w:t>Immediately before the merger time a person then holding office as the CEO of the continuing authority or a merging authority ceases to hold that office.</w:t>
      </w:r>
    </w:p>
    <w:p>
      <w:pPr>
        <w:pStyle w:val="ySubsection"/>
      </w:pPr>
      <w:r>
        <w:tab/>
        <w:t>(2)</w:t>
      </w:r>
      <w:r>
        <w:tab/>
        <w:t xml:space="preserve">At the merger time, a person who was — </w:t>
      </w:r>
    </w:p>
    <w:p>
      <w:pPr>
        <w:pStyle w:val="yIndenta"/>
      </w:pPr>
      <w:r>
        <w:tab/>
        <w:t>(a)</w:t>
      </w:r>
      <w:r>
        <w:tab/>
        <w:t>the CEO of the continuing authority; or</w:t>
      </w:r>
    </w:p>
    <w:p>
      <w:pPr>
        <w:pStyle w:val="yIndenta"/>
      </w:pPr>
      <w:r>
        <w:tab/>
        <w:t>(b)</w:t>
      </w:r>
      <w:r>
        <w:tab/>
        <w:t>the CEO or a member of staff of a merging authority,</w:t>
      </w:r>
    </w:p>
    <w:p>
      <w:pPr>
        <w:pStyle w:val="ySubsection"/>
      </w:pPr>
      <w:r>
        <w:tab/>
      </w:r>
      <w:r>
        <w:tab/>
        <w:t>immediately before the merger time becomes a member of staff of the SPA.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merger time the continuing authority or a merging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pPr>
      <w:r>
        <w:tab/>
        <w:t>(5)</w:t>
      </w:r>
      <w:r>
        <w:tab/>
        <w:t>The powers of the new board under clause 5 include the power to appoint a person as the CEO of the SPA before the merger time.</w:t>
      </w:r>
    </w:p>
    <w:p>
      <w:pPr>
        <w:pStyle w:val="ySubsection"/>
      </w:pPr>
      <w:r>
        <w:tab/>
        <w:t>(6)</w:t>
      </w:r>
      <w:r>
        <w:tab/>
        <w:t>Until the merger time a person appointed under subclause (5) may, as CEO of the SPA, perform any function of a CEO of a port authority for the purpose of providing for, implementing or facilitating the merger.</w:t>
      </w:r>
    </w:p>
    <w:p>
      <w:pPr>
        <w:pStyle w:val="yFootnotesection"/>
      </w:pPr>
      <w:r>
        <w:tab/>
        <w:t>[Clause 6 inserted by No. 9 of 2014 s. 35.]</w:t>
      </w:r>
    </w:p>
    <w:p>
      <w:pPr>
        <w:pStyle w:val="yHeading5"/>
      </w:pPr>
      <w:bookmarkStart w:id="612" w:name="_Toc398890229"/>
      <w:bookmarkStart w:id="613" w:name="_Toc424284664"/>
      <w:r>
        <w:rPr>
          <w:rStyle w:val="CharSClsNo"/>
        </w:rPr>
        <w:t>7</w:t>
      </w:r>
      <w:r>
        <w:t>.</w:t>
      </w:r>
      <w:r>
        <w:tab/>
        <w:t>Preservation of rights</w:t>
      </w:r>
      <w:bookmarkEnd w:id="612"/>
      <w:bookmarkEnd w:id="613"/>
    </w:p>
    <w:p>
      <w:pPr>
        <w:pStyle w:val="ySubsection"/>
      </w:pPr>
      <w:r>
        <w:tab/>
        <w:t>(1)</w:t>
      </w:r>
      <w:r>
        <w:tab/>
        <w:t>Except as otherwise agreed by the relevant CEO or member of staff, the operation of clause 6(1) or (2) does not — </w:t>
      </w:r>
    </w:p>
    <w:p>
      <w:pPr>
        <w:pStyle w:val="yIndenta"/>
      </w:pPr>
      <w:r>
        <w:tab/>
        <w:t>(a)</w:t>
      </w:r>
      <w:r>
        <w:tab/>
        <w:t>affect his or her remuneration; or</w:t>
      </w:r>
    </w:p>
    <w:p>
      <w:pPr>
        <w:pStyle w:val="yIndenta"/>
      </w:pPr>
      <w:r>
        <w:tab/>
        <w:t>(b)</w:t>
      </w:r>
      <w:r>
        <w:tab/>
        <w:t>affect his or her existing or accruing rights in respect of annual leave, long service leave, sick leave or any other leave; or</w:t>
      </w:r>
    </w:p>
    <w:p>
      <w:pPr>
        <w:pStyle w:val="yIndenta"/>
      </w:pPr>
      <w:r>
        <w:tab/>
        <w:t>(c)</w:t>
      </w:r>
      <w:r>
        <w:tab/>
        <w:t>affect any rights under a superannuation scheme; or</w:t>
      </w:r>
    </w:p>
    <w:p>
      <w:pPr>
        <w:pStyle w:val="yIndenta"/>
      </w:pPr>
      <w:r>
        <w:tab/>
        <w:t>(d)</w:t>
      </w:r>
      <w:r>
        <w:tab/>
        <w:t>interrupt the continuity of his or her service.</w:t>
      </w:r>
    </w:p>
    <w:p>
      <w:pPr>
        <w:pStyle w:val="ySubsection"/>
      </w:pPr>
      <w:r>
        <w:tab/>
        <w:t>(2)</w:t>
      </w:r>
      <w:r>
        <w:tab/>
        <w:t>For the purposes of subclause (1)(d), the service of a CEO or member of staff with a merging authority is to be taken to have been with the SPA.</w:t>
      </w:r>
    </w:p>
    <w:p>
      <w:pPr>
        <w:pStyle w:val="ySubsection"/>
        <w:keepNext/>
      </w:pPr>
      <w:r>
        <w:tab/>
        <w:t>(3)</w:t>
      </w:r>
      <w:r>
        <w:tab/>
        <w:t>If a person who is the CEO or a member of staff of the continuing authority or a merging authority is appointed under clause 6(5),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Subsection"/>
      </w:pPr>
      <w:r>
        <w:tab/>
      </w:r>
      <w:r>
        <w:tab/>
        <w:t>and, if the person was the CEO or a member of staff of a merging authority, his or her service with the merging authority is to be taken, for the purposes of paragraph (c), to have been with the SPA.</w:t>
      </w:r>
    </w:p>
    <w:p>
      <w:pPr>
        <w:pStyle w:val="ySubsection"/>
      </w:pPr>
      <w:r>
        <w:tab/>
        <w:t>(4)</w:t>
      </w:r>
      <w:r>
        <w:tab/>
        <w:t>Nothing in clause 6 or this clause prevents the exercise by the SPA of its powers in relation to the management of members of staff.</w:t>
      </w:r>
    </w:p>
    <w:p>
      <w:pPr>
        <w:pStyle w:val="yFootnotesection"/>
      </w:pPr>
      <w:r>
        <w:tab/>
        <w:t>[Clause 7 inserted by No. 9 of 2014 s. 35.]</w:t>
      </w:r>
    </w:p>
    <w:p>
      <w:pPr>
        <w:pStyle w:val="yHeading5"/>
      </w:pPr>
      <w:bookmarkStart w:id="614" w:name="_Toc398890230"/>
      <w:bookmarkStart w:id="615" w:name="_Toc424284665"/>
      <w:r>
        <w:rPr>
          <w:rStyle w:val="CharSClsNo"/>
        </w:rPr>
        <w:t>8</w:t>
      </w:r>
      <w:r>
        <w:t>.</w:t>
      </w:r>
      <w:r>
        <w:tab/>
        <w:t>Devolution of assets, liabilities, proceedings, remedies and immunities</w:t>
      </w:r>
      <w:bookmarkEnd w:id="614"/>
      <w:bookmarkEnd w:id="615"/>
    </w:p>
    <w:p>
      <w:pPr>
        <w:pStyle w:val="ySubsection"/>
      </w:pPr>
      <w:r>
        <w:tab/>
        <w:t>(1)</w:t>
      </w:r>
      <w:r>
        <w:tab/>
        <w:t xml:space="preserve">At the merger time — </w:t>
      </w:r>
    </w:p>
    <w:p>
      <w:pPr>
        <w:pStyle w:val="yIndenta"/>
      </w:pPr>
      <w:r>
        <w:tab/>
        <w:t>(a)</w:t>
      </w:r>
      <w:r>
        <w:tab/>
        <w:t>the assets and rights of a merging authority that were immediately before that time vested in or the property of the merging authority vest in or become the property of the SPA by force of this clause; and</w:t>
      </w:r>
    </w:p>
    <w:p>
      <w:pPr>
        <w:pStyle w:val="yIndenta"/>
      </w:pPr>
      <w:r>
        <w:tab/>
        <w:t>(b)</w:t>
      </w:r>
      <w:r>
        <w:tab/>
        <w:t>the liabilities of a merging authority immediately before that time become, by force of this clause, the liabilities of the SPA.</w:t>
      </w:r>
    </w:p>
    <w:p>
      <w:pPr>
        <w:pStyle w:val="ySubsection"/>
      </w:pPr>
      <w:r>
        <w:tab/>
        <w:t>(2)</w:t>
      </w:r>
      <w:r>
        <w:tab/>
        <w:t xml:space="preserve">For the purposes of section 26, </w:t>
      </w:r>
      <w:r>
        <w:rPr>
          <w:snapToGrid w:val="0"/>
        </w:rPr>
        <w:t xml:space="preserve">property referred to in section 25(2)(a) that becomes the property of the SPA </w:t>
      </w:r>
      <w:r>
        <w:t>by force of subclause (1)(a) continues to be regarded as</w:t>
      </w:r>
      <w:r>
        <w:rPr>
          <w:snapToGrid w:val="0"/>
        </w:rPr>
        <w:t xml:space="preserve"> property referred to in section 25(2)(a)</w:t>
      </w:r>
      <w:r>
        <w:t>.</w:t>
      </w:r>
    </w:p>
    <w:p>
      <w:pPr>
        <w:pStyle w:val="ySubsection"/>
      </w:pPr>
      <w:r>
        <w:tab/>
        <w:t>(3)</w:t>
      </w:r>
      <w:r>
        <w:tab/>
        <w:t xml:space="preserve">In determining the net profits of the SPA for the purposes of section 84, assets </w:t>
      </w:r>
      <w:r>
        <w:rPr>
          <w:snapToGrid w:val="0"/>
        </w:rPr>
        <w:t xml:space="preserve">that become the property of the SPA </w:t>
      </w:r>
      <w:r>
        <w:t>by force of subclause (1)(a) are not to be regarded as income.</w:t>
      </w:r>
    </w:p>
    <w:p>
      <w:pPr>
        <w:pStyle w:val="ySubsection"/>
      </w:pPr>
      <w:r>
        <w:tab/>
        <w:t>(4)</w:t>
      </w:r>
      <w:r>
        <w:tab/>
        <w:t>From the merger time, any proceedings or remedy that, immediately before that time, might have been brought or continued by or available against or to a merging authority may be brought or continued by, and are or is available against or to, the SPA.</w:t>
      </w:r>
    </w:p>
    <w:p>
      <w:pPr>
        <w:pStyle w:val="ySubsection"/>
      </w:pPr>
      <w:r>
        <w:tab/>
        <w:t>(5)</w:t>
      </w:r>
      <w:r>
        <w:tab/>
        <w:t>Where a merging authority had the benefit of any immunity in respect of an act, matter or thing done or omitted before the merger time, that immunity continues in that respect for the benefit of the SPA.</w:t>
      </w:r>
    </w:p>
    <w:p>
      <w:pPr>
        <w:pStyle w:val="ySubsection"/>
      </w:pPr>
      <w:r>
        <w:tab/>
        <w:t>(6)</w:t>
      </w:r>
      <w:r>
        <w:tab/>
        <w:t>As soon as is practicable after the merger time, all papers, documents, minutes, books of account and other records (however compiled, recorded or stored) relating to the operations of a merging authority are to be delivered to the SPA.</w:t>
      </w:r>
    </w:p>
    <w:p>
      <w:pPr>
        <w:pStyle w:val="yFootnotesection"/>
      </w:pPr>
      <w:r>
        <w:tab/>
        <w:t>[Clause 8 inserted by No. 9 of 2014 s. 35.]</w:t>
      </w:r>
    </w:p>
    <w:p>
      <w:pPr>
        <w:pStyle w:val="yHeading5"/>
      </w:pPr>
      <w:bookmarkStart w:id="616" w:name="_Toc398890231"/>
      <w:bookmarkStart w:id="617" w:name="_Toc424284666"/>
      <w:r>
        <w:rPr>
          <w:rStyle w:val="CharSClsNo"/>
        </w:rPr>
        <w:t>9</w:t>
      </w:r>
      <w:r>
        <w:t>.</w:t>
      </w:r>
      <w:r>
        <w:tab/>
        <w:t>Completion of things commenced</w:t>
      </w:r>
      <w:bookmarkEnd w:id="616"/>
      <w:bookmarkEnd w:id="617"/>
    </w:p>
    <w:p>
      <w:pPr>
        <w:pStyle w:val="ySubsection"/>
      </w:pPr>
      <w:r>
        <w:tab/>
      </w:r>
      <w:r>
        <w:tab/>
        <w:t>Anything commenced to be done by a merging authority before the merger time may be continued by the SPA.</w:t>
      </w:r>
    </w:p>
    <w:p>
      <w:pPr>
        <w:pStyle w:val="yFootnotesection"/>
      </w:pPr>
      <w:r>
        <w:tab/>
        <w:t>[Clause 9 inserted by No. 9 of 2014 s. 35.]</w:t>
      </w:r>
    </w:p>
    <w:p>
      <w:pPr>
        <w:pStyle w:val="yHeading5"/>
      </w:pPr>
      <w:bookmarkStart w:id="618" w:name="_Toc398890232"/>
      <w:bookmarkStart w:id="619" w:name="_Toc424284667"/>
      <w:r>
        <w:rPr>
          <w:rStyle w:val="CharSClsNo"/>
        </w:rPr>
        <w:t>10</w:t>
      </w:r>
      <w:r>
        <w:t>.</w:t>
      </w:r>
      <w:r>
        <w:tab/>
        <w:t>Continuing effect of things done</w:t>
      </w:r>
      <w:bookmarkEnd w:id="618"/>
      <w:bookmarkEnd w:id="619"/>
    </w:p>
    <w:p>
      <w:pPr>
        <w:pStyle w:val="ySubsection"/>
      </w:pPr>
      <w:r>
        <w:tab/>
        <w:t>(1)</w:t>
      </w:r>
      <w:r>
        <w:tab/>
        <w:t xml:space="preserve">In this clause — </w:t>
      </w:r>
    </w:p>
    <w:p>
      <w:pPr>
        <w:pStyle w:val="yDefstart"/>
      </w:pPr>
      <w:r>
        <w:tab/>
      </w:r>
      <w:r>
        <w:rPr>
          <w:rStyle w:val="CharDefText"/>
        </w:rPr>
        <w:t>relevant act</w:t>
      </w:r>
      <w:r>
        <w:t xml:space="preserve"> means an act, matter or thing done or omitted to be done before the merger time by, to or in respect of a merging authority.</w:t>
      </w:r>
    </w:p>
    <w:p>
      <w:pPr>
        <w:pStyle w:val="ySubsection"/>
      </w:pPr>
      <w:r>
        <w:tab/>
        <w:t>(2)</w:t>
      </w:r>
      <w:r>
        <w:tab/>
        <w:t>To the extent that a relevant act has force or significance at the merger time it is to be taken, from the merger time, to have been done or omitted by, to or in respect of the SPA so far as the act, matter or thing is relevant to the SPA.</w:t>
      </w:r>
    </w:p>
    <w:p>
      <w:pPr>
        <w:pStyle w:val="ySubsection"/>
      </w:pPr>
      <w:r>
        <w:tab/>
        <w:t>(3)</w:t>
      </w:r>
      <w:r>
        <w:tab/>
        <w:t>This clause does not affect the operation of any other provision of this Schedule.</w:t>
      </w:r>
    </w:p>
    <w:p>
      <w:pPr>
        <w:pStyle w:val="yFootnotesection"/>
      </w:pPr>
      <w:r>
        <w:tab/>
        <w:t>[Clause 10 inserted by No. 9 of 2014 s. 35.]</w:t>
      </w:r>
    </w:p>
    <w:p>
      <w:pPr>
        <w:pStyle w:val="yHeading5"/>
      </w:pPr>
      <w:bookmarkStart w:id="620" w:name="_Toc398890233"/>
      <w:bookmarkStart w:id="621" w:name="_Toc424284668"/>
      <w:r>
        <w:rPr>
          <w:rStyle w:val="CharSClsNo"/>
        </w:rPr>
        <w:t>11</w:t>
      </w:r>
      <w:r>
        <w:t>.</w:t>
      </w:r>
      <w:r>
        <w:tab/>
        <w:t>Agreements, instruments and documents</w:t>
      </w:r>
      <w:bookmarkEnd w:id="620"/>
      <w:bookmarkEnd w:id="621"/>
    </w:p>
    <w:p>
      <w:pPr>
        <w:pStyle w:val="ySubsection"/>
      </w:pPr>
      <w:r>
        <w:tab/>
        <w:t>(1)</w:t>
      </w:r>
      <w:r>
        <w:tab/>
        <w:t xml:space="preserve">In this clause — </w:t>
      </w:r>
    </w:p>
    <w:p>
      <w:pPr>
        <w:pStyle w:val="yDefstart"/>
      </w:pPr>
      <w:r>
        <w:tab/>
      </w:r>
      <w:r>
        <w:rPr>
          <w:rStyle w:val="CharDefText"/>
        </w:rPr>
        <w:t>former name</w:t>
      </w:r>
      <w:r>
        <w:t xml:space="preserve"> means “Bunbury Port Authority”;</w:t>
      </w:r>
    </w:p>
    <w:p>
      <w:pPr>
        <w:pStyle w:val="yDefstart"/>
      </w:pPr>
      <w:r>
        <w:tab/>
      </w:r>
      <w:r>
        <w:rPr>
          <w:rStyle w:val="CharDefText"/>
        </w:rPr>
        <w:t>new name</w:t>
      </w:r>
      <w:r>
        <w:t xml:space="preserve"> means “Southern Ports Authority”;</w:t>
      </w:r>
    </w:p>
    <w:p>
      <w:pPr>
        <w:pStyle w:val="yDefstart"/>
      </w:pPr>
      <w:r>
        <w:rPr>
          <w:i/>
          <w:iCs/>
        </w:rPr>
        <w:tab/>
      </w:r>
      <w:r>
        <w:rPr>
          <w:rStyle w:val="CharDefText"/>
          <w:iCs/>
        </w:rPr>
        <w:t>subsisting</w:t>
      </w:r>
      <w:r>
        <w:t>, in relation to an agreement, instrument or document, means subsisting immediately before the merger time.</w:t>
      </w:r>
    </w:p>
    <w:p>
      <w:pPr>
        <w:pStyle w:val="ySubsection"/>
      </w:pPr>
      <w:r>
        <w:rPr>
          <w:b/>
        </w:rPr>
        <w:tab/>
      </w:r>
      <w:r>
        <w:t>(2)</w:t>
      </w:r>
      <w:r>
        <w:rPr>
          <w:b/>
        </w:rPr>
        <w:tab/>
      </w:r>
      <w:r>
        <w:t>A subsisting agreement, instrument or document that contains a reference to the SPA by its former name has effect from the merger time as if that reference were amended to be a reference to the SPA by its new name.</w:t>
      </w:r>
    </w:p>
    <w:p>
      <w:pPr>
        <w:pStyle w:val="ySubsection"/>
      </w:pPr>
      <w:r>
        <w:tab/>
        <w:t>(3)</w:t>
      </w:r>
      <w:r>
        <w:tab/>
        <w:t>Subclause (2) does not apply to an agreement or instrument to which the continuing authority was a party.</w:t>
      </w:r>
    </w:p>
    <w:p>
      <w:pPr>
        <w:pStyle w:val="ySubsection"/>
      </w:pPr>
      <w:r>
        <w:tab/>
        <w:t>(4)</w:t>
      </w:r>
      <w:r>
        <w:tab/>
        <w:t xml:space="preserve">If the continuing authority was a party to a subsisting agreement or instrument then, from the merger time — </w:t>
      </w:r>
    </w:p>
    <w:p>
      <w:pPr>
        <w:pStyle w:val="yIndenta"/>
      </w:pPr>
      <w:r>
        <w:tab/>
        <w:t>(a)</w:t>
      </w:r>
      <w:r>
        <w:tab/>
        <w:t>the SPA is a party to the agreement or instrument under its new name; and</w:t>
      </w:r>
    </w:p>
    <w:p>
      <w:pPr>
        <w:pStyle w:val="yIndenta"/>
      </w:pPr>
      <w:r>
        <w:tab/>
        <w:t>(b)</w:t>
      </w:r>
      <w:r>
        <w:tab/>
        <w:t>the agreement or instrument has effect as if a reference in it to the SPA by its former name were amended to be a reference to the SPA by its new name.</w:t>
      </w:r>
    </w:p>
    <w:p>
      <w:pPr>
        <w:pStyle w:val="ySubsection"/>
      </w:pPr>
      <w:r>
        <w:tab/>
        <w:t>(5)</w:t>
      </w:r>
      <w:r>
        <w:tab/>
        <w:t>A subsisting agreement, instrument or document that contains a reference to a merging authority has effect from the merger time as if that reference were amended to be or include a reference to the SPA.</w:t>
      </w:r>
    </w:p>
    <w:p>
      <w:pPr>
        <w:pStyle w:val="ySubsection"/>
      </w:pPr>
      <w:r>
        <w:tab/>
        <w:t>(6)</w:t>
      </w:r>
      <w:r>
        <w:tab/>
        <w:t>Subclause (5) does not apply to an agreement or instrument to which a merging authority was a party.</w:t>
      </w:r>
    </w:p>
    <w:p>
      <w:pPr>
        <w:pStyle w:val="ySubsection"/>
      </w:pPr>
      <w:r>
        <w:tab/>
        <w:t>(7)</w:t>
      </w:r>
      <w:r>
        <w:tab/>
        <w:t xml:space="preserve">A subsisting agreement or instrument to which a merging authority was a party has effect from the merger time as if — </w:t>
      </w:r>
    </w:p>
    <w:p>
      <w:pPr>
        <w:pStyle w:val="yIndenta"/>
      </w:pPr>
      <w:r>
        <w:tab/>
        <w:t>(a)</w:t>
      </w:r>
      <w:r>
        <w:tab/>
        <w:t>the SPA were substituted for the merging authority as a party to the agreement or instrument; and</w:t>
      </w:r>
    </w:p>
    <w:p>
      <w:pPr>
        <w:pStyle w:val="yIndenta"/>
      </w:pPr>
      <w:r>
        <w:tab/>
        <w:t>(b)</w:t>
      </w:r>
      <w:r>
        <w:tab/>
        <w:t>a reference to the merging authority in the agreement or instrument were amended to be a reference to the SPA.</w:t>
      </w:r>
    </w:p>
    <w:p>
      <w:pPr>
        <w:pStyle w:val="ySubsection"/>
      </w:pPr>
      <w:r>
        <w:tab/>
        <w:t>(8)</w:t>
      </w:r>
      <w:r>
        <w:tab/>
        <w:t xml:space="preserve">Subclause (2), (4)(b), (5) or (7)(b)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11 inserted by No. 9 of 2014 s. 35.]</w:t>
      </w:r>
    </w:p>
    <w:p>
      <w:pPr>
        <w:pStyle w:val="yHeading5"/>
      </w:pPr>
      <w:bookmarkStart w:id="622" w:name="_Toc398890234"/>
      <w:bookmarkStart w:id="623" w:name="_Toc424284669"/>
      <w:r>
        <w:rPr>
          <w:rStyle w:val="CharSClsNo"/>
        </w:rPr>
        <w:t>12</w:t>
      </w:r>
      <w:r>
        <w:t>.</w:t>
      </w:r>
      <w:r>
        <w:tab/>
        <w:t>Port authorities to implement or facilitate merger and share costs</w:t>
      </w:r>
      <w:bookmarkEnd w:id="622"/>
      <w:bookmarkEnd w:id="623"/>
    </w:p>
    <w:p>
      <w:pPr>
        <w:pStyle w:val="ySubsection"/>
      </w:pPr>
      <w:r>
        <w:tab/>
        <w:t>(1)</w:t>
      </w:r>
      <w:r>
        <w:tab/>
        <w:t>A port authority is to do anything that is prescribed by transitional regulations and anything else that may be necessary or expedient to provide for, implement or facilitate the merger.</w:t>
      </w:r>
    </w:p>
    <w:p>
      <w:pPr>
        <w:pStyle w:val="ySubsection"/>
        <w:keepNext/>
      </w:pPr>
      <w:r>
        <w:tab/>
        <w:t>(2)</w:t>
      </w:r>
      <w:r>
        <w:tab/>
        <w:t xml:space="preserve">Subclause (1) applies — </w:t>
      </w:r>
    </w:p>
    <w:p>
      <w:pPr>
        <w:pStyle w:val="yIndenta"/>
      </w:pPr>
      <w:r>
        <w:tab/>
        <w:t>(a)</w:t>
      </w:r>
      <w:r>
        <w:tab/>
        <w:t>before the merger time — to the merging authorities and the continuing authority; and</w:t>
      </w:r>
    </w:p>
    <w:p>
      <w:pPr>
        <w:pStyle w:val="yIndenta"/>
      </w:pPr>
      <w:r>
        <w:tab/>
        <w:t>(b)</w:t>
      </w:r>
      <w:r>
        <w:tab/>
        <w:t>after the merger time — to the SPA.</w:t>
      </w:r>
    </w:p>
    <w:p>
      <w:pPr>
        <w:pStyle w:val="ySubsection"/>
      </w:pPr>
      <w:r>
        <w:tab/>
        <w:t>(3)</w:t>
      </w:r>
      <w:r>
        <w:tab/>
        <w:t>The function conferred by subclause (1) is in addition to any other function that a port authority has.</w:t>
      </w:r>
    </w:p>
    <w:p>
      <w:pPr>
        <w:pStyle w:val="ySubsection"/>
      </w:pPr>
      <w:r>
        <w:tab/>
        <w:t>(4)</w:t>
      </w:r>
      <w:r>
        <w:tab/>
        <w:t xml:space="preserve">The following amounts payable before the merger time are to be paid out of the funds of the continuing authority — </w:t>
      </w:r>
    </w:p>
    <w:p>
      <w:pPr>
        <w:pStyle w:val="yIndenta"/>
      </w:pPr>
      <w:r>
        <w:tab/>
        <w:t>(a)</w:t>
      </w:r>
      <w:r>
        <w:tab/>
        <w:t>any remuneration or allowances payable to a director appointed under clause 4(3);</w:t>
      </w:r>
    </w:p>
    <w:p>
      <w:pPr>
        <w:pStyle w:val="yIndenta"/>
      </w:pPr>
      <w:r>
        <w:tab/>
        <w:t>(b)</w:t>
      </w:r>
      <w:r>
        <w:tab/>
        <w:t>any remuneration payable to a person appointed under clause 6(5);</w:t>
      </w:r>
    </w:p>
    <w:p>
      <w:pPr>
        <w:pStyle w:val="yIndenta"/>
      </w:pPr>
      <w:r>
        <w:tab/>
        <w:t>(c)</w:t>
      </w:r>
      <w:r>
        <w:tab/>
        <w:t>the costs of the appointment process under clause 6(5);</w:t>
      </w:r>
    </w:p>
    <w:p>
      <w:pPr>
        <w:pStyle w:val="yIndenta"/>
      </w:pPr>
      <w:r>
        <w:tab/>
        <w:t>(d)</w:t>
      </w:r>
      <w:r>
        <w:tab/>
        <w:t>any other costs incurred by the new board under clause 5.</w:t>
      </w:r>
    </w:p>
    <w:p>
      <w:pPr>
        <w:pStyle w:val="ySubsection"/>
      </w:pPr>
      <w:r>
        <w:tab/>
        <w:t>(5)</w:t>
      </w:r>
      <w:r>
        <w:tab/>
        <w:t>Each of the merging authorities is to make a contribution to the continuing authority of one</w:t>
      </w:r>
      <w:r>
        <w:noBreakHyphen/>
        <w:t xml:space="preserve">third (or such other proportion as is agreed) of the amounts paid by the continuing authority in respect of — </w:t>
      </w:r>
    </w:p>
    <w:p>
      <w:pPr>
        <w:pStyle w:val="yIndenta"/>
      </w:pPr>
      <w:r>
        <w:tab/>
        <w:t>(a)</w:t>
      </w:r>
      <w:r>
        <w:tab/>
        <w:t>remuneration or costs mentioned in subclause (4)(a) to (c); and</w:t>
      </w:r>
    </w:p>
    <w:p>
      <w:pPr>
        <w:pStyle w:val="yIndenta"/>
      </w:pPr>
      <w:r>
        <w:tab/>
        <w:t>(b)</w:t>
      </w:r>
      <w:r>
        <w:tab/>
        <w:t>costs mentioned in subclause (4)(d) to the extent that they were reasonably incurred.</w:t>
      </w:r>
    </w:p>
    <w:p>
      <w:pPr>
        <w:pStyle w:val="ySubsection"/>
      </w:pPr>
      <w:r>
        <w:tab/>
        <w:t>(6)</w:t>
      </w:r>
      <w:r>
        <w:tab/>
        <w:t xml:space="preserve">Any dispute as to — </w:t>
      </w:r>
    </w:p>
    <w:p>
      <w:pPr>
        <w:pStyle w:val="yIndenta"/>
      </w:pPr>
      <w:r>
        <w:tab/>
        <w:t>(a)</w:t>
      </w:r>
      <w:r>
        <w:tab/>
        <w:t>a contribution to be made under subclause (5); or</w:t>
      </w:r>
    </w:p>
    <w:p>
      <w:pPr>
        <w:pStyle w:val="yIndenta"/>
      </w:pPr>
      <w:r>
        <w:tab/>
        <w:t>(b)</w:t>
      </w:r>
      <w:r>
        <w:tab/>
        <w:t>the relevance or amount of a cost mentioned in subclause (4)(d),</w:t>
      </w:r>
    </w:p>
    <w:p>
      <w:pPr>
        <w:pStyle w:val="ySubsection"/>
      </w:pPr>
      <w:r>
        <w:tab/>
      </w:r>
      <w:r>
        <w:tab/>
        <w:t>may be referred to the Minister whose determination on the matter is final and the continuing authority and merging authorities are to have regard and give effect to the determination.</w:t>
      </w:r>
    </w:p>
    <w:p>
      <w:pPr>
        <w:pStyle w:val="yFootnotesection"/>
      </w:pPr>
      <w:r>
        <w:tab/>
        <w:t>[Clause 12 inserted by No. 9 of 2014 s. 35.]</w:t>
      </w:r>
    </w:p>
    <w:p>
      <w:pPr>
        <w:pStyle w:val="yHeading5"/>
      </w:pPr>
      <w:bookmarkStart w:id="624" w:name="_Toc398890235"/>
      <w:bookmarkStart w:id="625" w:name="_Toc424284670"/>
      <w:r>
        <w:rPr>
          <w:rStyle w:val="CharSClsNo"/>
        </w:rPr>
        <w:t>13</w:t>
      </w:r>
      <w:r>
        <w:t>.</w:t>
      </w:r>
      <w:r>
        <w:tab/>
        <w:t>Financial reporting</w:t>
      </w:r>
      <w:bookmarkEnd w:id="624"/>
      <w:bookmarkEnd w:id="625"/>
    </w:p>
    <w:p>
      <w:pPr>
        <w:pStyle w:val="ySubsection"/>
        <w:keepNext/>
      </w:pPr>
      <w:r>
        <w:tab/>
        <w:t>(1)</w:t>
      </w:r>
      <w:r>
        <w:tab/>
        <w:t xml:space="preserve">In this clause — </w:t>
      </w:r>
    </w:p>
    <w:p>
      <w:pPr>
        <w:pStyle w:val="yDefstart"/>
      </w:pPr>
      <w:r>
        <w:rPr>
          <w:i/>
          <w:iCs/>
        </w:rPr>
        <w:tab/>
      </w:r>
      <w:r>
        <w:rPr>
          <w:rStyle w:val="CharDefText"/>
          <w:iCs/>
        </w:rPr>
        <w:t>former directors</w:t>
      </w:r>
      <w:r>
        <w:t xml:space="preserve"> of a merging authority means the persons holding office as directors of the merging authority immediately before the merger time;</w:t>
      </w:r>
    </w:p>
    <w:p>
      <w:pPr>
        <w:pStyle w:val="yDefstart"/>
      </w:pPr>
      <w:r>
        <w:rPr>
          <w:i/>
          <w:iCs/>
        </w:rPr>
        <w:tab/>
      </w:r>
      <w:r>
        <w:rPr>
          <w:rStyle w:val="CharDefText"/>
          <w:iCs/>
        </w:rPr>
        <w:t>reporting board</w:t>
      </w:r>
      <w:r>
        <w:rPr>
          <w:rStyle w:val="CharDefText"/>
          <w:b w:val="0"/>
          <w:i w:val="0"/>
          <w:iCs/>
        </w:rPr>
        <w:t>,</w:t>
      </w:r>
      <w:r>
        <w:t xml:space="preserve"> in relation to a merging authority, means the reporting board constituted for the merging authority under subclause (2);</w:t>
      </w:r>
    </w:p>
    <w:p>
      <w:pPr>
        <w:pStyle w:val="yDefstart"/>
      </w:pPr>
      <w:r>
        <w:tab/>
      </w:r>
      <w:r>
        <w:rPr>
          <w:rStyle w:val="CharDefText"/>
        </w:rPr>
        <w:t>reporting provisions</w:t>
      </w:r>
      <w:r>
        <w:t xml:space="preserve"> means sections 68 and 69, Schedule 5 Division 3 Subdivision 1 and Schedule 5 clauses 34 and 35.</w:t>
      </w:r>
    </w:p>
    <w:p>
      <w:pPr>
        <w:pStyle w:val="ySubsection"/>
      </w:pPr>
      <w:r>
        <w:tab/>
        <w:t>(2)</w:t>
      </w:r>
      <w:r>
        <w:tab/>
        <w:t xml:space="preserve">A reporting board is constituted by force of this clause </w:t>
      </w:r>
      <w:r>
        <w:rPr>
          <w:bCs/>
        </w:rPr>
        <w:t xml:space="preserve">to perform the duties set out in this clause in respect of a </w:t>
      </w:r>
      <w:r>
        <w:t>merging</w:t>
      </w:r>
      <w:r>
        <w:rPr>
          <w:bCs/>
        </w:rPr>
        <w:t xml:space="preserve"> authority.</w:t>
      </w:r>
    </w:p>
    <w:p>
      <w:pPr>
        <w:pStyle w:val="ySubsection"/>
      </w:pPr>
      <w:r>
        <w:tab/>
        <w:t>(3)</w:t>
      </w:r>
      <w:r>
        <w:tab/>
        <w:t>The constitution of a reporting board under subclause (2) has effect for a period of 3 months commencing at the merger time but that period may be extended by the Minister if the Minister considers that the extension is needed in order to enable the reporting board to perform its duties under this clause.</w:t>
      </w:r>
    </w:p>
    <w:p>
      <w:pPr>
        <w:pStyle w:val="ySubsection"/>
      </w:pPr>
      <w:r>
        <w:tab/>
        <w:t>(4)</w:t>
      </w:r>
      <w:r>
        <w:tab/>
        <w:t>If the merger time coincides with the end of a financial year of a merging authority, the reporting board for the merging authority is to comply with the reporting provisions in respect of the merging authority for that financial year.</w:t>
      </w:r>
    </w:p>
    <w:p>
      <w:pPr>
        <w:pStyle w:val="ySubsection"/>
      </w:pPr>
      <w:r>
        <w:tab/>
        <w:t>(5)</w:t>
      </w:r>
      <w:r>
        <w:tab/>
        <w:t xml:space="preserve">If the merger time is after the end of a financial year of a merging authority (the </w:t>
      </w:r>
      <w:r>
        <w:rPr>
          <w:rStyle w:val="CharDefText"/>
        </w:rPr>
        <w:t>last financial year</w:t>
      </w:r>
      <w:r>
        <w:t xml:space="preserve">), the reporting board for the merging authority is to — </w:t>
      </w:r>
    </w:p>
    <w:p>
      <w:pPr>
        <w:pStyle w:val="yIndenta"/>
      </w:pPr>
      <w:r>
        <w:tab/>
        <w:t>(a)</w:t>
      </w:r>
      <w:r>
        <w:tab/>
        <w:t>comply with the reporting provisions in respect of the merging authority to the extent that those provisions have not been complied with for the last financial year; and</w:t>
      </w:r>
    </w:p>
    <w:p>
      <w:pPr>
        <w:pStyle w:val="yIndenta"/>
      </w:pPr>
      <w:r>
        <w:tab/>
        <w:t>(b)</w:t>
      </w:r>
      <w:r>
        <w:tab/>
        <w:t>comply with the reporting provisions in respect of the merging authority for the period starting from the end of the last financial year and ending at the merger time as if that period were a financial year.</w:t>
      </w:r>
    </w:p>
    <w:p>
      <w:pPr>
        <w:pStyle w:val="ySubsection"/>
      </w:pPr>
      <w:r>
        <w:tab/>
        <w:t>(6)</w:t>
      </w:r>
      <w:r>
        <w:tab/>
        <w:t>A reporting board must comply with any written directions given to it by the Minister as to the performance of its duties under this clause.</w:t>
      </w:r>
    </w:p>
    <w:p>
      <w:pPr>
        <w:pStyle w:val="ySubsection"/>
      </w:pPr>
      <w:r>
        <w:tab/>
        <w:t>(7)</w:t>
      </w:r>
      <w:r>
        <w:tab/>
        <w:t xml:space="preserve">In order to enable a reporting board to perform its duties under this clause the reporting provisions apply with — </w:t>
      </w:r>
    </w:p>
    <w:p>
      <w:pPr>
        <w:pStyle w:val="yIndenta"/>
      </w:pPr>
      <w:r>
        <w:tab/>
        <w:t>(a)</w:t>
      </w:r>
      <w:r>
        <w:tab/>
        <w:t>any modifications prescribed by transitional regulations; or</w:t>
      </w:r>
    </w:p>
    <w:p>
      <w:pPr>
        <w:pStyle w:val="yIndenta"/>
      </w:pPr>
      <w:r>
        <w:tab/>
        <w:t>(b)</w:t>
      </w:r>
      <w:r>
        <w:tab/>
        <w:t>any other appropriate modifications.</w:t>
      </w:r>
    </w:p>
    <w:p>
      <w:pPr>
        <w:pStyle w:val="ySubsection"/>
      </w:pPr>
      <w:r>
        <w:tab/>
        <w:t>(8)</w:t>
      </w:r>
      <w:r>
        <w:tab/>
        <w:t xml:space="preserve">For the purposes of this clause, a reporting board — </w:t>
      </w:r>
    </w:p>
    <w:p>
      <w:pPr>
        <w:pStyle w:val="yIndenta"/>
      </w:pPr>
      <w:r>
        <w:tab/>
        <w:t>(a)</w:t>
      </w:r>
      <w:r>
        <w:tab/>
        <w:t>is entitled to be provided with reasonable assistance and facilities and to have full and free access at all reasonable times to all accounts, and any other information, documents and records, that the reporting board considers necessary for those purposes; and</w:t>
      </w:r>
    </w:p>
    <w:p>
      <w:pPr>
        <w:pStyle w:val="yIndenta"/>
      </w:pPr>
      <w:r>
        <w:tab/>
        <w:t>(b)</w:t>
      </w:r>
      <w:r>
        <w:tab/>
        <w:t>may make copies of, or take extracts from, any of those accounts, documents or records or make a record of any of that information.</w:t>
      </w:r>
    </w:p>
    <w:p>
      <w:pPr>
        <w:pStyle w:val="ySubsection"/>
      </w:pPr>
      <w:r>
        <w:tab/>
        <w:t>(9)</w:t>
      </w:r>
      <w:r>
        <w:tab/>
        <w:t>A person who has possession of any accounts, information, documents or records of the kind referred to in subclause (8)(a) must at any reasonable time, on the request of the reporting board, produce any of those accounts, documents or records, or any of that information, specified in the request.</w:t>
      </w:r>
    </w:p>
    <w:p>
      <w:pPr>
        <w:pStyle w:val="yPenstart"/>
      </w:pPr>
      <w:r>
        <w:tab/>
        <w:t>Penalty: a fine of $10 000.</w:t>
      </w:r>
    </w:p>
    <w:p>
      <w:pPr>
        <w:pStyle w:val="ySubsection"/>
      </w:pPr>
      <w:r>
        <w:tab/>
        <w:t>(10)</w:t>
      </w:r>
      <w:r>
        <w:tab/>
        <w:t>Subject to subclauses (11) to (13), the provisions of this Act that apply to the board of directors of a port authority and those directors (other than sections 7(1) and 8 and Schedule 2 clause 1(1), (3) and (4)) apply, with any modifications that may be necessary or appropriate, to a reporting board and its members.</w:t>
      </w:r>
    </w:p>
    <w:p>
      <w:pPr>
        <w:pStyle w:val="ySubsection"/>
      </w:pPr>
      <w:r>
        <w:tab/>
        <w:t>(11)</w:t>
      </w:r>
      <w:r>
        <w:tab/>
        <w:t>The former directors of a merging authority are to hold office as members of the reporting board of the merging authority for as long as the reporting board remains constituted under subclause (2).</w:t>
      </w:r>
    </w:p>
    <w:p>
      <w:pPr>
        <w:pStyle w:val="ySubsection"/>
      </w:pPr>
      <w:r>
        <w:tab/>
        <w:t>(12)</w:t>
      </w:r>
      <w:r>
        <w:tab/>
        <w:t>If the office of a member of a reporting board becomes vacant the Minister may appoint a replacement member to hold office for as long as the reporting board remains constituted under subclause (2).</w:t>
      </w:r>
    </w:p>
    <w:p>
      <w:pPr>
        <w:pStyle w:val="ySubsection"/>
      </w:pPr>
      <w:r>
        <w:tab/>
        <w:t>(13)</w:t>
      </w:r>
      <w:r>
        <w:tab/>
        <w:t>Any remuneration or allowances payable to a member of a reporting board are to be paid from the funds of the SPA.</w:t>
      </w:r>
    </w:p>
    <w:p>
      <w:pPr>
        <w:pStyle w:val="ySubsection"/>
      </w:pPr>
      <w:r>
        <w:tab/>
        <w:t>(14)</w:t>
      </w:r>
      <w:r>
        <w:tab/>
        <w:t xml:space="preserve">A member of a reporting board is to be taken to be a director of the SPA for the purposes of the </w:t>
      </w:r>
      <w:r>
        <w:rPr>
          <w:i/>
        </w:rPr>
        <w:t>Statutory Corporations (Liability of Directors) Act 1996</w:t>
      </w:r>
      <w:r>
        <w:t>.</w:t>
      </w:r>
    </w:p>
    <w:p>
      <w:pPr>
        <w:pStyle w:val="yFootnotesection"/>
      </w:pPr>
      <w:r>
        <w:tab/>
        <w:t>[Clause 13 inserted by No. 9 of 2014 s. 35.]</w:t>
      </w:r>
    </w:p>
    <w:p>
      <w:pPr>
        <w:pStyle w:val="yHeading5"/>
      </w:pPr>
      <w:bookmarkStart w:id="626" w:name="_Toc398890236"/>
      <w:bookmarkStart w:id="627" w:name="_Toc424284671"/>
      <w:r>
        <w:rPr>
          <w:rStyle w:val="CharSClsNo"/>
        </w:rPr>
        <w:t>14</w:t>
      </w:r>
      <w:r>
        <w:t>.</w:t>
      </w:r>
      <w:r>
        <w:tab/>
        <w:t>Dividends</w:t>
      </w:r>
      <w:bookmarkEnd w:id="626"/>
      <w:bookmarkEnd w:id="627"/>
    </w:p>
    <w:p>
      <w:pPr>
        <w:pStyle w:val="ySubsection"/>
      </w:pPr>
      <w:r>
        <w:tab/>
        <w:t>(1)</w:t>
      </w:r>
      <w:r>
        <w:tab/>
        <w:t xml:space="preserve">In this clause — </w:t>
      </w:r>
    </w:p>
    <w:p>
      <w:pPr>
        <w:pStyle w:val="yDefstart"/>
      </w:pPr>
      <w:r>
        <w:rPr>
          <w:i/>
          <w:iCs/>
        </w:rPr>
        <w:tab/>
      </w:r>
      <w:r>
        <w:rPr>
          <w:rStyle w:val="CharDefText"/>
          <w:iCs/>
        </w:rPr>
        <w:t>dividend function</w:t>
      </w:r>
      <w:r>
        <w:t xml:space="preserve"> means a function of a port authority or its board under section 84.</w:t>
      </w:r>
    </w:p>
    <w:p>
      <w:pPr>
        <w:pStyle w:val="ySubsection"/>
      </w:pPr>
      <w:r>
        <w:tab/>
        <w:t>(2)</w:t>
      </w:r>
      <w:r>
        <w:tab/>
        <w:t>If immediately before the merger time a dividend function has yet to be performed by a merging authority or its board, the SPA or its board is to perform the function after the merger time as if the SPA were the merging authority.</w:t>
      </w:r>
    </w:p>
    <w:p>
      <w:pPr>
        <w:pStyle w:val="ySubsection"/>
      </w:pPr>
      <w:r>
        <w:tab/>
        <w:t>(3)</w:t>
      </w:r>
      <w:r>
        <w:tab/>
        <w:t>If the merger time coincides with the end of a financial year of a merging authority, the SPA or its board is to perform the dividend functions in relation to that financial year as if the SPA were the merging authority.</w:t>
      </w:r>
    </w:p>
    <w:p>
      <w:pPr>
        <w:pStyle w:val="ySubsection"/>
      </w:pPr>
      <w:r>
        <w:tab/>
        <w:t>(4)</w:t>
      </w:r>
      <w:r>
        <w:tab/>
        <w:t>Any amount that has to be paid to the Treasurer in accordance with subclause (2) or (3) is to be paid from the funds of the SPA.</w:t>
      </w:r>
    </w:p>
    <w:p>
      <w:pPr>
        <w:pStyle w:val="yFootnotesection"/>
      </w:pPr>
      <w:r>
        <w:tab/>
        <w:t>[Clause 14 inserted by No. 9 of 2014 s. 35.]</w:t>
      </w:r>
    </w:p>
    <w:p>
      <w:pPr>
        <w:pStyle w:val="yHeading5"/>
      </w:pPr>
      <w:bookmarkStart w:id="628" w:name="_Toc398890237"/>
      <w:bookmarkStart w:id="629" w:name="_Toc424284672"/>
      <w:r>
        <w:rPr>
          <w:rStyle w:val="CharSClsNo"/>
        </w:rPr>
        <w:t>15</w:t>
      </w:r>
      <w:r>
        <w:t>.</w:t>
      </w:r>
      <w:r>
        <w:tab/>
        <w:t>Transitional regulations</w:t>
      </w:r>
      <w:bookmarkEnd w:id="628"/>
      <w:bookmarkEnd w:id="629"/>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a port authority, or the new board, to provide for, implement or facilitate the merger; and</w:t>
      </w:r>
    </w:p>
    <w:p>
      <w:pPr>
        <w:pStyle w:val="yIndenta"/>
      </w:pPr>
      <w:r>
        <w:tab/>
        <w:t>(b)</w:t>
      </w:r>
      <w:r>
        <w:tab/>
        <w:t>anything necessary or expedient to be prescribed for providing for a matter or issue of a transitional nature that arises in relation to the merger.</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yFootnotesection"/>
      </w:pPr>
      <w:r>
        <w:tab/>
        <w:t>[Clause 15 inserted by No. 9 of 2014 s. 35.]</w:t>
      </w:r>
    </w:p>
    <w:p>
      <w:pPr>
        <w:pStyle w:val="yHeading4"/>
      </w:pPr>
      <w:bookmarkStart w:id="630" w:name="_Toc398890238"/>
      <w:bookmarkStart w:id="631" w:name="_Toc424284673"/>
      <w:r>
        <w:t>Subdivision 3</w:t>
      </w:r>
      <w:r>
        <w:rPr>
          <w:b w:val="0"/>
        </w:rPr>
        <w:t> — </w:t>
      </w:r>
      <w:r>
        <w:t>Provisions for the Mid West Ports Authority</w:t>
      </w:r>
      <w:bookmarkEnd w:id="630"/>
      <w:bookmarkEnd w:id="631"/>
    </w:p>
    <w:p>
      <w:pPr>
        <w:pStyle w:val="yFootnoteheading"/>
        <w:spacing w:after="120"/>
      </w:pPr>
      <w:r>
        <w:tab/>
        <w:t>[Heading inserted by No. 9 of 2014 s. 35.]</w:t>
      </w:r>
    </w:p>
    <w:p>
      <w:pPr>
        <w:pStyle w:val="yHeading5"/>
      </w:pPr>
      <w:bookmarkStart w:id="632" w:name="_Toc398890239"/>
      <w:bookmarkStart w:id="633" w:name="_Toc424284674"/>
      <w:r>
        <w:rPr>
          <w:rStyle w:val="CharSClsNo"/>
        </w:rPr>
        <w:t>16</w:t>
      </w:r>
      <w:r>
        <w:t>.</w:t>
      </w:r>
      <w:r>
        <w:tab/>
        <w:t>Terms used</w:t>
      </w:r>
      <w:bookmarkEnd w:id="632"/>
      <w:bookmarkEnd w:id="633"/>
    </w:p>
    <w:p>
      <w:pPr>
        <w:pStyle w:val="ySubsection"/>
      </w:pPr>
      <w:r>
        <w:tab/>
      </w:r>
      <w:r>
        <w:tab/>
        <w:t xml:space="preserve">In this Subdivision, unless the contrary intention appears — </w:t>
      </w:r>
    </w:p>
    <w:p>
      <w:pPr>
        <w:pStyle w:val="yDefstart"/>
      </w:pPr>
      <w:r>
        <w:tab/>
      </w:r>
      <w:r>
        <w:rPr>
          <w:rStyle w:val="CharDefText"/>
        </w:rPr>
        <w:t>MWPA</w:t>
      </w:r>
      <w:r>
        <w:t xml:space="preserve"> means the port authority as renamed as the </w:t>
      </w:r>
      <w:r>
        <w:rPr>
          <w:szCs w:val="22"/>
        </w:rPr>
        <w:t xml:space="preserve">Mid West </w:t>
      </w:r>
      <w:r>
        <w:t>Ports Authority by operation of section 31(2) of the amending Act;</w:t>
      </w:r>
    </w:p>
    <w:p>
      <w:pPr>
        <w:pStyle w:val="yDefstart"/>
      </w:pPr>
      <w:r>
        <w:tab/>
      </w:r>
      <w:r>
        <w:rPr>
          <w:rStyle w:val="CharDefText"/>
        </w:rPr>
        <w:t>new board</w:t>
      </w:r>
      <w:r>
        <w:t xml:space="preserve"> means the board of directors established under clause 17(3);</w:t>
      </w:r>
    </w:p>
    <w:p>
      <w:pPr>
        <w:pStyle w:val="yDefstart"/>
      </w:pPr>
      <w:r>
        <w:tab/>
      </w:r>
      <w:r>
        <w:rPr>
          <w:rStyle w:val="CharDefText"/>
        </w:rPr>
        <w:t>port authority</w:t>
      </w:r>
      <w:r>
        <w:t xml:space="preserve"> means the Geraldton Port Authority;</w:t>
      </w:r>
    </w:p>
    <w:p>
      <w:pPr>
        <w:pStyle w:val="yDefstart"/>
      </w:pPr>
      <w:r>
        <w:tab/>
      </w:r>
      <w:r>
        <w:rPr>
          <w:rStyle w:val="CharDefText"/>
        </w:rPr>
        <w:t>renaming</w:t>
      </w:r>
      <w:r>
        <w:t xml:space="preserve"> means the action effected by the coming into operation of section 31(2) of the amending Act;</w:t>
      </w:r>
    </w:p>
    <w:p>
      <w:pPr>
        <w:pStyle w:val="yDefstart"/>
      </w:pPr>
      <w:r>
        <w:tab/>
      </w:r>
      <w:r>
        <w:rPr>
          <w:rStyle w:val="CharDefText"/>
        </w:rPr>
        <w:t>renaming time</w:t>
      </w:r>
      <w:r>
        <w:t xml:space="preserve"> means the time at which section 31(2) of the amending Act comes into operation;</w:t>
      </w:r>
    </w:p>
    <w:p>
      <w:pPr>
        <w:pStyle w:val="yDefstart"/>
      </w:pPr>
      <w:r>
        <w:tab/>
      </w:r>
      <w:r>
        <w:rPr>
          <w:rStyle w:val="CharDefText"/>
        </w:rPr>
        <w:t>transitional regulations</w:t>
      </w:r>
      <w:r>
        <w:t xml:space="preserve"> has the meaning given in clause 22(1).</w:t>
      </w:r>
    </w:p>
    <w:p>
      <w:pPr>
        <w:pStyle w:val="yFootnotesection"/>
      </w:pPr>
      <w:r>
        <w:tab/>
        <w:t>[Clause 16 inserted by No. 9 of 2014 s. 35.]</w:t>
      </w:r>
    </w:p>
    <w:p>
      <w:pPr>
        <w:pStyle w:val="yHeading5"/>
      </w:pPr>
      <w:bookmarkStart w:id="634" w:name="_Toc398890240"/>
      <w:bookmarkStart w:id="635" w:name="_Toc424284675"/>
      <w:r>
        <w:rPr>
          <w:rStyle w:val="CharSClsNo"/>
        </w:rPr>
        <w:t>17</w:t>
      </w:r>
      <w:r>
        <w:t>.</w:t>
      </w:r>
      <w:r>
        <w:tab/>
        <w:t>Directors and former directors</w:t>
      </w:r>
      <w:bookmarkEnd w:id="634"/>
      <w:bookmarkEnd w:id="635"/>
    </w:p>
    <w:p>
      <w:pPr>
        <w:pStyle w:val="ySubsection"/>
      </w:pPr>
      <w:r>
        <w:tab/>
        <w:t>(1)</w:t>
      </w:r>
      <w:r>
        <w:tab/>
        <w:t>Immediately before the renaming time a person then holding office as a director of the port authority ceases to hold that office.</w:t>
      </w:r>
    </w:p>
    <w:p>
      <w:pPr>
        <w:pStyle w:val="ySubsection"/>
      </w:pPr>
      <w:r>
        <w:tab/>
        <w:t>(2)</w:t>
      </w:r>
      <w:r>
        <w:tab/>
        <w:t xml:space="preserve">From the renaming time a former director of the port authority is a former director of the MWPA for the purposes of the </w:t>
      </w:r>
      <w:r>
        <w:rPr>
          <w:i/>
        </w:rPr>
        <w:t>Statutory Corporations (Liability of Directors) Act 1996</w:t>
      </w:r>
      <w:r>
        <w:t>.</w:t>
      </w:r>
    </w:p>
    <w:p>
      <w:pPr>
        <w:pStyle w:val="ySubsection"/>
      </w:pPr>
      <w:r>
        <w:tab/>
        <w:t>(3)</w:t>
      </w:r>
      <w:r>
        <w:tab/>
        <w:t>The board of directors of the MWPA may be established by the appointment of directors before the renaming time.</w:t>
      </w:r>
    </w:p>
    <w:p>
      <w:pPr>
        <w:pStyle w:val="ySubsection"/>
      </w:pPr>
      <w:r>
        <w:tab/>
        <w:t>(4)</w:t>
      </w:r>
      <w:r>
        <w:tab/>
        <w:t>For the purposes of Schedule 2 clause 1, the term of office of a director appointed under subclause (3) does not begin until the renaming time.</w:t>
      </w:r>
    </w:p>
    <w:p>
      <w:pPr>
        <w:pStyle w:val="ySubsection"/>
      </w:pPr>
      <w:r>
        <w:tab/>
        <w:t>(5)</w:t>
      </w:r>
      <w:r>
        <w:tab/>
        <w:t>Nothing in this Schedule prevents a person who is a director of an existing port authority from being appointed under subclause (3).</w:t>
      </w:r>
    </w:p>
    <w:p>
      <w:pPr>
        <w:pStyle w:val="yFootnotesection"/>
      </w:pPr>
      <w:r>
        <w:tab/>
        <w:t>[Clause 17 inserted by No. 9 of 2014 s. 35.]</w:t>
      </w:r>
    </w:p>
    <w:p>
      <w:pPr>
        <w:pStyle w:val="yHeading5"/>
      </w:pPr>
      <w:bookmarkStart w:id="636" w:name="_Toc398890241"/>
      <w:bookmarkStart w:id="637" w:name="_Toc424284676"/>
      <w:r>
        <w:rPr>
          <w:rStyle w:val="CharSClsNo"/>
        </w:rPr>
        <w:t>18</w:t>
      </w:r>
      <w:r>
        <w:t>.</w:t>
      </w:r>
      <w:r>
        <w:tab/>
        <w:t>Powers of new board in anticipation of renaming</w:t>
      </w:r>
      <w:bookmarkEnd w:id="636"/>
      <w:bookmarkEnd w:id="637"/>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renaming; and</w:t>
      </w:r>
    </w:p>
    <w:p>
      <w:pPr>
        <w:pStyle w:val="yIndenta"/>
      </w:pPr>
      <w:r>
        <w:tab/>
        <w:t>(b)</w:t>
      </w:r>
      <w:r>
        <w:tab/>
        <w:t>do anything that is prescribed by transitional regulations and anything else that may be necessary or expedient to provide for, implement or facilitate the renaming.</w:t>
      </w:r>
    </w:p>
    <w:p>
      <w:pPr>
        <w:pStyle w:val="ySubsection"/>
      </w:pPr>
      <w:r>
        <w:tab/>
        <w:t>(2)</w:t>
      </w:r>
      <w:r>
        <w:tab/>
        <w:t>The matters that the new board can deal with in performing its functions under subclause (1)(a) include, but are not limited to, matters set out in clause 48 to the extent that they are relevant to the renaming.</w:t>
      </w:r>
    </w:p>
    <w:p>
      <w:pPr>
        <w:pStyle w:val="ySubsection"/>
      </w:pPr>
      <w:r>
        <w:tab/>
        <w:t>(3)</w:t>
      </w:r>
      <w:r>
        <w:tab/>
        <w:t>For the purposes of subclause (1) the new board may incur costs for which the port authority is liable.</w:t>
      </w:r>
    </w:p>
    <w:p>
      <w:pPr>
        <w:pStyle w:val="yFootnotesection"/>
      </w:pPr>
      <w:r>
        <w:tab/>
        <w:t>[Clause 18 inserted by No. 9 of 2014 s. 35.]</w:t>
      </w:r>
    </w:p>
    <w:p>
      <w:pPr>
        <w:pStyle w:val="yHeading5"/>
      </w:pPr>
      <w:bookmarkStart w:id="638" w:name="_Toc398890242"/>
      <w:bookmarkStart w:id="639" w:name="_Toc424284677"/>
      <w:r>
        <w:rPr>
          <w:rStyle w:val="CharSClsNo"/>
        </w:rPr>
        <w:t>19</w:t>
      </w:r>
      <w:r>
        <w:t>.</w:t>
      </w:r>
      <w:r>
        <w:tab/>
        <w:t>CEO and staff</w:t>
      </w:r>
      <w:bookmarkEnd w:id="638"/>
      <w:bookmarkEnd w:id="639"/>
    </w:p>
    <w:p>
      <w:pPr>
        <w:pStyle w:val="ySubsection"/>
      </w:pPr>
      <w:r>
        <w:tab/>
        <w:t>(1)</w:t>
      </w:r>
      <w:r>
        <w:tab/>
        <w:t>Immediately before the renaming time a person then holding office as the CEO of the port authority ceases to hold that office.</w:t>
      </w:r>
    </w:p>
    <w:p>
      <w:pPr>
        <w:pStyle w:val="ySubsection"/>
      </w:pPr>
      <w:r>
        <w:tab/>
        <w:t>(2)</w:t>
      </w:r>
      <w:r>
        <w:tab/>
        <w:t>At the renaming time, a person who was the CEO of the port authority immediately before the renaming time becomes a member of staff of the MWPA.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renaming time the port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pPr>
      <w:r>
        <w:tab/>
        <w:t>(5)</w:t>
      </w:r>
      <w:r>
        <w:tab/>
        <w:t>The powers of the new board under clause 18 include the power to appoint a person as the CEO of the MWPA before the renaming time.</w:t>
      </w:r>
    </w:p>
    <w:p>
      <w:pPr>
        <w:pStyle w:val="ySubsection"/>
      </w:pPr>
      <w:r>
        <w:tab/>
        <w:t>(6)</w:t>
      </w:r>
      <w:r>
        <w:tab/>
        <w:t>Until the renaming time a person appointed under subclause (5) may, as CEO of the MWPA, perform any function of a CEO of a port authority for the purpose of providing for, implementing or facilitating the renaming.</w:t>
      </w:r>
    </w:p>
    <w:p>
      <w:pPr>
        <w:pStyle w:val="ySubsection"/>
      </w:pPr>
      <w:r>
        <w:tab/>
        <w:t>(7)</w:t>
      </w:r>
      <w:r>
        <w:tab/>
        <w:t>If a person who is the CEO or a member of staff of the port authority is appointed under subclause (5)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Footnotesection"/>
      </w:pPr>
      <w:r>
        <w:tab/>
        <w:t>[Clause 19 inserted by No. 9 of 2014 s. 35.]</w:t>
      </w:r>
    </w:p>
    <w:p>
      <w:pPr>
        <w:pStyle w:val="yHeading5"/>
      </w:pPr>
      <w:bookmarkStart w:id="640" w:name="_Toc398890243"/>
      <w:bookmarkStart w:id="641" w:name="_Toc424284678"/>
      <w:r>
        <w:rPr>
          <w:rStyle w:val="CharSClsNo"/>
        </w:rPr>
        <w:t>20</w:t>
      </w:r>
      <w:r>
        <w:t>.</w:t>
      </w:r>
      <w:r>
        <w:tab/>
        <w:t>Agreements, instruments and documents</w:t>
      </w:r>
      <w:bookmarkEnd w:id="640"/>
      <w:bookmarkEnd w:id="641"/>
    </w:p>
    <w:p>
      <w:pPr>
        <w:pStyle w:val="ySubsection"/>
      </w:pPr>
      <w:r>
        <w:tab/>
        <w:t>(1)</w:t>
      </w:r>
      <w:r>
        <w:tab/>
        <w:t xml:space="preserve">In this clause — </w:t>
      </w:r>
    </w:p>
    <w:p>
      <w:pPr>
        <w:pStyle w:val="yDefstart"/>
      </w:pPr>
      <w:r>
        <w:tab/>
      </w:r>
      <w:r>
        <w:rPr>
          <w:rStyle w:val="CharDefText"/>
        </w:rPr>
        <w:t>former name</w:t>
      </w:r>
      <w:r>
        <w:t xml:space="preserve"> means “Geraldton Port Authority”;</w:t>
      </w:r>
    </w:p>
    <w:p>
      <w:pPr>
        <w:pStyle w:val="yDefstart"/>
      </w:pPr>
      <w:r>
        <w:tab/>
      </w:r>
      <w:r>
        <w:rPr>
          <w:rStyle w:val="CharDefText"/>
        </w:rPr>
        <w:t>new name</w:t>
      </w:r>
      <w:r>
        <w:t xml:space="preserve"> means “</w:t>
      </w:r>
      <w:r>
        <w:rPr>
          <w:szCs w:val="22"/>
        </w:rPr>
        <w:t>Mid West</w:t>
      </w:r>
      <w:r>
        <w:t xml:space="preserve"> Ports Authority”.</w:t>
      </w:r>
    </w:p>
    <w:p>
      <w:pPr>
        <w:pStyle w:val="ySubsection"/>
      </w:pPr>
      <w:r>
        <w:rPr>
          <w:b/>
        </w:rPr>
        <w:tab/>
      </w:r>
      <w:r>
        <w:t>(2)</w:t>
      </w:r>
      <w:r>
        <w:rPr>
          <w:b/>
        </w:rPr>
        <w:tab/>
      </w:r>
      <w:r>
        <w:t>A subsisting agreement, instrument or document that contains a reference to the MWPA by its former name has effect from the renaming time as if that reference were amended to be a reference to the MWPA by its new name.</w:t>
      </w:r>
    </w:p>
    <w:p>
      <w:pPr>
        <w:pStyle w:val="ySubsection"/>
      </w:pPr>
      <w:r>
        <w:tab/>
        <w:t>(3)</w:t>
      </w:r>
      <w:r>
        <w:tab/>
        <w:t>Subclause (2) does not apply to an agreement or instrument to which the port authority was a party.</w:t>
      </w:r>
    </w:p>
    <w:p>
      <w:pPr>
        <w:pStyle w:val="ySubsection"/>
      </w:pPr>
      <w:r>
        <w:tab/>
        <w:t>(4)</w:t>
      </w:r>
      <w:r>
        <w:tab/>
        <w:t xml:space="preserve">If the port authority was a party to a subsisting agreement or instrument then, from the renaming time — </w:t>
      </w:r>
    </w:p>
    <w:p>
      <w:pPr>
        <w:pStyle w:val="yIndenta"/>
      </w:pPr>
      <w:r>
        <w:tab/>
        <w:t>(a)</w:t>
      </w:r>
      <w:r>
        <w:tab/>
        <w:t>the MWPA is a party to the agreement or instrument under its new name; and</w:t>
      </w:r>
    </w:p>
    <w:p>
      <w:pPr>
        <w:pStyle w:val="yIndenta"/>
      </w:pPr>
      <w:r>
        <w:tab/>
        <w:t>(b)</w:t>
      </w:r>
      <w:r>
        <w:tab/>
        <w:t>the agreement or instrument has effect as if a reference in it to the MWPA by its former name were amended to be a reference to the MWPA by its new name.</w:t>
      </w:r>
    </w:p>
    <w:p>
      <w:pPr>
        <w:pStyle w:val="ySubsection"/>
      </w:pPr>
      <w:r>
        <w:tab/>
        <w:t>(5)</w:t>
      </w:r>
      <w:r>
        <w:tab/>
        <w:t xml:space="preserve">Subclause (2) or (4)(b)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20 inserted by No. 9 of 2014 s. 35.]</w:t>
      </w:r>
    </w:p>
    <w:p>
      <w:pPr>
        <w:pStyle w:val="yHeading5"/>
      </w:pPr>
      <w:bookmarkStart w:id="642" w:name="_Toc398890244"/>
      <w:bookmarkStart w:id="643" w:name="_Toc424284679"/>
      <w:r>
        <w:rPr>
          <w:rStyle w:val="CharSClsNo"/>
        </w:rPr>
        <w:t>21</w:t>
      </w:r>
      <w:r>
        <w:t>.</w:t>
      </w:r>
      <w:r>
        <w:tab/>
        <w:t>Port authority to implement or facilitate renaming</w:t>
      </w:r>
      <w:bookmarkEnd w:id="642"/>
      <w:bookmarkEnd w:id="643"/>
    </w:p>
    <w:p>
      <w:pPr>
        <w:pStyle w:val="ySubsection"/>
      </w:pPr>
      <w:r>
        <w:tab/>
        <w:t>(1)</w:t>
      </w:r>
      <w:r>
        <w:tab/>
        <w:t xml:space="preserve">Anything that is prescribed by transitional regulations, and anything else that may be necessary or expedient to provide for, implement or facilitate the renaming, is to be done — </w:t>
      </w:r>
    </w:p>
    <w:p>
      <w:pPr>
        <w:pStyle w:val="yIndenta"/>
      </w:pPr>
      <w:r>
        <w:tab/>
        <w:t>(a)</w:t>
      </w:r>
      <w:r>
        <w:tab/>
        <w:t>before the renaming time — by the port authority; and</w:t>
      </w:r>
    </w:p>
    <w:p>
      <w:pPr>
        <w:pStyle w:val="yIndenta"/>
      </w:pPr>
      <w:r>
        <w:tab/>
        <w:t>(b)</w:t>
      </w:r>
      <w:r>
        <w:tab/>
        <w:t>after the renaming time — by the MWPA.</w:t>
      </w:r>
    </w:p>
    <w:p>
      <w:pPr>
        <w:pStyle w:val="ySubsection"/>
      </w:pPr>
      <w:r>
        <w:tab/>
        <w:t>(2)</w:t>
      </w:r>
      <w:r>
        <w:tab/>
        <w:t>The function conferred by subclause (1) is in addition to any other function that a port authority has.</w:t>
      </w:r>
    </w:p>
    <w:p>
      <w:pPr>
        <w:pStyle w:val="ySubsection"/>
      </w:pPr>
      <w:r>
        <w:tab/>
        <w:t>(3)</w:t>
      </w:r>
      <w:r>
        <w:tab/>
        <w:t xml:space="preserve">The following amounts payable before the renaming time are to be paid out of the funds of the port authority — </w:t>
      </w:r>
    </w:p>
    <w:p>
      <w:pPr>
        <w:pStyle w:val="yIndenta"/>
      </w:pPr>
      <w:r>
        <w:tab/>
        <w:t>(a)</w:t>
      </w:r>
      <w:r>
        <w:tab/>
        <w:t>any remuneration or allowances payable to a director appointed under clause 17(3);</w:t>
      </w:r>
    </w:p>
    <w:p>
      <w:pPr>
        <w:pStyle w:val="yIndenta"/>
      </w:pPr>
      <w:r>
        <w:tab/>
        <w:t>(b)</w:t>
      </w:r>
      <w:r>
        <w:tab/>
        <w:t>any remuneration payable to a person appointed under clause 19(5);</w:t>
      </w:r>
    </w:p>
    <w:p>
      <w:pPr>
        <w:pStyle w:val="yIndenta"/>
      </w:pPr>
      <w:r>
        <w:tab/>
        <w:t>(c)</w:t>
      </w:r>
      <w:r>
        <w:tab/>
        <w:t>the costs of the appointment process under clause 19(5);</w:t>
      </w:r>
    </w:p>
    <w:p>
      <w:pPr>
        <w:pStyle w:val="yIndenta"/>
      </w:pPr>
      <w:r>
        <w:tab/>
        <w:t>(d)</w:t>
      </w:r>
      <w:r>
        <w:tab/>
        <w:t>any other costs incurred by the new board under clause 18.</w:t>
      </w:r>
    </w:p>
    <w:p>
      <w:pPr>
        <w:pStyle w:val="yFootnotesection"/>
      </w:pPr>
      <w:r>
        <w:tab/>
        <w:t>[Clause 21 inserted by No. 9 of 2014 s. 35.]</w:t>
      </w:r>
    </w:p>
    <w:p>
      <w:pPr>
        <w:pStyle w:val="yHeading5"/>
      </w:pPr>
      <w:bookmarkStart w:id="644" w:name="_Toc398890245"/>
      <w:bookmarkStart w:id="645" w:name="_Toc424284680"/>
      <w:r>
        <w:rPr>
          <w:rStyle w:val="CharSClsNo"/>
        </w:rPr>
        <w:t>22</w:t>
      </w:r>
      <w:r>
        <w:t>.</w:t>
      </w:r>
      <w:r>
        <w:tab/>
        <w:t>Transitional regulations</w:t>
      </w:r>
      <w:bookmarkEnd w:id="644"/>
      <w:bookmarkEnd w:id="645"/>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the port authority, the new board or the MWPA to provide for, implement or facilitate the renaming; and</w:t>
      </w:r>
    </w:p>
    <w:p>
      <w:pPr>
        <w:pStyle w:val="yIndenta"/>
      </w:pPr>
      <w:r>
        <w:tab/>
        <w:t>(b)</w:t>
      </w:r>
      <w:r>
        <w:tab/>
        <w:t>anything necessary or expedient to be prescribed for providing for a matter or issue of a transitional nature that arises in relation to the renaming.</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renaming time, the regulations have effect according to their terms.</w:t>
      </w:r>
    </w:p>
    <w:p>
      <w:pPr>
        <w:pStyle w:val="yFootnotesection"/>
      </w:pPr>
      <w:r>
        <w:tab/>
        <w:t>[Clause 22 inserted by No. 9 of 2014 s. 35.]</w:t>
      </w:r>
    </w:p>
    <w:p>
      <w:pPr>
        <w:pStyle w:val="yHeading4"/>
      </w:pPr>
      <w:bookmarkStart w:id="646" w:name="_Toc398890246"/>
      <w:bookmarkStart w:id="647" w:name="_Toc424284681"/>
      <w:r>
        <w:t>Subdivision 4</w:t>
      </w:r>
      <w:r>
        <w:rPr>
          <w:b w:val="0"/>
        </w:rPr>
        <w:t> — </w:t>
      </w:r>
      <w:r>
        <w:t>Provisions for the Pilbara Ports Authority</w:t>
      </w:r>
      <w:bookmarkEnd w:id="646"/>
      <w:bookmarkEnd w:id="647"/>
    </w:p>
    <w:p>
      <w:pPr>
        <w:pStyle w:val="yFootnoteheading"/>
        <w:spacing w:after="120"/>
      </w:pPr>
      <w:r>
        <w:tab/>
        <w:t>[Heading inserted by No. 9 of 2014 s. 35.]</w:t>
      </w:r>
    </w:p>
    <w:p>
      <w:pPr>
        <w:pStyle w:val="yHeading5"/>
      </w:pPr>
      <w:bookmarkStart w:id="648" w:name="_Toc398890247"/>
      <w:bookmarkStart w:id="649" w:name="_Toc424284682"/>
      <w:r>
        <w:rPr>
          <w:rStyle w:val="CharSClsNo"/>
        </w:rPr>
        <w:t>23</w:t>
      </w:r>
      <w:r>
        <w:t>.</w:t>
      </w:r>
      <w:r>
        <w:tab/>
        <w:t>Terms used</w:t>
      </w:r>
      <w:bookmarkEnd w:id="648"/>
      <w:bookmarkEnd w:id="649"/>
    </w:p>
    <w:p>
      <w:pPr>
        <w:pStyle w:val="ySubsection"/>
      </w:pPr>
      <w:r>
        <w:tab/>
      </w:r>
      <w:r>
        <w:tab/>
        <w:t xml:space="preserve">In this Subdivision — </w:t>
      </w:r>
    </w:p>
    <w:p>
      <w:pPr>
        <w:pStyle w:val="yDefstart"/>
      </w:pPr>
      <w:r>
        <w:tab/>
      </w:r>
      <w:r>
        <w:rPr>
          <w:rStyle w:val="CharDefText"/>
        </w:rPr>
        <w:t>continuing authority</w:t>
      </w:r>
      <w:r>
        <w:t xml:space="preserve"> means the Port Hedland Port Authority;</w:t>
      </w:r>
    </w:p>
    <w:p>
      <w:pPr>
        <w:pStyle w:val="yDefstart"/>
      </w:pPr>
      <w:r>
        <w:tab/>
      </w:r>
      <w:r>
        <w:rPr>
          <w:rStyle w:val="CharDefText"/>
        </w:rPr>
        <w:t>merger</w:t>
      </w:r>
      <w:r>
        <w:t xml:space="preserve"> means — </w:t>
      </w:r>
    </w:p>
    <w:p>
      <w:pPr>
        <w:pStyle w:val="yDefpara"/>
      </w:pPr>
      <w:r>
        <w:tab/>
        <w:t>(a)</w:t>
      </w:r>
      <w:r>
        <w:tab/>
        <w:t>the actions effected by the coming into operation of section 31(3) of the amending Act; and</w:t>
      </w:r>
    </w:p>
    <w:p>
      <w:pPr>
        <w:pStyle w:val="yDefpara"/>
      </w:pPr>
      <w:r>
        <w:tab/>
        <w:t>(b)</w:t>
      </w:r>
      <w:r>
        <w:tab/>
        <w:t>the merging of the Dampier Port Authority into the PPA under clause 24(1);</w:t>
      </w:r>
    </w:p>
    <w:p>
      <w:pPr>
        <w:pStyle w:val="yDefstart"/>
      </w:pPr>
      <w:r>
        <w:tab/>
      </w:r>
      <w:r>
        <w:rPr>
          <w:rStyle w:val="CharDefText"/>
        </w:rPr>
        <w:t>merger time</w:t>
      </w:r>
      <w:r>
        <w:t xml:space="preserve"> means the time at which section 31(3) of the amending Act comes into operation;</w:t>
      </w:r>
    </w:p>
    <w:p>
      <w:pPr>
        <w:pStyle w:val="yDefstart"/>
      </w:pPr>
      <w:r>
        <w:tab/>
      </w:r>
      <w:r>
        <w:rPr>
          <w:rStyle w:val="CharDefText"/>
        </w:rPr>
        <w:t>merging authority</w:t>
      </w:r>
      <w:r>
        <w:t xml:space="preserve"> means the Dampier Port Authority;</w:t>
      </w:r>
    </w:p>
    <w:p>
      <w:pPr>
        <w:pStyle w:val="yDefstart"/>
      </w:pPr>
      <w:r>
        <w:tab/>
      </w:r>
      <w:r>
        <w:rPr>
          <w:rStyle w:val="CharDefText"/>
        </w:rPr>
        <w:t>new board</w:t>
      </w:r>
      <w:r>
        <w:t xml:space="preserve"> means the board of directors established under clause 25(3);</w:t>
      </w:r>
    </w:p>
    <w:p>
      <w:pPr>
        <w:pStyle w:val="yDefstart"/>
      </w:pPr>
      <w:r>
        <w:tab/>
      </w:r>
      <w:r>
        <w:rPr>
          <w:rStyle w:val="CharDefText"/>
        </w:rPr>
        <w:t>PPA</w:t>
      </w:r>
      <w:r>
        <w:t xml:space="preserve"> means the continuing authority as renamed as the Pilbara Ports Authority by operation of section 31(3)(b) of the amending Act;</w:t>
      </w:r>
    </w:p>
    <w:p>
      <w:pPr>
        <w:pStyle w:val="yDefstart"/>
      </w:pPr>
      <w:r>
        <w:tab/>
      </w:r>
      <w:r>
        <w:rPr>
          <w:rStyle w:val="CharDefText"/>
        </w:rPr>
        <w:t>transitional regulations</w:t>
      </w:r>
      <w:r>
        <w:t xml:space="preserve"> has the meaning given in clause 36(1).</w:t>
      </w:r>
    </w:p>
    <w:p>
      <w:pPr>
        <w:pStyle w:val="yFootnotesection"/>
      </w:pPr>
      <w:r>
        <w:tab/>
        <w:t>[Clause 23 inserted by No. 9 of 2014 s. 35.]</w:t>
      </w:r>
    </w:p>
    <w:p>
      <w:pPr>
        <w:pStyle w:val="yHeading5"/>
      </w:pPr>
      <w:bookmarkStart w:id="650" w:name="_Toc398890248"/>
      <w:bookmarkStart w:id="651" w:name="_Toc424284683"/>
      <w:r>
        <w:rPr>
          <w:rStyle w:val="CharSClsNo"/>
        </w:rPr>
        <w:t>24</w:t>
      </w:r>
      <w:r>
        <w:t>.</w:t>
      </w:r>
      <w:r>
        <w:tab/>
        <w:t>Merger of Dampier Port Authority into Pilbara Ports Authority</w:t>
      </w:r>
      <w:bookmarkEnd w:id="650"/>
      <w:bookmarkEnd w:id="651"/>
    </w:p>
    <w:p>
      <w:pPr>
        <w:pStyle w:val="ySubsection"/>
      </w:pPr>
      <w:r>
        <w:tab/>
        <w:t>(1)</w:t>
      </w:r>
      <w:r>
        <w:tab/>
        <w:t>At the merger time the Dampier Port Authority ceases to be a port authority under this Act and merges into the PPA.</w:t>
      </w:r>
    </w:p>
    <w:p>
      <w:pPr>
        <w:pStyle w:val="ySubsection"/>
      </w:pPr>
      <w:r>
        <w:tab/>
        <w:t>(2)</w:t>
      </w:r>
      <w:r>
        <w:tab/>
        <w:t>From the merger time the PPA is a continuation of the merging authority.</w:t>
      </w:r>
    </w:p>
    <w:p>
      <w:pPr>
        <w:pStyle w:val="yFootnotesection"/>
      </w:pPr>
      <w:r>
        <w:tab/>
        <w:t>[Clause 24 inserted by No. 9 of 2014 s. 35.]</w:t>
      </w:r>
    </w:p>
    <w:p>
      <w:pPr>
        <w:pStyle w:val="yHeading5"/>
      </w:pPr>
      <w:bookmarkStart w:id="652" w:name="_Toc398890249"/>
      <w:bookmarkStart w:id="653" w:name="_Toc424284684"/>
      <w:r>
        <w:rPr>
          <w:rStyle w:val="CharSClsNo"/>
        </w:rPr>
        <w:t>25</w:t>
      </w:r>
      <w:r>
        <w:t>.</w:t>
      </w:r>
      <w:r>
        <w:tab/>
        <w:t>Directors and former directors</w:t>
      </w:r>
      <w:bookmarkEnd w:id="652"/>
      <w:bookmarkEnd w:id="653"/>
    </w:p>
    <w:p>
      <w:pPr>
        <w:pStyle w:val="ySubsection"/>
      </w:pPr>
      <w:r>
        <w:tab/>
        <w:t>(1)</w:t>
      </w:r>
      <w:r>
        <w:tab/>
        <w:t>Immediately before the merger time a person then holding office as a director of the merging authority or the continuing authority ceases to hold that office.</w:t>
      </w:r>
    </w:p>
    <w:p>
      <w:pPr>
        <w:pStyle w:val="ySubsection"/>
      </w:pPr>
      <w:r>
        <w:tab/>
        <w:t>(2)</w:t>
      </w:r>
      <w:r>
        <w:tab/>
        <w:t xml:space="preserve">From the merger time — </w:t>
      </w:r>
    </w:p>
    <w:p>
      <w:pPr>
        <w:pStyle w:val="yIndenta"/>
      </w:pPr>
      <w:r>
        <w:tab/>
        <w:t>(a)</w:t>
      </w:r>
      <w:r>
        <w:tab/>
        <w:t xml:space="preserve">a former director of the merging authority is to be taken to be a former director of the PPA for the purposes of the </w:t>
      </w:r>
      <w:r>
        <w:rPr>
          <w:i/>
        </w:rPr>
        <w:t>Statutory Corporations (Liability of Directors) Act 1996</w:t>
      </w:r>
      <w:r>
        <w:t>; and</w:t>
      </w:r>
    </w:p>
    <w:p>
      <w:pPr>
        <w:pStyle w:val="yIndenta"/>
      </w:pPr>
      <w:r>
        <w:tab/>
        <w:t>(b)</w:t>
      </w:r>
      <w:r>
        <w:tab/>
        <w:t xml:space="preserve">a former director of the continuing authority is a former director of the PPA for the purposes of the </w:t>
      </w:r>
      <w:r>
        <w:rPr>
          <w:i/>
        </w:rPr>
        <w:t>Statutory Corporations (Liability of Directors) Act 1996</w:t>
      </w:r>
      <w:r>
        <w:t>.</w:t>
      </w:r>
    </w:p>
    <w:p>
      <w:pPr>
        <w:pStyle w:val="ySubsection"/>
      </w:pPr>
      <w:r>
        <w:tab/>
        <w:t>(3)</w:t>
      </w:r>
      <w:r>
        <w:tab/>
        <w:t>The board of directors of the PPA may be established by the appointment of directors before the merger time.</w:t>
      </w:r>
    </w:p>
    <w:p>
      <w:pPr>
        <w:pStyle w:val="ySubsection"/>
      </w:pPr>
      <w:r>
        <w:tab/>
        <w:t>(4)</w:t>
      </w:r>
      <w:r>
        <w:tab/>
        <w:t>For the purposes of Schedule 2 clause 1, the term of office of a director appointed under subclause (3) does not begin until the merger time.</w:t>
      </w:r>
    </w:p>
    <w:p>
      <w:pPr>
        <w:pStyle w:val="ySubsection"/>
      </w:pPr>
      <w:r>
        <w:tab/>
        <w:t>(5)</w:t>
      </w:r>
      <w:r>
        <w:tab/>
        <w:t>Nothing in this Schedule prevents a person who is a director of an existing port authority from being appointed under subclause (3).</w:t>
      </w:r>
    </w:p>
    <w:p>
      <w:pPr>
        <w:pStyle w:val="yFootnotesection"/>
      </w:pPr>
      <w:r>
        <w:tab/>
        <w:t>[Clause 25 inserted by No. 9 of 2014 s. 35.]</w:t>
      </w:r>
    </w:p>
    <w:p>
      <w:pPr>
        <w:pStyle w:val="yHeading5"/>
      </w:pPr>
      <w:bookmarkStart w:id="654" w:name="_Toc398890250"/>
      <w:bookmarkStart w:id="655" w:name="_Toc424284685"/>
      <w:r>
        <w:rPr>
          <w:rStyle w:val="CharSClsNo"/>
        </w:rPr>
        <w:t>26</w:t>
      </w:r>
      <w:r>
        <w:t>.</w:t>
      </w:r>
      <w:r>
        <w:tab/>
        <w:t>Powers of new board in anticipation of merger</w:t>
      </w:r>
      <w:bookmarkEnd w:id="654"/>
      <w:bookmarkEnd w:id="655"/>
      <w:r>
        <w:t xml:space="preserve"> </w:t>
      </w:r>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merger; and</w:t>
      </w:r>
    </w:p>
    <w:p>
      <w:pPr>
        <w:pStyle w:val="yIndenta"/>
      </w:pPr>
      <w:r>
        <w:tab/>
        <w:t>(b)</w:t>
      </w:r>
      <w:r>
        <w:tab/>
        <w:t>do anything that is prescribed by transitional regulations and anything else that may be necessary or expedient to provide for, implement or facilitate the merger.</w:t>
      </w:r>
    </w:p>
    <w:p>
      <w:pPr>
        <w:pStyle w:val="ySubsection"/>
      </w:pPr>
      <w:r>
        <w:tab/>
        <w:t>(2)</w:t>
      </w:r>
      <w:r>
        <w:tab/>
        <w:t>The matters that the new board can deal with in performing its functions under subclause (1)(a) include, but are not limited to, matters set out in clause 48.</w:t>
      </w:r>
    </w:p>
    <w:p>
      <w:pPr>
        <w:pStyle w:val="ySubsection"/>
        <w:keepNext/>
      </w:pPr>
      <w:r>
        <w:tab/>
        <w:t>(3)</w:t>
      </w:r>
      <w:r>
        <w:tab/>
        <w:t>For the purposes of subclause (1) the new board may incur costs for which the continuing authority is liable.</w:t>
      </w:r>
    </w:p>
    <w:p>
      <w:pPr>
        <w:pStyle w:val="yFootnotesection"/>
      </w:pPr>
      <w:r>
        <w:tab/>
        <w:t>[Clause 26 inserted by No. 9 of 2014 s. 35.]</w:t>
      </w:r>
    </w:p>
    <w:p>
      <w:pPr>
        <w:pStyle w:val="yHeading5"/>
      </w:pPr>
      <w:bookmarkStart w:id="656" w:name="_Toc398890251"/>
      <w:bookmarkStart w:id="657" w:name="_Toc424284686"/>
      <w:r>
        <w:rPr>
          <w:rStyle w:val="CharSClsNo"/>
        </w:rPr>
        <w:t>27</w:t>
      </w:r>
      <w:r>
        <w:t>.</w:t>
      </w:r>
      <w:r>
        <w:tab/>
        <w:t>CEOs and members of staff</w:t>
      </w:r>
      <w:bookmarkEnd w:id="656"/>
      <w:bookmarkEnd w:id="657"/>
      <w:r>
        <w:t xml:space="preserve"> </w:t>
      </w:r>
    </w:p>
    <w:p>
      <w:pPr>
        <w:pStyle w:val="ySubsection"/>
      </w:pPr>
      <w:r>
        <w:tab/>
        <w:t>(1)</w:t>
      </w:r>
      <w:r>
        <w:tab/>
        <w:t>Immediately before the merger time a person then holding office as the CEO of the continuing authority or the merging authority ceases to hold that office.</w:t>
      </w:r>
    </w:p>
    <w:p>
      <w:pPr>
        <w:pStyle w:val="ySubsection"/>
      </w:pPr>
      <w:r>
        <w:tab/>
        <w:t>(2)</w:t>
      </w:r>
      <w:r>
        <w:tab/>
        <w:t xml:space="preserve">At the merger time, a person who was — </w:t>
      </w:r>
    </w:p>
    <w:p>
      <w:pPr>
        <w:pStyle w:val="yIndenta"/>
      </w:pPr>
      <w:r>
        <w:tab/>
        <w:t>(a)</w:t>
      </w:r>
      <w:r>
        <w:tab/>
        <w:t>the CEO of the continuing authority; or</w:t>
      </w:r>
    </w:p>
    <w:p>
      <w:pPr>
        <w:pStyle w:val="yIndenta"/>
      </w:pPr>
      <w:r>
        <w:tab/>
        <w:t>(b)</w:t>
      </w:r>
      <w:r>
        <w:tab/>
        <w:t>the CEO or a member of staff of the merging authority,</w:t>
      </w:r>
    </w:p>
    <w:p>
      <w:pPr>
        <w:pStyle w:val="ySubsection"/>
      </w:pPr>
      <w:r>
        <w:tab/>
      </w:r>
      <w:r>
        <w:tab/>
        <w:t>immediately before the merger time becomes a member of staff of the PPA.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merger time the continuing authority or the merging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pPr>
      <w:r>
        <w:tab/>
        <w:t>(5)</w:t>
      </w:r>
      <w:r>
        <w:tab/>
        <w:t>The powers of the new board under clause 26 include the power to appoint a person as the CEO of the PPA before the merger time.</w:t>
      </w:r>
    </w:p>
    <w:p>
      <w:pPr>
        <w:pStyle w:val="ySubsection"/>
      </w:pPr>
      <w:r>
        <w:tab/>
        <w:t>(6)</w:t>
      </w:r>
      <w:r>
        <w:tab/>
        <w:t>Until the merger time a person appointed under subclause (5) may, as CEO of the PPA, perform any function of a CEO of a port authority for the purpose of providing for, implementing or facilitating the merger.</w:t>
      </w:r>
    </w:p>
    <w:p>
      <w:pPr>
        <w:pStyle w:val="yFootnotesection"/>
      </w:pPr>
      <w:r>
        <w:tab/>
        <w:t>[Clause 27 inserted by No. 9 of 2014 s. 35.]</w:t>
      </w:r>
    </w:p>
    <w:p>
      <w:pPr>
        <w:pStyle w:val="yHeading5"/>
      </w:pPr>
      <w:bookmarkStart w:id="658" w:name="_Toc398890252"/>
      <w:bookmarkStart w:id="659" w:name="_Toc424284687"/>
      <w:r>
        <w:rPr>
          <w:rStyle w:val="CharSClsNo"/>
        </w:rPr>
        <w:t>28</w:t>
      </w:r>
      <w:r>
        <w:t>.</w:t>
      </w:r>
      <w:r>
        <w:tab/>
        <w:t>Preservation of rights</w:t>
      </w:r>
      <w:bookmarkEnd w:id="658"/>
      <w:bookmarkEnd w:id="659"/>
    </w:p>
    <w:p>
      <w:pPr>
        <w:pStyle w:val="ySubsection"/>
      </w:pPr>
      <w:r>
        <w:tab/>
        <w:t>(1)</w:t>
      </w:r>
      <w:r>
        <w:tab/>
        <w:t>Except as otherwise agreed by the relevant CEO or member of staff, the operation of clause 27(1) or (2) does not — </w:t>
      </w:r>
    </w:p>
    <w:p>
      <w:pPr>
        <w:pStyle w:val="yIndenta"/>
      </w:pPr>
      <w:r>
        <w:tab/>
        <w:t>(a)</w:t>
      </w:r>
      <w:r>
        <w:tab/>
        <w:t>affect his or her remuneration; or</w:t>
      </w:r>
    </w:p>
    <w:p>
      <w:pPr>
        <w:pStyle w:val="yIndenta"/>
      </w:pPr>
      <w:r>
        <w:tab/>
        <w:t>(b)</w:t>
      </w:r>
      <w:r>
        <w:tab/>
        <w:t>affect his or her existing or accruing rights in respect of annual leave, long service leave, sick leave or any other leave; or</w:t>
      </w:r>
    </w:p>
    <w:p>
      <w:pPr>
        <w:pStyle w:val="yIndenta"/>
      </w:pPr>
      <w:r>
        <w:tab/>
        <w:t>(c)</w:t>
      </w:r>
      <w:r>
        <w:tab/>
        <w:t>affect any rights under a superannuation scheme; or</w:t>
      </w:r>
    </w:p>
    <w:p>
      <w:pPr>
        <w:pStyle w:val="yIndenta"/>
      </w:pPr>
      <w:r>
        <w:tab/>
        <w:t>(d)</w:t>
      </w:r>
      <w:r>
        <w:tab/>
        <w:t>interrupt the continuity of his or her service.</w:t>
      </w:r>
    </w:p>
    <w:p>
      <w:pPr>
        <w:pStyle w:val="ySubsection"/>
      </w:pPr>
      <w:r>
        <w:tab/>
        <w:t>(2)</w:t>
      </w:r>
      <w:r>
        <w:tab/>
        <w:t>For the purposes of subclause (1)(d), the service of a CEO or member of staff with the merging authority is to be taken to have been with the PPA.</w:t>
      </w:r>
    </w:p>
    <w:p>
      <w:pPr>
        <w:pStyle w:val="ySubsection"/>
      </w:pPr>
      <w:r>
        <w:tab/>
        <w:t>(3)</w:t>
      </w:r>
      <w:r>
        <w:tab/>
        <w:t>If a person who is the CEO or a member of staff of the continuing authority or the merging authority is appointed under clause 27(5),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Subsection"/>
      </w:pPr>
      <w:r>
        <w:tab/>
      </w:r>
      <w:r>
        <w:tab/>
        <w:t>and, if the person was the CEO or a member of staff of the merging authority, his or her service with the merging authority is to be taken, for the purposes of paragraph (c), to have been with the PPA.</w:t>
      </w:r>
    </w:p>
    <w:p>
      <w:pPr>
        <w:pStyle w:val="ySubsection"/>
      </w:pPr>
      <w:r>
        <w:tab/>
        <w:t>(4)</w:t>
      </w:r>
      <w:r>
        <w:tab/>
        <w:t>Nothing in clause 27 or this clause prevents the exercise by the PPA of its powers in relation to the management of members of staff.</w:t>
      </w:r>
    </w:p>
    <w:p>
      <w:pPr>
        <w:pStyle w:val="yFootnotesection"/>
      </w:pPr>
      <w:r>
        <w:tab/>
        <w:t>[Clause 28 inserted by No. 9 of 2014 s. 35.]</w:t>
      </w:r>
    </w:p>
    <w:p>
      <w:pPr>
        <w:pStyle w:val="yHeading5"/>
      </w:pPr>
      <w:bookmarkStart w:id="660" w:name="_Toc398890253"/>
      <w:bookmarkStart w:id="661" w:name="_Toc424284688"/>
      <w:r>
        <w:rPr>
          <w:rStyle w:val="CharSClsNo"/>
        </w:rPr>
        <w:t>29</w:t>
      </w:r>
      <w:r>
        <w:t>.</w:t>
      </w:r>
      <w:r>
        <w:tab/>
        <w:t>Devolution of assets, liabilities, proceedings, remedies and immunities</w:t>
      </w:r>
      <w:bookmarkEnd w:id="660"/>
      <w:bookmarkEnd w:id="661"/>
    </w:p>
    <w:p>
      <w:pPr>
        <w:pStyle w:val="ySubsection"/>
      </w:pPr>
      <w:r>
        <w:tab/>
        <w:t>(1)</w:t>
      </w:r>
      <w:r>
        <w:tab/>
        <w:t xml:space="preserve">At the merger time — </w:t>
      </w:r>
    </w:p>
    <w:p>
      <w:pPr>
        <w:pStyle w:val="yIndenta"/>
      </w:pPr>
      <w:r>
        <w:tab/>
        <w:t>(a)</w:t>
      </w:r>
      <w:r>
        <w:tab/>
        <w:t>the assets and rights of the merging authority that were immediately before that time vested in or the property of the merging authority vest in or become the property of the PPA by force of this clause; and</w:t>
      </w:r>
    </w:p>
    <w:p>
      <w:pPr>
        <w:pStyle w:val="yIndenta"/>
      </w:pPr>
      <w:r>
        <w:tab/>
        <w:t>(b)</w:t>
      </w:r>
      <w:r>
        <w:tab/>
        <w:t>the liabilities of the merging authority immediately before that time become, by force of this clause, the liabilities of the PPA.</w:t>
      </w:r>
    </w:p>
    <w:p>
      <w:pPr>
        <w:pStyle w:val="ySubsection"/>
      </w:pPr>
      <w:r>
        <w:tab/>
        <w:t>(2)</w:t>
      </w:r>
      <w:r>
        <w:tab/>
        <w:t xml:space="preserve">For the purposes of section 26, </w:t>
      </w:r>
      <w:r>
        <w:rPr>
          <w:snapToGrid w:val="0"/>
        </w:rPr>
        <w:t xml:space="preserve">property referred to in section 25(2)(a) that becomes the property of the PPA </w:t>
      </w:r>
      <w:r>
        <w:t>by force of subclause (1)(a) continues to be regarded as</w:t>
      </w:r>
      <w:r>
        <w:rPr>
          <w:snapToGrid w:val="0"/>
        </w:rPr>
        <w:t xml:space="preserve"> property referred to in section 25(2)(a)</w:t>
      </w:r>
      <w:r>
        <w:t>.</w:t>
      </w:r>
    </w:p>
    <w:p>
      <w:pPr>
        <w:pStyle w:val="ySubsection"/>
      </w:pPr>
      <w:r>
        <w:tab/>
        <w:t>(3)</w:t>
      </w:r>
      <w:r>
        <w:tab/>
        <w:t xml:space="preserve">In determining the net profits of the PPA for the purposes of section 84, assets </w:t>
      </w:r>
      <w:r>
        <w:rPr>
          <w:snapToGrid w:val="0"/>
        </w:rPr>
        <w:t xml:space="preserve">that become the property of the PPA </w:t>
      </w:r>
      <w:r>
        <w:t>by force of subclause (1)(a) are not to be regarded as income.</w:t>
      </w:r>
    </w:p>
    <w:p>
      <w:pPr>
        <w:pStyle w:val="ySubsection"/>
      </w:pPr>
      <w:r>
        <w:tab/>
        <w:t>(4)</w:t>
      </w:r>
      <w:r>
        <w:tab/>
        <w:t>From the merger time, any proceedings or remedy that, immediately before that time, might have been brought or continued by or available against or to the merging authority may be brought or continued by, and are or is available against or to, the PPA.</w:t>
      </w:r>
    </w:p>
    <w:p>
      <w:pPr>
        <w:pStyle w:val="ySubsection"/>
      </w:pPr>
      <w:r>
        <w:tab/>
        <w:t>(5)</w:t>
      </w:r>
      <w:r>
        <w:tab/>
        <w:t>Where the merging authority had the benefit of any immunity in respect of an act, matter or thing done or omitted before the merger time, that immunity continues in that respect for the benefit of the PPA.</w:t>
      </w:r>
    </w:p>
    <w:p>
      <w:pPr>
        <w:pStyle w:val="ySubsection"/>
      </w:pPr>
      <w:r>
        <w:tab/>
        <w:t>(6)</w:t>
      </w:r>
      <w:r>
        <w:tab/>
        <w:t>As soon as is practicable after the merger time, all papers, documents, minutes, books of account and other records (however compiled, recorded or stored) relating to the operations of the merging authority are to be delivered to the PPA.</w:t>
      </w:r>
    </w:p>
    <w:p>
      <w:pPr>
        <w:pStyle w:val="yFootnotesection"/>
      </w:pPr>
      <w:r>
        <w:tab/>
        <w:t>[Clause 29 inserted by No. 9 of 2014 s. 35.]</w:t>
      </w:r>
    </w:p>
    <w:p>
      <w:pPr>
        <w:pStyle w:val="yHeading5"/>
      </w:pPr>
      <w:bookmarkStart w:id="662" w:name="_Toc398890254"/>
      <w:bookmarkStart w:id="663" w:name="_Toc424284689"/>
      <w:r>
        <w:rPr>
          <w:rStyle w:val="CharSClsNo"/>
        </w:rPr>
        <w:t>30</w:t>
      </w:r>
      <w:r>
        <w:t>.</w:t>
      </w:r>
      <w:r>
        <w:tab/>
        <w:t>Completion of things commenced</w:t>
      </w:r>
      <w:bookmarkEnd w:id="662"/>
      <w:bookmarkEnd w:id="663"/>
    </w:p>
    <w:p>
      <w:pPr>
        <w:pStyle w:val="ySubsection"/>
      </w:pPr>
      <w:r>
        <w:tab/>
      </w:r>
      <w:r>
        <w:tab/>
        <w:t>Anything commenced to be done by the merging authority before the merger time may be continued by the PPA.</w:t>
      </w:r>
    </w:p>
    <w:p>
      <w:pPr>
        <w:pStyle w:val="yFootnotesection"/>
      </w:pPr>
      <w:r>
        <w:tab/>
        <w:t>[Clause 30 inserted by No. 9 of 2014 s. 35.]</w:t>
      </w:r>
    </w:p>
    <w:p>
      <w:pPr>
        <w:pStyle w:val="yHeading5"/>
      </w:pPr>
      <w:bookmarkStart w:id="664" w:name="_Toc398890255"/>
      <w:bookmarkStart w:id="665" w:name="_Toc424284690"/>
      <w:r>
        <w:rPr>
          <w:rStyle w:val="CharSClsNo"/>
        </w:rPr>
        <w:t>31</w:t>
      </w:r>
      <w:r>
        <w:t>.</w:t>
      </w:r>
      <w:r>
        <w:tab/>
        <w:t>Continuing effect of things done</w:t>
      </w:r>
      <w:bookmarkEnd w:id="664"/>
      <w:bookmarkEnd w:id="665"/>
    </w:p>
    <w:p>
      <w:pPr>
        <w:pStyle w:val="ySubsection"/>
      </w:pPr>
      <w:r>
        <w:tab/>
        <w:t>(1)</w:t>
      </w:r>
      <w:r>
        <w:tab/>
        <w:t xml:space="preserve">In this clause — </w:t>
      </w:r>
    </w:p>
    <w:p>
      <w:pPr>
        <w:pStyle w:val="yDefstart"/>
      </w:pPr>
      <w:r>
        <w:tab/>
      </w:r>
      <w:r>
        <w:rPr>
          <w:rStyle w:val="CharDefText"/>
        </w:rPr>
        <w:t>relevant act</w:t>
      </w:r>
      <w:r>
        <w:t xml:space="preserve"> means an act, matter or thing done or omitted to be done before the merger time by, to or in respect of the merging authority.</w:t>
      </w:r>
    </w:p>
    <w:p>
      <w:pPr>
        <w:pStyle w:val="ySubsection"/>
      </w:pPr>
      <w:r>
        <w:tab/>
        <w:t>(2)</w:t>
      </w:r>
      <w:r>
        <w:tab/>
        <w:t>To the extent that a relevant act has force or significance at the merger time it is to be taken, from the merger time, to have been done or omitted by, to or in respect of the PPA so far as the act, matter or thing is relevant to the PPA.</w:t>
      </w:r>
    </w:p>
    <w:p>
      <w:pPr>
        <w:pStyle w:val="ySubsection"/>
      </w:pPr>
      <w:r>
        <w:tab/>
        <w:t>(3)</w:t>
      </w:r>
      <w:r>
        <w:tab/>
        <w:t>This clause does not affect the operation of any other provision of this Schedule.</w:t>
      </w:r>
    </w:p>
    <w:p>
      <w:pPr>
        <w:pStyle w:val="yFootnotesection"/>
      </w:pPr>
      <w:r>
        <w:tab/>
        <w:t>[Clause 31 inserted by No. 9 of 2014 s. 35.]</w:t>
      </w:r>
    </w:p>
    <w:p>
      <w:pPr>
        <w:pStyle w:val="yHeading5"/>
      </w:pPr>
      <w:bookmarkStart w:id="666" w:name="_Toc398890256"/>
      <w:bookmarkStart w:id="667" w:name="_Toc424284691"/>
      <w:r>
        <w:rPr>
          <w:rStyle w:val="CharSClsNo"/>
        </w:rPr>
        <w:t>32</w:t>
      </w:r>
      <w:r>
        <w:t>.</w:t>
      </w:r>
      <w:r>
        <w:tab/>
        <w:t>Agreements, instruments and documents</w:t>
      </w:r>
      <w:bookmarkEnd w:id="666"/>
      <w:bookmarkEnd w:id="667"/>
    </w:p>
    <w:p>
      <w:pPr>
        <w:pStyle w:val="ySubsection"/>
      </w:pPr>
      <w:r>
        <w:tab/>
        <w:t>(1)</w:t>
      </w:r>
      <w:r>
        <w:tab/>
        <w:t xml:space="preserve">In this clause — </w:t>
      </w:r>
    </w:p>
    <w:p>
      <w:pPr>
        <w:pStyle w:val="yDefstart"/>
      </w:pPr>
      <w:r>
        <w:tab/>
      </w:r>
      <w:r>
        <w:rPr>
          <w:rStyle w:val="CharDefText"/>
        </w:rPr>
        <w:t>former name</w:t>
      </w:r>
      <w:r>
        <w:t xml:space="preserve"> means “Port Hedland Port Authority”;</w:t>
      </w:r>
    </w:p>
    <w:p>
      <w:pPr>
        <w:pStyle w:val="yDefstart"/>
      </w:pPr>
      <w:r>
        <w:tab/>
      </w:r>
      <w:r>
        <w:rPr>
          <w:rStyle w:val="CharDefText"/>
        </w:rPr>
        <w:t>new name</w:t>
      </w:r>
      <w:r>
        <w:t xml:space="preserve"> means “Pilbara Ports Authority”;</w:t>
      </w:r>
    </w:p>
    <w:p>
      <w:pPr>
        <w:pStyle w:val="yDefstart"/>
      </w:pPr>
      <w:r>
        <w:rPr>
          <w:i/>
          <w:iCs/>
        </w:rPr>
        <w:tab/>
      </w:r>
      <w:r>
        <w:rPr>
          <w:rStyle w:val="CharDefText"/>
          <w:iCs/>
        </w:rPr>
        <w:t>subsisting</w:t>
      </w:r>
      <w:r>
        <w:t>, in relation to an agreement, instrument or document, means subsisting immediately before the merger time.</w:t>
      </w:r>
    </w:p>
    <w:p>
      <w:pPr>
        <w:pStyle w:val="ySubsection"/>
      </w:pPr>
      <w:r>
        <w:rPr>
          <w:b/>
        </w:rPr>
        <w:tab/>
      </w:r>
      <w:r>
        <w:t>(2)</w:t>
      </w:r>
      <w:r>
        <w:rPr>
          <w:b/>
        </w:rPr>
        <w:tab/>
      </w:r>
      <w:r>
        <w:t>A subsisting agreement, instrument or document that contains a reference to the PPA by its former name has effect from the merger time as if that reference were amended to be a reference to the PPA by its new name.</w:t>
      </w:r>
    </w:p>
    <w:p>
      <w:pPr>
        <w:pStyle w:val="ySubsection"/>
      </w:pPr>
      <w:r>
        <w:tab/>
        <w:t>(3)</w:t>
      </w:r>
      <w:r>
        <w:tab/>
        <w:t>Subclause (2) does not apply to an agreement or instrument to which the continuing authority was a party.</w:t>
      </w:r>
    </w:p>
    <w:p>
      <w:pPr>
        <w:pStyle w:val="ySubsection"/>
      </w:pPr>
      <w:r>
        <w:tab/>
        <w:t>(4)</w:t>
      </w:r>
      <w:r>
        <w:tab/>
        <w:t xml:space="preserve">If the continuing authority was a party to a subsisting agreement or instrument then, from the merger time — </w:t>
      </w:r>
    </w:p>
    <w:p>
      <w:pPr>
        <w:pStyle w:val="yIndenta"/>
      </w:pPr>
      <w:r>
        <w:tab/>
        <w:t>(a)</w:t>
      </w:r>
      <w:r>
        <w:tab/>
        <w:t>the PPA is a party to the agreement or instrument under its new name; and</w:t>
      </w:r>
    </w:p>
    <w:p>
      <w:pPr>
        <w:pStyle w:val="yIndenta"/>
      </w:pPr>
      <w:r>
        <w:tab/>
        <w:t>(b)</w:t>
      </w:r>
      <w:r>
        <w:tab/>
        <w:t>the agreement or instrument has effect as if a reference in it to the PPA by its former name were amended to be a reference to the PPA by its new name.</w:t>
      </w:r>
    </w:p>
    <w:p>
      <w:pPr>
        <w:pStyle w:val="ySubsection"/>
      </w:pPr>
      <w:r>
        <w:tab/>
        <w:t>(5)</w:t>
      </w:r>
      <w:r>
        <w:tab/>
        <w:t>A subsisting agreement, instrument or document that contains a reference to the merging authority has effect from the merger time as if that reference were amended to be or include a reference to the PPA.</w:t>
      </w:r>
    </w:p>
    <w:p>
      <w:pPr>
        <w:pStyle w:val="ySubsection"/>
      </w:pPr>
      <w:r>
        <w:tab/>
        <w:t>(6)</w:t>
      </w:r>
      <w:r>
        <w:tab/>
        <w:t>Subclause (5) does not apply to an agreement or instrument to which the merging authority was a party.</w:t>
      </w:r>
    </w:p>
    <w:p>
      <w:pPr>
        <w:pStyle w:val="ySubsection"/>
      </w:pPr>
      <w:r>
        <w:tab/>
        <w:t>(7)</w:t>
      </w:r>
      <w:r>
        <w:tab/>
        <w:t xml:space="preserve">A subsisting agreement or instrument to which the merging authority was a party has effect from the merger time as if — </w:t>
      </w:r>
    </w:p>
    <w:p>
      <w:pPr>
        <w:pStyle w:val="yIndenta"/>
      </w:pPr>
      <w:r>
        <w:tab/>
        <w:t>(a)</w:t>
      </w:r>
      <w:r>
        <w:tab/>
        <w:t>the PPA were substituted for the merging authority as a party to the agreement or instrument; and</w:t>
      </w:r>
    </w:p>
    <w:p>
      <w:pPr>
        <w:pStyle w:val="yIndenta"/>
      </w:pPr>
      <w:r>
        <w:tab/>
        <w:t>(b)</w:t>
      </w:r>
      <w:r>
        <w:tab/>
        <w:t>a reference to the merging authority in the agreement or instrument were amended to be a reference to the PPA.</w:t>
      </w:r>
    </w:p>
    <w:p>
      <w:pPr>
        <w:pStyle w:val="ySubsection"/>
      </w:pPr>
      <w:r>
        <w:tab/>
        <w:t>(8)</w:t>
      </w:r>
      <w:r>
        <w:tab/>
        <w:t xml:space="preserve">Subclause (2), (4)(b), (5) or (7)(b)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32 inserted by No. 9 of 2014 s. 35.]</w:t>
      </w:r>
    </w:p>
    <w:p>
      <w:pPr>
        <w:pStyle w:val="yHeading5"/>
      </w:pPr>
      <w:bookmarkStart w:id="668" w:name="_Toc398890257"/>
      <w:bookmarkStart w:id="669" w:name="_Toc424284692"/>
      <w:r>
        <w:rPr>
          <w:rStyle w:val="CharSClsNo"/>
        </w:rPr>
        <w:t>33</w:t>
      </w:r>
      <w:r>
        <w:t>.</w:t>
      </w:r>
      <w:r>
        <w:tab/>
        <w:t>Port authorities to implement or facilitate merger and share costs</w:t>
      </w:r>
      <w:bookmarkEnd w:id="668"/>
      <w:bookmarkEnd w:id="669"/>
    </w:p>
    <w:p>
      <w:pPr>
        <w:pStyle w:val="ySubsection"/>
      </w:pPr>
      <w:r>
        <w:tab/>
        <w:t>(1)</w:t>
      </w:r>
      <w:r>
        <w:tab/>
        <w:t>A port authority is to do anything that is prescribed by transitional regulations and anything else that may be necessary or expedient to provide for, implement or facilitate the merger.</w:t>
      </w:r>
    </w:p>
    <w:p>
      <w:pPr>
        <w:pStyle w:val="ySubsection"/>
      </w:pPr>
      <w:r>
        <w:tab/>
        <w:t>(2)</w:t>
      </w:r>
      <w:r>
        <w:tab/>
        <w:t xml:space="preserve">Subclause (1) applies — </w:t>
      </w:r>
    </w:p>
    <w:p>
      <w:pPr>
        <w:pStyle w:val="yIndenta"/>
      </w:pPr>
      <w:r>
        <w:tab/>
        <w:t>(a)</w:t>
      </w:r>
      <w:r>
        <w:tab/>
        <w:t>before the merger time — to the merging authority and the continuing authority; and</w:t>
      </w:r>
    </w:p>
    <w:p>
      <w:pPr>
        <w:pStyle w:val="yIndenta"/>
      </w:pPr>
      <w:r>
        <w:tab/>
        <w:t>(b)</w:t>
      </w:r>
      <w:r>
        <w:tab/>
        <w:t>after the merger time — to the PPA.</w:t>
      </w:r>
    </w:p>
    <w:p>
      <w:pPr>
        <w:pStyle w:val="ySubsection"/>
      </w:pPr>
      <w:r>
        <w:tab/>
        <w:t>(3)</w:t>
      </w:r>
      <w:r>
        <w:tab/>
        <w:t>The function conferred by subclause (1) is in addition to any other function that a port authority has.</w:t>
      </w:r>
    </w:p>
    <w:p>
      <w:pPr>
        <w:pStyle w:val="ySubsection"/>
      </w:pPr>
      <w:r>
        <w:tab/>
        <w:t>(4)</w:t>
      </w:r>
      <w:r>
        <w:tab/>
        <w:t xml:space="preserve">The following amounts payable before the merger time are to be paid out of the funds of the continuing authority — </w:t>
      </w:r>
    </w:p>
    <w:p>
      <w:pPr>
        <w:pStyle w:val="yIndenta"/>
      </w:pPr>
      <w:r>
        <w:tab/>
        <w:t>(a)</w:t>
      </w:r>
      <w:r>
        <w:tab/>
        <w:t>any remuneration or allowances payable to a director appointed under clause 25(3);</w:t>
      </w:r>
    </w:p>
    <w:p>
      <w:pPr>
        <w:pStyle w:val="yIndenta"/>
      </w:pPr>
      <w:r>
        <w:tab/>
        <w:t>(b)</w:t>
      </w:r>
      <w:r>
        <w:tab/>
        <w:t>any remuneration payable to a person appointed under clause 27(5);</w:t>
      </w:r>
    </w:p>
    <w:p>
      <w:pPr>
        <w:pStyle w:val="yIndenta"/>
      </w:pPr>
      <w:r>
        <w:tab/>
        <w:t>(c)</w:t>
      </w:r>
      <w:r>
        <w:tab/>
        <w:t>the costs of the appointment process under clause 27(5);</w:t>
      </w:r>
    </w:p>
    <w:p>
      <w:pPr>
        <w:pStyle w:val="yIndenta"/>
      </w:pPr>
      <w:r>
        <w:tab/>
        <w:t>(d)</w:t>
      </w:r>
      <w:r>
        <w:tab/>
        <w:t>any other costs incurred by the new board under clause 26.</w:t>
      </w:r>
    </w:p>
    <w:p>
      <w:pPr>
        <w:pStyle w:val="ySubsection"/>
      </w:pPr>
      <w:r>
        <w:tab/>
        <w:t>(5)</w:t>
      </w:r>
      <w:r>
        <w:tab/>
        <w:t>The merging authority is to make a contribution to the continuing authority of one</w:t>
      </w:r>
      <w:r>
        <w:noBreakHyphen/>
        <w:t xml:space="preserve">half (or such other proportion as is agreed) of the amounts paid by the continuing authority in respect of — </w:t>
      </w:r>
    </w:p>
    <w:p>
      <w:pPr>
        <w:pStyle w:val="yIndenta"/>
      </w:pPr>
      <w:r>
        <w:tab/>
        <w:t>(a)</w:t>
      </w:r>
      <w:r>
        <w:tab/>
        <w:t>remuneration or costs mentioned in subclause (4)(a) to (c); and</w:t>
      </w:r>
    </w:p>
    <w:p>
      <w:pPr>
        <w:pStyle w:val="yIndenta"/>
      </w:pPr>
      <w:r>
        <w:tab/>
        <w:t>(b)</w:t>
      </w:r>
      <w:r>
        <w:tab/>
        <w:t>costs mentioned in subclause (4)(d) to the extent that they were reasonably incurred.</w:t>
      </w:r>
    </w:p>
    <w:p>
      <w:pPr>
        <w:pStyle w:val="ySubsection"/>
      </w:pPr>
      <w:r>
        <w:tab/>
        <w:t>(6)</w:t>
      </w:r>
      <w:r>
        <w:tab/>
        <w:t xml:space="preserve">Any dispute as to — </w:t>
      </w:r>
    </w:p>
    <w:p>
      <w:pPr>
        <w:pStyle w:val="yIndenta"/>
      </w:pPr>
      <w:r>
        <w:tab/>
        <w:t>(a)</w:t>
      </w:r>
      <w:r>
        <w:tab/>
        <w:t>a contribution to be made under subclause (5); or</w:t>
      </w:r>
    </w:p>
    <w:p>
      <w:pPr>
        <w:pStyle w:val="yIndenta"/>
      </w:pPr>
      <w:r>
        <w:tab/>
        <w:t>(b)</w:t>
      </w:r>
      <w:r>
        <w:tab/>
        <w:t>the relevance or amount of a cost mentioned in subclause (4)(d),</w:t>
      </w:r>
    </w:p>
    <w:p>
      <w:pPr>
        <w:pStyle w:val="ySubsection"/>
      </w:pPr>
      <w:r>
        <w:tab/>
      </w:r>
      <w:r>
        <w:tab/>
        <w:t>may be referred to the Minister whose determination on the matter is final and the continuing authority and merging authority are to have regard and give effect to the determination.</w:t>
      </w:r>
    </w:p>
    <w:p>
      <w:pPr>
        <w:pStyle w:val="yFootnotesection"/>
      </w:pPr>
      <w:r>
        <w:tab/>
        <w:t>[Clause 33 inserted by No. 9 of 2014 s. 35.]</w:t>
      </w:r>
    </w:p>
    <w:p>
      <w:pPr>
        <w:pStyle w:val="yHeading5"/>
      </w:pPr>
      <w:bookmarkStart w:id="670" w:name="_Toc398890258"/>
      <w:bookmarkStart w:id="671" w:name="_Toc424284693"/>
      <w:r>
        <w:rPr>
          <w:rStyle w:val="CharSClsNo"/>
        </w:rPr>
        <w:t>34</w:t>
      </w:r>
      <w:r>
        <w:t>.</w:t>
      </w:r>
      <w:r>
        <w:tab/>
        <w:t>Financial reporting</w:t>
      </w:r>
      <w:bookmarkEnd w:id="670"/>
      <w:bookmarkEnd w:id="671"/>
    </w:p>
    <w:p>
      <w:pPr>
        <w:pStyle w:val="ySubsection"/>
      </w:pPr>
      <w:r>
        <w:tab/>
        <w:t>(1)</w:t>
      </w:r>
      <w:r>
        <w:tab/>
        <w:t xml:space="preserve">In this clause — </w:t>
      </w:r>
    </w:p>
    <w:p>
      <w:pPr>
        <w:pStyle w:val="yDefstart"/>
      </w:pPr>
      <w:r>
        <w:rPr>
          <w:i/>
          <w:iCs/>
        </w:rPr>
        <w:tab/>
      </w:r>
      <w:r>
        <w:rPr>
          <w:rStyle w:val="CharDefText"/>
          <w:iCs/>
        </w:rPr>
        <w:t>former directors</w:t>
      </w:r>
      <w:r>
        <w:t xml:space="preserve"> of the merging authority means the persons holding office as directors of the merging authority immediately before the merger time;</w:t>
      </w:r>
    </w:p>
    <w:p>
      <w:pPr>
        <w:pStyle w:val="yDefstart"/>
      </w:pPr>
      <w:r>
        <w:rPr>
          <w:i/>
          <w:iCs/>
        </w:rPr>
        <w:tab/>
      </w:r>
      <w:r>
        <w:rPr>
          <w:rStyle w:val="CharDefText"/>
          <w:iCs/>
        </w:rPr>
        <w:t>reporting board</w:t>
      </w:r>
      <w:r>
        <w:t xml:space="preserve"> means the reporting board constituted for the merging authority under subclause (2);</w:t>
      </w:r>
    </w:p>
    <w:p>
      <w:pPr>
        <w:pStyle w:val="yDefstart"/>
      </w:pPr>
      <w:r>
        <w:tab/>
      </w:r>
      <w:r>
        <w:rPr>
          <w:rStyle w:val="CharDefText"/>
        </w:rPr>
        <w:t>reporting provisions</w:t>
      </w:r>
      <w:r>
        <w:t xml:space="preserve"> means sections 68 and 69, Schedule 5 Division 3 Subdivision 1 and Schedule 5 clauses 34 and 35.</w:t>
      </w:r>
    </w:p>
    <w:p>
      <w:pPr>
        <w:pStyle w:val="ySubsection"/>
      </w:pPr>
      <w:r>
        <w:tab/>
        <w:t>(2)</w:t>
      </w:r>
      <w:r>
        <w:tab/>
        <w:t xml:space="preserve">A reporting board is constituted by force of this clause </w:t>
      </w:r>
      <w:r>
        <w:rPr>
          <w:bCs/>
        </w:rPr>
        <w:t xml:space="preserve">to perform the duties set out in this clause in respect of the </w:t>
      </w:r>
      <w:r>
        <w:t>merging</w:t>
      </w:r>
      <w:r>
        <w:rPr>
          <w:bCs/>
        </w:rPr>
        <w:t xml:space="preserve"> authority.</w:t>
      </w:r>
    </w:p>
    <w:p>
      <w:pPr>
        <w:pStyle w:val="ySubsection"/>
      </w:pPr>
      <w:r>
        <w:tab/>
        <w:t>(3)</w:t>
      </w:r>
      <w:r>
        <w:tab/>
        <w:t>The constitution of the reporting board under subclause (2) has effect for a period of 3 months commencing at the merger time but that period may be extended by the Minister if the Minister considers that the extension is needed in order to enable the reporting board to perform its duties under this clause.</w:t>
      </w:r>
    </w:p>
    <w:p>
      <w:pPr>
        <w:pStyle w:val="ySubsection"/>
      </w:pPr>
      <w:r>
        <w:tab/>
        <w:t>(4)</w:t>
      </w:r>
      <w:r>
        <w:tab/>
        <w:t>If the merger time coincides with the end of a financial year of the merging authority, the reporting board is to comply with the reporting provisions in respect of the merging authority for that financial year.</w:t>
      </w:r>
    </w:p>
    <w:p>
      <w:pPr>
        <w:pStyle w:val="ySubsection"/>
      </w:pPr>
      <w:r>
        <w:tab/>
        <w:t>(5)</w:t>
      </w:r>
      <w:r>
        <w:tab/>
        <w:t xml:space="preserve">If the merger time is after the end of a financial year of the merging authority (the </w:t>
      </w:r>
      <w:r>
        <w:rPr>
          <w:rStyle w:val="CharDefText"/>
        </w:rPr>
        <w:t>last financial year</w:t>
      </w:r>
      <w:r>
        <w:t xml:space="preserve">), the reporting board is to — </w:t>
      </w:r>
    </w:p>
    <w:p>
      <w:pPr>
        <w:pStyle w:val="yIndenta"/>
      </w:pPr>
      <w:r>
        <w:tab/>
        <w:t>(a)</w:t>
      </w:r>
      <w:r>
        <w:tab/>
        <w:t>comply with the reporting provisions in respect of the merging authority to the extent that those provisions have not been complied with for the last financial year; and</w:t>
      </w:r>
    </w:p>
    <w:p>
      <w:pPr>
        <w:pStyle w:val="yIndenta"/>
      </w:pPr>
      <w:r>
        <w:tab/>
        <w:t>(b)</w:t>
      </w:r>
      <w:r>
        <w:tab/>
        <w:t>comply with the reporting provisions in respect of the merging authority for the period starting from the end of the last financial year and ending at the merger time as if that period were a financial year.</w:t>
      </w:r>
    </w:p>
    <w:p>
      <w:pPr>
        <w:pStyle w:val="ySubsection"/>
      </w:pPr>
      <w:r>
        <w:tab/>
        <w:t>(6)</w:t>
      </w:r>
      <w:r>
        <w:tab/>
        <w:t>The reporting board must comply with any written directions given to it by the Minister as to the performance of its duties under this clause.</w:t>
      </w:r>
    </w:p>
    <w:p>
      <w:pPr>
        <w:pStyle w:val="ySubsection"/>
      </w:pPr>
      <w:r>
        <w:tab/>
        <w:t>(7)</w:t>
      </w:r>
      <w:r>
        <w:tab/>
        <w:t xml:space="preserve">In order to enable the reporting board to perform its duties under this clause the reporting provisions apply with — </w:t>
      </w:r>
    </w:p>
    <w:p>
      <w:pPr>
        <w:pStyle w:val="yIndenta"/>
      </w:pPr>
      <w:r>
        <w:tab/>
        <w:t>(a)</w:t>
      </w:r>
      <w:r>
        <w:tab/>
        <w:t>any modifications prescribed by transitional regulations; or</w:t>
      </w:r>
    </w:p>
    <w:p>
      <w:pPr>
        <w:pStyle w:val="yIndenta"/>
      </w:pPr>
      <w:r>
        <w:tab/>
        <w:t>(b)</w:t>
      </w:r>
      <w:r>
        <w:tab/>
        <w:t>any other appropriate modifications.</w:t>
      </w:r>
    </w:p>
    <w:p>
      <w:pPr>
        <w:pStyle w:val="ySubsection"/>
      </w:pPr>
      <w:r>
        <w:tab/>
        <w:t>(8)</w:t>
      </w:r>
      <w:r>
        <w:tab/>
        <w:t xml:space="preserve">For the purposes of this clause, the reporting board — </w:t>
      </w:r>
    </w:p>
    <w:p>
      <w:pPr>
        <w:pStyle w:val="yIndenta"/>
      </w:pPr>
      <w:r>
        <w:tab/>
        <w:t>(a)</w:t>
      </w:r>
      <w:r>
        <w:tab/>
        <w:t>is entitled to be provided with reasonable assistance and facilities and to have full and free access at all reasonable times to all accounts, and any other information, documents and records, that the reporting board considers necessary for those purposes; and</w:t>
      </w:r>
    </w:p>
    <w:p>
      <w:pPr>
        <w:pStyle w:val="yIndenta"/>
      </w:pPr>
      <w:r>
        <w:tab/>
        <w:t>(b)</w:t>
      </w:r>
      <w:r>
        <w:tab/>
        <w:t>may make copies of, or take extracts from, any of those accounts, documents or records or make a record of any of that information.</w:t>
      </w:r>
    </w:p>
    <w:p>
      <w:pPr>
        <w:pStyle w:val="ySubsection"/>
      </w:pPr>
      <w:r>
        <w:tab/>
        <w:t>(9)</w:t>
      </w:r>
      <w:r>
        <w:tab/>
        <w:t>A person who has possession of any accounts, information, documents or records of the kind referred to in subclause (8)(a) must at any reasonable time, on the request of the reporting board, produce any of those accounts, documents or records, or any of that information, specified in the request.</w:t>
      </w:r>
    </w:p>
    <w:p>
      <w:pPr>
        <w:pStyle w:val="yPenstart"/>
      </w:pPr>
      <w:r>
        <w:tab/>
        <w:t>Penalty: a fine of $10 000.</w:t>
      </w:r>
    </w:p>
    <w:p>
      <w:pPr>
        <w:pStyle w:val="ySubsection"/>
      </w:pPr>
      <w:r>
        <w:tab/>
        <w:t>(10)</w:t>
      </w:r>
      <w:r>
        <w:tab/>
        <w:t>Subject to subclauses (11) to (13), the provisions of this Act that apply to the board of directors of a port authority and those directors (other than sections 7(1) and 8 and Schedule 2 clause 1(1), (3) and (4)) apply, with any modifications that may be necessary or appropriate, to the reporting board and its members.</w:t>
      </w:r>
    </w:p>
    <w:p>
      <w:pPr>
        <w:pStyle w:val="ySubsection"/>
      </w:pPr>
      <w:r>
        <w:tab/>
        <w:t>(11)</w:t>
      </w:r>
      <w:r>
        <w:tab/>
        <w:t>The former directors of the merging authority are to hold office as members of the reporting board for as long as the reporting board remains constituted under subclause (2).</w:t>
      </w:r>
    </w:p>
    <w:p>
      <w:pPr>
        <w:pStyle w:val="ySubsection"/>
      </w:pPr>
      <w:r>
        <w:tab/>
        <w:t>(12)</w:t>
      </w:r>
      <w:r>
        <w:tab/>
        <w:t>If the office of a member of the reporting board becomes vacant the Minister may appoint a replacement member to hold office for as long as the reporting board remains constituted under subclause (2).</w:t>
      </w:r>
    </w:p>
    <w:p>
      <w:pPr>
        <w:pStyle w:val="ySubsection"/>
      </w:pPr>
      <w:r>
        <w:tab/>
        <w:t>(13)</w:t>
      </w:r>
      <w:r>
        <w:tab/>
        <w:t>Any remuneration or allowances payable to a member of the reporting board are to be paid from the funds of the PPA.</w:t>
      </w:r>
    </w:p>
    <w:p>
      <w:pPr>
        <w:pStyle w:val="ySubsection"/>
      </w:pPr>
      <w:r>
        <w:tab/>
        <w:t>(14)</w:t>
      </w:r>
      <w:r>
        <w:tab/>
        <w:t xml:space="preserve">A member of the reporting board is to be taken to be a director of the PPA for the purposes of the </w:t>
      </w:r>
      <w:r>
        <w:rPr>
          <w:i/>
        </w:rPr>
        <w:t>Statutory Corporations (Liability of Directors) Act 1996</w:t>
      </w:r>
      <w:r>
        <w:t>.</w:t>
      </w:r>
    </w:p>
    <w:p>
      <w:pPr>
        <w:pStyle w:val="yFootnotesection"/>
      </w:pPr>
      <w:r>
        <w:tab/>
        <w:t>[Clause 34 inserted by No. 9 of 2014 s. 35.]</w:t>
      </w:r>
    </w:p>
    <w:p>
      <w:pPr>
        <w:pStyle w:val="yHeading5"/>
      </w:pPr>
      <w:bookmarkStart w:id="672" w:name="_Toc398890259"/>
      <w:bookmarkStart w:id="673" w:name="_Toc424284694"/>
      <w:r>
        <w:rPr>
          <w:rStyle w:val="CharSClsNo"/>
        </w:rPr>
        <w:t>35</w:t>
      </w:r>
      <w:r>
        <w:t>.</w:t>
      </w:r>
      <w:r>
        <w:tab/>
        <w:t>Dividends</w:t>
      </w:r>
      <w:bookmarkEnd w:id="672"/>
      <w:bookmarkEnd w:id="673"/>
    </w:p>
    <w:p>
      <w:pPr>
        <w:pStyle w:val="ySubsection"/>
      </w:pPr>
      <w:r>
        <w:tab/>
        <w:t>(1)</w:t>
      </w:r>
      <w:r>
        <w:tab/>
        <w:t xml:space="preserve">In this clause — </w:t>
      </w:r>
    </w:p>
    <w:p>
      <w:pPr>
        <w:pStyle w:val="yDefstart"/>
      </w:pPr>
      <w:r>
        <w:rPr>
          <w:i/>
          <w:iCs/>
        </w:rPr>
        <w:tab/>
      </w:r>
      <w:r>
        <w:rPr>
          <w:rStyle w:val="CharDefText"/>
          <w:iCs/>
        </w:rPr>
        <w:t>dividend function</w:t>
      </w:r>
      <w:r>
        <w:t xml:space="preserve"> means a function of a port authority or its board under section 84.</w:t>
      </w:r>
    </w:p>
    <w:p>
      <w:pPr>
        <w:pStyle w:val="ySubsection"/>
      </w:pPr>
      <w:r>
        <w:tab/>
        <w:t>(2)</w:t>
      </w:r>
      <w:r>
        <w:tab/>
        <w:t>If immediately before the merger time a dividend function has yet to be performed by the merging authority or its board, the PPA or its board is to perform the function after the merger time as if the PPA were the merging authority.</w:t>
      </w:r>
    </w:p>
    <w:p>
      <w:pPr>
        <w:pStyle w:val="ySubsection"/>
      </w:pPr>
      <w:r>
        <w:tab/>
        <w:t>(3)</w:t>
      </w:r>
      <w:r>
        <w:tab/>
        <w:t>If the merger time coincides with the end of a financial year of the merging authority, the PPA or its board is to perform the dividend functions in relation to that financial year as if the PPA were the merging authority.</w:t>
      </w:r>
    </w:p>
    <w:p>
      <w:pPr>
        <w:pStyle w:val="ySubsection"/>
      </w:pPr>
      <w:r>
        <w:tab/>
        <w:t>(4)</w:t>
      </w:r>
      <w:r>
        <w:tab/>
        <w:t>Any amount that has to be paid to the Treasurer in accordance with subclause (2) or (3) is to be paid from the funds of the PPA.</w:t>
      </w:r>
    </w:p>
    <w:p>
      <w:pPr>
        <w:pStyle w:val="yFootnotesection"/>
      </w:pPr>
      <w:r>
        <w:tab/>
        <w:t>[Clause 35 inserted by No. 9 of 2014 s. 35.]</w:t>
      </w:r>
    </w:p>
    <w:p>
      <w:pPr>
        <w:pStyle w:val="yHeading5"/>
      </w:pPr>
      <w:bookmarkStart w:id="674" w:name="_Toc398890260"/>
      <w:bookmarkStart w:id="675" w:name="_Toc424284695"/>
      <w:r>
        <w:rPr>
          <w:rStyle w:val="CharSClsNo"/>
        </w:rPr>
        <w:t>36</w:t>
      </w:r>
      <w:r>
        <w:t>.</w:t>
      </w:r>
      <w:r>
        <w:tab/>
        <w:t>Transitional regulations</w:t>
      </w:r>
      <w:bookmarkEnd w:id="674"/>
      <w:bookmarkEnd w:id="675"/>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a port authority, or the new board, to provide for, implement or facilitate the merger; and</w:t>
      </w:r>
    </w:p>
    <w:p>
      <w:pPr>
        <w:pStyle w:val="yIndenta"/>
      </w:pPr>
      <w:r>
        <w:tab/>
        <w:t>(b)</w:t>
      </w:r>
      <w:r>
        <w:tab/>
        <w:t>anything necessary or expedient to be prescribed for providing for a matter or issue of a transitional nature that arises in relation to the merger.</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yFootnotesection"/>
      </w:pPr>
      <w:r>
        <w:tab/>
        <w:t>[Clause 36 inserted by No. 9 of 2014 s. 35.]</w:t>
      </w:r>
    </w:p>
    <w:p>
      <w:pPr>
        <w:pStyle w:val="yHeading4"/>
      </w:pPr>
      <w:bookmarkStart w:id="676" w:name="_Toc398890261"/>
      <w:bookmarkStart w:id="677" w:name="_Toc424284696"/>
      <w:r>
        <w:t>Subdivision 5</w:t>
      </w:r>
      <w:r>
        <w:rPr>
          <w:b w:val="0"/>
        </w:rPr>
        <w:t> — </w:t>
      </w:r>
      <w:r>
        <w:t>Provisions for the Kimberley Ports Authority</w:t>
      </w:r>
      <w:bookmarkEnd w:id="676"/>
      <w:bookmarkEnd w:id="677"/>
    </w:p>
    <w:p>
      <w:pPr>
        <w:pStyle w:val="yFootnoteheading"/>
        <w:spacing w:after="120"/>
      </w:pPr>
      <w:r>
        <w:tab/>
        <w:t>[Heading inserted by No. 9 of 2014 s. 35.]</w:t>
      </w:r>
    </w:p>
    <w:p>
      <w:pPr>
        <w:pStyle w:val="yHeading5"/>
      </w:pPr>
      <w:bookmarkStart w:id="678" w:name="_Toc398890262"/>
      <w:bookmarkStart w:id="679" w:name="_Toc424284697"/>
      <w:r>
        <w:rPr>
          <w:rStyle w:val="CharSClsNo"/>
        </w:rPr>
        <w:t>37</w:t>
      </w:r>
      <w:r>
        <w:t>.</w:t>
      </w:r>
      <w:r>
        <w:tab/>
        <w:t>Terms used</w:t>
      </w:r>
      <w:bookmarkEnd w:id="678"/>
      <w:bookmarkEnd w:id="679"/>
    </w:p>
    <w:p>
      <w:pPr>
        <w:pStyle w:val="ySubsection"/>
      </w:pPr>
      <w:r>
        <w:tab/>
      </w:r>
      <w:r>
        <w:tab/>
        <w:t xml:space="preserve">In this Subdivision — </w:t>
      </w:r>
    </w:p>
    <w:p>
      <w:pPr>
        <w:pStyle w:val="yDefstart"/>
      </w:pPr>
      <w:r>
        <w:tab/>
      </w:r>
      <w:r>
        <w:rPr>
          <w:rStyle w:val="CharDefText"/>
        </w:rPr>
        <w:t>KPA</w:t>
      </w:r>
      <w:r>
        <w:t xml:space="preserve"> means the port authority as renamed as the </w:t>
      </w:r>
      <w:r>
        <w:rPr>
          <w:szCs w:val="22"/>
        </w:rPr>
        <w:t xml:space="preserve">Kimberley </w:t>
      </w:r>
      <w:r>
        <w:t>Ports Authority by operation of section 31(4) of the amending Act;</w:t>
      </w:r>
    </w:p>
    <w:p>
      <w:pPr>
        <w:pStyle w:val="yDefstart"/>
      </w:pPr>
      <w:r>
        <w:tab/>
      </w:r>
      <w:r>
        <w:rPr>
          <w:rStyle w:val="CharDefText"/>
        </w:rPr>
        <w:t>new board</w:t>
      </w:r>
      <w:r>
        <w:t xml:space="preserve"> means the board of directors established under clause 38(3);</w:t>
      </w:r>
    </w:p>
    <w:p>
      <w:pPr>
        <w:pStyle w:val="yDefstart"/>
      </w:pPr>
      <w:r>
        <w:tab/>
      </w:r>
      <w:r>
        <w:rPr>
          <w:rStyle w:val="CharDefText"/>
        </w:rPr>
        <w:t>port authority</w:t>
      </w:r>
      <w:r>
        <w:t xml:space="preserve"> means the Broome Port Authority;</w:t>
      </w:r>
    </w:p>
    <w:p>
      <w:pPr>
        <w:pStyle w:val="yDefstart"/>
      </w:pPr>
      <w:r>
        <w:tab/>
      </w:r>
      <w:r>
        <w:rPr>
          <w:rStyle w:val="CharDefText"/>
        </w:rPr>
        <w:t>renaming</w:t>
      </w:r>
      <w:r>
        <w:t xml:space="preserve"> means the action effected by the coming into operation of section 31(4) of the amending Act;</w:t>
      </w:r>
    </w:p>
    <w:p>
      <w:pPr>
        <w:pStyle w:val="yDefstart"/>
      </w:pPr>
      <w:r>
        <w:tab/>
      </w:r>
      <w:r>
        <w:rPr>
          <w:rStyle w:val="CharDefText"/>
        </w:rPr>
        <w:t>renaming time</w:t>
      </w:r>
      <w:r>
        <w:t xml:space="preserve"> means the time at which section 31(4) of the amending Act comes into operation;</w:t>
      </w:r>
    </w:p>
    <w:p>
      <w:pPr>
        <w:pStyle w:val="yDefstart"/>
      </w:pPr>
      <w:r>
        <w:tab/>
      </w:r>
      <w:r>
        <w:rPr>
          <w:rStyle w:val="CharDefText"/>
        </w:rPr>
        <w:t>transitional regulations</w:t>
      </w:r>
      <w:r>
        <w:t xml:space="preserve"> has the meaning given in clause 43(1).</w:t>
      </w:r>
    </w:p>
    <w:p>
      <w:pPr>
        <w:pStyle w:val="yFootnotesection"/>
      </w:pPr>
      <w:r>
        <w:tab/>
        <w:t>[Clause 37 inserted by No. 9 of 2014 s. 35.]</w:t>
      </w:r>
    </w:p>
    <w:p>
      <w:pPr>
        <w:pStyle w:val="yHeading5"/>
      </w:pPr>
      <w:bookmarkStart w:id="680" w:name="_Toc398890263"/>
      <w:bookmarkStart w:id="681" w:name="_Toc424284698"/>
      <w:r>
        <w:rPr>
          <w:rStyle w:val="CharSClsNo"/>
        </w:rPr>
        <w:t>38</w:t>
      </w:r>
      <w:r>
        <w:t>.</w:t>
      </w:r>
      <w:r>
        <w:tab/>
        <w:t>Directors and former directors</w:t>
      </w:r>
      <w:bookmarkEnd w:id="680"/>
      <w:bookmarkEnd w:id="681"/>
    </w:p>
    <w:p>
      <w:pPr>
        <w:pStyle w:val="ySubsection"/>
      </w:pPr>
      <w:r>
        <w:tab/>
        <w:t>(1)</w:t>
      </w:r>
      <w:r>
        <w:tab/>
        <w:t>Immediately before the renaming time a person then holding office as a director of the port authority ceases to hold that office.</w:t>
      </w:r>
    </w:p>
    <w:p>
      <w:pPr>
        <w:pStyle w:val="ySubsection"/>
      </w:pPr>
      <w:r>
        <w:tab/>
        <w:t>(2)</w:t>
      </w:r>
      <w:r>
        <w:tab/>
        <w:t xml:space="preserve">From the renaming time a former director of the port authority is a former director of the KPA for the purposes of the </w:t>
      </w:r>
      <w:r>
        <w:rPr>
          <w:i/>
        </w:rPr>
        <w:t>Statutory Corporations (Liability of Directors) Act 1996</w:t>
      </w:r>
      <w:r>
        <w:t>.</w:t>
      </w:r>
    </w:p>
    <w:p>
      <w:pPr>
        <w:pStyle w:val="ySubsection"/>
      </w:pPr>
      <w:r>
        <w:tab/>
        <w:t>(3)</w:t>
      </w:r>
      <w:r>
        <w:tab/>
        <w:t>The board of directors of the KPA may be established by the appointment of directors before the renaming time.</w:t>
      </w:r>
    </w:p>
    <w:p>
      <w:pPr>
        <w:pStyle w:val="ySubsection"/>
      </w:pPr>
      <w:r>
        <w:tab/>
        <w:t>(4)</w:t>
      </w:r>
      <w:r>
        <w:tab/>
        <w:t>For the purposes of Schedule 2 clause 1 the term of office of a director appointed under subclause (3) does not begin until the renaming time.</w:t>
      </w:r>
    </w:p>
    <w:p>
      <w:pPr>
        <w:pStyle w:val="ySubsection"/>
      </w:pPr>
      <w:r>
        <w:tab/>
        <w:t>(5)</w:t>
      </w:r>
      <w:r>
        <w:tab/>
        <w:t>Nothing in this Schedule prevents a person who is a director of an existing port authority from being appointed under subclause (3).</w:t>
      </w:r>
    </w:p>
    <w:p>
      <w:pPr>
        <w:pStyle w:val="yFootnotesection"/>
      </w:pPr>
      <w:r>
        <w:tab/>
        <w:t>[Clause 38 inserted by No. 9 of 2014 s. 35.]</w:t>
      </w:r>
    </w:p>
    <w:p>
      <w:pPr>
        <w:pStyle w:val="yHeading5"/>
      </w:pPr>
      <w:bookmarkStart w:id="682" w:name="_Toc398890264"/>
      <w:bookmarkStart w:id="683" w:name="_Toc424284699"/>
      <w:r>
        <w:rPr>
          <w:rStyle w:val="CharSClsNo"/>
        </w:rPr>
        <w:t>39</w:t>
      </w:r>
      <w:r>
        <w:t>.</w:t>
      </w:r>
      <w:r>
        <w:tab/>
        <w:t>Powers of new board in anticipation of renaming</w:t>
      </w:r>
      <w:bookmarkEnd w:id="682"/>
      <w:bookmarkEnd w:id="683"/>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renaming; and</w:t>
      </w:r>
    </w:p>
    <w:p>
      <w:pPr>
        <w:pStyle w:val="yIndenta"/>
      </w:pPr>
      <w:r>
        <w:tab/>
        <w:t>(b)</w:t>
      </w:r>
      <w:r>
        <w:tab/>
        <w:t>do anything that is prescribed by transitional regulations and anything else that may be necessary or expedient to provide for, implement or facilitate the renaming.</w:t>
      </w:r>
    </w:p>
    <w:p>
      <w:pPr>
        <w:pStyle w:val="ySubsection"/>
      </w:pPr>
      <w:r>
        <w:tab/>
        <w:t>(2)</w:t>
      </w:r>
      <w:r>
        <w:tab/>
        <w:t>The matters that the new board can deal with in performing its functions under subclause (1)(a) include, but are not limited to, matters set out in clause 48 to the extent that they are relevant to the renaming.</w:t>
      </w:r>
    </w:p>
    <w:p>
      <w:pPr>
        <w:pStyle w:val="ySubsection"/>
      </w:pPr>
      <w:r>
        <w:tab/>
        <w:t>(3)</w:t>
      </w:r>
      <w:r>
        <w:tab/>
        <w:t>For the purposes of subclause (1) the new board may incur costs for which the port authority is liable.</w:t>
      </w:r>
    </w:p>
    <w:p>
      <w:pPr>
        <w:pStyle w:val="yFootnotesection"/>
      </w:pPr>
      <w:r>
        <w:tab/>
        <w:t>[Clause 39 inserted by No. 9 of 2014 s. 35.]</w:t>
      </w:r>
    </w:p>
    <w:p>
      <w:pPr>
        <w:pStyle w:val="yHeading5"/>
      </w:pPr>
      <w:bookmarkStart w:id="684" w:name="_Toc398890265"/>
      <w:bookmarkStart w:id="685" w:name="_Toc424284700"/>
      <w:r>
        <w:rPr>
          <w:rStyle w:val="CharSClsNo"/>
        </w:rPr>
        <w:t>40</w:t>
      </w:r>
      <w:r>
        <w:t>.</w:t>
      </w:r>
      <w:r>
        <w:tab/>
        <w:t>CEO and staff</w:t>
      </w:r>
      <w:bookmarkEnd w:id="684"/>
      <w:bookmarkEnd w:id="685"/>
    </w:p>
    <w:p>
      <w:pPr>
        <w:pStyle w:val="ySubsection"/>
      </w:pPr>
      <w:r>
        <w:tab/>
        <w:t>(1)</w:t>
      </w:r>
      <w:r>
        <w:tab/>
        <w:t>Immediately before the renaming time a person then holding office as the CEO of the port authority ceases to hold that office.</w:t>
      </w:r>
    </w:p>
    <w:p>
      <w:pPr>
        <w:pStyle w:val="ySubsection"/>
      </w:pPr>
      <w:r>
        <w:tab/>
        <w:t>(2)</w:t>
      </w:r>
      <w:r>
        <w:tab/>
        <w:t>At the renaming time, a person who was the CEO of the port authority immediately before the renaming time becomes a member of staff of the KPA.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renaming time the port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pPr>
      <w:r>
        <w:tab/>
        <w:t>(5)</w:t>
      </w:r>
      <w:r>
        <w:tab/>
        <w:t>The powers of the new board under clause 39 include the power to appoint a person as the CEO of the KPA before the renaming time.</w:t>
      </w:r>
    </w:p>
    <w:p>
      <w:pPr>
        <w:pStyle w:val="ySubsection"/>
      </w:pPr>
      <w:r>
        <w:tab/>
        <w:t>(6)</w:t>
      </w:r>
      <w:r>
        <w:tab/>
        <w:t>Until the renaming time a person appointed under subclause (5) may, as CEO of the KPA, perform any function of a CEO of a port authority for the purpose of providing for, implementing or facilitating the renaming.</w:t>
      </w:r>
    </w:p>
    <w:p>
      <w:pPr>
        <w:pStyle w:val="ySubsection"/>
      </w:pPr>
      <w:r>
        <w:tab/>
        <w:t>(7)</w:t>
      </w:r>
      <w:r>
        <w:tab/>
        <w:t>If a person who is the CEO or a member of staff of the port authority is appointed under subclause (5)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Footnotesection"/>
      </w:pPr>
      <w:r>
        <w:tab/>
        <w:t>[Clause 40 inserted by No. 9 of 2014 s. 35.]</w:t>
      </w:r>
    </w:p>
    <w:p>
      <w:pPr>
        <w:pStyle w:val="yHeading5"/>
      </w:pPr>
      <w:bookmarkStart w:id="686" w:name="_Toc398890266"/>
      <w:bookmarkStart w:id="687" w:name="_Toc424284701"/>
      <w:r>
        <w:rPr>
          <w:rStyle w:val="CharSClsNo"/>
        </w:rPr>
        <w:t>41</w:t>
      </w:r>
      <w:r>
        <w:t>.</w:t>
      </w:r>
      <w:r>
        <w:tab/>
        <w:t>Agreements, instruments and documents</w:t>
      </w:r>
      <w:bookmarkEnd w:id="686"/>
      <w:bookmarkEnd w:id="687"/>
    </w:p>
    <w:p>
      <w:pPr>
        <w:pStyle w:val="ySubsection"/>
      </w:pPr>
      <w:r>
        <w:tab/>
        <w:t>(1)</w:t>
      </w:r>
      <w:r>
        <w:tab/>
        <w:t xml:space="preserve">In this clause — </w:t>
      </w:r>
    </w:p>
    <w:p>
      <w:pPr>
        <w:pStyle w:val="yDefstart"/>
      </w:pPr>
      <w:r>
        <w:tab/>
      </w:r>
      <w:r>
        <w:rPr>
          <w:rStyle w:val="CharDefText"/>
        </w:rPr>
        <w:t>former name</w:t>
      </w:r>
      <w:r>
        <w:t xml:space="preserve"> means “Broome Port Authority”;</w:t>
      </w:r>
    </w:p>
    <w:p>
      <w:pPr>
        <w:pStyle w:val="yDefstart"/>
      </w:pPr>
      <w:r>
        <w:tab/>
      </w:r>
      <w:r>
        <w:rPr>
          <w:rStyle w:val="CharDefText"/>
        </w:rPr>
        <w:t>new name</w:t>
      </w:r>
      <w:r>
        <w:t xml:space="preserve"> means “Kimberley Ports Authority”.</w:t>
      </w:r>
    </w:p>
    <w:p>
      <w:pPr>
        <w:pStyle w:val="ySubsection"/>
      </w:pPr>
      <w:r>
        <w:rPr>
          <w:b/>
        </w:rPr>
        <w:tab/>
      </w:r>
      <w:r>
        <w:t>(2)</w:t>
      </w:r>
      <w:r>
        <w:rPr>
          <w:b/>
        </w:rPr>
        <w:tab/>
      </w:r>
      <w:r>
        <w:t>A subsisting agreement, instrument or document that contains a reference to the KPA by its former name has effect from the renaming time as if that reference were amended to be a reference to the KPA by its new name.</w:t>
      </w:r>
    </w:p>
    <w:p>
      <w:pPr>
        <w:pStyle w:val="ySubsection"/>
      </w:pPr>
      <w:r>
        <w:tab/>
        <w:t>(3)</w:t>
      </w:r>
      <w:r>
        <w:tab/>
        <w:t>Subclause (2) does not apply to an agreement or instrument to which the port authority was a party.</w:t>
      </w:r>
    </w:p>
    <w:p>
      <w:pPr>
        <w:pStyle w:val="ySubsection"/>
      </w:pPr>
      <w:r>
        <w:tab/>
        <w:t>(4)</w:t>
      </w:r>
      <w:r>
        <w:tab/>
        <w:t xml:space="preserve">If the port authority was a party to a subsisting agreement or instrument then, from the renaming time — </w:t>
      </w:r>
    </w:p>
    <w:p>
      <w:pPr>
        <w:pStyle w:val="yIndenta"/>
      </w:pPr>
      <w:r>
        <w:tab/>
        <w:t>(a)</w:t>
      </w:r>
      <w:r>
        <w:tab/>
        <w:t>the KPA is a party to the agreement or instrument under its new name; and</w:t>
      </w:r>
    </w:p>
    <w:p>
      <w:pPr>
        <w:pStyle w:val="yIndenta"/>
      </w:pPr>
      <w:r>
        <w:tab/>
        <w:t>(b)</w:t>
      </w:r>
      <w:r>
        <w:tab/>
        <w:t>the agreement or instrument has effect as if a reference in it to the KPA by its former name were amended to be a reference to the KPA by its new name.</w:t>
      </w:r>
    </w:p>
    <w:p>
      <w:pPr>
        <w:pStyle w:val="ySubsection"/>
      </w:pPr>
      <w:r>
        <w:tab/>
        <w:t>(5)</w:t>
      </w:r>
      <w:r>
        <w:tab/>
        <w:t xml:space="preserve">Subclause (2) or (4)(b)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41 inserted by No. 9 of 2014 s. 35.]</w:t>
      </w:r>
    </w:p>
    <w:p>
      <w:pPr>
        <w:pStyle w:val="yHeading5"/>
      </w:pPr>
      <w:bookmarkStart w:id="688" w:name="_Toc398890267"/>
      <w:bookmarkStart w:id="689" w:name="_Toc424284702"/>
      <w:r>
        <w:rPr>
          <w:rStyle w:val="CharSClsNo"/>
        </w:rPr>
        <w:t>42</w:t>
      </w:r>
      <w:r>
        <w:t>.</w:t>
      </w:r>
      <w:r>
        <w:tab/>
        <w:t>Port authority to implement or facilitate renaming</w:t>
      </w:r>
      <w:bookmarkEnd w:id="688"/>
      <w:bookmarkEnd w:id="689"/>
    </w:p>
    <w:p>
      <w:pPr>
        <w:pStyle w:val="ySubsection"/>
      </w:pPr>
      <w:r>
        <w:tab/>
        <w:t>(1)</w:t>
      </w:r>
      <w:r>
        <w:tab/>
        <w:t xml:space="preserve">Anything that is prescribed by transitional regulations, and anything else that may be necessary or expedient to provide for, implement or facilitate the renaming, is to be done — </w:t>
      </w:r>
    </w:p>
    <w:p>
      <w:pPr>
        <w:pStyle w:val="yIndenta"/>
      </w:pPr>
      <w:r>
        <w:tab/>
        <w:t>(a)</w:t>
      </w:r>
      <w:r>
        <w:tab/>
        <w:t>before the renaming time — by the port authority; and</w:t>
      </w:r>
    </w:p>
    <w:p>
      <w:pPr>
        <w:pStyle w:val="yIndenta"/>
      </w:pPr>
      <w:r>
        <w:tab/>
        <w:t>(b)</w:t>
      </w:r>
      <w:r>
        <w:tab/>
        <w:t>after the renaming time — by the KPA.</w:t>
      </w:r>
    </w:p>
    <w:p>
      <w:pPr>
        <w:pStyle w:val="ySubsection"/>
      </w:pPr>
      <w:r>
        <w:tab/>
        <w:t>(2)</w:t>
      </w:r>
      <w:r>
        <w:tab/>
        <w:t>The function conferred by subclause (1) is in addition to any other function that a port authority has.</w:t>
      </w:r>
    </w:p>
    <w:p>
      <w:pPr>
        <w:pStyle w:val="ySubsection"/>
      </w:pPr>
      <w:r>
        <w:tab/>
        <w:t>(3)</w:t>
      </w:r>
      <w:r>
        <w:tab/>
        <w:t xml:space="preserve">The following amounts payable before the renaming time are to be paid out of the funds of the port authority — </w:t>
      </w:r>
    </w:p>
    <w:p>
      <w:pPr>
        <w:pStyle w:val="yIndenta"/>
      </w:pPr>
      <w:r>
        <w:tab/>
        <w:t>(a)</w:t>
      </w:r>
      <w:r>
        <w:tab/>
        <w:t>any remuneration or allowances payable to a director appointed under clause 38(3);</w:t>
      </w:r>
    </w:p>
    <w:p>
      <w:pPr>
        <w:pStyle w:val="yIndenta"/>
      </w:pPr>
      <w:r>
        <w:tab/>
        <w:t>(b)</w:t>
      </w:r>
      <w:r>
        <w:tab/>
        <w:t>any remuneration payable to a person appointed under clause 40(5);</w:t>
      </w:r>
    </w:p>
    <w:p>
      <w:pPr>
        <w:pStyle w:val="yIndenta"/>
      </w:pPr>
      <w:r>
        <w:tab/>
        <w:t>(c)</w:t>
      </w:r>
      <w:r>
        <w:tab/>
        <w:t>the costs of the appointment process under clause 40(5);</w:t>
      </w:r>
    </w:p>
    <w:p>
      <w:pPr>
        <w:pStyle w:val="yIndenta"/>
      </w:pPr>
      <w:r>
        <w:tab/>
        <w:t>(d)</w:t>
      </w:r>
      <w:r>
        <w:tab/>
        <w:t>any other costs incurred by the new board under clause 39.</w:t>
      </w:r>
    </w:p>
    <w:p>
      <w:pPr>
        <w:pStyle w:val="yFootnotesection"/>
      </w:pPr>
      <w:r>
        <w:tab/>
        <w:t>[Clause 42 inserted by No. 9 of 2014 s. 35.]</w:t>
      </w:r>
    </w:p>
    <w:p>
      <w:pPr>
        <w:pStyle w:val="yHeading5"/>
      </w:pPr>
      <w:bookmarkStart w:id="690" w:name="_Toc398890268"/>
      <w:bookmarkStart w:id="691" w:name="_Toc424284703"/>
      <w:r>
        <w:rPr>
          <w:rStyle w:val="CharSClsNo"/>
        </w:rPr>
        <w:t>43</w:t>
      </w:r>
      <w:r>
        <w:t>.</w:t>
      </w:r>
      <w:r>
        <w:tab/>
        <w:t>Transitional regulations</w:t>
      </w:r>
      <w:bookmarkEnd w:id="690"/>
      <w:bookmarkEnd w:id="691"/>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the port authority, the new board or the KPA to provide for, implement or facilitate the renaming; and</w:t>
      </w:r>
    </w:p>
    <w:p>
      <w:pPr>
        <w:pStyle w:val="yIndenta"/>
      </w:pPr>
      <w:r>
        <w:tab/>
        <w:t>(b)</w:t>
      </w:r>
      <w:r>
        <w:tab/>
        <w:t>anything necessary or expedient to be prescribed for providing for a matter or issue of a transitional nature that arises in relation to the renaming.</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renaming time, the regulations have effect according to their terms.</w:t>
      </w:r>
    </w:p>
    <w:p>
      <w:pPr>
        <w:pStyle w:val="yFootnotesection"/>
      </w:pPr>
      <w:r>
        <w:tab/>
        <w:t>[Clause 43 inserted by No. 9 of 2014 s. 35.]</w:t>
      </w:r>
    </w:p>
    <w:p>
      <w:pPr>
        <w:pStyle w:val="yHeading4"/>
      </w:pPr>
      <w:bookmarkStart w:id="692" w:name="_Toc398890269"/>
      <w:bookmarkStart w:id="693" w:name="_Toc424284704"/>
      <w:r>
        <w:t>Subdivision 6</w:t>
      </w:r>
      <w:r>
        <w:rPr>
          <w:b w:val="0"/>
        </w:rPr>
        <w:t> — </w:t>
      </w:r>
      <w:r>
        <w:t>Provisions for certain directors</w:t>
      </w:r>
      <w:bookmarkEnd w:id="692"/>
      <w:bookmarkEnd w:id="693"/>
    </w:p>
    <w:p>
      <w:pPr>
        <w:pStyle w:val="yFootnoteheading"/>
        <w:spacing w:after="120"/>
      </w:pPr>
      <w:r>
        <w:tab/>
        <w:t>[Heading inserted by No. 9 of 2014 s. 35.]</w:t>
      </w:r>
    </w:p>
    <w:p>
      <w:pPr>
        <w:pStyle w:val="yHeading5"/>
      </w:pPr>
      <w:bookmarkStart w:id="694" w:name="_Toc398890270"/>
      <w:bookmarkStart w:id="695" w:name="_Toc424284705"/>
      <w:r>
        <w:rPr>
          <w:rStyle w:val="CharSClsNo"/>
        </w:rPr>
        <w:t>44</w:t>
      </w:r>
      <w:r>
        <w:t>.</w:t>
      </w:r>
      <w:r>
        <w:tab/>
        <w:t>Certain directors to cease to hold office</w:t>
      </w:r>
      <w:bookmarkEnd w:id="694"/>
      <w:bookmarkEnd w:id="695"/>
    </w:p>
    <w:p>
      <w:pPr>
        <w:pStyle w:val="ySubsection"/>
      </w:pPr>
      <w:r>
        <w:tab/>
        <w:t>(1)</w:t>
      </w:r>
      <w:r>
        <w:tab/>
        <w:t xml:space="preserve">In this clause — </w:t>
      </w:r>
    </w:p>
    <w:p>
      <w:pPr>
        <w:pStyle w:val="yDefstart"/>
      </w:pPr>
      <w:r>
        <w:tab/>
      </w:r>
      <w:r>
        <w:rPr>
          <w:rStyle w:val="CharDefText"/>
        </w:rPr>
        <w:t>commencement</w:t>
      </w:r>
      <w:r>
        <w:t xml:space="preserve"> means the coming into operation of section 33 of the amending Act.</w:t>
      </w:r>
    </w:p>
    <w:p>
      <w:pPr>
        <w:pStyle w:val="ySubsection"/>
      </w:pPr>
      <w:r>
        <w:tab/>
        <w:t>(2)</w:t>
      </w:r>
      <w:r>
        <w:tab/>
        <w:t xml:space="preserve">On commencement — </w:t>
      </w:r>
    </w:p>
    <w:p>
      <w:pPr>
        <w:pStyle w:val="yIndenta"/>
      </w:pPr>
      <w:r>
        <w:tab/>
        <w:t>(a)</w:t>
      </w:r>
      <w:r>
        <w:tab/>
        <w:t>the Company appointee and the Joint Venturers appointee, as defined in Schedule 6 clause 1.2 as enacted before commencement, cease to be directors of the Dampier Port Authority; and</w:t>
      </w:r>
    </w:p>
    <w:p>
      <w:pPr>
        <w:pStyle w:val="yIndenta"/>
      </w:pPr>
      <w:r>
        <w:tab/>
        <w:t>(b)</w:t>
      </w:r>
      <w:r>
        <w:tab/>
        <w:t>the first lessee appointee and the second lessee appointee, as defined in Schedule 6 clause 2.2 as enacted before commencement, cease to be directors of the Port Hedland Port Authority.</w:t>
      </w:r>
    </w:p>
    <w:p>
      <w:pPr>
        <w:pStyle w:val="yFootnotesection"/>
      </w:pPr>
      <w:r>
        <w:tab/>
        <w:t>[Clause 44 inserted by No. 9 of 2014 s. 35.]</w:t>
      </w:r>
    </w:p>
    <w:p>
      <w:pPr>
        <w:pStyle w:val="yHeading4"/>
      </w:pPr>
      <w:bookmarkStart w:id="696" w:name="_Toc398890271"/>
      <w:bookmarkStart w:id="697" w:name="_Toc424284706"/>
      <w:r>
        <w:t>Subdivision 7</w:t>
      </w:r>
      <w:r>
        <w:rPr>
          <w:b w:val="0"/>
        </w:rPr>
        <w:t> — </w:t>
      </w:r>
      <w:r>
        <w:t>General provisions</w:t>
      </w:r>
      <w:bookmarkEnd w:id="696"/>
      <w:bookmarkEnd w:id="697"/>
    </w:p>
    <w:p>
      <w:pPr>
        <w:pStyle w:val="yFootnoteheading"/>
        <w:spacing w:after="120"/>
      </w:pPr>
      <w:r>
        <w:tab/>
        <w:t>[Heading inserted by No. 9 of 2014 s. 35.]</w:t>
      </w:r>
    </w:p>
    <w:p>
      <w:pPr>
        <w:pStyle w:val="yHeading5"/>
      </w:pPr>
      <w:bookmarkStart w:id="698" w:name="_Toc398890272"/>
      <w:bookmarkStart w:id="699" w:name="_Toc424284707"/>
      <w:r>
        <w:rPr>
          <w:rStyle w:val="CharSClsNo"/>
        </w:rPr>
        <w:t>45</w:t>
      </w:r>
      <w:r>
        <w:t>.</w:t>
      </w:r>
      <w:r>
        <w:tab/>
        <w:t>Terms used</w:t>
      </w:r>
      <w:bookmarkEnd w:id="698"/>
      <w:bookmarkEnd w:id="699"/>
    </w:p>
    <w:p>
      <w:pPr>
        <w:pStyle w:val="ySubsection"/>
      </w:pPr>
      <w:r>
        <w:tab/>
      </w:r>
      <w:r>
        <w:tab/>
        <w:t xml:space="preserve">In this Subdivision — </w:t>
      </w:r>
    </w:p>
    <w:p>
      <w:pPr>
        <w:pStyle w:val="yDefstart"/>
      </w:pPr>
      <w:r>
        <w:tab/>
      </w:r>
      <w:r>
        <w:rPr>
          <w:rStyle w:val="CharDefText"/>
        </w:rPr>
        <w:t>affecting provisions</w:t>
      </w:r>
      <w:r>
        <w:t xml:space="preserve"> means — </w:t>
      </w:r>
    </w:p>
    <w:p>
      <w:pPr>
        <w:pStyle w:val="yDefpara"/>
      </w:pPr>
      <w:r>
        <w:tab/>
        <w:t>(a)</w:t>
      </w:r>
      <w:r>
        <w:tab/>
        <w:t>section 31 of the amending Act; and</w:t>
      </w:r>
    </w:p>
    <w:p>
      <w:pPr>
        <w:pStyle w:val="yDefpara"/>
      </w:pPr>
      <w:r>
        <w:tab/>
        <w:t>(b)</w:t>
      </w:r>
      <w:r>
        <w:tab/>
        <w:t>this Division and transitional regulations;</w:t>
      </w:r>
    </w:p>
    <w:p>
      <w:pPr>
        <w:pStyle w:val="yDefstart"/>
      </w:pPr>
      <w:r>
        <w:tab/>
      </w:r>
      <w:r>
        <w:rPr>
          <w:rStyle w:val="CharDefText"/>
        </w:rPr>
        <w:t>new board</w:t>
      </w:r>
      <w:r>
        <w:t xml:space="preserve"> has the meaning given in clause 2, 16, 23 or 37;</w:t>
      </w:r>
    </w:p>
    <w:p>
      <w:pPr>
        <w:pStyle w:val="yDefstart"/>
      </w:pPr>
      <w:r>
        <w:tab/>
      </w:r>
      <w:r>
        <w:rPr>
          <w:rStyle w:val="CharDefText"/>
        </w:rPr>
        <w:t>relevant officials</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Defstart"/>
      </w:pPr>
      <w:r>
        <w:tab/>
      </w:r>
      <w:r>
        <w:rPr>
          <w:rStyle w:val="CharDefText"/>
        </w:rPr>
        <w:t>State tax</w:t>
      </w:r>
      <w:r>
        <w:t xml:space="preserve"> includes duty under the </w:t>
      </w:r>
      <w:r>
        <w:rPr>
          <w:i/>
        </w:rPr>
        <w:t>Duties Act 2008</w:t>
      </w:r>
      <w:r>
        <w:t xml:space="preserve"> and any other tax under a written law;</w:t>
      </w:r>
    </w:p>
    <w:p>
      <w:pPr>
        <w:pStyle w:val="yDefstart"/>
      </w:pPr>
      <w:r>
        <w:tab/>
      </w:r>
      <w:r>
        <w:rPr>
          <w:rStyle w:val="CharDefText"/>
        </w:rPr>
        <w:t>transitional regulations</w:t>
      </w:r>
      <w:r>
        <w:t xml:space="preserve"> has the meaning given in clause 15(1), 22(1), 36(1) or 43(1).</w:t>
      </w:r>
    </w:p>
    <w:p>
      <w:pPr>
        <w:pStyle w:val="yFootnotesection"/>
      </w:pPr>
      <w:r>
        <w:tab/>
        <w:t>[Clause 45 inserted by No. 9 of 2014 s. 35.]</w:t>
      </w:r>
    </w:p>
    <w:p>
      <w:pPr>
        <w:pStyle w:val="yHeading5"/>
      </w:pPr>
      <w:bookmarkStart w:id="700" w:name="_Toc398890273"/>
      <w:bookmarkStart w:id="701" w:name="_Toc424284708"/>
      <w:r>
        <w:rPr>
          <w:rStyle w:val="CharSClsNo"/>
        </w:rPr>
        <w:t>46</w:t>
      </w:r>
      <w:r>
        <w:t>.</w:t>
      </w:r>
      <w:r>
        <w:tab/>
        <w:t>Exemption from State taxes</w:t>
      </w:r>
      <w:bookmarkEnd w:id="700"/>
      <w:bookmarkEnd w:id="701"/>
    </w:p>
    <w:p>
      <w:pPr>
        <w:pStyle w:val="ySubsection"/>
      </w:pPr>
      <w:r>
        <w:tab/>
      </w:r>
      <w:r>
        <w:tab/>
        <w:t xml:space="preserve">State tax is not payable in relation to — </w:t>
      </w:r>
    </w:p>
    <w:p>
      <w:pPr>
        <w:pStyle w:val="yIndenta"/>
      </w:pPr>
      <w:r>
        <w:tab/>
        <w:t>(a)</w:t>
      </w:r>
      <w:r>
        <w:tab/>
        <w:t>anything that occurs by the operation of the affecting provisions; or</w:t>
      </w:r>
    </w:p>
    <w:p>
      <w:pPr>
        <w:pStyle w:val="yIndenta"/>
      </w:pPr>
      <w:r>
        <w:tab/>
        <w:t>(b)</w:t>
      </w:r>
      <w:r>
        <w:tab/>
        <w:t>anything done (including a transaction entered into or an instrument or document of any kind made, executed, lodged or given) under this Division, or to give effect to the affecting provisions, or for a purpose connected with or arising out of giving effect to the affecting provisions.</w:t>
      </w:r>
    </w:p>
    <w:p>
      <w:pPr>
        <w:pStyle w:val="yFootnotesection"/>
      </w:pPr>
      <w:r>
        <w:tab/>
        <w:t>[Clause 46 inserted by No. 9 of 2014 s. 35.]</w:t>
      </w:r>
    </w:p>
    <w:p>
      <w:pPr>
        <w:pStyle w:val="yHeading5"/>
      </w:pPr>
      <w:bookmarkStart w:id="702" w:name="_Toc398890274"/>
      <w:bookmarkStart w:id="703" w:name="_Toc424284709"/>
      <w:r>
        <w:rPr>
          <w:rStyle w:val="CharSClsNo"/>
        </w:rPr>
        <w:t>47</w:t>
      </w:r>
      <w:r>
        <w:t>.</w:t>
      </w:r>
      <w:r>
        <w:tab/>
        <w:t>Registration of documents</w:t>
      </w:r>
      <w:bookmarkEnd w:id="702"/>
      <w:bookmarkEnd w:id="703"/>
    </w:p>
    <w:p>
      <w:pPr>
        <w:pStyle w:val="ySubsection"/>
      </w:pPr>
      <w:r>
        <w:tab/>
      </w:r>
      <w:r>
        <w:tab/>
        <w:t>The relevant officials are to take notice of the affecting provisions and are to record and register in the appropriate manner the documents necessary to show the effect of the affecting provisions.</w:t>
      </w:r>
    </w:p>
    <w:p>
      <w:pPr>
        <w:pStyle w:val="yFootnotesection"/>
      </w:pPr>
      <w:r>
        <w:tab/>
        <w:t>[Clause 47 inserted by No. 9 of 2014 s. 35.]</w:t>
      </w:r>
    </w:p>
    <w:p>
      <w:pPr>
        <w:pStyle w:val="yHeading5"/>
      </w:pPr>
      <w:bookmarkStart w:id="704" w:name="_Toc398890275"/>
      <w:bookmarkStart w:id="705" w:name="_Toc424284710"/>
      <w:r>
        <w:rPr>
          <w:rStyle w:val="CharSClsNo"/>
        </w:rPr>
        <w:t>48</w:t>
      </w:r>
      <w:r>
        <w:t>.</w:t>
      </w:r>
      <w:r>
        <w:tab/>
        <w:t>Matters that a new board can deal with</w:t>
      </w:r>
      <w:bookmarkEnd w:id="704"/>
      <w:bookmarkEnd w:id="705"/>
    </w:p>
    <w:p>
      <w:pPr>
        <w:pStyle w:val="ySubsection"/>
      </w:pPr>
      <w:r>
        <w:tab/>
      </w:r>
      <w:r>
        <w:tab/>
        <w:t xml:space="preserve">The matters referred to in clauses 5(2), 18(2), 26(2) and 39(2) are — </w:t>
      </w:r>
    </w:p>
    <w:p>
      <w:pPr>
        <w:pStyle w:val="yIndenta"/>
      </w:pPr>
      <w:r>
        <w:tab/>
        <w:t>(a)</w:t>
      </w:r>
      <w:r>
        <w:tab/>
        <w:t>staff issues including organisational structure, reporting accountabilities and employee roles and responsibilities;</w:t>
      </w:r>
    </w:p>
    <w:p>
      <w:pPr>
        <w:pStyle w:val="yIndenta"/>
      </w:pPr>
      <w:r>
        <w:tab/>
        <w:t>(b)</w:t>
      </w:r>
      <w:r>
        <w:tab/>
        <w:t>preparation for staff transfer including confirmation of employee details and entitlements;</w:t>
      </w:r>
    </w:p>
    <w:p>
      <w:pPr>
        <w:pStyle w:val="yIndenta"/>
      </w:pPr>
      <w:r>
        <w:tab/>
        <w:t>(c)</w:t>
      </w:r>
      <w:r>
        <w:tab/>
        <w:t>recruitment of staff if necessary;</w:t>
      </w:r>
    </w:p>
    <w:p>
      <w:pPr>
        <w:pStyle w:val="yIndenta"/>
      </w:pPr>
      <w:r>
        <w:tab/>
        <w:t>(d)</w:t>
      </w:r>
      <w:r>
        <w:tab/>
        <w:t xml:space="preserve">identification and assessment of issues relating to — </w:t>
      </w:r>
    </w:p>
    <w:p>
      <w:pPr>
        <w:pStyle w:val="yIndenti0"/>
      </w:pPr>
      <w:r>
        <w:tab/>
        <w:t>(i)</w:t>
      </w:r>
      <w:r>
        <w:tab/>
        <w:t>port boundaries;</w:t>
      </w:r>
    </w:p>
    <w:p>
      <w:pPr>
        <w:pStyle w:val="yIndenti0"/>
      </w:pPr>
      <w:r>
        <w:tab/>
        <w:t>(ii)</w:t>
      </w:r>
      <w:r>
        <w:tab/>
        <w:t xml:space="preserve">agreements affecting the port; </w:t>
      </w:r>
    </w:p>
    <w:p>
      <w:pPr>
        <w:pStyle w:val="yIndenti0"/>
      </w:pPr>
      <w:r>
        <w:tab/>
        <w:t>(iii)</w:t>
      </w:r>
      <w:r>
        <w:tab/>
        <w:t>mining tenements over port areas;</w:t>
      </w:r>
    </w:p>
    <w:p>
      <w:pPr>
        <w:pStyle w:val="yIndenti0"/>
      </w:pPr>
      <w:r>
        <w:tab/>
        <w:t>(iv)</w:t>
      </w:r>
      <w:r>
        <w:tab/>
        <w:t>contaminated sites;</w:t>
      </w:r>
    </w:p>
    <w:p>
      <w:pPr>
        <w:pStyle w:val="yIndenti0"/>
      </w:pPr>
      <w:r>
        <w:tab/>
        <w:t>(v)</w:t>
      </w:r>
      <w:r>
        <w:tab/>
        <w:t xml:space="preserve">waters in the port reserved under the </w:t>
      </w:r>
      <w:r>
        <w:rPr>
          <w:i/>
        </w:rPr>
        <w:t>Conservation and Land Management Act 1984</w:t>
      </w:r>
      <w:r>
        <w:t xml:space="preserve"> Part II Division 3;</w:t>
      </w:r>
    </w:p>
    <w:p>
      <w:pPr>
        <w:pStyle w:val="yIndenti0"/>
      </w:pPr>
      <w:r>
        <w:tab/>
        <w:t>(vi)</w:t>
      </w:r>
      <w:r>
        <w:tab/>
        <w:t>native title issues;</w:t>
      </w:r>
    </w:p>
    <w:p>
      <w:pPr>
        <w:pStyle w:val="yIndenti0"/>
      </w:pPr>
      <w:r>
        <w:tab/>
        <w:t>(vii)</w:t>
      </w:r>
      <w:r>
        <w:tab/>
        <w:t>operating and maintenance costs;</w:t>
      </w:r>
    </w:p>
    <w:p>
      <w:pPr>
        <w:pStyle w:val="yIndenti0"/>
      </w:pPr>
      <w:r>
        <w:tab/>
        <w:t>(viii)</w:t>
      </w:r>
      <w:r>
        <w:tab/>
        <w:t>community service obligations;</w:t>
      </w:r>
    </w:p>
    <w:p>
      <w:pPr>
        <w:pStyle w:val="yIndenti0"/>
      </w:pPr>
      <w:r>
        <w:tab/>
        <w:t>(ix)</w:t>
      </w:r>
      <w:r>
        <w:tab/>
        <w:t xml:space="preserve">leases, licences and permits; </w:t>
      </w:r>
    </w:p>
    <w:p>
      <w:pPr>
        <w:pStyle w:val="yIndenti0"/>
      </w:pPr>
      <w:r>
        <w:tab/>
        <w:t>(x)</w:t>
      </w:r>
      <w:r>
        <w:tab/>
        <w:t xml:space="preserve">port fees and charges; </w:t>
      </w:r>
    </w:p>
    <w:p>
      <w:pPr>
        <w:pStyle w:val="yIndenti0"/>
      </w:pPr>
      <w:r>
        <w:tab/>
        <w:t>(xi)</w:t>
      </w:r>
      <w:r>
        <w:tab/>
        <w:t>existing legal and commercial disputes and contingent liabilities;</w:t>
      </w:r>
    </w:p>
    <w:p>
      <w:pPr>
        <w:pStyle w:val="yIndenti0"/>
      </w:pPr>
      <w:r>
        <w:tab/>
        <w:t>(xii)</w:t>
      </w:r>
      <w:r>
        <w:tab/>
        <w:t>long term commitments,</w:t>
      </w:r>
    </w:p>
    <w:p>
      <w:pPr>
        <w:pStyle w:val="yIndenta"/>
      </w:pPr>
      <w:r>
        <w:tab/>
      </w:r>
      <w:r>
        <w:tab/>
        <w:t>and resolution of those issues so far as that is within the new board’s powers;</w:t>
      </w:r>
    </w:p>
    <w:p>
      <w:pPr>
        <w:pStyle w:val="yIndenta"/>
      </w:pPr>
      <w:r>
        <w:tab/>
        <w:t>(e)</w:t>
      </w:r>
      <w:r>
        <w:tab/>
        <w:t>review, and if necessary modification, of the existing port operating model;</w:t>
      </w:r>
    </w:p>
    <w:p>
      <w:pPr>
        <w:pStyle w:val="yIndenta"/>
      </w:pPr>
      <w:r>
        <w:tab/>
        <w:t>(f)</w:t>
      </w:r>
      <w:r>
        <w:tab/>
        <w:t xml:space="preserve">harmonisation of internal policies, standards, procedures, processes and reporting requirements on services and systems including — </w:t>
      </w:r>
    </w:p>
    <w:p>
      <w:pPr>
        <w:pStyle w:val="yIndenti0"/>
      </w:pPr>
      <w:r>
        <w:tab/>
        <w:t>(i)</w:t>
      </w:r>
      <w:r>
        <w:tab/>
        <w:t>operating activities;</w:t>
      </w:r>
    </w:p>
    <w:p>
      <w:pPr>
        <w:pStyle w:val="yIndenti0"/>
      </w:pPr>
      <w:r>
        <w:tab/>
        <w:t>(ii)</w:t>
      </w:r>
      <w:r>
        <w:tab/>
        <w:t>administrative functions;</w:t>
      </w:r>
    </w:p>
    <w:p>
      <w:pPr>
        <w:pStyle w:val="yIndenti0"/>
      </w:pPr>
      <w:r>
        <w:tab/>
        <w:t>(iii)</w:t>
      </w:r>
      <w:r>
        <w:tab/>
        <w:t>pricing and marketing principles and practices;</w:t>
      </w:r>
    </w:p>
    <w:p>
      <w:pPr>
        <w:pStyle w:val="yIndenti0"/>
      </w:pPr>
      <w:r>
        <w:tab/>
        <w:t>(iv)</w:t>
      </w:r>
      <w:r>
        <w:tab/>
        <w:t>financial and accounting systems, including the chart of accounts;</w:t>
      </w:r>
    </w:p>
    <w:p>
      <w:pPr>
        <w:pStyle w:val="yIndenti0"/>
      </w:pPr>
      <w:r>
        <w:tab/>
        <w:t>(v)</w:t>
      </w:r>
      <w:r>
        <w:tab/>
        <w:t>human resource services;</w:t>
      </w:r>
    </w:p>
    <w:p>
      <w:pPr>
        <w:pStyle w:val="yIndenti0"/>
      </w:pPr>
      <w:r>
        <w:tab/>
        <w:t>(vi)</w:t>
      </w:r>
      <w:r>
        <w:tab/>
        <w:t>information and communication activities;</w:t>
      </w:r>
    </w:p>
    <w:p>
      <w:pPr>
        <w:pStyle w:val="yIndenta"/>
      </w:pPr>
      <w:r>
        <w:tab/>
        <w:t>(g)</w:t>
      </w:r>
      <w:r>
        <w:tab/>
        <w:t>development of a draft strategic development plan, a draft statement of corporate intent, a draft income and cash flow statement and a draft statement of financial position;</w:t>
      </w:r>
    </w:p>
    <w:p>
      <w:pPr>
        <w:pStyle w:val="yIndenta"/>
      </w:pPr>
      <w:r>
        <w:tab/>
        <w:t>(h)</w:t>
      </w:r>
      <w:r>
        <w:tab/>
        <w:t>development of any other plans that a port authority is required to have under any written law;</w:t>
      </w:r>
    </w:p>
    <w:p>
      <w:pPr>
        <w:pStyle w:val="yIndenta"/>
      </w:pPr>
      <w:r>
        <w:tab/>
        <w:t>(i)</w:t>
      </w:r>
      <w:r>
        <w:tab/>
        <w:t>budgetary matters;</w:t>
      </w:r>
    </w:p>
    <w:p>
      <w:pPr>
        <w:pStyle w:val="yIndenta"/>
      </w:pPr>
      <w:r>
        <w:tab/>
        <w:t>(j)</w:t>
      </w:r>
      <w:r>
        <w:tab/>
        <w:t xml:space="preserve">matters relating to the transfer of assets and liabilities including — </w:t>
      </w:r>
    </w:p>
    <w:p>
      <w:pPr>
        <w:pStyle w:val="yIndenti0"/>
      </w:pPr>
      <w:r>
        <w:tab/>
        <w:t>(i)</w:t>
      </w:r>
      <w:r>
        <w:tab/>
        <w:t>asset and liability inventories;</w:t>
      </w:r>
    </w:p>
    <w:p>
      <w:pPr>
        <w:pStyle w:val="yIndenti0"/>
      </w:pPr>
      <w:r>
        <w:tab/>
        <w:t>(ii)</w:t>
      </w:r>
      <w:r>
        <w:tab/>
        <w:t>valuation of assets and liabilities;</w:t>
      </w:r>
    </w:p>
    <w:p>
      <w:pPr>
        <w:pStyle w:val="yIndenti0"/>
      </w:pPr>
      <w:r>
        <w:tab/>
        <w:t>(iii)</w:t>
      </w:r>
      <w:r>
        <w:tab/>
        <w:t>processes for transfer;</w:t>
      </w:r>
    </w:p>
    <w:p>
      <w:pPr>
        <w:pStyle w:val="yIndenta"/>
      </w:pPr>
      <w:r>
        <w:tab/>
        <w:t>(k)</w:t>
      </w:r>
      <w:r>
        <w:tab/>
        <w:t>employment or engagement of persons to provide management, financial, legal or other services or advice.</w:t>
      </w:r>
    </w:p>
    <w:p>
      <w:pPr>
        <w:pStyle w:val="yFootnotesection"/>
      </w:pPr>
      <w:r>
        <w:tab/>
        <w:t>[Clause 48 inserted by No. 9 of 2014 s. 35.]</w:t>
      </w:r>
    </w:p>
    <w:p>
      <w:pPr>
        <w:pStyle w:val="yHeading5"/>
      </w:pPr>
      <w:bookmarkStart w:id="706" w:name="_Toc398890276"/>
      <w:bookmarkStart w:id="707" w:name="_Toc424284711"/>
      <w:r>
        <w:rPr>
          <w:rStyle w:val="CharSClsNo"/>
        </w:rPr>
        <w:t>49</w:t>
      </w:r>
      <w:r>
        <w:t>.</w:t>
      </w:r>
      <w:r>
        <w:tab/>
        <w:t>Operation of transitional regulations</w:t>
      </w:r>
      <w:bookmarkEnd w:id="706"/>
      <w:bookmarkEnd w:id="707"/>
    </w:p>
    <w:p>
      <w:pPr>
        <w:pStyle w:val="ySubsection"/>
      </w:pPr>
      <w:r>
        <w:tab/>
      </w:r>
      <w:r>
        <w:tab/>
        <w:t xml:space="preserve">If transitional regulations contain a provision referred to in clause 15(3), 22(3), 36(3) or 43(3),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49 inserted by No. 9 of 2014 s. 35.]</w:t>
      </w:r>
    </w:p>
    <w:p>
      <w:pPr>
        <w:pStyle w:val="yHeading5"/>
      </w:pPr>
      <w:bookmarkStart w:id="708" w:name="_Toc398890277"/>
      <w:bookmarkStart w:id="709" w:name="_Toc424284712"/>
      <w:r>
        <w:rPr>
          <w:rStyle w:val="CharSClsNo"/>
        </w:rPr>
        <w:t>50</w:t>
      </w:r>
      <w:r>
        <w:t>.</w:t>
      </w:r>
      <w:r>
        <w:tab/>
        <w:t>Saving</w:t>
      </w:r>
      <w:bookmarkEnd w:id="708"/>
      <w:bookmarkEnd w:id="709"/>
    </w:p>
    <w:p>
      <w:pPr>
        <w:pStyle w:val="ySubsection"/>
      </w:pPr>
      <w:r>
        <w:tab/>
        <w:t>(1)</w:t>
      </w:r>
      <w:r>
        <w:tab/>
        <w:t xml:space="preserve">The operation of any of the affecting provisions is not to be regarded — </w:t>
      </w:r>
    </w:p>
    <w:p>
      <w:pPr>
        <w:pStyle w:val="yIndenta"/>
      </w:pPr>
      <w:r>
        <w:tab/>
        <w:t>(a)</w:t>
      </w:r>
      <w:r>
        <w:tab/>
        <w:t>as a breach of contract or confidence or otherwise as a civil wrong; or</w:t>
      </w:r>
    </w:p>
    <w:p>
      <w:pPr>
        <w:pStyle w:val="yIndenta"/>
      </w:pPr>
      <w:r>
        <w:tab/>
        <w:t>(b)</w:t>
      </w:r>
      <w:r>
        <w:tab/>
        <w:t>as a breach of any contractual provision prohibiting, restricting or regulating the assignment or transfer of assets, rights or liabilities or the disclosure of information; or</w:t>
      </w:r>
    </w:p>
    <w:p>
      <w:pPr>
        <w:pStyle w:val="yIndenta"/>
      </w:pPr>
      <w:r>
        <w:tab/>
        <w:t>(c)</w:t>
      </w:r>
      <w:r>
        <w:tab/>
        <w:t xml:space="preserve">as </w:t>
      </w:r>
      <w:r>
        <w:rPr>
          <w:snapToGrid w:val="0"/>
        </w:rPr>
        <w:t>giving rise to any right to damages or compensation; or</w:t>
      </w:r>
    </w:p>
    <w:p>
      <w:pPr>
        <w:pStyle w:val="yIndenta"/>
      </w:pPr>
      <w:r>
        <w:tab/>
        <w:t>(d)</w:t>
      </w:r>
      <w:r>
        <w:tab/>
        <w:t>as giving rise to any remedy by a party to an instrument or as causing or permitting the termination of any instrument, because of a change in the beneficial or legal ownership of any asset, right or liability; or</w:t>
      </w:r>
    </w:p>
    <w:p>
      <w:pPr>
        <w:pStyle w:val="yIndenta"/>
      </w:pPr>
      <w:r>
        <w:tab/>
        <w:t>(e)</w:t>
      </w:r>
      <w:r>
        <w:tab/>
        <w:t>as causing any contract or instrument to be void or otherwise unenforceable; or</w:t>
      </w:r>
    </w:p>
    <w:p>
      <w:pPr>
        <w:pStyle w:val="yIndenta"/>
      </w:pPr>
      <w:r>
        <w:tab/>
        <w:t>(f)</w:t>
      </w:r>
      <w:r>
        <w:tab/>
        <w:t>as releasing or allowing the release of any surety.</w:t>
      </w:r>
    </w:p>
    <w:p>
      <w:pPr>
        <w:pStyle w:val="ySubsection"/>
      </w:pPr>
      <w:r>
        <w:tab/>
        <w:t>(2)</w:t>
      </w:r>
      <w:r>
        <w:tab/>
        <w:t xml:space="preserve">This Division and transitional regulations are additional to any relevant provisions of the </w:t>
      </w:r>
      <w:r>
        <w:rPr>
          <w:i/>
        </w:rPr>
        <w:t>Interpretation Act 1984</w:t>
      </w:r>
      <w:r>
        <w:t>.</w:t>
      </w:r>
    </w:p>
    <w:p>
      <w:pPr>
        <w:pStyle w:val="yFootnotesection"/>
      </w:pPr>
      <w:r>
        <w:tab/>
        <w:t>[Clause 50 inserted by No. 9 of 2014 s. 35.]</w:t>
      </w:r>
    </w:p>
    <w:p>
      <w:pPr>
        <w:pStyle w:val="yHeading5"/>
      </w:pPr>
      <w:bookmarkStart w:id="710" w:name="_Toc398890278"/>
      <w:bookmarkStart w:id="711" w:name="_Toc424284713"/>
      <w:r>
        <w:rPr>
          <w:rStyle w:val="CharSClsNo"/>
        </w:rPr>
        <w:t>51</w:t>
      </w:r>
      <w:r>
        <w:t>.</w:t>
      </w:r>
      <w:r>
        <w:tab/>
        <w:t>Government agreements not affected</w:t>
      </w:r>
      <w:bookmarkEnd w:id="710"/>
      <w:bookmarkEnd w:id="711"/>
    </w:p>
    <w:p>
      <w:pPr>
        <w:pStyle w:val="ySubsection"/>
      </w:pPr>
      <w:r>
        <w:tab/>
        <w:t>(1)</w:t>
      </w:r>
      <w:r>
        <w:tab/>
        <w:t>The affecting provisions do not prejudice or in any way affect any right or obligation of a party to a Government agreement.</w:t>
      </w:r>
    </w:p>
    <w:p>
      <w:pPr>
        <w:pStyle w:val="ySubsection"/>
      </w:pPr>
      <w:r>
        <w:tab/>
        <w:t>(2)</w:t>
      </w:r>
      <w:r>
        <w:tab/>
        <w:t>This clause does not limit or otherwise affect the operation of Schedule 6 clauses 1.3 and 2.3.</w:t>
      </w:r>
    </w:p>
    <w:p>
      <w:pPr>
        <w:pStyle w:val="yFootnotesection"/>
      </w:pPr>
      <w:r>
        <w:tab/>
        <w:t>[Clause 51 inserted by No. 9 of 2014 s. 35.]</w:t>
      </w:r>
    </w:p>
    <w:p>
      <w:pPr>
        <w:sectPr>
          <w:headerReference w:type="even" r:id="rId40"/>
          <w:headerReference w:type="default" r:id="rId41"/>
          <w:pgSz w:w="11907" w:h="16840" w:code="9"/>
          <w:pgMar w:top="2376" w:right="2405" w:bottom="3542" w:left="2405" w:header="706" w:footer="3380" w:gutter="0"/>
          <w:cols w:space="720"/>
          <w:noEndnote/>
          <w:docGrid w:linePitch="326"/>
        </w:sectPr>
      </w:pPr>
    </w:p>
    <w:p>
      <w:pPr>
        <w:pStyle w:val="yScheduleHeading"/>
      </w:pPr>
      <w:bookmarkStart w:id="712" w:name="_Toc398890279"/>
      <w:bookmarkStart w:id="713" w:name="_Toc424284714"/>
      <w:r>
        <w:rPr>
          <w:rStyle w:val="CharSchNo"/>
        </w:rPr>
        <w:t>Schedule 9</w:t>
      </w:r>
      <w:r>
        <w:t> — </w:t>
      </w:r>
      <w:r>
        <w:rPr>
          <w:rStyle w:val="CharSchText"/>
        </w:rPr>
        <w:t>Placing additional ports under a port authority’s control and management</w:t>
      </w:r>
      <w:bookmarkEnd w:id="712"/>
      <w:bookmarkEnd w:id="713"/>
      <w:r>
        <w:t xml:space="preserve"> </w:t>
      </w:r>
    </w:p>
    <w:p>
      <w:pPr>
        <w:pStyle w:val="yShoulderClause"/>
      </w:pPr>
      <w:r>
        <w:t>[s. 4(2A)(b)]</w:t>
      </w:r>
    </w:p>
    <w:p>
      <w:pPr>
        <w:pStyle w:val="yFootnoteheading"/>
      </w:pPr>
      <w:r>
        <w:tab/>
        <w:t>[Heading inserted by No. 9 of 2014 s. 36.]</w:t>
      </w:r>
    </w:p>
    <w:p>
      <w:pPr>
        <w:pStyle w:val="yHeading5"/>
      </w:pPr>
      <w:bookmarkStart w:id="714" w:name="_Toc398890280"/>
      <w:bookmarkStart w:id="715" w:name="_Toc424284715"/>
      <w:r>
        <w:rPr>
          <w:rStyle w:val="CharSClsNo"/>
        </w:rPr>
        <w:t>1</w:t>
      </w:r>
      <w:r>
        <w:t>.</w:t>
      </w:r>
      <w:r>
        <w:tab/>
        <w:t>Terms used</w:t>
      </w:r>
      <w:bookmarkEnd w:id="714"/>
      <w:bookmarkEnd w:id="715"/>
    </w:p>
    <w:p>
      <w:pPr>
        <w:pStyle w:val="ySubsection"/>
      </w:pPr>
      <w:r>
        <w:tab/>
      </w:r>
      <w:r>
        <w:tab/>
        <w:t xml:space="preserve">In this Schedule — </w:t>
      </w:r>
    </w:p>
    <w:p>
      <w:pPr>
        <w:pStyle w:val="yDefstart"/>
      </w:pPr>
      <w:r>
        <w:tab/>
      </w:r>
      <w:r>
        <w:rPr>
          <w:rStyle w:val="CharDefText"/>
        </w:rPr>
        <w:t>Government agreement</w:t>
      </w:r>
      <w:r>
        <w:t xml:space="preserve"> has the meaning given in Schedule 8 clause 1;</w:t>
      </w:r>
    </w:p>
    <w:p>
      <w:pPr>
        <w:pStyle w:val="yDefstart"/>
      </w:pPr>
      <w:r>
        <w:tab/>
      </w:r>
      <w:r>
        <w:rPr>
          <w:rStyle w:val="CharDefText"/>
        </w:rPr>
        <w:t>port</w:t>
      </w:r>
      <w:r>
        <w:rPr>
          <w:b/>
          <w:i/>
        </w:rPr>
        <w:t xml:space="preserve"> </w:t>
      </w:r>
      <w:r>
        <w:t>means a port other than a port named in regulations referred to in the</w:t>
      </w:r>
      <w:r>
        <w:rPr>
          <w:i/>
        </w:rPr>
        <w:t xml:space="preserve"> Shipping and Pilotage Act 1967 </w:t>
      </w:r>
      <w:r>
        <w:t>section 10(1a);</w:t>
      </w:r>
    </w:p>
    <w:p>
      <w:pPr>
        <w:pStyle w:val="yDefstart"/>
      </w:pPr>
      <w:r>
        <w:rPr>
          <w:i/>
        </w:rPr>
        <w:tab/>
      </w:r>
      <w:r>
        <w:rPr>
          <w:rStyle w:val="CharDefText"/>
        </w:rPr>
        <w:t>port addition</w:t>
      </w:r>
      <w:r>
        <w:rPr>
          <w:b/>
          <w:i/>
        </w:rPr>
        <w:t xml:space="preserve"> </w:t>
      </w:r>
      <w:r>
        <w:t>means the placing of a port under the control and management of a port authority by regulations referred to in clause 2(1), whether or not those regulations have come into operation.</w:t>
      </w:r>
    </w:p>
    <w:p>
      <w:pPr>
        <w:pStyle w:val="yFootnotesection"/>
        <w:rPr>
          <w:i w:val="0"/>
        </w:rPr>
      </w:pPr>
      <w:r>
        <w:tab/>
        <w:t>[Clause 1 inserted by No. 9 of 2014 s. 36.]</w:t>
      </w:r>
    </w:p>
    <w:p>
      <w:pPr>
        <w:pStyle w:val="yHeading5"/>
      </w:pPr>
      <w:bookmarkStart w:id="716" w:name="_Toc398890281"/>
      <w:bookmarkStart w:id="717" w:name="_Toc424284716"/>
      <w:r>
        <w:rPr>
          <w:rStyle w:val="CharSClsNo"/>
        </w:rPr>
        <w:t>2</w:t>
      </w:r>
      <w:r>
        <w:t>.</w:t>
      </w:r>
      <w:r>
        <w:tab/>
        <w:t>Regulations may place a port under the control and management of a port authority</w:t>
      </w:r>
      <w:bookmarkEnd w:id="716"/>
      <w:bookmarkEnd w:id="717"/>
    </w:p>
    <w:p>
      <w:pPr>
        <w:pStyle w:val="ySubsection"/>
      </w:pPr>
      <w:r>
        <w:tab/>
        <w:t>(1)</w:t>
      </w:r>
      <w:r>
        <w:tab/>
        <w:t>Regulations may place a port specified in the regulations under the control and management of a port authority specified in the regulations.</w:t>
      </w:r>
    </w:p>
    <w:p>
      <w:pPr>
        <w:pStyle w:val="ySubsection"/>
      </w:pPr>
      <w:r>
        <w:tab/>
        <w:t>(2)</w:t>
      </w:r>
      <w:r>
        <w:tab/>
        <w:t>Regulations may prescribe any matter that may be necessary or expedient to provide for, implement or facilitate a port addition.</w:t>
      </w:r>
    </w:p>
    <w:p>
      <w:pPr>
        <w:pStyle w:val="yFootnotesection"/>
      </w:pPr>
      <w:r>
        <w:tab/>
        <w:t>[Clause 2 inserted by No. 9 of 2014 s. 36.]</w:t>
      </w:r>
    </w:p>
    <w:p>
      <w:pPr>
        <w:pStyle w:val="yHeading5"/>
      </w:pPr>
      <w:bookmarkStart w:id="718" w:name="_Toc398890282"/>
      <w:bookmarkStart w:id="719" w:name="_Toc424284717"/>
      <w:r>
        <w:rPr>
          <w:rStyle w:val="CharSClsNo"/>
        </w:rPr>
        <w:t>3</w:t>
      </w:r>
      <w:r>
        <w:t>.</w:t>
      </w:r>
      <w:r>
        <w:tab/>
        <w:t>Port authority to implement or facilitate port addition</w:t>
      </w:r>
      <w:bookmarkEnd w:id="718"/>
      <w:bookmarkEnd w:id="719"/>
    </w:p>
    <w:p>
      <w:pPr>
        <w:pStyle w:val="ySubsection"/>
      </w:pPr>
      <w:r>
        <w:tab/>
        <w:t>(1)</w:t>
      </w:r>
      <w:r>
        <w:tab/>
        <w:t>If a port addition places, or will place, a port under the control and management of a port authority, the port authority is to do anything that is prescribed by regulations referred to in clause 2 and anything else that may be necessary or expedient to provide for, implement or facilitate the port addition.</w:t>
      </w:r>
    </w:p>
    <w:p>
      <w:pPr>
        <w:pStyle w:val="ySubsection"/>
        <w:keepNext/>
      </w:pPr>
      <w:r>
        <w:tab/>
        <w:t>(2)</w:t>
      </w:r>
      <w:r>
        <w:tab/>
        <w:t>The function conferred on a port authority by subclause (1) is in addition to any other function that it has.</w:t>
      </w:r>
    </w:p>
    <w:p>
      <w:pPr>
        <w:pStyle w:val="yFootnotesection"/>
      </w:pPr>
      <w:r>
        <w:tab/>
        <w:t>[Clause 3 inserted by No. 9 of 2014 s. 36.]</w:t>
      </w:r>
    </w:p>
    <w:p>
      <w:pPr>
        <w:pStyle w:val="yHeading5"/>
      </w:pPr>
      <w:bookmarkStart w:id="720" w:name="_Toc398890283"/>
      <w:bookmarkStart w:id="721" w:name="_Toc424284718"/>
      <w:r>
        <w:rPr>
          <w:rStyle w:val="CharSClsNo"/>
        </w:rPr>
        <w:t>4</w:t>
      </w:r>
      <w:r>
        <w:t>.</w:t>
      </w:r>
      <w:r>
        <w:tab/>
        <w:t>Government agreements not affected</w:t>
      </w:r>
      <w:bookmarkEnd w:id="720"/>
      <w:bookmarkEnd w:id="721"/>
    </w:p>
    <w:p>
      <w:pPr>
        <w:pStyle w:val="ySubsection"/>
      </w:pPr>
      <w:r>
        <w:tab/>
        <w:t>(1)</w:t>
      </w:r>
      <w:r>
        <w:tab/>
        <w:t>The provisions of this Schedule or regulations referred to in this Schedule do not prejudice or in any way affect any right or obligation of a party to a Government agreement.</w:t>
      </w:r>
    </w:p>
    <w:p>
      <w:pPr>
        <w:pStyle w:val="ySubsection"/>
      </w:pPr>
      <w:r>
        <w:tab/>
        <w:t>(2)</w:t>
      </w:r>
      <w:r>
        <w:tab/>
        <w:t>This clause does not limit or otherwise affect the operation of Schedule 6 clauses 1.3 and 2.3.</w:t>
      </w:r>
    </w:p>
    <w:p>
      <w:pPr>
        <w:pStyle w:val="yFootnotesection"/>
      </w:pPr>
      <w:r>
        <w:tab/>
        <w:t>[Clause 4 inserted by No. 9 of 2014 s. 36.]</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3"/>
          <w:headerReference w:type="default" r:id="rId44"/>
          <w:pgSz w:w="11907" w:h="16840" w:code="9"/>
          <w:pgMar w:top="2376" w:right="2405" w:bottom="3542" w:left="2405" w:header="706" w:footer="3380" w:gutter="0"/>
          <w:cols w:space="720"/>
          <w:noEndnote/>
          <w:docGrid w:linePitch="326"/>
        </w:sectPr>
      </w:pPr>
    </w:p>
    <w:p>
      <w:pPr>
        <w:pStyle w:val="nHeading2"/>
        <w:outlineLvl w:val="0"/>
      </w:pPr>
      <w:bookmarkStart w:id="722" w:name="_Toc398890284"/>
      <w:bookmarkStart w:id="723" w:name="_Toc424284719"/>
      <w:r>
        <w:t>Notes</w:t>
      </w:r>
      <w:bookmarkEnd w:id="722"/>
      <w:bookmarkEnd w:id="723"/>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Act 1999</w:t>
      </w:r>
      <w:r>
        <w:rPr>
          <w:snapToGrid w:val="0"/>
        </w:rPr>
        <w:t xml:space="preserve"> and includes the amendments made by the other written laws referred to in the following table </w:t>
      </w:r>
      <w:r>
        <w:rPr>
          <w:snapToGrid w:val="0"/>
          <w:vertAlign w:val="superscript"/>
        </w:rPr>
        <w:t>4, 6</w:t>
      </w:r>
      <w:r>
        <w:rPr>
          <w:snapToGrid w:val="0"/>
        </w:rPr>
        <w:t>.  The table also contains information about any reprint.</w:t>
      </w:r>
    </w:p>
    <w:p>
      <w:pPr>
        <w:pStyle w:val="nHeading3"/>
        <w:rPr>
          <w:snapToGrid w:val="0"/>
        </w:rPr>
      </w:pPr>
      <w:bookmarkStart w:id="724" w:name="_Toc398890285"/>
      <w:bookmarkStart w:id="725" w:name="_Toc424284720"/>
      <w:r>
        <w:rPr>
          <w:snapToGrid w:val="0"/>
        </w:rPr>
        <w:t>Compilation table</w:t>
      </w:r>
      <w:bookmarkEnd w:id="724"/>
      <w:bookmarkEnd w:id="72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spacing w:after="40"/>
              <w:ind w:right="113"/>
              <w:rPr>
                <w:i/>
              </w:rPr>
            </w:pPr>
            <w:r>
              <w:rPr>
                <w:i/>
              </w:rPr>
              <w:t>Port Authorities Act 1999</w:t>
            </w:r>
          </w:p>
        </w:tc>
        <w:tc>
          <w:tcPr>
            <w:tcW w:w="1134" w:type="dxa"/>
            <w:tcBorders>
              <w:top w:val="single" w:sz="8" w:space="0" w:color="auto"/>
              <w:bottom w:val="nil"/>
            </w:tcBorders>
          </w:tcPr>
          <w:p>
            <w:pPr>
              <w:pStyle w:val="nTable"/>
              <w:spacing w:after="40"/>
            </w:pPr>
            <w:r>
              <w:t>22 of 1999</w:t>
            </w:r>
          </w:p>
        </w:tc>
        <w:tc>
          <w:tcPr>
            <w:tcW w:w="1134" w:type="dxa"/>
            <w:tcBorders>
              <w:top w:val="single" w:sz="8" w:space="0" w:color="auto"/>
              <w:bottom w:val="nil"/>
            </w:tcBorders>
          </w:tcPr>
          <w:p>
            <w:pPr>
              <w:pStyle w:val="nTable"/>
              <w:spacing w:after="40"/>
            </w:pPr>
            <w:r>
              <w:t>29 Jun 1999</w:t>
            </w:r>
          </w:p>
        </w:tc>
        <w:tc>
          <w:tcPr>
            <w:tcW w:w="2554" w:type="dxa"/>
            <w:tcBorders>
              <w:top w:val="single" w:sz="8" w:space="0" w:color="auto"/>
              <w:bottom w:val="nil"/>
            </w:tcBorders>
          </w:tcPr>
          <w:p>
            <w:pPr>
              <w:pStyle w:val="nTable"/>
              <w:spacing w:after="40"/>
              <w:rPr>
                <w:rFonts w:ascii="Times" w:hAnsi="Times"/>
              </w:rPr>
            </w:pPr>
            <w:r>
              <w:rPr>
                <w:rFonts w:ascii="Times" w:hAnsi="Times"/>
                <w:color w:val="000000"/>
              </w:rPr>
              <w:t>s. 1 and 2: 29 Jun 1999;</w:t>
            </w:r>
            <w:r>
              <w:rPr>
                <w:rFonts w:ascii="Times" w:hAnsi="Times"/>
                <w:color w:val="000000"/>
              </w:rPr>
              <w:br/>
            </w:r>
            <w:r>
              <w:rPr>
                <w:rFonts w:ascii="Times" w:hAnsi="Times"/>
              </w:rPr>
              <w:t xml:space="preserve">Act other than s. 1 and 2 and Sch. 1 it. 2: 14 Aug 1999 (see s. 2 and </w:t>
            </w:r>
            <w:r>
              <w:rPr>
                <w:rFonts w:ascii="Times" w:hAnsi="Times"/>
                <w:i/>
              </w:rPr>
              <w:t>Gazette</w:t>
            </w:r>
            <w:r>
              <w:rPr>
                <w:rFonts w:ascii="Times" w:hAnsi="Times"/>
              </w:rPr>
              <w:t xml:space="preserve"> 13 Aug 1999 p. 3823);</w:t>
            </w:r>
            <w:r>
              <w:rPr>
                <w:rFonts w:ascii="Times" w:hAnsi="Times"/>
              </w:rPr>
              <w:br/>
              <w:t xml:space="preserve">Sch. 1 it. 2: 1 Jan 2000 (see s. 2 and </w:t>
            </w:r>
            <w:r>
              <w:rPr>
                <w:rFonts w:ascii="Times" w:hAnsi="Times"/>
                <w:i/>
              </w:rPr>
              <w:t>Gazette</w:t>
            </w:r>
            <w:r>
              <w:rPr>
                <w:rFonts w:ascii="Times" w:hAnsi="Times"/>
              </w:rPr>
              <w:t xml:space="preserve"> 24 Dec 1999 p. 6871)</w:t>
            </w:r>
          </w:p>
        </w:tc>
      </w:tr>
      <w:tr>
        <w:trPr>
          <w:cantSplit/>
        </w:trPr>
        <w:tc>
          <w:tcPr>
            <w:tcW w:w="2268" w:type="dxa"/>
            <w:tcBorders>
              <w:top w:val="nil"/>
              <w:bottom w:val="nil"/>
            </w:tcBorders>
          </w:tcPr>
          <w:p>
            <w:pPr>
              <w:pStyle w:val="nTable"/>
              <w:spacing w:after="40"/>
              <w:ind w:right="113"/>
              <w:rPr>
                <w:i/>
              </w:rPr>
            </w:pPr>
            <w:r>
              <w:rPr>
                <w:i/>
              </w:rPr>
              <w:t>State Superannuation (Transitional and Consequential Provisions) Act 2000</w:t>
            </w:r>
            <w:r>
              <w:t xml:space="preserve"> s. 58</w:t>
            </w:r>
          </w:p>
        </w:tc>
        <w:tc>
          <w:tcPr>
            <w:tcW w:w="1134" w:type="dxa"/>
            <w:tcBorders>
              <w:top w:val="nil"/>
              <w:bottom w:val="nil"/>
            </w:tcBorders>
          </w:tcPr>
          <w:p>
            <w:pPr>
              <w:pStyle w:val="nTable"/>
              <w:spacing w:after="40"/>
            </w:pPr>
            <w:r>
              <w:t>43 of 2000</w:t>
            </w:r>
          </w:p>
        </w:tc>
        <w:tc>
          <w:tcPr>
            <w:tcW w:w="1134" w:type="dxa"/>
            <w:tcBorders>
              <w:top w:val="nil"/>
              <w:bottom w:val="nil"/>
            </w:tcBorders>
          </w:tcPr>
          <w:p>
            <w:pPr>
              <w:pStyle w:val="nTable"/>
              <w:spacing w:after="40"/>
            </w:pPr>
            <w:r>
              <w:t>2 Nov 2000</w:t>
            </w:r>
          </w:p>
        </w:tc>
        <w:tc>
          <w:tcPr>
            <w:tcW w:w="2554" w:type="dxa"/>
            <w:tcBorders>
              <w:top w:val="nil"/>
              <w:bottom w:val="nil"/>
            </w:tcBorders>
          </w:tcPr>
          <w:p>
            <w:pPr>
              <w:pStyle w:val="nTable"/>
              <w:spacing w:after="40"/>
              <w:rPr>
                <w:rFonts w:ascii="Times" w:hAnsi="Times"/>
              </w:rPr>
            </w:pPr>
            <w:r>
              <w:rPr>
                <w:rFonts w:ascii="Times" w:hAnsi="Times"/>
              </w:rPr>
              <w:t xml:space="preserve">17 Feb 2001 (see s. 2(1) and </w:t>
            </w:r>
            <w:r>
              <w:rPr>
                <w:rFonts w:ascii="Times" w:hAnsi="Times"/>
                <w:i/>
              </w:rPr>
              <w:t>Gazette</w:t>
            </w:r>
            <w:r>
              <w:rPr>
                <w:rFonts w:ascii="Times" w:hAnsi="Times"/>
              </w:rPr>
              <w:t xml:space="preserve"> 16 Feb 2001 p. 903)</w:t>
            </w:r>
          </w:p>
        </w:tc>
      </w:tr>
      <w:tr>
        <w:trPr>
          <w:cantSplit/>
        </w:trPr>
        <w:tc>
          <w:tcPr>
            <w:tcW w:w="2268" w:type="dxa"/>
            <w:tcBorders>
              <w:top w:val="nil"/>
              <w:bottom w:val="nil"/>
            </w:tcBorders>
          </w:tcPr>
          <w:p>
            <w:pPr>
              <w:pStyle w:val="nTable"/>
              <w:spacing w:after="40"/>
              <w:ind w:right="113"/>
              <w:rPr>
                <w:i/>
              </w:rPr>
            </w:pPr>
            <w:r>
              <w:rPr>
                <w:i/>
              </w:rPr>
              <w:t>Corporations (Consequential Amendments) Act 2001</w:t>
            </w:r>
            <w:r>
              <w:t xml:space="preserve"> Pt. 45</w:t>
            </w:r>
          </w:p>
        </w:tc>
        <w:tc>
          <w:tcPr>
            <w:tcW w:w="1134" w:type="dxa"/>
            <w:tcBorders>
              <w:top w:val="nil"/>
              <w:bottom w:val="nil"/>
            </w:tcBorders>
          </w:tcPr>
          <w:p>
            <w:pPr>
              <w:pStyle w:val="nTable"/>
              <w:spacing w:after="40"/>
            </w:pPr>
            <w:r>
              <w:t>10 of 2001</w:t>
            </w:r>
          </w:p>
        </w:tc>
        <w:tc>
          <w:tcPr>
            <w:tcW w:w="1134" w:type="dxa"/>
            <w:tcBorders>
              <w:top w:val="nil"/>
              <w:bottom w:val="nil"/>
            </w:tcBorders>
          </w:tcPr>
          <w:p>
            <w:pPr>
              <w:pStyle w:val="nTable"/>
              <w:spacing w:after="40"/>
            </w:pPr>
            <w:r>
              <w:t>28 Jun 2001</w:t>
            </w:r>
          </w:p>
        </w:tc>
        <w:tc>
          <w:tcPr>
            <w:tcW w:w="2554" w:type="dxa"/>
            <w:tcBorders>
              <w:top w:val="nil"/>
              <w:bottom w:val="nil"/>
            </w:tcBorders>
          </w:tcPr>
          <w:p>
            <w:pPr>
              <w:pStyle w:val="nTable"/>
              <w:spacing w:after="40"/>
              <w:rPr>
                <w:rFonts w:ascii="Times" w:hAnsi="Times"/>
              </w:rPr>
            </w:pPr>
            <w:r>
              <w:rPr>
                <w:rFonts w:ascii="Times" w:hAnsi="Times"/>
              </w:rPr>
              <w:t xml:space="preserve">15 Jul 2001 (see s. 2 and </w:t>
            </w:r>
            <w:r>
              <w:rPr>
                <w:rFonts w:ascii="Times" w:hAnsi="Times"/>
                <w:i/>
              </w:rPr>
              <w:t>Gazette</w:t>
            </w:r>
            <w:r>
              <w:rPr>
                <w:rFonts w:ascii="Times" w:hAnsi="Times"/>
              </w:rPr>
              <w:t xml:space="preserve"> 29 Jun 2001 p. 3257 and Cwlth. </w:t>
            </w:r>
            <w:r>
              <w:rPr>
                <w:rFonts w:ascii="Times" w:hAnsi="Times"/>
                <w:i/>
              </w:rPr>
              <w:t>Gazette</w:t>
            </w:r>
            <w:r>
              <w:rPr>
                <w:rFonts w:ascii="Times" w:hAnsi="Times"/>
              </w:rPr>
              <w:t xml:space="preserve"> 13 Jul 2001 No. S285)</w:t>
            </w:r>
          </w:p>
        </w:tc>
      </w:tr>
      <w:tr>
        <w:trPr>
          <w:cantSplit/>
        </w:trPr>
        <w:tc>
          <w:tcPr>
            <w:tcW w:w="2268" w:type="dxa"/>
            <w:tcBorders>
              <w:top w:val="nil"/>
              <w:bottom w:val="nil"/>
            </w:tcBorders>
          </w:tcPr>
          <w:p>
            <w:pPr>
              <w:pStyle w:val="nTable"/>
              <w:spacing w:after="40"/>
              <w:ind w:right="113"/>
            </w:pPr>
            <w:r>
              <w:rPr>
                <w:i/>
              </w:rPr>
              <w:t>Labour Relations Reform Act 2002</w:t>
            </w:r>
            <w:r>
              <w:t xml:space="preserve"> s. 23</w:t>
            </w:r>
          </w:p>
        </w:tc>
        <w:tc>
          <w:tcPr>
            <w:tcW w:w="1134" w:type="dxa"/>
            <w:tcBorders>
              <w:top w:val="nil"/>
              <w:bottom w:val="nil"/>
            </w:tcBorders>
          </w:tcPr>
          <w:p>
            <w:pPr>
              <w:pStyle w:val="nTable"/>
              <w:spacing w:after="40"/>
            </w:pPr>
            <w:r>
              <w:t>20 of 2002</w:t>
            </w:r>
          </w:p>
        </w:tc>
        <w:tc>
          <w:tcPr>
            <w:tcW w:w="1134" w:type="dxa"/>
            <w:tcBorders>
              <w:top w:val="nil"/>
              <w:bottom w:val="nil"/>
            </w:tcBorders>
          </w:tcPr>
          <w:p>
            <w:pPr>
              <w:pStyle w:val="nTable"/>
              <w:spacing w:after="40"/>
            </w:pPr>
            <w:r>
              <w:t>8 Jul 2002</w:t>
            </w:r>
          </w:p>
        </w:tc>
        <w:tc>
          <w:tcPr>
            <w:tcW w:w="2554" w:type="dxa"/>
            <w:tcBorders>
              <w:top w:val="nil"/>
              <w:bottom w:val="nil"/>
            </w:tcBorders>
          </w:tcPr>
          <w:p>
            <w:pPr>
              <w:pStyle w:val="nTable"/>
              <w:spacing w:after="40"/>
            </w:pPr>
            <w:r>
              <w:t xml:space="preserve">15 Sep 2002 (see s. 2(1) and </w:t>
            </w:r>
            <w:r>
              <w:rPr>
                <w:i/>
              </w:rPr>
              <w:t>Gazette</w:t>
            </w:r>
            <w:r>
              <w:t xml:space="preserve"> 6 Sep 2002 p. 4487)</w:t>
            </w:r>
          </w:p>
        </w:tc>
      </w:tr>
      <w:tr>
        <w:trPr>
          <w:cantSplit/>
        </w:trPr>
        <w:tc>
          <w:tcPr>
            <w:tcW w:w="4536" w:type="dxa"/>
            <w:gridSpan w:val="3"/>
            <w:tcBorders>
              <w:top w:val="nil"/>
              <w:bottom w:val="nil"/>
            </w:tcBorders>
          </w:tcPr>
          <w:p>
            <w:pPr>
              <w:pStyle w:val="nTable"/>
              <w:spacing w:after="40"/>
            </w:pPr>
            <w:r>
              <w:rPr>
                <w:i/>
              </w:rPr>
              <w:t>Port Authorities (Act Amendment) Regulations 2003</w:t>
            </w:r>
            <w:r>
              <w:t xml:space="preserve"> published in </w:t>
            </w:r>
            <w:r>
              <w:rPr>
                <w:i/>
              </w:rPr>
              <w:t>Gazette</w:t>
            </w:r>
            <w:r>
              <w:t xml:space="preserve"> 4 Mar 2003 p. 711</w:t>
            </w:r>
            <w:r>
              <w:noBreakHyphen/>
              <w:t>22</w:t>
            </w:r>
          </w:p>
        </w:tc>
        <w:tc>
          <w:tcPr>
            <w:tcW w:w="2554" w:type="dxa"/>
            <w:tcBorders>
              <w:top w:val="nil"/>
              <w:bottom w:val="nil"/>
            </w:tcBorders>
          </w:tcPr>
          <w:p>
            <w:pPr>
              <w:pStyle w:val="nTable"/>
              <w:spacing w:after="40"/>
            </w:pPr>
            <w:r>
              <w:t>4 Mar 2003</w:t>
            </w:r>
          </w:p>
        </w:tc>
      </w:tr>
      <w:tr>
        <w:trPr>
          <w:cantSplit/>
        </w:trPr>
        <w:tc>
          <w:tcPr>
            <w:tcW w:w="2268" w:type="dxa"/>
            <w:tcBorders>
              <w:top w:val="nil"/>
              <w:bottom w:val="nil"/>
            </w:tcBorders>
          </w:tcPr>
          <w:p>
            <w:pPr>
              <w:pStyle w:val="nTable"/>
              <w:spacing w:after="40"/>
              <w:ind w:right="113"/>
            </w:pPr>
            <w:r>
              <w:rPr>
                <w:i/>
              </w:rPr>
              <w:t>Corporations (Consequential Amendments) Act (No. 3) 2003 </w:t>
            </w:r>
            <w:r>
              <w:t>Pt. 11</w:t>
            </w:r>
            <w:r>
              <w:rPr>
                <w:vertAlign w:val="superscript"/>
              </w:rPr>
              <w:t> 7</w:t>
            </w:r>
          </w:p>
        </w:tc>
        <w:tc>
          <w:tcPr>
            <w:tcW w:w="1134" w:type="dxa"/>
            <w:tcBorders>
              <w:top w:val="nil"/>
              <w:bottom w:val="nil"/>
            </w:tcBorders>
          </w:tcPr>
          <w:p>
            <w:pPr>
              <w:pStyle w:val="nTable"/>
              <w:spacing w:after="40"/>
            </w:pPr>
            <w:r>
              <w:t>21 of 2003</w:t>
            </w:r>
          </w:p>
        </w:tc>
        <w:tc>
          <w:tcPr>
            <w:tcW w:w="1134" w:type="dxa"/>
            <w:tcBorders>
              <w:top w:val="nil"/>
              <w:bottom w:val="nil"/>
            </w:tcBorders>
          </w:tcPr>
          <w:p>
            <w:pPr>
              <w:pStyle w:val="nTable"/>
              <w:spacing w:after="40"/>
            </w:pPr>
            <w:r>
              <w:t>23 Apr 2003</w:t>
            </w:r>
          </w:p>
        </w:tc>
        <w:tc>
          <w:tcPr>
            <w:tcW w:w="2554" w:type="dxa"/>
            <w:tcBorders>
              <w:top w:val="nil"/>
              <w:bottom w:val="nil"/>
            </w:tcBorders>
          </w:tcPr>
          <w:p>
            <w:pPr>
              <w:pStyle w:val="nTable"/>
              <w:spacing w:after="40"/>
            </w:pPr>
            <w:r>
              <w:t xml:space="preserve">11 Mar 2002 (see s. 2 and Cwlth. </w:t>
            </w:r>
            <w:r>
              <w:rPr>
                <w:i/>
              </w:rPr>
              <w:t>Gazette</w:t>
            </w:r>
            <w:r>
              <w:t xml:space="preserve"> 24 Oct 2001 No. GN42)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12 published in </w:t>
            </w:r>
            <w:r>
              <w:rPr>
                <w:i/>
                <w:spacing w:val="-2"/>
              </w:rPr>
              <w:t xml:space="preserve">Gazette </w:t>
            </w:r>
            <w:r>
              <w:t>15 Aug 2003 p. 3685</w:t>
            </w:r>
            <w:r>
              <w:noBreakHyphen/>
              <w:t>92</w:t>
            </w:r>
          </w:p>
        </w:tc>
        <w:tc>
          <w:tcPr>
            <w:tcW w:w="2554" w:type="dxa"/>
          </w:tcPr>
          <w:p>
            <w:pPr>
              <w:pStyle w:val="nTable"/>
              <w:spacing w:after="40"/>
            </w:pPr>
            <w:r>
              <w:rPr>
                <w:spacing w:val="-2"/>
              </w:rPr>
              <w:t>15 Sep 2003 (see r. 2)</w:t>
            </w:r>
          </w:p>
        </w:tc>
      </w:tr>
      <w:tr>
        <w:trPr>
          <w:cantSplit/>
        </w:trPr>
        <w:tc>
          <w:tcPr>
            <w:tcW w:w="2268" w:type="dxa"/>
            <w:tcBorders>
              <w:top w:val="nil"/>
              <w:bottom w:val="nil"/>
            </w:tcBorders>
          </w:tcPr>
          <w:p>
            <w:pPr>
              <w:pStyle w:val="nTable"/>
              <w:spacing w:after="40"/>
              <w:ind w:right="113"/>
            </w:pPr>
            <w:r>
              <w:rPr>
                <w:i/>
              </w:rPr>
              <w:t>Ports and Marine Legislation Amendment Act 2003</w:t>
            </w:r>
            <w:r>
              <w:t xml:space="preserve"> Pt. 2 </w:t>
            </w:r>
            <w:r>
              <w:rPr>
                <w:vertAlign w:val="superscript"/>
              </w:rPr>
              <w:t>2</w:t>
            </w:r>
          </w:p>
        </w:tc>
        <w:tc>
          <w:tcPr>
            <w:tcW w:w="1134" w:type="dxa"/>
            <w:tcBorders>
              <w:top w:val="nil"/>
              <w:bottom w:val="nil"/>
            </w:tcBorders>
          </w:tcPr>
          <w:p>
            <w:pPr>
              <w:pStyle w:val="nTable"/>
              <w:spacing w:after="40"/>
            </w:pPr>
            <w:r>
              <w:t>71 of 2003</w:t>
            </w:r>
          </w:p>
        </w:tc>
        <w:tc>
          <w:tcPr>
            <w:tcW w:w="1134" w:type="dxa"/>
            <w:tcBorders>
              <w:top w:val="nil"/>
              <w:bottom w:val="nil"/>
            </w:tcBorders>
          </w:tcPr>
          <w:p>
            <w:pPr>
              <w:pStyle w:val="nTable"/>
              <w:spacing w:after="40"/>
            </w:pPr>
            <w:r>
              <w:t>15 Dec 2003</w:t>
            </w:r>
          </w:p>
        </w:tc>
        <w:tc>
          <w:tcPr>
            <w:tcW w:w="2554" w:type="dxa"/>
            <w:tcBorders>
              <w:top w:val="nil"/>
              <w:bottom w:val="nil"/>
            </w:tcBorders>
          </w:tcPr>
          <w:p>
            <w:pPr>
              <w:pStyle w:val="nTable"/>
              <w:spacing w:after="40"/>
            </w:pPr>
            <w:r>
              <w:t>s. 5 and 6: 14 Aug 1999 (see s. 2(2));</w:t>
            </w:r>
            <w:r>
              <w:br/>
              <w:t>s. 4, 8 and 9: 15 Dec 2003 (see s. 2(1));</w:t>
            </w:r>
            <w:r>
              <w:br/>
              <w:t xml:space="preserve">s. 7: 14 Feb 2004 (see s. 2(3) and </w:t>
            </w:r>
            <w:r>
              <w:rPr>
                <w:i/>
              </w:rPr>
              <w:t>Gazette</w:t>
            </w:r>
            <w:r>
              <w:t xml:space="preserve"> 13 Feb 2004 p. 537)</w:t>
            </w:r>
          </w:p>
        </w:tc>
      </w:tr>
      <w:tr>
        <w:trPr>
          <w:cantSplit/>
        </w:trPr>
        <w:tc>
          <w:tcPr>
            <w:tcW w:w="2268" w:type="dxa"/>
            <w:tcBorders>
              <w:top w:val="nil"/>
              <w:bottom w:val="nil"/>
            </w:tcBorders>
          </w:tcPr>
          <w:p>
            <w:pPr>
              <w:pStyle w:val="nTable"/>
              <w:spacing w:after="40"/>
              <w:ind w:right="113"/>
            </w:pPr>
            <w:r>
              <w:rPr>
                <w:i/>
              </w:rPr>
              <w:t>Statutes (Repeals and Minor Amendments) Act 2003</w:t>
            </w:r>
            <w:r>
              <w:t xml:space="preserve"> s. 93</w:t>
            </w:r>
          </w:p>
        </w:tc>
        <w:tc>
          <w:tcPr>
            <w:tcW w:w="1134" w:type="dxa"/>
            <w:tcBorders>
              <w:top w:val="nil"/>
              <w:bottom w:val="nil"/>
            </w:tcBorders>
          </w:tcPr>
          <w:p>
            <w:pPr>
              <w:pStyle w:val="nTable"/>
              <w:spacing w:after="40"/>
            </w:pPr>
            <w:r>
              <w:t>74 of 2003</w:t>
            </w:r>
          </w:p>
        </w:tc>
        <w:tc>
          <w:tcPr>
            <w:tcW w:w="1134" w:type="dxa"/>
            <w:tcBorders>
              <w:top w:val="nil"/>
              <w:bottom w:val="nil"/>
            </w:tcBorders>
          </w:tcPr>
          <w:p>
            <w:pPr>
              <w:pStyle w:val="nTable"/>
              <w:spacing w:after="40"/>
            </w:pPr>
            <w:r>
              <w:t>15 Dec 2003</w:t>
            </w:r>
          </w:p>
        </w:tc>
        <w:tc>
          <w:tcPr>
            <w:tcW w:w="2554" w:type="dxa"/>
            <w:tcBorders>
              <w:top w:val="nil"/>
              <w:bottom w:val="nil"/>
            </w:tcBorders>
          </w:tcPr>
          <w:p>
            <w:pPr>
              <w:pStyle w:val="nTable"/>
              <w:spacing w:after="40"/>
            </w:pPr>
            <w:r>
              <w:rPr>
                <w:spacing w:val="-2"/>
              </w:rPr>
              <w:t>15 Dec 2003 (see s. 2)</w:t>
            </w:r>
          </w:p>
        </w:tc>
      </w:tr>
      <w:tr>
        <w:trPr>
          <w:cantSplit/>
        </w:trPr>
        <w:tc>
          <w:tcPr>
            <w:tcW w:w="2268" w:type="dxa"/>
            <w:tcBorders>
              <w:top w:val="nil"/>
              <w:bottom w:val="nil"/>
            </w:tcBorders>
          </w:tcPr>
          <w:p>
            <w:pPr>
              <w:pStyle w:val="nTable"/>
              <w:spacing w:after="40"/>
              <w:ind w:right="113"/>
              <w:rPr>
                <w:i/>
              </w:rPr>
            </w:pPr>
            <w:r>
              <w:rPr>
                <w:i/>
              </w:rPr>
              <w:t xml:space="preserve">Criminal Code Amendment Act 2004 </w:t>
            </w:r>
            <w:r>
              <w:t>s. 58</w:t>
            </w:r>
          </w:p>
        </w:tc>
        <w:tc>
          <w:tcPr>
            <w:tcW w:w="1134" w:type="dxa"/>
            <w:tcBorders>
              <w:top w:val="nil"/>
              <w:bottom w:val="nil"/>
            </w:tcBorders>
          </w:tcPr>
          <w:p>
            <w:pPr>
              <w:pStyle w:val="nTable"/>
              <w:spacing w:after="40"/>
            </w:pPr>
            <w:r>
              <w:t>4 of 2004</w:t>
            </w:r>
          </w:p>
        </w:tc>
        <w:tc>
          <w:tcPr>
            <w:tcW w:w="1134" w:type="dxa"/>
            <w:tcBorders>
              <w:top w:val="nil"/>
              <w:bottom w:val="nil"/>
            </w:tcBorders>
          </w:tcPr>
          <w:p>
            <w:pPr>
              <w:pStyle w:val="nTable"/>
              <w:spacing w:after="40"/>
            </w:pPr>
            <w:r>
              <w:t>23 Apr 2004</w:t>
            </w:r>
          </w:p>
        </w:tc>
        <w:tc>
          <w:tcPr>
            <w:tcW w:w="2554" w:type="dxa"/>
            <w:tcBorders>
              <w:top w:val="nil"/>
              <w:bottom w:val="nil"/>
            </w:tcBorders>
          </w:tcPr>
          <w:p>
            <w:pPr>
              <w:pStyle w:val="nTable"/>
              <w:spacing w:after="40"/>
              <w:rPr>
                <w:spacing w:val="-2"/>
              </w:rPr>
            </w:pPr>
            <w:r>
              <w:rPr>
                <w:spacing w:val="-2"/>
              </w:rPr>
              <w:t>21 May 2004 (see s. 2)</w:t>
            </w:r>
          </w:p>
        </w:tc>
      </w:tr>
      <w:tr>
        <w:trPr>
          <w:cantSplit/>
        </w:trPr>
        <w:tc>
          <w:tcPr>
            <w:tcW w:w="2268" w:type="dxa"/>
            <w:tcBorders>
              <w:top w:val="nil"/>
              <w:bottom w:val="nil"/>
            </w:tcBorders>
          </w:tcPr>
          <w:p>
            <w:pPr>
              <w:pStyle w:val="nTable"/>
              <w:spacing w:after="40"/>
              <w:ind w:right="113"/>
              <w:rPr>
                <w:i/>
              </w:rPr>
            </w:pPr>
            <w:r>
              <w:rPr>
                <w:bCs/>
                <w:i/>
                <w:iCs/>
                <w:snapToGrid w:val="0"/>
              </w:rPr>
              <w:t>Dangerous Goods Safety Act 2004</w:t>
            </w:r>
            <w:r>
              <w:rPr>
                <w:bCs/>
                <w:i/>
                <w:snapToGrid w:val="0"/>
              </w:rPr>
              <w:t xml:space="preserve"> </w:t>
            </w:r>
            <w:r>
              <w:rPr>
                <w:bCs/>
                <w:iCs/>
                <w:snapToGrid w:val="0"/>
              </w:rPr>
              <w:t>s. 70</w:t>
            </w:r>
          </w:p>
        </w:tc>
        <w:tc>
          <w:tcPr>
            <w:tcW w:w="1134" w:type="dxa"/>
            <w:tcBorders>
              <w:top w:val="nil"/>
              <w:bottom w:val="nil"/>
            </w:tcBorders>
          </w:tcPr>
          <w:p>
            <w:pPr>
              <w:pStyle w:val="nTable"/>
              <w:spacing w:after="40"/>
            </w:pPr>
            <w:r>
              <w:rPr>
                <w:bCs/>
                <w:snapToGrid w:val="0"/>
              </w:rPr>
              <w:t>7 of 2004</w:t>
            </w:r>
          </w:p>
        </w:tc>
        <w:tc>
          <w:tcPr>
            <w:tcW w:w="1134" w:type="dxa"/>
            <w:tcBorders>
              <w:top w:val="nil"/>
              <w:bottom w:val="nil"/>
            </w:tcBorders>
          </w:tcPr>
          <w:p>
            <w:pPr>
              <w:pStyle w:val="nTable"/>
              <w:spacing w:after="40"/>
            </w:pPr>
            <w:r>
              <w:rPr>
                <w:bCs/>
              </w:rPr>
              <w:t>10 Jun 2004</w:t>
            </w:r>
          </w:p>
        </w:tc>
        <w:tc>
          <w:tcPr>
            <w:tcW w:w="2554" w:type="dxa"/>
            <w:tcBorders>
              <w:top w:val="nil"/>
              <w:bottom w:val="nil"/>
            </w:tcBorders>
          </w:tcPr>
          <w:p>
            <w:pPr>
              <w:pStyle w:val="nTable"/>
              <w:spacing w:after="40"/>
              <w:rPr>
                <w:spacing w:val="-2"/>
              </w:rPr>
            </w:pPr>
            <w:r>
              <w:rPr>
                <w:bCs/>
                <w:snapToGrid w:val="0"/>
              </w:rPr>
              <w:t xml:space="preserve">1 Mar 2008 (see s. 2 and </w:t>
            </w:r>
            <w:r>
              <w:rPr>
                <w:bCs/>
                <w:i/>
                <w:iCs/>
                <w:snapToGrid w:val="0"/>
              </w:rPr>
              <w:t>Gazette</w:t>
            </w:r>
            <w:r>
              <w:rPr>
                <w:bCs/>
                <w:snapToGrid w:val="0"/>
              </w:rPr>
              <w:t xml:space="preserve"> 29 Feb 2008 p. 669)</w:t>
            </w:r>
          </w:p>
        </w:tc>
      </w:tr>
      <w:tr>
        <w:trPr>
          <w:cantSplit/>
        </w:trPr>
        <w:tc>
          <w:tcPr>
            <w:tcW w:w="7090" w:type="dxa"/>
            <w:gridSpan w:val="4"/>
            <w:tcBorders>
              <w:top w:val="nil"/>
              <w:bottom w:val="nil"/>
            </w:tcBorders>
          </w:tcPr>
          <w:p>
            <w:pPr>
              <w:pStyle w:val="nTable"/>
              <w:spacing w:after="40"/>
              <w:rPr>
                <w:spacing w:val="-2"/>
              </w:rPr>
            </w:pPr>
            <w:r>
              <w:rPr>
                <w:b/>
                <w:spacing w:val="-2"/>
              </w:rPr>
              <w:t xml:space="preserve">Reprint 1: The </w:t>
            </w:r>
            <w:r>
              <w:rPr>
                <w:b/>
                <w:i/>
                <w:spacing w:val="-2"/>
              </w:rPr>
              <w:t>Port Authorities Act 1999</w:t>
            </w:r>
            <w:r>
              <w:rPr>
                <w:b/>
                <w:spacing w:val="-2"/>
              </w:rPr>
              <w:t xml:space="preserve"> as at 1 Oct 2004</w:t>
            </w:r>
            <w:r>
              <w:rPr>
                <w:spacing w:val="-2"/>
              </w:rPr>
              <w:t xml:space="preserve">  (includes amendments listed above except those in the </w:t>
            </w:r>
            <w:r>
              <w:rPr>
                <w:bCs/>
                <w:i/>
                <w:iCs/>
                <w:snapToGrid w:val="0"/>
              </w:rPr>
              <w:t>Dangerous Goods Safety Act 2004</w:t>
            </w:r>
            <w:r>
              <w:rPr>
                <w:spacing w:val="-2"/>
              </w:rPr>
              <w:t>)</w:t>
            </w:r>
          </w:p>
        </w:tc>
      </w:tr>
      <w:tr>
        <w:trPr>
          <w:cantSplit/>
        </w:trPr>
        <w:tc>
          <w:tcPr>
            <w:tcW w:w="2268" w:type="dxa"/>
            <w:tcBorders>
              <w:top w:val="nil"/>
              <w:bottom w:val="nil"/>
            </w:tcBorders>
          </w:tcPr>
          <w:p>
            <w:pPr>
              <w:pStyle w:val="nTable"/>
              <w:spacing w:after="40"/>
              <w:ind w:right="113"/>
              <w:rPr>
                <w:i/>
              </w:rPr>
            </w:pPr>
            <w:r>
              <w:rPr>
                <w:i/>
                <w:snapToGrid w:val="0"/>
              </w:rPr>
              <w:t>Criminal Procedure and Appeals (Consequential and Other Provisions) Act 2004</w:t>
            </w:r>
            <w:r>
              <w:rPr>
                <w:snapToGrid w:val="0"/>
              </w:rPr>
              <w:t xml:space="preserve"> s. 80</w:t>
            </w:r>
          </w:p>
        </w:tc>
        <w:tc>
          <w:tcPr>
            <w:tcW w:w="1134" w:type="dxa"/>
            <w:tcBorders>
              <w:top w:val="nil"/>
              <w:bottom w:val="nil"/>
            </w:tcBorders>
          </w:tcPr>
          <w:p>
            <w:pPr>
              <w:pStyle w:val="nTable"/>
              <w:spacing w:after="40"/>
            </w:pPr>
            <w:r>
              <w:rPr>
                <w:snapToGrid w:val="0"/>
              </w:rPr>
              <w:t>84 of 2004</w:t>
            </w:r>
          </w:p>
        </w:tc>
        <w:tc>
          <w:tcPr>
            <w:tcW w:w="1134" w:type="dxa"/>
            <w:tcBorders>
              <w:top w:val="nil"/>
              <w:bottom w:val="nil"/>
            </w:tcBorders>
          </w:tcPr>
          <w:p>
            <w:pPr>
              <w:pStyle w:val="nTable"/>
              <w:spacing w:after="40"/>
            </w:pPr>
            <w:r>
              <w:t>16 Dec 2004</w:t>
            </w:r>
          </w:p>
        </w:tc>
        <w:tc>
          <w:tcPr>
            <w:tcW w:w="2554" w:type="dxa"/>
            <w:tcBorders>
              <w:top w:val="nil"/>
              <w:bottom w:val="nil"/>
            </w:tcBorders>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Borders>
              <w:top w:val="nil"/>
              <w:bottom w:val="nil"/>
            </w:tcBorders>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Borders>
              <w:top w:val="nil"/>
              <w:bottom w:val="nil"/>
            </w:tcBorders>
          </w:tcPr>
          <w:p>
            <w:pPr>
              <w:pStyle w:val="nTable"/>
              <w:spacing w:after="40"/>
              <w:rPr>
                <w:snapToGrid w:val="0"/>
              </w:rPr>
            </w:pPr>
            <w:r>
              <w:rPr>
                <w:snapToGrid w:val="0"/>
              </w:rPr>
              <w:t>38 of 2005</w:t>
            </w:r>
          </w:p>
        </w:tc>
        <w:tc>
          <w:tcPr>
            <w:tcW w:w="1134" w:type="dxa"/>
            <w:tcBorders>
              <w:top w:val="nil"/>
              <w:bottom w:val="nil"/>
            </w:tcBorders>
          </w:tcPr>
          <w:p>
            <w:pPr>
              <w:pStyle w:val="nTable"/>
              <w:spacing w:after="40"/>
            </w:pPr>
            <w:r>
              <w:t>12 Dec 2005</w:t>
            </w:r>
          </w:p>
        </w:tc>
        <w:tc>
          <w:tcPr>
            <w:tcW w:w="2554" w:type="dxa"/>
            <w:tcBorders>
              <w:top w:val="nil"/>
              <w:bottom w:val="nil"/>
            </w:tcBorders>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Financial Legislation Amendment and Repeal Act 2006 </w:t>
            </w:r>
            <w:r>
              <w:rPr>
                <w:snapToGrid w:val="0"/>
              </w:rPr>
              <w:t>s. 4, 5(1), 11 and Sch. 1 cl. 131</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4"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90" w:type="dxa"/>
            <w:gridSpan w:val="4"/>
            <w:tcBorders>
              <w:top w:val="nil"/>
              <w:bottom w:val="nil"/>
            </w:tcBorders>
          </w:tcPr>
          <w:p>
            <w:pPr>
              <w:pStyle w:val="nTable"/>
              <w:spacing w:after="40"/>
              <w:rPr>
                <w:snapToGrid w:val="0"/>
              </w:rPr>
            </w:pPr>
            <w:r>
              <w:rPr>
                <w:b/>
                <w:spacing w:val="-2"/>
              </w:rPr>
              <w:t xml:space="preserve">Reprint 2: The </w:t>
            </w:r>
            <w:r>
              <w:rPr>
                <w:b/>
                <w:i/>
                <w:spacing w:val="-2"/>
              </w:rPr>
              <w:t>Port Authorities Act 1999</w:t>
            </w:r>
            <w:r>
              <w:rPr>
                <w:b/>
                <w:spacing w:val="-2"/>
              </w:rPr>
              <w:t xml:space="preserve"> as at 4 Jul 2008</w:t>
            </w:r>
            <w:r>
              <w:rPr>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102</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4"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4" w:type="dxa"/>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Public Sector Reform Act 2010</w:t>
            </w:r>
            <w:r>
              <w:rPr>
                <w:i/>
                <w:iCs/>
                <w:snapToGrid w:val="0"/>
              </w:rPr>
              <w:t xml:space="preserve"> </w:t>
            </w:r>
            <w:r>
              <w:rPr>
                <w:snapToGrid w:val="0"/>
              </w:rPr>
              <w:t>s. 81 and 89</w:t>
            </w:r>
          </w:p>
        </w:tc>
        <w:tc>
          <w:tcPr>
            <w:tcW w:w="1134" w:type="dxa"/>
          </w:tcPr>
          <w:p>
            <w:pPr>
              <w:pStyle w:val="nTable"/>
              <w:spacing w:after="40"/>
            </w:pPr>
            <w:r>
              <w:rPr>
                <w:snapToGrid w:val="0"/>
              </w:rPr>
              <w:t>39 of 2010</w:t>
            </w:r>
          </w:p>
        </w:tc>
        <w:tc>
          <w:tcPr>
            <w:tcW w:w="1134" w:type="dxa"/>
          </w:tcPr>
          <w:p>
            <w:pPr>
              <w:pStyle w:val="nTable"/>
              <w:spacing w:after="40"/>
            </w:pPr>
            <w:r>
              <w:rPr>
                <w:snapToGrid w:val="0"/>
              </w:rPr>
              <w:t>1 Oct 2010</w:t>
            </w:r>
          </w:p>
        </w:tc>
        <w:tc>
          <w:tcPr>
            <w:tcW w:w="2554"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Building Act 2011</w:t>
            </w:r>
            <w:r>
              <w:rPr>
                <w:snapToGrid w:val="0"/>
              </w:rPr>
              <w:t xml:space="preserve"> s. 169</w:t>
            </w:r>
          </w:p>
        </w:tc>
        <w:tc>
          <w:tcPr>
            <w:tcW w:w="1134" w:type="dxa"/>
            <w:tcBorders>
              <w:top w:val="nil"/>
              <w:bottom w:val="nil"/>
            </w:tcBorders>
            <w:shd w:val="clear" w:color="auto" w:fill="auto"/>
          </w:tcPr>
          <w:p>
            <w:pPr>
              <w:pStyle w:val="nTable"/>
              <w:spacing w:after="40"/>
              <w:rPr>
                <w:snapToGrid w:val="0"/>
              </w:rPr>
            </w:pPr>
            <w:r>
              <w:rPr>
                <w:snapToGrid w:val="0"/>
              </w:rPr>
              <w:t>24 of 2011</w:t>
            </w:r>
          </w:p>
        </w:tc>
        <w:tc>
          <w:tcPr>
            <w:tcW w:w="1134" w:type="dxa"/>
            <w:tcBorders>
              <w:top w:val="nil"/>
              <w:bottom w:val="nil"/>
            </w:tcBorders>
            <w:shd w:val="clear" w:color="auto" w:fill="auto"/>
          </w:tcPr>
          <w:p>
            <w:pPr>
              <w:pStyle w:val="nTable"/>
              <w:spacing w:after="40"/>
              <w:rPr>
                <w:snapToGrid w:val="0"/>
              </w:rPr>
            </w:pPr>
            <w:r>
              <w:rPr>
                <w:snapToGrid w:val="0"/>
              </w:rPr>
              <w:t>11 Jul 2011</w:t>
            </w:r>
          </w:p>
        </w:tc>
        <w:tc>
          <w:tcPr>
            <w:tcW w:w="2554" w:type="dxa"/>
            <w:tcBorders>
              <w:top w:val="nil"/>
              <w:bottom w:val="nil"/>
            </w:tcBorders>
            <w:shd w:val="clear" w:color="auto" w:fill="auto"/>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cantSplit/>
        </w:trPr>
        <w:tc>
          <w:tcPr>
            <w:tcW w:w="7090" w:type="dxa"/>
            <w:gridSpan w:val="4"/>
            <w:tcBorders>
              <w:top w:val="nil"/>
              <w:bottom w:val="nil"/>
            </w:tcBorders>
            <w:shd w:val="clear" w:color="auto" w:fill="auto"/>
          </w:tcPr>
          <w:p>
            <w:pPr>
              <w:pStyle w:val="nTable"/>
              <w:spacing w:after="40"/>
              <w:rPr>
                <w:snapToGrid w:val="0"/>
              </w:rPr>
            </w:pPr>
            <w:r>
              <w:rPr>
                <w:b/>
                <w:spacing w:val="-2"/>
              </w:rPr>
              <w:t xml:space="preserve">Reprint 3: The </w:t>
            </w:r>
            <w:r>
              <w:rPr>
                <w:b/>
                <w:i/>
                <w:spacing w:val="-2"/>
              </w:rPr>
              <w:t>Port Authorities Act 1999</w:t>
            </w:r>
            <w:r>
              <w:rPr>
                <w:b/>
                <w:spacing w:val="-2"/>
              </w:rPr>
              <w:t xml:space="preserve"> as at 7 Sep 2012</w:t>
            </w:r>
            <w:r>
              <w:rPr>
                <w:spacing w:val="-2"/>
              </w:rPr>
              <w:t xml:space="preserve"> (includes amendments listed above)</w:t>
            </w:r>
          </w:p>
        </w:tc>
      </w:tr>
      <w:tr>
        <w:trPr>
          <w:cantSplit/>
        </w:trPr>
        <w:tc>
          <w:tcPr>
            <w:tcW w:w="2268" w:type="dxa"/>
            <w:tcBorders>
              <w:top w:val="nil"/>
              <w:bottom w:val="single" w:sz="4" w:space="0" w:color="auto"/>
            </w:tcBorders>
            <w:shd w:val="clear" w:color="auto" w:fill="auto"/>
          </w:tcPr>
          <w:p>
            <w:pPr>
              <w:pStyle w:val="nTable"/>
              <w:spacing w:after="40"/>
              <w:ind w:right="113"/>
              <w:rPr>
                <w:i/>
                <w:snapToGrid w:val="0"/>
              </w:rPr>
            </w:pPr>
            <w:r>
              <w:rPr>
                <w:i/>
                <w:snapToGrid w:val="0"/>
              </w:rPr>
              <w:t>Ports Legislation Amendment Act 2014</w:t>
            </w:r>
          </w:p>
        </w:tc>
        <w:tc>
          <w:tcPr>
            <w:tcW w:w="1134" w:type="dxa"/>
            <w:tcBorders>
              <w:top w:val="nil"/>
              <w:bottom w:val="single" w:sz="4" w:space="0" w:color="auto"/>
            </w:tcBorders>
            <w:shd w:val="clear" w:color="auto" w:fill="auto"/>
          </w:tcPr>
          <w:p>
            <w:pPr>
              <w:pStyle w:val="nTable"/>
              <w:spacing w:after="40"/>
              <w:rPr>
                <w:snapToGrid w:val="0"/>
              </w:rPr>
            </w:pPr>
            <w:r>
              <w:rPr>
                <w:snapToGrid w:val="0"/>
              </w:rPr>
              <w:t>9 of 2014</w:t>
            </w:r>
          </w:p>
        </w:tc>
        <w:tc>
          <w:tcPr>
            <w:tcW w:w="1134" w:type="dxa"/>
            <w:tcBorders>
              <w:top w:val="nil"/>
              <w:bottom w:val="single" w:sz="4" w:space="0" w:color="auto"/>
            </w:tcBorders>
            <w:shd w:val="clear" w:color="auto" w:fill="auto"/>
          </w:tcPr>
          <w:p>
            <w:pPr>
              <w:pStyle w:val="nTable"/>
              <w:spacing w:after="40"/>
              <w:rPr>
                <w:snapToGrid w:val="0"/>
              </w:rPr>
            </w:pPr>
            <w:r>
              <w:rPr>
                <w:snapToGrid w:val="0"/>
              </w:rPr>
              <w:t>20 May 2014</w:t>
            </w:r>
          </w:p>
        </w:tc>
        <w:tc>
          <w:tcPr>
            <w:tcW w:w="2554" w:type="dxa"/>
            <w:tcBorders>
              <w:top w:val="nil"/>
              <w:bottom w:val="single" w:sz="4" w:space="0" w:color="auto"/>
            </w:tcBorders>
            <w:shd w:val="clear" w:color="auto" w:fill="auto"/>
          </w:tcPr>
          <w:p>
            <w:pPr>
              <w:pStyle w:val="nTable"/>
              <w:spacing w:after="40"/>
              <w:rPr>
                <w:snapToGrid w:val="0"/>
              </w:rPr>
            </w:pPr>
            <w:r>
              <w:rPr>
                <w:snapToGrid w:val="0"/>
              </w:rPr>
              <w:t>Heading to Pt. 2, s. 3, 4(3), 5(1), 7(1), 10, 28(1), 29, 30, 32 and 35: 21 May 2014 (see s. 2(1)(b));</w:t>
            </w:r>
            <w:r>
              <w:rPr>
                <w:snapToGrid w:val="0"/>
              </w:rPr>
              <w:br/>
              <w:t>s. 4(1) and (2), 6, 7(2), 8, 9, 11</w:t>
            </w:r>
            <w:r>
              <w:rPr>
                <w:snapToGrid w:val="0"/>
              </w:rPr>
              <w:noBreakHyphen/>
              <w:t xml:space="preserve">27 and 33: 31 May 2014 (see s. 2(1)(c) and </w:t>
            </w:r>
            <w:r>
              <w:rPr>
                <w:i/>
                <w:snapToGrid w:val="0"/>
              </w:rPr>
              <w:t>Gazette</w:t>
            </w:r>
            <w:r>
              <w:rPr>
                <w:snapToGrid w:val="0"/>
              </w:rPr>
              <w:t xml:space="preserve"> 30 May 2014 p. 1680):</w:t>
            </w:r>
            <w:r>
              <w:rPr>
                <w:snapToGrid w:val="0"/>
              </w:rPr>
              <w:br/>
              <w:t>s. 4(4), 5(2), 28(2), 31(2)</w:t>
            </w:r>
            <w:r>
              <w:rPr>
                <w:snapToGrid w:val="0"/>
              </w:rPr>
              <w:noBreakHyphen/>
              <w:t xml:space="preserve">(4), 34 and 36: 1 July 2014 (see s. 2(1)(c) and (2) and </w:t>
            </w:r>
            <w:r>
              <w:rPr>
                <w:i/>
                <w:snapToGrid w:val="0"/>
              </w:rPr>
              <w:t xml:space="preserve">Gazette </w:t>
            </w:r>
            <w:r>
              <w:rPr>
                <w:snapToGrid w:val="0"/>
              </w:rPr>
              <w:t>20 Jun 2014</w:t>
            </w:r>
            <w:r>
              <w:rPr>
                <w:i/>
                <w:snapToGrid w:val="0"/>
              </w:rPr>
              <w:t xml:space="preserve"> </w:t>
            </w:r>
            <w:r>
              <w:rPr>
                <w:snapToGrid w:val="0"/>
              </w:rPr>
              <w:t>p. 2023);</w:t>
            </w:r>
            <w:r>
              <w:rPr>
                <w:snapToGrid w:val="0"/>
              </w:rPr>
              <w:br/>
              <w:t xml:space="preserve">s. 31(1): 1 Oct 2014 (see s. 2(1)(c) and </w:t>
            </w:r>
            <w:r>
              <w:rPr>
                <w:i/>
                <w:snapToGrid w:val="0"/>
              </w:rPr>
              <w:t>Gazette</w:t>
            </w:r>
            <w:r>
              <w:rPr>
                <w:snapToGrid w:val="0"/>
              </w:rPr>
              <w:t xml:space="preserve"> 19 Sep 2014 p. 3329)</w:t>
            </w:r>
          </w:p>
        </w:tc>
      </w:tr>
    </w:tbl>
    <w:p>
      <w:pPr>
        <w:pStyle w:val="nSubsection"/>
        <w:keepNext/>
        <w:spacing w:before="120"/>
      </w:pPr>
      <w:r>
        <w:rPr>
          <w:vertAlign w:val="superscript"/>
        </w:rPr>
        <w:t>2</w:t>
      </w:r>
      <w:r>
        <w:tab/>
        <w:t xml:space="preserve">The </w:t>
      </w:r>
      <w:r>
        <w:rPr>
          <w:i/>
        </w:rPr>
        <w:t>Ports and Marine Legislation Amendment Act 2003</w:t>
      </w:r>
      <w:r>
        <w:t xml:space="preserve"> s. 4(2) reads as follows:</w:t>
      </w:r>
    </w:p>
    <w:p>
      <w:pPr>
        <w:pStyle w:val="BlankOpen"/>
      </w:pPr>
    </w:p>
    <w:p>
      <w:pPr>
        <w:pStyle w:val="nzSubsection"/>
        <w:rPr>
          <w:snapToGrid w:val="0"/>
        </w:rPr>
      </w:pPr>
      <w:r>
        <w:tab/>
      </w:r>
      <w:r>
        <w:rPr>
          <w:snapToGrid w:val="0"/>
        </w:rPr>
        <w:t>(2)</w:t>
      </w:r>
      <w:r>
        <w:rPr>
          <w:snapToGrid w:val="0"/>
        </w:rPr>
        <w:tab/>
        <w:t xml:space="preserve">The amendment made by subsection (1) does not affect the operation of the </w:t>
      </w:r>
      <w:r>
        <w:rPr>
          <w:i/>
          <w:snapToGrid w:val="0"/>
        </w:rPr>
        <w:t>Port Authorities (Withdrawal and Revesting of Property) Order 2000</w:t>
      </w:r>
      <w:r>
        <w:rPr>
          <w:snapToGrid w:val="0"/>
        </w:rPr>
        <w:t xml:space="preserve"> published in the </w:t>
      </w:r>
      <w:r>
        <w:rPr>
          <w:i/>
          <w:snapToGrid w:val="0"/>
        </w:rPr>
        <w:t>Gazette</w:t>
      </w:r>
      <w:r>
        <w:rPr>
          <w:snapToGrid w:val="0"/>
        </w:rPr>
        <w:t xml:space="preserve"> on 2 June 2000.</w:t>
      </w:r>
    </w:p>
    <w:p>
      <w:pPr>
        <w:pStyle w:val="BlankClose"/>
      </w:pPr>
    </w:p>
    <w:p>
      <w:pPr>
        <w:pStyle w:val="nSubsection"/>
      </w:pPr>
      <w:r>
        <w:rPr>
          <w:vertAlign w:val="superscript"/>
        </w:rPr>
        <w:t>3</w:t>
      </w:r>
      <w:r>
        <w:tab/>
        <w:t xml:space="preserve">The </w:t>
      </w:r>
      <w:r>
        <w:rPr>
          <w:i/>
        </w:rPr>
        <w:t>Land Act 1933</w:t>
      </w:r>
      <w:r>
        <w:t xml:space="preserve"> was repealed by the </w:t>
      </w:r>
      <w:r>
        <w:rPr>
          <w:i/>
        </w:rPr>
        <w:t>Land Administration Act 1997</w:t>
      </w:r>
      <w:r>
        <w:t xml:space="preserve"> s. 281</w:t>
      </w:r>
      <w:r>
        <w:rPr>
          <w:i/>
        </w:rPr>
        <w:t>.</w:t>
      </w:r>
    </w:p>
    <w:p>
      <w:pPr>
        <w:pStyle w:val="nSubsection"/>
      </w:pPr>
      <w:r>
        <w:rPr>
          <w:vertAlign w:val="superscript"/>
        </w:rPr>
        <w:t>4</w:t>
      </w:r>
      <w:r>
        <w:tab/>
        <w:t xml:space="preserve">The </w:t>
      </w:r>
      <w:r>
        <w:rPr>
          <w:i/>
        </w:rPr>
        <w:t>Port Authorities (Consequential Provisions) Act 1999</w:t>
      </w:r>
      <w:r>
        <w:t xml:space="preserve"> s. 3 and Pt. 3 have interpretation and transitional provisions.</w:t>
      </w:r>
    </w:p>
    <w:p>
      <w:pPr>
        <w:pStyle w:val="nSubsection"/>
      </w:pPr>
      <w:r>
        <w:rPr>
          <w:vertAlign w:val="superscript"/>
        </w:rPr>
        <w:t>5</w:t>
      </w:r>
      <w:r>
        <w:tab/>
        <w:t xml:space="preserve">Lands and Surveys plans are now held by the Western Australian Land Information Authority (see the </w:t>
      </w:r>
      <w:r>
        <w:rPr>
          <w:i/>
        </w:rPr>
        <w:t>Land Information Authority Act 2006</w:t>
      </w:r>
      <w:r>
        <w:t xml:space="preserve"> s. 100).</w:t>
      </w:r>
    </w:p>
    <w:p>
      <w:pPr>
        <w:pStyle w:val="nSubsection"/>
        <w:rPr>
          <w:snapToGrid w:val="0"/>
        </w:rPr>
      </w:pPr>
      <w:r>
        <w:rPr>
          <w:snapToGrid w:val="0"/>
          <w:vertAlign w:val="superscript"/>
        </w:rPr>
        <w:t>6</w:t>
      </w:r>
      <w:r>
        <w:rPr>
          <w:snapToGrid w:val="0"/>
        </w:rPr>
        <w:tab/>
        <w:t xml:space="preserve">The amendment in the </w:t>
      </w:r>
      <w:r>
        <w:rPr>
          <w:i/>
          <w:snapToGrid w:val="0"/>
        </w:rPr>
        <w:t xml:space="preserve">State Superannuation Amendment Act 2007 </w:t>
      </w:r>
      <w:r>
        <w:rPr>
          <w:snapToGrid w:val="0"/>
        </w:rPr>
        <w:t xml:space="preserve">s. 84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keepNext/>
      </w:pPr>
      <w:r>
        <w:rPr>
          <w:vertAlign w:val="superscript"/>
        </w:rPr>
        <w:t>7</w:t>
      </w:r>
      <w:r>
        <w:tab/>
        <w:t xml:space="preserve">The </w:t>
      </w:r>
      <w:r>
        <w:rPr>
          <w:i/>
        </w:rPr>
        <w:t>Corporations (Consequential Amendments) Act (No. 3) 2003</w:t>
      </w:r>
      <w:r>
        <w:t xml:space="preserve"> s. 2</w:t>
      </w:r>
      <w:r>
        <w:noBreakHyphen/>
        <w:t>4 contain validation provisions.</w:t>
      </w:r>
    </w:p>
    <w:p>
      <w:pPr>
        <w:rPr>
          <w:sz w:val="20"/>
        </w:rPr>
      </w:pPr>
    </w:p>
    <w:p>
      <w:pPr>
        <w:rPr>
          <w:sz w:val="20"/>
        </w:rPr>
        <w:sectPr>
          <w:headerReference w:type="even" r:id="rId45"/>
          <w:headerReference w:type="default" r:id="rId4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79(1)</w:t>
      </w:r>
    </w:p>
    <w:p>
      <w:pPr>
        <w:pStyle w:val="DefinedTerms"/>
      </w:pPr>
      <w:r>
        <w:t>accounting standard</w:t>
      </w:r>
      <w:r>
        <w:tab/>
        <w:t>Sch. 5 cl. 1(2)</w:t>
      </w:r>
    </w:p>
    <w:p>
      <w:pPr>
        <w:pStyle w:val="DefinedTerms"/>
      </w:pPr>
      <w:r>
        <w:t>affecting provisions</w:t>
      </w:r>
      <w:r>
        <w:tab/>
        <w:t>Sch. 8 cl. 45</w:t>
      </w:r>
    </w:p>
    <w:p>
      <w:pPr>
        <w:pStyle w:val="DefinedTerms"/>
      </w:pPr>
      <w:r>
        <w:t>agreement</w:t>
      </w:r>
      <w:r>
        <w:tab/>
        <w:t>Sch. 8 cl. 1</w:t>
      </w:r>
    </w:p>
    <w:p>
      <w:pPr>
        <w:pStyle w:val="DefinedTerms"/>
      </w:pPr>
      <w:r>
        <w:t>amending Act</w:t>
      </w:r>
      <w:r>
        <w:tab/>
        <w:t>Sch. 8 cl. 1</w:t>
      </w:r>
    </w:p>
    <w:p>
      <w:pPr>
        <w:pStyle w:val="DefinedTerms"/>
      </w:pPr>
      <w:r>
        <w:t>approved</w:t>
      </w:r>
      <w:r>
        <w:tab/>
        <w:t>34A(1), 95(1)</w:t>
      </w:r>
    </w:p>
    <w:p>
      <w:pPr>
        <w:pStyle w:val="DefinedTerms"/>
      </w:pPr>
      <w:r>
        <w:t>area</w:t>
      </w:r>
      <w:r>
        <w:tab/>
        <w:t>24(3)</w:t>
      </w:r>
    </w:p>
    <w:p>
      <w:pPr>
        <w:pStyle w:val="DefinedTerms"/>
      </w:pPr>
      <w:r>
        <w:t>asset</w:t>
      </w:r>
      <w:r>
        <w:tab/>
        <w:t>Sch. 8 cl. 1</w:t>
      </w:r>
    </w:p>
    <w:p>
      <w:pPr>
        <w:pStyle w:val="DefinedTerms"/>
      </w:pPr>
      <w:r>
        <w:t>authorised officer</w:t>
      </w:r>
      <w:r>
        <w:tab/>
        <w:t>114A(2)</w:t>
      </w:r>
    </w:p>
    <w:p>
      <w:pPr>
        <w:pStyle w:val="DefinedTerms"/>
      </w:pPr>
      <w:r>
        <w:t>authorised person</w:t>
      </w:r>
      <w:r>
        <w:tab/>
        <w:t>123</w:t>
      </w:r>
    </w:p>
    <w:p>
      <w:pPr>
        <w:pStyle w:val="DefinedTerms"/>
      </w:pPr>
      <w:r>
        <w:t>board</w:t>
      </w:r>
      <w:r>
        <w:tab/>
        <w:t>3(1)</w:t>
      </w:r>
    </w:p>
    <w:p>
      <w:pPr>
        <w:pStyle w:val="DefinedTerms"/>
      </w:pPr>
      <w:r>
        <w:t>business arrangement</w:t>
      </w:r>
      <w:r>
        <w:tab/>
        <w:t>35(9)</w:t>
      </w:r>
    </w:p>
    <w:p>
      <w:pPr>
        <w:pStyle w:val="DefinedTerms"/>
      </w:pPr>
      <w:r>
        <w:t>CEO</w:t>
      </w:r>
      <w:r>
        <w:tab/>
        <w:t>3(1)</w:t>
      </w:r>
    </w:p>
    <w:p>
      <w:pPr>
        <w:pStyle w:val="DefinedTerms"/>
      </w:pPr>
      <w:r>
        <w:t>channel</w:t>
      </w:r>
      <w:r>
        <w:tab/>
        <w:t>3(1)</w:t>
      </w:r>
    </w:p>
    <w:p>
      <w:pPr>
        <w:pStyle w:val="DefinedTerms"/>
      </w:pPr>
      <w:r>
        <w:t>commencement</w:t>
      </w:r>
      <w:r>
        <w:tab/>
        <w:t>Sch. 8 cl. 44(1)</w:t>
      </w:r>
    </w:p>
    <w:p>
      <w:pPr>
        <w:pStyle w:val="DefinedTerms"/>
      </w:pPr>
      <w:r>
        <w:t>company</w:t>
      </w:r>
      <w:r>
        <w:tab/>
        <w:t>Sch. 5 cl. 1(2)</w:t>
      </w:r>
    </w:p>
    <w:p>
      <w:pPr>
        <w:pStyle w:val="DefinedTerms"/>
      </w:pPr>
      <w:r>
        <w:t>Company</w:t>
      </w:r>
      <w:r>
        <w:tab/>
        <w:t>Sch. 6 cl. 1</w:t>
      </w:r>
    </w:p>
    <w:p>
      <w:pPr>
        <w:pStyle w:val="DefinedTerms"/>
      </w:pPr>
      <w:r>
        <w:t>consultation committee</w:t>
      </w:r>
      <w:r>
        <w:tab/>
        <w:t>14A(1)</w:t>
      </w:r>
    </w:p>
    <w:p>
      <w:pPr>
        <w:pStyle w:val="DefinedTerms"/>
      </w:pPr>
      <w:r>
        <w:t>continuing authority</w:t>
      </w:r>
      <w:r>
        <w:tab/>
        <w:t>Sch. 8 cl. 2, Sch. 8 cl. 23</w:t>
      </w:r>
    </w:p>
    <w:p>
      <w:pPr>
        <w:pStyle w:val="DefinedTerms"/>
      </w:pPr>
      <w:r>
        <w:t>control</w:t>
      </w:r>
      <w:r>
        <w:tab/>
        <w:t>3(1)</w:t>
      </w:r>
    </w:p>
    <w:p>
      <w:pPr>
        <w:pStyle w:val="DefinedTerms"/>
      </w:pPr>
      <w:r>
        <w:t>Corporations Act</w:t>
      </w:r>
      <w:r>
        <w:tab/>
        <w:t>3(1)</w:t>
      </w:r>
    </w:p>
    <w:p>
      <w:pPr>
        <w:pStyle w:val="DefinedTerms"/>
      </w:pPr>
      <w:r>
        <w:t>Crown land</w:t>
      </w:r>
      <w:r>
        <w:tab/>
        <w:t>3(1)</w:t>
      </w:r>
    </w:p>
    <w:p>
      <w:pPr>
        <w:pStyle w:val="DefinedTerms"/>
      </w:pPr>
      <w:r>
        <w:t>damage</w:t>
      </w:r>
      <w:r>
        <w:tab/>
        <w:t>3(1)</w:t>
      </w:r>
    </w:p>
    <w:p>
      <w:pPr>
        <w:pStyle w:val="DefinedTerms"/>
      </w:pPr>
      <w:r>
        <w:t>Dampier Solar Salt Industry Agreement</w:t>
      </w:r>
      <w:r>
        <w:tab/>
        <w:t>Sch. 6 cl. 1</w:t>
      </w:r>
    </w:p>
    <w:p>
      <w:pPr>
        <w:pStyle w:val="DefinedTerms"/>
      </w:pPr>
      <w:r>
        <w:t>dangerous thing</w:t>
      </w:r>
      <w:r>
        <w:tab/>
        <w:t>3(1)</w:t>
      </w:r>
    </w:p>
    <w:p>
      <w:pPr>
        <w:pStyle w:val="DefinedTerms"/>
      </w:pPr>
      <w:r>
        <w:t>debt paper</w:t>
      </w:r>
      <w:r>
        <w:tab/>
        <w:t>85(4)</w:t>
      </w:r>
    </w:p>
    <w:p>
      <w:pPr>
        <w:pStyle w:val="DefinedTerms"/>
      </w:pPr>
      <w:r>
        <w:t>director</w:t>
      </w:r>
      <w:r>
        <w:tab/>
        <w:t>3(1)</w:t>
      </w:r>
    </w:p>
    <w:p>
      <w:pPr>
        <w:pStyle w:val="DefinedTerms"/>
      </w:pPr>
      <w:r>
        <w:t>dividend function</w:t>
      </w:r>
      <w:r>
        <w:tab/>
        <w:t>Sch. 8 cl. 14(1), Sch. 8 cl. 35(1)</w:t>
      </w:r>
    </w:p>
    <w:p>
      <w:pPr>
        <w:pStyle w:val="DefinedTerms"/>
      </w:pPr>
      <w:r>
        <w:t>document</w:t>
      </w:r>
      <w:r>
        <w:tab/>
        <w:t>75(5)</w:t>
      </w:r>
    </w:p>
    <w:p>
      <w:pPr>
        <w:pStyle w:val="DefinedTerms"/>
      </w:pPr>
      <w:r>
        <w:t>eligible person</w:t>
      </w:r>
      <w:r>
        <w:tab/>
        <w:t>102(1)</w:t>
      </w:r>
    </w:p>
    <w:p>
      <w:pPr>
        <w:pStyle w:val="DefinedTerms"/>
      </w:pPr>
      <w:r>
        <w:t>executive officer</w:t>
      </w:r>
      <w:r>
        <w:tab/>
        <w:t>3(1)</w:t>
      </w:r>
    </w:p>
    <w:p>
      <w:pPr>
        <w:pStyle w:val="DefinedTerms"/>
      </w:pPr>
      <w:r>
        <w:t>financial records</w:t>
      </w:r>
      <w:r>
        <w:tab/>
        <w:t>Sch. 5 cl. 1(2)</w:t>
      </w:r>
    </w:p>
    <w:p>
      <w:pPr>
        <w:pStyle w:val="DefinedTerms"/>
      </w:pPr>
      <w:r>
        <w:t>financial year</w:t>
      </w:r>
      <w:r>
        <w:tab/>
        <w:t>Sch. 5 cl. 1(1)</w:t>
      </w:r>
    </w:p>
    <w:p>
      <w:pPr>
        <w:pStyle w:val="DefinedTerms"/>
      </w:pPr>
      <w:r>
        <w:t>former directors</w:t>
      </w:r>
      <w:r>
        <w:tab/>
        <w:t>Sch. 8 cl. 13(1), Sch. 8 cl. 34(1)</w:t>
      </w:r>
    </w:p>
    <w:p>
      <w:pPr>
        <w:pStyle w:val="DefinedTerms"/>
      </w:pPr>
      <w:r>
        <w:t>former name</w:t>
      </w:r>
      <w:r>
        <w:tab/>
        <w:t>Sch. 8 cl. 11(1), Sch. 8 cl. 20(1), Sch. 8 cl. 32(1), Sch. 8 cl. 41(1)</w:t>
      </w:r>
    </w:p>
    <w:p>
      <w:pPr>
        <w:pStyle w:val="DefinedTerms"/>
      </w:pPr>
      <w:r>
        <w:t>goods</w:t>
      </w:r>
      <w:r>
        <w:tab/>
        <w:t>3(1)</w:t>
      </w:r>
    </w:p>
    <w:p>
      <w:pPr>
        <w:pStyle w:val="DefinedTerms"/>
      </w:pPr>
      <w:r>
        <w:t>Government</w:t>
      </w:r>
      <w:r>
        <w:tab/>
        <w:t>34A(1)</w:t>
      </w:r>
    </w:p>
    <w:p>
      <w:pPr>
        <w:pStyle w:val="DefinedTerms"/>
      </w:pPr>
      <w:r>
        <w:t>Government agreement</w:t>
      </w:r>
      <w:r>
        <w:tab/>
        <w:t>Sch. 8 cl. 1, Sch. 9 cl. 1</w:t>
      </w:r>
    </w:p>
    <w:p>
      <w:pPr>
        <w:pStyle w:val="DefinedTerms"/>
      </w:pPr>
      <w:r>
        <w:t>harbour master</w:t>
      </w:r>
      <w:r>
        <w:tab/>
        <w:t>3(1)</w:t>
      </w:r>
    </w:p>
    <w:p>
      <w:pPr>
        <w:pStyle w:val="DefinedTerms"/>
      </w:pPr>
      <w:r>
        <w:t xml:space="preserve">hedging arrangement </w:t>
      </w:r>
      <w:r>
        <w:tab/>
        <w:t>87(3)</w:t>
      </w:r>
    </w:p>
    <w:p>
      <w:pPr>
        <w:pStyle w:val="DefinedTerms"/>
      </w:pPr>
      <w:r>
        <w:t>information</w:t>
      </w:r>
      <w:r>
        <w:tab/>
        <w:t>75(5)</w:t>
      </w:r>
    </w:p>
    <w:p>
      <w:pPr>
        <w:pStyle w:val="DefinedTerms"/>
      </w:pPr>
      <w:r>
        <w:t>interest rate</w:t>
      </w:r>
      <w:r>
        <w:tab/>
        <w:t>87(3)</w:t>
      </w:r>
    </w:p>
    <w:p>
      <w:pPr>
        <w:pStyle w:val="DefinedTerms"/>
      </w:pPr>
      <w:r>
        <w:t>Iron Ore (Hamersley Range) Agreement</w:t>
      </w:r>
      <w:r>
        <w:tab/>
        <w:t>Sch. 6 cl. 1</w:t>
      </w:r>
    </w:p>
    <w:p>
      <w:pPr>
        <w:pStyle w:val="DefinedTerms"/>
      </w:pPr>
      <w:r>
        <w:t>jetty</w:t>
      </w:r>
      <w:r>
        <w:tab/>
        <w:t>3(1)</w:t>
      </w:r>
    </w:p>
    <w:p>
      <w:pPr>
        <w:pStyle w:val="DefinedTerms"/>
      </w:pPr>
      <w:r>
        <w:t>Joint Venturers</w:t>
      </w:r>
      <w:r>
        <w:tab/>
        <w:t>Sch. 6 cl. 1</w:t>
      </w:r>
    </w:p>
    <w:p>
      <w:pPr>
        <w:pStyle w:val="DefinedTerms"/>
      </w:pPr>
      <w:r>
        <w:t>KPA</w:t>
      </w:r>
      <w:r>
        <w:tab/>
        <w:t>Sch. 8 cl. 37</w:t>
      </w:r>
    </w:p>
    <w:p>
      <w:pPr>
        <w:pStyle w:val="DefinedTerms"/>
      </w:pPr>
      <w:r>
        <w:t>last financial year</w:t>
      </w:r>
      <w:r>
        <w:tab/>
        <w:t>Sch. 8 cl. 13(5), Sch. 8 cl. 34(5)</w:t>
      </w:r>
    </w:p>
    <w:p>
      <w:pPr>
        <w:pStyle w:val="DefinedTerms"/>
      </w:pPr>
      <w:r>
        <w:t>latest draft plan</w:t>
      </w:r>
      <w:r>
        <w:tab/>
        <w:t>54(2)</w:t>
      </w:r>
    </w:p>
    <w:p>
      <w:pPr>
        <w:pStyle w:val="DefinedTerms"/>
      </w:pPr>
      <w:r>
        <w:t>latest draft statement</w:t>
      </w:r>
      <w:r>
        <w:tab/>
        <w:t>63(2)</w:t>
      </w:r>
    </w:p>
    <w:p>
      <w:pPr>
        <w:pStyle w:val="DefinedTerms"/>
      </w:pPr>
      <w:r>
        <w:t>liability</w:t>
      </w:r>
      <w:r>
        <w:tab/>
        <w:t>Sch. 8 cl. 1</w:t>
      </w:r>
    </w:p>
    <w:p>
      <w:pPr>
        <w:pStyle w:val="DefinedTerms"/>
      </w:pPr>
      <w:r>
        <w:t>management</w:t>
      </w:r>
      <w:r>
        <w:tab/>
        <w:t>3(1)</w:t>
      </w:r>
    </w:p>
    <w:p>
      <w:pPr>
        <w:pStyle w:val="DefinedTerms"/>
      </w:pPr>
      <w:r>
        <w:t>marine safety plan</w:t>
      </w:r>
      <w:r>
        <w:tab/>
        <w:t>114(1)</w:t>
      </w:r>
    </w:p>
    <w:p>
      <w:pPr>
        <w:pStyle w:val="DefinedTerms"/>
      </w:pPr>
      <w:r>
        <w:t>maritime structure</w:t>
      </w:r>
      <w:r>
        <w:tab/>
        <w:t>3(1)</w:t>
      </w:r>
    </w:p>
    <w:p>
      <w:pPr>
        <w:pStyle w:val="DefinedTerms"/>
      </w:pPr>
      <w:r>
        <w:t>master</w:t>
      </w:r>
      <w:r>
        <w:tab/>
        <w:t>3(1)</w:t>
      </w:r>
    </w:p>
    <w:p>
      <w:pPr>
        <w:pStyle w:val="DefinedTerms"/>
      </w:pPr>
      <w:r>
        <w:t>member of staff</w:t>
      </w:r>
      <w:r>
        <w:tab/>
        <w:t>3(1)</w:t>
      </w:r>
    </w:p>
    <w:p>
      <w:pPr>
        <w:pStyle w:val="DefinedTerms"/>
      </w:pPr>
      <w:r>
        <w:t>members of staff</w:t>
      </w:r>
      <w:r>
        <w:tab/>
        <w:t>19(3), 21(4)</w:t>
      </w:r>
    </w:p>
    <w:p>
      <w:pPr>
        <w:pStyle w:val="DefinedTerms"/>
      </w:pPr>
      <w:r>
        <w:t>merger</w:t>
      </w:r>
      <w:r>
        <w:tab/>
        <w:t>Sch. 8 cl. 2, Sch. 8 cl. 23</w:t>
      </w:r>
    </w:p>
    <w:p>
      <w:pPr>
        <w:pStyle w:val="DefinedTerms"/>
      </w:pPr>
      <w:r>
        <w:t>merger time</w:t>
      </w:r>
      <w:r>
        <w:tab/>
        <w:t>Sch. 8 cl. 2, Sch. 8 cl. 23</w:t>
      </w:r>
    </w:p>
    <w:p>
      <w:pPr>
        <w:pStyle w:val="DefinedTerms"/>
      </w:pPr>
      <w:r>
        <w:t>merging authority</w:t>
      </w:r>
      <w:r>
        <w:tab/>
        <w:t>Sch. 8 cl. 2, Sch. 8 cl. 23</w:t>
      </w:r>
    </w:p>
    <w:p>
      <w:pPr>
        <w:pStyle w:val="DefinedTerms"/>
      </w:pPr>
      <w:r>
        <w:t>mooring</w:t>
      </w:r>
      <w:r>
        <w:tab/>
        <w:t>3(1)</w:t>
      </w:r>
    </w:p>
    <w:p>
      <w:pPr>
        <w:pStyle w:val="DefinedTerms"/>
      </w:pPr>
      <w:r>
        <w:t>movement</w:t>
      </w:r>
      <w:r>
        <w:tab/>
        <w:t>3(1)</w:t>
      </w:r>
    </w:p>
    <w:p>
      <w:pPr>
        <w:pStyle w:val="DefinedTerms"/>
      </w:pPr>
      <w:r>
        <w:t>MWPA</w:t>
      </w:r>
      <w:r>
        <w:tab/>
        <w:t>Sch. 8 cl. 16</w:t>
      </w:r>
    </w:p>
    <w:p>
      <w:pPr>
        <w:pStyle w:val="DefinedTerms"/>
      </w:pPr>
      <w:r>
        <w:t>navigational aid</w:t>
      </w:r>
      <w:r>
        <w:tab/>
        <w:t>3(1)</w:t>
      </w:r>
    </w:p>
    <w:p>
      <w:pPr>
        <w:pStyle w:val="DefinedTerms"/>
      </w:pPr>
      <w:r>
        <w:t>new board</w:t>
      </w:r>
      <w:r>
        <w:tab/>
        <w:t>Sch. 8 cl. 2, Sch. 8 cl. 16, Sch. 8 cl. 23, Sch. 8 cl. 37, Sch. 8 cl. 45</w:t>
      </w:r>
    </w:p>
    <w:p>
      <w:pPr>
        <w:pStyle w:val="DefinedTerms"/>
      </w:pPr>
      <w:r>
        <w:t>new name</w:t>
      </w:r>
      <w:r>
        <w:tab/>
        <w:t>Sch. 8 cl. 11(1), Sch. 8 cl. 20(1), Sch. 8 cl. 32(1), Sch. 8 cl. 41(1)</w:t>
      </w:r>
    </w:p>
    <w:p>
      <w:pPr>
        <w:pStyle w:val="DefinedTerms"/>
      </w:pPr>
      <w:r>
        <w:t>new owner</w:t>
      </w:r>
      <w:r>
        <w:tab/>
        <w:t>46(1)</w:t>
      </w:r>
    </w:p>
    <w:p>
      <w:pPr>
        <w:pStyle w:val="DefinedTerms"/>
      </w:pPr>
      <w:r>
        <w:t>North West Gas Development (Woodside) Agreement</w:t>
      </w:r>
      <w:r>
        <w:tab/>
        <w:t>Sch. 6 cl. 1</w:t>
      </w:r>
    </w:p>
    <w:p>
      <w:pPr>
        <w:pStyle w:val="DefinedTerms"/>
      </w:pPr>
      <w:r>
        <w:t>notifiable interest</w:t>
      </w:r>
      <w:r>
        <w:tab/>
        <w:t>12(3)</w:t>
      </w:r>
    </w:p>
    <w:p>
      <w:pPr>
        <w:pStyle w:val="DefinedTerms"/>
      </w:pPr>
      <w:r>
        <w:t>officer</w:t>
      </w:r>
      <w:r>
        <w:tab/>
        <w:t>Sch. 3 cl. 2(1)</w:t>
      </w:r>
    </w:p>
    <w:p>
      <w:pPr>
        <w:pStyle w:val="DefinedTerms"/>
      </w:pPr>
      <w:r>
        <w:t>owner</w:t>
      </w:r>
      <w:r>
        <w:tab/>
        <w:t>3(1), 105(1)</w:t>
      </w:r>
    </w:p>
    <w:p>
      <w:pPr>
        <w:pStyle w:val="DefinedTerms"/>
      </w:pPr>
      <w:r>
        <w:t>participate</w:t>
      </w:r>
      <w:r>
        <w:tab/>
        <w:t>35(9)</w:t>
      </w:r>
    </w:p>
    <w:p>
      <w:pPr>
        <w:pStyle w:val="DefinedTerms"/>
      </w:pPr>
      <w:r>
        <w:t>port</w:t>
      </w:r>
      <w:r>
        <w:tab/>
        <w:t>3(1), 3(1), 3(1), Sch. 6 cl. 2, Sch. 9 cl. 1</w:t>
      </w:r>
    </w:p>
    <w:p>
      <w:pPr>
        <w:pStyle w:val="DefinedTerms"/>
      </w:pPr>
      <w:r>
        <w:t>port activities</w:t>
      </w:r>
      <w:r>
        <w:tab/>
        <w:t>3(1), 35(9)</w:t>
      </w:r>
    </w:p>
    <w:p>
      <w:pPr>
        <w:pStyle w:val="DefinedTerms"/>
      </w:pPr>
      <w:r>
        <w:t>port addition</w:t>
      </w:r>
      <w:r>
        <w:tab/>
        <w:t>Sch. 9 cl. 1</w:t>
      </w:r>
    </w:p>
    <w:p>
      <w:pPr>
        <w:pStyle w:val="DefinedTerms"/>
      </w:pPr>
      <w:r>
        <w:t>port authority</w:t>
      </w:r>
      <w:r>
        <w:tab/>
        <w:t>3(1), 38(1), 123, Sch. 8 cl. 16, Sch. 8 cl. 37</w:t>
      </w:r>
    </w:p>
    <w:p>
      <w:pPr>
        <w:pStyle w:val="DefinedTerms"/>
      </w:pPr>
      <w:r>
        <w:t>port charges</w:t>
      </w:r>
      <w:r>
        <w:tab/>
        <w:t>3(1), 115(1)</w:t>
      </w:r>
    </w:p>
    <w:p>
      <w:pPr>
        <w:pStyle w:val="DefinedTerms"/>
      </w:pPr>
      <w:r>
        <w:t>port facilities</w:t>
      </w:r>
      <w:r>
        <w:tab/>
        <w:t>3(1)</w:t>
      </w:r>
    </w:p>
    <w:p>
      <w:pPr>
        <w:pStyle w:val="DefinedTerms"/>
      </w:pPr>
      <w:r>
        <w:t>port land</w:t>
      </w:r>
      <w:r>
        <w:tab/>
        <w:t>3(1)</w:t>
      </w:r>
    </w:p>
    <w:p>
      <w:pPr>
        <w:pStyle w:val="DefinedTerms"/>
      </w:pPr>
      <w:r>
        <w:t>port operations</w:t>
      </w:r>
      <w:r>
        <w:tab/>
        <w:t>3(1)</w:t>
      </w:r>
    </w:p>
    <w:p>
      <w:pPr>
        <w:pStyle w:val="DefinedTerms"/>
      </w:pPr>
      <w:r>
        <w:t>port property</w:t>
      </w:r>
      <w:r>
        <w:tab/>
        <w:t>3(1)</w:t>
      </w:r>
    </w:p>
    <w:p>
      <w:pPr>
        <w:pStyle w:val="DefinedTerms"/>
      </w:pPr>
      <w:r>
        <w:t>port security</w:t>
      </w:r>
      <w:r>
        <w:tab/>
        <w:t>3(1)</w:t>
      </w:r>
    </w:p>
    <w:p>
      <w:pPr>
        <w:pStyle w:val="DefinedTerms"/>
      </w:pPr>
      <w:r>
        <w:t>port services</w:t>
      </w:r>
      <w:r>
        <w:tab/>
        <w:t>3(1), 35(9)</w:t>
      </w:r>
    </w:p>
    <w:p>
      <w:pPr>
        <w:pStyle w:val="DefinedTerms"/>
      </w:pPr>
      <w:r>
        <w:t>port works</w:t>
      </w:r>
      <w:r>
        <w:tab/>
        <w:t>3(1), 35(9)</w:t>
      </w:r>
    </w:p>
    <w:p>
      <w:pPr>
        <w:pStyle w:val="DefinedTerms"/>
      </w:pPr>
      <w:r>
        <w:t>potential supplier</w:t>
      </w:r>
      <w:r>
        <w:tab/>
        <w:t>3(1)</w:t>
      </w:r>
    </w:p>
    <w:p>
      <w:pPr>
        <w:pStyle w:val="DefinedTerms"/>
      </w:pPr>
      <w:r>
        <w:t>PPA</w:t>
      </w:r>
      <w:r>
        <w:tab/>
        <w:t>Sch. 8 cl. 23</w:t>
      </w:r>
    </w:p>
    <w:p>
      <w:pPr>
        <w:pStyle w:val="DefinedTerms"/>
      </w:pPr>
      <w:r>
        <w:t>prescribed day</w:t>
      </w:r>
      <w:r>
        <w:tab/>
        <w:t>Sch. 5 cl. 34(1)</w:t>
      </w:r>
    </w:p>
    <w:p>
      <w:pPr>
        <w:pStyle w:val="DefinedTerms"/>
      </w:pPr>
      <w:r>
        <w:t>prescribed thing</w:t>
      </w:r>
      <w:r>
        <w:tab/>
        <w:t>113(1A)</w:t>
      </w:r>
    </w:p>
    <w:p>
      <w:pPr>
        <w:pStyle w:val="DefinedTerms"/>
      </w:pPr>
      <w:r>
        <w:t>Public Bank Account</w:t>
      </w:r>
      <w:r>
        <w:tab/>
        <w:t>79(1)</w:t>
      </w:r>
    </w:p>
    <w:p>
      <w:pPr>
        <w:pStyle w:val="DefinedTerms"/>
      </w:pPr>
      <w:r>
        <w:t>public service officer</w:t>
      </w:r>
      <w:r>
        <w:tab/>
        <w:t>11(2)</w:t>
      </w:r>
    </w:p>
    <w:p>
      <w:pPr>
        <w:pStyle w:val="DefinedTerms"/>
      </w:pPr>
      <w:r>
        <w:t>regulations</w:t>
      </w:r>
      <w:r>
        <w:tab/>
        <w:t>Sch. 5 cl. 1(1)</w:t>
      </w:r>
    </w:p>
    <w:p>
      <w:pPr>
        <w:pStyle w:val="DefinedTerms"/>
      </w:pPr>
      <w:r>
        <w:t>relevant act</w:t>
      </w:r>
      <w:r>
        <w:tab/>
        <w:t>Sch. 8 cl. 10(1), Sch. 8 cl. 31(1)</w:t>
      </w:r>
    </w:p>
    <w:p>
      <w:pPr>
        <w:pStyle w:val="DefinedTerms"/>
      </w:pPr>
      <w:r>
        <w:t>relevant officials</w:t>
      </w:r>
      <w:r>
        <w:tab/>
        <w:t>Sch. 8 cl. 45</w:t>
      </w:r>
    </w:p>
    <w:p>
      <w:pPr>
        <w:pStyle w:val="DefinedTerms"/>
      </w:pPr>
      <w:r>
        <w:t>renaming</w:t>
      </w:r>
      <w:r>
        <w:tab/>
        <w:t>Sch. 8 cl. 16, Sch. 8 cl. 37</w:t>
      </w:r>
    </w:p>
    <w:p>
      <w:pPr>
        <w:pStyle w:val="DefinedTerms"/>
      </w:pPr>
      <w:r>
        <w:t>renaming time</w:t>
      </w:r>
      <w:r>
        <w:tab/>
        <w:t>Sch. 8 cl. 16, Sch. 8 cl. 37</w:t>
      </w:r>
    </w:p>
    <w:p>
      <w:pPr>
        <w:pStyle w:val="DefinedTerms"/>
      </w:pPr>
      <w:r>
        <w:t>reporting board</w:t>
      </w:r>
      <w:r>
        <w:tab/>
        <w:t>Sch. 8 cl. 34(1)</w:t>
      </w:r>
    </w:p>
    <w:p>
      <w:pPr>
        <w:pStyle w:val="DefinedTerms"/>
      </w:pPr>
      <w:r>
        <w:t>reporting board,</w:t>
      </w:r>
      <w:r>
        <w:tab/>
        <w:t>Sch. 8 cl. 13(1)</w:t>
      </w:r>
    </w:p>
    <w:p>
      <w:pPr>
        <w:pStyle w:val="DefinedTerms"/>
      </w:pPr>
      <w:r>
        <w:t>reporting provisions</w:t>
      </w:r>
      <w:r>
        <w:tab/>
        <w:t>Sch. 8 cl. 13(1), Sch. 8 cl. 34(1)</w:t>
      </w:r>
    </w:p>
    <w:p>
      <w:pPr>
        <w:pStyle w:val="DefinedTerms"/>
      </w:pPr>
      <w:r>
        <w:t>right</w:t>
      </w:r>
      <w:r>
        <w:tab/>
        <w:t>Sch. 8 cl. 1</w:t>
      </w:r>
    </w:p>
    <w:p>
      <w:pPr>
        <w:pStyle w:val="DefinedTerms"/>
      </w:pPr>
      <w:r>
        <w:t>Salt Company</w:t>
      </w:r>
      <w:r>
        <w:tab/>
        <w:t>Sch. 6 cl. 1</w:t>
      </w:r>
    </w:p>
    <w:p>
      <w:pPr>
        <w:pStyle w:val="DefinedTerms"/>
      </w:pPr>
      <w:r>
        <w:t>sell</w:t>
      </w:r>
      <w:r>
        <w:tab/>
        <w:t>27(3)</w:t>
      </w:r>
    </w:p>
    <w:p>
      <w:pPr>
        <w:pStyle w:val="DefinedTerms"/>
      </w:pPr>
      <w:r>
        <w:t>SPA</w:t>
      </w:r>
      <w:r>
        <w:tab/>
        <w:t>Sch. 8 cl. 2</w:t>
      </w:r>
    </w:p>
    <w:p>
      <w:pPr>
        <w:pStyle w:val="DefinedTerms"/>
      </w:pPr>
      <w:r>
        <w:t>State tax</w:t>
      </w:r>
      <w:r>
        <w:tab/>
        <w:t>Sch. 8 cl. 45</w:t>
      </w:r>
    </w:p>
    <w:p>
      <w:pPr>
        <w:pStyle w:val="DefinedTerms"/>
      </w:pPr>
      <w:r>
        <w:t>subsidiary</w:t>
      </w:r>
      <w:r>
        <w:tab/>
        <w:t>3(1)</w:t>
      </w:r>
    </w:p>
    <w:p>
      <w:pPr>
        <w:pStyle w:val="DefinedTerms"/>
      </w:pPr>
      <w:r>
        <w:t>subsisting</w:t>
      </w:r>
      <w:r>
        <w:tab/>
        <w:t>Sch. 8 cl. 11(1), Sch. 8 cl. 32(1)</w:t>
      </w:r>
    </w:p>
    <w:p>
      <w:pPr>
        <w:pStyle w:val="DefinedTerms"/>
      </w:pPr>
      <w:r>
        <w:t xml:space="preserve"> third party</w:t>
      </w:r>
      <w:r>
        <w:tab/>
        <w:t>46(1)</w:t>
      </w:r>
    </w:p>
    <w:p>
      <w:pPr>
        <w:pStyle w:val="DefinedTerms"/>
      </w:pPr>
      <w:r>
        <w:t>transaction</w:t>
      </w:r>
      <w:r>
        <w:tab/>
        <w:t>42</w:t>
      </w:r>
    </w:p>
    <w:p>
      <w:pPr>
        <w:pStyle w:val="DefinedTerms"/>
      </w:pPr>
      <w:r>
        <w:t>transitional regulations</w:t>
      </w:r>
      <w:r>
        <w:tab/>
        <w:t>Sch. 8 cl. 2, Sch. 8 cl. 15(1), Sch. 8 cl. 16, Sch. 8 cl. 22(1), Sch. 8 cl. 23, Sch. 8 cl. 36(1), Sch. 8 cl. 37, Sch. 8 cl. 43(1), Sch. 8 cl. 45</w:t>
      </w:r>
    </w:p>
    <w:p>
      <w:pPr>
        <w:pStyle w:val="DefinedTerms"/>
      </w:pPr>
      <w:r>
        <w:t>Treasurer</w:t>
      </w:r>
      <w:r>
        <w:tab/>
        <w:t>3(1)</w:t>
      </w:r>
    </w:p>
    <w:p>
      <w:pPr>
        <w:pStyle w:val="DefinedTerms"/>
      </w:pPr>
      <w:r>
        <w:t>Treasury Corporation</w:t>
      </w:r>
      <w:r>
        <w:tab/>
        <w:t>87(3)</w:t>
      </w:r>
    </w:p>
    <w:p>
      <w:pPr>
        <w:pStyle w:val="DefinedTerms"/>
      </w:pPr>
      <w:r>
        <w:t>under compulsory pilotage</w:t>
      </w:r>
      <w:r>
        <w:tab/>
        <w:t>95(1)</w:t>
      </w:r>
    </w:p>
    <w:p>
      <w:pPr>
        <w:pStyle w:val="DefinedTerms"/>
      </w:pPr>
      <w:r>
        <w:t>vessel</w:t>
      </w:r>
      <w:r>
        <w:tab/>
        <w:t>3(1)</w:t>
      </w:r>
    </w:p>
    <w:p>
      <w:pPr>
        <w:pStyle w:val="DefinedTerms"/>
      </w:pPr>
      <w:r>
        <w:t>vested</w:t>
      </w:r>
      <w:r>
        <w:tab/>
        <w:t>3(1)</w:t>
      </w:r>
    </w:p>
    <w:p>
      <w:pPr>
        <w:pStyle w:val="DefinedTerms"/>
        <w:sectPr>
          <w:headerReference w:type="even" r:id="rId47"/>
          <w:headerReference w:type="default" r:id="rId48"/>
          <w:pgSz w:w="11907" w:h="16840" w:code="9"/>
          <w:pgMar w:top="2381" w:right="2409" w:bottom="3543" w:left="2409" w:header="720" w:footer="3380" w:gutter="0"/>
          <w:cols w:space="720"/>
          <w:noEndnote/>
          <w:docGrid w:linePitch="326"/>
        </w:sectPr>
      </w:pPr>
    </w:p>
    <w:p>
      <w:pPr>
        <w:rPr>
          <w:sz w:val="20"/>
        </w:rPr>
      </w:pPr>
    </w:p>
    <w:sectPr>
      <w:headerReference w:type="even" r:id="rId49"/>
      <w:headerReference w:type="default" r:id="rId50"/>
      <w:footerReference w:type="even" r:id="rId51"/>
      <w:footerReference w:type="default" r:id="rId52"/>
      <w:headerReference w:type="first" r:id="rId53"/>
      <w:footerReference w:type="first" r:id="rId54"/>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176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175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Act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Authorities Act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93" w:name="Schedule"/>
    <w:bookmarkEnd w:id="39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Port authorities and ports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Port authorities and ports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Provisions about the constitution and proceedings of boards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constitution and proceedings of boards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Provisions about duties of CEO and staff</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duties of CEO and staff</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Financial administration and audit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7</w:t>
          </w:r>
          <w:r>
            <w:rPr>
              <w:b/>
            </w:rPr>
            <w:fldChar w:fldCharType="end"/>
          </w:r>
        </w:p>
      </w:tc>
      <w:tc>
        <w:tcPr>
          <w:tcW w:w="5715" w:type="dxa"/>
        </w:tcPr>
        <w:p>
          <w:pPr>
            <w:pStyle w:val="Header"/>
            <w:spacing w:before="40"/>
          </w:pPr>
          <w:r>
            <w:fldChar w:fldCharType="begin"/>
          </w:r>
          <w:r>
            <w:instrText>styleref CharSDivText</w:instrText>
          </w:r>
          <w:r>
            <w:fldChar w:fldCharType="separate"/>
          </w:r>
          <w:r>
            <w:t>Miscellaneous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44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44</w:instrText>
          </w:r>
          <w:r>
            <w:rPr>
              <w:b/>
            </w:rPr>
            <w:fldChar w:fldCharType="end"/>
          </w:r>
          <w:r>
            <w:rPr>
              <w:b/>
            </w:rPr>
            <w:instrText xml:space="preserve"> </w:instrText>
          </w:r>
          <w:r>
            <w:rPr>
              <w:b/>
            </w:rPr>
            <w:fldChar w:fldCharType="separate"/>
          </w:r>
          <w:r>
            <w:rPr>
              <w:b/>
            </w:rPr>
            <w:t>44</w:t>
          </w:r>
          <w:r>
            <w:rPr>
              <w:b/>
            </w:rPr>
            <w:fldChar w:fldCharType="end"/>
          </w: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Financial administration and audit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7</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44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44</w:instrText>
          </w:r>
          <w:r>
            <w:rPr>
              <w:b/>
            </w:rPr>
            <w:fldChar w:fldCharType="end"/>
          </w:r>
          <w:r>
            <w:rPr>
              <w:b/>
            </w:rPr>
            <w:instrText xml:space="preserve"> </w:instrText>
          </w:r>
          <w:r>
            <w:rPr>
              <w:b/>
            </w:rPr>
            <w:fldChar w:fldCharType="separate"/>
          </w:r>
          <w:r>
            <w:rPr>
              <w:b/>
            </w:rPr>
            <w:t>44</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Provisions for Pilbara Ports Authority</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for Pilbara Ports Authority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Purposes for which, or matters about which, regulations may be made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Port of Port Hedland</w:t>
          </w:r>
          <w:r>
            <w:cr/>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Purposes for which, or matters about which, regulations may be made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Port of Port Hedland</w:t>
          </w:r>
          <w:r>
            <w:cr/>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8</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51</w:instrText>
          </w:r>
          <w:r>
            <w:rPr>
              <w:b/>
            </w:rPr>
            <w:fldChar w:fldCharType="end"/>
          </w:r>
          <w:r>
            <w:rPr>
              <w:b/>
            </w:rPr>
            <w:instrText xml:space="preserve"> </w:instrText>
          </w:r>
          <w:r>
            <w:rPr>
              <w:b/>
            </w:rPr>
            <w:fldChar w:fldCharType="separate"/>
          </w:r>
          <w:r>
            <w:rPr>
              <w:b/>
            </w:rPr>
            <w:t>51</w:t>
          </w:r>
          <w:r>
            <w:rPr>
              <w:b/>
            </w:rPr>
            <w:fldChar w:fldCharType="end"/>
          </w:r>
        </w:p>
      </w:tc>
      <w:tc>
        <w:tcPr>
          <w:tcW w:w="5715" w:type="dxa"/>
        </w:tcPr>
        <w:p>
          <w:pPr>
            <w:pStyle w:val="Header"/>
            <w:spacing w:before="40"/>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8</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51</w:instrText>
          </w:r>
          <w:r>
            <w:rPr>
              <w:b/>
            </w:rPr>
            <w:fldChar w:fldCharType="end"/>
          </w:r>
          <w:r>
            <w:rPr>
              <w:b/>
            </w:rPr>
            <w:instrText xml:space="preserve"> </w:instrText>
          </w:r>
          <w:r>
            <w:rPr>
              <w:b/>
            </w:rPr>
            <w:fldChar w:fldCharType="separate"/>
          </w:r>
          <w:r>
            <w:rPr>
              <w:b/>
            </w:rPr>
            <w:t>51</w:t>
          </w:r>
          <w:r>
            <w:rPr>
              <w:b/>
            </w:rPr>
            <w:fldChar w:fldCharType="end"/>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c>
        <w:tcPr>
          <w:tcW w:w="7160" w:type="dxa"/>
          <w:gridSpan w:val="2"/>
        </w:tcPr>
        <w:p>
          <w:pPr>
            <w:pStyle w:val="Header"/>
            <w:spacing w:before="40"/>
            <w:ind w:right="17"/>
            <w:jc w:val="right"/>
          </w:pPr>
        </w:p>
      </w:tc>
    </w:tr>
  </w:tbl>
  <w:p>
    <w:pPr>
      <w:pStyle w:val="Header"/>
    </w:pPr>
    <w:bookmarkStart w:id="726" w:name="Compilation"/>
    <w:bookmarkEnd w:id="726"/>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Act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Port Authorities Act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27" w:name="DefinedTerms"/>
    <w:bookmarkEnd w:id="727"/>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28" w:name="Coversheet"/>
    <w:bookmarkEnd w:id="7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4CC8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42B4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B458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F7EB4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7088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6298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0BA4A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DD097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7B6A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6A3E5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326AFE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 w:numId="14">
    <w:abstractNumId w:val="10"/>
  </w:num>
  <w:num w:numId="15">
    <w:abstractNumId w:val="11"/>
  </w:num>
  <w:num w:numId="16">
    <w:abstractNumId w:val="14"/>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42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807"/>
    <w:docVar w:name="WAFER_20140113155439" w:val="RemoveTocBookmarks,RemoveUnusedBookmarks,RemoveLanguageTags,UsedStyles,ResetPageSize,UpdateArrangement"/>
    <w:docVar w:name="WAFER_20140113155439_GUID" w:val="fafd51d0-e31a-4527-89cd-4107a6272883"/>
    <w:docVar w:name="WAFER_20140113155455" w:val="RemoveTocBookmarks,RunningHeaders"/>
    <w:docVar w:name="WAFER_20140113155455_GUID" w:val="e22b6bf9-6331-4026-af3e-780275491c2c"/>
    <w:docVar w:name="WAFER_20140522104547" w:val="RemoveTocBookmarks,RemoveUnusedBookmarks,RemoveLanguageTags,UsedStyles,ResetPageSize"/>
    <w:docVar w:name="WAFER_20140522104547_GUID" w:val="d63a9e04-c65e-4db4-88bc-287a0cab3ca2"/>
    <w:docVar w:name="WAFER_20140529155200" w:val="RemoveTocBookmarks,RunningHeaders"/>
    <w:docVar w:name="WAFER_20140529155200_GUID" w:val="719f0b41-0a6c-4198-ad95-83afb068ebfe"/>
    <w:docVar w:name="WAFER_20140603173813" w:val="RemoveTocBookmarks,RunningHeaders"/>
    <w:docVar w:name="WAFER_20140603173813_GUID" w:val="896ecf3a-ac73-4285-a925-6a04a36bbdc4"/>
    <w:docVar w:name="WAFER_20140606094752" w:val="RemoveTocBookmarks,RemoveUnusedBookmarks,RemoveLanguageTags,UsedStyles,ResetPageSize,UpdateArrangement"/>
    <w:docVar w:name="WAFER_20140606094752_GUID" w:val="416ac43c-e106-44d2-8761-6f47bf533fa5"/>
    <w:docVar w:name="WAFER_20140606094810" w:val="RemoveTocBookmarks,RunningHeaders"/>
    <w:docVar w:name="WAFER_20140606094810_GUID" w:val="f3ae3d72-7dfc-4fed-88d3-15f4db374df6"/>
    <w:docVar w:name="WAFER_20140619140300" w:val="RemoveTocBookmarks,RemoveUnusedBookmarks,RemoveLanguageTags,UsedStyles,ResetPageSize,UpdateArrangement"/>
    <w:docVar w:name="WAFER_20140619140300_GUID" w:val="0f63522f-108f-440c-9e01-c5650111a4f5"/>
    <w:docVar w:name="WAFER_20140919113541" w:val="RemoveTocBookmarks,RunningHeaders"/>
    <w:docVar w:name="WAFER_20140919113541_GUID" w:val="029a89ca-44cd-4835-9816-4ef3ebf051ae"/>
    <w:docVar w:name="WAFER_20150710092504" w:val="ResetPageSize,UpdateArrangement,UpdateNTable"/>
    <w:docVar w:name="WAFER_20150710092504_GUID" w:val="67b60cd0-6cd1-42b7-9b91-f5294360343b"/>
    <w:docVar w:name="WAFER_20151109112807" w:val="UpdateStyles,UsedStyles"/>
    <w:docVar w:name="WAFER_20151109112807_GUID" w:val="dc1d1d1f-d2e9-4dcf-9289-6a745ba395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ountry-region"/>
  <w:shapeDefaults>
    <o:shapedefaults v:ext="edit" spidmax="542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noProof w:val="0"/>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noProof w:val="0"/>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0829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2.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image" Target="media/image2.png"/><Relationship Id="rId47" Type="http://schemas.openxmlformats.org/officeDocument/2006/relationships/header" Target="header29.xml"/><Relationship Id="rId50" Type="http://schemas.openxmlformats.org/officeDocument/2006/relationships/header" Target="header32.xml"/><Relationship Id="rId55"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header" Target="header2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4.xml"/><Relationship Id="rId54"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7.xml"/><Relationship Id="rId53" Type="http://schemas.openxmlformats.org/officeDocument/2006/relationships/header" Target="header33.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header" Target="header3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header" Target="header26.xml"/><Relationship Id="rId52" Type="http://schemas.openxmlformats.org/officeDocument/2006/relationships/footer" Target="footer10.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5.xml"/><Relationship Id="rId48" Type="http://schemas.openxmlformats.org/officeDocument/2006/relationships/header" Target="header30.xml"/><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footer" Target="footer9.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FA33DE-4BA8-4A6C-BBB0-E5847869A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192</Pages>
  <Words>47228</Words>
  <Characters>223389</Characters>
  <Application>Microsoft Office Word</Application>
  <DocSecurity>0</DocSecurity>
  <Lines>5878</Lines>
  <Paragraphs>3811</Paragraphs>
  <ScaleCrop>false</ScaleCrop>
  <HeadingPairs>
    <vt:vector size="2" baseType="variant">
      <vt:variant>
        <vt:lpstr>Title</vt:lpstr>
      </vt:variant>
      <vt:variant>
        <vt:i4>1</vt:i4>
      </vt:variant>
    </vt:vector>
  </HeadingPairs>
  <TitlesOfParts>
    <vt:vector size="1" baseType="lpstr">
      <vt:lpstr>Port Authorities Act 1999</vt:lpstr>
    </vt:vector>
  </TitlesOfParts>
  <Manager/>
  <Company/>
  <LinksUpToDate>false</LinksUpToDate>
  <CharactersWithSpaces>266806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Act 1999 - 03-e0-02</dc:title>
  <dc:subject/>
  <dc:creator/>
  <cp:keywords/>
  <dc:description/>
  <cp:lastModifiedBy>svcMRProcess</cp:lastModifiedBy>
  <cp:revision>4</cp:revision>
  <cp:lastPrinted>2012-09-11T05:57:00Z</cp:lastPrinted>
  <dcterms:created xsi:type="dcterms:W3CDTF">2018-09-06T21:32:00Z</dcterms:created>
  <dcterms:modified xsi:type="dcterms:W3CDTF">2018-09-06T21:32:00Z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1999</vt:lpwstr>
  </property>
  <property fmtid="{D5CDD505-2E9C-101B-9397-08002B2CF9AE}" pid="3" name="CommencementDate">
    <vt:lpwstr>20141001</vt:lpwstr>
  </property>
  <property fmtid="{D5CDD505-2E9C-101B-9397-08002B2CF9AE}" pid="4" name="DocumentType">
    <vt:lpwstr>Act</vt:lpwstr>
  </property>
  <property fmtid="{D5CDD505-2E9C-101B-9397-08002B2CF9AE}" pid="5" name="OwlsUID">
    <vt:i4>1946</vt:i4>
  </property>
  <property fmtid="{D5CDD505-2E9C-101B-9397-08002B2CF9AE}" pid="6" name="ReprintNo">
    <vt:lpwstr>3</vt:lpwstr>
  </property>
  <property fmtid="{D5CDD505-2E9C-101B-9397-08002B2CF9AE}" pid="7" name="ReprintedAsAt">
    <vt:filetime>2012-09-06T16:00:00Z</vt:filetime>
  </property>
  <property fmtid="{D5CDD505-2E9C-101B-9397-08002B2CF9AE}" pid="8" name="AsAtDate">
    <vt:lpwstr>01 Oct 2014</vt:lpwstr>
  </property>
  <property fmtid="{D5CDD505-2E9C-101B-9397-08002B2CF9AE}" pid="9" name="Suffix">
    <vt:lpwstr>03-e0-02</vt:lpwstr>
  </property>
</Properties>
</file>