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7.xml" ContentType="application/vnd.openxmlformats-officedocument.wordprocessingml.header+xml"/>
  <Override PartName="/word/footer15.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Education and Care Services National Law (</w:t>
      </w:r>
      <w:smartTag w:uri="urn:schemas-microsoft-com:office:smarttags" w:element="place">
        <w:smartTag w:uri="urn:schemas-microsoft-com:office:smarttags" w:element="State">
          <w:r>
            <w:t>Western Australia</w:t>
          </w:r>
        </w:smartTag>
      </w:smartTag>
      <w:r>
        <w:t>)</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Education and Care Services National Regulations 2012</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1</w:t>
      </w:r>
      <w:r>
        <w:fldChar w:fldCharType="end"/>
      </w:r>
      <w:r>
        <w:t xml:space="preserve">:  The regulations as at </w:t>
      </w:r>
      <w:r>
        <w:fldChar w:fldCharType="begin"/>
      </w:r>
      <w:r>
        <w:instrText xml:space="preserve"> DOCPROPERTY "ReprintedAsAt" \@ "d MMMM yyyy" </w:instrText>
      </w:r>
      <w:r>
        <w:fldChar w:fldCharType="separate"/>
      </w:r>
      <w:r>
        <w:t>19 September 2014</w:t>
      </w:r>
      <w:r>
        <w:fldChar w:fldCharType="end"/>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8.5pt" o:ole="" fillcolor="window">
            <v:imagedata r:id="rId10" o:title=""/>
          </v:shape>
          <o:OLEObject Type="Embed" ProgID="Word.Picture.8" ShapeID="_x0000_i1025" DrawAspect="Content" ObjectID="_1645134919"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1"/>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21"/>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19 September 2014</w:t>
            </w:r>
            <w:r>
              <w:rPr>
                <w:b/>
                <w:sz w:val="22"/>
              </w:rPr>
              <w:fldChar w:fldCharType="end"/>
            </w:r>
          </w:p>
        </w:tc>
      </w:tr>
    </w:tbl>
    <w:p>
      <w:pPr>
        <w:pStyle w:val="WA"/>
        <w:spacing w:before="120"/>
      </w:pPr>
      <w:r>
        <w:t>Western Australia</w:t>
      </w:r>
    </w:p>
    <w:p>
      <w:pPr>
        <w:pStyle w:val="NameofActRegPage1"/>
        <w:spacing w:after="480"/>
      </w:pPr>
      <w:r>
        <w:fldChar w:fldCharType="begin"/>
      </w:r>
      <w:r>
        <w:instrText xml:space="preserve"> STYLEREF "Name Of Act/Reg"</w:instrText>
      </w:r>
      <w:r>
        <w:fldChar w:fldCharType="separate"/>
      </w:r>
      <w:r>
        <w:rPr>
          <w:noProof/>
        </w:rPr>
        <w:t>Education and Care Services National Regulations 2012</w:t>
      </w:r>
      <w:r>
        <w:fldChar w:fldCharType="end"/>
      </w:r>
    </w:p>
    <w:p>
      <w:pPr>
        <w:pStyle w:val="Arrangement"/>
      </w:pPr>
      <w:r>
        <w:t>Contents</w:t>
      </w:r>
    </w:p>
    <w:p>
      <w:pPr>
        <w:pStyle w:val="TOC2"/>
        <w:tabs>
          <w:tab w:val="right" w:leader="dot" w:pos="7088"/>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Chapter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_Toc398888097 \h </w:instrText>
      </w:r>
      <w:r>
        <w:fldChar w:fldCharType="separate"/>
      </w:r>
      <w:r>
        <w:t>1</w:t>
      </w:r>
      <w:r>
        <w:fldChar w:fldCharType="end"/>
      </w:r>
    </w:p>
    <w:p>
      <w:pPr>
        <w:pStyle w:val="TOC8"/>
        <w:rPr>
          <w:rFonts w:asciiTheme="minorHAnsi" w:eastAsiaTheme="minorEastAsia" w:hAnsiTheme="minorHAnsi" w:cstheme="minorBidi"/>
          <w:szCs w:val="22"/>
        </w:rPr>
      </w:pPr>
      <w:r>
        <w:t>2.</w:t>
      </w:r>
      <w:r>
        <w:tab/>
        <w:t>Authorising provisions</w:t>
      </w:r>
      <w:r>
        <w:tab/>
      </w:r>
      <w:r>
        <w:fldChar w:fldCharType="begin"/>
      </w:r>
      <w:r>
        <w:instrText xml:space="preserve"> PAGEREF _Toc398888098 \h </w:instrText>
      </w:r>
      <w:r>
        <w:fldChar w:fldCharType="separate"/>
      </w:r>
      <w:r>
        <w:t>1</w:t>
      </w:r>
      <w:r>
        <w:fldChar w:fldCharType="end"/>
      </w:r>
    </w:p>
    <w:p>
      <w:pPr>
        <w:pStyle w:val="TOC8"/>
        <w:rPr>
          <w:rFonts w:asciiTheme="minorHAnsi" w:eastAsiaTheme="minorEastAsia" w:hAnsiTheme="minorHAnsi" w:cstheme="minorBidi"/>
          <w:szCs w:val="22"/>
        </w:rPr>
      </w:pPr>
      <w:r>
        <w:t>3.</w:t>
      </w:r>
      <w:r>
        <w:tab/>
        <w:t>Commencement</w:t>
      </w:r>
      <w:r>
        <w:tab/>
      </w:r>
      <w:r>
        <w:fldChar w:fldCharType="begin"/>
      </w:r>
      <w:r>
        <w:instrText xml:space="preserve"> PAGEREF _Toc398888099 \h </w:instrText>
      </w:r>
      <w:r>
        <w:fldChar w:fldCharType="separate"/>
      </w:r>
      <w:r>
        <w:t>1</w:t>
      </w:r>
      <w:r>
        <w:fldChar w:fldCharType="end"/>
      </w:r>
    </w:p>
    <w:p>
      <w:pPr>
        <w:pStyle w:val="TOC8"/>
        <w:rPr>
          <w:rFonts w:asciiTheme="minorHAnsi" w:eastAsiaTheme="minorEastAsia" w:hAnsiTheme="minorHAnsi" w:cstheme="minorBidi"/>
          <w:szCs w:val="22"/>
        </w:rPr>
      </w:pPr>
      <w:r>
        <w:t>4.</w:t>
      </w:r>
      <w:r>
        <w:tab/>
        <w:t>Definitions</w:t>
      </w:r>
      <w:r>
        <w:tab/>
      </w:r>
      <w:r>
        <w:fldChar w:fldCharType="begin"/>
      </w:r>
      <w:r>
        <w:instrText xml:space="preserve"> PAGEREF _Toc398888100 \h </w:instrText>
      </w:r>
      <w:r>
        <w:fldChar w:fldCharType="separate"/>
      </w:r>
      <w:r>
        <w:t>2</w:t>
      </w:r>
      <w:r>
        <w:fldChar w:fldCharType="end"/>
      </w:r>
    </w:p>
    <w:p>
      <w:pPr>
        <w:pStyle w:val="TOC8"/>
        <w:rPr>
          <w:rFonts w:asciiTheme="minorHAnsi" w:eastAsiaTheme="minorEastAsia" w:hAnsiTheme="minorHAnsi" w:cstheme="minorBidi"/>
          <w:szCs w:val="22"/>
        </w:rPr>
      </w:pPr>
      <w:r>
        <w:t>5.</w:t>
      </w:r>
      <w:r>
        <w:tab/>
        <w:t>Services that are not education and care services</w:t>
      </w:r>
      <w:r>
        <w:tab/>
      </w:r>
      <w:r>
        <w:fldChar w:fldCharType="begin"/>
      </w:r>
      <w:r>
        <w:instrText xml:space="preserve"> PAGEREF _Toc398888101 \h </w:instrText>
      </w:r>
      <w:r>
        <w:fldChar w:fldCharType="separate"/>
      </w:r>
      <w:r>
        <w:t>8</w:t>
      </w:r>
      <w:r>
        <w:fldChar w:fldCharType="end"/>
      </w:r>
    </w:p>
    <w:p>
      <w:pPr>
        <w:pStyle w:val="TOC8"/>
        <w:rPr>
          <w:rFonts w:asciiTheme="minorHAnsi" w:eastAsiaTheme="minorEastAsia" w:hAnsiTheme="minorHAnsi" w:cstheme="minorBidi"/>
          <w:szCs w:val="22"/>
        </w:rPr>
      </w:pPr>
      <w:r>
        <w:t>6.</w:t>
      </w:r>
      <w:r>
        <w:tab/>
        <w:t>Eligible association</w:t>
      </w:r>
      <w:r>
        <w:tab/>
      </w:r>
      <w:r>
        <w:fldChar w:fldCharType="begin"/>
      </w:r>
      <w:r>
        <w:instrText xml:space="preserve"> PAGEREF _Toc398888102 \h </w:instrText>
      </w:r>
      <w:r>
        <w:fldChar w:fldCharType="separate"/>
      </w:r>
      <w:r>
        <w:t>12</w:t>
      </w:r>
      <w:r>
        <w:fldChar w:fldCharType="end"/>
      </w:r>
    </w:p>
    <w:p>
      <w:pPr>
        <w:pStyle w:val="TOC8"/>
        <w:rPr>
          <w:rFonts w:asciiTheme="minorHAnsi" w:eastAsiaTheme="minorEastAsia" w:hAnsiTheme="minorHAnsi" w:cstheme="minorBidi"/>
          <w:szCs w:val="22"/>
        </w:rPr>
      </w:pPr>
      <w:r>
        <w:t>7.</w:t>
      </w:r>
      <w:r>
        <w:tab/>
        <w:t>Prescribed rating system</w:t>
      </w:r>
      <w:r>
        <w:tab/>
      </w:r>
      <w:r>
        <w:fldChar w:fldCharType="begin"/>
      </w:r>
      <w:r>
        <w:instrText xml:space="preserve"> PAGEREF _Toc398888103 \h </w:instrText>
      </w:r>
      <w:r>
        <w:fldChar w:fldCharType="separate"/>
      </w:r>
      <w:r>
        <w:t>12</w:t>
      </w:r>
      <w:r>
        <w:fldChar w:fldCharType="end"/>
      </w:r>
    </w:p>
    <w:p>
      <w:pPr>
        <w:pStyle w:val="TOC8"/>
        <w:rPr>
          <w:rFonts w:asciiTheme="minorHAnsi" w:eastAsiaTheme="minorEastAsia" w:hAnsiTheme="minorHAnsi" w:cstheme="minorBidi"/>
          <w:szCs w:val="22"/>
        </w:rPr>
      </w:pPr>
      <w:r>
        <w:t>8.</w:t>
      </w:r>
      <w:r>
        <w:tab/>
        <w:t>National Quality Standard</w:t>
      </w:r>
      <w:r>
        <w:tab/>
      </w:r>
      <w:r>
        <w:fldChar w:fldCharType="begin"/>
      </w:r>
      <w:r>
        <w:instrText xml:space="preserve"> PAGEREF _Toc398888104 \h </w:instrText>
      </w:r>
      <w:r>
        <w:fldChar w:fldCharType="separate"/>
      </w:r>
      <w:r>
        <w:t>12</w:t>
      </w:r>
      <w:r>
        <w:fldChar w:fldCharType="end"/>
      </w:r>
    </w:p>
    <w:p>
      <w:pPr>
        <w:pStyle w:val="TOC8"/>
        <w:rPr>
          <w:rFonts w:asciiTheme="minorHAnsi" w:eastAsiaTheme="minorEastAsia" w:hAnsiTheme="minorHAnsi" w:cstheme="minorBidi"/>
          <w:szCs w:val="22"/>
        </w:rPr>
      </w:pPr>
      <w:r>
        <w:t>9.</w:t>
      </w:r>
      <w:r>
        <w:tab/>
        <w:t>Prescribed entities</w:t>
      </w:r>
      <w:r>
        <w:tab/>
      </w:r>
      <w:r>
        <w:fldChar w:fldCharType="begin"/>
      </w:r>
      <w:r>
        <w:instrText xml:space="preserve"> PAGEREF _Toc398888105 \h </w:instrText>
      </w:r>
      <w:r>
        <w:fldChar w:fldCharType="separate"/>
      </w:r>
      <w:r>
        <w:t>12</w:t>
      </w:r>
      <w:r>
        <w:fldChar w:fldCharType="end"/>
      </w:r>
    </w:p>
    <w:p>
      <w:pPr>
        <w:pStyle w:val="TOC8"/>
        <w:rPr>
          <w:rFonts w:asciiTheme="minorHAnsi" w:eastAsiaTheme="minorEastAsia" w:hAnsiTheme="minorHAnsi" w:cstheme="minorBidi"/>
          <w:szCs w:val="22"/>
        </w:rPr>
      </w:pPr>
      <w:r>
        <w:t>10.</w:t>
      </w:r>
      <w:r>
        <w:tab/>
        <w:t xml:space="preserve">Meaning of </w:t>
      </w:r>
      <w:r>
        <w:rPr>
          <w:i/>
        </w:rPr>
        <w:t>actively working towards</w:t>
      </w:r>
      <w:r>
        <w:t xml:space="preserve"> a qualification</w:t>
      </w:r>
      <w:r>
        <w:tab/>
      </w:r>
      <w:r>
        <w:fldChar w:fldCharType="begin"/>
      </w:r>
      <w:r>
        <w:instrText xml:space="preserve"> PAGEREF _Toc398888106 \h </w:instrText>
      </w:r>
      <w:r>
        <w:fldChar w:fldCharType="separate"/>
      </w:r>
      <w:r>
        <w:t>12</w:t>
      </w:r>
      <w:r>
        <w:fldChar w:fldCharType="end"/>
      </w:r>
    </w:p>
    <w:p>
      <w:pPr>
        <w:pStyle w:val="TOC8"/>
        <w:rPr>
          <w:rFonts w:asciiTheme="minorHAnsi" w:eastAsiaTheme="minorEastAsia" w:hAnsiTheme="minorHAnsi" w:cstheme="minorBidi"/>
          <w:szCs w:val="22"/>
        </w:rPr>
      </w:pPr>
      <w:r>
        <w:t>11.</w:t>
      </w:r>
      <w:r>
        <w:tab/>
        <w:t xml:space="preserve">Meaning of </w:t>
      </w:r>
      <w:r>
        <w:rPr>
          <w:i/>
        </w:rPr>
        <w:t>in attendance</w:t>
      </w:r>
      <w:r>
        <w:t xml:space="preserve"> at a centre</w:t>
      </w:r>
      <w:r>
        <w:noBreakHyphen/>
        <w:t>based service</w:t>
      </w:r>
      <w:r>
        <w:tab/>
      </w:r>
      <w:r>
        <w:fldChar w:fldCharType="begin"/>
      </w:r>
      <w:r>
        <w:instrText xml:space="preserve"> PAGEREF _Toc398888107 \h </w:instrText>
      </w:r>
      <w:r>
        <w:fldChar w:fldCharType="separate"/>
      </w:r>
      <w:r>
        <w:t>13</w:t>
      </w:r>
      <w:r>
        <w:fldChar w:fldCharType="end"/>
      </w:r>
    </w:p>
    <w:p>
      <w:pPr>
        <w:pStyle w:val="TOC8"/>
        <w:rPr>
          <w:rFonts w:asciiTheme="minorHAnsi" w:eastAsiaTheme="minorEastAsia" w:hAnsiTheme="minorHAnsi" w:cstheme="minorBidi"/>
          <w:szCs w:val="22"/>
        </w:rPr>
      </w:pPr>
      <w:r>
        <w:t>12.</w:t>
      </w:r>
      <w:r>
        <w:tab/>
        <w:t xml:space="preserve">Meaning of </w:t>
      </w:r>
      <w:r>
        <w:rPr>
          <w:i/>
        </w:rPr>
        <w:t>serious incident</w:t>
      </w:r>
      <w:r>
        <w:tab/>
      </w:r>
      <w:r>
        <w:fldChar w:fldCharType="begin"/>
      </w:r>
      <w:r>
        <w:instrText xml:space="preserve"> PAGEREF _Toc398888108 \h </w:instrText>
      </w:r>
      <w:r>
        <w:fldChar w:fldCharType="separate"/>
      </w:r>
      <w:r>
        <w:t>13</w:t>
      </w:r>
      <w:r>
        <w:fldChar w:fldCharType="end"/>
      </w:r>
    </w:p>
    <w:p>
      <w:pPr>
        <w:pStyle w:val="TOC8"/>
        <w:rPr>
          <w:rFonts w:asciiTheme="minorHAnsi" w:eastAsiaTheme="minorEastAsia" w:hAnsiTheme="minorHAnsi" w:cstheme="minorBidi"/>
          <w:szCs w:val="22"/>
        </w:rPr>
      </w:pPr>
      <w:r>
        <w:t>13.</w:t>
      </w:r>
      <w:r>
        <w:tab/>
        <w:t xml:space="preserve">Meaning of </w:t>
      </w:r>
      <w:r>
        <w:rPr>
          <w:i/>
        </w:rPr>
        <w:t>working directly with children</w:t>
      </w:r>
      <w:r>
        <w:tab/>
      </w:r>
      <w:r>
        <w:fldChar w:fldCharType="begin"/>
      </w:r>
      <w:r>
        <w:instrText xml:space="preserve"> PAGEREF _Toc398888109 \h </w:instrText>
      </w:r>
      <w:r>
        <w:fldChar w:fldCharType="separate"/>
      </w:r>
      <w:r>
        <w:t>14</w:t>
      </w:r>
      <w:r>
        <w:fldChar w:fldCharType="end"/>
      </w:r>
    </w:p>
    <w:p>
      <w:pPr>
        <w:pStyle w:val="TOC2"/>
        <w:tabs>
          <w:tab w:val="right" w:leader="dot" w:pos="7088"/>
        </w:tabs>
        <w:rPr>
          <w:rFonts w:asciiTheme="minorHAnsi" w:eastAsiaTheme="minorEastAsia" w:hAnsiTheme="minorHAnsi" w:cstheme="minorBidi"/>
          <w:b w:val="0"/>
          <w:sz w:val="22"/>
          <w:szCs w:val="22"/>
        </w:rPr>
      </w:pPr>
      <w:r>
        <w:t>Chapter 2 — Approvals and certificates</w:t>
      </w:r>
    </w:p>
    <w:p>
      <w:pPr>
        <w:pStyle w:val="TOC4"/>
        <w:tabs>
          <w:tab w:val="right" w:leader="dot" w:pos="7088"/>
        </w:tabs>
        <w:rPr>
          <w:rFonts w:asciiTheme="minorHAnsi" w:eastAsiaTheme="minorEastAsia" w:hAnsiTheme="minorHAnsi" w:cstheme="minorBidi"/>
          <w:b w:val="0"/>
          <w:szCs w:val="22"/>
        </w:rPr>
      </w:pPr>
      <w:r>
        <w:t>Part 2.1 — Provider approvals</w:t>
      </w:r>
    </w:p>
    <w:p>
      <w:pPr>
        <w:pStyle w:val="TOC8"/>
        <w:rPr>
          <w:rFonts w:asciiTheme="minorHAnsi" w:eastAsiaTheme="minorEastAsia" w:hAnsiTheme="minorHAnsi" w:cstheme="minorBidi"/>
          <w:szCs w:val="22"/>
        </w:rPr>
      </w:pPr>
      <w:r>
        <w:t>14.</w:t>
      </w:r>
      <w:r>
        <w:tab/>
        <w:t>Application for provider approval by individual</w:t>
      </w:r>
      <w:r>
        <w:tab/>
      </w:r>
      <w:r>
        <w:fldChar w:fldCharType="begin"/>
      </w:r>
      <w:r>
        <w:instrText xml:space="preserve"> PAGEREF _Toc398888112 \h </w:instrText>
      </w:r>
      <w:r>
        <w:fldChar w:fldCharType="separate"/>
      </w:r>
      <w:r>
        <w:t>15</w:t>
      </w:r>
      <w:r>
        <w:fldChar w:fldCharType="end"/>
      </w:r>
    </w:p>
    <w:p>
      <w:pPr>
        <w:pStyle w:val="TOC8"/>
        <w:rPr>
          <w:rFonts w:asciiTheme="minorHAnsi" w:eastAsiaTheme="minorEastAsia" w:hAnsiTheme="minorHAnsi" w:cstheme="minorBidi"/>
          <w:szCs w:val="22"/>
        </w:rPr>
      </w:pPr>
      <w:r>
        <w:t>15.</w:t>
      </w:r>
      <w:r>
        <w:tab/>
        <w:t>Application for provider approval by person other than an individual</w:t>
      </w:r>
      <w:r>
        <w:tab/>
      </w:r>
      <w:r>
        <w:fldChar w:fldCharType="begin"/>
      </w:r>
      <w:r>
        <w:instrText xml:space="preserve"> PAGEREF _Toc398888113 \h </w:instrText>
      </w:r>
      <w:r>
        <w:fldChar w:fldCharType="separate"/>
      </w:r>
      <w:r>
        <w:t>17</w:t>
      </w:r>
      <w:r>
        <w:fldChar w:fldCharType="end"/>
      </w:r>
    </w:p>
    <w:p>
      <w:pPr>
        <w:pStyle w:val="TOC8"/>
        <w:rPr>
          <w:rFonts w:asciiTheme="minorHAnsi" w:eastAsiaTheme="minorEastAsia" w:hAnsiTheme="minorHAnsi" w:cstheme="minorBidi"/>
          <w:szCs w:val="22"/>
        </w:rPr>
      </w:pPr>
      <w:r>
        <w:t>16.</w:t>
      </w:r>
      <w:r>
        <w:tab/>
        <w:t>Matters relating to criminal history</w:t>
      </w:r>
      <w:r>
        <w:tab/>
      </w:r>
      <w:r>
        <w:fldChar w:fldCharType="begin"/>
      </w:r>
      <w:r>
        <w:instrText xml:space="preserve"> PAGEREF _Toc398888114 \h </w:instrText>
      </w:r>
      <w:r>
        <w:fldChar w:fldCharType="separate"/>
      </w:r>
      <w:r>
        <w:t>18</w:t>
      </w:r>
      <w:r>
        <w:fldChar w:fldCharType="end"/>
      </w:r>
    </w:p>
    <w:p>
      <w:pPr>
        <w:pStyle w:val="TOC8"/>
        <w:rPr>
          <w:rFonts w:asciiTheme="minorHAnsi" w:eastAsiaTheme="minorEastAsia" w:hAnsiTheme="minorHAnsi" w:cstheme="minorBidi"/>
          <w:szCs w:val="22"/>
        </w:rPr>
      </w:pPr>
      <w:r>
        <w:t>17.</w:t>
      </w:r>
      <w:r>
        <w:tab/>
        <w:t>Application for amendment of provider approval</w:t>
      </w:r>
      <w:r>
        <w:tab/>
      </w:r>
      <w:r>
        <w:fldChar w:fldCharType="begin"/>
      </w:r>
      <w:r>
        <w:instrText xml:space="preserve"> PAGEREF _Toc398888115 \h </w:instrText>
      </w:r>
      <w:r>
        <w:fldChar w:fldCharType="separate"/>
      </w:r>
      <w:r>
        <w:t>18</w:t>
      </w:r>
      <w:r>
        <w:fldChar w:fldCharType="end"/>
      </w:r>
    </w:p>
    <w:p>
      <w:pPr>
        <w:pStyle w:val="TOC8"/>
        <w:rPr>
          <w:rFonts w:asciiTheme="minorHAnsi" w:eastAsiaTheme="minorEastAsia" w:hAnsiTheme="minorHAnsi" w:cstheme="minorBidi"/>
          <w:szCs w:val="22"/>
        </w:rPr>
      </w:pPr>
      <w:r>
        <w:t>18.</w:t>
      </w:r>
      <w:r>
        <w:tab/>
        <w:t>Maximum period of suspension of provider approval</w:t>
      </w:r>
      <w:r>
        <w:tab/>
      </w:r>
      <w:r>
        <w:fldChar w:fldCharType="begin"/>
      </w:r>
      <w:r>
        <w:instrText xml:space="preserve"> PAGEREF _Toc398888116 \h </w:instrText>
      </w:r>
      <w:r>
        <w:fldChar w:fldCharType="separate"/>
      </w:r>
      <w:r>
        <w:t>19</w:t>
      </w:r>
      <w:r>
        <w:fldChar w:fldCharType="end"/>
      </w:r>
    </w:p>
    <w:p>
      <w:pPr>
        <w:pStyle w:val="TOC8"/>
        <w:rPr>
          <w:rFonts w:asciiTheme="minorHAnsi" w:eastAsiaTheme="minorEastAsia" w:hAnsiTheme="minorHAnsi" w:cstheme="minorBidi"/>
          <w:szCs w:val="22"/>
        </w:rPr>
      </w:pPr>
      <w:r>
        <w:t>19.</w:t>
      </w:r>
      <w:r>
        <w:tab/>
        <w:t>Application for voluntary suspension of provider approval</w:t>
      </w:r>
      <w:r>
        <w:tab/>
      </w:r>
      <w:r>
        <w:fldChar w:fldCharType="begin"/>
      </w:r>
      <w:r>
        <w:instrText xml:space="preserve"> PAGEREF _Toc398888117 \h </w:instrText>
      </w:r>
      <w:r>
        <w:fldChar w:fldCharType="separate"/>
      </w:r>
      <w:r>
        <w:t>19</w:t>
      </w:r>
      <w:r>
        <w:fldChar w:fldCharType="end"/>
      </w:r>
    </w:p>
    <w:p>
      <w:pPr>
        <w:pStyle w:val="TOC8"/>
        <w:rPr>
          <w:rFonts w:asciiTheme="minorHAnsi" w:eastAsiaTheme="minorEastAsia" w:hAnsiTheme="minorHAnsi" w:cstheme="minorBidi"/>
          <w:szCs w:val="22"/>
        </w:rPr>
      </w:pPr>
      <w:r>
        <w:t>20.</w:t>
      </w:r>
      <w:r>
        <w:tab/>
        <w:t>Application by individual executor for provider approval</w:t>
      </w:r>
      <w:r>
        <w:tab/>
      </w:r>
      <w:r>
        <w:fldChar w:fldCharType="begin"/>
      </w:r>
      <w:r>
        <w:instrText xml:space="preserve"> PAGEREF _Toc398888118 \h </w:instrText>
      </w:r>
      <w:r>
        <w:fldChar w:fldCharType="separate"/>
      </w:r>
      <w:r>
        <w:t>19</w:t>
      </w:r>
      <w:r>
        <w:fldChar w:fldCharType="end"/>
      </w:r>
    </w:p>
    <w:p>
      <w:pPr>
        <w:pStyle w:val="TOC8"/>
        <w:rPr>
          <w:rFonts w:asciiTheme="minorHAnsi" w:eastAsiaTheme="minorEastAsia" w:hAnsiTheme="minorHAnsi" w:cstheme="minorBidi"/>
          <w:szCs w:val="22"/>
        </w:rPr>
      </w:pPr>
      <w:r>
        <w:t>21.</w:t>
      </w:r>
      <w:r>
        <w:tab/>
        <w:t>Application by executor other than an individual for provider approval</w:t>
      </w:r>
      <w:r>
        <w:tab/>
      </w:r>
      <w:r>
        <w:fldChar w:fldCharType="begin"/>
      </w:r>
      <w:r>
        <w:instrText xml:space="preserve"> PAGEREF _Toc398888119 \h </w:instrText>
      </w:r>
      <w:r>
        <w:fldChar w:fldCharType="separate"/>
      </w:r>
      <w:r>
        <w:t>21</w:t>
      </w:r>
      <w:r>
        <w:fldChar w:fldCharType="end"/>
      </w:r>
    </w:p>
    <w:p>
      <w:pPr>
        <w:pStyle w:val="TOC8"/>
        <w:rPr>
          <w:rFonts w:asciiTheme="minorHAnsi" w:eastAsiaTheme="minorEastAsia" w:hAnsiTheme="minorHAnsi" w:cstheme="minorBidi"/>
          <w:szCs w:val="22"/>
        </w:rPr>
      </w:pPr>
      <w:r>
        <w:t>22.</w:t>
      </w:r>
      <w:r>
        <w:tab/>
        <w:t>Application by individual for provider approval on incapacity of approved provider</w:t>
      </w:r>
      <w:r>
        <w:tab/>
      </w:r>
      <w:r>
        <w:fldChar w:fldCharType="begin"/>
      </w:r>
      <w:r>
        <w:instrText xml:space="preserve"> PAGEREF _Toc398888120 \h </w:instrText>
      </w:r>
      <w:r>
        <w:fldChar w:fldCharType="separate"/>
      </w:r>
      <w:r>
        <w:t>22</w:t>
      </w:r>
      <w:r>
        <w:fldChar w:fldCharType="end"/>
      </w:r>
    </w:p>
    <w:p>
      <w:pPr>
        <w:pStyle w:val="TOC8"/>
        <w:rPr>
          <w:rFonts w:asciiTheme="minorHAnsi" w:eastAsiaTheme="minorEastAsia" w:hAnsiTheme="minorHAnsi" w:cstheme="minorBidi"/>
          <w:szCs w:val="22"/>
        </w:rPr>
      </w:pPr>
      <w:r>
        <w:t>23.</w:t>
      </w:r>
      <w:r>
        <w:tab/>
        <w:t>Application by person other than an individual for provider approval on incapacity of approved provider</w:t>
      </w:r>
      <w:r>
        <w:tab/>
      </w:r>
      <w:r>
        <w:fldChar w:fldCharType="begin"/>
      </w:r>
      <w:r>
        <w:instrText xml:space="preserve"> PAGEREF _Toc398888121 \h </w:instrText>
      </w:r>
      <w:r>
        <w:fldChar w:fldCharType="separate"/>
      </w:r>
      <w:r>
        <w:t>24</w:t>
      </w:r>
      <w:r>
        <w:fldChar w:fldCharType="end"/>
      </w:r>
    </w:p>
    <w:p>
      <w:pPr>
        <w:pStyle w:val="TOC4"/>
        <w:tabs>
          <w:tab w:val="right" w:leader="dot" w:pos="7088"/>
        </w:tabs>
        <w:rPr>
          <w:rFonts w:asciiTheme="minorHAnsi" w:eastAsiaTheme="minorEastAsia" w:hAnsiTheme="minorHAnsi" w:cstheme="minorBidi"/>
          <w:b w:val="0"/>
          <w:szCs w:val="22"/>
        </w:rPr>
      </w:pPr>
      <w:r>
        <w:t>Part 2.2 — Service approvals</w:t>
      </w:r>
    </w:p>
    <w:p>
      <w:pPr>
        <w:pStyle w:val="TOC6"/>
        <w:tabs>
          <w:tab w:val="right" w:leader="dot" w:pos="7088"/>
        </w:tabs>
        <w:rPr>
          <w:rFonts w:asciiTheme="minorHAnsi" w:eastAsiaTheme="minorEastAsia" w:hAnsiTheme="minorHAnsi" w:cstheme="minorBidi"/>
          <w:b w:val="0"/>
          <w:sz w:val="22"/>
          <w:szCs w:val="22"/>
        </w:rPr>
      </w:pPr>
      <w:r>
        <w:t>Division 1 — Applications for service approvals</w:t>
      </w:r>
    </w:p>
    <w:p>
      <w:pPr>
        <w:pStyle w:val="TOC8"/>
        <w:rPr>
          <w:rFonts w:asciiTheme="minorHAnsi" w:eastAsiaTheme="minorEastAsia" w:hAnsiTheme="minorHAnsi" w:cstheme="minorBidi"/>
          <w:szCs w:val="22"/>
        </w:rPr>
      </w:pPr>
      <w:r>
        <w:t>24.</w:t>
      </w:r>
      <w:r>
        <w:tab/>
        <w:t>Application for service approval — centre</w:t>
      </w:r>
      <w:r>
        <w:noBreakHyphen/>
        <w:t>based service</w:t>
      </w:r>
      <w:r>
        <w:tab/>
      </w:r>
      <w:r>
        <w:fldChar w:fldCharType="begin"/>
      </w:r>
      <w:r>
        <w:instrText xml:space="preserve"> PAGEREF _Toc398888124 \h </w:instrText>
      </w:r>
      <w:r>
        <w:fldChar w:fldCharType="separate"/>
      </w:r>
      <w:r>
        <w:t>25</w:t>
      </w:r>
      <w:r>
        <w:fldChar w:fldCharType="end"/>
      </w:r>
    </w:p>
    <w:p>
      <w:pPr>
        <w:pStyle w:val="TOC8"/>
        <w:rPr>
          <w:rFonts w:asciiTheme="minorHAnsi" w:eastAsiaTheme="minorEastAsia" w:hAnsiTheme="minorHAnsi" w:cstheme="minorBidi"/>
          <w:szCs w:val="22"/>
        </w:rPr>
      </w:pPr>
      <w:r>
        <w:t>25.</w:t>
      </w:r>
      <w:r>
        <w:tab/>
        <w:t>Additional information about proposed education and care service premises</w:t>
      </w:r>
      <w:r>
        <w:tab/>
      </w:r>
      <w:r>
        <w:fldChar w:fldCharType="begin"/>
      </w:r>
      <w:r>
        <w:instrText xml:space="preserve"> PAGEREF _Toc398888125 \h </w:instrText>
      </w:r>
      <w:r>
        <w:fldChar w:fldCharType="separate"/>
      </w:r>
      <w:r>
        <w:t>26</w:t>
      </w:r>
      <w:r>
        <w:fldChar w:fldCharType="end"/>
      </w:r>
    </w:p>
    <w:p>
      <w:pPr>
        <w:pStyle w:val="TOC8"/>
        <w:rPr>
          <w:rFonts w:asciiTheme="minorHAnsi" w:eastAsiaTheme="minorEastAsia" w:hAnsiTheme="minorHAnsi" w:cstheme="minorBidi"/>
          <w:szCs w:val="22"/>
        </w:rPr>
      </w:pPr>
      <w:r>
        <w:t>26.</w:t>
      </w:r>
      <w:r>
        <w:tab/>
        <w:t>Application for service approval — family day care service</w:t>
      </w:r>
      <w:r>
        <w:tab/>
      </w:r>
      <w:r>
        <w:fldChar w:fldCharType="begin"/>
      </w:r>
      <w:r>
        <w:instrText xml:space="preserve"> PAGEREF _Toc398888126 \h </w:instrText>
      </w:r>
      <w:r>
        <w:fldChar w:fldCharType="separate"/>
      </w:r>
      <w:r>
        <w:t>28</w:t>
      </w:r>
      <w:r>
        <w:fldChar w:fldCharType="end"/>
      </w:r>
    </w:p>
    <w:p>
      <w:pPr>
        <w:pStyle w:val="TOC8"/>
        <w:rPr>
          <w:rFonts w:asciiTheme="minorHAnsi" w:eastAsiaTheme="minorEastAsia" w:hAnsiTheme="minorHAnsi" w:cstheme="minorBidi"/>
          <w:szCs w:val="22"/>
        </w:rPr>
      </w:pPr>
      <w:r>
        <w:t>27.</w:t>
      </w:r>
      <w:r>
        <w:tab/>
        <w:t>Additional matters to have regard to in determining application for service approval</w:t>
      </w:r>
      <w:r>
        <w:tab/>
      </w:r>
      <w:r>
        <w:fldChar w:fldCharType="begin"/>
      </w:r>
      <w:r>
        <w:instrText xml:space="preserve"> PAGEREF _Toc398888127 \h </w:instrText>
      </w:r>
      <w:r>
        <w:fldChar w:fldCharType="separate"/>
      </w:r>
      <w:r>
        <w:t>30</w:t>
      </w:r>
      <w:r>
        <w:fldChar w:fldCharType="end"/>
      </w:r>
    </w:p>
    <w:p>
      <w:pPr>
        <w:pStyle w:val="TOC8"/>
        <w:rPr>
          <w:rFonts w:asciiTheme="minorHAnsi" w:eastAsiaTheme="minorEastAsia" w:hAnsiTheme="minorHAnsi" w:cstheme="minorBidi"/>
          <w:szCs w:val="22"/>
        </w:rPr>
      </w:pPr>
      <w:r>
        <w:t>28.</w:t>
      </w:r>
      <w:r>
        <w:tab/>
        <w:t>Additional grounds for refusal to grant service approval</w:t>
      </w:r>
      <w:r>
        <w:tab/>
      </w:r>
      <w:r>
        <w:fldChar w:fldCharType="begin"/>
      </w:r>
      <w:r>
        <w:instrText xml:space="preserve"> PAGEREF _Toc398888128 \h </w:instrText>
      </w:r>
      <w:r>
        <w:fldChar w:fldCharType="separate"/>
      </w:r>
      <w:r>
        <w:t>30</w:t>
      </w:r>
      <w:r>
        <w:fldChar w:fldCharType="end"/>
      </w:r>
    </w:p>
    <w:p>
      <w:pPr>
        <w:pStyle w:val="TOC8"/>
        <w:rPr>
          <w:rFonts w:asciiTheme="minorHAnsi" w:eastAsiaTheme="minorEastAsia" w:hAnsiTheme="minorHAnsi" w:cstheme="minorBidi"/>
          <w:szCs w:val="22"/>
        </w:rPr>
      </w:pPr>
      <w:r>
        <w:t>29.</w:t>
      </w:r>
      <w:r>
        <w:tab/>
        <w:t>Condition on service approval — insurance</w:t>
      </w:r>
      <w:r>
        <w:tab/>
      </w:r>
      <w:r>
        <w:fldChar w:fldCharType="begin"/>
      </w:r>
      <w:r>
        <w:instrText xml:space="preserve"> PAGEREF _Toc398888129 \h </w:instrText>
      </w:r>
      <w:r>
        <w:fldChar w:fldCharType="separate"/>
      </w:r>
      <w:r>
        <w:t>31</w:t>
      </w:r>
      <w:r>
        <w:fldChar w:fldCharType="end"/>
      </w:r>
    </w:p>
    <w:p>
      <w:pPr>
        <w:pStyle w:val="TOC8"/>
        <w:rPr>
          <w:rFonts w:asciiTheme="minorHAnsi" w:eastAsiaTheme="minorEastAsia" w:hAnsiTheme="minorHAnsi" w:cstheme="minorBidi"/>
          <w:szCs w:val="22"/>
        </w:rPr>
      </w:pPr>
      <w:r>
        <w:t>30.</w:t>
      </w:r>
      <w:r>
        <w:tab/>
        <w:t>Condition on service approval — family day care educator insurance</w:t>
      </w:r>
      <w:r>
        <w:tab/>
      </w:r>
      <w:r>
        <w:fldChar w:fldCharType="begin"/>
      </w:r>
      <w:r>
        <w:instrText xml:space="preserve"> PAGEREF _Toc398888130 \h </w:instrText>
      </w:r>
      <w:r>
        <w:fldChar w:fldCharType="separate"/>
      </w:r>
      <w:r>
        <w:t>31</w:t>
      </w:r>
      <w:r>
        <w:fldChar w:fldCharType="end"/>
      </w:r>
    </w:p>
    <w:p>
      <w:pPr>
        <w:pStyle w:val="TOC8"/>
        <w:rPr>
          <w:rFonts w:asciiTheme="minorHAnsi" w:eastAsiaTheme="minorEastAsia" w:hAnsiTheme="minorHAnsi" w:cstheme="minorBidi"/>
          <w:szCs w:val="22"/>
        </w:rPr>
      </w:pPr>
      <w:r>
        <w:t>31.</w:t>
      </w:r>
      <w:r>
        <w:tab/>
        <w:t>Condition on service approval — quality improvement plan</w:t>
      </w:r>
      <w:r>
        <w:tab/>
      </w:r>
      <w:r>
        <w:fldChar w:fldCharType="begin"/>
      </w:r>
      <w:r>
        <w:instrText xml:space="preserve"> PAGEREF _Toc398888131 \h </w:instrText>
      </w:r>
      <w:r>
        <w:fldChar w:fldCharType="separate"/>
      </w:r>
      <w:r>
        <w:t>31</w:t>
      </w:r>
      <w:r>
        <w:fldChar w:fldCharType="end"/>
      </w:r>
    </w:p>
    <w:p>
      <w:pPr>
        <w:pStyle w:val="TOC8"/>
        <w:rPr>
          <w:rFonts w:asciiTheme="minorHAnsi" w:eastAsiaTheme="minorEastAsia" w:hAnsiTheme="minorHAnsi" w:cstheme="minorBidi"/>
          <w:szCs w:val="22"/>
        </w:rPr>
      </w:pPr>
      <w:r>
        <w:t>32.</w:t>
      </w:r>
      <w:r>
        <w:tab/>
        <w:t>Condition on service approval — entitlement to occupy premises</w:t>
      </w:r>
      <w:r>
        <w:tab/>
      </w:r>
      <w:r>
        <w:fldChar w:fldCharType="begin"/>
      </w:r>
      <w:r>
        <w:instrText xml:space="preserve"> PAGEREF _Toc398888132 \h </w:instrText>
      </w:r>
      <w:r>
        <w:fldChar w:fldCharType="separate"/>
      </w:r>
      <w:r>
        <w:t>32</w:t>
      </w:r>
      <w:r>
        <w:fldChar w:fldCharType="end"/>
      </w:r>
    </w:p>
    <w:p>
      <w:pPr>
        <w:pStyle w:val="TOC8"/>
        <w:rPr>
          <w:rFonts w:asciiTheme="minorHAnsi" w:eastAsiaTheme="minorEastAsia" w:hAnsiTheme="minorHAnsi" w:cstheme="minorBidi"/>
          <w:szCs w:val="22"/>
        </w:rPr>
      </w:pPr>
      <w:r>
        <w:t>33.</w:t>
      </w:r>
      <w:r>
        <w:tab/>
        <w:t>Annual fees</w:t>
      </w:r>
      <w:r>
        <w:tab/>
      </w:r>
      <w:r>
        <w:fldChar w:fldCharType="begin"/>
      </w:r>
      <w:r>
        <w:instrText xml:space="preserve"> PAGEREF _Toc398888133 \h </w:instrText>
      </w:r>
      <w:r>
        <w:fldChar w:fldCharType="separate"/>
      </w:r>
      <w:r>
        <w:t>32</w:t>
      </w:r>
      <w:r>
        <w:fldChar w:fldCharType="end"/>
      </w:r>
    </w:p>
    <w:p>
      <w:pPr>
        <w:pStyle w:val="TOC6"/>
        <w:tabs>
          <w:tab w:val="right" w:leader="dot" w:pos="7088"/>
        </w:tabs>
        <w:rPr>
          <w:rFonts w:asciiTheme="minorHAnsi" w:eastAsiaTheme="minorEastAsia" w:hAnsiTheme="minorHAnsi" w:cstheme="minorBidi"/>
          <w:b w:val="0"/>
          <w:sz w:val="22"/>
          <w:szCs w:val="22"/>
        </w:rPr>
      </w:pPr>
      <w:r>
        <w:t>Division 2 — Amendment of service approval and notice of change to nominated supervisor</w:t>
      </w:r>
    </w:p>
    <w:p>
      <w:pPr>
        <w:pStyle w:val="TOC8"/>
        <w:rPr>
          <w:rFonts w:asciiTheme="minorHAnsi" w:eastAsiaTheme="minorEastAsia" w:hAnsiTheme="minorHAnsi" w:cstheme="minorBidi"/>
          <w:szCs w:val="22"/>
        </w:rPr>
      </w:pPr>
      <w:r>
        <w:t>34.</w:t>
      </w:r>
      <w:r>
        <w:tab/>
        <w:t>Prescribed information for application to amend service approval</w:t>
      </w:r>
      <w:r>
        <w:tab/>
      </w:r>
      <w:r>
        <w:fldChar w:fldCharType="begin"/>
      </w:r>
      <w:r>
        <w:instrText xml:space="preserve"> PAGEREF _Toc398888135 \h </w:instrText>
      </w:r>
      <w:r>
        <w:fldChar w:fldCharType="separate"/>
      </w:r>
      <w:r>
        <w:t>32</w:t>
      </w:r>
      <w:r>
        <w:fldChar w:fldCharType="end"/>
      </w:r>
    </w:p>
    <w:p>
      <w:pPr>
        <w:pStyle w:val="TOC8"/>
        <w:rPr>
          <w:rFonts w:asciiTheme="minorHAnsi" w:eastAsiaTheme="minorEastAsia" w:hAnsiTheme="minorHAnsi" w:cstheme="minorBidi"/>
          <w:szCs w:val="22"/>
        </w:rPr>
      </w:pPr>
      <w:r>
        <w:t>35.</w:t>
      </w:r>
      <w:r>
        <w:tab/>
        <w:t>Notice of change to nominated supervisor</w:t>
      </w:r>
      <w:r>
        <w:tab/>
      </w:r>
      <w:r>
        <w:fldChar w:fldCharType="begin"/>
      </w:r>
      <w:r>
        <w:instrText xml:space="preserve"> PAGEREF _Toc398888136 \h </w:instrText>
      </w:r>
      <w:r>
        <w:fldChar w:fldCharType="separate"/>
      </w:r>
      <w:r>
        <w:t>33</w:t>
      </w:r>
      <w:r>
        <w:fldChar w:fldCharType="end"/>
      </w:r>
    </w:p>
    <w:p>
      <w:pPr>
        <w:pStyle w:val="TOC6"/>
        <w:tabs>
          <w:tab w:val="right" w:leader="dot" w:pos="7088"/>
        </w:tabs>
        <w:rPr>
          <w:rFonts w:asciiTheme="minorHAnsi" w:eastAsiaTheme="minorEastAsia" w:hAnsiTheme="minorHAnsi" w:cstheme="minorBidi"/>
          <w:b w:val="0"/>
          <w:sz w:val="22"/>
          <w:szCs w:val="22"/>
        </w:rPr>
      </w:pPr>
      <w:r>
        <w:t>Division 3 — Transfer of service approval</w:t>
      </w:r>
    </w:p>
    <w:p>
      <w:pPr>
        <w:pStyle w:val="TOC8"/>
        <w:rPr>
          <w:rFonts w:asciiTheme="minorHAnsi" w:eastAsiaTheme="minorEastAsia" w:hAnsiTheme="minorHAnsi" w:cstheme="minorBidi"/>
          <w:szCs w:val="22"/>
        </w:rPr>
      </w:pPr>
      <w:r>
        <w:t>36.</w:t>
      </w:r>
      <w:r>
        <w:tab/>
        <w:t>Notice of transfer of service approval — centre</w:t>
      </w:r>
      <w:r>
        <w:noBreakHyphen/>
        <w:t>based service</w:t>
      </w:r>
      <w:r>
        <w:tab/>
      </w:r>
      <w:r>
        <w:fldChar w:fldCharType="begin"/>
      </w:r>
      <w:r>
        <w:instrText xml:space="preserve"> PAGEREF _Toc398888138 \h </w:instrText>
      </w:r>
      <w:r>
        <w:fldChar w:fldCharType="separate"/>
      </w:r>
      <w:r>
        <w:t>33</w:t>
      </w:r>
      <w:r>
        <w:fldChar w:fldCharType="end"/>
      </w:r>
    </w:p>
    <w:p>
      <w:pPr>
        <w:pStyle w:val="TOC8"/>
        <w:rPr>
          <w:rFonts w:asciiTheme="minorHAnsi" w:eastAsiaTheme="minorEastAsia" w:hAnsiTheme="minorHAnsi" w:cstheme="minorBidi"/>
          <w:szCs w:val="22"/>
        </w:rPr>
      </w:pPr>
      <w:r>
        <w:t>37.</w:t>
      </w:r>
      <w:r>
        <w:tab/>
        <w:t>Notice of transfer of service approval — family day care service</w:t>
      </w:r>
      <w:r>
        <w:tab/>
      </w:r>
      <w:r>
        <w:fldChar w:fldCharType="begin"/>
      </w:r>
      <w:r>
        <w:instrText xml:space="preserve"> PAGEREF _Toc398888139 \h </w:instrText>
      </w:r>
      <w:r>
        <w:fldChar w:fldCharType="separate"/>
      </w:r>
      <w:r>
        <w:t>34</w:t>
      </w:r>
      <w:r>
        <w:fldChar w:fldCharType="end"/>
      </w:r>
    </w:p>
    <w:p>
      <w:pPr>
        <w:pStyle w:val="TOC8"/>
        <w:rPr>
          <w:rFonts w:asciiTheme="minorHAnsi" w:eastAsiaTheme="minorEastAsia" w:hAnsiTheme="minorHAnsi" w:cstheme="minorBidi"/>
          <w:szCs w:val="22"/>
        </w:rPr>
      </w:pPr>
      <w:r>
        <w:t>38.</w:t>
      </w:r>
      <w:r>
        <w:tab/>
        <w:t>Notification of decision to intervene in transfer of service approval</w:t>
      </w:r>
      <w:r>
        <w:tab/>
      </w:r>
      <w:r>
        <w:fldChar w:fldCharType="begin"/>
      </w:r>
      <w:r>
        <w:instrText xml:space="preserve"> PAGEREF _Toc398888140 \h </w:instrText>
      </w:r>
      <w:r>
        <w:fldChar w:fldCharType="separate"/>
      </w:r>
      <w:r>
        <w:t>34</w:t>
      </w:r>
      <w:r>
        <w:fldChar w:fldCharType="end"/>
      </w:r>
    </w:p>
    <w:p>
      <w:pPr>
        <w:pStyle w:val="TOC6"/>
        <w:tabs>
          <w:tab w:val="right" w:leader="dot" w:pos="7088"/>
        </w:tabs>
        <w:rPr>
          <w:rFonts w:asciiTheme="minorHAnsi" w:eastAsiaTheme="minorEastAsia" w:hAnsiTheme="minorHAnsi" w:cstheme="minorBidi"/>
          <w:b w:val="0"/>
          <w:sz w:val="22"/>
          <w:szCs w:val="22"/>
        </w:rPr>
      </w:pPr>
      <w:r>
        <w:t>Division 4 — Suspension of service approval</w:t>
      </w:r>
    </w:p>
    <w:p>
      <w:pPr>
        <w:pStyle w:val="TOC8"/>
        <w:rPr>
          <w:rFonts w:asciiTheme="minorHAnsi" w:eastAsiaTheme="minorEastAsia" w:hAnsiTheme="minorHAnsi" w:cstheme="minorBidi"/>
          <w:szCs w:val="22"/>
        </w:rPr>
      </w:pPr>
      <w:r>
        <w:t>39.</w:t>
      </w:r>
      <w:r>
        <w:tab/>
        <w:t>Maximum period of suspension of service approval</w:t>
      </w:r>
      <w:r>
        <w:tab/>
      </w:r>
      <w:r>
        <w:fldChar w:fldCharType="begin"/>
      </w:r>
      <w:r>
        <w:instrText xml:space="preserve"> PAGEREF _Toc398888142 \h </w:instrText>
      </w:r>
      <w:r>
        <w:fldChar w:fldCharType="separate"/>
      </w:r>
      <w:r>
        <w:t>35</w:t>
      </w:r>
      <w:r>
        <w:fldChar w:fldCharType="end"/>
      </w:r>
    </w:p>
    <w:p>
      <w:pPr>
        <w:pStyle w:val="TOC8"/>
        <w:rPr>
          <w:rFonts w:asciiTheme="minorHAnsi" w:eastAsiaTheme="minorEastAsia" w:hAnsiTheme="minorHAnsi" w:cstheme="minorBidi"/>
          <w:szCs w:val="22"/>
        </w:rPr>
      </w:pPr>
      <w:r>
        <w:t>40.</w:t>
      </w:r>
      <w:r>
        <w:tab/>
        <w:t>Application for voluntary suspension of service approval</w:t>
      </w:r>
      <w:r>
        <w:tab/>
      </w:r>
      <w:r>
        <w:fldChar w:fldCharType="begin"/>
      </w:r>
      <w:r>
        <w:instrText xml:space="preserve"> PAGEREF _Toc398888143 \h </w:instrText>
      </w:r>
      <w:r>
        <w:fldChar w:fldCharType="separate"/>
      </w:r>
      <w:r>
        <w:t>35</w:t>
      </w:r>
      <w:r>
        <w:fldChar w:fldCharType="end"/>
      </w:r>
    </w:p>
    <w:p>
      <w:pPr>
        <w:pStyle w:val="TOC6"/>
        <w:tabs>
          <w:tab w:val="right" w:leader="dot" w:pos="7088"/>
        </w:tabs>
        <w:rPr>
          <w:rFonts w:asciiTheme="minorHAnsi" w:eastAsiaTheme="minorEastAsia" w:hAnsiTheme="minorHAnsi" w:cstheme="minorBidi"/>
          <w:b w:val="0"/>
          <w:sz w:val="22"/>
          <w:szCs w:val="22"/>
        </w:rPr>
      </w:pPr>
      <w:r>
        <w:t>Division 5 — Service waiver</w:t>
      </w:r>
    </w:p>
    <w:p>
      <w:pPr>
        <w:pStyle w:val="TOC8"/>
        <w:rPr>
          <w:rFonts w:asciiTheme="minorHAnsi" w:eastAsiaTheme="minorEastAsia" w:hAnsiTheme="minorHAnsi" w:cstheme="minorBidi"/>
          <w:szCs w:val="22"/>
        </w:rPr>
      </w:pPr>
      <w:r>
        <w:t>41.</w:t>
      </w:r>
      <w:r>
        <w:tab/>
        <w:t>Service waiver — prescribed elements</w:t>
      </w:r>
      <w:r>
        <w:tab/>
      </w:r>
      <w:r>
        <w:fldChar w:fldCharType="begin"/>
      </w:r>
      <w:r>
        <w:instrText xml:space="preserve"> PAGEREF _Toc398888145 \h </w:instrText>
      </w:r>
      <w:r>
        <w:fldChar w:fldCharType="separate"/>
      </w:r>
      <w:r>
        <w:t>35</w:t>
      </w:r>
      <w:r>
        <w:fldChar w:fldCharType="end"/>
      </w:r>
    </w:p>
    <w:p>
      <w:pPr>
        <w:pStyle w:val="TOC8"/>
        <w:rPr>
          <w:rFonts w:asciiTheme="minorHAnsi" w:eastAsiaTheme="minorEastAsia" w:hAnsiTheme="minorHAnsi" w:cstheme="minorBidi"/>
          <w:szCs w:val="22"/>
        </w:rPr>
      </w:pPr>
      <w:r>
        <w:t>42.</w:t>
      </w:r>
      <w:r>
        <w:tab/>
        <w:t>Prescribed information — application for service waiver</w:t>
      </w:r>
      <w:r>
        <w:tab/>
      </w:r>
      <w:r>
        <w:fldChar w:fldCharType="begin"/>
      </w:r>
      <w:r>
        <w:instrText xml:space="preserve"> PAGEREF _Toc398888146 \h </w:instrText>
      </w:r>
      <w:r>
        <w:fldChar w:fldCharType="separate"/>
      </w:r>
      <w:r>
        <w:t>36</w:t>
      </w:r>
      <w:r>
        <w:fldChar w:fldCharType="end"/>
      </w:r>
    </w:p>
    <w:p>
      <w:pPr>
        <w:pStyle w:val="TOC8"/>
        <w:rPr>
          <w:rFonts w:asciiTheme="minorHAnsi" w:eastAsiaTheme="minorEastAsia" w:hAnsiTheme="minorHAnsi" w:cstheme="minorBidi"/>
          <w:szCs w:val="22"/>
        </w:rPr>
      </w:pPr>
      <w:r>
        <w:t>43.</w:t>
      </w:r>
      <w:r>
        <w:tab/>
        <w:t>Prescribed period — revocation of service waiver</w:t>
      </w:r>
      <w:r>
        <w:tab/>
      </w:r>
      <w:r>
        <w:fldChar w:fldCharType="begin"/>
      </w:r>
      <w:r>
        <w:instrText xml:space="preserve"> PAGEREF _Toc398888147 \h </w:instrText>
      </w:r>
      <w:r>
        <w:fldChar w:fldCharType="separate"/>
      </w:r>
      <w:r>
        <w:t>37</w:t>
      </w:r>
      <w:r>
        <w:fldChar w:fldCharType="end"/>
      </w:r>
    </w:p>
    <w:p>
      <w:pPr>
        <w:pStyle w:val="TOC6"/>
        <w:tabs>
          <w:tab w:val="right" w:leader="dot" w:pos="7088"/>
        </w:tabs>
        <w:rPr>
          <w:rFonts w:asciiTheme="minorHAnsi" w:eastAsiaTheme="minorEastAsia" w:hAnsiTheme="minorHAnsi" w:cstheme="minorBidi"/>
          <w:b w:val="0"/>
          <w:sz w:val="22"/>
          <w:szCs w:val="22"/>
        </w:rPr>
      </w:pPr>
      <w:r>
        <w:t>Division 6 — Temporary waiver</w:t>
      </w:r>
    </w:p>
    <w:p>
      <w:pPr>
        <w:pStyle w:val="TOC8"/>
        <w:rPr>
          <w:rFonts w:asciiTheme="minorHAnsi" w:eastAsiaTheme="minorEastAsia" w:hAnsiTheme="minorHAnsi" w:cstheme="minorBidi"/>
          <w:szCs w:val="22"/>
        </w:rPr>
      </w:pPr>
      <w:r>
        <w:t>44.</w:t>
      </w:r>
      <w:r>
        <w:tab/>
        <w:t>Temporary waiver — prescribed elements</w:t>
      </w:r>
      <w:r>
        <w:tab/>
      </w:r>
      <w:r>
        <w:fldChar w:fldCharType="begin"/>
      </w:r>
      <w:r>
        <w:instrText xml:space="preserve"> PAGEREF _Toc398888149 \h </w:instrText>
      </w:r>
      <w:r>
        <w:fldChar w:fldCharType="separate"/>
      </w:r>
      <w:r>
        <w:t>37</w:t>
      </w:r>
      <w:r>
        <w:fldChar w:fldCharType="end"/>
      </w:r>
    </w:p>
    <w:p>
      <w:pPr>
        <w:pStyle w:val="TOC8"/>
        <w:rPr>
          <w:rFonts w:asciiTheme="minorHAnsi" w:eastAsiaTheme="minorEastAsia" w:hAnsiTheme="minorHAnsi" w:cstheme="minorBidi"/>
          <w:szCs w:val="22"/>
        </w:rPr>
      </w:pPr>
      <w:r>
        <w:t>45.</w:t>
      </w:r>
      <w:r>
        <w:tab/>
        <w:t>Application for temporary waiver</w:t>
      </w:r>
      <w:r>
        <w:tab/>
      </w:r>
      <w:r>
        <w:fldChar w:fldCharType="begin"/>
      </w:r>
      <w:r>
        <w:instrText xml:space="preserve"> PAGEREF _Toc398888150 \h </w:instrText>
      </w:r>
      <w:r>
        <w:fldChar w:fldCharType="separate"/>
      </w:r>
      <w:r>
        <w:t>38</w:t>
      </w:r>
      <w:r>
        <w:fldChar w:fldCharType="end"/>
      </w:r>
    </w:p>
    <w:p>
      <w:pPr>
        <w:pStyle w:val="TOC4"/>
        <w:tabs>
          <w:tab w:val="right" w:leader="dot" w:pos="7088"/>
        </w:tabs>
        <w:rPr>
          <w:rFonts w:asciiTheme="minorHAnsi" w:eastAsiaTheme="minorEastAsia" w:hAnsiTheme="minorHAnsi" w:cstheme="minorBidi"/>
          <w:b w:val="0"/>
          <w:szCs w:val="22"/>
        </w:rPr>
      </w:pPr>
      <w:r>
        <w:t>Part 2.3 — Supervisor certificates</w:t>
      </w:r>
    </w:p>
    <w:p>
      <w:pPr>
        <w:pStyle w:val="TOC6"/>
        <w:tabs>
          <w:tab w:val="right" w:leader="dot" w:pos="7088"/>
        </w:tabs>
        <w:rPr>
          <w:rFonts w:asciiTheme="minorHAnsi" w:eastAsiaTheme="minorEastAsia" w:hAnsiTheme="minorHAnsi" w:cstheme="minorBidi"/>
          <w:b w:val="0"/>
          <w:sz w:val="22"/>
          <w:szCs w:val="22"/>
        </w:rPr>
      </w:pPr>
      <w:r>
        <w:t>Division 1 — Applications for supervisor certificates</w:t>
      </w:r>
    </w:p>
    <w:p>
      <w:pPr>
        <w:pStyle w:val="TOC8"/>
        <w:rPr>
          <w:rFonts w:asciiTheme="minorHAnsi" w:eastAsiaTheme="minorEastAsia" w:hAnsiTheme="minorHAnsi" w:cstheme="minorBidi"/>
          <w:szCs w:val="22"/>
        </w:rPr>
      </w:pPr>
      <w:r>
        <w:t>46.</w:t>
      </w:r>
      <w:r>
        <w:tab/>
        <w:t>Application for supervisor certificate</w:t>
      </w:r>
      <w:r>
        <w:tab/>
      </w:r>
      <w:r>
        <w:fldChar w:fldCharType="begin"/>
      </w:r>
      <w:r>
        <w:instrText xml:space="preserve"> PAGEREF _Toc398888153 \h </w:instrText>
      </w:r>
      <w:r>
        <w:fldChar w:fldCharType="separate"/>
      </w:r>
      <w:r>
        <w:t>39</w:t>
      </w:r>
      <w:r>
        <w:fldChar w:fldCharType="end"/>
      </w:r>
    </w:p>
    <w:p>
      <w:pPr>
        <w:pStyle w:val="TOC8"/>
        <w:rPr>
          <w:rFonts w:asciiTheme="minorHAnsi" w:eastAsiaTheme="minorEastAsia" w:hAnsiTheme="minorHAnsi" w:cstheme="minorBidi"/>
          <w:szCs w:val="22"/>
        </w:rPr>
      </w:pPr>
      <w:r>
        <w:t>47.</w:t>
      </w:r>
      <w:r>
        <w:tab/>
        <w:t>Minimum requirements for qualifications, experience and management capability</w:t>
      </w:r>
      <w:r>
        <w:tab/>
      </w:r>
      <w:r>
        <w:fldChar w:fldCharType="begin"/>
      </w:r>
      <w:r>
        <w:instrText xml:space="preserve"> PAGEREF _Toc398888154 \h </w:instrText>
      </w:r>
      <w:r>
        <w:fldChar w:fldCharType="separate"/>
      </w:r>
      <w:r>
        <w:t>41</w:t>
      </w:r>
      <w:r>
        <w:fldChar w:fldCharType="end"/>
      </w:r>
    </w:p>
    <w:p>
      <w:pPr>
        <w:pStyle w:val="TOC8"/>
        <w:rPr>
          <w:rFonts w:asciiTheme="minorHAnsi" w:eastAsiaTheme="minorEastAsia" w:hAnsiTheme="minorHAnsi" w:cstheme="minorBidi"/>
          <w:szCs w:val="22"/>
        </w:rPr>
      </w:pPr>
      <w:r>
        <w:t>48.</w:t>
      </w:r>
      <w:r>
        <w:tab/>
        <w:t>Matters relating to criminal history</w:t>
      </w:r>
      <w:r>
        <w:tab/>
      </w:r>
      <w:r>
        <w:fldChar w:fldCharType="begin"/>
      </w:r>
      <w:r>
        <w:instrText xml:space="preserve"> PAGEREF _Toc398888155 \h </w:instrText>
      </w:r>
      <w:r>
        <w:fldChar w:fldCharType="separate"/>
      </w:r>
      <w:r>
        <w:t>42</w:t>
      </w:r>
      <w:r>
        <w:fldChar w:fldCharType="end"/>
      </w:r>
    </w:p>
    <w:p>
      <w:pPr>
        <w:pStyle w:val="TOC8"/>
        <w:rPr>
          <w:rFonts w:asciiTheme="minorHAnsi" w:eastAsiaTheme="minorEastAsia" w:hAnsiTheme="minorHAnsi" w:cstheme="minorBidi"/>
          <w:szCs w:val="22"/>
        </w:rPr>
      </w:pPr>
      <w:r>
        <w:t>49.</w:t>
      </w:r>
      <w:r>
        <w:tab/>
        <w:t>Prescribed classes of persons for grant of supervisor certificate</w:t>
      </w:r>
      <w:r>
        <w:tab/>
      </w:r>
      <w:r>
        <w:fldChar w:fldCharType="begin"/>
      </w:r>
      <w:r>
        <w:instrText xml:space="preserve"> PAGEREF _Toc398888156 \h </w:instrText>
      </w:r>
      <w:r>
        <w:fldChar w:fldCharType="separate"/>
      </w:r>
      <w:r>
        <w:t>43</w:t>
      </w:r>
      <w:r>
        <w:fldChar w:fldCharType="end"/>
      </w:r>
    </w:p>
    <w:p>
      <w:pPr>
        <w:pStyle w:val="TOC8"/>
        <w:rPr>
          <w:rFonts w:asciiTheme="minorHAnsi" w:eastAsiaTheme="minorEastAsia" w:hAnsiTheme="minorHAnsi" w:cstheme="minorBidi"/>
          <w:szCs w:val="22"/>
        </w:rPr>
      </w:pPr>
      <w:r>
        <w:t>50.</w:t>
      </w:r>
      <w:r>
        <w:tab/>
        <w:t>Issue of supervisor certificate — supervisor in prescribed class</w:t>
      </w:r>
      <w:r>
        <w:tab/>
      </w:r>
      <w:r>
        <w:fldChar w:fldCharType="begin"/>
      </w:r>
      <w:r>
        <w:instrText xml:space="preserve"> PAGEREF _Toc398888157 \h </w:instrText>
      </w:r>
      <w:r>
        <w:fldChar w:fldCharType="separate"/>
      </w:r>
      <w:r>
        <w:t>43</w:t>
      </w:r>
      <w:r>
        <w:fldChar w:fldCharType="end"/>
      </w:r>
    </w:p>
    <w:p>
      <w:pPr>
        <w:pStyle w:val="TOC6"/>
        <w:tabs>
          <w:tab w:val="right" w:leader="dot" w:pos="7088"/>
        </w:tabs>
        <w:rPr>
          <w:rFonts w:asciiTheme="minorHAnsi" w:eastAsiaTheme="minorEastAsia" w:hAnsiTheme="minorHAnsi" w:cstheme="minorBidi"/>
          <w:b w:val="0"/>
          <w:sz w:val="22"/>
          <w:szCs w:val="22"/>
        </w:rPr>
      </w:pPr>
      <w:r>
        <w:t>Division 2 — Amendment of supervisor certificate</w:t>
      </w:r>
    </w:p>
    <w:p>
      <w:pPr>
        <w:pStyle w:val="TOC8"/>
        <w:rPr>
          <w:rFonts w:asciiTheme="minorHAnsi" w:eastAsiaTheme="minorEastAsia" w:hAnsiTheme="minorHAnsi" w:cstheme="minorBidi"/>
          <w:szCs w:val="22"/>
        </w:rPr>
      </w:pPr>
      <w:r>
        <w:t>51.</w:t>
      </w:r>
      <w:r>
        <w:tab/>
        <w:t>Application for amendment of supervisor certificate</w:t>
      </w:r>
      <w:r>
        <w:tab/>
      </w:r>
      <w:r>
        <w:fldChar w:fldCharType="begin"/>
      </w:r>
      <w:r>
        <w:instrText xml:space="preserve"> PAGEREF _Toc398888159 \h </w:instrText>
      </w:r>
      <w:r>
        <w:fldChar w:fldCharType="separate"/>
      </w:r>
      <w:r>
        <w:t>44</w:t>
      </w:r>
      <w:r>
        <w:fldChar w:fldCharType="end"/>
      </w:r>
    </w:p>
    <w:p>
      <w:pPr>
        <w:pStyle w:val="TOC6"/>
        <w:tabs>
          <w:tab w:val="right" w:leader="dot" w:pos="7088"/>
        </w:tabs>
        <w:rPr>
          <w:rFonts w:asciiTheme="minorHAnsi" w:eastAsiaTheme="minorEastAsia" w:hAnsiTheme="minorHAnsi" w:cstheme="minorBidi"/>
          <w:b w:val="0"/>
          <w:sz w:val="22"/>
          <w:szCs w:val="22"/>
        </w:rPr>
      </w:pPr>
      <w:r>
        <w:t>Division 3 — Suspension of supervisor certificate</w:t>
      </w:r>
    </w:p>
    <w:p>
      <w:pPr>
        <w:pStyle w:val="TOC8"/>
        <w:rPr>
          <w:rFonts w:asciiTheme="minorHAnsi" w:eastAsiaTheme="minorEastAsia" w:hAnsiTheme="minorHAnsi" w:cstheme="minorBidi"/>
          <w:szCs w:val="22"/>
        </w:rPr>
      </w:pPr>
      <w:r>
        <w:t>52.</w:t>
      </w:r>
      <w:r>
        <w:tab/>
        <w:t>Maximum period of suspension of supervisor certificate</w:t>
      </w:r>
      <w:r>
        <w:tab/>
      </w:r>
      <w:r>
        <w:fldChar w:fldCharType="begin"/>
      </w:r>
      <w:r>
        <w:instrText xml:space="preserve"> PAGEREF _Toc398888161 \h </w:instrText>
      </w:r>
      <w:r>
        <w:fldChar w:fldCharType="separate"/>
      </w:r>
      <w:r>
        <w:t>44</w:t>
      </w:r>
      <w:r>
        <w:fldChar w:fldCharType="end"/>
      </w:r>
    </w:p>
    <w:p>
      <w:pPr>
        <w:pStyle w:val="TOC8"/>
        <w:rPr>
          <w:rFonts w:asciiTheme="minorHAnsi" w:eastAsiaTheme="minorEastAsia" w:hAnsiTheme="minorHAnsi" w:cstheme="minorBidi"/>
          <w:szCs w:val="22"/>
        </w:rPr>
      </w:pPr>
      <w:r>
        <w:t>53.</w:t>
      </w:r>
      <w:r>
        <w:tab/>
        <w:t>Prescribed information — voluntary suspension of supervisor certificate</w:t>
      </w:r>
      <w:r>
        <w:tab/>
      </w:r>
      <w:r>
        <w:fldChar w:fldCharType="begin"/>
      </w:r>
      <w:r>
        <w:instrText xml:space="preserve"> PAGEREF _Toc398888162 \h </w:instrText>
      </w:r>
      <w:r>
        <w:fldChar w:fldCharType="separate"/>
      </w:r>
      <w:r>
        <w:t>44</w:t>
      </w:r>
      <w:r>
        <w:fldChar w:fldCharType="end"/>
      </w:r>
    </w:p>
    <w:p>
      <w:pPr>
        <w:pStyle w:val="TOC6"/>
        <w:tabs>
          <w:tab w:val="right" w:leader="dot" w:pos="7088"/>
        </w:tabs>
        <w:rPr>
          <w:rFonts w:asciiTheme="minorHAnsi" w:eastAsiaTheme="minorEastAsia" w:hAnsiTheme="minorHAnsi" w:cstheme="minorBidi"/>
          <w:b w:val="0"/>
          <w:sz w:val="22"/>
          <w:szCs w:val="22"/>
        </w:rPr>
      </w:pPr>
      <w:r>
        <w:t>Division 4 — Process for certified supervisor to be placed in day to day charge</w:t>
      </w:r>
    </w:p>
    <w:p>
      <w:pPr>
        <w:pStyle w:val="TOC8"/>
        <w:rPr>
          <w:rFonts w:asciiTheme="minorHAnsi" w:eastAsiaTheme="minorEastAsia" w:hAnsiTheme="minorHAnsi" w:cstheme="minorBidi"/>
          <w:szCs w:val="22"/>
        </w:rPr>
      </w:pPr>
      <w:r>
        <w:t>54.</w:t>
      </w:r>
      <w:r>
        <w:tab/>
        <w:t>Process for certified supervisor to be placed in day to day charge of education and care service</w:t>
      </w:r>
      <w:r>
        <w:tab/>
      </w:r>
      <w:r>
        <w:fldChar w:fldCharType="begin"/>
      </w:r>
      <w:r>
        <w:instrText xml:space="preserve"> PAGEREF _Toc398888164 \h </w:instrText>
      </w:r>
      <w:r>
        <w:fldChar w:fldCharType="separate"/>
      </w:r>
      <w:r>
        <w:t>45</w:t>
      </w:r>
      <w:r>
        <w:fldChar w:fldCharType="end"/>
      </w:r>
    </w:p>
    <w:p>
      <w:pPr>
        <w:pStyle w:val="TOC2"/>
        <w:tabs>
          <w:tab w:val="right" w:leader="dot" w:pos="7088"/>
        </w:tabs>
        <w:rPr>
          <w:rFonts w:asciiTheme="minorHAnsi" w:eastAsiaTheme="minorEastAsia" w:hAnsiTheme="minorHAnsi" w:cstheme="minorBidi"/>
          <w:b w:val="0"/>
          <w:sz w:val="22"/>
          <w:szCs w:val="22"/>
        </w:rPr>
      </w:pPr>
      <w:r>
        <w:t>Chapter 3 — Assessments and ratings</w:t>
      </w:r>
    </w:p>
    <w:p>
      <w:pPr>
        <w:pStyle w:val="TOC4"/>
        <w:tabs>
          <w:tab w:val="right" w:leader="dot" w:pos="7088"/>
        </w:tabs>
        <w:rPr>
          <w:rFonts w:asciiTheme="minorHAnsi" w:eastAsiaTheme="minorEastAsia" w:hAnsiTheme="minorHAnsi" w:cstheme="minorBidi"/>
          <w:b w:val="0"/>
          <w:szCs w:val="22"/>
        </w:rPr>
      </w:pPr>
      <w:r>
        <w:t>Part 3.1 — Quality improvement plans</w:t>
      </w:r>
    </w:p>
    <w:p>
      <w:pPr>
        <w:pStyle w:val="TOC8"/>
        <w:rPr>
          <w:rFonts w:asciiTheme="minorHAnsi" w:eastAsiaTheme="minorEastAsia" w:hAnsiTheme="minorHAnsi" w:cstheme="minorBidi"/>
          <w:szCs w:val="22"/>
        </w:rPr>
      </w:pPr>
      <w:r>
        <w:t>55.</w:t>
      </w:r>
      <w:r>
        <w:tab/>
        <w:t>Quality improvement plans</w:t>
      </w:r>
      <w:r>
        <w:tab/>
      </w:r>
      <w:r>
        <w:fldChar w:fldCharType="begin"/>
      </w:r>
      <w:r>
        <w:instrText xml:space="preserve"> PAGEREF _Toc398888167 \h </w:instrText>
      </w:r>
      <w:r>
        <w:fldChar w:fldCharType="separate"/>
      </w:r>
      <w:r>
        <w:t>46</w:t>
      </w:r>
      <w:r>
        <w:fldChar w:fldCharType="end"/>
      </w:r>
    </w:p>
    <w:p>
      <w:pPr>
        <w:pStyle w:val="TOC8"/>
        <w:rPr>
          <w:rFonts w:asciiTheme="minorHAnsi" w:eastAsiaTheme="minorEastAsia" w:hAnsiTheme="minorHAnsi" w:cstheme="minorBidi"/>
          <w:szCs w:val="22"/>
        </w:rPr>
      </w:pPr>
      <w:r>
        <w:t>56.</w:t>
      </w:r>
      <w:r>
        <w:tab/>
        <w:t>Review and revision of quality improvement plans</w:t>
      </w:r>
      <w:r>
        <w:tab/>
      </w:r>
      <w:r>
        <w:fldChar w:fldCharType="begin"/>
      </w:r>
      <w:r>
        <w:instrText xml:space="preserve"> PAGEREF _Toc398888168 \h </w:instrText>
      </w:r>
      <w:r>
        <w:fldChar w:fldCharType="separate"/>
      </w:r>
      <w:r>
        <w:t>47</w:t>
      </w:r>
      <w:r>
        <w:fldChar w:fldCharType="end"/>
      </w:r>
    </w:p>
    <w:p>
      <w:pPr>
        <w:pStyle w:val="TOC4"/>
        <w:tabs>
          <w:tab w:val="right" w:leader="dot" w:pos="7088"/>
        </w:tabs>
        <w:rPr>
          <w:rFonts w:asciiTheme="minorHAnsi" w:eastAsiaTheme="minorEastAsia" w:hAnsiTheme="minorHAnsi" w:cstheme="minorBidi"/>
          <w:b w:val="0"/>
          <w:szCs w:val="22"/>
        </w:rPr>
      </w:pPr>
      <w:r>
        <w:t>Part 3.2 — Prescribed rating levels</w:t>
      </w:r>
    </w:p>
    <w:p>
      <w:pPr>
        <w:pStyle w:val="TOC8"/>
        <w:rPr>
          <w:rFonts w:asciiTheme="minorHAnsi" w:eastAsiaTheme="minorEastAsia" w:hAnsiTheme="minorHAnsi" w:cstheme="minorBidi"/>
          <w:szCs w:val="22"/>
        </w:rPr>
      </w:pPr>
      <w:r>
        <w:t>57.</w:t>
      </w:r>
      <w:r>
        <w:tab/>
        <w:t>Rating levels</w:t>
      </w:r>
      <w:r>
        <w:tab/>
      </w:r>
      <w:r>
        <w:fldChar w:fldCharType="begin"/>
      </w:r>
      <w:r>
        <w:instrText xml:space="preserve"> PAGEREF _Toc398888170 \h </w:instrText>
      </w:r>
      <w:r>
        <w:fldChar w:fldCharType="separate"/>
      </w:r>
      <w:r>
        <w:t>47</w:t>
      </w:r>
      <w:r>
        <w:fldChar w:fldCharType="end"/>
      </w:r>
    </w:p>
    <w:p>
      <w:pPr>
        <w:pStyle w:val="TOC8"/>
        <w:rPr>
          <w:rFonts w:asciiTheme="minorHAnsi" w:eastAsiaTheme="minorEastAsia" w:hAnsiTheme="minorHAnsi" w:cstheme="minorBidi"/>
          <w:szCs w:val="22"/>
        </w:rPr>
      </w:pPr>
      <w:r>
        <w:t>58.</w:t>
      </w:r>
      <w:r>
        <w:tab/>
        <w:t>Prescribed provisional rating</w:t>
      </w:r>
      <w:r>
        <w:tab/>
      </w:r>
      <w:r>
        <w:fldChar w:fldCharType="begin"/>
      </w:r>
      <w:r>
        <w:instrText xml:space="preserve"> PAGEREF _Toc398888171 \h </w:instrText>
      </w:r>
      <w:r>
        <w:fldChar w:fldCharType="separate"/>
      </w:r>
      <w:r>
        <w:t>48</w:t>
      </w:r>
      <w:r>
        <w:fldChar w:fldCharType="end"/>
      </w:r>
    </w:p>
    <w:p>
      <w:pPr>
        <w:pStyle w:val="TOC8"/>
        <w:rPr>
          <w:rFonts w:asciiTheme="minorHAnsi" w:eastAsiaTheme="minorEastAsia" w:hAnsiTheme="minorHAnsi" w:cstheme="minorBidi"/>
          <w:szCs w:val="22"/>
        </w:rPr>
      </w:pPr>
      <w:r>
        <w:t>59.</w:t>
      </w:r>
      <w:r>
        <w:tab/>
        <w:t>Significant Improvement Required</w:t>
      </w:r>
      <w:r>
        <w:tab/>
      </w:r>
      <w:r>
        <w:fldChar w:fldCharType="begin"/>
      </w:r>
      <w:r>
        <w:instrText xml:space="preserve"> PAGEREF _Toc398888172 \h </w:instrText>
      </w:r>
      <w:r>
        <w:fldChar w:fldCharType="separate"/>
      </w:r>
      <w:r>
        <w:t>48</w:t>
      </w:r>
      <w:r>
        <w:fldChar w:fldCharType="end"/>
      </w:r>
    </w:p>
    <w:p>
      <w:pPr>
        <w:pStyle w:val="TOC8"/>
        <w:rPr>
          <w:rFonts w:asciiTheme="minorHAnsi" w:eastAsiaTheme="minorEastAsia" w:hAnsiTheme="minorHAnsi" w:cstheme="minorBidi"/>
          <w:szCs w:val="22"/>
        </w:rPr>
      </w:pPr>
      <w:r>
        <w:t>60.</w:t>
      </w:r>
      <w:r>
        <w:tab/>
        <w:t>Working Towards National Quality Standard</w:t>
      </w:r>
      <w:r>
        <w:tab/>
      </w:r>
      <w:r>
        <w:fldChar w:fldCharType="begin"/>
      </w:r>
      <w:r>
        <w:instrText xml:space="preserve"> PAGEREF _Toc398888173 \h </w:instrText>
      </w:r>
      <w:r>
        <w:fldChar w:fldCharType="separate"/>
      </w:r>
      <w:r>
        <w:t>48</w:t>
      </w:r>
      <w:r>
        <w:fldChar w:fldCharType="end"/>
      </w:r>
    </w:p>
    <w:p>
      <w:pPr>
        <w:pStyle w:val="TOC8"/>
        <w:rPr>
          <w:rFonts w:asciiTheme="minorHAnsi" w:eastAsiaTheme="minorEastAsia" w:hAnsiTheme="minorHAnsi" w:cstheme="minorBidi"/>
          <w:szCs w:val="22"/>
        </w:rPr>
      </w:pPr>
      <w:r>
        <w:t>61.</w:t>
      </w:r>
      <w:r>
        <w:tab/>
        <w:t>Meeting National Quality Standard</w:t>
      </w:r>
      <w:r>
        <w:tab/>
      </w:r>
      <w:r>
        <w:fldChar w:fldCharType="begin"/>
      </w:r>
      <w:r>
        <w:instrText xml:space="preserve"> PAGEREF _Toc398888174 \h </w:instrText>
      </w:r>
      <w:r>
        <w:fldChar w:fldCharType="separate"/>
      </w:r>
      <w:r>
        <w:t>48</w:t>
      </w:r>
      <w:r>
        <w:fldChar w:fldCharType="end"/>
      </w:r>
    </w:p>
    <w:p>
      <w:pPr>
        <w:pStyle w:val="TOC8"/>
        <w:rPr>
          <w:rFonts w:asciiTheme="minorHAnsi" w:eastAsiaTheme="minorEastAsia" w:hAnsiTheme="minorHAnsi" w:cstheme="minorBidi"/>
          <w:szCs w:val="22"/>
        </w:rPr>
      </w:pPr>
      <w:r>
        <w:t>62.</w:t>
      </w:r>
      <w:r>
        <w:tab/>
        <w:t>Exceeding National Quality Standard</w:t>
      </w:r>
      <w:r>
        <w:tab/>
      </w:r>
      <w:r>
        <w:fldChar w:fldCharType="begin"/>
      </w:r>
      <w:r>
        <w:instrText xml:space="preserve"> PAGEREF _Toc398888175 \h </w:instrText>
      </w:r>
      <w:r>
        <w:fldChar w:fldCharType="separate"/>
      </w:r>
      <w:r>
        <w:t>49</w:t>
      </w:r>
      <w:r>
        <w:fldChar w:fldCharType="end"/>
      </w:r>
    </w:p>
    <w:p>
      <w:pPr>
        <w:pStyle w:val="TOC4"/>
        <w:tabs>
          <w:tab w:val="right" w:leader="dot" w:pos="7088"/>
        </w:tabs>
        <w:rPr>
          <w:rFonts w:asciiTheme="minorHAnsi" w:eastAsiaTheme="minorEastAsia" w:hAnsiTheme="minorHAnsi" w:cstheme="minorBidi"/>
          <w:b w:val="0"/>
          <w:szCs w:val="22"/>
        </w:rPr>
      </w:pPr>
      <w:r>
        <w:t>Part 3.3 — Assessment</w:t>
      </w:r>
    </w:p>
    <w:p>
      <w:pPr>
        <w:pStyle w:val="TOC6"/>
        <w:tabs>
          <w:tab w:val="right" w:leader="dot" w:pos="7088"/>
        </w:tabs>
        <w:rPr>
          <w:rFonts w:asciiTheme="minorHAnsi" w:eastAsiaTheme="minorEastAsia" w:hAnsiTheme="minorHAnsi" w:cstheme="minorBidi"/>
          <w:b w:val="0"/>
          <w:sz w:val="22"/>
          <w:szCs w:val="22"/>
        </w:rPr>
      </w:pPr>
      <w:r>
        <w:t>Division 1 — Assessment</w:t>
      </w:r>
    </w:p>
    <w:p>
      <w:pPr>
        <w:pStyle w:val="TOC8"/>
        <w:rPr>
          <w:rFonts w:asciiTheme="minorHAnsi" w:eastAsiaTheme="minorEastAsia" w:hAnsiTheme="minorHAnsi" w:cstheme="minorBidi"/>
          <w:szCs w:val="22"/>
        </w:rPr>
      </w:pPr>
      <w:r>
        <w:t>63.</w:t>
      </w:r>
      <w:r>
        <w:tab/>
        <w:t>Assessing approved education and care services</w:t>
      </w:r>
      <w:r>
        <w:tab/>
      </w:r>
      <w:r>
        <w:fldChar w:fldCharType="begin"/>
      </w:r>
      <w:r>
        <w:instrText xml:space="preserve"> PAGEREF _Toc398888178 \h </w:instrText>
      </w:r>
      <w:r>
        <w:fldChar w:fldCharType="separate"/>
      </w:r>
      <w:r>
        <w:t>50</w:t>
      </w:r>
      <w:r>
        <w:fldChar w:fldCharType="end"/>
      </w:r>
    </w:p>
    <w:p>
      <w:pPr>
        <w:pStyle w:val="TOC8"/>
        <w:rPr>
          <w:rFonts w:asciiTheme="minorHAnsi" w:eastAsiaTheme="minorEastAsia" w:hAnsiTheme="minorHAnsi" w:cstheme="minorBidi"/>
          <w:szCs w:val="22"/>
        </w:rPr>
      </w:pPr>
      <w:r>
        <w:t>64.</w:t>
      </w:r>
      <w:r>
        <w:tab/>
        <w:t>Matters for determination of rating</w:t>
      </w:r>
      <w:r>
        <w:tab/>
      </w:r>
      <w:r>
        <w:fldChar w:fldCharType="begin"/>
      </w:r>
      <w:r>
        <w:instrText xml:space="preserve"> PAGEREF _Toc398888179 \h </w:instrText>
      </w:r>
      <w:r>
        <w:fldChar w:fldCharType="separate"/>
      </w:r>
      <w:r>
        <w:t>52</w:t>
      </w:r>
      <w:r>
        <w:fldChar w:fldCharType="end"/>
      </w:r>
    </w:p>
    <w:p>
      <w:pPr>
        <w:pStyle w:val="TOC8"/>
        <w:rPr>
          <w:rFonts w:asciiTheme="minorHAnsi" w:eastAsiaTheme="minorEastAsia" w:hAnsiTheme="minorHAnsi" w:cstheme="minorBidi"/>
          <w:szCs w:val="22"/>
        </w:rPr>
      </w:pPr>
      <w:r>
        <w:t>65.</w:t>
      </w:r>
      <w:r>
        <w:tab/>
        <w:t>Assessment and rating of new education and care services</w:t>
      </w:r>
      <w:r>
        <w:tab/>
      </w:r>
      <w:r>
        <w:fldChar w:fldCharType="begin"/>
      </w:r>
      <w:r>
        <w:instrText xml:space="preserve"> PAGEREF _Toc398888180 \h </w:instrText>
      </w:r>
      <w:r>
        <w:fldChar w:fldCharType="separate"/>
      </w:r>
      <w:r>
        <w:t>53</w:t>
      </w:r>
      <w:r>
        <w:fldChar w:fldCharType="end"/>
      </w:r>
    </w:p>
    <w:p>
      <w:pPr>
        <w:pStyle w:val="TOC6"/>
        <w:tabs>
          <w:tab w:val="right" w:leader="dot" w:pos="7088"/>
        </w:tabs>
        <w:rPr>
          <w:rFonts w:asciiTheme="minorHAnsi" w:eastAsiaTheme="minorEastAsia" w:hAnsiTheme="minorHAnsi" w:cstheme="minorBidi"/>
          <w:b w:val="0"/>
          <w:sz w:val="22"/>
          <w:szCs w:val="22"/>
        </w:rPr>
      </w:pPr>
      <w:r>
        <w:t>Division 2 — Reassessment</w:t>
      </w:r>
    </w:p>
    <w:p>
      <w:pPr>
        <w:pStyle w:val="TOC8"/>
        <w:rPr>
          <w:rFonts w:asciiTheme="minorHAnsi" w:eastAsiaTheme="minorEastAsia" w:hAnsiTheme="minorHAnsi" w:cstheme="minorBidi"/>
          <w:szCs w:val="22"/>
        </w:rPr>
      </w:pPr>
      <w:r>
        <w:t>66.</w:t>
      </w:r>
      <w:r>
        <w:tab/>
        <w:t>Application for reassessment</w:t>
      </w:r>
      <w:r>
        <w:tab/>
      </w:r>
      <w:r>
        <w:fldChar w:fldCharType="begin"/>
      </w:r>
      <w:r>
        <w:instrText xml:space="preserve"> PAGEREF _Toc398888182 \h </w:instrText>
      </w:r>
      <w:r>
        <w:fldChar w:fldCharType="separate"/>
      </w:r>
      <w:r>
        <w:t>53</w:t>
      </w:r>
      <w:r>
        <w:fldChar w:fldCharType="end"/>
      </w:r>
    </w:p>
    <w:p>
      <w:pPr>
        <w:pStyle w:val="TOC8"/>
        <w:rPr>
          <w:rFonts w:asciiTheme="minorHAnsi" w:eastAsiaTheme="minorEastAsia" w:hAnsiTheme="minorHAnsi" w:cstheme="minorBidi"/>
          <w:szCs w:val="22"/>
        </w:rPr>
      </w:pPr>
      <w:r>
        <w:t>67.</w:t>
      </w:r>
      <w:r>
        <w:tab/>
        <w:t>Reassessment by Regulatory Authority</w:t>
      </w:r>
      <w:r>
        <w:tab/>
      </w:r>
      <w:r>
        <w:fldChar w:fldCharType="begin"/>
      </w:r>
      <w:r>
        <w:instrText xml:space="preserve"> PAGEREF _Toc398888183 \h </w:instrText>
      </w:r>
      <w:r>
        <w:fldChar w:fldCharType="separate"/>
      </w:r>
      <w:r>
        <w:t>53</w:t>
      </w:r>
      <w:r>
        <w:fldChar w:fldCharType="end"/>
      </w:r>
    </w:p>
    <w:p>
      <w:pPr>
        <w:pStyle w:val="TOC4"/>
        <w:tabs>
          <w:tab w:val="right" w:leader="dot" w:pos="7088"/>
        </w:tabs>
        <w:rPr>
          <w:rFonts w:asciiTheme="minorHAnsi" w:eastAsiaTheme="minorEastAsia" w:hAnsiTheme="minorHAnsi" w:cstheme="minorBidi"/>
          <w:b w:val="0"/>
          <w:szCs w:val="22"/>
        </w:rPr>
      </w:pPr>
      <w:r>
        <w:t>Part 3.4 — Review of ratings</w:t>
      </w:r>
    </w:p>
    <w:p>
      <w:pPr>
        <w:pStyle w:val="TOC6"/>
        <w:tabs>
          <w:tab w:val="right" w:leader="dot" w:pos="7088"/>
        </w:tabs>
        <w:rPr>
          <w:rFonts w:asciiTheme="minorHAnsi" w:eastAsiaTheme="minorEastAsia" w:hAnsiTheme="minorHAnsi" w:cstheme="minorBidi"/>
          <w:b w:val="0"/>
          <w:sz w:val="22"/>
          <w:szCs w:val="22"/>
        </w:rPr>
      </w:pPr>
      <w:r>
        <w:t>Division 1 — Review of ratings by Regulatory Authority</w:t>
      </w:r>
    </w:p>
    <w:p>
      <w:pPr>
        <w:pStyle w:val="TOC8"/>
        <w:rPr>
          <w:rFonts w:asciiTheme="minorHAnsi" w:eastAsiaTheme="minorEastAsia" w:hAnsiTheme="minorHAnsi" w:cstheme="minorBidi"/>
          <w:szCs w:val="22"/>
        </w:rPr>
      </w:pPr>
      <w:r>
        <w:t>68.</w:t>
      </w:r>
      <w:r>
        <w:tab/>
        <w:t>Prescribed information for request for review of rating</w:t>
      </w:r>
      <w:r>
        <w:tab/>
      </w:r>
      <w:r>
        <w:fldChar w:fldCharType="begin"/>
      </w:r>
      <w:r>
        <w:instrText xml:space="preserve"> PAGEREF _Toc398888186 \h </w:instrText>
      </w:r>
      <w:r>
        <w:fldChar w:fldCharType="separate"/>
      </w:r>
      <w:r>
        <w:t>54</w:t>
      </w:r>
      <w:r>
        <w:fldChar w:fldCharType="end"/>
      </w:r>
    </w:p>
    <w:p>
      <w:pPr>
        <w:pStyle w:val="TOC6"/>
        <w:tabs>
          <w:tab w:val="right" w:leader="dot" w:pos="7088"/>
        </w:tabs>
        <w:rPr>
          <w:rFonts w:asciiTheme="minorHAnsi" w:eastAsiaTheme="minorEastAsia" w:hAnsiTheme="minorHAnsi" w:cstheme="minorBidi"/>
          <w:b w:val="0"/>
          <w:sz w:val="22"/>
          <w:szCs w:val="22"/>
        </w:rPr>
      </w:pPr>
      <w:r>
        <w:t>Division 2 — Review of ratings by Ratings Review Panel</w:t>
      </w:r>
    </w:p>
    <w:p>
      <w:pPr>
        <w:pStyle w:val="TOC8"/>
        <w:rPr>
          <w:rFonts w:asciiTheme="minorHAnsi" w:eastAsiaTheme="minorEastAsia" w:hAnsiTheme="minorHAnsi" w:cstheme="minorBidi"/>
          <w:szCs w:val="22"/>
        </w:rPr>
      </w:pPr>
      <w:r>
        <w:t>69.</w:t>
      </w:r>
      <w:r>
        <w:tab/>
        <w:t>Application for further review by Ratings Review Panel</w:t>
      </w:r>
      <w:r>
        <w:tab/>
      </w:r>
      <w:r>
        <w:fldChar w:fldCharType="begin"/>
      </w:r>
      <w:r>
        <w:instrText xml:space="preserve"> PAGEREF _Toc398888188 \h </w:instrText>
      </w:r>
      <w:r>
        <w:fldChar w:fldCharType="separate"/>
      </w:r>
      <w:r>
        <w:t>54</w:t>
      </w:r>
      <w:r>
        <w:fldChar w:fldCharType="end"/>
      </w:r>
    </w:p>
    <w:p>
      <w:pPr>
        <w:pStyle w:val="TOC8"/>
        <w:rPr>
          <w:rFonts w:asciiTheme="minorHAnsi" w:eastAsiaTheme="minorEastAsia" w:hAnsiTheme="minorHAnsi" w:cstheme="minorBidi"/>
          <w:szCs w:val="22"/>
        </w:rPr>
      </w:pPr>
      <w:r>
        <w:t>70.</w:t>
      </w:r>
      <w:r>
        <w:tab/>
        <w:t>Prescribed areas of expertise or expert knowledge of Ratings Review Panel pool</w:t>
      </w:r>
      <w:r>
        <w:tab/>
      </w:r>
      <w:r>
        <w:fldChar w:fldCharType="begin"/>
      </w:r>
      <w:r>
        <w:instrText xml:space="preserve"> PAGEREF _Toc398888189 \h </w:instrText>
      </w:r>
      <w:r>
        <w:fldChar w:fldCharType="separate"/>
      </w:r>
      <w:r>
        <w:t>55</w:t>
      </w:r>
      <w:r>
        <w:fldChar w:fldCharType="end"/>
      </w:r>
    </w:p>
    <w:p>
      <w:pPr>
        <w:pStyle w:val="TOC4"/>
        <w:tabs>
          <w:tab w:val="right" w:leader="dot" w:pos="7088"/>
        </w:tabs>
        <w:rPr>
          <w:rFonts w:asciiTheme="minorHAnsi" w:eastAsiaTheme="minorEastAsia" w:hAnsiTheme="minorHAnsi" w:cstheme="minorBidi"/>
          <w:b w:val="0"/>
          <w:szCs w:val="22"/>
        </w:rPr>
      </w:pPr>
      <w:r>
        <w:t>Part 3.5 — Highest rating</w:t>
      </w:r>
    </w:p>
    <w:p>
      <w:pPr>
        <w:pStyle w:val="TOC8"/>
        <w:rPr>
          <w:rFonts w:asciiTheme="minorHAnsi" w:eastAsiaTheme="minorEastAsia" w:hAnsiTheme="minorHAnsi" w:cstheme="minorBidi"/>
          <w:szCs w:val="22"/>
        </w:rPr>
      </w:pPr>
      <w:r>
        <w:t>71.</w:t>
      </w:r>
      <w:r>
        <w:tab/>
        <w:t>Application or reapplication for the highest rating</w:t>
      </w:r>
      <w:r>
        <w:tab/>
      </w:r>
      <w:r>
        <w:fldChar w:fldCharType="begin"/>
      </w:r>
      <w:r>
        <w:instrText xml:space="preserve"> PAGEREF _Toc398888191 \h </w:instrText>
      </w:r>
      <w:r>
        <w:fldChar w:fldCharType="separate"/>
      </w:r>
      <w:r>
        <w:t>55</w:t>
      </w:r>
      <w:r>
        <w:fldChar w:fldCharType="end"/>
      </w:r>
    </w:p>
    <w:p>
      <w:pPr>
        <w:pStyle w:val="TOC4"/>
        <w:tabs>
          <w:tab w:val="right" w:leader="dot" w:pos="7088"/>
        </w:tabs>
        <w:rPr>
          <w:rFonts w:asciiTheme="minorHAnsi" w:eastAsiaTheme="minorEastAsia" w:hAnsiTheme="minorHAnsi" w:cstheme="minorBidi"/>
          <w:b w:val="0"/>
          <w:szCs w:val="22"/>
        </w:rPr>
      </w:pPr>
      <w:r>
        <w:t>Part 3.6 — Offences</w:t>
      </w:r>
    </w:p>
    <w:p>
      <w:pPr>
        <w:pStyle w:val="TOC8"/>
        <w:rPr>
          <w:rFonts w:asciiTheme="minorHAnsi" w:eastAsiaTheme="minorEastAsia" w:hAnsiTheme="minorHAnsi" w:cstheme="minorBidi"/>
          <w:szCs w:val="22"/>
        </w:rPr>
      </w:pPr>
      <w:r>
        <w:t>72.</w:t>
      </w:r>
      <w:r>
        <w:tab/>
        <w:t>Offences in relation to giving false or misleading statements about ratings</w:t>
      </w:r>
      <w:r>
        <w:tab/>
      </w:r>
      <w:r>
        <w:fldChar w:fldCharType="begin"/>
      </w:r>
      <w:r>
        <w:instrText xml:space="preserve"> PAGEREF _Toc398888193 \h </w:instrText>
      </w:r>
      <w:r>
        <w:fldChar w:fldCharType="separate"/>
      </w:r>
      <w:r>
        <w:t>56</w:t>
      </w:r>
      <w:r>
        <w:fldChar w:fldCharType="end"/>
      </w:r>
    </w:p>
    <w:p>
      <w:pPr>
        <w:pStyle w:val="TOC2"/>
        <w:tabs>
          <w:tab w:val="right" w:leader="dot" w:pos="7088"/>
        </w:tabs>
        <w:rPr>
          <w:rFonts w:asciiTheme="minorHAnsi" w:eastAsiaTheme="minorEastAsia" w:hAnsiTheme="minorHAnsi" w:cstheme="minorBidi"/>
          <w:b w:val="0"/>
          <w:sz w:val="22"/>
          <w:szCs w:val="22"/>
        </w:rPr>
      </w:pPr>
      <w:r>
        <w:t>Chapter 4 — Operational requirements</w:t>
      </w:r>
    </w:p>
    <w:p>
      <w:pPr>
        <w:pStyle w:val="TOC4"/>
        <w:tabs>
          <w:tab w:val="right" w:leader="dot" w:pos="7088"/>
        </w:tabs>
        <w:rPr>
          <w:rFonts w:asciiTheme="minorHAnsi" w:eastAsiaTheme="minorEastAsia" w:hAnsiTheme="minorHAnsi" w:cstheme="minorBidi"/>
          <w:b w:val="0"/>
          <w:szCs w:val="22"/>
        </w:rPr>
      </w:pPr>
      <w:r>
        <w:t>Part 4.1 — Educational program and practice</w:t>
      </w:r>
    </w:p>
    <w:p>
      <w:pPr>
        <w:pStyle w:val="TOC8"/>
        <w:rPr>
          <w:rFonts w:asciiTheme="minorHAnsi" w:eastAsiaTheme="minorEastAsia" w:hAnsiTheme="minorHAnsi" w:cstheme="minorBidi"/>
          <w:szCs w:val="22"/>
        </w:rPr>
      </w:pPr>
      <w:r>
        <w:t>73.</w:t>
      </w:r>
      <w:r>
        <w:tab/>
        <w:t>Educational program</w:t>
      </w:r>
      <w:r>
        <w:tab/>
      </w:r>
      <w:r>
        <w:fldChar w:fldCharType="begin"/>
      </w:r>
      <w:r>
        <w:instrText xml:space="preserve"> PAGEREF _Toc398888196 \h </w:instrText>
      </w:r>
      <w:r>
        <w:fldChar w:fldCharType="separate"/>
      </w:r>
      <w:r>
        <w:t>58</w:t>
      </w:r>
      <w:r>
        <w:fldChar w:fldCharType="end"/>
      </w:r>
    </w:p>
    <w:p>
      <w:pPr>
        <w:pStyle w:val="TOC8"/>
        <w:rPr>
          <w:rFonts w:asciiTheme="minorHAnsi" w:eastAsiaTheme="minorEastAsia" w:hAnsiTheme="minorHAnsi" w:cstheme="minorBidi"/>
          <w:szCs w:val="22"/>
        </w:rPr>
      </w:pPr>
      <w:r>
        <w:t>74.</w:t>
      </w:r>
      <w:r>
        <w:tab/>
        <w:t>Documenting of child assessments or evaluations for delivery of educational program</w:t>
      </w:r>
      <w:r>
        <w:tab/>
      </w:r>
      <w:r>
        <w:fldChar w:fldCharType="begin"/>
      </w:r>
      <w:r>
        <w:instrText xml:space="preserve"> PAGEREF _Toc398888197 \h </w:instrText>
      </w:r>
      <w:r>
        <w:fldChar w:fldCharType="separate"/>
      </w:r>
      <w:r>
        <w:t>59</w:t>
      </w:r>
      <w:r>
        <w:fldChar w:fldCharType="end"/>
      </w:r>
    </w:p>
    <w:p>
      <w:pPr>
        <w:pStyle w:val="TOC8"/>
        <w:rPr>
          <w:rFonts w:asciiTheme="minorHAnsi" w:eastAsiaTheme="minorEastAsia" w:hAnsiTheme="minorHAnsi" w:cstheme="minorBidi"/>
          <w:szCs w:val="22"/>
        </w:rPr>
      </w:pPr>
      <w:r>
        <w:t>75.</w:t>
      </w:r>
      <w:r>
        <w:tab/>
        <w:t>Information about educational program to be kept available</w:t>
      </w:r>
      <w:r>
        <w:tab/>
      </w:r>
      <w:r>
        <w:fldChar w:fldCharType="begin"/>
      </w:r>
      <w:r>
        <w:instrText xml:space="preserve"> PAGEREF _Toc398888198 \h </w:instrText>
      </w:r>
      <w:r>
        <w:fldChar w:fldCharType="separate"/>
      </w:r>
      <w:r>
        <w:t>60</w:t>
      </w:r>
      <w:r>
        <w:fldChar w:fldCharType="end"/>
      </w:r>
    </w:p>
    <w:p>
      <w:pPr>
        <w:pStyle w:val="TOC8"/>
        <w:rPr>
          <w:rFonts w:asciiTheme="minorHAnsi" w:eastAsiaTheme="minorEastAsia" w:hAnsiTheme="minorHAnsi" w:cstheme="minorBidi"/>
          <w:szCs w:val="22"/>
        </w:rPr>
      </w:pPr>
      <w:r>
        <w:t>76.</w:t>
      </w:r>
      <w:r>
        <w:tab/>
        <w:t>Information about educational program to be given to parents</w:t>
      </w:r>
      <w:r>
        <w:tab/>
      </w:r>
      <w:r>
        <w:fldChar w:fldCharType="begin"/>
      </w:r>
      <w:r>
        <w:instrText xml:space="preserve"> PAGEREF _Toc398888199 \h </w:instrText>
      </w:r>
      <w:r>
        <w:fldChar w:fldCharType="separate"/>
      </w:r>
      <w:r>
        <w:t>60</w:t>
      </w:r>
      <w:r>
        <w:fldChar w:fldCharType="end"/>
      </w:r>
    </w:p>
    <w:p>
      <w:pPr>
        <w:pStyle w:val="TOC4"/>
        <w:tabs>
          <w:tab w:val="right" w:leader="dot" w:pos="7088"/>
        </w:tabs>
        <w:rPr>
          <w:rFonts w:asciiTheme="minorHAnsi" w:eastAsiaTheme="minorEastAsia" w:hAnsiTheme="minorHAnsi" w:cstheme="minorBidi"/>
          <w:b w:val="0"/>
          <w:szCs w:val="22"/>
        </w:rPr>
      </w:pPr>
      <w:r>
        <w:t>Part 4.2 — Children’s health and safety</w:t>
      </w:r>
    </w:p>
    <w:p>
      <w:pPr>
        <w:pStyle w:val="TOC6"/>
        <w:tabs>
          <w:tab w:val="right" w:leader="dot" w:pos="7088"/>
        </w:tabs>
        <w:rPr>
          <w:rFonts w:asciiTheme="minorHAnsi" w:eastAsiaTheme="minorEastAsia" w:hAnsiTheme="minorHAnsi" w:cstheme="minorBidi"/>
          <w:b w:val="0"/>
          <w:sz w:val="22"/>
          <w:szCs w:val="22"/>
        </w:rPr>
      </w:pPr>
      <w:r>
        <w:t>Division 1 — Health, safety and wellbeing of children</w:t>
      </w:r>
    </w:p>
    <w:p>
      <w:pPr>
        <w:pStyle w:val="TOC8"/>
        <w:rPr>
          <w:rFonts w:asciiTheme="minorHAnsi" w:eastAsiaTheme="minorEastAsia" w:hAnsiTheme="minorHAnsi" w:cstheme="minorBidi"/>
          <w:szCs w:val="22"/>
        </w:rPr>
      </w:pPr>
      <w:r>
        <w:t>77.</w:t>
      </w:r>
      <w:r>
        <w:tab/>
        <w:t>Health, hygiene and safe food practices</w:t>
      </w:r>
      <w:r>
        <w:tab/>
      </w:r>
      <w:r>
        <w:fldChar w:fldCharType="begin"/>
      </w:r>
      <w:r>
        <w:instrText xml:space="preserve"> PAGEREF _Toc398888202 \h </w:instrText>
      </w:r>
      <w:r>
        <w:fldChar w:fldCharType="separate"/>
      </w:r>
      <w:r>
        <w:t>61</w:t>
      </w:r>
      <w:r>
        <w:fldChar w:fldCharType="end"/>
      </w:r>
    </w:p>
    <w:p>
      <w:pPr>
        <w:pStyle w:val="TOC8"/>
        <w:rPr>
          <w:rFonts w:asciiTheme="minorHAnsi" w:eastAsiaTheme="minorEastAsia" w:hAnsiTheme="minorHAnsi" w:cstheme="minorBidi"/>
          <w:szCs w:val="22"/>
        </w:rPr>
      </w:pPr>
      <w:r>
        <w:t>78.</w:t>
      </w:r>
      <w:r>
        <w:tab/>
        <w:t>Food and beverages</w:t>
      </w:r>
      <w:r>
        <w:tab/>
      </w:r>
      <w:r>
        <w:fldChar w:fldCharType="begin"/>
      </w:r>
      <w:r>
        <w:instrText xml:space="preserve"> PAGEREF _Toc398888203 \h </w:instrText>
      </w:r>
      <w:r>
        <w:fldChar w:fldCharType="separate"/>
      </w:r>
      <w:r>
        <w:t>62</w:t>
      </w:r>
      <w:r>
        <w:fldChar w:fldCharType="end"/>
      </w:r>
    </w:p>
    <w:p>
      <w:pPr>
        <w:pStyle w:val="TOC8"/>
        <w:rPr>
          <w:rFonts w:asciiTheme="minorHAnsi" w:eastAsiaTheme="minorEastAsia" w:hAnsiTheme="minorHAnsi" w:cstheme="minorBidi"/>
          <w:szCs w:val="22"/>
        </w:rPr>
      </w:pPr>
      <w:r>
        <w:t>79.</w:t>
      </w:r>
      <w:r>
        <w:tab/>
        <w:t>Service providing food and beverages</w:t>
      </w:r>
      <w:r>
        <w:tab/>
      </w:r>
      <w:r>
        <w:fldChar w:fldCharType="begin"/>
      </w:r>
      <w:r>
        <w:instrText xml:space="preserve"> PAGEREF _Toc398888204 \h </w:instrText>
      </w:r>
      <w:r>
        <w:fldChar w:fldCharType="separate"/>
      </w:r>
      <w:r>
        <w:t>62</w:t>
      </w:r>
      <w:r>
        <w:fldChar w:fldCharType="end"/>
      </w:r>
    </w:p>
    <w:p>
      <w:pPr>
        <w:pStyle w:val="TOC8"/>
        <w:rPr>
          <w:rFonts w:asciiTheme="minorHAnsi" w:eastAsiaTheme="minorEastAsia" w:hAnsiTheme="minorHAnsi" w:cstheme="minorBidi"/>
          <w:szCs w:val="22"/>
        </w:rPr>
      </w:pPr>
      <w:r>
        <w:t>80.</w:t>
      </w:r>
      <w:r>
        <w:tab/>
        <w:t>Weekly menu</w:t>
      </w:r>
      <w:r>
        <w:tab/>
      </w:r>
      <w:r>
        <w:fldChar w:fldCharType="begin"/>
      </w:r>
      <w:r>
        <w:instrText xml:space="preserve"> PAGEREF _Toc398888205 \h </w:instrText>
      </w:r>
      <w:r>
        <w:fldChar w:fldCharType="separate"/>
      </w:r>
      <w:r>
        <w:t>64</w:t>
      </w:r>
      <w:r>
        <w:fldChar w:fldCharType="end"/>
      </w:r>
    </w:p>
    <w:p>
      <w:pPr>
        <w:pStyle w:val="TOC8"/>
        <w:rPr>
          <w:rFonts w:asciiTheme="minorHAnsi" w:eastAsiaTheme="minorEastAsia" w:hAnsiTheme="minorHAnsi" w:cstheme="minorBidi"/>
          <w:szCs w:val="22"/>
        </w:rPr>
      </w:pPr>
      <w:r>
        <w:t>81.</w:t>
      </w:r>
      <w:r>
        <w:tab/>
        <w:t>Sleep and rest</w:t>
      </w:r>
      <w:r>
        <w:tab/>
      </w:r>
      <w:r>
        <w:fldChar w:fldCharType="begin"/>
      </w:r>
      <w:r>
        <w:instrText xml:space="preserve"> PAGEREF _Toc398888206 \h </w:instrText>
      </w:r>
      <w:r>
        <w:fldChar w:fldCharType="separate"/>
      </w:r>
      <w:r>
        <w:t>65</w:t>
      </w:r>
      <w:r>
        <w:fldChar w:fldCharType="end"/>
      </w:r>
    </w:p>
    <w:p>
      <w:pPr>
        <w:pStyle w:val="TOC8"/>
        <w:rPr>
          <w:rFonts w:asciiTheme="minorHAnsi" w:eastAsiaTheme="minorEastAsia" w:hAnsiTheme="minorHAnsi" w:cstheme="minorBidi"/>
          <w:szCs w:val="22"/>
        </w:rPr>
      </w:pPr>
      <w:r>
        <w:t>82.</w:t>
      </w:r>
      <w:r>
        <w:tab/>
        <w:t>Tobacco, drug and alcohol</w:t>
      </w:r>
      <w:r>
        <w:noBreakHyphen/>
        <w:t>free environment</w:t>
      </w:r>
      <w:r>
        <w:tab/>
      </w:r>
      <w:r>
        <w:fldChar w:fldCharType="begin"/>
      </w:r>
      <w:r>
        <w:instrText xml:space="preserve"> PAGEREF _Toc398888207 \h </w:instrText>
      </w:r>
      <w:r>
        <w:fldChar w:fldCharType="separate"/>
      </w:r>
      <w:r>
        <w:t>66</w:t>
      </w:r>
      <w:r>
        <w:fldChar w:fldCharType="end"/>
      </w:r>
    </w:p>
    <w:p>
      <w:pPr>
        <w:pStyle w:val="TOC8"/>
        <w:rPr>
          <w:rFonts w:asciiTheme="minorHAnsi" w:eastAsiaTheme="minorEastAsia" w:hAnsiTheme="minorHAnsi" w:cstheme="minorBidi"/>
          <w:szCs w:val="22"/>
        </w:rPr>
      </w:pPr>
      <w:r>
        <w:t>83.</w:t>
      </w:r>
      <w:r>
        <w:tab/>
        <w:t>Staff members and family day care educators not to be affected by alcohol or drugs</w:t>
      </w:r>
      <w:r>
        <w:tab/>
      </w:r>
      <w:r>
        <w:fldChar w:fldCharType="begin"/>
      </w:r>
      <w:r>
        <w:instrText xml:space="preserve"> PAGEREF _Toc398888208 \h </w:instrText>
      </w:r>
      <w:r>
        <w:fldChar w:fldCharType="separate"/>
      </w:r>
      <w:r>
        <w:t>66</w:t>
      </w:r>
      <w:r>
        <w:fldChar w:fldCharType="end"/>
      </w:r>
    </w:p>
    <w:p>
      <w:pPr>
        <w:pStyle w:val="TOC8"/>
        <w:rPr>
          <w:rFonts w:asciiTheme="minorHAnsi" w:eastAsiaTheme="minorEastAsia" w:hAnsiTheme="minorHAnsi" w:cstheme="minorBidi"/>
          <w:szCs w:val="22"/>
        </w:rPr>
      </w:pPr>
      <w:r>
        <w:t>84.</w:t>
      </w:r>
      <w:r>
        <w:tab/>
        <w:t>Awareness of child protection law</w:t>
      </w:r>
      <w:r>
        <w:tab/>
      </w:r>
      <w:r>
        <w:fldChar w:fldCharType="begin"/>
      </w:r>
      <w:r>
        <w:instrText xml:space="preserve"> PAGEREF _Toc398888209 \h </w:instrText>
      </w:r>
      <w:r>
        <w:fldChar w:fldCharType="separate"/>
      </w:r>
      <w:r>
        <w:t>67</w:t>
      </w:r>
      <w:r>
        <w:fldChar w:fldCharType="end"/>
      </w:r>
    </w:p>
    <w:p>
      <w:pPr>
        <w:pStyle w:val="TOC6"/>
        <w:tabs>
          <w:tab w:val="right" w:leader="dot" w:pos="7088"/>
        </w:tabs>
        <w:rPr>
          <w:rFonts w:asciiTheme="minorHAnsi" w:eastAsiaTheme="minorEastAsia" w:hAnsiTheme="minorHAnsi" w:cstheme="minorBidi"/>
          <w:b w:val="0"/>
          <w:sz w:val="22"/>
          <w:szCs w:val="22"/>
        </w:rPr>
      </w:pPr>
      <w:r>
        <w:t>Division 2 — Incidents, injury, trauma and illness</w:t>
      </w:r>
    </w:p>
    <w:p>
      <w:pPr>
        <w:pStyle w:val="TOC8"/>
        <w:rPr>
          <w:rFonts w:asciiTheme="minorHAnsi" w:eastAsiaTheme="minorEastAsia" w:hAnsiTheme="minorHAnsi" w:cstheme="minorBidi"/>
          <w:szCs w:val="22"/>
        </w:rPr>
      </w:pPr>
      <w:r>
        <w:t>85.</w:t>
      </w:r>
      <w:r>
        <w:tab/>
        <w:t>Incident, injury, trauma and illness policies and procedures</w:t>
      </w:r>
      <w:r>
        <w:tab/>
      </w:r>
      <w:r>
        <w:fldChar w:fldCharType="begin"/>
      </w:r>
      <w:r>
        <w:instrText xml:space="preserve"> PAGEREF _Toc398888211 \h </w:instrText>
      </w:r>
      <w:r>
        <w:fldChar w:fldCharType="separate"/>
      </w:r>
      <w:r>
        <w:t>67</w:t>
      </w:r>
      <w:r>
        <w:fldChar w:fldCharType="end"/>
      </w:r>
    </w:p>
    <w:p>
      <w:pPr>
        <w:pStyle w:val="TOC8"/>
        <w:rPr>
          <w:rFonts w:asciiTheme="minorHAnsi" w:eastAsiaTheme="minorEastAsia" w:hAnsiTheme="minorHAnsi" w:cstheme="minorBidi"/>
          <w:szCs w:val="22"/>
        </w:rPr>
      </w:pPr>
      <w:r>
        <w:t>86.</w:t>
      </w:r>
      <w:r>
        <w:tab/>
        <w:t>Notification to parents of incident, injury, trauma and illness</w:t>
      </w:r>
      <w:r>
        <w:tab/>
      </w:r>
      <w:r>
        <w:fldChar w:fldCharType="begin"/>
      </w:r>
      <w:r>
        <w:instrText xml:space="preserve"> PAGEREF _Toc398888212 \h </w:instrText>
      </w:r>
      <w:r>
        <w:fldChar w:fldCharType="separate"/>
      </w:r>
      <w:r>
        <w:t>67</w:t>
      </w:r>
      <w:r>
        <w:fldChar w:fldCharType="end"/>
      </w:r>
    </w:p>
    <w:p>
      <w:pPr>
        <w:pStyle w:val="TOC8"/>
        <w:rPr>
          <w:rFonts w:asciiTheme="minorHAnsi" w:eastAsiaTheme="minorEastAsia" w:hAnsiTheme="minorHAnsi" w:cstheme="minorBidi"/>
          <w:szCs w:val="22"/>
        </w:rPr>
      </w:pPr>
      <w:r>
        <w:t>87.</w:t>
      </w:r>
      <w:r>
        <w:tab/>
        <w:t>Incident, injury, trauma and illness record</w:t>
      </w:r>
      <w:r>
        <w:tab/>
      </w:r>
      <w:r>
        <w:fldChar w:fldCharType="begin"/>
      </w:r>
      <w:r>
        <w:instrText xml:space="preserve"> PAGEREF _Toc398888213 \h </w:instrText>
      </w:r>
      <w:r>
        <w:fldChar w:fldCharType="separate"/>
      </w:r>
      <w:r>
        <w:t>68</w:t>
      </w:r>
      <w:r>
        <w:fldChar w:fldCharType="end"/>
      </w:r>
    </w:p>
    <w:p>
      <w:pPr>
        <w:pStyle w:val="TOC8"/>
        <w:rPr>
          <w:rFonts w:asciiTheme="minorHAnsi" w:eastAsiaTheme="minorEastAsia" w:hAnsiTheme="minorHAnsi" w:cstheme="minorBidi"/>
          <w:szCs w:val="22"/>
        </w:rPr>
      </w:pPr>
      <w:r>
        <w:t>88.</w:t>
      </w:r>
      <w:r>
        <w:tab/>
        <w:t>Infectious diseases</w:t>
      </w:r>
      <w:r>
        <w:tab/>
      </w:r>
      <w:r>
        <w:fldChar w:fldCharType="begin"/>
      </w:r>
      <w:r>
        <w:instrText xml:space="preserve"> PAGEREF _Toc398888214 \h </w:instrText>
      </w:r>
      <w:r>
        <w:fldChar w:fldCharType="separate"/>
      </w:r>
      <w:r>
        <w:t>69</w:t>
      </w:r>
      <w:r>
        <w:fldChar w:fldCharType="end"/>
      </w:r>
    </w:p>
    <w:p>
      <w:pPr>
        <w:pStyle w:val="TOC8"/>
        <w:rPr>
          <w:rFonts w:asciiTheme="minorHAnsi" w:eastAsiaTheme="minorEastAsia" w:hAnsiTheme="minorHAnsi" w:cstheme="minorBidi"/>
          <w:szCs w:val="22"/>
        </w:rPr>
      </w:pPr>
      <w:r>
        <w:t>89.</w:t>
      </w:r>
      <w:r>
        <w:tab/>
        <w:t>First aid kits</w:t>
      </w:r>
      <w:r>
        <w:tab/>
      </w:r>
      <w:r>
        <w:fldChar w:fldCharType="begin"/>
      </w:r>
      <w:r>
        <w:instrText xml:space="preserve"> PAGEREF _Toc398888215 \h </w:instrText>
      </w:r>
      <w:r>
        <w:fldChar w:fldCharType="separate"/>
      </w:r>
      <w:r>
        <w:t>70</w:t>
      </w:r>
      <w:r>
        <w:fldChar w:fldCharType="end"/>
      </w:r>
    </w:p>
    <w:p>
      <w:pPr>
        <w:pStyle w:val="TOC6"/>
        <w:tabs>
          <w:tab w:val="right" w:leader="dot" w:pos="7088"/>
        </w:tabs>
        <w:rPr>
          <w:rFonts w:asciiTheme="minorHAnsi" w:eastAsiaTheme="minorEastAsia" w:hAnsiTheme="minorHAnsi" w:cstheme="minorBidi"/>
          <w:b w:val="0"/>
          <w:sz w:val="22"/>
          <w:szCs w:val="22"/>
        </w:rPr>
      </w:pPr>
      <w:r>
        <w:t>Division 3 — Medical conditions policy</w:t>
      </w:r>
    </w:p>
    <w:p>
      <w:pPr>
        <w:pStyle w:val="TOC8"/>
        <w:rPr>
          <w:rFonts w:asciiTheme="minorHAnsi" w:eastAsiaTheme="minorEastAsia" w:hAnsiTheme="minorHAnsi" w:cstheme="minorBidi"/>
          <w:szCs w:val="22"/>
        </w:rPr>
      </w:pPr>
      <w:r>
        <w:t>90.</w:t>
      </w:r>
      <w:r>
        <w:tab/>
        <w:t>Medical conditions policy</w:t>
      </w:r>
      <w:r>
        <w:tab/>
      </w:r>
      <w:r>
        <w:fldChar w:fldCharType="begin"/>
      </w:r>
      <w:r>
        <w:instrText xml:space="preserve"> PAGEREF _Toc398888217 \h </w:instrText>
      </w:r>
      <w:r>
        <w:fldChar w:fldCharType="separate"/>
      </w:r>
      <w:r>
        <w:t>71</w:t>
      </w:r>
      <w:r>
        <w:fldChar w:fldCharType="end"/>
      </w:r>
    </w:p>
    <w:p>
      <w:pPr>
        <w:pStyle w:val="TOC8"/>
        <w:rPr>
          <w:rFonts w:asciiTheme="minorHAnsi" w:eastAsiaTheme="minorEastAsia" w:hAnsiTheme="minorHAnsi" w:cstheme="minorBidi"/>
          <w:szCs w:val="22"/>
        </w:rPr>
      </w:pPr>
      <w:r>
        <w:t>91.</w:t>
      </w:r>
      <w:r>
        <w:tab/>
        <w:t>Medical conditions policy to be provided to parents</w:t>
      </w:r>
      <w:r>
        <w:tab/>
      </w:r>
      <w:r>
        <w:fldChar w:fldCharType="begin"/>
      </w:r>
      <w:r>
        <w:instrText xml:space="preserve"> PAGEREF _Toc398888218 \h </w:instrText>
      </w:r>
      <w:r>
        <w:fldChar w:fldCharType="separate"/>
      </w:r>
      <w:r>
        <w:t>73</w:t>
      </w:r>
      <w:r>
        <w:fldChar w:fldCharType="end"/>
      </w:r>
    </w:p>
    <w:p>
      <w:pPr>
        <w:pStyle w:val="TOC6"/>
        <w:tabs>
          <w:tab w:val="right" w:leader="dot" w:pos="7088"/>
        </w:tabs>
        <w:rPr>
          <w:rFonts w:asciiTheme="minorHAnsi" w:eastAsiaTheme="minorEastAsia" w:hAnsiTheme="minorHAnsi" w:cstheme="minorBidi"/>
          <w:b w:val="0"/>
          <w:sz w:val="22"/>
          <w:szCs w:val="22"/>
        </w:rPr>
      </w:pPr>
      <w:r>
        <w:t>Division 4 — Administration of medication</w:t>
      </w:r>
    </w:p>
    <w:p>
      <w:pPr>
        <w:pStyle w:val="TOC8"/>
        <w:rPr>
          <w:rFonts w:asciiTheme="minorHAnsi" w:eastAsiaTheme="minorEastAsia" w:hAnsiTheme="minorHAnsi" w:cstheme="minorBidi"/>
          <w:szCs w:val="22"/>
        </w:rPr>
      </w:pPr>
      <w:r>
        <w:t>92.</w:t>
      </w:r>
      <w:r>
        <w:tab/>
        <w:t>Medication record</w:t>
      </w:r>
      <w:r>
        <w:tab/>
      </w:r>
      <w:r>
        <w:fldChar w:fldCharType="begin"/>
      </w:r>
      <w:r>
        <w:instrText xml:space="preserve"> PAGEREF _Toc398888220 \h </w:instrText>
      </w:r>
      <w:r>
        <w:fldChar w:fldCharType="separate"/>
      </w:r>
      <w:r>
        <w:t>73</w:t>
      </w:r>
      <w:r>
        <w:fldChar w:fldCharType="end"/>
      </w:r>
    </w:p>
    <w:p>
      <w:pPr>
        <w:pStyle w:val="TOC8"/>
        <w:rPr>
          <w:rFonts w:asciiTheme="minorHAnsi" w:eastAsiaTheme="minorEastAsia" w:hAnsiTheme="minorHAnsi" w:cstheme="minorBidi"/>
          <w:szCs w:val="22"/>
        </w:rPr>
      </w:pPr>
      <w:r>
        <w:t>93.</w:t>
      </w:r>
      <w:r>
        <w:tab/>
        <w:t>Administration of medication</w:t>
      </w:r>
      <w:r>
        <w:tab/>
      </w:r>
      <w:r>
        <w:fldChar w:fldCharType="begin"/>
      </w:r>
      <w:r>
        <w:instrText xml:space="preserve"> PAGEREF _Toc398888221 \h </w:instrText>
      </w:r>
      <w:r>
        <w:fldChar w:fldCharType="separate"/>
      </w:r>
      <w:r>
        <w:t>74</w:t>
      </w:r>
      <w:r>
        <w:fldChar w:fldCharType="end"/>
      </w:r>
    </w:p>
    <w:p>
      <w:pPr>
        <w:pStyle w:val="TOC8"/>
        <w:rPr>
          <w:rFonts w:asciiTheme="minorHAnsi" w:eastAsiaTheme="minorEastAsia" w:hAnsiTheme="minorHAnsi" w:cstheme="minorBidi"/>
          <w:szCs w:val="22"/>
        </w:rPr>
      </w:pPr>
      <w:r>
        <w:t>94.</w:t>
      </w:r>
      <w:r>
        <w:tab/>
        <w:t>Exception to authorisation requirement — anaphylaxis or asthma emergency</w:t>
      </w:r>
      <w:r>
        <w:tab/>
      </w:r>
      <w:r>
        <w:fldChar w:fldCharType="begin"/>
      </w:r>
      <w:r>
        <w:instrText xml:space="preserve"> PAGEREF _Toc398888222 \h </w:instrText>
      </w:r>
      <w:r>
        <w:fldChar w:fldCharType="separate"/>
      </w:r>
      <w:r>
        <w:t>75</w:t>
      </w:r>
      <w:r>
        <w:fldChar w:fldCharType="end"/>
      </w:r>
    </w:p>
    <w:p>
      <w:pPr>
        <w:pStyle w:val="TOC8"/>
        <w:rPr>
          <w:rFonts w:asciiTheme="minorHAnsi" w:eastAsiaTheme="minorEastAsia" w:hAnsiTheme="minorHAnsi" w:cstheme="minorBidi"/>
          <w:szCs w:val="22"/>
        </w:rPr>
      </w:pPr>
      <w:r>
        <w:t>95.</w:t>
      </w:r>
      <w:r>
        <w:tab/>
        <w:t>Procedure for administration of medication</w:t>
      </w:r>
      <w:r>
        <w:tab/>
      </w:r>
      <w:r>
        <w:fldChar w:fldCharType="begin"/>
      </w:r>
      <w:r>
        <w:instrText xml:space="preserve"> PAGEREF _Toc398888223 \h </w:instrText>
      </w:r>
      <w:r>
        <w:fldChar w:fldCharType="separate"/>
      </w:r>
      <w:r>
        <w:t>76</w:t>
      </w:r>
      <w:r>
        <w:fldChar w:fldCharType="end"/>
      </w:r>
    </w:p>
    <w:p>
      <w:pPr>
        <w:pStyle w:val="TOC8"/>
        <w:rPr>
          <w:rFonts w:asciiTheme="minorHAnsi" w:eastAsiaTheme="minorEastAsia" w:hAnsiTheme="minorHAnsi" w:cstheme="minorBidi"/>
          <w:szCs w:val="22"/>
        </w:rPr>
      </w:pPr>
      <w:r>
        <w:t>96.</w:t>
      </w:r>
      <w:r>
        <w:tab/>
        <w:t>Self</w:t>
      </w:r>
      <w:r>
        <w:noBreakHyphen/>
        <w:t>administration of medication</w:t>
      </w:r>
      <w:r>
        <w:tab/>
      </w:r>
      <w:r>
        <w:fldChar w:fldCharType="begin"/>
      </w:r>
      <w:r>
        <w:instrText xml:space="preserve"> PAGEREF _Toc398888224 \h </w:instrText>
      </w:r>
      <w:r>
        <w:fldChar w:fldCharType="separate"/>
      </w:r>
      <w:r>
        <w:t>77</w:t>
      </w:r>
      <w:r>
        <w:fldChar w:fldCharType="end"/>
      </w:r>
    </w:p>
    <w:p>
      <w:pPr>
        <w:pStyle w:val="TOC6"/>
        <w:tabs>
          <w:tab w:val="right" w:leader="dot" w:pos="7088"/>
        </w:tabs>
        <w:rPr>
          <w:rFonts w:asciiTheme="minorHAnsi" w:eastAsiaTheme="minorEastAsia" w:hAnsiTheme="minorHAnsi" w:cstheme="minorBidi"/>
          <w:b w:val="0"/>
          <w:sz w:val="22"/>
          <w:szCs w:val="22"/>
        </w:rPr>
      </w:pPr>
      <w:r>
        <w:t>Division 5 — Emergencies and communication</w:t>
      </w:r>
    </w:p>
    <w:p>
      <w:pPr>
        <w:pStyle w:val="TOC8"/>
        <w:rPr>
          <w:rFonts w:asciiTheme="minorHAnsi" w:eastAsiaTheme="minorEastAsia" w:hAnsiTheme="minorHAnsi" w:cstheme="minorBidi"/>
          <w:szCs w:val="22"/>
        </w:rPr>
      </w:pPr>
      <w:r>
        <w:t>97.</w:t>
      </w:r>
      <w:r>
        <w:tab/>
        <w:t>Emergency and evacuation procedures</w:t>
      </w:r>
      <w:r>
        <w:tab/>
      </w:r>
      <w:r>
        <w:fldChar w:fldCharType="begin"/>
      </w:r>
      <w:r>
        <w:instrText xml:space="preserve"> PAGEREF _Toc398888226 \h </w:instrText>
      </w:r>
      <w:r>
        <w:fldChar w:fldCharType="separate"/>
      </w:r>
      <w:r>
        <w:t>77</w:t>
      </w:r>
      <w:r>
        <w:fldChar w:fldCharType="end"/>
      </w:r>
    </w:p>
    <w:p>
      <w:pPr>
        <w:pStyle w:val="TOC8"/>
        <w:rPr>
          <w:rFonts w:asciiTheme="minorHAnsi" w:eastAsiaTheme="minorEastAsia" w:hAnsiTheme="minorHAnsi" w:cstheme="minorBidi"/>
          <w:szCs w:val="22"/>
        </w:rPr>
      </w:pPr>
      <w:r>
        <w:t>98.</w:t>
      </w:r>
      <w:r>
        <w:tab/>
        <w:t>Telephone or other communication equipment</w:t>
      </w:r>
      <w:r>
        <w:tab/>
      </w:r>
      <w:r>
        <w:fldChar w:fldCharType="begin"/>
      </w:r>
      <w:r>
        <w:instrText xml:space="preserve"> PAGEREF _Toc398888227 \h </w:instrText>
      </w:r>
      <w:r>
        <w:fldChar w:fldCharType="separate"/>
      </w:r>
      <w:r>
        <w:t>78</w:t>
      </w:r>
      <w:r>
        <w:fldChar w:fldCharType="end"/>
      </w:r>
    </w:p>
    <w:p>
      <w:pPr>
        <w:pStyle w:val="TOC6"/>
        <w:tabs>
          <w:tab w:val="right" w:leader="dot" w:pos="7088"/>
        </w:tabs>
        <w:rPr>
          <w:rFonts w:asciiTheme="minorHAnsi" w:eastAsiaTheme="minorEastAsia" w:hAnsiTheme="minorHAnsi" w:cstheme="minorBidi"/>
          <w:b w:val="0"/>
          <w:sz w:val="22"/>
          <w:szCs w:val="22"/>
        </w:rPr>
      </w:pPr>
      <w:r>
        <w:t>Division 6 — Collection of children from premises and excursions</w:t>
      </w:r>
    </w:p>
    <w:p>
      <w:pPr>
        <w:pStyle w:val="TOC8"/>
        <w:rPr>
          <w:rFonts w:asciiTheme="minorHAnsi" w:eastAsiaTheme="minorEastAsia" w:hAnsiTheme="minorHAnsi" w:cstheme="minorBidi"/>
          <w:szCs w:val="22"/>
        </w:rPr>
      </w:pPr>
      <w:r>
        <w:t>99.</w:t>
      </w:r>
      <w:r>
        <w:tab/>
        <w:t>Children leaving the education and care service premises</w:t>
      </w:r>
      <w:r>
        <w:tab/>
      </w:r>
      <w:r>
        <w:fldChar w:fldCharType="begin"/>
      </w:r>
      <w:r>
        <w:instrText xml:space="preserve"> PAGEREF _Toc398888229 \h </w:instrText>
      </w:r>
      <w:r>
        <w:fldChar w:fldCharType="separate"/>
      </w:r>
      <w:r>
        <w:t>78</w:t>
      </w:r>
      <w:r>
        <w:fldChar w:fldCharType="end"/>
      </w:r>
    </w:p>
    <w:p>
      <w:pPr>
        <w:pStyle w:val="TOC8"/>
        <w:rPr>
          <w:rFonts w:asciiTheme="minorHAnsi" w:eastAsiaTheme="minorEastAsia" w:hAnsiTheme="minorHAnsi" w:cstheme="minorBidi"/>
          <w:szCs w:val="22"/>
        </w:rPr>
      </w:pPr>
      <w:r>
        <w:t>100.</w:t>
      </w:r>
      <w:r>
        <w:tab/>
        <w:t>Risk assessment must be conducted before excursion</w:t>
      </w:r>
      <w:r>
        <w:tab/>
      </w:r>
      <w:r>
        <w:fldChar w:fldCharType="begin"/>
      </w:r>
      <w:r>
        <w:instrText xml:space="preserve"> PAGEREF _Toc398888230 \h </w:instrText>
      </w:r>
      <w:r>
        <w:fldChar w:fldCharType="separate"/>
      </w:r>
      <w:r>
        <w:t>79</w:t>
      </w:r>
      <w:r>
        <w:fldChar w:fldCharType="end"/>
      </w:r>
    </w:p>
    <w:p>
      <w:pPr>
        <w:pStyle w:val="TOC8"/>
        <w:rPr>
          <w:rFonts w:asciiTheme="minorHAnsi" w:eastAsiaTheme="minorEastAsia" w:hAnsiTheme="minorHAnsi" w:cstheme="minorBidi"/>
          <w:szCs w:val="22"/>
        </w:rPr>
      </w:pPr>
      <w:r>
        <w:t>101.</w:t>
      </w:r>
      <w:r>
        <w:tab/>
        <w:t>Conduct of risk assessment for excursion</w:t>
      </w:r>
      <w:r>
        <w:tab/>
      </w:r>
      <w:r>
        <w:fldChar w:fldCharType="begin"/>
      </w:r>
      <w:r>
        <w:instrText xml:space="preserve"> PAGEREF _Toc398888231 \h </w:instrText>
      </w:r>
      <w:r>
        <w:fldChar w:fldCharType="separate"/>
      </w:r>
      <w:r>
        <w:t>79</w:t>
      </w:r>
      <w:r>
        <w:fldChar w:fldCharType="end"/>
      </w:r>
    </w:p>
    <w:p>
      <w:pPr>
        <w:pStyle w:val="TOC8"/>
        <w:rPr>
          <w:rFonts w:asciiTheme="minorHAnsi" w:eastAsiaTheme="minorEastAsia" w:hAnsiTheme="minorHAnsi" w:cstheme="minorBidi"/>
          <w:szCs w:val="22"/>
        </w:rPr>
      </w:pPr>
      <w:r>
        <w:t>102.</w:t>
      </w:r>
      <w:r>
        <w:tab/>
        <w:t>Authorisation for excursions</w:t>
      </w:r>
      <w:r>
        <w:tab/>
      </w:r>
      <w:r>
        <w:fldChar w:fldCharType="begin"/>
      </w:r>
      <w:r>
        <w:instrText xml:space="preserve"> PAGEREF _Toc398888232 \h </w:instrText>
      </w:r>
      <w:r>
        <w:fldChar w:fldCharType="separate"/>
      </w:r>
      <w:r>
        <w:t>80</w:t>
      </w:r>
      <w:r>
        <w:fldChar w:fldCharType="end"/>
      </w:r>
    </w:p>
    <w:p>
      <w:pPr>
        <w:pStyle w:val="TOC4"/>
        <w:tabs>
          <w:tab w:val="right" w:leader="dot" w:pos="7088"/>
        </w:tabs>
        <w:rPr>
          <w:rFonts w:asciiTheme="minorHAnsi" w:eastAsiaTheme="minorEastAsia" w:hAnsiTheme="minorHAnsi" w:cstheme="minorBidi"/>
          <w:b w:val="0"/>
          <w:szCs w:val="22"/>
        </w:rPr>
      </w:pPr>
      <w:r>
        <w:t>Part 4.3 — Physical environment</w:t>
      </w:r>
    </w:p>
    <w:p>
      <w:pPr>
        <w:pStyle w:val="TOC6"/>
        <w:tabs>
          <w:tab w:val="right" w:leader="dot" w:pos="7088"/>
        </w:tabs>
        <w:rPr>
          <w:rFonts w:asciiTheme="minorHAnsi" w:eastAsiaTheme="minorEastAsia" w:hAnsiTheme="minorHAnsi" w:cstheme="minorBidi"/>
          <w:b w:val="0"/>
          <w:sz w:val="22"/>
          <w:szCs w:val="22"/>
        </w:rPr>
      </w:pPr>
      <w:r>
        <w:t>Division 1 — Centre</w:t>
      </w:r>
      <w:r>
        <w:noBreakHyphen/>
        <w:t>based services and family day care services</w:t>
      </w:r>
    </w:p>
    <w:p>
      <w:pPr>
        <w:pStyle w:val="TOC8"/>
        <w:rPr>
          <w:rFonts w:asciiTheme="minorHAnsi" w:eastAsiaTheme="minorEastAsia" w:hAnsiTheme="minorHAnsi" w:cstheme="minorBidi"/>
          <w:szCs w:val="22"/>
        </w:rPr>
      </w:pPr>
      <w:r>
        <w:t>103.</w:t>
      </w:r>
      <w:r>
        <w:tab/>
        <w:t>Premises, furniture and equipment to be safe, clean and in good repair</w:t>
      </w:r>
      <w:r>
        <w:tab/>
      </w:r>
      <w:r>
        <w:fldChar w:fldCharType="begin"/>
      </w:r>
      <w:r>
        <w:instrText xml:space="preserve"> PAGEREF _Toc398888235 \h </w:instrText>
      </w:r>
      <w:r>
        <w:fldChar w:fldCharType="separate"/>
      </w:r>
      <w:r>
        <w:t>82</w:t>
      </w:r>
      <w:r>
        <w:fldChar w:fldCharType="end"/>
      </w:r>
    </w:p>
    <w:p>
      <w:pPr>
        <w:pStyle w:val="TOC8"/>
        <w:rPr>
          <w:rFonts w:asciiTheme="minorHAnsi" w:eastAsiaTheme="minorEastAsia" w:hAnsiTheme="minorHAnsi" w:cstheme="minorBidi"/>
          <w:szCs w:val="22"/>
        </w:rPr>
      </w:pPr>
      <w:r>
        <w:t>104.</w:t>
      </w:r>
      <w:r>
        <w:tab/>
        <w:t>Fencing</w:t>
      </w:r>
      <w:r>
        <w:tab/>
      </w:r>
      <w:r>
        <w:fldChar w:fldCharType="begin"/>
      </w:r>
      <w:r>
        <w:instrText xml:space="preserve"> PAGEREF _Toc398888236 \h </w:instrText>
      </w:r>
      <w:r>
        <w:fldChar w:fldCharType="separate"/>
      </w:r>
      <w:r>
        <w:t>82</w:t>
      </w:r>
      <w:r>
        <w:fldChar w:fldCharType="end"/>
      </w:r>
    </w:p>
    <w:p>
      <w:pPr>
        <w:pStyle w:val="TOC8"/>
        <w:rPr>
          <w:rFonts w:asciiTheme="minorHAnsi" w:eastAsiaTheme="minorEastAsia" w:hAnsiTheme="minorHAnsi" w:cstheme="minorBidi"/>
          <w:szCs w:val="22"/>
        </w:rPr>
      </w:pPr>
      <w:r>
        <w:t>105.</w:t>
      </w:r>
      <w:r>
        <w:tab/>
        <w:t>Furniture, materials and equipment</w:t>
      </w:r>
      <w:r>
        <w:tab/>
      </w:r>
      <w:r>
        <w:fldChar w:fldCharType="begin"/>
      </w:r>
      <w:r>
        <w:instrText xml:space="preserve"> PAGEREF _Toc398888237 \h </w:instrText>
      </w:r>
      <w:r>
        <w:fldChar w:fldCharType="separate"/>
      </w:r>
      <w:r>
        <w:t>82</w:t>
      </w:r>
      <w:r>
        <w:fldChar w:fldCharType="end"/>
      </w:r>
    </w:p>
    <w:p>
      <w:pPr>
        <w:pStyle w:val="TOC8"/>
        <w:rPr>
          <w:rFonts w:asciiTheme="minorHAnsi" w:eastAsiaTheme="minorEastAsia" w:hAnsiTheme="minorHAnsi" w:cstheme="minorBidi"/>
          <w:szCs w:val="22"/>
        </w:rPr>
      </w:pPr>
      <w:r>
        <w:t>106.</w:t>
      </w:r>
      <w:r>
        <w:tab/>
        <w:t>Laundry and hygiene facilities</w:t>
      </w:r>
      <w:r>
        <w:tab/>
      </w:r>
      <w:r>
        <w:fldChar w:fldCharType="begin"/>
      </w:r>
      <w:r>
        <w:instrText xml:space="preserve"> PAGEREF _Toc398888238 \h </w:instrText>
      </w:r>
      <w:r>
        <w:fldChar w:fldCharType="separate"/>
      </w:r>
      <w:r>
        <w:t>83</w:t>
      </w:r>
      <w:r>
        <w:fldChar w:fldCharType="end"/>
      </w:r>
    </w:p>
    <w:p>
      <w:pPr>
        <w:pStyle w:val="TOC8"/>
        <w:rPr>
          <w:rFonts w:asciiTheme="minorHAnsi" w:eastAsiaTheme="minorEastAsia" w:hAnsiTheme="minorHAnsi" w:cstheme="minorBidi"/>
          <w:szCs w:val="22"/>
        </w:rPr>
      </w:pPr>
      <w:r>
        <w:t>107.</w:t>
      </w:r>
      <w:r>
        <w:tab/>
        <w:t>Space requirements — indoor space</w:t>
      </w:r>
      <w:r>
        <w:tab/>
      </w:r>
      <w:r>
        <w:fldChar w:fldCharType="begin"/>
      </w:r>
      <w:r>
        <w:instrText xml:space="preserve"> PAGEREF _Toc398888239 \h </w:instrText>
      </w:r>
      <w:r>
        <w:fldChar w:fldCharType="separate"/>
      </w:r>
      <w:r>
        <w:t>83</w:t>
      </w:r>
      <w:r>
        <w:fldChar w:fldCharType="end"/>
      </w:r>
    </w:p>
    <w:p>
      <w:pPr>
        <w:pStyle w:val="TOC8"/>
        <w:rPr>
          <w:rFonts w:asciiTheme="minorHAnsi" w:eastAsiaTheme="minorEastAsia" w:hAnsiTheme="minorHAnsi" w:cstheme="minorBidi"/>
          <w:szCs w:val="22"/>
        </w:rPr>
      </w:pPr>
      <w:r>
        <w:t>108.</w:t>
      </w:r>
      <w:r>
        <w:tab/>
        <w:t>Space requirements — outdoor space</w:t>
      </w:r>
      <w:r>
        <w:tab/>
      </w:r>
      <w:r>
        <w:fldChar w:fldCharType="begin"/>
      </w:r>
      <w:r>
        <w:instrText xml:space="preserve"> PAGEREF _Toc398888240 \h </w:instrText>
      </w:r>
      <w:r>
        <w:fldChar w:fldCharType="separate"/>
      </w:r>
      <w:r>
        <w:t>84</w:t>
      </w:r>
      <w:r>
        <w:fldChar w:fldCharType="end"/>
      </w:r>
    </w:p>
    <w:p>
      <w:pPr>
        <w:pStyle w:val="TOC8"/>
        <w:rPr>
          <w:rFonts w:asciiTheme="minorHAnsi" w:eastAsiaTheme="minorEastAsia" w:hAnsiTheme="minorHAnsi" w:cstheme="minorBidi"/>
          <w:szCs w:val="22"/>
        </w:rPr>
      </w:pPr>
      <w:r>
        <w:t>109.</w:t>
      </w:r>
      <w:r>
        <w:tab/>
        <w:t>Toilet and hygiene facilities</w:t>
      </w:r>
      <w:r>
        <w:tab/>
      </w:r>
      <w:r>
        <w:fldChar w:fldCharType="begin"/>
      </w:r>
      <w:r>
        <w:instrText xml:space="preserve"> PAGEREF _Toc398888241 \h </w:instrText>
      </w:r>
      <w:r>
        <w:fldChar w:fldCharType="separate"/>
      </w:r>
      <w:r>
        <w:t>85</w:t>
      </w:r>
      <w:r>
        <w:fldChar w:fldCharType="end"/>
      </w:r>
    </w:p>
    <w:p>
      <w:pPr>
        <w:pStyle w:val="TOC8"/>
        <w:rPr>
          <w:rFonts w:asciiTheme="minorHAnsi" w:eastAsiaTheme="minorEastAsia" w:hAnsiTheme="minorHAnsi" w:cstheme="minorBidi"/>
          <w:szCs w:val="22"/>
        </w:rPr>
      </w:pPr>
      <w:r>
        <w:t>110.</w:t>
      </w:r>
      <w:r>
        <w:tab/>
        <w:t>Ventilation and natural light</w:t>
      </w:r>
      <w:r>
        <w:tab/>
      </w:r>
      <w:r>
        <w:fldChar w:fldCharType="begin"/>
      </w:r>
      <w:r>
        <w:instrText xml:space="preserve"> PAGEREF _Toc398888242 \h </w:instrText>
      </w:r>
      <w:r>
        <w:fldChar w:fldCharType="separate"/>
      </w:r>
      <w:r>
        <w:t>86</w:t>
      </w:r>
      <w:r>
        <w:fldChar w:fldCharType="end"/>
      </w:r>
    </w:p>
    <w:p>
      <w:pPr>
        <w:pStyle w:val="TOC6"/>
        <w:tabs>
          <w:tab w:val="right" w:leader="dot" w:pos="7088"/>
        </w:tabs>
        <w:rPr>
          <w:rFonts w:asciiTheme="minorHAnsi" w:eastAsiaTheme="minorEastAsia" w:hAnsiTheme="minorHAnsi" w:cstheme="minorBidi"/>
          <w:b w:val="0"/>
          <w:sz w:val="22"/>
          <w:szCs w:val="22"/>
        </w:rPr>
      </w:pPr>
      <w:r>
        <w:t>Division 2 — Additional requirements for centre</w:t>
      </w:r>
      <w:r>
        <w:noBreakHyphen/>
        <w:t>based services</w:t>
      </w:r>
    </w:p>
    <w:p>
      <w:pPr>
        <w:pStyle w:val="TOC8"/>
        <w:rPr>
          <w:rFonts w:asciiTheme="minorHAnsi" w:eastAsiaTheme="minorEastAsia" w:hAnsiTheme="minorHAnsi" w:cstheme="minorBidi"/>
          <w:szCs w:val="22"/>
        </w:rPr>
      </w:pPr>
      <w:r>
        <w:t>111.</w:t>
      </w:r>
      <w:r>
        <w:tab/>
        <w:t>Administrative space</w:t>
      </w:r>
      <w:r>
        <w:tab/>
      </w:r>
      <w:r>
        <w:fldChar w:fldCharType="begin"/>
      </w:r>
      <w:r>
        <w:instrText xml:space="preserve"> PAGEREF _Toc398888244 \h </w:instrText>
      </w:r>
      <w:r>
        <w:fldChar w:fldCharType="separate"/>
      </w:r>
      <w:r>
        <w:t>86</w:t>
      </w:r>
      <w:r>
        <w:fldChar w:fldCharType="end"/>
      </w:r>
    </w:p>
    <w:p>
      <w:pPr>
        <w:pStyle w:val="TOC8"/>
        <w:rPr>
          <w:rFonts w:asciiTheme="minorHAnsi" w:eastAsiaTheme="minorEastAsia" w:hAnsiTheme="minorHAnsi" w:cstheme="minorBidi"/>
          <w:szCs w:val="22"/>
        </w:rPr>
      </w:pPr>
      <w:r>
        <w:t>112.</w:t>
      </w:r>
      <w:r>
        <w:tab/>
        <w:t>Nappy change facilities</w:t>
      </w:r>
      <w:r>
        <w:tab/>
      </w:r>
      <w:r>
        <w:fldChar w:fldCharType="begin"/>
      </w:r>
      <w:r>
        <w:instrText xml:space="preserve"> PAGEREF _Toc398888245 \h </w:instrText>
      </w:r>
      <w:r>
        <w:fldChar w:fldCharType="separate"/>
      </w:r>
      <w:r>
        <w:t>86</w:t>
      </w:r>
      <w:r>
        <w:fldChar w:fldCharType="end"/>
      </w:r>
    </w:p>
    <w:p>
      <w:pPr>
        <w:pStyle w:val="TOC8"/>
        <w:rPr>
          <w:rFonts w:asciiTheme="minorHAnsi" w:eastAsiaTheme="minorEastAsia" w:hAnsiTheme="minorHAnsi" w:cstheme="minorBidi"/>
          <w:szCs w:val="22"/>
        </w:rPr>
      </w:pPr>
      <w:r>
        <w:t>113.</w:t>
      </w:r>
      <w:r>
        <w:tab/>
        <w:t>Outdoor space — natural environment</w:t>
      </w:r>
      <w:r>
        <w:tab/>
      </w:r>
      <w:r>
        <w:fldChar w:fldCharType="begin"/>
      </w:r>
      <w:r>
        <w:instrText xml:space="preserve"> PAGEREF _Toc398888246 \h </w:instrText>
      </w:r>
      <w:r>
        <w:fldChar w:fldCharType="separate"/>
      </w:r>
      <w:r>
        <w:t>87</w:t>
      </w:r>
      <w:r>
        <w:fldChar w:fldCharType="end"/>
      </w:r>
    </w:p>
    <w:p>
      <w:pPr>
        <w:pStyle w:val="TOC8"/>
        <w:rPr>
          <w:rFonts w:asciiTheme="minorHAnsi" w:eastAsiaTheme="minorEastAsia" w:hAnsiTheme="minorHAnsi" w:cstheme="minorBidi"/>
          <w:szCs w:val="22"/>
        </w:rPr>
      </w:pPr>
      <w:r>
        <w:t>114.</w:t>
      </w:r>
      <w:r>
        <w:tab/>
        <w:t>Outdoor space — shade</w:t>
      </w:r>
      <w:r>
        <w:tab/>
      </w:r>
      <w:r>
        <w:fldChar w:fldCharType="begin"/>
      </w:r>
      <w:r>
        <w:instrText xml:space="preserve"> PAGEREF _Toc398888247 \h </w:instrText>
      </w:r>
      <w:r>
        <w:fldChar w:fldCharType="separate"/>
      </w:r>
      <w:r>
        <w:t>87</w:t>
      </w:r>
      <w:r>
        <w:fldChar w:fldCharType="end"/>
      </w:r>
    </w:p>
    <w:p>
      <w:pPr>
        <w:pStyle w:val="TOC8"/>
        <w:rPr>
          <w:rFonts w:asciiTheme="minorHAnsi" w:eastAsiaTheme="minorEastAsia" w:hAnsiTheme="minorHAnsi" w:cstheme="minorBidi"/>
          <w:szCs w:val="22"/>
        </w:rPr>
      </w:pPr>
      <w:r>
        <w:t>115.</w:t>
      </w:r>
      <w:r>
        <w:tab/>
        <w:t>Premises designed to facilitate supervision</w:t>
      </w:r>
      <w:r>
        <w:tab/>
      </w:r>
      <w:r>
        <w:fldChar w:fldCharType="begin"/>
      </w:r>
      <w:r>
        <w:instrText xml:space="preserve"> PAGEREF _Toc398888248 \h </w:instrText>
      </w:r>
      <w:r>
        <w:fldChar w:fldCharType="separate"/>
      </w:r>
      <w:r>
        <w:t>88</w:t>
      </w:r>
      <w:r>
        <w:fldChar w:fldCharType="end"/>
      </w:r>
    </w:p>
    <w:p>
      <w:pPr>
        <w:pStyle w:val="TOC6"/>
        <w:tabs>
          <w:tab w:val="right" w:leader="dot" w:pos="7088"/>
        </w:tabs>
        <w:rPr>
          <w:rFonts w:asciiTheme="minorHAnsi" w:eastAsiaTheme="minorEastAsia" w:hAnsiTheme="minorHAnsi" w:cstheme="minorBidi"/>
          <w:b w:val="0"/>
          <w:sz w:val="22"/>
          <w:szCs w:val="22"/>
        </w:rPr>
      </w:pPr>
      <w:r>
        <w:t>Division 3 — Additional provisions for family day care services</w:t>
      </w:r>
    </w:p>
    <w:p>
      <w:pPr>
        <w:pStyle w:val="TOC8"/>
        <w:rPr>
          <w:rFonts w:asciiTheme="minorHAnsi" w:eastAsiaTheme="minorEastAsia" w:hAnsiTheme="minorHAnsi" w:cstheme="minorBidi"/>
          <w:szCs w:val="22"/>
        </w:rPr>
      </w:pPr>
      <w:r>
        <w:t>116.</w:t>
      </w:r>
      <w:r>
        <w:tab/>
        <w:t>Assessments of family day care residences and approved family day care venues</w:t>
      </w:r>
      <w:r>
        <w:tab/>
      </w:r>
      <w:r>
        <w:fldChar w:fldCharType="begin"/>
      </w:r>
      <w:r>
        <w:instrText xml:space="preserve"> PAGEREF _Toc398888250 \h </w:instrText>
      </w:r>
      <w:r>
        <w:fldChar w:fldCharType="separate"/>
      </w:r>
      <w:r>
        <w:t>88</w:t>
      </w:r>
      <w:r>
        <w:fldChar w:fldCharType="end"/>
      </w:r>
    </w:p>
    <w:p>
      <w:pPr>
        <w:pStyle w:val="TOC8"/>
        <w:rPr>
          <w:rFonts w:asciiTheme="minorHAnsi" w:eastAsiaTheme="minorEastAsia" w:hAnsiTheme="minorHAnsi" w:cstheme="minorBidi"/>
          <w:szCs w:val="22"/>
        </w:rPr>
      </w:pPr>
      <w:r>
        <w:t>117.</w:t>
      </w:r>
      <w:r>
        <w:tab/>
        <w:t>Glass</w:t>
      </w:r>
      <w:r>
        <w:tab/>
      </w:r>
      <w:r>
        <w:fldChar w:fldCharType="begin"/>
      </w:r>
      <w:r>
        <w:instrText xml:space="preserve"> PAGEREF _Toc398888251 \h </w:instrText>
      </w:r>
      <w:r>
        <w:fldChar w:fldCharType="separate"/>
      </w:r>
      <w:r>
        <w:t>89</w:t>
      </w:r>
      <w:r>
        <w:fldChar w:fldCharType="end"/>
      </w:r>
    </w:p>
    <w:p>
      <w:pPr>
        <w:pStyle w:val="TOC4"/>
        <w:tabs>
          <w:tab w:val="right" w:leader="dot" w:pos="7088"/>
        </w:tabs>
        <w:rPr>
          <w:rFonts w:asciiTheme="minorHAnsi" w:eastAsiaTheme="minorEastAsia" w:hAnsiTheme="minorHAnsi" w:cstheme="minorBidi"/>
          <w:b w:val="0"/>
          <w:szCs w:val="22"/>
        </w:rPr>
      </w:pPr>
      <w:r>
        <w:t>Part 4.4 — Staffing arrangements</w:t>
      </w:r>
    </w:p>
    <w:p>
      <w:pPr>
        <w:pStyle w:val="TOC6"/>
        <w:tabs>
          <w:tab w:val="right" w:leader="dot" w:pos="7088"/>
        </w:tabs>
        <w:rPr>
          <w:rFonts w:asciiTheme="minorHAnsi" w:eastAsiaTheme="minorEastAsia" w:hAnsiTheme="minorHAnsi" w:cstheme="minorBidi"/>
          <w:b w:val="0"/>
          <w:sz w:val="22"/>
          <w:szCs w:val="22"/>
        </w:rPr>
      </w:pPr>
      <w:r>
        <w:t>Division 1 — Educational leader</w:t>
      </w:r>
    </w:p>
    <w:p>
      <w:pPr>
        <w:pStyle w:val="TOC8"/>
        <w:rPr>
          <w:rFonts w:asciiTheme="minorHAnsi" w:eastAsiaTheme="minorEastAsia" w:hAnsiTheme="minorHAnsi" w:cstheme="minorBidi"/>
          <w:szCs w:val="22"/>
        </w:rPr>
      </w:pPr>
      <w:r>
        <w:t>118.</w:t>
      </w:r>
      <w:r>
        <w:tab/>
        <w:t>Educational leader</w:t>
      </w:r>
      <w:r>
        <w:tab/>
      </w:r>
      <w:r>
        <w:fldChar w:fldCharType="begin"/>
      </w:r>
      <w:r>
        <w:instrText xml:space="preserve"> PAGEREF _Toc398888254 \h </w:instrText>
      </w:r>
      <w:r>
        <w:fldChar w:fldCharType="separate"/>
      </w:r>
      <w:r>
        <w:t>90</w:t>
      </w:r>
      <w:r>
        <w:fldChar w:fldCharType="end"/>
      </w:r>
    </w:p>
    <w:p>
      <w:pPr>
        <w:pStyle w:val="TOC6"/>
        <w:tabs>
          <w:tab w:val="right" w:leader="dot" w:pos="7088"/>
        </w:tabs>
        <w:rPr>
          <w:rFonts w:asciiTheme="minorHAnsi" w:eastAsiaTheme="minorEastAsia" w:hAnsiTheme="minorHAnsi" w:cstheme="minorBidi"/>
          <w:b w:val="0"/>
          <w:sz w:val="22"/>
          <w:szCs w:val="22"/>
        </w:rPr>
      </w:pPr>
      <w:r>
        <w:t>Division 2 — Age and supervision requirements</w:t>
      </w:r>
    </w:p>
    <w:p>
      <w:pPr>
        <w:pStyle w:val="TOC8"/>
        <w:rPr>
          <w:rFonts w:asciiTheme="minorHAnsi" w:eastAsiaTheme="minorEastAsia" w:hAnsiTheme="minorHAnsi" w:cstheme="minorBidi"/>
          <w:szCs w:val="22"/>
        </w:rPr>
      </w:pPr>
      <w:r>
        <w:t>119.</w:t>
      </w:r>
      <w:r>
        <w:tab/>
        <w:t>Family day care educator and family day care educator assistant to be at least 18 years old</w:t>
      </w:r>
      <w:r>
        <w:tab/>
      </w:r>
      <w:r>
        <w:fldChar w:fldCharType="begin"/>
      </w:r>
      <w:r>
        <w:instrText xml:space="preserve"> PAGEREF _Toc398888256 \h </w:instrText>
      </w:r>
      <w:r>
        <w:fldChar w:fldCharType="separate"/>
      </w:r>
      <w:r>
        <w:t>90</w:t>
      </w:r>
      <w:r>
        <w:fldChar w:fldCharType="end"/>
      </w:r>
    </w:p>
    <w:p>
      <w:pPr>
        <w:pStyle w:val="TOC8"/>
        <w:rPr>
          <w:rFonts w:asciiTheme="minorHAnsi" w:eastAsiaTheme="minorEastAsia" w:hAnsiTheme="minorHAnsi" w:cstheme="minorBidi"/>
          <w:szCs w:val="22"/>
        </w:rPr>
      </w:pPr>
      <w:r>
        <w:t>120.</w:t>
      </w:r>
      <w:r>
        <w:tab/>
        <w:t>Educators who are under 18 to be supervised</w:t>
      </w:r>
      <w:r>
        <w:tab/>
      </w:r>
      <w:r>
        <w:fldChar w:fldCharType="begin"/>
      </w:r>
      <w:r>
        <w:instrText xml:space="preserve"> PAGEREF _Toc398888257 \h </w:instrText>
      </w:r>
      <w:r>
        <w:fldChar w:fldCharType="separate"/>
      </w:r>
      <w:r>
        <w:t>90</w:t>
      </w:r>
      <w:r>
        <w:fldChar w:fldCharType="end"/>
      </w:r>
    </w:p>
    <w:p>
      <w:pPr>
        <w:pStyle w:val="TOC6"/>
        <w:tabs>
          <w:tab w:val="right" w:leader="dot" w:pos="7088"/>
        </w:tabs>
        <w:rPr>
          <w:rFonts w:asciiTheme="minorHAnsi" w:eastAsiaTheme="minorEastAsia" w:hAnsiTheme="minorHAnsi" w:cstheme="minorBidi"/>
          <w:b w:val="0"/>
          <w:sz w:val="22"/>
          <w:szCs w:val="22"/>
        </w:rPr>
      </w:pPr>
      <w:r>
        <w:t>Division 3 — Minimum number of educators required</w:t>
      </w:r>
    </w:p>
    <w:p>
      <w:pPr>
        <w:pStyle w:val="TOC8"/>
        <w:rPr>
          <w:rFonts w:asciiTheme="minorHAnsi" w:eastAsiaTheme="minorEastAsia" w:hAnsiTheme="minorHAnsi" w:cstheme="minorBidi"/>
          <w:szCs w:val="22"/>
        </w:rPr>
      </w:pPr>
      <w:r>
        <w:t>121.</w:t>
      </w:r>
      <w:r>
        <w:tab/>
        <w:t>Application of Division 3</w:t>
      </w:r>
      <w:r>
        <w:tab/>
      </w:r>
      <w:r>
        <w:fldChar w:fldCharType="begin"/>
      </w:r>
      <w:r>
        <w:instrText xml:space="preserve"> PAGEREF _Toc398888259 \h </w:instrText>
      </w:r>
      <w:r>
        <w:fldChar w:fldCharType="separate"/>
      </w:r>
      <w:r>
        <w:t>91</w:t>
      </w:r>
      <w:r>
        <w:fldChar w:fldCharType="end"/>
      </w:r>
    </w:p>
    <w:p>
      <w:pPr>
        <w:pStyle w:val="TOC8"/>
        <w:rPr>
          <w:rFonts w:asciiTheme="minorHAnsi" w:eastAsiaTheme="minorEastAsia" w:hAnsiTheme="minorHAnsi" w:cstheme="minorBidi"/>
          <w:szCs w:val="22"/>
        </w:rPr>
      </w:pPr>
      <w:r>
        <w:t>122.</w:t>
      </w:r>
      <w:r>
        <w:tab/>
        <w:t>Educators must be working directly with children to be included in ratios</w:t>
      </w:r>
      <w:r>
        <w:tab/>
      </w:r>
      <w:r>
        <w:fldChar w:fldCharType="begin"/>
      </w:r>
      <w:r>
        <w:instrText xml:space="preserve"> PAGEREF _Toc398888260 \h </w:instrText>
      </w:r>
      <w:r>
        <w:fldChar w:fldCharType="separate"/>
      </w:r>
      <w:r>
        <w:t>91</w:t>
      </w:r>
      <w:r>
        <w:fldChar w:fldCharType="end"/>
      </w:r>
    </w:p>
    <w:p>
      <w:pPr>
        <w:pStyle w:val="TOC8"/>
        <w:rPr>
          <w:rFonts w:asciiTheme="minorHAnsi" w:eastAsiaTheme="minorEastAsia" w:hAnsiTheme="minorHAnsi" w:cstheme="minorBidi"/>
          <w:szCs w:val="22"/>
        </w:rPr>
      </w:pPr>
      <w:r>
        <w:t>123.</w:t>
      </w:r>
      <w:r>
        <w:tab/>
        <w:t>Educator to child ratios — centre</w:t>
      </w:r>
      <w:r>
        <w:noBreakHyphen/>
        <w:t>based services</w:t>
      </w:r>
      <w:r>
        <w:tab/>
      </w:r>
      <w:r>
        <w:fldChar w:fldCharType="begin"/>
      </w:r>
      <w:r>
        <w:instrText xml:space="preserve"> PAGEREF _Toc398888261 \h </w:instrText>
      </w:r>
      <w:r>
        <w:fldChar w:fldCharType="separate"/>
      </w:r>
      <w:r>
        <w:t>91</w:t>
      </w:r>
      <w:r>
        <w:fldChar w:fldCharType="end"/>
      </w:r>
    </w:p>
    <w:p>
      <w:pPr>
        <w:pStyle w:val="TOC8"/>
        <w:rPr>
          <w:rFonts w:asciiTheme="minorHAnsi" w:eastAsiaTheme="minorEastAsia" w:hAnsiTheme="minorHAnsi" w:cstheme="minorBidi"/>
          <w:szCs w:val="22"/>
        </w:rPr>
      </w:pPr>
      <w:r>
        <w:t>124.</w:t>
      </w:r>
      <w:r>
        <w:tab/>
        <w:t>Number of children who can be educated and cared for — family day care educator</w:t>
      </w:r>
      <w:r>
        <w:tab/>
      </w:r>
      <w:r>
        <w:fldChar w:fldCharType="begin"/>
      </w:r>
      <w:r>
        <w:instrText xml:space="preserve"> PAGEREF _Toc398888262 \h </w:instrText>
      </w:r>
      <w:r>
        <w:fldChar w:fldCharType="separate"/>
      </w:r>
      <w:r>
        <w:t>93</w:t>
      </w:r>
      <w:r>
        <w:fldChar w:fldCharType="end"/>
      </w:r>
    </w:p>
    <w:p>
      <w:pPr>
        <w:pStyle w:val="TOC6"/>
        <w:tabs>
          <w:tab w:val="right" w:leader="dot" w:pos="7088"/>
        </w:tabs>
        <w:rPr>
          <w:rFonts w:asciiTheme="minorHAnsi" w:eastAsiaTheme="minorEastAsia" w:hAnsiTheme="minorHAnsi" w:cstheme="minorBidi"/>
          <w:b w:val="0"/>
          <w:sz w:val="22"/>
          <w:szCs w:val="22"/>
        </w:rPr>
      </w:pPr>
      <w:r>
        <w:t>Division 4 — Educational qualifications for educators</w:t>
      </w:r>
    </w:p>
    <w:p>
      <w:pPr>
        <w:pStyle w:val="TOC8"/>
        <w:rPr>
          <w:rFonts w:asciiTheme="minorHAnsi" w:eastAsiaTheme="minorEastAsia" w:hAnsiTheme="minorHAnsi" w:cstheme="minorBidi"/>
          <w:szCs w:val="22"/>
        </w:rPr>
      </w:pPr>
      <w:r>
        <w:t>125.</w:t>
      </w:r>
      <w:r>
        <w:tab/>
        <w:t>Application of Division 4</w:t>
      </w:r>
      <w:r>
        <w:tab/>
      </w:r>
      <w:r>
        <w:fldChar w:fldCharType="begin"/>
      </w:r>
      <w:r>
        <w:instrText xml:space="preserve"> PAGEREF _Toc398888264 \h </w:instrText>
      </w:r>
      <w:r>
        <w:fldChar w:fldCharType="separate"/>
      </w:r>
      <w:r>
        <w:t>95</w:t>
      </w:r>
      <w:r>
        <w:fldChar w:fldCharType="end"/>
      </w:r>
    </w:p>
    <w:p>
      <w:pPr>
        <w:pStyle w:val="TOC8"/>
        <w:rPr>
          <w:rFonts w:asciiTheme="minorHAnsi" w:eastAsiaTheme="minorEastAsia" w:hAnsiTheme="minorHAnsi" w:cstheme="minorBidi"/>
          <w:szCs w:val="22"/>
        </w:rPr>
      </w:pPr>
      <w:r>
        <w:t>126.</w:t>
      </w:r>
      <w:r>
        <w:tab/>
        <w:t>Centre</w:t>
      </w:r>
      <w:r>
        <w:noBreakHyphen/>
        <w:t>based services — general educator qualifications</w:t>
      </w:r>
      <w:r>
        <w:tab/>
      </w:r>
      <w:r>
        <w:fldChar w:fldCharType="begin"/>
      </w:r>
      <w:r>
        <w:instrText xml:space="preserve"> PAGEREF _Toc398888265 \h </w:instrText>
      </w:r>
      <w:r>
        <w:fldChar w:fldCharType="separate"/>
      </w:r>
      <w:r>
        <w:t>95</w:t>
      </w:r>
      <w:r>
        <w:fldChar w:fldCharType="end"/>
      </w:r>
    </w:p>
    <w:p>
      <w:pPr>
        <w:pStyle w:val="TOC8"/>
        <w:rPr>
          <w:rFonts w:asciiTheme="minorHAnsi" w:eastAsiaTheme="minorEastAsia" w:hAnsiTheme="minorHAnsi" w:cstheme="minorBidi"/>
          <w:szCs w:val="22"/>
        </w:rPr>
      </w:pPr>
      <w:r>
        <w:t>127.</w:t>
      </w:r>
      <w:r>
        <w:tab/>
        <w:t>Family day care educator qualifications</w:t>
      </w:r>
      <w:r>
        <w:tab/>
      </w:r>
      <w:r>
        <w:fldChar w:fldCharType="begin"/>
      </w:r>
      <w:r>
        <w:instrText xml:space="preserve"> PAGEREF _Toc398888266 \h </w:instrText>
      </w:r>
      <w:r>
        <w:fldChar w:fldCharType="separate"/>
      </w:r>
      <w:r>
        <w:t>96</w:t>
      </w:r>
      <w:r>
        <w:fldChar w:fldCharType="end"/>
      </w:r>
    </w:p>
    <w:p>
      <w:pPr>
        <w:pStyle w:val="TOC8"/>
        <w:rPr>
          <w:rFonts w:asciiTheme="minorHAnsi" w:eastAsiaTheme="minorEastAsia" w:hAnsiTheme="minorHAnsi" w:cstheme="minorBidi"/>
          <w:szCs w:val="22"/>
        </w:rPr>
      </w:pPr>
      <w:r>
        <w:t>128.</w:t>
      </w:r>
      <w:r>
        <w:tab/>
        <w:t>Family day care co</w:t>
      </w:r>
      <w:r>
        <w:noBreakHyphen/>
        <w:t>ordinator qualifications</w:t>
      </w:r>
      <w:r>
        <w:tab/>
      </w:r>
      <w:r>
        <w:fldChar w:fldCharType="begin"/>
      </w:r>
      <w:r>
        <w:instrText xml:space="preserve"> PAGEREF _Toc398888267 \h </w:instrText>
      </w:r>
      <w:r>
        <w:fldChar w:fldCharType="separate"/>
      </w:r>
      <w:r>
        <w:t>96</w:t>
      </w:r>
      <w:r>
        <w:fldChar w:fldCharType="end"/>
      </w:r>
    </w:p>
    <w:p>
      <w:pPr>
        <w:pStyle w:val="TOC6"/>
        <w:tabs>
          <w:tab w:val="right" w:leader="dot" w:pos="7088"/>
        </w:tabs>
        <w:rPr>
          <w:rFonts w:asciiTheme="minorHAnsi" w:eastAsiaTheme="minorEastAsia" w:hAnsiTheme="minorHAnsi" w:cstheme="minorBidi"/>
          <w:b w:val="0"/>
          <w:sz w:val="22"/>
          <w:szCs w:val="22"/>
        </w:rPr>
      </w:pPr>
      <w:r>
        <w:t>Division 5 — Requirements for educators who are early childhood teachers</w:t>
      </w:r>
    </w:p>
    <w:p>
      <w:pPr>
        <w:pStyle w:val="TOC8"/>
        <w:rPr>
          <w:rFonts w:asciiTheme="minorHAnsi" w:eastAsiaTheme="minorEastAsia" w:hAnsiTheme="minorHAnsi" w:cstheme="minorBidi"/>
          <w:szCs w:val="22"/>
        </w:rPr>
      </w:pPr>
      <w:r>
        <w:t>129.</w:t>
      </w:r>
      <w:r>
        <w:tab/>
        <w:t>Application of Division 5</w:t>
      </w:r>
      <w:r>
        <w:tab/>
      </w:r>
      <w:r>
        <w:fldChar w:fldCharType="begin"/>
      </w:r>
      <w:r>
        <w:instrText xml:space="preserve"> PAGEREF _Toc398888269 \h </w:instrText>
      </w:r>
      <w:r>
        <w:fldChar w:fldCharType="separate"/>
      </w:r>
      <w:r>
        <w:t>96</w:t>
      </w:r>
      <w:r>
        <w:fldChar w:fldCharType="end"/>
      </w:r>
    </w:p>
    <w:p>
      <w:pPr>
        <w:pStyle w:val="TOC8"/>
        <w:rPr>
          <w:rFonts w:asciiTheme="minorHAnsi" w:eastAsiaTheme="minorEastAsia" w:hAnsiTheme="minorHAnsi" w:cstheme="minorBidi"/>
          <w:szCs w:val="22"/>
        </w:rPr>
      </w:pPr>
      <w:r>
        <w:t>130.</w:t>
      </w:r>
      <w:r>
        <w:tab/>
        <w:t>Requirement for early childhood teacher — centre</w:t>
      </w:r>
      <w:r>
        <w:noBreakHyphen/>
        <w:t>based services — fewer than 25 approved places</w:t>
      </w:r>
      <w:r>
        <w:tab/>
      </w:r>
      <w:r>
        <w:fldChar w:fldCharType="begin"/>
      </w:r>
      <w:r>
        <w:instrText xml:space="preserve"> PAGEREF _Toc398888270 \h </w:instrText>
      </w:r>
      <w:r>
        <w:fldChar w:fldCharType="separate"/>
      </w:r>
      <w:r>
        <w:t>96</w:t>
      </w:r>
      <w:r>
        <w:fldChar w:fldCharType="end"/>
      </w:r>
    </w:p>
    <w:p>
      <w:pPr>
        <w:pStyle w:val="TOC8"/>
        <w:rPr>
          <w:rFonts w:asciiTheme="minorHAnsi" w:eastAsiaTheme="minorEastAsia" w:hAnsiTheme="minorHAnsi" w:cstheme="minorBidi"/>
          <w:szCs w:val="22"/>
        </w:rPr>
      </w:pPr>
      <w:r>
        <w:t>131.</w:t>
      </w:r>
      <w:r>
        <w:tab/>
        <w:t>Requirement for early childhood teacher — centre</w:t>
      </w:r>
      <w:r>
        <w:noBreakHyphen/>
        <w:t>based services — 25 or more approved places but fewer than 25 children</w:t>
      </w:r>
      <w:r>
        <w:tab/>
      </w:r>
      <w:r>
        <w:fldChar w:fldCharType="begin"/>
      </w:r>
      <w:r>
        <w:instrText xml:space="preserve"> PAGEREF _Toc398888271 \h </w:instrText>
      </w:r>
      <w:r>
        <w:fldChar w:fldCharType="separate"/>
      </w:r>
      <w:r>
        <w:t>97</w:t>
      </w:r>
      <w:r>
        <w:fldChar w:fldCharType="end"/>
      </w:r>
    </w:p>
    <w:p>
      <w:pPr>
        <w:pStyle w:val="TOC8"/>
        <w:rPr>
          <w:rFonts w:asciiTheme="minorHAnsi" w:eastAsiaTheme="minorEastAsia" w:hAnsiTheme="minorHAnsi" w:cstheme="minorBidi"/>
          <w:szCs w:val="22"/>
        </w:rPr>
      </w:pPr>
      <w:r>
        <w:t>132.</w:t>
      </w:r>
      <w:r>
        <w:tab/>
        <w:t>Requirement for early childhood teacher — centre</w:t>
      </w:r>
      <w:r>
        <w:noBreakHyphen/>
        <w:t>based services — 25 to 59 children</w:t>
      </w:r>
      <w:r>
        <w:tab/>
      </w:r>
      <w:r>
        <w:fldChar w:fldCharType="begin"/>
      </w:r>
      <w:r>
        <w:instrText xml:space="preserve"> PAGEREF _Toc398888272 \h </w:instrText>
      </w:r>
      <w:r>
        <w:fldChar w:fldCharType="separate"/>
      </w:r>
      <w:r>
        <w:t>97</w:t>
      </w:r>
      <w:r>
        <w:fldChar w:fldCharType="end"/>
      </w:r>
    </w:p>
    <w:p>
      <w:pPr>
        <w:pStyle w:val="TOC8"/>
        <w:rPr>
          <w:rFonts w:asciiTheme="minorHAnsi" w:eastAsiaTheme="minorEastAsia" w:hAnsiTheme="minorHAnsi" w:cstheme="minorBidi"/>
          <w:szCs w:val="22"/>
        </w:rPr>
      </w:pPr>
      <w:r>
        <w:t>133.</w:t>
      </w:r>
      <w:r>
        <w:tab/>
        <w:t>Requirement for early childhood teacher — centre</w:t>
      </w:r>
      <w:r>
        <w:noBreakHyphen/>
        <w:t>based services — 60 to 80 children</w:t>
      </w:r>
      <w:r>
        <w:tab/>
      </w:r>
      <w:r>
        <w:fldChar w:fldCharType="begin"/>
      </w:r>
      <w:r>
        <w:instrText xml:space="preserve"> PAGEREF _Toc398888273 \h </w:instrText>
      </w:r>
      <w:r>
        <w:fldChar w:fldCharType="separate"/>
      </w:r>
      <w:r>
        <w:t>98</w:t>
      </w:r>
      <w:r>
        <w:fldChar w:fldCharType="end"/>
      </w:r>
    </w:p>
    <w:p>
      <w:pPr>
        <w:pStyle w:val="TOC8"/>
        <w:rPr>
          <w:rFonts w:asciiTheme="minorHAnsi" w:eastAsiaTheme="minorEastAsia" w:hAnsiTheme="minorHAnsi" w:cstheme="minorBidi"/>
          <w:szCs w:val="22"/>
        </w:rPr>
      </w:pPr>
      <w:r>
        <w:t>134.</w:t>
      </w:r>
      <w:r>
        <w:tab/>
        <w:t>Requirement for early childhood teacher — centre</w:t>
      </w:r>
      <w:r>
        <w:noBreakHyphen/>
        <w:t>based services — more than 80 children</w:t>
      </w:r>
      <w:r>
        <w:tab/>
      </w:r>
      <w:r>
        <w:fldChar w:fldCharType="begin"/>
      </w:r>
      <w:r>
        <w:instrText xml:space="preserve"> PAGEREF _Toc398888274 \h </w:instrText>
      </w:r>
      <w:r>
        <w:fldChar w:fldCharType="separate"/>
      </w:r>
      <w:r>
        <w:t>99</w:t>
      </w:r>
      <w:r>
        <w:fldChar w:fldCharType="end"/>
      </w:r>
    </w:p>
    <w:p>
      <w:pPr>
        <w:pStyle w:val="TOC8"/>
        <w:rPr>
          <w:rFonts w:asciiTheme="minorHAnsi" w:eastAsiaTheme="minorEastAsia" w:hAnsiTheme="minorHAnsi" w:cstheme="minorBidi"/>
          <w:szCs w:val="22"/>
        </w:rPr>
      </w:pPr>
      <w:r>
        <w:t>135.</w:t>
      </w:r>
      <w:r>
        <w:tab/>
        <w:t>Early childhood teacher illness or absence</w:t>
      </w:r>
      <w:r>
        <w:tab/>
      </w:r>
      <w:r>
        <w:fldChar w:fldCharType="begin"/>
      </w:r>
      <w:r>
        <w:instrText xml:space="preserve"> PAGEREF _Toc398888275 \h </w:instrText>
      </w:r>
      <w:r>
        <w:fldChar w:fldCharType="separate"/>
      </w:r>
      <w:r>
        <w:t>100</w:t>
      </w:r>
      <w:r>
        <w:fldChar w:fldCharType="end"/>
      </w:r>
    </w:p>
    <w:p>
      <w:pPr>
        <w:pStyle w:val="TOC6"/>
        <w:tabs>
          <w:tab w:val="right" w:leader="dot" w:pos="7088"/>
        </w:tabs>
        <w:rPr>
          <w:rFonts w:asciiTheme="minorHAnsi" w:eastAsiaTheme="minorEastAsia" w:hAnsiTheme="minorHAnsi" w:cstheme="minorBidi"/>
          <w:b w:val="0"/>
          <w:sz w:val="22"/>
          <w:szCs w:val="22"/>
        </w:rPr>
      </w:pPr>
      <w:r>
        <w:t>Division 6 — First aid qualifications</w:t>
      </w:r>
    </w:p>
    <w:p>
      <w:pPr>
        <w:pStyle w:val="TOC8"/>
        <w:rPr>
          <w:rFonts w:asciiTheme="minorHAnsi" w:eastAsiaTheme="minorEastAsia" w:hAnsiTheme="minorHAnsi" w:cstheme="minorBidi"/>
          <w:szCs w:val="22"/>
        </w:rPr>
      </w:pPr>
      <w:r>
        <w:t>136.</w:t>
      </w:r>
      <w:r>
        <w:tab/>
        <w:t>First aid qualifications</w:t>
      </w:r>
      <w:r>
        <w:tab/>
      </w:r>
      <w:r>
        <w:fldChar w:fldCharType="begin"/>
      </w:r>
      <w:r>
        <w:instrText xml:space="preserve"> PAGEREF _Toc398888277 \h </w:instrText>
      </w:r>
      <w:r>
        <w:fldChar w:fldCharType="separate"/>
      </w:r>
      <w:r>
        <w:t>100</w:t>
      </w:r>
      <w:r>
        <w:fldChar w:fldCharType="end"/>
      </w:r>
    </w:p>
    <w:p>
      <w:pPr>
        <w:pStyle w:val="TOC6"/>
        <w:tabs>
          <w:tab w:val="right" w:leader="dot" w:pos="7088"/>
        </w:tabs>
        <w:rPr>
          <w:rFonts w:asciiTheme="minorHAnsi" w:eastAsiaTheme="minorEastAsia" w:hAnsiTheme="minorHAnsi" w:cstheme="minorBidi"/>
          <w:b w:val="0"/>
          <w:sz w:val="22"/>
          <w:szCs w:val="22"/>
        </w:rPr>
      </w:pPr>
      <w:r>
        <w:t>Division 7 — Approval and determination of qualifications</w:t>
      </w:r>
    </w:p>
    <w:p>
      <w:pPr>
        <w:pStyle w:val="TOC8"/>
        <w:rPr>
          <w:rFonts w:asciiTheme="minorHAnsi" w:eastAsiaTheme="minorEastAsia" w:hAnsiTheme="minorHAnsi" w:cstheme="minorBidi"/>
          <w:szCs w:val="22"/>
        </w:rPr>
      </w:pPr>
      <w:r>
        <w:t>137.</w:t>
      </w:r>
      <w:r>
        <w:tab/>
        <w:t>Approval of qualifications</w:t>
      </w:r>
      <w:r>
        <w:tab/>
      </w:r>
      <w:r>
        <w:fldChar w:fldCharType="begin"/>
      </w:r>
      <w:r>
        <w:instrText xml:space="preserve"> PAGEREF _Toc398888279 \h </w:instrText>
      </w:r>
      <w:r>
        <w:fldChar w:fldCharType="separate"/>
      </w:r>
      <w:r>
        <w:t>102</w:t>
      </w:r>
      <w:r>
        <w:fldChar w:fldCharType="end"/>
      </w:r>
    </w:p>
    <w:p>
      <w:pPr>
        <w:pStyle w:val="TOC8"/>
        <w:rPr>
          <w:rFonts w:asciiTheme="minorHAnsi" w:eastAsiaTheme="minorEastAsia" w:hAnsiTheme="minorHAnsi" w:cstheme="minorBidi"/>
          <w:szCs w:val="22"/>
        </w:rPr>
      </w:pPr>
      <w:r>
        <w:t>138.</w:t>
      </w:r>
      <w:r>
        <w:tab/>
        <w:t>Application for qualification to be assessed for inclusion on the list of approved qualifications</w:t>
      </w:r>
      <w:r>
        <w:tab/>
      </w:r>
      <w:r>
        <w:fldChar w:fldCharType="begin"/>
      </w:r>
      <w:r>
        <w:instrText xml:space="preserve"> PAGEREF _Toc398888280 \h </w:instrText>
      </w:r>
      <w:r>
        <w:fldChar w:fldCharType="separate"/>
      </w:r>
      <w:r>
        <w:t>104</w:t>
      </w:r>
      <w:r>
        <w:fldChar w:fldCharType="end"/>
      </w:r>
    </w:p>
    <w:p>
      <w:pPr>
        <w:pStyle w:val="TOC8"/>
        <w:rPr>
          <w:rFonts w:asciiTheme="minorHAnsi" w:eastAsiaTheme="minorEastAsia" w:hAnsiTheme="minorHAnsi" w:cstheme="minorBidi"/>
          <w:szCs w:val="22"/>
        </w:rPr>
      </w:pPr>
      <w:r>
        <w:t>139.</w:t>
      </w:r>
      <w:r>
        <w:tab/>
        <w:t>Application for determination of equivalent qualification</w:t>
      </w:r>
      <w:r>
        <w:tab/>
      </w:r>
      <w:r>
        <w:fldChar w:fldCharType="begin"/>
      </w:r>
      <w:r>
        <w:instrText xml:space="preserve"> PAGEREF _Toc398888281 \h </w:instrText>
      </w:r>
      <w:r>
        <w:fldChar w:fldCharType="separate"/>
      </w:r>
      <w:r>
        <w:t>104</w:t>
      </w:r>
      <w:r>
        <w:fldChar w:fldCharType="end"/>
      </w:r>
    </w:p>
    <w:p>
      <w:pPr>
        <w:pStyle w:val="TOC8"/>
        <w:rPr>
          <w:rFonts w:asciiTheme="minorHAnsi" w:eastAsiaTheme="minorEastAsia" w:hAnsiTheme="minorHAnsi" w:cstheme="minorBidi"/>
          <w:szCs w:val="22"/>
        </w:rPr>
      </w:pPr>
      <w:r>
        <w:t>140.</w:t>
      </w:r>
      <w:r>
        <w:tab/>
        <w:t>Application for determination of an equivalent qualification</w:t>
      </w:r>
      <w:r>
        <w:tab/>
      </w:r>
      <w:r>
        <w:fldChar w:fldCharType="begin"/>
      </w:r>
      <w:r>
        <w:instrText xml:space="preserve"> PAGEREF _Toc398888282 \h </w:instrText>
      </w:r>
      <w:r>
        <w:fldChar w:fldCharType="separate"/>
      </w:r>
      <w:r>
        <w:t>105</w:t>
      </w:r>
      <w:r>
        <w:fldChar w:fldCharType="end"/>
      </w:r>
    </w:p>
    <w:p>
      <w:pPr>
        <w:pStyle w:val="TOC8"/>
        <w:rPr>
          <w:rFonts w:asciiTheme="minorHAnsi" w:eastAsiaTheme="minorEastAsia" w:hAnsiTheme="minorHAnsi" w:cstheme="minorBidi"/>
          <w:szCs w:val="22"/>
        </w:rPr>
      </w:pPr>
      <w:r>
        <w:t>141.</w:t>
      </w:r>
      <w:r>
        <w:tab/>
        <w:t>Additional information for application for determination of equivalent qualification</w:t>
      </w:r>
      <w:r>
        <w:tab/>
      </w:r>
      <w:r>
        <w:fldChar w:fldCharType="begin"/>
      </w:r>
      <w:r>
        <w:instrText xml:space="preserve"> PAGEREF _Toc398888283 \h </w:instrText>
      </w:r>
      <w:r>
        <w:fldChar w:fldCharType="separate"/>
      </w:r>
      <w:r>
        <w:t>107</w:t>
      </w:r>
      <w:r>
        <w:fldChar w:fldCharType="end"/>
      </w:r>
    </w:p>
    <w:p>
      <w:pPr>
        <w:pStyle w:val="TOC8"/>
        <w:rPr>
          <w:rFonts w:asciiTheme="minorHAnsi" w:eastAsiaTheme="minorEastAsia" w:hAnsiTheme="minorHAnsi" w:cstheme="minorBidi"/>
          <w:szCs w:val="22"/>
        </w:rPr>
      </w:pPr>
      <w:r>
        <w:t>142.</w:t>
      </w:r>
      <w:r>
        <w:tab/>
        <w:t>Translations of documents</w:t>
      </w:r>
      <w:r>
        <w:tab/>
      </w:r>
      <w:r>
        <w:fldChar w:fldCharType="begin"/>
      </w:r>
      <w:r>
        <w:instrText xml:space="preserve"> PAGEREF _Toc398888284 \h </w:instrText>
      </w:r>
      <w:r>
        <w:fldChar w:fldCharType="separate"/>
      </w:r>
      <w:r>
        <w:t>108</w:t>
      </w:r>
      <w:r>
        <w:fldChar w:fldCharType="end"/>
      </w:r>
    </w:p>
    <w:p>
      <w:pPr>
        <w:pStyle w:val="TOC8"/>
        <w:rPr>
          <w:rFonts w:asciiTheme="minorHAnsi" w:eastAsiaTheme="minorEastAsia" w:hAnsiTheme="minorHAnsi" w:cstheme="minorBidi"/>
          <w:szCs w:val="22"/>
        </w:rPr>
      </w:pPr>
      <w:r>
        <w:t>143.</w:t>
      </w:r>
      <w:r>
        <w:tab/>
        <w:t>Certification of documents</w:t>
      </w:r>
      <w:r>
        <w:tab/>
      </w:r>
      <w:r>
        <w:fldChar w:fldCharType="begin"/>
      </w:r>
      <w:r>
        <w:instrText xml:space="preserve"> PAGEREF _Toc398888285 \h </w:instrText>
      </w:r>
      <w:r>
        <w:fldChar w:fldCharType="separate"/>
      </w:r>
      <w:r>
        <w:t>108</w:t>
      </w:r>
      <w:r>
        <w:fldChar w:fldCharType="end"/>
      </w:r>
    </w:p>
    <w:p>
      <w:pPr>
        <w:pStyle w:val="TOC6"/>
        <w:tabs>
          <w:tab w:val="right" w:leader="dot" w:pos="7088"/>
        </w:tabs>
        <w:rPr>
          <w:rFonts w:asciiTheme="minorHAnsi" w:eastAsiaTheme="minorEastAsia" w:hAnsiTheme="minorHAnsi" w:cstheme="minorBidi"/>
          <w:b w:val="0"/>
          <w:sz w:val="22"/>
          <w:szCs w:val="22"/>
        </w:rPr>
      </w:pPr>
      <w:r>
        <w:t>Division 8 — Family day care educator assistant</w:t>
      </w:r>
    </w:p>
    <w:p>
      <w:pPr>
        <w:pStyle w:val="TOC8"/>
        <w:rPr>
          <w:rFonts w:asciiTheme="minorHAnsi" w:eastAsiaTheme="minorEastAsia" w:hAnsiTheme="minorHAnsi" w:cstheme="minorBidi"/>
          <w:szCs w:val="22"/>
        </w:rPr>
      </w:pPr>
      <w:r>
        <w:t>144.</w:t>
      </w:r>
      <w:r>
        <w:tab/>
        <w:t>Family day care educator assistant</w:t>
      </w:r>
      <w:r>
        <w:tab/>
      </w:r>
      <w:r>
        <w:fldChar w:fldCharType="begin"/>
      </w:r>
      <w:r>
        <w:instrText xml:space="preserve"> PAGEREF _Toc398888287 \h </w:instrText>
      </w:r>
      <w:r>
        <w:fldChar w:fldCharType="separate"/>
      </w:r>
      <w:r>
        <w:t>109</w:t>
      </w:r>
      <w:r>
        <w:fldChar w:fldCharType="end"/>
      </w:r>
    </w:p>
    <w:p>
      <w:pPr>
        <w:pStyle w:val="TOC6"/>
        <w:tabs>
          <w:tab w:val="right" w:leader="dot" w:pos="7088"/>
        </w:tabs>
        <w:rPr>
          <w:rFonts w:asciiTheme="minorHAnsi" w:eastAsiaTheme="minorEastAsia" w:hAnsiTheme="minorHAnsi" w:cstheme="minorBidi"/>
          <w:b w:val="0"/>
          <w:sz w:val="22"/>
          <w:szCs w:val="22"/>
        </w:rPr>
      </w:pPr>
      <w:r>
        <w:t>Division 9 — Staff and educator records — centre</w:t>
      </w:r>
      <w:r>
        <w:noBreakHyphen/>
        <w:t>based services</w:t>
      </w:r>
    </w:p>
    <w:p>
      <w:pPr>
        <w:pStyle w:val="TOC8"/>
        <w:rPr>
          <w:rFonts w:asciiTheme="minorHAnsi" w:eastAsiaTheme="minorEastAsia" w:hAnsiTheme="minorHAnsi" w:cstheme="minorBidi"/>
          <w:szCs w:val="22"/>
        </w:rPr>
      </w:pPr>
      <w:r>
        <w:t>145.</w:t>
      </w:r>
      <w:r>
        <w:tab/>
        <w:t>Staff record</w:t>
      </w:r>
      <w:r>
        <w:tab/>
      </w:r>
      <w:r>
        <w:fldChar w:fldCharType="begin"/>
      </w:r>
      <w:r>
        <w:instrText xml:space="preserve"> PAGEREF _Toc398888289 \h </w:instrText>
      </w:r>
      <w:r>
        <w:fldChar w:fldCharType="separate"/>
      </w:r>
      <w:r>
        <w:t>110</w:t>
      </w:r>
      <w:r>
        <w:fldChar w:fldCharType="end"/>
      </w:r>
    </w:p>
    <w:p>
      <w:pPr>
        <w:pStyle w:val="TOC8"/>
        <w:rPr>
          <w:rFonts w:asciiTheme="minorHAnsi" w:eastAsiaTheme="minorEastAsia" w:hAnsiTheme="minorHAnsi" w:cstheme="minorBidi"/>
          <w:szCs w:val="22"/>
        </w:rPr>
      </w:pPr>
      <w:r>
        <w:t>146.</w:t>
      </w:r>
      <w:r>
        <w:tab/>
        <w:t>Nominated supervisor</w:t>
      </w:r>
      <w:r>
        <w:tab/>
      </w:r>
      <w:r>
        <w:fldChar w:fldCharType="begin"/>
      </w:r>
      <w:r>
        <w:instrText xml:space="preserve"> PAGEREF _Toc398888290 \h </w:instrText>
      </w:r>
      <w:r>
        <w:fldChar w:fldCharType="separate"/>
      </w:r>
      <w:r>
        <w:t>110</w:t>
      </w:r>
      <w:r>
        <w:fldChar w:fldCharType="end"/>
      </w:r>
    </w:p>
    <w:p>
      <w:pPr>
        <w:pStyle w:val="TOC8"/>
        <w:rPr>
          <w:rFonts w:asciiTheme="minorHAnsi" w:eastAsiaTheme="minorEastAsia" w:hAnsiTheme="minorHAnsi" w:cstheme="minorBidi"/>
          <w:szCs w:val="22"/>
        </w:rPr>
      </w:pPr>
      <w:r>
        <w:t>147.</w:t>
      </w:r>
      <w:r>
        <w:tab/>
        <w:t>Staff members</w:t>
      </w:r>
      <w:r>
        <w:tab/>
      </w:r>
      <w:r>
        <w:fldChar w:fldCharType="begin"/>
      </w:r>
      <w:r>
        <w:instrText xml:space="preserve"> PAGEREF _Toc398888291 \h </w:instrText>
      </w:r>
      <w:r>
        <w:fldChar w:fldCharType="separate"/>
      </w:r>
      <w:r>
        <w:t>111</w:t>
      </w:r>
      <w:r>
        <w:fldChar w:fldCharType="end"/>
      </w:r>
    </w:p>
    <w:p>
      <w:pPr>
        <w:pStyle w:val="TOC8"/>
        <w:rPr>
          <w:rFonts w:asciiTheme="minorHAnsi" w:eastAsiaTheme="minorEastAsia" w:hAnsiTheme="minorHAnsi" w:cstheme="minorBidi"/>
          <w:szCs w:val="22"/>
        </w:rPr>
      </w:pPr>
      <w:r>
        <w:t>148.</w:t>
      </w:r>
      <w:r>
        <w:tab/>
        <w:t>Educational leader</w:t>
      </w:r>
      <w:r>
        <w:tab/>
      </w:r>
      <w:r>
        <w:fldChar w:fldCharType="begin"/>
      </w:r>
      <w:r>
        <w:instrText xml:space="preserve"> PAGEREF _Toc398888292 \h </w:instrText>
      </w:r>
      <w:r>
        <w:fldChar w:fldCharType="separate"/>
      </w:r>
      <w:r>
        <w:t>112</w:t>
      </w:r>
      <w:r>
        <w:fldChar w:fldCharType="end"/>
      </w:r>
    </w:p>
    <w:p>
      <w:pPr>
        <w:pStyle w:val="TOC8"/>
        <w:rPr>
          <w:rFonts w:asciiTheme="minorHAnsi" w:eastAsiaTheme="minorEastAsia" w:hAnsiTheme="minorHAnsi" w:cstheme="minorBidi"/>
          <w:szCs w:val="22"/>
        </w:rPr>
      </w:pPr>
      <w:r>
        <w:t>149.</w:t>
      </w:r>
      <w:r>
        <w:tab/>
        <w:t>Volunteers and students</w:t>
      </w:r>
      <w:r>
        <w:tab/>
      </w:r>
      <w:r>
        <w:fldChar w:fldCharType="begin"/>
      </w:r>
      <w:r>
        <w:instrText xml:space="preserve"> PAGEREF _Toc398888293 \h </w:instrText>
      </w:r>
      <w:r>
        <w:fldChar w:fldCharType="separate"/>
      </w:r>
      <w:r>
        <w:t>112</w:t>
      </w:r>
      <w:r>
        <w:fldChar w:fldCharType="end"/>
      </w:r>
    </w:p>
    <w:p>
      <w:pPr>
        <w:pStyle w:val="TOC8"/>
        <w:rPr>
          <w:rFonts w:asciiTheme="minorHAnsi" w:eastAsiaTheme="minorEastAsia" w:hAnsiTheme="minorHAnsi" w:cstheme="minorBidi"/>
          <w:szCs w:val="22"/>
        </w:rPr>
      </w:pPr>
      <w:r>
        <w:t>150.</w:t>
      </w:r>
      <w:r>
        <w:tab/>
        <w:t>Responsible person</w:t>
      </w:r>
      <w:r>
        <w:tab/>
      </w:r>
      <w:r>
        <w:fldChar w:fldCharType="begin"/>
      </w:r>
      <w:r>
        <w:instrText xml:space="preserve"> PAGEREF _Toc398888294 \h </w:instrText>
      </w:r>
      <w:r>
        <w:fldChar w:fldCharType="separate"/>
      </w:r>
      <w:r>
        <w:t>113</w:t>
      </w:r>
      <w:r>
        <w:fldChar w:fldCharType="end"/>
      </w:r>
    </w:p>
    <w:p>
      <w:pPr>
        <w:pStyle w:val="TOC8"/>
        <w:rPr>
          <w:rFonts w:asciiTheme="minorHAnsi" w:eastAsiaTheme="minorEastAsia" w:hAnsiTheme="minorHAnsi" w:cstheme="minorBidi"/>
          <w:szCs w:val="22"/>
        </w:rPr>
      </w:pPr>
      <w:r>
        <w:t>151.</w:t>
      </w:r>
      <w:r>
        <w:tab/>
        <w:t>Record of educators working directly with children</w:t>
      </w:r>
      <w:r>
        <w:tab/>
      </w:r>
      <w:r>
        <w:fldChar w:fldCharType="begin"/>
      </w:r>
      <w:r>
        <w:instrText xml:space="preserve"> PAGEREF _Toc398888295 \h </w:instrText>
      </w:r>
      <w:r>
        <w:fldChar w:fldCharType="separate"/>
      </w:r>
      <w:r>
        <w:t>113</w:t>
      </w:r>
      <w:r>
        <w:fldChar w:fldCharType="end"/>
      </w:r>
    </w:p>
    <w:p>
      <w:pPr>
        <w:pStyle w:val="TOC8"/>
        <w:rPr>
          <w:rFonts w:asciiTheme="minorHAnsi" w:eastAsiaTheme="minorEastAsia" w:hAnsiTheme="minorHAnsi" w:cstheme="minorBidi"/>
          <w:szCs w:val="22"/>
        </w:rPr>
      </w:pPr>
      <w:r>
        <w:t>152.</w:t>
      </w:r>
      <w:r>
        <w:tab/>
        <w:t>Record of access to early childhood teachers</w:t>
      </w:r>
      <w:r>
        <w:tab/>
      </w:r>
      <w:r>
        <w:fldChar w:fldCharType="begin"/>
      </w:r>
      <w:r>
        <w:instrText xml:space="preserve"> PAGEREF _Toc398888296 \h </w:instrText>
      </w:r>
      <w:r>
        <w:fldChar w:fldCharType="separate"/>
      </w:r>
      <w:r>
        <w:t>113</w:t>
      </w:r>
      <w:r>
        <w:fldChar w:fldCharType="end"/>
      </w:r>
    </w:p>
    <w:p>
      <w:pPr>
        <w:pStyle w:val="TOC6"/>
        <w:tabs>
          <w:tab w:val="right" w:leader="dot" w:pos="7088"/>
        </w:tabs>
        <w:rPr>
          <w:rFonts w:asciiTheme="minorHAnsi" w:eastAsiaTheme="minorEastAsia" w:hAnsiTheme="minorHAnsi" w:cstheme="minorBidi"/>
          <w:b w:val="0"/>
          <w:sz w:val="22"/>
          <w:szCs w:val="22"/>
        </w:rPr>
      </w:pPr>
      <w:r>
        <w:t>Division 10 — Register of family day care educators and records of family day care service</w:t>
      </w:r>
    </w:p>
    <w:p>
      <w:pPr>
        <w:pStyle w:val="TOC8"/>
        <w:rPr>
          <w:rFonts w:asciiTheme="minorHAnsi" w:eastAsiaTheme="minorEastAsia" w:hAnsiTheme="minorHAnsi" w:cstheme="minorBidi"/>
          <w:szCs w:val="22"/>
        </w:rPr>
      </w:pPr>
      <w:r>
        <w:t>153.</w:t>
      </w:r>
      <w:r>
        <w:tab/>
        <w:t>Register of family day care educators</w:t>
      </w:r>
      <w:r>
        <w:tab/>
      </w:r>
      <w:r>
        <w:fldChar w:fldCharType="begin"/>
      </w:r>
      <w:r>
        <w:instrText xml:space="preserve"> PAGEREF _Toc398888298 \h </w:instrText>
      </w:r>
      <w:r>
        <w:fldChar w:fldCharType="separate"/>
      </w:r>
      <w:r>
        <w:t>114</w:t>
      </w:r>
      <w:r>
        <w:fldChar w:fldCharType="end"/>
      </w:r>
    </w:p>
    <w:p>
      <w:pPr>
        <w:pStyle w:val="TOC8"/>
        <w:rPr>
          <w:rFonts w:asciiTheme="minorHAnsi" w:eastAsiaTheme="minorEastAsia" w:hAnsiTheme="minorHAnsi" w:cstheme="minorBidi"/>
          <w:szCs w:val="22"/>
        </w:rPr>
      </w:pPr>
      <w:r>
        <w:t>154.</w:t>
      </w:r>
      <w:r>
        <w:tab/>
        <w:t>Record of staff, family day care co</w:t>
      </w:r>
      <w:r>
        <w:noBreakHyphen/>
        <w:t>ordinators and family day care educator assistants</w:t>
      </w:r>
      <w:r>
        <w:tab/>
      </w:r>
      <w:r>
        <w:fldChar w:fldCharType="begin"/>
      </w:r>
      <w:r>
        <w:instrText xml:space="preserve"> PAGEREF _Toc398888299 \h </w:instrText>
      </w:r>
      <w:r>
        <w:fldChar w:fldCharType="separate"/>
      </w:r>
      <w:r>
        <w:t>116</w:t>
      </w:r>
      <w:r>
        <w:fldChar w:fldCharType="end"/>
      </w:r>
    </w:p>
    <w:p>
      <w:pPr>
        <w:pStyle w:val="TOC4"/>
        <w:tabs>
          <w:tab w:val="right" w:leader="dot" w:pos="7088"/>
        </w:tabs>
        <w:rPr>
          <w:rFonts w:asciiTheme="minorHAnsi" w:eastAsiaTheme="minorEastAsia" w:hAnsiTheme="minorHAnsi" w:cstheme="minorBidi"/>
          <w:b w:val="0"/>
          <w:szCs w:val="22"/>
        </w:rPr>
      </w:pPr>
      <w:r>
        <w:t>Part 4.5 — Relationships with children</w:t>
      </w:r>
    </w:p>
    <w:p>
      <w:pPr>
        <w:pStyle w:val="TOC8"/>
        <w:rPr>
          <w:rFonts w:asciiTheme="minorHAnsi" w:eastAsiaTheme="minorEastAsia" w:hAnsiTheme="minorHAnsi" w:cstheme="minorBidi"/>
          <w:szCs w:val="22"/>
        </w:rPr>
      </w:pPr>
      <w:r>
        <w:t>155.</w:t>
      </w:r>
      <w:r>
        <w:tab/>
        <w:t>Interactions with children</w:t>
      </w:r>
      <w:r>
        <w:tab/>
      </w:r>
      <w:r>
        <w:fldChar w:fldCharType="begin"/>
      </w:r>
      <w:r>
        <w:instrText xml:space="preserve"> PAGEREF _Toc398888301 \h </w:instrText>
      </w:r>
      <w:r>
        <w:fldChar w:fldCharType="separate"/>
      </w:r>
      <w:r>
        <w:t>117</w:t>
      </w:r>
      <w:r>
        <w:fldChar w:fldCharType="end"/>
      </w:r>
    </w:p>
    <w:p>
      <w:pPr>
        <w:pStyle w:val="TOC8"/>
        <w:rPr>
          <w:rFonts w:asciiTheme="minorHAnsi" w:eastAsiaTheme="minorEastAsia" w:hAnsiTheme="minorHAnsi" w:cstheme="minorBidi"/>
          <w:szCs w:val="22"/>
        </w:rPr>
      </w:pPr>
      <w:r>
        <w:t>156.</w:t>
      </w:r>
      <w:r>
        <w:tab/>
        <w:t>Relationships in groups</w:t>
      </w:r>
      <w:r>
        <w:tab/>
      </w:r>
      <w:r>
        <w:fldChar w:fldCharType="begin"/>
      </w:r>
      <w:r>
        <w:instrText xml:space="preserve"> PAGEREF _Toc398888302 \h </w:instrText>
      </w:r>
      <w:r>
        <w:fldChar w:fldCharType="separate"/>
      </w:r>
      <w:r>
        <w:t>118</w:t>
      </w:r>
      <w:r>
        <w:fldChar w:fldCharType="end"/>
      </w:r>
    </w:p>
    <w:p>
      <w:pPr>
        <w:pStyle w:val="TOC4"/>
        <w:tabs>
          <w:tab w:val="right" w:leader="dot" w:pos="7088"/>
        </w:tabs>
        <w:rPr>
          <w:rFonts w:asciiTheme="minorHAnsi" w:eastAsiaTheme="minorEastAsia" w:hAnsiTheme="minorHAnsi" w:cstheme="minorBidi"/>
          <w:b w:val="0"/>
          <w:szCs w:val="22"/>
        </w:rPr>
      </w:pPr>
      <w:r>
        <w:t>Part 4.6 — Collaborative partnerships with families and communities</w:t>
      </w:r>
    </w:p>
    <w:p>
      <w:pPr>
        <w:pStyle w:val="TOC8"/>
        <w:rPr>
          <w:rFonts w:asciiTheme="minorHAnsi" w:eastAsiaTheme="minorEastAsia" w:hAnsiTheme="minorHAnsi" w:cstheme="minorBidi"/>
          <w:szCs w:val="22"/>
        </w:rPr>
      </w:pPr>
      <w:r>
        <w:t>157.</w:t>
      </w:r>
      <w:r>
        <w:tab/>
        <w:t>Access for parents</w:t>
      </w:r>
      <w:r>
        <w:tab/>
      </w:r>
      <w:r>
        <w:fldChar w:fldCharType="begin"/>
      </w:r>
      <w:r>
        <w:instrText xml:space="preserve"> PAGEREF _Toc398888304 \h </w:instrText>
      </w:r>
      <w:r>
        <w:fldChar w:fldCharType="separate"/>
      </w:r>
      <w:r>
        <w:t>118</w:t>
      </w:r>
      <w:r>
        <w:fldChar w:fldCharType="end"/>
      </w:r>
    </w:p>
    <w:p>
      <w:pPr>
        <w:pStyle w:val="TOC4"/>
        <w:tabs>
          <w:tab w:val="right" w:leader="dot" w:pos="7088"/>
        </w:tabs>
        <w:rPr>
          <w:rFonts w:asciiTheme="minorHAnsi" w:eastAsiaTheme="minorEastAsia" w:hAnsiTheme="minorHAnsi" w:cstheme="minorBidi"/>
          <w:b w:val="0"/>
          <w:szCs w:val="22"/>
        </w:rPr>
      </w:pPr>
      <w:r>
        <w:t>Part 4.7 — Leadership and service management</w:t>
      </w:r>
    </w:p>
    <w:p>
      <w:pPr>
        <w:pStyle w:val="TOC6"/>
        <w:tabs>
          <w:tab w:val="right" w:leader="dot" w:pos="7088"/>
        </w:tabs>
        <w:rPr>
          <w:rFonts w:asciiTheme="minorHAnsi" w:eastAsiaTheme="minorEastAsia" w:hAnsiTheme="minorHAnsi" w:cstheme="minorBidi"/>
          <w:b w:val="0"/>
          <w:sz w:val="22"/>
          <w:szCs w:val="22"/>
        </w:rPr>
      </w:pPr>
      <w:r>
        <w:t>Division 1 — Management of services</w:t>
      </w:r>
    </w:p>
    <w:p>
      <w:pPr>
        <w:pStyle w:val="TOC8"/>
        <w:rPr>
          <w:rFonts w:asciiTheme="minorHAnsi" w:eastAsiaTheme="minorEastAsia" w:hAnsiTheme="minorHAnsi" w:cstheme="minorBidi"/>
          <w:szCs w:val="22"/>
        </w:rPr>
      </w:pPr>
      <w:r>
        <w:t>158.</w:t>
      </w:r>
      <w:r>
        <w:tab/>
        <w:t>Children’s attendance record to be kept by approved provider</w:t>
      </w:r>
      <w:r>
        <w:tab/>
      </w:r>
      <w:r>
        <w:fldChar w:fldCharType="begin"/>
      </w:r>
      <w:r>
        <w:instrText xml:space="preserve"> PAGEREF _Toc398888307 \h </w:instrText>
      </w:r>
      <w:r>
        <w:fldChar w:fldCharType="separate"/>
      </w:r>
      <w:r>
        <w:t>119</w:t>
      </w:r>
      <w:r>
        <w:fldChar w:fldCharType="end"/>
      </w:r>
    </w:p>
    <w:p>
      <w:pPr>
        <w:pStyle w:val="TOC8"/>
        <w:rPr>
          <w:rFonts w:asciiTheme="minorHAnsi" w:eastAsiaTheme="minorEastAsia" w:hAnsiTheme="minorHAnsi" w:cstheme="minorBidi"/>
          <w:szCs w:val="22"/>
        </w:rPr>
      </w:pPr>
      <w:r>
        <w:t>159.</w:t>
      </w:r>
      <w:r>
        <w:tab/>
        <w:t>Children’s attendance record to be kept by family day care educator</w:t>
      </w:r>
      <w:r>
        <w:tab/>
      </w:r>
      <w:r>
        <w:fldChar w:fldCharType="begin"/>
      </w:r>
      <w:r>
        <w:instrText xml:space="preserve"> PAGEREF _Toc398888308 \h </w:instrText>
      </w:r>
      <w:r>
        <w:fldChar w:fldCharType="separate"/>
      </w:r>
      <w:r>
        <w:t>120</w:t>
      </w:r>
      <w:r>
        <w:fldChar w:fldCharType="end"/>
      </w:r>
    </w:p>
    <w:p>
      <w:pPr>
        <w:pStyle w:val="TOC8"/>
        <w:rPr>
          <w:rFonts w:asciiTheme="minorHAnsi" w:eastAsiaTheme="minorEastAsia" w:hAnsiTheme="minorHAnsi" w:cstheme="minorBidi"/>
          <w:szCs w:val="22"/>
        </w:rPr>
      </w:pPr>
      <w:r>
        <w:t>160.</w:t>
      </w:r>
      <w:r>
        <w:tab/>
        <w:t>Child enrolment records to be kept by approved provider and family day care educator</w:t>
      </w:r>
      <w:r>
        <w:tab/>
      </w:r>
      <w:r>
        <w:fldChar w:fldCharType="begin"/>
      </w:r>
      <w:r>
        <w:instrText xml:space="preserve"> PAGEREF _Toc398888309 \h </w:instrText>
      </w:r>
      <w:r>
        <w:fldChar w:fldCharType="separate"/>
      </w:r>
      <w:r>
        <w:t>120</w:t>
      </w:r>
      <w:r>
        <w:fldChar w:fldCharType="end"/>
      </w:r>
    </w:p>
    <w:p>
      <w:pPr>
        <w:pStyle w:val="TOC8"/>
        <w:rPr>
          <w:rFonts w:asciiTheme="minorHAnsi" w:eastAsiaTheme="minorEastAsia" w:hAnsiTheme="minorHAnsi" w:cstheme="minorBidi"/>
          <w:szCs w:val="22"/>
        </w:rPr>
      </w:pPr>
      <w:r>
        <w:t>161.</w:t>
      </w:r>
      <w:r>
        <w:tab/>
        <w:t>Authorisations to be kept in enrolment record</w:t>
      </w:r>
      <w:r>
        <w:tab/>
      </w:r>
      <w:r>
        <w:fldChar w:fldCharType="begin"/>
      </w:r>
      <w:r>
        <w:instrText xml:space="preserve"> PAGEREF _Toc398888310 \h </w:instrText>
      </w:r>
      <w:r>
        <w:fldChar w:fldCharType="separate"/>
      </w:r>
      <w:r>
        <w:t>122</w:t>
      </w:r>
      <w:r>
        <w:fldChar w:fldCharType="end"/>
      </w:r>
    </w:p>
    <w:p>
      <w:pPr>
        <w:pStyle w:val="TOC8"/>
        <w:rPr>
          <w:rFonts w:asciiTheme="minorHAnsi" w:eastAsiaTheme="minorEastAsia" w:hAnsiTheme="minorHAnsi" w:cstheme="minorBidi"/>
          <w:szCs w:val="22"/>
        </w:rPr>
      </w:pPr>
      <w:r>
        <w:t>162.</w:t>
      </w:r>
      <w:r>
        <w:tab/>
        <w:t>Health information to be kept in enrolment record</w:t>
      </w:r>
      <w:r>
        <w:tab/>
      </w:r>
      <w:r>
        <w:fldChar w:fldCharType="begin"/>
      </w:r>
      <w:r>
        <w:instrText xml:space="preserve"> PAGEREF _Toc398888311 \h </w:instrText>
      </w:r>
      <w:r>
        <w:fldChar w:fldCharType="separate"/>
      </w:r>
      <w:r>
        <w:t>123</w:t>
      </w:r>
      <w:r>
        <w:fldChar w:fldCharType="end"/>
      </w:r>
    </w:p>
    <w:p>
      <w:pPr>
        <w:pStyle w:val="TOC8"/>
        <w:rPr>
          <w:rFonts w:asciiTheme="minorHAnsi" w:eastAsiaTheme="minorEastAsia" w:hAnsiTheme="minorHAnsi" w:cstheme="minorBidi"/>
          <w:szCs w:val="22"/>
        </w:rPr>
      </w:pPr>
      <w:r>
        <w:t>163.</w:t>
      </w:r>
      <w:r>
        <w:tab/>
        <w:t>Residents at family day care residence and family day care educator assistants to be fit and proper persons</w:t>
      </w:r>
      <w:r>
        <w:tab/>
      </w:r>
      <w:r>
        <w:fldChar w:fldCharType="begin"/>
      </w:r>
      <w:r>
        <w:instrText xml:space="preserve"> PAGEREF _Toc398888312 \h </w:instrText>
      </w:r>
      <w:r>
        <w:fldChar w:fldCharType="separate"/>
      </w:r>
      <w:r>
        <w:t>124</w:t>
      </w:r>
      <w:r>
        <w:fldChar w:fldCharType="end"/>
      </w:r>
    </w:p>
    <w:p>
      <w:pPr>
        <w:pStyle w:val="TOC8"/>
        <w:rPr>
          <w:rFonts w:asciiTheme="minorHAnsi" w:eastAsiaTheme="minorEastAsia" w:hAnsiTheme="minorHAnsi" w:cstheme="minorBidi"/>
          <w:szCs w:val="22"/>
        </w:rPr>
      </w:pPr>
      <w:r>
        <w:t>164.</w:t>
      </w:r>
      <w:r>
        <w:tab/>
        <w:t>Requirement for notice of new persons at residence</w:t>
      </w:r>
      <w:r>
        <w:tab/>
      </w:r>
      <w:r>
        <w:fldChar w:fldCharType="begin"/>
      </w:r>
      <w:r>
        <w:instrText xml:space="preserve"> PAGEREF _Toc398888313 \h </w:instrText>
      </w:r>
      <w:r>
        <w:fldChar w:fldCharType="separate"/>
      </w:r>
      <w:r>
        <w:t>125</w:t>
      </w:r>
      <w:r>
        <w:fldChar w:fldCharType="end"/>
      </w:r>
    </w:p>
    <w:p>
      <w:pPr>
        <w:pStyle w:val="TOC8"/>
        <w:rPr>
          <w:rFonts w:asciiTheme="minorHAnsi" w:eastAsiaTheme="minorEastAsia" w:hAnsiTheme="minorHAnsi" w:cstheme="minorBidi"/>
          <w:szCs w:val="22"/>
        </w:rPr>
      </w:pPr>
      <w:r>
        <w:t>165.</w:t>
      </w:r>
      <w:r>
        <w:tab/>
        <w:t>Record of visitors</w:t>
      </w:r>
      <w:r>
        <w:tab/>
      </w:r>
      <w:r>
        <w:fldChar w:fldCharType="begin"/>
      </w:r>
      <w:r>
        <w:instrText xml:space="preserve"> PAGEREF _Toc398888314 \h </w:instrText>
      </w:r>
      <w:r>
        <w:fldChar w:fldCharType="separate"/>
      </w:r>
      <w:r>
        <w:t>126</w:t>
      </w:r>
      <w:r>
        <w:fldChar w:fldCharType="end"/>
      </w:r>
    </w:p>
    <w:p>
      <w:pPr>
        <w:pStyle w:val="TOC8"/>
        <w:rPr>
          <w:rFonts w:asciiTheme="minorHAnsi" w:eastAsiaTheme="minorEastAsia" w:hAnsiTheme="minorHAnsi" w:cstheme="minorBidi"/>
          <w:szCs w:val="22"/>
        </w:rPr>
      </w:pPr>
      <w:r>
        <w:t>166.</w:t>
      </w:r>
      <w:r>
        <w:tab/>
        <w:t>Children not to be alone with visitors</w:t>
      </w:r>
      <w:r>
        <w:tab/>
      </w:r>
      <w:r>
        <w:fldChar w:fldCharType="begin"/>
      </w:r>
      <w:r>
        <w:instrText xml:space="preserve"> PAGEREF _Toc398888315 \h </w:instrText>
      </w:r>
      <w:r>
        <w:fldChar w:fldCharType="separate"/>
      </w:r>
      <w:r>
        <w:t>126</w:t>
      </w:r>
      <w:r>
        <w:fldChar w:fldCharType="end"/>
      </w:r>
    </w:p>
    <w:p>
      <w:pPr>
        <w:pStyle w:val="TOC8"/>
        <w:rPr>
          <w:rFonts w:asciiTheme="minorHAnsi" w:eastAsiaTheme="minorEastAsia" w:hAnsiTheme="minorHAnsi" w:cstheme="minorBidi"/>
          <w:szCs w:val="22"/>
        </w:rPr>
      </w:pPr>
      <w:r>
        <w:t>167.</w:t>
      </w:r>
      <w:r>
        <w:tab/>
        <w:t>Record of service’s compliance</w:t>
      </w:r>
      <w:r>
        <w:tab/>
      </w:r>
      <w:r>
        <w:fldChar w:fldCharType="begin"/>
      </w:r>
      <w:r>
        <w:instrText xml:space="preserve"> PAGEREF _Toc398888316 \h </w:instrText>
      </w:r>
      <w:r>
        <w:fldChar w:fldCharType="separate"/>
      </w:r>
      <w:r>
        <w:t>127</w:t>
      </w:r>
      <w:r>
        <w:fldChar w:fldCharType="end"/>
      </w:r>
    </w:p>
    <w:p>
      <w:pPr>
        <w:pStyle w:val="TOC6"/>
        <w:tabs>
          <w:tab w:val="right" w:leader="dot" w:pos="7088"/>
        </w:tabs>
        <w:rPr>
          <w:rFonts w:asciiTheme="minorHAnsi" w:eastAsiaTheme="minorEastAsia" w:hAnsiTheme="minorHAnsi" w:cstheme="minorBidi"/>
          <w:b w:val="0"/>
          <w:sz w:val="22"/>
          <w:szCs w:val="22"/>
        </w:rPr>
      </w:pPr>
      <w:r>
        <w:t>Division 2 — Policies and procedures</w:t>
      </w:r>
    </w:p>
    <w:p>
      <w:pPr>
        <w:pStyle w:val="TOC8"/>
        <w:rPr>
          <w:rFonts w:asciiTheme="minorHAnsi" w:eastAsiaTheme="minorEastAsia" w:hAnsiTheme="minorHAnsi" w:cstheme="minorBidi"/>
          <w:szCs w:val="22"/>
        </w:rPr>
      </w:pPr>
      <w:r>
        <w:t>168.</w:t>
      </w:r>
      <w:r>
        <w:tab/>
        <w:t>Education and care service must have policies and procedures</w:t>
      </w:r>
      <w:r>
        <w:tab/>
      </w:r>
      <w:r>
        <w:fldChar w:fldCharType="begin"/>
      </w:r>
      <w:r>
        <w:instrText xml:space="preserve"> PAGEREF _Toc398888318 \h </w:instrText>
      </w:r>
      <w:r>
        <w:fldChar w:fldCharType="separate"/>
      </w:r>
      <w:r>
        <w:t>128</w:t>
      </w:r>
      <w:r>
        <w:fldChar w:fldCharType="end"/>
      </w:r>
    </w:p>
    <w:p>
      <w:pPr>
        <w:pStyle w:val="TOC8"/>
        <w:rPr>
          <w:rFonts w:asciiTheme="minorHAnsi" w:eastAsiaTheme="minorEastAsia" w:hAnsiTheme="minorHAnsi" w:cstheme="minorBidi"/>
          <w:szCs w:val="22"/>
        </w:rPr>
      </w:pPr>
      <w:r>
        <w:t>169.</w:t>
      </w:r>
      <w:r>
        <w:tab/>
        <w:t>Additional policies and procedures — family day care service</w:t>
      </w:r>
      <w:r>
        <w:tab/>
      </w:r>
      <w:r>
        <w:fldChar w:fldCharType="begin"/>
      </w:r>
      <w:r>
        <w:instrText xml:space="preserve"> PAGEREF _Toc398888319 \h </w:instrText>
      </w:r>
      <w:r>
        <w:fldChar w:fldCharType="separate"/>
      </w:r>
      <w:r>
        <w:t>130</w:t>
      </w:r>
      <w:r>
        <w:fldChar w:fldCharType="end"/>
      </w:r>
    </w:p>
    <w:p>
      <w:pPr>
        <w:pStyle w:val="TOC8"/>
        <w:rPr>
          <w:rFonts w:asciiTheme="minorHAnsi" w:eastAsiaTheme="minorEastAsia" w:hAnsiTheme="minorHAnsi" w:cstheme="minorBidi"/>
          <w:szCs w:val="22"/>
        </w:rPr>
      </w:pPr>
      <w:r>
        <w:t>170.</w:t>
      </w:r>
      <w:r>
        <w:tab/>
        <w:t>Policies and procedures to be followed</w:t>
      </w:r>
      <w:r>
        <w:tab/>
      </w:r>
      <w:r>
        <w:fldChar w:fldCharType="begin"/>
      </w:r>
      <w:r>
        <w:instrText xml:space="preserve"> PAGEREF _Toc398888320 \h </w:instrText>
      </w:r>
      <w:r>
        <w:fldChar w:fldCharType="separate"/>
      </w:r>
      <w:r>
        <w:t>131</w:t>
      </w:r>
      <w:r>
        <w:fldChar w:fldCharType="end"/>
      </w:r>
    </w:p>
    <w:p>
      <w:pPr>
        <w:pStyle w:val="TOC8"/>
        <w:rPr>
          <w:rFonts w:asciiTheme="minorHAnsi" w:eastAsiaTheme="minorEastAsia" w:hAnsiTheme="minorHAnsi" w:cstheme="minorBidi"/>
          <w:szCs w:val="22"/>
        </w:rPr>
      </w:pPr>
      <w:r>
        <w:t>171.</w:t>
      </w:r>
      <w:r>
        <w:tab/>
        <w:t>Policies and procedures to be kept available</w:t>
      </w:r>
      <w:r>
        <w:tab/>
      </w:r>
      <w:r>
        <w:fldChar w:fldCharType="begin"/>
      </w:r>
      <w:r>
        <w:instrText xml:space="preserve"> PAGEREF _Toc398888321 \h </w:instrText>
      </w:r>
      <w:r>
        <w:fldChar w:fldCharType="separate"/>
      </w:r>
      <w:r>
        <w:t>131</w:t>
      </w:r>
      <w:r>
        <w:fldChar w:fldCharType="end"/>
      </w:r>
    </w:p>
    <w:p>
      <w:pPr>
        <w:pStyle w:val="TOC8"/>
        <w:rPr>
          <w:rFonts w:asciiTheme="minorHAnsi" w:eastAsiaTheme="minorEastAsia" w:hAnsiTheme="minorHAnsi" w:cstheme="minorBidi"/>
          <w:szCs w:val="22"/>
        </w:rPr>
      </w:pPr>
      <w:r>
        <w:t>172.</w:t>
      </w:r>
      <w:r>
        <w:tab/>
        <w:t>Notification of change to policies or procedures</w:t>
      </w:r>
      <w:r>
        <w:tab/>
      </w:r>
      <w:r>
        <w:fldChar w:fldCharType="begin"/>
      </w:r>
      <w:r>
        <w:instrText xml:space="preserve"> PAGEREF _Toc398888322 \h </w:instrText>
      </w:r>
      <w:r>
        <w:fldChar w:fldCharType="separate"/>
      </w:r>
      <w:r>
        <w:t>132</w:t>
      </w:r>
      <w:r>
        <w:fldChar w:fldCharType="end"/>
      </w:r>
    </w:p>
    <w:p>
      <w:pPr>
        <w:pStyle w:val="TOC6"/>
        <w:tabs>
          <w:tab w:val="right" w:leader="dot" w:pos="7088"/>
        </w:tabs>
        <w:rPr>
          <w:rFonts w:asciiTheme="minorHAnsi" w:eastAsiaTheme="minorEastAsia" w:hAnsiTheme="minorHAnsi" w:cstheme="minorBidi"/>
          <w:b w:val="0"/>
          <w:sz w:val="22"/>
          <w:szCs w:val="22"/>
        </w:rPr>
      </w:pPr>
      <w:r>
        <w:t>Division 3 — Information and record</w:t>
      </w:r>
      <w:r>
        <w:noBreakHyphen/>
        <w:t>keeping requirements</w:t>
      </w:r>
    </w:p>
    <w:p>
      <w:pPr>
        <w:pStyle w:val="TOC8"/>
        <w:rPr>
          <w:rFonts w:asciiTheme="minorHAnsi" w:eastAsiaTheme="minorEastAsia" w:hAnsiTheme="minorHAnsi" w:cstheme="minorBidi"/>
          <w:szCs w:val="22"/>
        </w:rPr>
      </w:pPr>
      <w:r>
        <w:t>173.</w:t>
      </w:r>
      <w:r>
        <w:tab/>
        <w:t>Prescribed information to be displayed</w:t>
      </w:r>
      <w:r>
        <w:tab/>
      </w:r>
      <w:r>
        <w:fldChar w:fldCharType="begin"/>
      </w:r>
      <w:r>
        <w:instrText xml:space="preserve"> PAGEREF _Toc398888324 \h </w:instrText>
      </w:r>
      <w:r>
        <w:fldChar w:fldCharType="separate"/>
      </w:r>
      <w:r>
        <w:t>133</w:t>
      </w:r>
      <w:r>
        <w:fldChar w:fldCharType="end"/>
      </w:r>
    </w:p>
    <w:p>
      <w:pPr>
        <w:pStyle w:val="TOC8"/>
        <w:rPr>
          <w:rFonts w:asciiTheme="minorHAnsi" w:eastAsiaTheme="minorEastAsia" w:hAnsiTheme="minorHAnsi" w:cstheme="minorBidi"/>
          <w:szCs w:val="22"/>
        </w:rPr>
      </w:pPr>
      <w:r>
        <w:t>174.</w:t>
      </w:r>
      <w:r>
        <w:tab/>
        <w:t>Time to notify certain circumstances to Regulatory Authority</w:t>
      </w:r>
      <w:r>
        <w:tab/>
      </w:r>
      <w:r>
        <w:fldChar w:fldCharType="begin"/>
      </w:r>
      <w:r>
        <w:instrText xml:space="preserve"> PAGEREF _Toc398888325 \h </w:instrText>
      </w:r>
      <w:r>
        <w:fldChar w:fldCharType="separate"/>
      </w:r>
      <w:r>
        <w:t>134</w:t>
      </w:r>
      <w:r>
        <w:fldChar w:fldCharType="end"/>
      </w:r>
    </w:p>
    <w:p>
      <w:pPr>
        <w:pStyle w:val="TOC8"/>
        <w:rPr>
          <w:rFonts w:asciiTheme="minorHAnsi" w:eastAsiaTheme="minorEastAsia" w:hAnsiTheme="minorHAnsi" w:cstheme="minorBidi"/>
          <w:szCs w:val="22"/>
        </w:rPr>
      </w:pPr>
      <w:r>
        <w:t>175.</w:t>
      </w:r>
      <w:r>
        <w:tab/>
        <w:t>Prescribed information to be notified to Regulatory Authority</w:t>
      </w:r>
      <w:r>
        <w:tab/>
      </w:r>
      <w:r>
        <w:fldChar w:fldCharType="begin"/>
      </w:r>
      <w:r>
        <w:instrText xml:space="preserve"> PAGEREF _Toc398888326 \h </w:instrText>
      </w:r>
      <w:r>
        <w:fldChar w:fldCharType="separate"/>
      </w:r>
      <w:r>
        <w:t>135</w:t>
      </w:r>
      <w:r>
        <w:fldChar w:fldCharType="end"/>
      </w:r>
    </w:p>
    <w:p>
      <w:pPr>
        <w:pStyle w:val="TOC8"/>
        <w:rPr>
          <w:rFonts w:asciiTheme="minorHAnsi" w:eastAsiaTheme="minorEastAsia" w:hAnsiTheme="minorHAnsi" w:cstheme="minorBidi"/>
          <w:szCs w:val="22"/>
        </w:rPr>
      </w:pPr>
      <w:r>
        <w:t>176.</w:t>
      </w:r>
      <w:r>
        <w:tab/>
        <w:t>Time to notify certain information to Regulatory Authority</w:t>
      </w:r>
      <w:r>
        <w:tab/>
      </w:r>
      <w:r>
        <w:fldChar w:fldCharType="begin"/>
      </w:r>
      <w:r>
        <w:instrText xml:space="preserve"> PAGEREF _Toc398888327 \h </w:instrText>
      </w:r>
      <w:r>
        <w:fldChar w:fldCharType="separate"/>
      </w:r>
      <w:r>
        <w:t>136</w:t>
      </w:r>
      <w:r>
        <w:fldChar w:fldCharType="end"/>
      </w:r>
    </w:p>
    <w:p>
      <w:pPr>
        <w:pStyle w:val="TOC8"/>
        <w:rPr>
          <w:rFonts w:asciiTheme="minorHAnsi" w:eastAsiaTheme="minorEastAsia" w:hAnsiTheme="minorHAnsi" w:cstheme="minorBidi"/>
          <w:szCs w:val="22"/>
        </w:rPr>
      </w:pPr>
      <w:r>
        <w:t>177.</w:t>
      </w:r>
      <w:r>
        <w:tab/>
        <w:t>Prescribed enrolment and other documents to be kept by approved provider</w:t>
      </w:r>
      <w:r>
        <w:tab/>
      </w:r>
      <w:r>
        <w:fldChar w:fldCharType="begin"/>
      </w:r>
      <w:r>
        <w:instrText xml:space="preserve"> PAGEREF _Toc398888328 \h </w:instrText>
      </w:r>
      <w:r>
        <w:fldChar w:fldCharType="separate"/>
      </w:r>
      <w:r>
        <w:t>137</w:t>
      </w:r>
      <w:r>
        <w:fldChar w:fldCharType="end"/>
      </w:r>
    </w:p>
    <w:p>
      <w:pPr>
        <w:pStyle w:val="TOC8"/>
        <w:rPr>
          <w:rFonts w:asciiTheme="minorHAnsi" w:eastAsiaTheme="minorEastAsia" w:hAnsiTheme="minorHAnsi" w:cstheme="minorBidi"/>
          <w:szCs w:val="22"/>
        </w:rPr>
      </w:pPr>
      <w:r>
        <w:t>178.</w:t>
      </w:r>
      <w:r>
        <w:tab/>
        <w:t>Prescribed enrolment and other documents to be kept by family day care educator</w:t>
      </w:r>
      <w:r>
        <w:tab/>
      </w:r>
      <w:r>
        <w:fldChar w:fldCharType="begin"/>
      </w:r>
      <w:r>
        <w:instrText xml:space="preserve"> PAGEREF _Toc398888329 \h </w:instrText>
      </w:r>
      <w:r>
        <w:fldChar w:fldCharType="separate"/>
      </w:r>
      <w:r>
        <w:t>139</w:t>
      </w:r>
      <w:r>
        <w:fldChar w:fldCharType="end"/>
      </w:r>
    </w:p>
    <w:p>
      <w:pPr>
        <w:pStyle w:val="TOC8"/>
        <w:rPr>
          <w:rFonts w:asciiTheme="minorHAnsi" w:eastAsiaTheme="minorEastAsia" w:hAnsiTheme="minorHAnsi" w:cstheme="minorBidi"/>
          <w:szCs w:val="22"/>
        </w:rPr>
      </w:pPr>
      <w:r>
        <w:t>179.</w:t>
      </w:r>
      <w:r>
        <w:tab/>
        <w:t>Family day care educator to provide documents on leaving service</w:t>
      </w:r>
      <w:r>
        <w:tab/>
      </w:r>
      <w:r>
        <w:fldChar w:fldCharType="begin"/>
      </w:r>
      <w:r>
        <w:instrText xml:space="preserve"> PAGEREF _Toc398888330 \h </w:instrText>
      </w:r>
      <w:r>
        <w:fldChar w:fldCharType="separate"/>
      </w:r>
      <w:r>
        <w:t>140</w:t>
      </w:r>
      <w:r>
        <w:fldChar w:fldCharType="end"/>
      </w:r>
    </w:p>
    <w:p>
      <w:pPr>
        <w:pStyle w:val="TOC8"/>
        <w:rPr>
          <w:rFonts w:asciiTheme="minorHAnsi" w:eastAsiaTheme="minorEastAsia" w:hAnsiTheme="minorHAnsi" w:cstheme="minorBidi"/>
          <w:szCs w:val="22"/>
        </w:rPr>
      </w:pPr>
      <w:r>
        <w:t>180.</w:t>
      </w:r>
      <w:r>
        <w:tab/>
        <w:t>Evidence of prescribed insurance</w:t>
      </w:r>
      <w:r>
        <w:tab/>
      </w:r>
      <w:r>
        <w:fldChar w:fldCharType="begin"/>
      </w:r>
      <w:r>
        <w:instrText xml:space="preserve"> PAGEREF _Toc398888331 \h </w:instrText>
      </w:r>
      <w:r>
        <w:fldChar w:fldCharType="separate"/>
      </w:r>
      <w:r>
        <w:t>140</w:t>
      </w:r>
      <w:r>
        <w:fldChar w:fldCharType="end"/>
      </w:r>
    </w:p>
    <w:p>
      <w:pPr>
        <w:pStyle w:val="TOC8"/>
        <w:rPr>
          <w:rFonts w:asciiTheme="minorHAnsi" w:eastAsiaTheme="minorEastAsia" w:hAnsiTheme="minorHAnsi" w:cstheme="minorBidi"/>
          <w:szCs w:val="22"/>
        </w:rPr>
      </w:pPr>
      <w:r>
        <w:t>181.</w:t>
      </w:r>
      <w:r>
        <w:tab/>
        <w:t>Confidentiality of records kept by approved provider</w:t>
      </w:r>
      <w:r>
        <w:tab/>
      </w:r>
      <w:r>
        <w:fldChar w:fldCharType="begin"/>
      </w:r>
      <w:r>
        <w:instrText xml:space="preserve"> PAGEREF _Toc398888332 \h </w:instrText>
      </w:r>
      <w:r>
        <w:fldChar w:fldCharType="separate"/>
      </w:r>
      <w:r>
        <w:t>140</w:t>
      </w:r>
      <w:r>
        <w:fldChar w:fldCharType="end"/>
      </w:r>
    </w:p>
    <w:p>
      <w:pPr>
        <w:pStyle w:val="TOC8"/>
        <w:rPr>
          <w:rFonts w:asciiTheme="minorHAnsi" w:eastAsiaTheme="minorEastAsia" w:hAnsiTheme="minorHAnsi" w:cstheme="minorBidi"/>
          <w:szCs w:val="22"/>
        </w:rPr>
      </w:pPr>
      <w:r>
        <w:t>182.</w:t>
      </w:r>
      <w:r>
        <w:tab/>
        <w:t>Confidentiality of records kept by family day care educator</w:t>
      </w:r>
      <w:r>
        <w:tab/>
      </w:r>
      <w:r>
        <w:fldChar w:fldCharType="begin"/>
      </w:r>
      <w:r>
        <w:instrText xml:space="preserve"> PAGEREF _Toc398888333 \h </w:instrText>
      </w:r>
      <w:r>
        <w:fldChar w:fldCharType="separate"/>
      </w:r>
      <w:r>
        <w:t>141</w:t>
      </w:r>
      <w:r>
        <w:fldChar w:fldCharType="end"/>
      </w:r>
    </w:p>
    <w:p>
      <w:pPr>
        <w:pStyle w:val="TOC8"/>
        <w:rPr>
          <w:rFonts w:asciiTheme="minorHAnsi" w:eastAsiaTheme="minorEastAsia" w:hAnsiTheme="minorHAnsi" w:cstheme="minorBidi"/>
          <w:szCs w:val="22"/>
        </w:rPr>
      </w:pPr>
      <w:r>
        <w:t>183.</w:t>
      </w:r>
      <w:r>
        <w:tab/>
        <w:t>Storage of records and other documents</w:t>
      </w:r>
      <w:r>
        <w:tab/>
      </w:r>
      <w:r>
        <w:fldChar w:fldCharType="begin"/>
      </w:r>
      <w:r>
        <w:instrText xml:space="preserve"> PAGEREF _Toc398888334 \h </w:instrText>
      </w:r>
      <w:r>
        <w:fldChar w:fldCharType="separate"/>
      </w:r>
      <w:r>
        <w:t>142</w:t>
      </w:r>
      <w:r>
        <w:fldChar w:fldCharType="end"/>
      </w:r>
    </w:p>
    <w:p>
      <w:pPr>
        <w:pStyle w:val="TOC8"/>
        <w:rPr>
          <w:rFonts w:asciiTheme="minorHAnsi" w:eastAsiaTheme="minorEastAsia" w:hAnsiTheme="minorHAnsi" w:cstheme="minorBidi"/>
          <w:szCs w:val="22"/>
        </w:rPr>
      </w:pPr>
      <w:r>
        <w:t>184.</w:t>
      </w:r>
      <w:r>
        <w:tab/>
        <w:t>Storage of records after service approval transferred</w:t>
      </w:r>
      <w:r>
        <w:tab/>
      </w:r>
      <w:r>
        <w:fldChar w:fldCharType="begin"/>
      </w:r>
      <w:r>
        <w:instrText xml:space="preserve"> PAGEREF _Toc398888335 \h </w:instrText>
      </w:r>
      <w:r>
        <w:fldChar w:fldCharType="separate"/>
      </w:r>
      <w:r>
        <w:t>143</w:t>
      </w:r>
      <w:r>
        <w:fldChar w:fldCharType="end"/>
      </w:r>
    </w:p>
    <w:p>
      <w:pPr>
        <w:pStyle w:val="TOC8"/>
        <w:rPr>
          <w:rFonts w:asciiTheme="minorHAnsi" w:eastAsiaTheme="minorEastAsia" w:hAnsiTheme="minorHAnsi" w:cstheme="minorBidi"/>
          <w:szCs w:val="22"/>
        </w:rPr>
      </w:pPr>
      <w:r>
        <w:t>185.</w:t>
      </w:r>
      <w:r>
        <w:tab/>
        <w:t>Law and regulations to be available</w:t>
      </w:r>
      <w:r>
        <w:tab/>
      </w:r>
      <w:r>
        <w:fldChar w:fldCharType="begin"/>
      </w:r>
      <w:r>
        <w:instrText xml:space="preserve"> PAGEREF _Toc398888336 \h </w:instrText>
      </w:r>
      <w:r>
        <w:fldChar w:fldCharType="separate"/>
      </w:r>
      <w:r>
        <w:t>143</w:t>
      </w:r>
      <w:r>
        <w:fldChar w:fldCharType="end"/>
      </w:r>
    </w:p>
    <w:p>
      <w:pPr>
        <w:pStyle w:val="TOC2"/>
        <w:tabs>
          <w:tab w:val="right" w:leader="dot" w:pos="7088"/>
        </w:tabs>
        <w:rPr>
          <w:rFonts w:asciiTheme="minorHAnsi" w:eastAsiaTheme="minorEastAsia" w:hAnsiTheme="minorHAnsi" w:cstheme="minorBidi"/>
          <w:b w:val="0"/>
          <w:sz w:val="22"/>
          <w:szCs w:val="22"/>
        </w:rPr>
      </w:pPr>
      <w:r>
        <w:t>Chapter 5 — Review, enforcement and compliance</w:t>
      </w:r>
    </w:p>
    <w:p>
      <w:pPr>
        <w:pStyle w:val="TOC4"/>
        <w:tabs>
          <w:tab w:val="right" w:leader="dot" w:pos="7088"/>
        </w:tabs>
        <w:rPr>
          <w:rFonts w:asciiTheme="minorHAnsi" w:eastAsiaTheme="minorEastAsia" w:hAnsiTheme="minorHAnsi" w:cstheme="minorBidi"/>
          <w:b w:val="0"/>
          <w:szCs w:val="22"/>
        </w:rPr>
      </w:pPr>
      <w:r>
        <w:t>Part 5.1 — Internal review</w:t>
      </w:r>
    </w:p>
    <w:p>
      <w:pPr>
        <w:pStyle w:val="TOC8"/>
        <w:rPr>
          <w:rFonts w:asciiTheme="minorHAnsi" w:eastAsiaTheme="minorEastAsia" w:hAnsiTheme="minorHAnsi" w:cstheme="minorBidi"/>
          <w:szCs w:val="22"/>
        </w:rPr>
      </w:pPr>
      <w:r>
        <w:t>186.</w:t>
      </w:r>
      <w:r>
        <w:tab/>
        <w:t>Application for internal review of reviewable decision</w:t>
      </w:r>
      <w:r>
        <w:tab/>
      </w:r>
      <w:r>
        <w:fldChar w:fldCharType="begin"/>
      </w:r>
      <w:r>
        <w:instrText xml:space="preserve"> PAGEREF _Toc398888339 \h </w:instrText>
      </w:r>
      <w:r>
        <w:fldChar w:fldCharType="separate"/>
      </w:r>
      <w:r>
        <w:t>144</w:t>
      </w:r>
      <w:r>
        <w:fldChar w:fldCharType="end"/>
      </w:r>
    </w:p>
    <w:p>
      <w:pPr>
        <w:pStyle w:val="TOC4"/>
        <w:tabs>
          <w:tab w:val="right" w:leader="dot" w:pos="7088"/>
        </w:tabs>
        <w:rPr>
          <w:rFonts w:asciiTheme="minorHAnsi" w:eastAsiaTheme="minorEastAsia" w:hAnsiTheme="minorHAnsi" w:cstheme="minorBidi"/>
          <w:b w:val="0"/>
          <w:szCs w:val="22"/>
        </w:rPr>
      </w:pPr>
      <w:r>
        <w:t>Part 5.2 — Enforcement and compliance</w:t>
      </w:r>
    </w:p>
    <w:p>
      <w:pPr>
        <w:pStyle w:val="TOC8"/>
        <w:rPr>
          <w:rFonts w:asciiTheme="minorHAnsi" w:eastAsiaTheme="minorEastAsia" w:hAnsiTheme="minorHAnsi" w:cstheme="minorBidi"/>
          <w:szCs w:val="22"/>
        </w:rPr>
      </w:pPr>
      <w:r>
        <w:t>187.</w:t>
      </w:r>
      <w:r>
        <w:tab/>
        <w:t>Prescribed form of identity card</w:t>
      </w:r>
      <w:r>
        <w:tab/>
      </w:r>
      <w:r>
        <w:fldChar w:fldCharType="begin"/>
      </w:r>
      <w:r>
        <w:instrText xml:space="preserve"> PAGEREF _Toc398888341 \h </w:instrText>
      </w:r>
      <w:r>
        <w:fldChar w:fldCharType="separate"/>
      </w:r>
      <w:r>
        <w:t>145</w:t>
      </w:r>
      <w:r>
        <w:fldChar w:fldCharType="end"/>
      </w:r>
    </w:p>
    <w:p>
      <w:pPr>
        <w:pStyle w:val="TOC8"/>
        <w:rPr>
          <w:rFonts w:asciiTheme="minorHAnsi" w:eastAsiaTheme="minorEastAsia" w:hAnsiTheme="minorHAnsi" w:cstheme="minorBidi"/>
          <w:szCs w:val="22"/>
        </w:rPr>
      </w:pPr>
      <w:r>
        <w:t>188.</w:t>
      </w:r>
      <w:r>
        <w:tab/>
        <w:t>Compliance directions</w:t>
      </w:r>
      <w:r>
        <w:tab/>
      </w:r>
      <w:r>
        <w:fldChar w:fldCharType="begin"/>
      </w:r>
      <w:r>
        <w:instrText xml:space="preserve"> PAGEREF _Toc398888342 \h </w:instrText>
      </w:r>
      <w:r>
        <w:fldChar w:fldCharType="separate"/>
      </w:r>
      <w:r>
        <w:t>145</w:t>
      </w:r>
      <w:r>
        <w:fldChar w:fldCharType="end"/>
      </w:r>
    </w:p>
    <w:p>
      <w:pPr>
        <w:pStyle w:val="TOC8"/>
        <w:rPr>
          <w:rFonts w:asciiTheme="minorHAnsi" w:eastAsiaTheme="minorEastAsia" w:hAnsiTheme="minorHAnsi" w:cstheme="minorBidi"/>
          <w:szCs w:val="22"/>
        </w:rPr>
      </w:pPr>
      <w:r>
        <w:t>189.</w:t>
      </w:r>
      <w:r>
        <w:tab/>
        <w:t>Application to cancel prohibition notice</w:t>
      </w:r>
      <w:r>
        <w:tab/>
      </w:r>
      <w:r>
        <w:fldChar w:fldCharType="begin"/>
      </w:r>
      <w:r>
        <w:instrText xml:space="preserve"> PAGEREF _Toc398888343 \h </w:instrText>
      </w:r>
      <w:r>
        <w:fldChar w:fldCharType="separate"/>
      </w:r>
      <w:r>
        <w:t>145</w:t>
      </w:r>
      <w:r>
        <w:fldChar w:fldCharType="end"/>
      </w:r>
    </w:p>
    <w:p>
      <w:pPr>
        <w:pStyle w:val="TOC8"/>
        <w:rPr>
          <w:rFonts w:asciiTheme="minorHAnsi" w:eastAsiaTheme="minorEastAsia" w:hAnsiTheme="minorHAnsi" w:cstheme="minorBidi"/>
          <w:szCs w:val="22"/>
        </w:rPr>
      </w:pPr>
      <w:r>
        <w:t>190.</w:t>
      </w:r>
      <w:r>
        <w:tab/>
        <w:t>Infringement offences</w:t>
      </w:r>
      <w:r>
        <w:tab/>
      </w:r>
      <w:r>
        <w:fldChar w:fldCharType="begin"/>
      </w:r>
      <w:r>
        <w:instrText xml:space="preserve"> PAGEREF _Toc398888344 \h </w:instrText>
      </w:r>
      <w:r>
        <w:fldChar w:fldCharType="separate"/>
      </w:r>
      <w:r>
        <w:t>146</w:t>
      </w:r>
      <w:r>
        <w:fldChar w:fldCharType="end"/>
      </w:r>
    </w:p>
    <w:p>
      <w:pPr>
        <w:pStyle w:val="TOC8"/>
        <w:rPr>
          <w:rFonts w:asciiTheme="minorHAnsi" w:eastAsiaTheme="minorEastAsia" w:hAnsiTheme="minorHAnsi" w:cstheme="minorBidi"/>
          <w:szCs w:val="22"/>
        </w:rPr>
      </w:pPr>
      <w:r>
        <w:t>191.</w:t>
      </w:r>
      <w:r>
        <w:tab/>
        <w:t>False or misleading information or documents</w:t>
      </w:r>
      <w:r>
        <w:tab/>
      </w:r>
      <w:r>
        <w:fldChar w:fldCharType="begin"/>
      </w:r>
      <w:r>
        <w:instrText xml:space="preserve"> PAGEREF _Toc398888345 \h </w:instrText>
      </w:r>
      <w:r>
        <w:fldChar w:fldCharType="separate"/>
      </w:r>
      <w:r>
        <w:t>147</w:t>
      </w:r>
      <w:r>
        <w:fldChar w:fldCharType="end"/>
      </w:r>
    </w:p>
    <w:p>
      <w:pPr>
        <w:pStyle w:val="TOC2"/>
        <w:tabs>
          <w:tab w:val="right" w:leader="dot" w:pos="7088"/>
        </w:tabs>
        <w:rPr>
          <w:rFonts w:asciiTheme="minorHAnsi" w:eastAsiaTheme="minorEastAsia" w:hAnsiTheme="minorHAnsi" w:cstheme="minorBidi"/>
          <w:b w:val="0"/>
          <w:sz w:val="22"/>
          <w:szCs w:val="22"/>
        </w:rPr>
      </w:pPr>
      <w:r>
        <w:t>Chapter 6 — Administration</w:t>
      </w:r>
    </w:p>
    <w:p>
      <w:pPr>
        <w:pStyle w:val="TOC4"/>
        <w:tabs>
          <w:tab w:val="right" w:leader="dot" w:pos="7088"/>
        </w:tabs>
        <w:rPr>
          <w:rFonts w:asciiTheme="minorHAnsi" w:eastAsiaTheme="minorEastAsia" w:hAnsiTheme="minorHAnsi" w:cstheme="minorBidi"/>
          <w:b w:val="0"/>
          <w:szCs w:val="22"/>
        </w:rPr>
      </w:pPr>
      <w:r>
        <w:t>Part 6.1 — Australian Children’s Education and Care Quality Authority</w:t>
      </w:r>
    </w:p>
    <w:p>
      <w:pPr>
        <w:pStyle w:val="TOC8"/>
        <w:rPr>
          <w:rFonts w:asciiTheme="minorHAnsi" w:eastAsiaTheme="minorEastAsia" w:hAnsiTheme="minorHAnsi" w:cstheme="minorBidi"/>
          <w:szCs w:val="22"/>
        </w:rPr>
      </w:pPr>
      <w:r>
        <w:t>192.</w:t>
      </w:r>
      <w:r>
        <w:tab/>
        <w:t>Co</w:t>
      </w:r>
      <w:r>
        <w:noBreakHyphen/>
        <w:t>operation with prescribed classes of body</w:t>
      </w:r>
      <w:r>
        <w:tab/>
      </w:r>
      <w:r>
        <w:fldChar w:fldCharType="begin"/>
      </w:r>
      <w:r>
        <w:instrText xml:space="preserve"> PAGEREF _Toc398888348 \h </w:instrText>
      </w:r>
      <w:r>
        <w:fldChar w:fldCharType="separate"/>
      </w:r>
      <w:r>
        <w:t>148</w:t>
      </w:r>
      <w:r>
        <w:fldChar w:fldCharType="end"/>
      </w:r>
    </w:p>
    <w:p>
      <w:pPr>
        <w:pStyle w:val="TOC8"/>
        <w:rPr>
          <w:rFonts w:asciiTheme="minorHAnsi" w:eastAsiaTheme="minorEastAsia" w:hAnsiTheme="minorHAnsi" w:cstheme="minorBidi"/>
          <w:szCs w:val="22"/>
        </w:rPr>
      </w:pPr>
      <w:r>
        <w:t>193.</w:t>
      </w:r>
      <w:r>
        <w:tab/>
        <w:t>Allocating, transferring or reimbursing money to a participating jurisdiction</w:t>
      </w:r>
      <w:r>
        <w:tab/>
      </w:r>
      <w:r>
        <w:fldChar w:fldCharType="begin"/>
      </w:r>
      <w:r>
        <w:instrText xml:space="preserve"> PAGEREF _Toc398888349 \h </w:instrText>
      </w:r>
      <w:r>
        <w:fldChar w:fldCharType="separate"/>
      </w:r>
      <w:r>
        <w:t>149</w:t>
      </w:r>
      <w:r>
        <w:fldChar w:fldCharType="end"/>
      </w:r>
    </w:p>
    <w:p>
      <w:pPr>
        <w:pStyle w:val="TOC8"/>
        <w:rPr>
          <w:rFonts w:asciiTheme="minorHAnsi" w:eastAsiaTheme="minorEastAsia" w:hAnsiTheme="minorHAnsi" w:cstheme="minorBidi"/>
          <w:szCs w:val="22"/>
        </w:rPr>
      </w:pPr>
      <w:r>
        <w:t>194.</w:t>
      </w:r>
      <w:r>
        <w:tab/>
        <w:t>Investment of Authority Fund</w:t>
      </w:r>
      <w:r>
        <w:tab/>
      </w:r>
      <w:r>
        <w:fldChar w:fldCharType="begin"/>
      </w:r>
      <w:r>
        <w:instrText xml:space="preserve"> PAGEREF _Toc398888350 \h </w:instrText>
      </w:r>
      <w:r>
        <w:fldChar w:fldCharType="separate"/>
      </w:r>
      <w:r>
        <w:t>149</w:t>
      </w:r>
      <w:r>
        <w:fldChar w:fldCharType="end"/>
      </w:r>
    </w:p>
    <w:p>
      <w:pPr>
        <w:pStyle w:val="TOC4"/>
        <w:tabs>
          <w:tab w:val="right" w:leader="dot" w:pos="7088"/>
        </w:tabs>
        <w:rPr>
          <w:rFonts w:asciiTheme="minorHAnsi" w:eastAsiaTheme="minorEastAsia" w:hAnsiTheme="minorHAnsi" w:cstheme="minorBidi"/>
          <w:b w:val="0"/>
          <w:szCs w:val="22"/>
        </w:rPr>
      </w:pPr>
      <w:r>
        <w:t>Part 6.2 — Information, records and privacy — National Authority and Regulatory Authorities</w:t>
      </w:r>
    </w:p>
    <w:p>
      <w:pPr>
        <w:pStyle w:val="TOC6"/>
        <w:tabs>
          <w:tab w:val="right" w:leader="dot" w:pos="7088"/>
        </w:tabs>
        <w:rPr>
          <w:rFonts w:asciiTheme="minorHAnsi" w:eastAsiaTheme="minorEastAsia" w:hAnsiTheme="minorHAnsi" w:cstheme="minorBidi"/>
          <w:b w:val="0"/>
          <w:sz w:val="22"/>
          <w:szCs w:val="22"/>
        </w:rPr>
      </w:pPr>
      <w:r>
        <w:t xml:space="preserve">Division 1 — Application of Commonwealth </w:t>
      </w:r>
      <w:r>
        <w:rPr>
          <w:i/>
        </w:rPr>
        <w:t>Privacy Act 1988</w:t>
      </w:r>
    </w:p>
    <w:p>
      <w:pPr>
        <w:pStyle w:val="TOC8"/>
        <w:rPr>
          <w:rFonts w:asciiTheme="minorHAnsi" w:eastAsiaTheme="minorEastAsia" w:hAnsiTheme="minorHAnsi" w:cstheme="minorBidi"/>
          <w:szCs w:val="22"/>
        </w:rPr>
      </w:pPr>
      <w:r>
        <w:t>195.</w:t>
      </w:r>
      <w:r>
        <w:tab/>
        <w:t xml:space="preserve">Application of Commonwealth </w:t>
      </w:r>
      <w:r>
        <w:rPr>
          <w:i/>
        </w:rPr>
        <w:t>Privacy Act 1988</w:t>
      </w:r>
      <w:r>
        <w:tab/>
      </w:r>
      <w:r>
        <w:fldChar w:fldCharType="begin"/>
      </w:r>
      <w:r>
        <w:instrText xml:space="preserve"> PAGEREF _Toc398888353 \h </w:instrText>
      </w:r>
      <w:r>
        <w:fldChar w:fldCharType="separate"/>
      </w:r>
      <w:r>
        <w:t>150</w:t>
      </w:r>
      <w:r>
        <w:fldChar w:fldCharType="end"/>
      </w:r>
    </w:p>
    <w:p>
      <w:pPr>
        <w:pStyle w:val="TOC8"/>
        <w:rPr>
          <w:rFonts w:asciiTheme="minorHAnsi" w:eastAsiaTheme="minorEastAsia" w:hAnsiTheme="minorHAnsi" w:cstheme="minorBidi"/>
          <w:szCs w:val="22"/>
        </w:rPr>
      </w:pPr>
      <w:r>
        <w:t>196.</w:t>
      </w:r>
      <w:r>
        <w:tab/>
        <w:t>Modifications relating to National Education and Care Services Privacy Commissioner and staff</w:t>
      </w:r>
      <w:r>
        <w:tab/>
      </w:r>
      <w:r>
        <w:fldChar w:fldCharType="begin"/>
      </w:r>
      <w:r>
        <w:instrText xml:space="preserve"> PAGEREF _Toc398888354 \h </w:instrText>
      </w:r>
      <w:r>
        <w:fldChar w:fldCharType="separate"/>
      </w:r>
      <w:r>
        <w:t>150</w:t>
      </w:r>
      <w:r>
        <w:fldChar w:fldCharType="end"/>
      </w:r>
    </w:p>
    <w:p>
      <w:pPr>
        <w:pStyle w:val="TOC8"/>
        <w:rPr>
          <w:rFonts w:asciiTheme="minorHAnsi" w:eastAsiaTheme="minorEastAsia" w:hAnsiTheme="minorHAnsi" w:cstheme="minorBidi"/>
          <w:szCs w:val="22"/>
        </w:rPr>
      </w:pPr>
      <w:r>
        <w:t>197.</w:t>
      </w:r>
      <w:r>
        <w:tab/>
        <w:t>Modifications about financial matters</w:t>
      </w:r>
      <w:r>
        <w:tab/>
      </w:r>
      <w:r>
        <w:fldChar w:fldCharType="begin"/>
      </w:r>
      <w:r>
        <w:instrText xml:space="preserve"> PAGEREF _Toc398888355 \h </w:instrText>
      </w:r>
      <w:r>
        <w:fldChar w:fldCharType="separate"/>
      </w:r>
      <w:r>
        <w:t>152</w:t>
      </w:r>
      <w:r>
        <w:fldChar w:fldCharType="end"/>
      </w:r>
    </w:p>
    <w:p>
      <w:pPr>
        <w:pStyle w:val="TOC8"/>
        <w:rPr>
          <w:rFonts w:asciiTheme="minorHAnsi" w:eastAsiaTheme="minorEastAsia" w:hAnsiTheme="minorHAnsi" w:cstheme="minorBidi"/>
          <w:szCs w:val="22"/>
        </w:rPr>
      </w:pPr>
      <w:r>
        <w:t>198.</w:t>
      </w:r>
      <w:r>
        <w:tab/>
        <w:t>Modifications about annual report</w:t>
      </w:r>
      <w:r>
        <w:tab/>
      </w:r>
      <w:r>
        <w:fldChar w:fldCharType="begin"/>
      </w:r>
      <w:r>
        <w:instrText xml:space="preserve"> PAGEREF _Toc398888356 \h </w:instrText>
      </w:r>
      <w:r>
        <w:fldChar w:fldCharType="separate"/>
      </w:r>
      <w:r>
        <w:t>153</w:t>
      </w:r>
      <w:r>
        <w:fldChar w:fldCharType="end"/>
      </w:r>
    </w:p>
    <w:p>
      <w:pPr>
        <w:pStyle w:val="TOC8"/>
        <w:rPr>
          <w:rFonts w:asciiTheme="minorHAnsi" w:eastAsiaTheme="minorEastAsia" w:hAnsiTheme="minorHAnsi" w:cstheme="minorBidi"/>
          <w:szCs w:val="22"/>
        </w:rPr>
      </w:pPr>
      <w:r>
        <w:t>199.</w:t>
      </w:r>
      <w:r>
        <w:tab/>
        <w:t>Modifications relating to National Authority and Regulatory Authorities</w:t>
      </w:r>
      <w:r>
        <w:tab/>
      </w:r>
      <w:r>
        <w:fldChar w:fldCharType="begin"/>
      </w:r>
      <w:r>
        <w:instrText xml:space="preserve"> PAGEREF _Toc398888357 \h </w:instrText>
      </w:r>
      <w:r>
        <w:fldChar w:fldCharType="separate"/>
      </w:r>
      <w:r>
        <w:t>153</w:t>
      </w:r>
      <w:r>
        <w:fldChar w:fldCharType="end"/>
      </w:r>
    </w:p>
    <w:p>
      <w:pPr>
        <w:pStyle w:val="TOC8"/>
        <w:rPr>
          <w:rFonts w:asciiTheme="minorHAnsi" w:eastAsiaTheme="minorEastAsia" w:hAnsiTheme="minorHAnsi" w:cstheme="minorBidi"/>
          <w:szCs w:val="22"/>
        </w:rPr>
      </w:pPr>
      <w:r>
        <w:t>200.</w:t>
      </w:r>
      <w:r>
        <w:tab/>
        <w:t>Modifications relating to determinations</w:t>
      </w:r>
      <w:r>
        <w:tab/>
      </w:r>
      <w:r>
        <w:fldChar w:fldCharType="begin"/>
      </w:r>
      <w:r>
        <w:instrText xml:space="preserve"> PAGEREF _Toc398888358 \h </w:instrText>
      </w:r>
      <w:r>
        <w:fldChar w:fldCharType="separate"/>
      </w:r>
      <w:r>
        <w:t>154</w:t>
      </w:r>
      <w:r>
        <w:fldChar w:fldCharType="end"/>
      </w:r>
    </w:p>
    <w:p>
      <w:pPr>
        <w:pStyle w:val="TOC8"/>
        <w:rPr>
          <w:rFonts w:asciiTheme="minorHAnsi" w:eastAsiaTheme="minorEastAsia" w:hAnsiTheme="minorHAnsi" w:cstheme="minorBidi"/>
          <w:szCs w:val="22"/>
        </w:rPr>
      </w:pPr>
      <w:r>
        <w:t>201.</w:t>
      </w:r>
      <w:r>
        <w:tab/>
        <w:t>Miscellaneous modifications</w:t>
      </w:r>
      <w:r>
        <w:tab/>
      </w:r>
      <w:r>
        <w:fldChar w:fldCharType="begin"/>
      </w:r>
      <w:r>
        <w:instrText xml:space="preserve"> PAGEREF _Toc398888359 \h </w:instrText>
      </w:r>
      <w:r>
        <w:fldChar w:fldCharType="separate"/>
      </w:r>
      <w:r>
        <w:t>154</w:t>
      </w:r>
      <w:r>
        <w:fldChar w:fldCharType="end"/>
      </w:r>
    </w:p>
    <w:p>
      <w:pPr>
        <w:pStyle w:val="TOC8"/>
        <w:rPr>
          <w:rFonts w:asciiTheme="minorHAnsi" w:eastAsiaTheme="minorEastAsia" w:hAnsiTheme="minorHAnsi" w:cstheme="minorBidi"/>
          <w:szCs w:val="22"/>
        </w:rPr>
      </w:pPr>
      <w:r>
        <w:t>202.</w:t>
      </w:r>
      <w:r>
        <w:tab/>
        <w:t>Relevant administrative tribunal</w:t>
      </w:r>
      <w:r>
        <w:tab/>
      </w:r>
      <w:r>
        <w:fldChar w:fldCharType="begin"/>
      </w:r>
      <w:r>
        <w:instrText xml:space="preserve"> PAGEREF _Toc398888360 \h </w:instrText>
      </w:r>
      <w:r>
        <w:fldChar w:fldCharType="separate"/>
      </w:r>
      <w:r>
        <w:t>156</w:t>
      </w:r>
      <w:r>
        <w:fldChar w:fldCharType="end"/>
      </w:r>
    </w:p>
    <w:p>
      <w:pPr>
        <w:pStyle w:val="TOC8"/>
        <w:rPr>
          <w:rFonts w:asciiTheme="minorHAnsi" w:eastAsiaTheme="minorEastAsia" w:hAnsiTheme="minorHAnsi" w:cstheme="minorBidi"/>
          <w:szCs w:val="22"/>
        </w:rPr>
      </w:pPr>
      <w:r>
        <w:t>203.</w:t>
      </w:r>
      <w:r>
        <w:tab/>
        <w:t>Regulations</w:t>
      </w:r>
      <w:r>
        <w:tab/>
      </w:r>
      <w:r>
        <w:fldChar w:fldCharType="begin"/>
      </w:r>
      <w:r>
        <w:instrText xml:space="preserve"> PAGEREF _Toc398888361 \h </w:instrText>
      </w:r>
      <w:r>
        <w:fldChar w:fldCharType="separate"/>
      </w:r>
      <w:r>
        <w:t>157</w:t>
      </w:r>
      <w:r>
        <w:fldChar w:fldCharType="end"/>
      </w:r>
    </w:p>
    <w:p>
      <w:pPr>
        <w:pStyle w:val="TOC6"/>
        <w:tabs>
          <w:tab w:val="right" w:leader="dot" w:pos="7088"/>
        </w:tabs>
        <w:rPr>
          <w:rFonts w:asciiTheme="minorHAnsi" w:eastAsiaTheme="minorEastAsia" w:hAnsiTheme="minorHAnsi" w:cstheme="minorBidi"/>
          <w:b w:val="0"/>
          <w:sz w:val="22"/>
          <w:szCs w:val="22"/>
        </w:rPr>
      </w:pPr>
      <w:r>
        <w:t xml:space="preserve">Division 2 — Application of Commonwealth </w:t>
      </w:r>
      <w:r>
        <w:rPr>
          <w:i/>
        </w:rPr>
        <w:t>Freedom of Information Act 1982</w:t>
      </w:r>
    </w:p>
    <w:p>
      <w:pPr>
        <w:pStyle w:val="TOC8"/>
        <w:rPr>
          <w:rFonts w:asciiTheme="minorHAnsi" w:eastAsiaTheme="minorEastAsia" w:hAnsiTheme="minorHAnsi" w:cstheme="minorBidi"/>
          <w:szCs w:val="22"/>
        </w:rPr>
      </w:pPr>
      <w:r>
        <w:t>204.</w:t>
      </w:r>
      <w:r>
        <w:tab/>
        <w:t>Application of Commonwealth</w:t>
      </w:r>
      <w:r>
        <w:rPr>
          <w:i/>
        </w:rPr>
        <w:t xml:space="preserve"> Freedom of Information Act 1982</w:t>
      </w:r>
      <w:r>
        <w:tab/>
      </w:r>
      <w:r>
        <w:fldChar w:fldCharType="begin"/>
      </w:r>
      <w:r>
        <w:instrText xml:space="preserve"> PAGEREF _Toc398888363 \h </w:instrText>
      </w:r>
      <w:r>
        <w:fldChar w:fldCharType="separate"/>
      </w:r>
      <w:r>
        <w:t>157</w:t>
      </w:r>
      <w:r>
        <w:fldChar w:fldCharType="end"/>
      </w:r>
    </w:p>
    <w:p>
      <w:pPr>
        <w:pStyle w:val="TOC8"/>
        <w:rPr>
          <w:rFonts w:asciiTheme="minorHAnsi" w:eastAsiaTheme="minorEastAsia" w:hAnsiTheme="minorHAnsi" w:cstheme="minorBidi"/>
          <w:szCs w:val="22"/>
        </w:rPr>
      </w:pPr>
      <w:r>
        <w:t>205.</w:t>
      </w:r>
      <w:r>
        <w:tab/>
        <w:t>Modifications relating to National Education and Care Services Freedom of Information Commissioner and staff</w:t>
      </w:r>
      <w:r>
        <w:tab/>
      </w:r>
      <w:r>
        <w:fldChar w:fldCharType="begin"/>
      </w:r>
      <w:r>
        <w:instrText xml:space="preserve"> PAGEREF _Toc398888364 \h </w:instrText>
      </w:r>
      <w:r>
        <w:fldChar w:fldCharType="separate"/>
      </w:r>
      <w:r>
        <w:t>157</w:t>
      </w:r>
      <w:r>
        <w:fldChar w:fldCharType="end"/>
      </w:r>
    </w:p>
    <w:p>
      <w:pPr>
        <w:pStyle w:val="TOC8"/>
        <w:rPr>
          <w:rFonts w:asciiTheme="minorHAnsi" w:eastAsiaTheme="minorEastAsia" w:hAnsiTheme="minorHAnsi" w:cstheme="minorBidi"/>
          <w:szCs w:val="22"/>
        </w:rPr>
      </w:pPr>
      <w:r>
        <w:t>206.</w:t>
      </w:r>
      <w:r>
        <w:tab/>
        <w:t>Modifications about financial matters</w:t>
      </w:r>
      <w:r>
        <w:tab/>
      </w:r>
      <w:r>
        <w:fldChar w:fldCharType="begin"/>
      </w:r>
      <w:r>
        <w:instrText xml:space="preserve"> PAGEREF _Toc398888365 \h </w:instrText>
      </w:r>
      <w:r>
        <w:fldChar w:fldCharType="separate"/>
      </w:r>
      <w:r>
        <w:t>160</w:t>
      </w:r>
      <w:r>
        <w:fldChar w:fldCharType="end"/>
      </w:r>
    </w:p>
    <w:p>
      <w:pPr>
        <w:pStyle w:val="TOC8"/>
        <w:rPr>
          <w:rFonts w:asciiTheme="minorHAnsi" w:eastAsiaTheme="minorEastAsia" w:hAnsiTheme="minorHAnsi" w:cstheme="minorBidi"/>
          <w:szCs w:val="22"/>
        </w:rPr>
      </w:pPr>
      <w:r>
        <w:t>207.</w:t>
      </w:r>
      <w:r>
        <w:tab/>
        <w:t>Modifications about annual report</w:t>
      </w:r>
      <w:r>
        <w:tab/>
      </w:r>
      <w:r>
        <w:fldChar w:fldCharType="begin"/>
      </w:r>
      <w:r>
        <w:instrText xml:space="preserve"> PAGEREF _Toc398888366 \h </w:instrText>
      </w:r>
      <w:r>
        <w:fldChar w:fldCharType="separate"/>
      </w:r>
      <w:r>
        <w:t>161</w:t>
      </w:r>
      <w:r>
        <w:fldChar w:fldCharType="end"/>
      </w:r>
    </w:p>
    <w:p>
      <w:pPr>
        <w:pStyle w:val="TOC8"/>
        <w:rPr>
          <w:rFonts w:asciiTheme="minorHAnsi" w:eastAsiaTheme="minorEastAsia" w:hAnsiTheme="minorHAnsi" w:cstheme="minorBidi"/>
          <w:szCs w:val="22"/>
        </w:rPr>
      </w:pPr>
      <w:r>
        <w:t>208.</w:t>
      </w:r>
      <w:r>
        <w:tab/>
        <w:t>Modifications relating to National Authority and Regulatory Authorities</w:t>
      </w:r>
      <w:r>
        <w:tab/>
      </w:r>
      <w:r>
        <w:fldChar w:fldCharType="begin"/>
      </w:r>
      <w:r>
        <w:instrText xml:space="preserve"> PAGEREF _Toc398888367 \h </w:instrText>
      </w:r>
      <w:r>
        <w:fldChar w:fldCharType="separate"/>
      </w:r>
      <w:r>
        <w:t>161</w:t>
      </w:r>
      <w:r>
        <w:fldChar w:fldCharType="end"/>
      </w:r>
    </w:p>
    <w:p>
      <w:pPr>
        <w:pStyle w:val="TOC8"/>
        <w:rPr>
          <w:rFonts w:asciiTheme="minorHAnsi" w:eastAsiaTheme="minorEastAsia" w:hAnsiTheme="minorHAnsi" w:cstheme="minorBidi"/>
          <w:szCs w:val="22"/>
        </w:rPr>
      </w:pPr>
      <w:r>
        <w:t>209.</w:t>
      </w:r>
      <w:r>
        <w:tab/>
        <w:t>Miscellaneous modifications</w:t>
      </w:r>
      <w:r>
        <w:tab/>
      </w:r>
      <w:r>
        <w:fldChar w:fldCharType="begin"/>
      </w:r>
      <w:r>
        <w:instrText xml:space="preserve"> PAGEREF _Toc398888368 \h </w:instrText>
      </w:r>
      <w:r>
        <w:fldChar w:fldCharType="separate"/>
      </w:r>
      <w:r>
        <w:t>163</w:t>
      </w:r>
      <w:r>
        <w:fldChar w:fldCharType="end"/>
      </w:r>
    </w:p>
    <w:p>
      <w:pPr>
        <w:pStyle w:val="TOC8"/>
        <w:rPr>
          <w:rFonts w:asciiTheme="minorHAnsi" w:eastAsiaTheme="minorEastAsia" w:hAnsiTheme="minorHAnsi" w:cstheme="minorBidi"/>
          <w:szCs w:val="22"/>
        </w:rPr>
      </w:pPr>
      <w:r>
        <w:t>210.</w:t>
      </w:r>
      <w:r>
        <w:tab/>
        <w:t>Relevant administrative tribunal</w:t>
      </w:r>
      <w:r>
        <w:tab/>
      </w:r>
      <w:r>
        <w:fldChar w:fldCharType="begin"/>
      </w:r>
      <w:r>
        <w:instrText xml:space="preserve"> PAGEREF _Toc398888369 \h </w:instrText>
      </w:r>
      <w:r>
        <w:fldChar w:fldCharType="separate"/>
      </w:r>
      <w:r>
        <w:t>164</w:t>
      </w:r>
      <w:r>
        <w:fldChar w:fldCharType="end"/>
      </w:r>
    </w:p>
    <w:p>
      <w:pPr>
        <w:pStyle w:val="TOC8"/>
        <w:rPr>
          <w:rFonts w:asciiTheme="minorHAnsi" w:eastAsiaTheme="minorEastAsia" w:hAnsiTheme="minorHAnsi" w:cstheme="minorBidi"/>
          <w:szCs w:val="22"/>
        </w:rPr>
      </w:pPr>
      <w:r>
        <w:t>211.</w:t>
      </w:r>
      <w:r>
        <w:tab/>
        <w:t>Regulations</w:t>
      </w:r>
      <w:r>
        <w:tab/>
      </w:r>
      <w:r>
        <w:fldChar w:fldCharType="begin"/>
      </w:r>
      <w:r>
        <w:instrText xml:space="preserve"> PAGEREF _Toc398888370 \h </w:instrText>
      </w:r>
      <w:r>
        <w:fldChar w:fldCharType="separate"/>
      </w:r>
      <w:r>
        <w:t>165</w:t>
      </w:r>
      <w:r>
        <w:fldChar w:fldCharType="end"/>
      </w:r>
    </w:p>
    <w:p>
      <w:pPr>
        <w:pStyle w:val="TOC6"/>
        <w:tabs>
          <w:tab w:val="right" w:leader="dot" w:pos="7088"/>
        </w:tabs>
        <w:rPr>
          <w:rFonts w:asciiTheme="minorHAnsi" w:eastAsiaTheme="minorEastAsia" w:hAnsiTheme="minorHAnsi" w:cstheme="minorBidi"/>
          <w:b w:val="0"/>
          <w:sz w:val="22"/>
          <w:szCs w:val="22"/>
        </w:rPr>
      </w:pPr>
      <w:r>
        <w:t xml:space="preserve">Division 3 — Application of New South Wales </w:t>
      </w:r>
      <w:r>
        <w:rPr>
          <w:i/>
        </w:rPr>
        <w:t>State Records Act 1998</w:t>
      </w:r>
    </w:p>
    <w:p>
      <w:pPr>
        <w:pStyle w:val="TOC8"/>
        <w:rPr>
          <w:rFonts w:asciiTheme="minorHAnsi" w:eastAsiaTheme="minorEastAsia" w:hAnsiTheme="minorHAnsi" w:cstheme="minorBidi"/>
          <w:szCs w:val="22"/>
        </w:rPr>
      </w:pPr>
      <w:r>
        <w:t>212.</w:t>
      </w:r>
      <w:r>
        <w:tab/>
        <w:t>Application of State Records Act</w:t>
      </w:r>
      <w:r>
        <w:tab/>
      </w:r>
      <w:r>
        <w:fldChar w:fldCharType="begin"/>
      </w:r>
      <w:r>
        <w:instrText xml:space="preserve"> PAGEREF _Toc398888372 \h </w:instrText>
      </w:r>
      <w:r>
        <w:fldChar w:fldCharType="separate"/>
      </w:r>
      <w:r>
        <w:t>165</w:t>
      </w:r>
      <w:r>
        <w:fldChar w:fldCharType="end"/>
      </w:r>
    </w:p>
    <w:p>
      <w:pPr>
        <w:pStyle w:val="TOC8"/>
        <w:rPr>
          <w:rFonts w:asciiTheme="minorHAnsi" w:eastAsiaTheme="minorEastAsia" w:hAnsiTheme="minorHAnsi" w:cstheme="minorBidi"/>
          <w:szCs w:val="22"/>
        </w:rPr>
      </w:pPr>
      <w:r>
        <w:t>213.</w:t>
      </w:r>
      <w:r>
        <w:tab/>
        <w:t>Modifications relating to State Records Authority and its Board and Director</w:t>
      </w:r>
      <w:r>
        <w:tab/>
      </w:r>
      <w:r>
        <w:fldChar w:fldCharType="begin"/>
      </w:r>
      <w:r>
        <w:instrText xml:space="preserve"> PAGEREF _Toc398888373 \h </w:instrText>
      </w:r>
      <w:r>
        <w:fldChar w:fldCharType="separate"/>
      </w:r>
      <w:r>
        <w:t>165</w:t>
      </w:r>
      <w:r>
        <w:fldChar w:fldCharType="end"/>
      </w:r>
    </w:p>
    <w:p>
      <w:pPr>
        <w:pStyle w:val="TOC8"/>
        <w:rPr>
          <w:rFonts w:asciiTheme="minorHAnsi" w:eastAsiaTheme="minorEastAsia" w:hAnsiTheme="minorHAnsi" w:cstheme="minorBidi"/>
          <w:szCs w:val="22"/>
        </w:rPr>
      </w:pPr>
      <w:r>
        <w:t>214.</w:t>
      </w:r>
      <w:r>
        <w:tab/>
        <w:t>Modifications relating to National Authority</w:t>
      </w:r>
      <w:r>
        <w:tab/>
      </w:r>
      <w:r>
        <w:fldChar w:fldCharType="begin"/>
      </w:r>
      <w:r>
        <w:instrText xml:space="preserve"> PAGEREF _Toc398888374 \h </w:instrText>
      </w:r>
      <w:r>
        <w:fldChar w:fldCharType="separate"/>
      </w:r>
      <w:r>
        <w:t>166</w:t>
      </w:r>
      <w:r>
        <w:fldChar w:fldCharType="end"/>
      </w:r>
    </w:p>
    <w:p>
      <w:pPr>
        <w:pStyle w:val="TOC8"/>
        <w:rPr>
          <w:rFonts w:asciiTheme="minorHAnsi" w:eastAsiaTheme="minorEastAsia" w:hAnsiTheme="minorHAnsi" w:cstheme="minorBidi"/>
          <w:szCs w:val="22"/>
        </w:rPr>
      </w:pPr>
      <w:r>
        <w:t>215.</w:t>
      </w:r>
      <w:r>
        <w:tab/>
        <w:t>Modifications relating to Ministerial Council</w:t>
      </w:r>
      <w:r>
        <w:tab/>
      </w:r>
      <w:r>
        <w:fldChar w:fldCharType="begin"/>
      </w:r>
      <w:r>
        <w:instrText xml:space="preserve"> PAGEREF _Toc398888375 \h </w:instrText>
      </w:r>
      <w:r>
        <w:fldChar w:fldCharType="separate"/>
      </w:r>
      <w:r>
        <w:t>166</w:t>
      </w:r>
      <w:r>
        <w:fldChar w:fldCharType="end"/>
      </w:r>
    </w:p>
    <w:p>
      <w:pPr>
        <w:pStyle w:val="TOC8"/>
        <w:rPr>
          <w:rFonts w:asciiTheme="minorHAnsi" w:eastAsiaTheme="minorEastAsia" w:hAnsiTheme="minorHAnsi" w:cstheme="minorBidi"/>
          <w:szCs w:val="22"/>
        </w:rPr>
      </w:pPr>
      <w:r>
        <w:t>216.</w:t>
      </w:r>
      <w:r>
        <w:tab/>
        <w:t>Miscellaneous modifications</w:t>
      </w:r>
      <w:r>
        <w:tab/>
      </w:r>
      <w:r>
        <w:fldChar w:fldCharType="begin"/>
      </w:r>
      <w:r>
        <w:instrText xml:space="preserve"> PAGEREF _Toc398888376 \h </w:instrText>
      </w:r>
      <w:r>
        <w:fldChar w:fldCharType="separate"/>
      </w:r>
      <w:r>
        <w:t>166</w:t>
      </w:r>
      <w:r>
        <w:fldChar w:fldCharType="end"/>
      </w:r>
    </w:p>
    <w:p>
      <w:pPr>
        <w:pStyle w:val="TOC8"/>
        <w:rPr>
          <w:rFonts w:asciiTheme="minorHAnsi" w:eastAsiaTheme="minorEastAsia" w:hAnsiTheme="minorHAnsi" w:cstheme="minorBidi"/>
          <w:szCs w:val="22"/>
        </w:rPr>
      </w:pPr>
      <w:r>
        <w:t>217.</w:t>
      </w:r>
      <w:r>
        <w:tab/>
        <w:t>Regulations</w:t>
      </w:r>
      <w:r>
        <w:tab/>
      </w:r>
      <w:r>
        <w:fldChar w:fldCharType="begin"/>
      </w:r>
      <w:r>
        <w:instrText xml:space="preserve"> PAGEREF _Toc398888377 \h </w:instrText>
      </w:r>
      <w:r>
        <w:fldChar w:fldCharType="separate"/>
      </w:r>
      <w:r>
        <w:t>169</w:t>
      </w:r>
      <w:r>
        <w:fldChar w:fldCharType="end"/>
      </w:r>
    </w:p>
    <w:p>
      <w:pPr>
        <w:pStyle w:val="TOC6"/>
        <w:tabs>
          <w:tab w:val="right" w:leader="dot" w:pos="7088"/>
        </w:tabs>
        <w:rPr>
          <w:rFonts w:asciiTheme="minorHAnsi" w:eastAsiaTheme="minorEastAsia" w:hAnsiTheme="minorHAnsi" w:cstheme="minorBidi"/>
          <w:b w:val="0"/>
          <w:sz w:val="22"/>
          <w:szCs w:val="22"/>
        </w:rPr>
      </w:pPr>
      <w:r>
        <w:t xml:space="preserve">Division 4 — Application of Commonwealth </w:t>
      </w:r>
      <w:r>
        <w:rPr>
          <w:i/>
        </w:rPr>
        <w:t>Ombudsman Act 1976</w:t>
      </w:r>
    </w:p>
    <w:p>
      <w:pPr>
        <w:pStyle w:val="TOC8"/>
        <w:rPr>
          <w:rFonts w:asciiTheme="minorHAnsi" w:eastAsiaTheme="minorEastAsia" w:hAnsiTheme="minorHAnsi" w:cstheme="minorBidi"/>
          <w:szCs w:val="22"/>
        </w:rPr>
      </w:pPr>
      <w:r>
        <w:t>218.</w:t>
      </w:r>
      <w:r>
        <w:tab/>
        <w:t>Application of Commonwealth Ombudsman Act</w:t>
      </w:r>
      <w:r>
        <w:tab/>
      </w:r>
      <w:r>
        <w:fldChar w:fldCharType="begin"/>
      </w:r>
      <w:r>
        <w:instrText xml:space="preserve"> PAGEREF _Toc398888379 \h </w:instrText>
      </w:r>
      <w:r>
        <w:fldChar w:fldCharType="separate"/>
      </w:r>
      <w:r>
        <w:t>169</w:t>
      </w:r>
      <w:r>
        <w:fldChar w:fldCharType="end"/>
      </w:r>
    </w:p>
    <w:p>
      <w:pPr>
        <w:pStyle w:val="TOC8"/>
        <w:rPr>
          <w:rFonts w:asciiTheme="minorHAnsi" w:eastAsiaTheme="minorEastAsia" w:hAnsiTheme="minorHAnsi" w:cstheme="minorBidi"/>
          <w:szCs w:val="22"/>
        </w:rPr>
      </w:pPr>
      <w:r>
        <w:t>219.</w:t>
      </w:r>
      <w:r>
        <w:tab/>
        <w:t>Modifications relating to Education and Care Services Ombudsman and staff</w:t>
      </w:r>
      <w:r>
        <w:tab/>
      </w:r>
      <w:r>
        <w:fldChar w:fldCharType="begin"/>
      </w:r>
      <w:r>
        <w:instrText xml:space="preserve"> PAGEREF _Toc398888380 \h </w:instrText>
      </w:r>
      <w:r>
        <w:fldChar w:fldCharType="separate"/>
      </w:r>
      <w:r>
        <w:t>169</w:t>
      </w:r>
      <w:r>
        <w:fldChar w:fldCharType="end"/>
      </w:r>
    </w:p>
    <w:p>
      <w:pPr>
        <w:pStyle w:val="TOC8"/>
        <w:rPr>
          <w:rFonts w:asciiTheme="minorHAnsi" w:eastAsiaTheme="minorEastAsia" w:hAnsiTheme="minorHAnsi" w:cstheme="minorBidi"/>
          <w:szCs w:val="22"/>
        </w:rPr>
      </w:pPr>
      <w:r>
        <w:t>220.</w:t>
      </w:r>
      <w:r>
        <w:tab/>
        <w:t>Modifications about financial matters</w:t>
      </w:r>
      <w:r>
        <w:tab/>
      </w:r>
      <w:r>
        <w:fldChar w:fldCharType="begin"/>
      </w:r>
      <w:r>
        <w:instrText xml:space="preserve"> PAGEREF _Toc398888381 \h </w:instrText>
      </w:r>
      <w:r>
        <w:fldChar w:fldCharType="separate"/>
      </w:r>
      <w:r>
        <w:t>170</w:t>
      </w:r>
      <w:r>
        <w:fldChar w:fldCharType="end"/>
      </w:r>
    </w:p>
    <w:p>
      <w:pPr>
        <w:pStyle w:val="TOC8"/>
        <w:rPr>
          <w:rFonts w:asciiTheme="minorHAnsi" w:eastAsiaTheme="minorEastAsia" w:hAnsiTheme="minorHAnsi" w:cstheme="minorBidi"/>
          <w:szCs w:val="22"/>
        </w:rPr>
      </w:pPr>
      <w:r>
        <w:t>221.</w:t>
      </w:r>
      <w:r>
        <w:tab/>
        <w:t>Modifications about annual report</w:t>
      </w:r>
      <w:r>
        <w:tab/>
      </w:r>
      <w:r>
        <w:fldChar w:fldCharType="begin"/>
      </w:r>
      <w:r>
        <w:instrText xml:space="preserve"> PAGEREF _Toc398888382 \h </w:instrText>
      </w:r>
      <w:r>
        <w:fldChar w:fldCharType="separate"/>
      </w:r>
      <w:r>
        <w:t>171</w:t>
      </w:r>
      <w:r>
        <w:fldChar w:fldCharType="end"/>
      </w:r>
    </w:p>
    <w:p>
      <w:pPr>
        <w:pStyle w:val="TOC8"/>
        <w:rPr>
          <w:rFonts w:asciiTheme="minorHAnsi" w:eastAsiaTheme="minorEastAsia" w:hAnsiTheme="minorHAnsi" w:cstheme="minorBidi"/>
          <w:szCs w:val="22"/>
        </w:rPr>
      </w:pPr>
      <w:r>
        <w:t>222.</w:t>
      </w:r>
      <w:r>
        <w:tab/>
        <w:t>Modifications relating to National Authority and Regulatory Authorities</w:t>
      </w:r>
      <w:r>
        <w:tab/>
      </w:r>
      <w:r>
        <w:fldChar w:fldCharType="begin"/>
      </w:r>
      <w:r>
        <w:instrText xml:space="preserve"> PAGEREF _Toc398888383 \h </w:instrText>
      </w:r>
      <w:r>
        <w:fldChar w:fldCharType="separate"/>
      </w:r>
      <w:r>
        <w:t>172</w:t>
      </w:r>
      <w:r>
        <w:fldChar w:fldCharType="end"/>
      </w:r>
    </w:p>
    <w:p>
      <w:pPr>
        <w:pStyle w:val="TOC8"/>
        <w:rPr>
          <w:rFonts w:asciiTheme="minorHAnsi" w:eastAsiaTheme="minorEastAsia" w:hAnsiTheme="minorHAnsi" w:cstheme="minorBidi"/>
          <w:szCs w:val="22"/>
        </w:rPr>
      </w:pPr>
      <w:r>
        <w:t>223.</w:t>
      </w:r>
      <w:r>
        <w:tab/>
        <w:t>Miscellaneous modifications</w:t>
      </w:r>
      <w:r>
        <w:tab/>
      </w:r>
      <w:r>
        <w:fldChar w:fldCharType="begin"/>
      </w:r>
      <w:r>
        <w:instrText xml:space="preserve"> PAGEREF _Toc398888384 \h </w:instrText>
      </w:r>
      <w:r>
        <w:fldChar w:fldCharType="separate"/>
      </w:r>
      <w:r>
        <w:t>172</w:t>
      </w:r>
      <w:r>
        <w:fldChar w:fldCharType="end"/>
      </w:r>
    </w:p>
    <w:p>
      <w:pPr>
        <w:pStyle w:val="TOC8"/>
        <w:rPr>
          <w:rFonts w:asciiTheme="minorHAnsi" w:eastAsiaTheme="minorEastAsia" w:hAnsiTheme="minorHAnsi" w:cstheme="minorBidi"/>
          <w:szCs w:val="22"/>
        </w:rPr>
      </w:pPr>
      <w:r>
        <w:t>224.</w:t>
      </w:r>
      <w:r>
        <w:tab/>
        <w:t>Relevant administrative tribunal</w:t>
      </w:r>
      <w:r>
        <w:tab/>
      </w:r>
      <w:r>
        <w:fldChar w:fldCharType="begin"/>
      </w:r>
      <w:r>
        <w:instrText xml:space="preserve"> PAGEREF _Toc398888385 \h </w:instrText>
      </w:r>
      <w:r>
        <w:fldChar w:fldCharType="separate"/>
      </w:r>
      <w:r>
        <w:t>174</w:t>
      </w:r>
      <w:r>
        <w:fldChar w:fldCharType="end"/>
      </w:r>
    </w:p>
    <w:p>
      <w:pPr>
        <w:pStyle w:val="TOC8"/>
        <w:rPr>
          <w:rFonts w:asciiTheme="minorHAnsi" w:eastAsiaTheme="minorEastAsia" w:hAnsiTheme="minorHAnsi" w:cstheme="minorBidi"/>
          <w:szCs w:val="22"/>
        </w:rPr>
      </w:pPr>
      <w:r>
        <w:t>225.</w:t>
      </w:r>
      <w:r>
        <w:tab/>
        <w:t>Regulations</w:t>
      </w:r>
      <w:r>
        <w:tab/>
      </w:r>
      <w:r>
        <w:fldChar w:fldCharType="begin"/>
      </w:r>
      <w:r>
        <w:instrText xml:space="preserve"> PAGEREF _Toc398888386 \h </w:instrText>
      </w:r>
      <w:r>
        <w:fldChar w:fldCharType="separate"/>
      </w:r>
      <w:r>
        <w:t>174</w:t>
      </w:r>
      <w:r>
        <w:fldChar w:fldCharType="end"/>
      </w:r>
    </w:p>
    <w:p>
      <w:pPr>
        <w:pStyle w:val="TOC6"/>
        <w:tabs>
          <w:tab w:val="right" w:leader="dot" w:pos="7088"/>
        </w:tabs>
        <w:rPr>
          <w:rFonts w:asciiTheme="minorHAnsi" w:eastAsiaTheme="minorEastAsia" w:hAnsiTheme="minorHAnsi" w:cstheme="minorBidi"/>
          <w:b w:val="0"/>
          <w:sz w:val="22"/>
          <w:szCs w:val="22"/>
        </w:rPr>
      </w:pPr>
      <w:r>
        <w:t>Division 5 — Publication of information</w:t>
      </w:r>
    </w:p>
    <w:p>
      <w:pPr>
        <w:pStyle w:val="TOC8"/>
        <w:rPr>
          <w:rFonts w:asciiTheme="minorHAnsi" w:eastAsiaTheme="minorEastAsia" w:hAnsiTheme="minorHAnsi" w:cstheme="minorBidi"/>
          <w:szCs w:val="22"/>
        </w:rPr>
      </w:pPr>
      <w:r>
        <w:t>226.</w:t>
      </w:r>
      <w:r>
        <w:tab/>
        <w:t>Publication of information</w:t>
      </w:r>
      <w:r>
        <w:tab/>
      </w:r>
      <w:r>
        <w:fldChar w:fldCharType="begin"/>
      </w:r>
      <w:r>
        <w:instrText xml:space="preserve"> PAGEREF _Toc398888388 \h </w:instrText>
      </w:r>
      <w:r>
        <w:fldChar w:fldCharType="separate"/>
      </w:r>
      <w:r>
        <w:t>175</w:t>
      </w:r>
      <w:r>
        <w:fldChar w:fldCharType="end"/>
      </w:r>
    </w:p>
    <w:p>
      <w:pPr>
        <w:pStyle w:val="TOC8"/>
        <w:rPr>
          <w:rFonts w:asciiTheme="minorHAnsi" w:eastAsiaTheme="minorEastAsia" w:hAnsiTheme="minorHAnsi" w:cstheme="minorBidi"/>
          <w:szCs w:val="22"/>
        </w:rPr>
      </w:pPr>
      <w:r>
        <w:t>227.</w:t>
      </w:r>
      <w:r>
        <w:tab/>
        <w:t>Compliance and enforcement information</w:t>
      </w:r>
      <w:r>
        <w:tab/>
      </w:r>
      <w:r>
        <w:fldChar w:fldCharType="begin"/>
      </w:r>
      <w:r>
        <w:instrText xml:space="preserve"> PAGEREF _Toc398888389 \h </w:instrText>
      </w:r>
      <w:r>
        <w:fldChar w:fldCharType="separate"/>
      </w:r>
      <w:r>
        <w:t>175</w:t>
      </w:r>
      <w:r>
        <w:fldChar w:fldCharType="end"/>
      </w:r>
    </w:p>
    <w:p>
      <w:pPr>
        <w:pStyle w:val="TOC8"/>
        <w:rPr>
          <w:rFonts w:asciiTheme="minorHAnsi" w:eastAsiaTheme="minorEastAsia" w:hAnsiTheme="minorHAnsi" w:cstheme="minorBidi"/>
          <w:szCs w:val="22"/>
        </w:rPr>
      </w:pPr>
      <w:r>
        <w:t>228.</w:t>
      </w:r>
      <w:r>
        <w:tab/>
        <w:t>Timing of publication where internal or external review of enforcement action is available</w:t>
      </w:r>
      <w:r>
        <w:tab/>
      </w:r>
      <w:r>
        <w:fldChar w:fldCharType="begin"/>
      </w:r>
      <w:r>
        <w:instrText xml:space="preserve"> PAGEREF _Toc398888390 \h </w:instrText>
      </w:r>
      <w:r>
        <w:fldChar w:fldCharType="separate"/>
      </w:r>
      <w:r>
        <w:t>179</w:t>
      </w:r>
      <w:r>
        <w:fldChar w:fldCharType="end"/>
      </w:r>
    </w:p>
    <w:p>
      <w:pPr>
        <w:pStyle w:val="TOC6"/>
        <w:tabs>
          <w:tab w:val="right" w:leader="dot" w:pos="7088"/>
        </w:tabs>
        <w:rPr>
          <w:rFonts w:asciiTheme="minorHAnsi" w:eastAsiaTheme="minorEastAsia" w:hAnsiTheme="minorHAnsi" w:cstheme="minorBidi"/>
          <w:b w:val="0"/>
          <w:sz w:val="22"/>
          <w:szCs w:val="22"/>
        </w:rPr>
      </w:pPr>
      <w:r>
        <w:t>Division 6 — Registers</w:t>
      </w:r>
    </w:p>
    <w:p>
      <w:pPr>
        <w:pStyle w:val="TOC8"/>
        <w:rPr>
          <w:rFonts w:asciiTheme="minorHAnsi" w:eastAsiaTheme="minorEastAsia" w:hAnsiTheme="minorHAnsi" w:cstheme="minorBidi"/>
          <w:szCs w:val="22"/>
        </w:rPr>
      </w:pPr>
      <w:r>
        <w:t>229.</w:t>
      </w:r>
      <w:r>
        <w:tab/>
        <w:t>Register of approved providers</w:t>
      </w:r>
      <w:r>
        <w:tab/>
      </w:r>
      <w:r>
        <w:fldChar w:fldCharType="begin"/>
      </w:r>
      <w:r>
        <w:instrText xml:space="preserve"> PAGEREF _Toc398888392 \h </w:instrText>
      </w:r>
      <w:r>
        <w:fldChar w:fldCharType="separate"/>
      </w:r>
      <w:r>
        <w:t>179</w:t>
      </w:r>
      <w:r>
        <w:fldChar w:fldCharType="end"/>
      </w:r>
    </w:p>
    <w:p>
      <w:pPr>
        <w:pStyle w:val="TOC8"/>
        <w:rPr>
          <w:rFonts w:asciiTheme="minorHAnsi" w:eastAsiaTheme="minorEastAsia" w:hAnsiTheme="minorHAnsi" w:cstheme="minorBidi"/>
          <w:szCs w:val="22"/>
        </w:rPr>
      </w:pPr>
      <w:r>
        <w:t>230.</w:t>
      </w:r>
      <w:r>
        <w:tab/>
        <w:t>Register of approved education and care services</w:t>
      </w:r>
      <w:r>
        <w:tab/>
      </w:r>
      <w:r>
        <w:fldChar w:fldCharType="begin"/>
      </w:r>
      <w:r>
        <w:instrText xml:space="preserve"> PAGEREF _Toc398888393 \h </w:instrText>
      </w:r>
      <w:r>
        <w:fldChar w:fldCharType="separate"/>
      </w:r>
      <w:r>
        <w:t>180</w:t>
      </w:r>
      <w:r>
        <w:fldChar w:fldCharType="end"/>
      </w:r>
    </w:p>
    <w:p>
      <w:pPr>
        <w:pStyle w:val="TOC8"/>
        <w:rPr>
          <w:rFonts w:asciiTheme="minorHAnsi" w:eastAsiaTheme="minorEastAsia" w:hAnsiTheme="minorHAnsi" w:cstheme="minorBidi"/>
          <w:szCs w:val="22"/>
        </w:rPr>
      </w:pPr>
      <w:r>
        <w:t>231.</w:t>
      </w:r>
      <w:r>
        <w:tab/>
        <w:t>Register of certified supervisors</w:t>
      </w:r>
      <w:r>
        <w:tab/>
      </w:r>
      <w:r>
        <w:fldChar w:fldCharType="begin"/>
      </w:r>
      <w:r>
        <w:instrText xml:space="preserve"> PAGEREF _Toc398888394 \h </w:instrText>
      </w:r>
      <w:r>
        <w:fldChar w:fldCharType="separate"/>
      </w:r>
      <w:r>
        <w:t>180</w:t>
      </w:r>
      <w:r>
        <w:fldChar w:fldCharType="end"/>
      </w:r>
    </w:p>
    <w:p>
      <w:pPr>
        <w:pStyle w:val="TOC4"/>
        <w:tabs>
          <w:tab w:val="right" w:leader="dot" w:pos="7088"/>
        </w:tabs>
        <w:rPr>
          <w:rFonts w:asciiTheme="minorHAnsi" w:eastAsiaTheme="minorEastAsia" w:hAnsiTheme="minorHAnsi" w:cstheme="minorBidi"/>
          <w:b w:val="0"/>
          <w:szCs w:val="22"/>
        </w:rPr>
      </w:pPr>
      <w:r>
        <w:t>Part 6.3 — Fees</w:t>
      </w:r>
    </w:p>
    <w:p>
      <w:pPr>
        <w:pStyle w:val="TOC8"/>
        <w:rPr>
          <w:rFonts w:asciiTheme="minorHAnsi" w:eastAsiaTheme="minorEastAsia" w:hAnsiTheme="minorHAnsi" w:cstheme="minorBidi"/>
          <w:szCs w:val="22"/>
        </w:rPr>
      </w:pPr>
      <w:r>
        <w:t>232.</w:t>
      </w:r>
      <w:r>
        <w:tab/>
        <w:t>Prescribed fees</w:t>
      </w:r>
      <w:r>
        <w:tab/>
      </w:r>
      <w:r>
        <w:fldChar w:fldCharType="begin"/>
      </w:r>
      <w:r>
        <w:instrText xml:space="preserve"> PAGEREF _Toc398888396 \h </w:instrText>
      </w:r>
      <w:r>
        <w:fldChar w:fldCharType="separate"/>
      </w:r>
      <w:r>
        <w:t>181</w:t>
      </w:r>
      <w:r>
        <w:fldChar w:fldCharType="end"/>
      </w:r>
    </w:p>
    <w:p>
      <w:pPr>
        <w:pStyle w:val="TOC8"/>
        <w:rPr>
          <w:rFonts w:asciiTheme="minorHAnsi" w:eastAsiaTheme="minorEastAsia" w:hAnsiTheme="minorHAnsi" w:cstheme="minorBidi"/>
          <w:szCs w:val="22"/>
        </w:rPr>
      </w:pPr>
      <w:r>
        <w:t>233.</w:t>
      </w:r>
      <w:r>
        <w:tab/>
        <w:t>Late payment fees (annual fees)</w:t>
      </w:r>
      <w:r>
        <w:tab/>
      </w:r>
      <w:r>
        <w:fldChar w:fldCharType="begin"/>
      </w:r>
      <w:r>
        <w:instrText xml:space="preserve"> PAGEREF _Toc398888397 \h </w:instrText>
      </w:r>
      <w:r>
        <w:fldChar w:fldCharType="separate"/>
      </w:r>
      <w:r>
        <w:t>181</w:t>
      </w:r>
      <w:r>
        <w:fldChar w:fldCharType="end"/>
      </w:r>
    </w:p>
    <w:p>
      <w:pPr>
        <w:pStyle w:val="TOC8"/>
        <w:rPr>
          <w:rFonts w:asciiTheme="minorHAnsi" w:eastAsiaTheme="minorEastAsia" w:hAnsiTheme="minorHAnsi" w:cstheme="minorBidi"/>
          <w:szCs w:val="22"/>
        </w:rPr>
      </w:pPr>
      <w:r>
        <w:t>234.</w:t>
      </w:r>
      <w:r>
        <w:tab/>
        <w:t>Waiver, reduction, deferral and refund of fees</w:t>
      </w:r>
      <w:r>
        <w:tab/>
      </w:r>
      <w:r>
        <w:fldChar w:fldCharType="begin"/>
      </w:r>
      <w:r>
        <w:instrText xml:space="preserve"> PAGEREF _Toc398888398 \h </w:instrText>
      </w:r>
      <w:r>
        <w:fldChar w:fldCharType="separate"/>
      </w:r>
      <w:r>
        <w:t>181</w:t>
      </w:r>
      <w:r>
        <w:fldChar w:fldCharType="end"/>
      </w:r>
    </w:p>
    <w:p>
      <w:pPr>
        <w:pStyle w:val="TOC8"/>
        <w:rPr>
          <w:rFonts w:asciiTheme="minorHAnsi" w:eastAsiaTheme="minorEastAsia" w:hAnsiTheme="minorHAnsi" w:cstheme="minorBidi"/>
          <w:szCs w:val="22"/>
        </w:rPr>
      </w:pPr>
      <w:r>
        <w:t>235.</w:t>
      </w:r>
      <w:r>
        <w:tab/>
        <w:t>Indexation of fees</w:t>
      </w:r>
      <w:r>
        <w:tab/>
      </w:r>
      <w:r>
        <w:fldChar w:fldCharType="begin"/>
      </w:r>
      <w:r>
        <w:instrText xml:space="preserve"> PAGEREF _Toc398888399 \h </w:instrText>
      </w:r>
      <w:r>
        <w:fldChar w:fldCharType="separate"/>
      </w:r>
      <w:r>
        <w:t>181</w:t>
      </w:r>
      <w:r>
        <w:fldChar w:fldCharType="end"/>
      </w:r>
    </w:p>
    <w:p>
      <w:pPr>
        <w:pStyle w:val="TOC8"/>
        <w:rPr>
          <w:rFonts w:asciiTheme="minorHAnsi" w:eastAsiaTheme="minorEastAsia" w:hAnsiTheme="minorHAnsi" w:cstheme="minorBidi"/>
          <w:szCs w:val="22"/>
        </w:rPr>
      </w:pPr>
      <w:r>
        <w:t>236.</w:t>
      </w:r>
      <w:r>
        <w:tab/>
        <w:t>Publication of indexed fees</w:t>
      </w:r>
      <w:r>
        <w:tab/>
      </w:r>
      <w:r>
        <w:fldChar w:fldCharType="begin"/>
      </w:r>
      <w:r>
        <w:instrText xml:space="preserve"> PAGEREF _Toc398888400 \h </w:instrText>
      </w:r>
      <w:r>
        <w:fldChar w:fldCharType="separate"/>
      </w:r>
      <w:r>
        <w:t>183</w:t>
      </w:r>
      <w:r>
        <w:fldChar w:fldCharType="end"/>
      </w:r>
    </w:p>
    <w:p>
      <w:pPr>
        <w:pStyle w:val="TOC4"/>
        <w:tabs>
          <w:tab w:val="right" w:leader="dot" w:pos="7088"/>
        </w:tabs>
        <w:rPr>
          <w:rFonts w:asciiTheme="minorHAnsi" w:eastAsiaTheme="minorEastAsia" w:hAnsiTheme="minorHAnsi" w:cstheme="minorBidi"/>
          <w:b w:val="0"/>
          <w:szCs w:val="22"/>
        </w:rPr>
      </w:pPr>
      <w:r>
        <w:t>Part 6.4 — Delegations</w:t>
      </w:r>
    </w:p>
    <w:p>
      <w:pPr>
        <w:pStyle w:val="TOC8"/>
        <w:rPr>
          <w:rFonts w:asciiTheme="minorHAnsi" w:eastAsiaTheme="minorEastAsia" w:hAnsiTheme="minorHAnsi" w:cstheme="minorBidi"/>
          <w:szCs w:val="22"/>
        </w:rPr>
      </w:pPr>
      <w:r>
        <w:t>237.</w:t>
      </w:r>
      <w:r>
        <w:tab/>
        <w:t>Delegation</w:t>
      </w:r>
      <w:r>
        <w:tab/>
      </w:r>
      <w:r>
        <w:fldChar w:fldCharType="begin"/>
      </w:r>
      <w:r>
        <w:instrText xml:space="preserve"> PAGEREF _Toc398888402 \h </w:instrText>
      </w:r>
      <w:r>
        <w:fldChar w:fldCharType="separate"/>
      </w:r>
      <w:r>
        <w:t>183</w:t>
      </w:r>
      <w:r>
        <w:fldChar w:fldCharType="end"/>
      </w:r>
    </w:p>
    <w:p>
      <w:pPr>
        <w:pStyle w:val="TOC2"/>
        <w:tabs>
          <w:tab w:val="right" w:leader="dot" w:pos="7088"/>
        </w:tabs>
        <w:rPr>
          <w:rFonts w:asciiTheme="minorHAnsi" w:eastAsiaTheme="minorEastAsia" w:hAnsiTheme="minorHAnsi" w:cstheme="minorBidi"/>
          <w:b w:val="0"/>
          <w:sz w:val="22"/>
          <w:szCs w:val="22"/>
        </w:rPr>
      </w:pPr>
      <w:r>
        <w:t>Chapter 7 — Jurisdiction</w:t>
      </w:r>
      <w:r>
        <w:noBreakHyphen/>
        <w:t>specific and transitional and saving provisions</w:t>
      </w:r>
    </w:p>
    <w:p>
      <w:pPr>
        <w:pStyle w:val="TOC4"/>
        <w:tabs>
          <w:tab w:val="right" w:leader="dot" w:pos="7088"/>
        </w:tabs>
        <w:rPr>
          <w:rFonts w:asciiTheme="minorHAnsi" w:eastAsiaTheme="minorEastAsia" w:hAnsiTheme="minorHAnsi" w:cstheme="minorBidi"/>
          <w:b w:val="0"/>
          <w:szCs w:val="22"/>
        </w:rPr>
      </w:pPr>
      <w:r>
        <w:t>Part 7.1 — General transitional and saving provisions</w:t>
      </w:r>
    </w:p>
    <w:p>
      <w:pPr>
        <w:pStyle w:val="TOC6"/>
        <w:tabs>
          <w:tab w:val="right" w:leader="dot" w:pos="7088"/>
        </w:tabs>
        <w:rPr>
          <w:rFonts w:asciiTheme="minorHAnsi" w:eastAsiaTheme="minorEastAsia" w:hAnsiTheme="minorHAnsi" w:cstheme="minorBidi"/>
          <w:b w:val="0"/>
          <w:sz w:val="22"/>
          <w:szCs w:val="22"/>
        </w:rPr>
      </w:pPr>
      <w:r>
        <w:t>Division 1 — Quality improvement plans</w:t>
      </w:r>
    </w:p>
    <w:p>
      <w:pPr>
        <w:pStyle w:val="TOC8"/>
        <w:rPr>
          <w:rFonts w:asciiTheme="minorHAnsi" w:eastAsiaTheme="minorEastAsia" w:hAnsiTheme="minorHAnsi" w:cstheme="minorBidi"/>
          <w:szCs w:val="22"/>
        </w:rPr>
      </w:pPr>
      <w:r>
        <w:t>238.</w:t>
      </w:r>
      <w:r>
        <w:tab/>
        <w:t>Quality improvement plans</w:t>
      </w:r>
      <w:r>
        <w:tab/>
      </w:r>
      <w:r>
        <w:fldChar w:fldCharType="begin"/>
      </w:r>
      <w:r>
        <w:instrText xml:space="preserve"> PAGEREF _Toc398888406 \h </w:instrText>
      </w:r>
      <w:r>
        <w:fldChar w:fldCharType="separate"/>
      </w:r>
      <w:r>
        <w:t>185</w:t>
      </w:r>
      <w:r>
        <w:fldChar w:fldCharType="end"/>
      </w:r>
    </w:p>
    <w:p>
      <w:pPr>
        <w:pStyle w:val="TOC6"/>
        <w:tabs>
          <w:tab w:val="right" w:leader="dot" w:pos="7088"/>
        </w:tabs>
        <w:rPr>
          <w:rFonts w:asciiTheme="minorHAnsi" w:eastAsiaTheme="minorEastAsia" w:hAnsiTheme="minorHAnsi" w:cstheme="minorBidi"/>
          <w:b w:val="0"/>
          <w:sz w:val="22"/>
          <w:szCs w:val="22"/>
        </w:rPr>
      </w:pPr>
      <w:r>
        <w:t>Division 2 — Staffing arrangements</w:t>
      </w:r>
    </w:p>
    <w:p>
      <w:pPr>
        <w:pStyle w:val="TOC8"/>
        <w:rPr>
          <w:rFonts w:asciiTheme="minorHAnsi" w:eastAsiaTheme="minorEastAsia" w:hAnsiTheme="minorHAnsi" w:cstheme="minorBidi"/>
          <w:szCs w:val="22"/>
        </w:rPr>
      </w:pPr>
      <w:r>
        <w:t>239.</w:t>
      </w:r>
      <w:r>
        <w:tab/>
        <w:t>Centre</w:t>
      </w:r>
      <w:r>
        <w:noBreakHyphen/>
        <w:t>based service offering a preschool program in a composite class in a school</w:t>
      </w:r>
      <w:r>
        <w:tab/>
      </w:r>
      <w:r>
        <w:fldChar w:fldCharType="begin"/>
      </w:r>
      <w:r>
        <w:instrText xml:space="preserve"> PAGEREF _Toc398888408 \h </w:instrText>
      </w:r>
      <w:r>
        <w:fldChar w:fldCharType="separate"/>
      </w:r>
      <w:r>
        <w:t>186</w:t>
      </w:r>
      <w:r>
        <w:fldChar w:fldCharType="end"/>
      </w:r>
    </w:p>
    <w:p>
      <w:pPr>
        <w:pStyle w:val="TOC8"/>
        <w:rPr>
          <w:rFonts w:asciiTheme="minorHAnsi" w:eastAsiaTheme="minorEastAsia" w:hAnsiTheme="minorHAnsi" w:cstheme="minorBidi"/>
          <w:szCs w:val="22"/>
        </w:rPr>
      </w:pPr>
      <w:r>
        <w:t>240.</w:t>
      </w:r>
      <w:r>
        <w:tab/>
        <w:t>Qualifications for educators — centre</w:t>
      </w:r>
      <w:r>
        <w:noBreakHyphen/>
        <w:t>based service</w:t>
      </w:r>
      <w:r>
        <w:tab/>
      </w:r>
      <w:r>
        <w:fldChar w:fldCharType="begin"/>
      </w:r>
      <w:r>
        <w:instrText xml:space="preserve"> PAGEREF _Toc398888409 \h </w:instrText>
      </w:r>
      <w:r>
        <w:fldChar w:fldCharType="separate"/>
      </w:r>
      <w:r>
        <w:t>186</w:t>
      </w:r>
      <w:r>
        <w:fldChar w:fldCharType="end"/>
      </w:r>
    </w:p>
    <w:p>
      <w:pPr>
        <w:pStyle w:val="TOC8"/>
        <w:rPr>
          <w:rFonts w:asciiTheme="minorHAnsi" w:eastAsiaTheme="minorEastAsia" w:hAnsiTheme="minorHAnsi" w:cstheme="minorBidi"/>
          <w:szCs w:val="22"/>
        </w:rPr>
      </w:pPr>
      <w:r>
        <w:t>241.</w:t>
      </w:r>
      <w:r>
        <w:tab/>
        <w:t>Persons taken to hold an approved early childhood teaching qualification</w:t>
      </w:r>
      <w:r>
        <w:tab/>
      </w:r>
      <w:r>
        <w:fldChar w:fldCharType="begin"/>
      </w:r>
      <w:r>
        <w:instrText xml:space="preserve"> PAGEREF _Toc398888410 \h </w:instrText>
      </w:r>
      <w:r>
        <w:fldChar w:fldCharType="separate"/>
      </w:r>
      <w:r>
        <w:t>187</w:t>
      </w:r>
      <w:r>
        <w:fldChar w:fldCharType="end"/>
      </w:r>
    </w:p>
    <w:p>
      <w:pPr>
        <w:pStyle w:val="TOC8"/>
        <w:rPr>
          <w:rFonts w:asciiTheme="minorHAnsi" w:eastAsiaTheme="minorEastAsia" w:hAnsiTheme="minorHAnsi" w:cstheme="minorBidi"/>
          <w:szCs w:val="22"/>
        </w:rPr>
      </w:pPr>
      <w:r>
        <w:t>242.</w:t>
      </w:r>
      <w:r>
        <w:tab/>
        <w:t>Persons taken to be early childhood teachers</w:t>
      </w:r>
      <w:r>
        <w:tab/>
      </w:r>
      <w:r>
        <w:fldChar w:fldCharType="begin"/>
      </w:r>
      <w:r>
        <w:instrText xml:space="preserve"> PAGEREF _Toc398888411 \h </w:instrText>
      </w:r>
      <w:r>
        <w:fldChar w:fldCharType="separate"/>
      </w:r>
      <w:r>
        <w:t>189</w:t>
      </w:r>
      <w:r>
        <w:fldChar w:fldCharType="end"/>
      </w:r>
    </w:p>
    <w:p>
      <w:pPr>
        <w:pStyle w:val="TOC8"/>
        <w:rPr>
          <w:rFonts w:asciiTheme="minorHAnsi" w:eastAsiaTheme="minorEastAsia" w:hAnsiTheme="minorHAnsi" w:cstheme="minorBidi"/>
          <w:szCs w:val="22"/>
        </w:rPr>
      </w:pPr>
      <w:r>
        <w:t>243.</w:t>
      </w:r>
      <w:r>
        <w:tab/>
        <w:t>Persons taken to hold an approved diploma level education and care qualification</w:t>
      </w:r>
      <w:r>
        <w:tab/>
      </w:r>
      <w:r>
        <w:fldChar w:fldCharType="begin"/>
      </w:r>
      <w:r>
        <w:instrText xml:space="preserve"> PAGEREF _Toc398888412 \h </w:instrText>
      </w:r>
      <w:r>
        <w:fldChar w:fldCharType="separate"/>
      </w:r>
      <w:r>
        <w:t>190</w:t>
      </w:r>
      <w:r>
        <w:fldChar w:fldCharType="end"/>
      </w:r>
    </w:p>
    <w:p>
      <w:pPr>
        <w:pStyle w:val="TOC8"/>
        <w:rPr>
          <w:rFonts w:asciiTheme="minorHAnsi" w:eastAsiaTheme="minorEastAsia" w:hAnsiTheme="minorHAnsi" w:cstheme="minorBidi"/>
          <w:szCs w:val="22"/>
        </w:rPr>
      </w:pPr>
      <w:r>
        <w:t>243A.</w:t>
      </w:r>
      <w:r>
        <w:tab/>
        <w:t>Persons taken to hold an approved diploma level education and care qualification for regulation 128 in Queensland</w:t>
      </w:r>
      <w:r>
        <w:tab/>
      </w:r>
      <w:r>
        <w:fldChar w:fldCharType="begin"/>
      </w:r>
      <w:r>
        <w:instrText xml:space="preserve"> PAGEREF _Toc398888413 \h </w:instrText>
      </w:r>
      <w:r>
        <w:fldChar w:fldCharType="separate"/>
      </w:r>
      <w:r>
        <w:t>191</w:t>
      </w:r>
      <w:r>
        <w:fldChar w:fldCharType="end"/>
      </w:r>
    </w:p>
    <w:p>
      <w:pPr>
        <w:pStyle w:val="TOC8"/>
        <w:rPr>
          <w:rFonts w:asciiTheme="minorHAnsi" w:eastAsiaTheme="minorEastAsia" w:hAnsiTheme="minorHAnsi" w:cstheme="minorBidi"/>
          <w:szCs w:val="22"/>
        </w:rPr>
      </w:pPr>
      <w:r>
        <w:t>244.</w:t>
      </w:r>
      <w:r>
        <w:tab/>
        <w:t>Persons taken to hold an approved certificate III level education and care qualification</w:t>
      </w:r>
      <w:r>
        <w:tab/>
      </w:r>
      <w:r>
        <w:fldChar w:fldCharType="begin"/>
      </w:r>
      <w:r>
        <w:instrText xml:space="preserve"> PAGEREF _Toc398888414 \h </w:instrText>
      </w:r>
      <w:r>
        <w:fldChar w:fldCharType="separate"/>
      </w:r>
      <w:r>
        <w:t>191</w:t>
      </w:r>
      <w:r>
        <w:fldChar w:fldCharType="end"/>
      </w:r>
    </w:p>
    <w:p>
      <w:pPr>
        <w:pStyle w:val="TOC8"/>
        <w:rPr>
          <w:rFonts w:asciiTheme="minorHAnsi" w:eastAsiaTheme="minorEastAsia" w:hAnsiTheme="minorHAnsi" w:cstheme="minorBidi"/>
          <w:szCs w:val="22"/>
        </w:rPr>
      </w:pPr>
      <w:r>
        <w:t>245.</w:t>
      </w:r>
      <w:r>
        <w:tab/>
        <w:t>Person taken to hold approved first aid qualification</w:t>
      </w:r>
      <w:r>
        <w:tab/>
      </w:r>
      <w:r>
        <w:fldChar w:fldCharType="begin"/>
      </w:r>
      <w:r>
        <w:instrText xml:space="preserve"> PAGEREF _Toc398888415 \h </w:instrText>
      </w:r>
      <w:r>
        <w:fldChar w:fldCharType="separate"/>
      </w:r>
      <w:r>
        <w:t>191</w:t>
      </w:r>
      <w:r>
        <w:fldChar w:fldCharType="end"/>
      </w:r>
    </w:p>
    <w:p>
      <w:pPr>
        <w:pStyle w:val="TOC8"/>
        <w:rPr>
          <w:rFonts w:asciiTheme="minorHAnsi" w:eastAsiaTheme="minorEastAsia" w:hAnsiTheme="minorHAnsi" w:cstheme="minorBidi"/>
          <w:szCs w:val="22"/>
        </w:rPr>
      </w:pPr>
      <w:r>
        <w:t>246.</w:t>
      </w:r>
      <w:r>
        <w:tab/>
        <w:t>Anaphylaxis training</w:t>
      </w:r>
      <w:r>
        <w:tab/>
      </w:r>
      <w:r>
        <w:fldChar w:fldCharType="begin"/>
      </w:r>
      <w:r>
        <w:instrText xml:space="preserve"> PAGEREF _Toc398888416 \h </w:instrText>
      </w:r>
      <w:r>
        <w:fldChar w:fldCharType="separate"/>
      </w:r>
      <w:r>
        <w:t>192</w:t>
      </w:r>
      <w:r>
        <w:fldChar w:fldCharType="end"/>
      </w:r>
    </w:p>
    <w:p>
      <w:pPr>
        <w:pStyle w:val="TOC8"/>
        <w:rPr>
          <w:rFonts w:asciiTheme="minorHAnsi" w:eastAsiaTheme="minorEastAsia" w:hAnsiTheme="minorHAnsi" w:cstheme="minorBidi"/>
          <w:szCs w:val="22"/>
        </w:rPr>
      </w:pPr>
      <w:r>
        <w:t>247.</w:t>
      </w:r>
      <w:r>
        <w:tab/>
        <w:t>Asthma management training</w:t>
      </w:r>
      <w:r>
        <w:tab/>
      </w:r>
      <w:r>
        <w:fldChar w:fldCharType="begin"/>
      </w:r>
      <w:r>
        <w:instrText xml:space="preserve"> PAGEREF _Toc398888417 \h </w:instrText>
      </w:r>
      <w:r>
        <w:fldChar w:fldCharType="separate"/>
      </w:r>
      <w:r>
        <w:t>193</w:t>
      </w:r>
      <w:r>
        <w:fldChar w:fldCharType="end"/>
      </w:r>
    </w:p>
    <w:p>
      <w:pPr>
        <w:pStyle w:val="TOC6"/>
        <w:tabs>
          <w:tab w:val="right" w:leader="dot" w:pos="7088"/>
        </w:tabs>
        <w:rPr>
          <w:rFonts w:asciiTheme="minorHAnsi" w:eastAsiaTheme="minorEastAsia" w:hAnsiTheme="minorHAnsi" w:cstheme="minorBidi"/>
          <w:b w:val="0"/>
          <w:sz w:val="22"/>
          <w:szCs w:val="22"/>
        </w:rPr>
      </w:pPr>
      <w:r>
        <w:t>Division 3 — Physical environment</w:t>
      </w:r>
    </w:p>
    <w:p>
      <w:pPr>
        <w:pStyle w:val="TOC8"/>
        <w:rPr>
          <w:rFonts w:asciiTheme="minorHAnsi" w:eastAsiaTheme="minorEastAsia" w:hAnsiTheme="minorHAnsi" w:cstheme="minorBidi"/>
          <w:szCs w:val="22"/>
        </w:rPr>
      </w:pPr>
      <w:r>
        <w:t>248.</w:t>
      </w:r>
      <w:r>
        <w:tab/>
        <w:t>Centre</w:t>
      </w:r>
      <w:r>
        <w:noBreakHyphen/>
        <w:t>based service offering a preschool program in a composite class in a school</w:t>
      </w:r>
      <w:r>
        <w:tab/>
      </w:r>
      <w:r>
        <w:fldChar w:fldCharType="begin"/>
      </w:r>
      <w:r>
        <w:instrText xml:space="preserve"> PAGEREF _Toc398888419 \h </w:instrText>
      </w:r>
      <w:r>
        <w:fldChar w:fldCharType="separate"/>
      </w:r>
      <w:r>
        <w:t>193</w:t>
      </w:r>
      <w:r>
        <w:fldChar w:fldCharType="end"/>
      </w:r>
    </w:p>
    <w:p>
      <w:pPr>
        <w:pStyle w:val="TOC8"/>
        <w:rPr>
          <w:rFonts w:asciiTheme="minorHAnsi" w:eastAsiaTheme="minorEastAsia" w:hAnsiTheme="minorHAnsi" w:cstheme="minorBidi"/>
          <w:szCs w:val="22"/>
        </w:rPr>
      </w:pPr>
      <w:r>
        <w:t>249.</w:t>
      </w:r>
      <w:r>
        <w:tab/>
        <w:t>Declared approved services (other than declared approved family day care services)</w:t>
      </w:r>
      <w:r>
        <w:tab/>
      </w:r>
      <w:r>
        <w:fldChar w:fldCharType="begin"/>
      </w:r>
      <w:r>
        <w:instrText xml:space="preserve"> PAGEREF _Toc398888420 \h </w:instrText>
      </w:r>
      <w:r>
        <w:fldChar w:fldCharType="separate"/>
      </w:r>
      <w:r>
        <w:t>193</w:t>
      </w:r>
      <w:r>
        <w:fldChar w:fldCharType="end"/>
      </w:r>
    </w:p>
    <w:p>
      <w:pPr>
        <w:pStyle w:val="TOC8"/>
        <w:rPr>
          <w:rFonts w:asciiTheme="minorHAnsi" w:eastAsiaTheme="minorEastAsia" w:hAnsiTheme="minorHAnsi" w:cstheme="minorBidi"/>
          <w:szCs w:val="22"/>
        </w:rPr>
      </w:pPr>
      <w:r>
        <w:t>250.</w:t>
      </w:r>
      <w:r>
        <w:tab/>
        <w:t>Declared approved family day care services</w:t>
      </w:r>
      <w:r>
        <w:tab/>
      </w:r>
      <w:r>
        <w:fldChar w:fldCharType="begin"/>
      </w:r>
      <w:r>
        <w:instrText xml:space="preserve"> PAGEREF _Toc398888421 \h </w:instrText>
      </w:r>
      <w:r>
        <w:fldChar w:fldCharType="separate"/>
      </w:r>
      <w:r>
        <w:t>195</w:t>
      </w:r>
      <w:r>
        <w:fldChar w:fldCharType="end"/>
      </w:r>
    </w:p>
    <w:p>
      <w:pPr>
        <w:pStyle w:val="TOC8"/>
        <w:rPr>
          <w:rFonts w:asciiTheme="minorHAnsi" w:eastAsiaTheme="minorEastAsia" w:hAnsiTheme="minorHAnsi" w:cstheme="minorBidi"/>
          <w:szCs w:val="22"/>
        </w:rPr>
      </w:pPr>
      <w:r>
        <w:t>251.</w:t>
      </w:r>
      <w:r>
        <w:tab/>
        <w:t>Declared out of scope services</w:t>
      </w:r>
      <w:r>
        <w:tab/>
      </w:r>
      <w:r>
        <w:fldChar w:fldCharType="begin"/>
      </w:r>
      <w:r>
        <w:instrText xml:space="preserve"> PAGEREF _Toc398888422 \h </w:instrText>
      </w:r>
      <w:r>
        <w:fldChar w:fldCharType="separate"/>
      </w:r>
      <w:r>
        <w:t>195</w:t>
      </w:r>
      <w:r>
        <w:fldChar w:fldCharType="end"/>
      </w:r>
    </w:p>
    <w:p>
      <w:pPr>
        <w:pStyle w:val="TOC6"/>
        <w:tabs>
          <w:tab w:val="right" w:leader="dot" w:pos="7088"/>
        </w:tabs>
        <w:rPr>
          <w:rFonts w:asciiTheme="minorHAnsi" w:eastAsiaTheme="minorEastAsia" w:hAnsiTheme="minorHAnsi" w:cstheme="minorBidi"/>
          <w:b w:val="0"/>
          <w:sz w:val="22"/>
          <w:szCs w:val="22"/>
        </w:rPr>
      </w:pPr>
      <w:r>
        <w:t>Division 4 — Information retention and sharing</w:t>
      </w:r>
    </w:p>
    <w:p>
      <w:pPr>
        <w:pStyle w:val="TOC8"/>
        <w:rPr>
          <w:rFonts w:asciiTheme="minorHAnsi" w:eastAsiaTheme="minorEastAsia" w:hAnsiTheme="minorHAnsi" w:cstheme="minorBidi"/>
          <w:szCs w:val="22"/>
        </w:rPr>
      </w:pPr>
      <w:r>
        <w:t>252.</w:t>
      </w:r>
      <w:r>
        <w:tab/>
        <w:t>Information held by Regulatory Authority or regulatory body</w:t>
      </w:r>
      <w:r>
        <w:tab/>
      </w:r>
      <w:r>
        <w:fldChar w:fldCharType="begin"/>
      </w:r>
      <w:r>
        <w:instrText xml:space="preserve"> PAGEREF _Toc398888424 \h </w:instrText>
      </w:r>
      <w:r>
        <w:fldChar w:fldCharType="separate"/>
      </w:r>
      <w:r>
        <w:t>196</w:t>
      </w:r>
      <w:r>
        <w:fldChar w:fldCharType="end"/>
      </w:r>
    </w:p>
    <w:p>
      <w:pPr>
        <w:pStyle w:val="TOC8"/>
        <w:rPr>
          <w:rFonts w:asciiTheme="minorHAnsi" w:eastAsiaTheme="minorEastAsia" w:hAnsiTheme="minorHAnsi" w:cstheme="minorBidi"/>
          <w:szCs w:val="22"/>
        </w:rPr>
      </w:pPr>
      <w:r>
        <w:t>253.</w:t>
      </w:r>
      <w:r>
        <w:tab/>
        <w:t>Information kept by approved provider</w:t>
      </w:r>
      <w:r>
        <w:tab/>
      </w:r>
      <w:r>
        <w:fldChar w:fldCharType="begin"/>
      </w:r>
      <w:r>
        <w:instrText xml:space="preserve"> PAGEREF _Toc398888425 \h </w:instrText>
      </w:r>
      <w:r>
        <w:fldChar w:fldCharType="separate"/>
      </w:r>
      <w:r>
        <w:t>197</w:t>
      </w:r>
      <w:r>
        <w:fldChar w:fldCharType="end"/>
      </w:r>
    </w:p>
    <w:p>
      <w:pPr>
        <w:pStyle w:val="TOC6"/>
        <w:tabs>
          <w:tab w:val="right" w:leader="dot" w:pos="7088"/>
        </w:tabs>
        <w:rPr>
          <w:rFonts w:asciiTheme="minorHAnsi" w:eastAsiaTheme="minorEastAsia" w:hAnsiTheme="minorHAnsi" w:cstheme="minorBidi"/>
          <w:b w:val="0"/>
          <w:sz w:val="22"/>
          <w:szCs w:val="22"/>
        </w:rPr>
      </w:pPr>
      <w:r>
        <w:t>Division 5 — Declared approved learning frameworks</w:t>
      </w:r>
    </w:p>
    <w:p>
      <w:pPr>
        <w:pStyle w:val="TOC8"/>
        <w:rPr>
          <w:rFonts w:asciiTheme="minorHAnsi" w:eastAsiaTheme="minorEastAsia" w:hAnsiTheme="minorHAnsi" w:cstheme="minorBidi"/>
          <w:szCs w:val="22"/>
        </w:rPr>
      </w:pPr>
      <w:r>
        <w:t>254.</w:t>
      </w:r>
      <w:r>
        <w:tab/>
        <w:t>Declared approved learning frameworks</w:t>
      </w:r>
      <w:r>
        <w:tab/>
      </w:r>
      <w:r>
        <w:fldChar w:fldCharType="begin"/>
      </w:r>
      <w:r>
        <w:instrText xml:space="preserve"> PAGEREF _Toc398888427 \h </w:instrText>
      </w:r>
      <w:r>
        <w:fldChar w:fldCharType="separate"/>
      </w:r>
      <w:r>
        <w:t>197</w:t>
      </w:r>
      <w:r>
        <w:fldChar w:fldCharType="end"/>
      </w:r>
    </w:p>
    <w:p>
      <w:pPr>
        <w:pStyle w:val="TOC6"/>
        <w:tabs>
          <w:tab w:val="right" w:leader="dot" w:pos="7088"/>
        </w:tabs>
        <w:rPr>
          <w:rFonts w:asciiTheme="minorHAnsi" w:eastAsiaTheme="minorEastAsia" w:hAnsiTheme="minorHAnsi" w:cstheme="minorBidi"/>
          <w:b w:val="0"/>
          <w:sz w:val="22"/>
          <w:szCs w:val="22"/>
        </w:rPr>
      </w:pPr>
      <w:r>
        <w:t>Division 6 — Fees</w:t>
      </w:r>
    </w:p>
    <w:p>
      <w:pPr>
        <w:pStyle w:val="TOC8"/>
        <w:rPr>
          <w:rFonts w:asciiTheme="minorHAnsi" w:eastAsiaTheme="minorEastAsia" w:hAnsiTheme="minorHAnsi" w:cstheme="minorBidi"/>
          <w:szCs w:val="22"/>
        </w:rPr>
      </w:pPr>
      <w:r>
        <w:t>255.</w:t>
      </w:r>
      <w:r>
        <w:tab/>
        <w:t>Fees for application for provider approval for declared out of scope service</w:t>
      </w:r>
      <w:r>
        <w:tab/>
      </w:r>
      <w:r>
        <w:fldChar w:fldCharType="begin"/>
      </w:r>
      <w:r>
        <w:instrText xml:space="preserve"> PAGEREF _Toc398888429 \h </w:instrText>
      </w:r>
      <w:r>
        <w:fldChar w:fldCharType="separate"/>
      </w:r>
      <w:r>
        <w:t>198</w:t>
      </w:r>
      <w:r>
        <w:fldChar w:fldCharType="end"/>
      </w:r>
    </w:p>
    <w:p>
      <w:pPr>
        <w:pStyle w:val="TOC6"/>
        <w:tabs>
          <w:tab w:val="right" w:leader="dot" w:pos="7088"/>
        </w:tabs>
        <w:rPr>
          <w:rFonts w:asciiTheme="minorHAnsi" w:eastAsiaTheme="minorEastAsia" w:hAnsiTheme="minorHAnsi" w:cstheme="minorBidi"/>
          <w:b w:val="0"/>
          <w:sz w:val="22"/>
          <w:szCs w:val="22"/>
        </w:rPr>
      </w:pPr>
      <w:r>
        <w:t>Division 7 — General provisions relating to exemptions</w:t>
      </w:r>
    </w:p>
    <w:p>
      <w:pPr>
        <w:pStyle w:val="TOC8"/>
        <w:rPr>
          <w:rFonts w:asciiTheme="minorHAnsi" w:eastAsiaTheme="minorEastAsia" w:hAnsiTheme="minorHAnsi" w:cstheme="minorBidi"/>
          <w:szCs w:val="22"/>
        </w:rPr>
      </w:pPr>
      <w:r>
        <w:t>256.</w:t>
      </w:r>
      <w:r>
        <w:tab/>
        <w:t>Publication where service taken to comply with regulations</w:t>
      </w:r>
      <w:r>
        <w:tab/>
      </w:r>
      <w:r>
        <w:fldChar w:fldCharType="begin"/>
      </w:r>
      <w:r>
        <w:instrText xml:space="preserve"> PAGEREF _Toc398888431 \h </w:instrText>
      </w:r>
      <w:r>
        <w:fldChar w:fldCharType="separate"/>
      </w:r>
      <w:r>
        <w:t>198</w:t>
      </w:r>
      <w:r>
        <w:fldChar w:fldCharType="end"/>
      </w:r>
    </w:p>
    <w:p>
      <w:pPr>
        <w:pStyle w:val="TOC8"/>
        <w:rPr>
          <w:rFonts w:asciiTheme="minorHAnsi" w:eastAsiaTheme="minorEastAsia" w:hAnsiTheme="minorHAnsi" w:cstheme="minorBidi"/>
          <w:szCs w:val="22"/>
        </w:rPr>
      </w:pPr>
      <w:r>
        <w:t>257.</w:t>
      </w:r>
      <w:r>
        <w:tab/>
        <w:t>Application for removal of exemption</w:t>
      </w:r>
      <w:r>
        <w:tab/>
      </w:r>
      <w:r>
        <w:fldChar w:fldCharType="begin"/>
      </w:r>
      <w:r>
        <w:instrText xml:space="preserve"> PAGEREF _Toc398888432 \h </w:instrText>
      </w:r>
      <w:r>
        <w:fldChar w:fldCharType="separate"/>
      </w:r>
      <w:r>
        <w:t>199</w:t>
      </w:r>
      <w:r>
        <w:fldChar w:fldCharType="end"/>
      </w:r>
    </w:p>
    <w:p>
      <w:pPr>
        <w:pStyle w:val="TOC4"/>
        <w:keepNext w:val="0"/>
        <w:tabs>
          <w:tab w:val="right" w:leader="dot" w:pos="7088"/>
        </w:tabs>
        <w:rPr>
          <w:rFonts w:asciiTheme="minorHAnsi" w:eastAsiaTheme="minorEastAsia" w:hAnsiTheme="minorHAnsi" w:cstheme="minorBidi"/>
          <w:b w:val="0"/>
          <w:szCs w:val="22"/>
        </w:rPr>
      </w:pPr>
      <w:r>
        <w:t>Part 7.2 — Australian Capital Territory — specific provisions</w:t>
      </w:r>
    </w:p>
    <w:p>
      <w:pPr>
        <w:pStyle w:val="TOC4"/>
        <w:keepNext w:val="0"/>
        <w:tabs>
          <w:tab w:val="right" w:leader="dot" w:pos="7088"/>
        </w:tabs>
        <w:rPr>
          <w:rFonts w:asciiTheme="minorHAnsi" w:eastAsiaTheme="minorEastAsia" w:hAnsiTheme="minorHAnsi" w:cstheme="minorBidi"/>
          <w:b w:val="0"/>
          <w:szCs w:val="22"/>
        </w:rPr>
      </w:pPr>
      <w:r>
        <w:t>Part 7.3 — New South Wales — specific provisions</w:t>
      </w:r>
    </w:p>
    <w:p>
      <w:pPr>
        <w:pStyle w:val="TOC4"/>
        <w:keepNext w:val="0"/>
        <w:tabs>
          <w:tab w:val="right" w:leader="dot" w:pos="7088"/>
        </w:tabs>
        <w:rPr>
          <w:rFonts w:asciiTheme="minorHAnsi" w:eastAsiaTheme="minorEastAsia" w:hAnsiTheme="minorHAnsi" w:cstheme="minorBidi"/>
          <w:b w:val="0"/>
          <w:szCs w:val="22"/>
        </w:rPr>
      </w:pPr>
      <w:r>
        <w:t>Part 7.4 — Northern Territory — specific provisions</w:t>
      </w:r>
    </w:p>
    <w:p>
      <w:pPr>
        <w:pStyle w:val="TOC4"/>
        <w:keepNext w:val="0"/>
        <w:tabs>
          <w:tab w:val="right" w:leader="dot" w:pos="7088"/>
        </w:tabs>
        <w:rPr>
          <w:rFonts w:asciiTheme="minorHAnsi" w:eastAsiaTheme="minorEastAsia" w:hAnsiTheme="minorHAnsi" w:cstheme="minorBidi"/>
          <w:b w:val="0"/>
          <w:szCs w:val="22"/>
        </w:rPr>
      </w:pPr>
      <w:r>
        <w:t>Part 7.5 — Queensland — specific provisions</w:t>
      </w:r>
    </w:p>
    <w:p>
      <w:pPr>
        <w:pStyle w:val="TOC4"/>
        <w:keepNext w:val="0"/>
        <w:tabs>
          <w:tab w:val="right" w:leader="dot" w:pos="7088"/>
        </w:tabs>
        <w:rPr>
          <w:rFonts w:asciiTheme="minorHAnsi" w:eastAsiaTheme="minorEastAsia" w:hAnsiTheme="minorHAnsi" w:cstheme="minorBidi"/>
          <w:b w:val="0"/>
          <w:szCs w:val="22"/>
        </w:rPr>
      </w:pPr>
      <w:r>
        <w:t>Part 7.6 — South Australia — specific provisions</w:t>
      </w:r>
    </w:p>
    <w:p>
      <w:pPr>
        <w:pStyle w:val="TOC4"/>
        <w:keepNext w:val="0"/>
        <w:tabs>
          <w:tab w:val="right" w:leader="dot" w:pos="7088"/>
        </w:tabs>
        <w:rPr>
          <w:rFonts w:asciiTheme="minorHAnsi" w:eastAsiaTheme="minorEastAsia" w:hAnsiTheme="minorHAnsi" w:cstheme="minorBidi"/>
          <w:b w:val="0"/>
          <w:szCs w:val="22"/>
        </w:rPr>
      </w:pPr>
      <w:r>
        <w:t>Part 7.7 — Tasmania — specific provisions</w:t>
      </w:r>
    </w:p>
    <w:p>
      <w:pPr>
        <w:pStyle w:val="TOC4"/>
        <w:keepNext w:val="0"/>
        <w:tabs>
          <w:tab w:val="right" w:leader="dot" w:pos="7088"/>
        </w:tabs>
        <w:rPr>
          <w:rFonts w:asciiTheme="minorHAnsi" w:eastAsiaTheme="minorEastAsia" w:hAnsiTheme="minorHAnsi" w:cstheme="minorBidi"/>
          <w:b w:val="0"/>
          <w:szCs w:val="22"/>
        </w:rPr>
      </w:pPr>
      <w:r>
        <w:t>Part 7.8 — Victoria — specific provisions</w:t>
      </w:r>
    </w:p>
    <w:p>
      <w:pPr>
        <w:pStyle w:val="TOC4"/>
        <w:keepNext w:val="0"/>
        <w:tabs>
          <w:tab w:val="right" w:leader="dot" w:pos="7088"/>
        </w:tabs>
        <w:rPr>
          <w:rFonts w:asciiTheme="minorHAnsi" w:eastAsiaTheme="minorEastAsia" w:hAnsiTheme="minorHAnsi" w:cstheme="minorBidi"/>
          <w:b w:val="0"/>
          <w:szCs w:val="22"/>
        </w:rPr>
      </w:pPr>
      <w:r>
        <w:t>Part 7.9 — Western Australia — specific provisions</w:t>
      </w:r>
    </w:p>
    <w:p>
      <w:pPr>
        <w:pStyle w:val="TOC6"/>
        <w:tabs>
          <w:tab w:val="right" w:leader="dot" w:pos="7088"/>
        </w:tabs>
        <w:rPr>
          <w:rFonts w:asciiTheme="minorHAnsi" w:eastAsiaTheme="minorEastAsia" w:hAnsiTheme="minorHAnsi" w:cstheme="minorBidi"/>
          <w:b w:val="0"/>
          <w:sz w:val="22"/>
          <w:szCs w:val="22"/>
        </w:rPr>
      </w:pPr>
      <w:r>
        <w:t>Division 1 — Application of Part 7.9</w:t>
      </w:r>
    </w:p>
    <w:p>
      <w:pPr>
        <w:pStyle w:val="TOC8"/>
        <w:rPr>
          <w:rFonts w:asciiTheme="minorHAnsi" w:eastAsiaTheme="minorEastAsia" w:hAnsiTheme="minorHAnsi" w:cstheme="minorBidi"/>
          <w:szCs w:val="22"/>
        </w:rPr>
      </w:pPr>
      <w:r>
        <w:t>367.</w:t>
      </w:r>
      <w:r>
        <w:tab/>
        <w:t>Application of Part 7.9</w:t>
      </w:r>
      <w:r>
        <w:tab/>
      </w:r>
      <w:r>
        <w:fldChar w:fldCharType="begin"/>
      </w:r>
      <w:r>
        <w:instrText xml:space="preserve"> PAGEREF _Toc398888442 \h </w:instrText>
      </w:r>
      <w:r>
        <w:fldChar w:fldCharType="separate"/>
      </w:r>
      <w:r>
        <w:t>200</w:t>
      </w:r>
      <w:r>
        <w:fldChar w:fldCharType="end"/>
      </w:r>
    </w:p>
    <w:p>
      <w:pPr>
        <w:pStyle w:val="TOC8"/>
        <w:rPr>
          <w:rFonts w:asciiTheme="minorHAnsi" w:eastAsiaTheme="minorEastAsia" w:hAnsiTheme="minorHAnsi" w:cstheme="minorBidi"/>
          <w:szCs w:val="22"/>
        </w:rPr>
      </w:pPr>
      <w:r>
        <w:t>368.</w:t>
      </w:r>
      <w:r>
        <w:tab/>
        <w:t>Definitions</w:t>
      </w:r>
      <w:r>
        <w:tab/>
      </w:r>
      <w:r>
        <w:fldChar w:fldCharType="begin"/>
      </w:r>
      <w:r>
        <w:instrText xml:space="preserve"> PAGEREF _Toc398888443 \h </w:instrText>
      </w:r>
      <w:r>
        <w:fldChar w:fldCharType="separate"/>
      </w:r>
      <w:r>
        <w:t>200</w:t>
      </w:r>
      <w:r>
        <w:fldChar w:fldCharType="end"/>
      </w:r>
    </w:p>
    <w:p>
      <w:pPr>
        <w:pStyle w:val="TOC6"/>
        <w:tabs>
          <w:tab w:val="right" w:leader="dot" w:pos="7088"/>
        </w:tabs>
        <w:rPr>
          <w:rFonts w:asciiTheme="minorHAnsi" w:eastAsiaTheme="minorEastAsia" w:hAnsiTheme="minorHAnsi" w:cstheme="minorBidi"/>
          <w:b w:val="0"/>
          <w:sz w:val="22"/>
          <w:szCs w:val="22"/>
        </w:rPr>
      </w:pPr>
      <w:r>
        <w:t>Division 1A — Exceeding National Quality Standards</w:t>
      </w:r>
    </w:p>
    <w:p>
      <w:pPr>
        <w:pStyle w:val="TOC8"/>
        <w:rPr>
          <w:rFonts w:asciiTheme="minorHAnsi" w:eastAsiaTheme="minorEastAsia" w:hAnsiTheme="minorHAnsi" w:cstheme="minorBidi"/>
          <w:szCs w:val="22"/>
        </w:rPr>
      </w:pPr>
      <w:r>
        <w:t>368A.</w:t>
      </w:r>
      <w:r>
        <w:tab/>
        <w:t>Exceeding National Quality Standards: educational program and practice quality area</w:t>
      </w:r>
      <w:r>
        <w:tab/>
      </w:r>
      <w:r>
        <w:fldChar w:fldCharType="begin"/>
      </w:r>
      <w:r>
        <w:instrText xml:space="preserve"> PAGEREF _Toc398888445 \h </w:instrText>
      </w:r>
      <w:r>
        <w:fldChar w:fldCharType="separate"/>
      </w:r>
      <w:r>
        <w:t>201</w:t>
      </w:r>
      <w:r>
        <w:fldChar w:fldCharType="end"/>
      </w:r>
    </w:p>
    <w:p>
      <w:pPr>
        <w:pStyle w:val="TOC6"/>
        <w:tabs>
          <w:tab w:val="right" w:leader="dot" w:pos="7088"/>
        </w:tabs>
        <w:rPr>
          <w:rFonts w:asciiTheme="minorHAnsi" w:eastAsiaTheme="minorEastAsia" w:hAnsiTheme="minorHAnsi" w:cstheme="minorBidi"/>
          <w:b w:val="0"/>
          <w:sz w:val="22"/>
          <w:szCs w:val="22"/>
        </w:rPr>
      </w:pPr>
      <w:r>
        <w:t>Division 2 — Minimum number of educators and qualifications required — children over preschool age</w:t>
      </w:r>
    </w:p>
    <w:p>
      <w:pPr>
        <w:pStyle w:val="TOC8"/>
        <w:rPr>
          <w:rFonts w:asciiTheme="minorHAnsi" w:eastAsiaTheme="minorEastAsia" w:hAnsiTheme="minorHAnsi" w:cstheme="minorBidi"/>
          <w:szCs w:val="22"/>
        </w:rPr>
      </w:pPr>
      <w:r>
        <w:t>369.</w:t>
      </w:r>
      <w:r>
        <w:tab/>
        <w:t>Educator to child ratios — children over preschool age</w:t>
      </w:r>
      <w:r>
        <w:tab/>
      </w:r>
      <w:r>
        <w:fldChar w:fldCharType="begin"/>
      </w:r>
      <w:r>
        <w:instrText xml:space="preserve"> PAGEREF _Toc398888447 \h </w:instrText>
      </w:r>
      <w:r>
        <w:fldChar w:fldCharType="separate"/>
      </w:r>
      <w:r>
        <w:t>201</w:t>
      </w:r>
      <w:r>
        <w:fldChar w:fldCharType="end"/>
      </w:r>
    </w:p>
    <w:p>
      <w:pPr>
        <w:pStyle w:val="TOC8"/>
        <w:rPr>
          <w:rFonts w:asciiTheme="minorHAnsi" w:eastAsiaTheme="minorEastAsia" w:hAnsiTheme="minorHAnsi" w:cstheme="minorBidi"/>
          <w:szCs w:val="22"/>
        </w:rPr>
      </w:pPr>
      <w:r>
        <w:t>370.</w:t>
      </w:r>
      <w:r>
        <w:tab/>
        <w:t>General qualification requirements for educators — children over preschool age</w:t>
      </w:r>
      <w:r>
        <w:tab/>
      </w:r>
      <w:r>
        <w:fldChar w:fldCharType="begin"/>
      </w:r>
      <w:r>
        <w:instrText xml:space="preserve"> PAGEREF _Toc398888448 \h </w:instrText>
      </w:r>
      <w:r>
        <w:fldChar w:fldCharType="separate"/>
      </w:r>
      <w:r>
        <w:t>203</w:t>
      </w:r>
      <w:r>
        <w:fldChar w:fldCharType="end"/>
      </w:r>
    </w:p>
    <w:p>
      <w:pPr>
        <w:pStyle w:val="TOC6"/>
        <w:tabs>
          <w:tab w:val="right" w:leader="dot" w:pos="7088"/>
        </w:tabs>
        <w:rPr>
          <w:rFonts w:asciiTheme="minorHAnsi" w:eastAsiaTheme="minorEastAsia" w:hAnsiTheme="minorHAnsi" w:cstheme="minorBidi"/>
          <w:b w:val="0"/>
          <w:sz w:val="22"/>
          <w:szCs w:val="22"/>
        </w:rPr>
      </w:pPr>
      <w:r>
        <w:t>Division 3 — Minimum number of educators and qualifications required — centre</w:t>
      </w:r>
      <w:r>
        <w:noBreakHyphen/>
        <w:t>based services — children preschool age or under</w:t>
      </w:r>
    </w:p>
    <w:p>
      <w:pPr>
        <w:pStyle w:val="TOC8"/>
        <w:rPr>
          <w:rFonts w:asciiTheme="minorHAnsi" w:eastAsiaTheme="minorEastAsia" w:hAnsiTheme="minorHAnsi" w:cstheme="minorBidi"/>
          <w:szCs w:val="22"/>
        </w:rPr>
      </w:pPr>
      <w:r>
        <w:t>371.</w:t>
      </w:r>
      <w:r>
        <w:tab/>
        <w:t>Educator to child ratio — children preschool age or under who are 36 months of age or over (other than for a pre</w:t>
      </w:r>
      <w:r>
        <w:noBreakHyphen/>
        <w:t>kindergarten programme or kindergarten programme)</w:t>
      </w:r>
      <w:r>
        <w:tab/>
      </w:r>
      <w:r>
        <w:fldChar w:fldCharType="begin"/>
      </w:r>
      <w:r>
        <w:instrText xml:space="preserve"> PAGEREF _Toc398888450 \h </w:instrText>
      </w:r>
      <w:r>
        <w:fldChar w:fldCharType="separate"/>
      </w:r>
      <w:r>
        <w:t>203</w:t>
      </w:r>
      <w:r>
        <w:fldChar w:fldCharType="end"/>
      </w:r>
    </w:p>
    <w:p>
      <w:pPr>
        <w:pStyle w:val="TOC8"/>
        <w:rPr>
          <w:rFonts w:asciiTheme="minorHAnsi" w:eastAsiaTheme="minorEastAsia" w:hAnsiTheme="minorHAnsi" w:cstheme="minorBidi"/>
          <w:szCs w:val="22"/>
        </w:rPr>
      </w:pPr>
      <w:r>
        <w:t>372.</w:t>
      </w:r>
      <w:r>
        <w:tab/>
        <w:t>Educator to child ratio — pre</w:t>
      </w:r>
      <w:r>
        <w:noBreakHyphen/>
        <w:t>kindergarten programme or kindergarten programme provided by a school</w:t>
      </w:r>
      <w:r>
        <w:tab/>
      </w:r>
      <w:r>
        <w:fldChar w:fldCharType="begin"/>
      </w:r>
      <w:r>
        <w:instrText xml:space="preserve"> PAGEREF _Toc398888451 \h </w:instrText>
      </w:r>
      <w:r>
        <w:fldChar w:fldCharType="separate"/>
      </w:r>
      <w:r>
        <w:t>203</w:t>
      </w:r>
      <w:r>
        <w:fldChar w:fldCharType="end"/>
      </w:r>
    </w:p>
    <w:p>
      <w:pPr>
        <w:pStyle w:val="TOC8"/>
        <w:rPr>
          <w:rFonts w:asciiTheme="minorHAnsi" w:eastAsiaTheme="minorEastAsia" w:hAnsiTheme="minorHAnsi" w:cstheme="minorBidi"/>
          <w:szCs w:val="22"/>
        </w:rPr>
      </w:pPr>
      <w:r>
        <w:t>373.</w:t>
      </w:r>
      <w:r>
        <w:tab/>
        <w:t>Early childhood teachers — pre</w:t>
      </w:r>
      <w:r>
        <w:noBreakHyphen/>
        <w:t>kindergarten programme or kindergarten programme provided by a school</w:t>
      </w:r>
      <w:r>
        <w:tab/>
      </w:r>
      <w:r>
        <w:fldChar w:fldCharType="begin"/>
      </w:r>
      <w:r>
        <w:instrText xml:space="preserve"> PAGEREF _Toc398888452 \h </w:instrText>
      </w:r>
      <w:r>
        <w:fldChar w:fldCharType="separate"/>
      </w:r>
      <w:r>
        <w:t>204</w:t>
      </w:r>
      <w:r>
        <w:fldChar w:fldCharType="end"/>
      </w:r>
    </w:p>
    <w:p>
      <w:pPr>
        <w:pStyle w:val="TOC6"/>
        <w:tabs>
          <w:tab w:val="right" w:leader="dot" w:pos="7088"/>
        </w:tabs>
        <w:rPr>
          <w:rFonts w:asciiTheme="minorHAnsi" w:eastAsiaTheme="minorEastAsia" w:hAnsiTheme="minorHAnsi" w:cstheme="minorBidi"/>
          <w:b w:val="0"/>
          <w:sz w:val="22"/>
          <w:szCs w:val="22"/>
        </w:rPr>
      </w:pPr>
      <w:r>
        <w:t>Division 4 — Transitional provisions — staffing arrangements</w:t>
      </w:r>
    </w:p>
    <w:p>
      <w:pPr>
        <w:pStyle w:val="TOC8"/>
        <w:rPr>
          <w:rFonts w:asciiTheme="minorHAnsi" w:eastAsiaTheme="minorEastAsia" w:hAnsiTheme="minorHAnsi" w:cstheme="minorBidi"/>
          <w:szCs w:val="22"/>
        </w:rPr>
      </w:pPr>
      <w:r>
        <w:t>374.</w:t>
      </w:r>
      <w:r>
        <w:tab/>
        <w:t>Educator to child ratio — pre</w:t>
      </w:r>
      <w:r>
        <w:noBreakHyphen/>
        <w:t>kindergarten programme or kindergarten programme provided by a school</w:t>
      </w:r>
      <w:r>
        <w:tab/>
      </w:r>
      <w:r>
        <w:fldChar w:fldCharType="begin"/>
      </w:r>
      <w:r>
        <w:instrText xml:space="preserve"> PAGEREF _Toc398888454 \h </w:instrText>
      </w:r>
      <w:r>
        <w:fldChar w:fldCharType="separate"/>
      </w:r>
      <w:r>
        <w:t>204</w:t>
      </w:r>
      <w:r>
        <w:fldChar w:fldCharType="end"/>
      </w:r>
    </w:p>
    <w:p>
      <w:pPr>
        <w:pStyle w:val="TOC8"/>
        <w:rPr>
          <w:rFonts w:asciiTheme="minorHAnsi" w:eastAsiaTheme="minorEastAsia" w:hAnsiTheme="minorHAnsi" w:cstheme="minorBidi"/>
          <w:szCs w:val="22"/>
        </w:rPr>
      </w:pPr>
      <w:r>
        <w:t>374A.</w:t>
      </w:r>
      <w:r>
        <w:tab/>
        <w:t>Educator to child ratios — centre</w:t>
      </w:r>
      <w:r>
        <w:noBreakHyphen/>
        <w:t>based services during lunch periods</w:t>
      </w:r>
      <w:r>
        <w:tab/>
      </w:r>
      <w:r>
        <w:fldChar w:fldCharType="begin"/>
      </w:r>
      <w:r>
        <w:instrText xml:space="preserve"> PAGEREF _Toc398888455 \h </w:instrText>
      </w:r>
      <w:r>
        <w:fldChar w:fldCharType="separate"/>
      </w:r>
      <w:r>
        <w:t>205</w:t>
      </w:r>
      <w:r>
        <w:fldChar w:fldCharType="end"/>
      </w:r>
    </w:p>
    <w:p>
      <w:pPr>
        <w:pStyle w:val="TOC8"/>
        <w:rPr>
          <w:rFonts w:asciiTheme="minorHAnsi" w:eastAsiaTheme="minorEastAsia" w:hAnsiTheme="minorHAnsi" w:cstheme="minorBidi"/>
          <w:szCs w:val="22"/>
        </w:rPr>
      </w:pPr>
      <w:r>
        <w:t>375.</w:t>
      </w:r>
      <w:r>
        <w:tab/>
        <w:t>Qualifications for educators — children aged 24 months or under (other than for a pre</w:t>
      </w:r>
      <w:r>
        <w:noBreakHyphen/>
        <w:t>kindergarten programme or kindergarten programme)</w:t>
      </w:r>
      <w:r>
        <w:tab/>
      </w:r>
      <w:r>
        <w:fldChar w:fldCharType="begin"/>
      </w:r>
      <w:r>
        <w:instrText xml:space="preserve"> PAGEREF _Toc398888456 \h </w:instrText>
      </w:r>
      <w:r>
        <w:fldChar w:fldCharType="separate"/>
      </w:r>
      <w:r>
        <w:t>205</w:t>
      </w:r>
      <w:r>
        <w:fldChar w:fldCharType="end"/>
      </w:r>
    </w:p>
    <w:p>
      <w:pPr>
        <w:pStyle w:val="TOC8"/>
        <w:rPr>
          <w:rFonts w:asciiTheme="minorHAnsi" w:eastAsiaTheme="minorEastAsia" w:hAnsiTheme="minorHAnsi" w:cstheme="minorBidi"/>
          <w:szCs w:val="22"/>
        </w:rPr>
      </w:pPr>
      <w:r>
        <w:t>376.</w:t>
      </w:r>
      <w:r>
        <w:tab/>
        <w:t>Qualifications for educators — children aged more than 24 months but less than 36 months (other than for a pre</w:t>
      </w:r>
      <w:r>
        <w:noBreakHyphen/>
        <w:t>kindergarten programme or kindergarten programme)</w:t>
      </w:r>
      <w:r>
        <w:tab/>
      </w:r>
      <w:r>
        <w:fldChar w:fldCharType="begin"/>
      </w:r>
      <w:r>
        <w:instrText xml:space="preserve"> PAGEREF _Toc398888457 \h </w:instrText>
      </w:r>
      <w:r>
        <w:fldChar w:fldCharType="separate"/>
      </w:r>
      <w:r>
        <w:t>206</w:t>
      </w:r>
      <w:r>
        <w:fldChar w:fldCharType="end"/>
      </w:r>
    </w:p>
    <w:p>
      <w:pPr>
        <w:pStyle w:val="TOC8"/>
        <w:rPr>
          <w:rFonts w:asciiTheme="minorHAnsi" w:eastAsiaTheme="minorEastAsia" w:hAnsiTheme="minorHAnsi" w:cstheme="minorBidi"/>
          <w:szCs w:val="22"/>
        </w:rPr>
      </w:pPr>
      <w:r>
        <w:t>377.</w:t>
      </w:r>
      <w:r>
        <w:tab/>
        <w:t>Qualifications for educators — children preschool age or under who are 36 months of age or over (other than a pre</w:t>
      </w:r>
      <w:r>
        <w:noBreakHyphen/>
        <w:t>kindergarten programme or kindergarten programme)</w:t>
      </w:r>
      <w:r>
        <w:tab/>
      </w:r>
      <w:r>
        <w:fldChar w:fldCharType="begin"/>
      </w:r>
      <w:r>
        <w:instrText xml:space="preserve"> PAGEREF _Toc398888458 \h </w:instrText>
      </w:r>
      <w:r>
        <w:fldChar w:fldCharType="separate"/>
      </w:r>
      <w:r>
        <w:t>207</w:t>
      </w:r>
      <w:r>
        <w:fldChar w:fldCharType="end"/>
      </w:r>
    </w:p>
    <w:p>
      <w:pPr>
        <w:pStyle w:val="TOC8"/>
        <w:rPr>
          <w:rFonts w:asciiTheme="minorHAnsi" w:eastAsiaTheme="minorEastAsia" w:hAnsiTheme="minorHAnsi" w:cstheme="minorBidi"/>
          <w:szCs w:val="22"/>
        </w:rPr>
      </w:pPr>
      <w:r>
        <w:t>378.</w:t>
      </w:r>
      <w:r>
        <w:tab/>
        <w:t>Qualifications for educators — pre</w:t>
      </w:r>
      <w:r>
        <w:noBreakHyphen/>
        <w:t>kindergarten programme or kindergarten programme provided by a school</w:t>
      </w:r>
      <w:r>
        <w:tab/>
      </w:r>
      <w:r>
        <w:fldChar w:fldCharType="begin"/>
      </w:r>
      <w:r>
        <w:instrText xml:space="preserve"> PAGEREF _Toc398888459 \h </w:instrText>
      </w:r>
      <w:r>
        <w:fldChar w:fldCharType="separate"/>
      </w:r>
      <w:r>
        <w:t>207</w:t>
      </w:r>
      <w:r>
        <w:fldChar w:fldCharType="end"/>
      </w:r>
    </w:p>
    <w:p>
      <w:pPr>
        <w:pStyle w:val="TOC8"/>
        <w:rPr>
          <w:rFonts w:asciiTheme="minorHAnsi" w:eastAsiaTheme="minorEastAsia" w:hAnsiTheme="minorHAnsi" w:cstheme="minorBidi"/>
          <w:szCs w:val="22"/>
        </w:rPr>
      </w:pPr>
      <w:r>
        <w:t>379.</w:t>
      </w:r>
      <w:r>
        <w:tab/>
        <w:t>Educators required to be early childhood teachers</w:t>
      </w:r>
      <w:r>
        <w:tab/>
      </w:r>
      <w:r>
        <w:fldChar w:fldCharType="begin"/>
      </w:r>
      <w:r>
        <w:instrText xml:space="preserve"> PAGEREF _Toc398888460 \h </w:instrText>
      </w:r>
      <w:r>
        <w:fldChar w:fldCharType="separate"/>
      </w:r>
      <w:r>
        <w:t>207</w:t>
      </w:r>
      <w:r>
        <w:fldChar w:fldCharType="end"/>
      </w:r>
    </w:p>
    <w:p>
      <w:pPr>
        <w:pStyle w:val="TOC8"/>
        <w:rPr>
          <w:rFonts w:asciiTheme="minorHAnsi" w:eastAsiaTheme="minorEastAsia" w:hAnsiTheme="minorHAnsi" w:cstheme="minorBidi"/>
          <w:szCs w:val="22"/>
        </w:rPr>
      </w:pPr>
      <w:r>
        <w:t>380.</w:t>
      </w:r>
      <w:r>
        <w:tab/>
        <w:t>Number of children who can be educated and cared for — family day care educator</w:t>
      </w:r>
      <w:r>
        <w:tab/>
      </w:r>
      <w:r>
        <w:fldChar w:fldCharType="begin"/>
      </w:r>
      <w:r>
        <w:instrText xml:space="preserve"> PAGEREF _Toc398888461 \h </w:instrText>
      </w:r>
      <w:r>
        <w:fldChar w:fldCharType="separate"/>
      </w:r>
      <w:r>
        <w:t>208</w:t>
      </w:r>
      <w:r>
        <w:fldChar w:fldCharType="end"/>
      </w:r>
    </w:p>
    <w:p>
      <w:pPr>
        <w:pStyle w:val="TOC8"/>
        <w:rPr>
          <w:rFonts w:asciiTheme="minorHAnsi" w:eastAsiaTheme="minorEastAsia" w:hAnsiTheme="minorHAnsi" w:cstheme="minorBidi"/>
          <w:szCs w:val="22"/>
        </w:rPr>
      </w:pPr>
      <w:r>
        <w:t>381.</w:t>
      </w:r>
      <w:r>
        <w:tab/>
        <w:t>Qualifications for family day care educators</w:t>
      </w:r>
      <w:r>
        <w:tab/>
      </w:r>
      <w:r>
        <w:fldChar w:fldCharType="begin"/>
      </w:r>
      <w:r>
        <w:instrText xml:space="preserve"> PAGEREF _Toc398888462 \h </w:instrText>
      </w:r>
      <w:r>
        <w:fldChar w:fldCharType="separate"/>
      </w:r>
      <w:r>
        <w:t>209</w:t>
      </w:r>
      <w:r>
        <w:fldChar w:fldCharType="end"/>
      </w:r>
    </w:p>
    <w:p>
      <w:pPr>
        <w:pStyle w:val="TOC8"/>
        <w:rPr>
          <w:rFonts w:asciiTheme="minorHAnsi" w:eastAsiaTheme="minorEastAsia" w:hAnsiTheme="minorHAnsi" w:cstheme="minorBidi"/>
          <w:szCs w:val="22"/>
        </w:rPr>
      </w:pPr>
      <w:r>
        <w:t>382.</w:t>
      </w:r>
      <w:r>
        <w:tab/>
        <w:t>Qualifications for family day care co</w:t>
      </w:r>
      <w:r>
        <w:noBreakHyphen/>
        <w:t>ordinators</w:t>
      </w:r>
      <w:r>
        <w:tab/>
      </w:r>
      <w:r>
        <w:fldChar w:fldCharType="begin"/>
      </w:r>
      <w:r>
        <w:instrText xml:space="preserve"> PAGEREF _Toc398888463 \h </w:instrText>
      </w:r>
      <w:r>
        <w:fldChar w:fldCharType="separate"/>
      </w:r>
      <w:r>
        <w:t>209</w:t>
      </w:r>
      <w:r>
        <w:fldChar w:fldCharType="end"/>
      </w:r>
    </w:p>
    <w:p>
      <w:pPr>
        <w:pStyle w:val="TOC6"/>
        <w:tabs>
          <w:tab w:val="right" w:leader="dot" w:pos="7088"/>
        </w:tabs>
        <w:rPr>
          <w:rFonts w:asciiTheme="minorHAnsi" w:eastAsiaTheme="minorEastAsia" w:hAnsiTheme="minorHAnsi" w:cstheme="minorBidi"/>
          <w:b w:val="0"/>
          <w:sz w:val="22"/>
          <w:szCs w:val="22"/>
        </w:rPr>
      </w:pPr>
      <w:r>
        <w:t>Division 5 — Saving provision — physical environment</w:t>
      </w:r>
    </w:p>
    <w:p>
      <w:pPr>
        <w:pStyle w:val="TOC8"/>
        <w:rPr>
          <w:rFonts w:asciiTheme="minorHAnsi" w:eastAsiaTheme="minorEastAsia" w:hAnsiTheme="minorHAnsi" w:cstheme="minorBidi"/>
          <w:szCs w:val="22"/>
        </w:rPr>
      </w:pPr>
      <w:r>
        <w:t>383.</w:t>
      </w:r>
      <w:r>
        <w:tab/>
        <w:t>Saving provision — education and care services provided by a school</w:t>
      </w:r>
      <w:r>
        <w:tab/>
      </w:r>
      <w:r>
        <w:fldChar w:fldCharType="begin"/>
      </w:r>
      <w:r>
        <w:instrText xml:space="preserve"> PAGEREF _Toc398888465 \h </w:instrText>
      </w:r>
      <w:r>
        <w:fldChar w:fldCharType="separate"/>
      </w:r>
      <w:r>
        <w:t>209</w:t>
      </w:r>
      <w:r>
        <w:fldChar w:fldCharType="end"/>
      </w:r>
    </w:p>
    <w:p>
      <w:pPr>
        <w:pStyle w:val="TOC6"/>
        <w:tabs>
          <w:tab w:val="right" w:leader="dot" w:pos="7088"/>
        </w:tabs>
        <w:rPr>
          <w:rFonts w:asciiTheme="minorHAnsi" w:eastAsiaTheme="minorEastAsia" w:hAnsiTheme="minorHAnsi" w:cstheme="minorBidi"/>
          <w:b w:val="0"/>
          <w:sz w:val="22"/>
          <w:szCs w:val="22"/>
        </w:rPr>
      </w:pPr>
      <w:r>
        <w:t>Division 6 — Other transitional matters</w:t>
      </w:r>
    </w:p>
    <w:p>
      <w:pPr>
        <w:pStyle w:val="TOC8"/>
        <w:rPr>
          <w:rFonts w:asciiTheme="minorHAnsi" w:eastAsiaTheme="minorEastAsia" w:hAnsiTheme="minorHAnsi" w:cstheme="minorBidi"/>
          <w:szCs w:val="22"/>
        </w:rPr>
      </w:pPr>
      <w:r>
        <w:t>384.</w:t>
      </w:r>
      <w:r>
        <w:tab/>
        <w:t>Monetary orders under former education and care services law</w:t>
      </w:r>
      <w:r>
        <w:tab/>
      </w:r>
      <w:r>
        <w:fldChar w:fldCharType="begin"/>
      </w:r>
      <w:r>
        <w:instrText xml:space="preserve"> PAGEREF _Toc398888467 \h </w:instrText>
      </w:r>
      <w:r>
        <w:fldChar w:fldCharType="separate"/>
      </w:r>
      <w:r>
        <w:t>210</w:t>
      </w:r>
      <w:r>
        <w:fldChar w:fldCharType="end"/>
      </w:r>
    </w:p>
    <w:p>
      <w:pPr>
        <w:pStyle w:val="TOC8"/>
        <w:rPr>
          <w:rFonts w:asciiTheme="minorHAnsi" w:eastAsiaTheme="minorEastAsia" w:hAnsiTheme="minorHAnsi" w:cstheme="minorBidi"/>
          <w:szCs w:val="22"/>
        </w:rPr>
      </w:pPr>
      <w:r>
        <w:t>385.</w:t>
      </w:r>
      <w:r>
        <w:tab/>
        <w:t>Proceedings under former education and care services law</w:t>
      </w:r>
      <w:r>
        <w:tab/>
      </w:r>
      <w:r>
        <w:fldChar w:fldCharType="begin"/>
      </w:r>
      <w:r>
        <w:instrText xml:space="preserve"> PAGEREF _Toc398888468 \h </w:instrText>
      </w:r>
      <w:r>
        <w:fldChar w:fldCharType="separate"/>
      </w:r>
      <w:r>
        <w:t>210</w:t>
      </w:r>
      <w:r>
        <w:fldChar w:fldCharType="end"/>
      </w:r>
    </w:p>
    <w:p>
      <w:pPr>
        <w:pStyle w:val="TOC2"/>
        <w:keepNext w:val="0"/>
        <w:tabs>
          <w:tab w:val="right" w:leader="dot" w:pos="7088"/>
        </w:tabs>
        <w:rPr>
          <w:rFonts w:asciiTheme="minorHAnsi" w:eastAsiaTheme="minorEastAsia" w:hAnsiTheme="minorHAnsi" w:cstheme="minorBidi"/>
          <w:b w:val="0"/>
          <w:sz w:val="22"/>
          <w:szCs w:val="22"/>
        </w:rPr>
      </w:pPr>
      <w:r>
        <w:t>Schedule 1 — National Quality Standard</w:t>
      </w:r>
    </w:p>
    <w:p>
      <w:pPr>
        <w:pStyle w:val="TOC6"/>
        <w:keepNext w:val="0"/>
        <w:tabs>
          <w:tab w:val="right" w:leader="dot" w:pos="7088"/>
        </w:tabs>
        <w:rPr>
          <w:rFonts w:asciiTheme="minorHAnsi" w:eastAsiaTheme="minorEastAsia" w:hAnsiTheme="minorHAnsi" w:cstheme="minorBidi"/>
          <w:b w:val="0"/>
          <w:sz w:val="22"/>
          <w:szCs w:val="22"/>
        </w:rPr>
      </w:pPr>
      <w:r>
        <w:t>Quality area 1 — Educational program and practice</w:t>
      </w:r>
    </w:p>
    <w:p>
      <w:pPr>
        <w:pStyle w:val="TOC6"/>
        <w:keepNext w:val="0"/>
        <w:tabs>
          <w:tab w:val="right" w:leader="dot" w:pos="7088"/>
        </w:tabs>
        <w:rPr>
          <w:rFonts w:asciiTheme="minorHAnsi" w:eastAsiaTheme="minorEastAsia" w:hAnsiTheme="minorHAnsi" w:cstheme="minorBidi"/>
          <w:b w:val="0"/>
          <w:sz w:val="22"/>
          <w:szCs w:val="22"/>
        </w:rPr>
      </w:pPr>
      <w:r>
        <w:t>Quality area 2 — Children’s health and safety</w:t>
      </w:r>
    </w:p>
    <w:p>
      <w:pPr>
        <w:pStyle w:val="TOC6"/>
        <w:keepNext w:val="0"/>
        <w:tabs>
          <w:tab w:val="right" w:leader="dot" w:pos="7088"/>
        </w:tabs>
        <w:rPr>
          <w:rFonts w:asciiTheme="minorHAnsi" w:eastAsiaTheme="minorEastAsia" w:hAnsiTheme="minorHAnsi" w:cstheme="minorBidi"/>
          <w:b w:val="0"/>
          <w:sz w:val="22"/>
          <w:szCs w:val="22"/>
        </w:rPr>
      </w:pPr>
      <w:r>
        <w:t>Quality area 3 — Physical environment</w:t>
      </w:r>
    </w:p>
    <w:p>
      <w:pPr>
        <w:pStyle w:val="TOC6"/>
        <w:keepNext w:val="0"/>
        <w:tabs>
          <w:tab w:val="right" w:leader="dot" w:pos="7088"/>
        </w:tabs>
        <w:rPr>
          <w:rFonts w:asciiTheme="minorHAnsi" w:eastAsiaTheme="minorEastAsia" w:hAnsiTheme="minorHAnsi" w:cstheme="minorBidi"/>
          <w:b w:val="0"/>
          <w:sz w:val="22"/>
          <w:szCs w:val="22"/>
        </w:rPr>
      </w:pPr>
      <w:r>
        <w:t>Quality area 4 — Staffing arrangements</w:t>
      </w:r>
    </w:p>
    <w:p>
      <w:pPr>
        <w:pStyle w:val="TOC6"/>
        <w:keepNext w:val="0"/>
        <w:tabs>
          <w:tab w:val="right" w:leader="dot" w:pos="7088"/>
        </w:tabs>
        <w:rPr>
          <w:rFonts w:asciiTheme="minorHAnsi" w:eastAsiaTheme="minorEastAsia" w:hAnsiTheme="minorHAnsi" w:cstheme="minorBidi"/>
          <w:b w:val="0"/>
          <w:sz w:val="22"/>
          <w:szCs w:val="22"/>
        </w:rPr>
      </w:pPr>
      <w:r>
        <w:t>Quality area 5 — Relationships with children</w:t>
      </w:r>
    </w:p>
    <w:p>
      <w:pPr>
        <w:pStyle w:val="TOC6"/>
        <w:keepNext w:val="0"/>
        <w:tabs>
          <w:tab w:val="right" w:leader="dot" w:pos="7088"/>
        </w:tabs>
        <w:rPr>
          <w:rFonts w:asciiTheme="minorHAnsi" w:eastAsiaTheme="minorEastAsia" w:hAnsiTheme="minorHAnsi" w:cstheme="minorBidi"/>
          <w:b w:val="0"/>
          <w:sz w:val="22"/>
          <w:szCs w:val="22"/>
        </w:rPr>
      </w:pPr>
      <w:r>
        <w:t>Quality area 6 — Collaborative partnerships with families and communities</w:t>
      </w:r>
    </w:p>
    <w:p>
      <w:pPr>
        <w:pStyle w:val="TOC6"/>
        <w:keepNext w:val="0"/>
        <w:tabs>
          <w:tab w:val="right" w:leader="dot" w:pos="7088"/>
        </w:tabs>
        <w:rPr>
          <w:rFonts w:asciiTheme="minorHAnsi" w:eastAsiaTheme="minorEastAsia" w:hAnsiTheme="minorHAnsi" w:cstheme="minorBidi"/>
          <w:b w:val="0"/>
          <w:sz w:val="22"/>
          <w:szCs w:val="22"/>
        </w:rPr>
      </w:pPr>
      <w:r>
        <w:t>Quality area 7 — Leadership and service management</w:t>
      </w:r>
    </w:p>
    <w:p>
      <w:pPr>
        <w:pStyle w:val="TOC2"/>
        <w:tabs>
          <w:tab w:val="right" w:leader="dot" w:pos="7088"/>
        </w:tabs>
        <w:rPr>
          <w:rFonts w:asciiTheme="minorHAnsi" w:eastAsiaTheme="minorEastAsia" w:hAnsiTheme="minorHAnsi" w:cstheme="minorBidi"/>
          <w:b w:val="0"/>
          <w:sz w:val="22"/>
          <w:szCs w:val="22"/>
        </w:rPr>
      </w:pPr>
      <w:r>
        <w:t>Schedule 2 — Prescribed fees</w:t>
      </w:r>
    </w:p>
    <w:p>
      <w:pPr>
        <w:pStyle w:val="TOC4"/>
        <w:tabs>
          <w:tab w:val="right" w:leader="dot" w:pos="7088"/>
        </w:tabs>
        <w:rPr>
          <w:rFonts w:asciiTheme="minorHAnsi" w:eastAsiaTheme="minorEastAsia" w:hAnsiTheme="minorHAnsi" w:cstheme="minorBidi"/>
          <w:b w:val="0"/>
          <w:szCs w:val="22"/>
        </w:rPr>
      </w:pPr>
      <w:r>
        <w:t>Part 1 — Fees relating to provider approvals, service approvals and ratings</w:t>
      </w:r>
    </w:p>
    <w:p>
      <w:pPr>
        <w:pStyle w:val="TOC4"/>
        <w:tabs>
          <w:tab w:val="right" w:leader="dot" w:pos="7088"/>
        </w:tabs>
        <w:rPr>
          <w:rFonts w:asciiTheme="minorHAnsi" w:eastAsiaTheme="minorEastAsia" w:hAnsiTheme="minorHAnsi" w:cstheme="minorBidi"/>
          <w:b w:val="0"/>
          <w:szCs w:val="22"/>
        </w:rPr>
      </w:pPr>
      <w:r>
        <w:t>Part 2 — Other fees</w:t>
      </w:r>
    </w:p>
    <w:p>
      <w:pPr>
        <w:pStyle w:val="TOC2"/>
        <w:tabs>
          <w:tab w:val="right" w:leader="dot" w:pos="7088"/>
        </w:tabs>
        <w:rPr>
          <w:rFonts w:asciiTheme="minorHAnsi" w:eastAsiaTheme="minorEastAsia" w:hAnsiTheme="minorHAnsi" w:cstheme="minorBidi"/>
          <w:b w:val="0"/>
          <w:sz w:val="22"/>
          <w:szCs w:val="22"/>
        </w:rPr>
      </w:pPr>
      <w:r>
        <w:t>Schedule 3 — Compliance directions — prescribed provisions</w:t>
      </w:r>
    </w:p>
    <w:p>
      <w:pPr>
        <w:pStyle w:val="TOC2"/>
        <w:tabs>
          <w:tab w:val="right" w:leader="dot" w:pos="7088"/>
        </w:tabs>
        <w:rPr>
          <w:rFonts w:asciiTheme="minorHAnsi" w:eastAsiaTheme="minorEastAsia" w:hAnsiTheme="minorHAnsi" w:cstheme="minorBidi"/>
          <w:b w:val="0"/>
          <w:sz w:val="22"/>
          <w:szCs w:val="22"/>
        </w:rPr>
      </w:pPr>
      <w:r>
        <w:t>Schedule 4 — Prescribed forms</w:t>
      </w:r>
    </w:p>
    <w:p>
      <w:pPr>
        <w:pStyle w:val="TOC2"/>
        <w:tabs>
          <w:tab w:val="right" w:leader="dot" w:pos="708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_Toc398888483 \h </w:instrText>
      </w:r>
      <w:r>
        <w:fldChar w:fldCharType="separate"/>
      </w:r>
      <w:r>
        <w:t>230</w:t>
      </w:r>
      <w:r>
        <w:fldChar w:fldCharType="end"/>
      </w:r>
    </w:p>
    <w:p>
      <w:pPr>
        <w:pStyle w:val="TOC2"/>
        <w:tabs>
          <w:tab w:val="right" w:leader="dot" w:pos="7088"/>
        </w:tabs>
        <w:rPr>
          <w:rFonts w:asciiTheme="minorHAnsi" w:eastAsiaTheme="minorEastAsia" w:hAnsiTheme="minorHAnsi" w:cstheme="minorBidi"/>
          <w:b w:val="0"/>
          <w:sz w:val="22"/>
          <w:szCs w:val="22"/>
        </w:rPr>
      </w:pPr>
      <w:r>
        <w:t>Defined terms</w:t>
      </w:r>
    </w:p>
    <w:p>
      <w:pPr>
        <w:pStyle w:val="TOC2"/>
        <w:sectPr>
          <w:headerReference w:type="even" r:id="rId18"/>
          <w:headerReference w:type="default" r:id="rId19"/>
          <w:footerReference w:type="even" r:id="rId20"/>
          <w:footerReference w:type="default" r:id="rId21"/>
          <w:footerReference w:type="first" r:id="rId22"/>
          <w:pgSz w:w="11906" w:h="16838" w:code="9"/>
          <w:pgMar w:top="2376" w:right="2404" w:bottom="3544" w:left="2404" w:header="720" w:footer="3379" w:gutter="0"/>
          <w:pgNumType w:fmt="lowerRoman" w:start="1"/>
          <w:cols w:space="720"/>
          <w:noEndnote/>
          <w:titlePg/>
          <w:docGrid w:linePitch="78"/>
        </w:sectPr>
      </w:pPr>
      <w:r>
        <w:fldChar w:fldCharType="end"/>
      </w: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19</w:t>
            </w:r>
            <w:r>
              <w:rPr>
                <w:b/>
                <w:snapToGrid w:val="0"/>
                <w:sz w:val="22"/>
              </w:rPr>
              <w:t xml:space="preserve"> September 2014</w:t>
            </w:r>
            <w:r>
              <w:rPr>
                <w:b/>
                <w:sz w:val="22"/>
              </w:rPr>
              <w:fldChar w:fldCharType="end"/>
            </w:r>
          </w:p>
        </w:tc>
      </w:tr>
    </w:tbl>
    <w:p>
      <w:pPr>
        <w:pStyle w:val="WA"/>
        <w:spacing w:before="120"/>
      </w:pPr>
      <w:r>
        <w:t>Western Australia</w:t>
      </w:r>
    </w:p>
    <w:p>
      <w:pPr>
        <w:pStyle w:val="PrincipalActReg"/>
      </w:pPr>
      <w:r>
        <w:t>Education and Care Services National Law (</w:t>
      </w:r>
      <w:smartTag w:uri="urn:schemas-microsoft-com:office:smarttags" w:element="place">
        <w:smartTag w:uri="urn:schemas-microsoft-com:office:smarttags" w:element="State">
          <w:r>
            <w:t>Western Australia</w:t>
          </w:r>
        </w:smartTag>
      </w:smartTag>
      <w:r>
        <w:t>)</w:t>
      </w:r>
    </w:p>
    <w:p>
      <w:pPr>
        <w:pStyle w:val="NameofActReg"/>
      </w:pPr>
      <w:r>
        <w:t>Education and Care Services National Regulations 2012</w:t>
      </w:r>
    </w:p>
    <w:p>
      <w:pPr>
        <w:pStyle w:val="Heading2"/>
        <w:pageBreakBefore w:val="0"/>
        <w:spacing w:before="220"/>
      </w:pPr>
      <w:bookmarkStart w:id="1" w:name="_Toc397340240"/>
      <w:bookmarkStart w:id="2" w:name="_Toc398887677"/>
      <w:bookmarkStart w:id="3" w:name="_Toc398888096"/>
      <w:r>
        <w:rPr>
          <w:rStyle w:val="CharPartNo"/>
        </w:rPr>
        <w:t>Chapter 1</w:t>
      </w:r>
      <w:r>
        <w:rPr>
          <w:rStyle w:val="CharDivNo"/>
        </w:rPr>
        <w:t> </w:t>
      </w:r>
      <w:r>
        <w:t>—</w:t>
      </w:r>
      <w:r>
        <w:rPr>
          <w:rStyle w:val="CharDivText"/>
        </w:rPr>
        <w:t> </w:t>
      </w:r>
      <w:r>
        <w:rPr>
          <w:rStyle w:val="CharPartText"/>
        </w:rPr>
        <w:t>Preliminary</w:t>
      </w:r>
      <w:bookmarkEnd w:id="1"/>
      <w:bookmarkEnd w:id="2"/>
      <w:bookmarkEnd w:id="3"/>
    </w:p>
    <w:p>
      <w:pPr>
        <w:pStyle w:val="MiscellaneousBody"/>
        <w:rPr>
          <w:rFonts w:ascii="Arial" w:hAnsi="Arial" w:cs="Arial"/>
          <w:b/>
          <w:sz w:val="18"/>
          <w:szCs w:val="18"/>
        </w:rPr>
      </w:pPr>
      <w:bookmarkStart w:id="4" w:name="ch.1-nt.1"/>
      <w:bookmarkEnd w:id="4"/>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5" w:name="_Toc398888097"/>
      <w:r>
        <w:rPr>
          <w:rStyle w:val="CharSectno"/>
        </w:rPr>
        <w:t>1</w:t>
      </w:r>
      <w:r>
        <w:t>.</w:t>
      </w:r>
      <w:r>
        <w:tab/>
        <w:t>Citation</w:t>
      </w:r>
      <w:bookmarkEnd w:id="5"/>
    </w:p>
    <w:p>
      <w:pPr>
        <w:pStyle w:val="Subsection"/>
      </w:pPr>
      <w:r>
        <w:tab/>
      </w:r>
      <w:r>
        <w:tab/>
      </w:r>
      <w:bookmarkStart w:id="6" w:name="Start_Cursor"/>
      <w:bookmarkEnd w:id="6"/>
      <w:r>
        <w:t xml:space="preserve">These Regulations are the </w:t>
      </w:r>
      <w:r>
        <w:rPr>
          <w:i/>
        </w:rPr>
        <w:t>Education and Care Services National Regulations 2012</w:t>
      </w:r>
      <w:r>
        <w:rPr>
          <w:vertAlign w:val="superscript"/>
        </w:rPr>
        <w:t> 1</w:t>
      </w:r>
      <w:r>
        <w:t>.</w:t>
      </w:r>
    </w:p>
    <w:p>
      <w:pPr>
        <w:pStyle w:val="Heading5"/>
      </w:pPr>
      <w:bookmarkStart w:id="7" w:name="_Toc398888098"/>
      <w:r>
        <w:rPr>
          <w:rStyle w:val="CharSectno"/>
        </w:rPr>
        <w:t>2</w:t>
      </w:r>
      <w:r>
        <w:t>.</w:t>
      </w:r>
      <w:r>
        <w:tab/>
        <w:t>Authorising provisions</w:t>
      </w:r>
      <w:bookmarkEnd w:id="7"/>
    </w:p>
    <w:p>
      <w:pPr>
        <w:pStyle w:val="Subsection"/>
      </w:pPr>
      <w:r>
        <w:tab/>
      </w:r>
      <w:r>
        <w:tab/>
        <w:t xml:space="preserve">These Regulations are made under sections 301 and 324 of the </w:t>
      </w:r>
      <w:r>
        <w:rPr>
          <w:i/>
        </w:rPr>
        <w:t>Education and Care Services National Law</w:t>
      </w:r>
      <w:r>
        <w:t>.</w:t>
      </w:r>
    </w:p>
    <w:p>
      <w:pPr>
        <w:pStyle w:val="Heading5"/>
      </w:pPr>
      <w:bookmarkStart w:id="8" w:name="_Toc398888099"/>
      <w:r>
        <w:rPr>
          <w:rStyle w:val="CharSectno"/>
        </w:rPr>
        <w:t>3</w:t>
      </w:r>
      <w:r>
        <w:t>.</w:t>
      </w:r>
      <w:r>
        <w:tab/>
        <w:t>Commencement</w:t>
      </w:r>
      <w:bookmarkEnd w:id="8"/>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r>
        <w:rPr>
          <w:vertAlign w:val="superscript"/>
        </w:rPr>
        <w:t> 1</w:t>
      </w:r>
      <w:r>
        <w:t>.</w:t>
      </w:r>
    </w:p>
    <w:p>
      <w:pPr>
        <w:pStyle w:val="Heading5"/>
      </w:pPr>
      <w:bookmarkStart w:id="9" w:name="_Toc398888100"/>
      <w:r>
        <w:rPr>
          <w:rStyle w:val="CharSectno"/>
        </w:rPr>
        <w:t>4</w:t>
      </w:r>
      <w:r>
        <w:t>.</w:t>
      </w:r>
      <w:r>
        <w:tab/>
        <w:t>Definitions</w:t>
      </w:r>
      <w:bookmarkEnd w:id="9"/>
    </w:p>
    <w:p>
      <w:pPr>
        <w:pStyle w:val="Subsection"/>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 xml:space="preserve">states whether the individual has been convicted in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includes any situation or event that poses an imminent or severe risk to the persons at the education and care service premises;</w:t>
      </w:r>
    </w:p>
    <w:p>
      <w:pPr>
        <w:pStyle w:val="NotesPerm"/>
        <w:tabs>
          <w:tab w:val="clear" w:pos="879"/>
          <w:tab w:val="left" w:pos="851"/>
        </w:tabs>
        <w:spacing w:before="80"/>
        <w:ind w:left="1418" w:hanging="1418"/>
      </w:pPr>
      <w:r>
        <w:tab/>
        <w:t>Examples:</w:t>
      </w:r>
    </w:p>
    <w:p>
      <w:pPr>
        <w:pStyle w:val="NotesPerm"/>
        <w:tabs>
          <w:tab w:val="clear" w:pos="879"/>
          <w:tab w:val="left" w:pos="851"/>
        </w:tabs>
        <w:spacing w:before="80"/>
        <w:ind w:left="1418" w:hanging="1418"/>
      </w:pPr>
      <w:r>
        <w:tab/>
        <w:t>1</w:t>
      </w:r>
      <w:r>
        <w:tab/>
        <w:t>Flood.</w:t>
      </w:r>
    </w:p>
    <w:p>
      <w:pPr>
        <w:pStyle w:val="NotesPerm"/>
        <w:tabs>
          <w:tab w:val="clear" w:pos="879"/>
          <w:tab w:val="left" w:pos="851"/>
        </w:tabs>
        <w:spacing w:before="80"/>
        <w:ind w:left="1418" w:hanging="1418"/>
      </w:pPr>
      <w:r>
        <w:tab/>
        <w:t>2</w:t>
      </w:r>
      <w:r>
        <w:tab/>
        <w:t>Fire.</w:t>
      </w:r>
    </w:p>
    <w:p>
      <w:pPr>
        <w:pStyle w:val="NotesPerm"/>
        <w:tabs>
          <w:tab w:val="clear" w:pos="879"/>
          <w:tab w:val="left" w:pos="851"/>
        </w:tabs>
        <w:spacing w:before="80"/>
        <w:ind w:left="1418" w:hanging="1418"/>
      </w:pPr>
      <w:r>
        <w:tab/>
        <w:t>3</w:t>
      </w:r>
      <w:r>
        <w:tab/>
        <w:t>A situation that requires the education and care service premises to be locked</w:t>
      </w:r>
      <w:r>
        <w:noBreakHyphen/>
        <w:t>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 xml:space="preserve">states whether the individual has been convicted outside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the same on each outing;</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safety screening clearance</w:t>
      </w:r>
      <w:r>
        <w:t xml:space="preserve"> means a safety screening clearance issued by the Department of Education of Tasmania;</w:t>
      </w:r>
    </w:p>
    <w:p>
      <w:pPr>
        <w:pStyle w:val="Defstart"/>
      </w:pPr>
      <w:r>
        <w:tab/>
      </w:r>
      <w:r>
        <w:rPr>
          <w:rStyle w:val="CharDefText"/>
        </w:rPr>
        <w:t>scheme commencement day</w:t>
      </w:r>
      <w:r>
        <w:t xml:space="preserve"> means — </w:t>
      </w:r>
    </w:p>
    <w:p>
      <w:pPr>
        <w:pStyle w:val="Defpar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2012; and</w:t>
      </w:r>
    </w:p>
    <w:p>
      <w:pPr>
        <w:pStyle w:val="Defpara"/>
      </w:pPr>
      <w:r>
        <w:tab/>
        <w:t>(b)</w:t>
      </w:r>
      <w:r>
        <w:tab/>
        <w:t xml:space="preserve">for </w:t>
      </w:r>
      <w:smartTag w:uri="urn:schemas-microsoft-com:office:smarttags" w:element="place">
        <w:smartTag w:uri="urn:schemas-microsoft-com:office:smarttags" w:element="State">
          <w:r>
            <w:t>Western Australia</w:t>
          </w:r>
        </w:smartTag>
      </w:smartTag>
      <w:r>
        <w:t> — 1 August 2012;</w:t>
      </w:r>
    </w:p>
    <w:p>
      <w:pPr>
        <w:pStyle w:val="Defstar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Subsection"/>
        <w:spacing w:before="180"/>
      </w:pPr>
      <w:r>
        <w:tab/>
        <w:t>(1A)</w:t>
      </w:r>
      <w:r>
        <w:tab/>
        <w:t>A requirement under these Regulations applying in relation to a stated number of children applies each time there is the stated number of children or a part of the stated number.</w:t>
      </w:r>
    </w:p>
    <w:p>
      <w:pPr>
        <w:pStyle w:val="NotesPerm"/>
        <w:tabs>
          <w:tab w:val="clear" w:pos="879"/>
          <w:tab w:val="left" w:pos="851"/>
        </w:tabs>
        <w:spacing w:before="120"/>
        <w:ind w:left="1701" w:hanging="1701"/>
      </w:pPr>
      <w:r>
        <w:tab/>
        <w:t>Example:</w:t>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NotesPerm"/>
        <w:tabs>
          <w:tab w:val="clear" w:pos="879"/>
          <w:tab w:val="left" w:pos="851"/>
        </w:tabs>
        <w:spacing w:before="120"/>
        <w:ind w:left="1418" w:hanging="1418"/>
      </w:pPr>
      <w:r>
        <w:tab/>
        <w:t>Note:</w:t>
      </w:r>
      <w:r>
        <w:tab/>
        <w:t>This regulation differs from regulation 4 of the national regulations made by the Ministerial Council.</w:t>
      </w:r>
    </w:p>
    <w:p>
      <w:pPr>
        <w:pStyle w:val="Footnotesection"/>
      </w:pPr>
      <w:r>
        <w:tab/>
        <w:t>[Regulation 4 amended in Gazette 13 Dec 2013 p.</w:t>
      </w:r>
      <w:r>
        <w:rPr>
          <w:sz w:val="19"/>
        </w:rPr>
        <w:t> </w:t>
      </w:r>
      <w:r>
        <w:t>6151</w:t>
      </w:r>
      <w:r>
        <w:noBreakHyphen/>
        <w:t>2.]</w:t>
      </w:r>
    </w:p>
    <w:p>
      <w:pPr>
        <w:pStyle w:val="Heading5"/>
        <w:spacing w:before="260"/>
      </w:pPr>
      <w:bookmarkStart w:id="10" w:name="_Toc398888101"/>
      <w:r>
        <w:rPr>
          <w:rStyle w:val="CharSectno"/>
        </w:rPr>
        <w:t>5</w:t>
      </w:r>
      <w:r>
        <w:t>.</w:t>
      </w:r>
      <w:r>
        <w:tab/>
        <w:t>Services that are not education and care services</w:t>
      </w:r>
      <w:bookmarkEnd w:id="10"/>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w:t>
      </w:r>
      <w:smartTag w:uri="urn:schemas-microsoft-com:office:smarttags" w:element="place">
        <w:smartTag w:uri="urn:schemas-microsoft-com:office:smarttags" w:element="State">
          <w:r>
            <w:t>Queensland</w:t>
          </w:r>
        </w:smartTag>
      </w:smartTag>
      <w:r>
        <w:t>;</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NotesPerm"/>
        <w:tabs>
          <w:tab w:val="clear" w:pos="879"/>
          <w:tab w:val="left" w:pos="851"/>
        </w:tabs>
        <w:spacing w:before="80"/>
        <w:ind w:left="1701" w:hanging="1134"/>
      </w:pPr>
      <w:r>
        <w:tab/>
        <w:t xml:space="preserve">Example: </w:t>
      </w:r>
      <w:r>
        <w:tab/>
        <w:t>A ski resort that offers child</w:t>
      </w:r>
      <w:r>
        <w:noBreakHyphen/>
        <w:t>minding services for children staying at the resort.</w:t>
      </w:r>
    </w:p>
    <w:p>
      <w:pPr>
        <w:pStyle w:val="Indenta"/>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NotesPerm"/>
        <w:keepNext/>
        <w:tabs>
          <w:tab w:val="clear" w:pos="879"/>
          <w:tab w:val="left" w:pos="851"/>
        </w:tabs>
        <w:spacing w:before="80"/>
        <w:ind w:left="1418" w:hanging="1418"/>
      </w:pPr>
      <w:r>
        <w:tab/>
        <w:t>Examples:</w:t>
      </w:r>
    </w:p>
    <w:p>
      <w:pPr>
        <w:pStyle w:val="NotesPerm"/>
        <w:tabs>
          <w:tab w:val="clear" w:pos="879"/>
          <w:tab w:val="left" w:pos="851"/>
        </w:tabs>
        <w:spacing w:before="80"/>
        <w:ind w:left="1418" w:hanging="1418"/>
      </w:pPr>
      <w:r>
        <w:tab/>
        <w:t>1</w:t>
      </w:r>
      <w:r>
        <w:tab/>
        <w:t>A service that provides education and care to a child at a conference attended by the parent.</w:t>
      </w:r>
    </w:p>
    <w:p>
      <w:pPr>
        <w:pStyle w:val="NotesPerm"/>
        <w:tabs>
          <w:tab w:val="clear" w:pos="879"/>
          <w:tab w:val="left" w:pos="851"/>
        </w:tabs>
        <w:spacing w:before="80"/>
        <w:ind w:left="1418" w:hanging="1418"/>
      </w:pPr>
      <w:r>
        <w:tab/>
        <w:t>2</w:t>
      </w:r>
      <w: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NotesPerm"/>
        <w:tabs>
          <w:tab w:val="clear" w:pos="879"/>
          <w:tab w:val="left" w:pos="851"/>
        </w:tabs>
        <w:spacing w:before="80"/>
        <w:ind w:left="1418" w:hanging="1418"/>
      </w:pPr>
      <w:r>
        <w:tab/>
        <w:t>Note:</w:t>
      </w:r>
      <w:r>
        <w:tab/>
        <w:t>This form of care is commonly called a mobile service.</w:t>
      </w:r>
    </w:p>
    <w:p>
      <w:pPr>
        <w:pStyle w:val="Indenta"/>
      </w:pPr>
      <w:r>
        <w:tab/>
        <w:t>(i)</w:t>
      </w:r>
      <w:r>
        <w:tab/>
        <w:t>a service that provides education and care for no more than 4 weeks per calendar year during school holidays;</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that receives financial assistance under the Budget Based Funding Program element of the Child Care Services Support Program and is not a service that receives the Child Care Benefit in relation to the provision of education and care;</w:t>
      </w:r>
    </w:p>
    <w:p>
      <w:pPr>
        <w:pStyle w:val="Indenta"/>
      </w:pPr>
      <w:r>
        <w:tab/>
        <w:t>(l)</w:t>
      </w:r>
      <w:r>
        <w:tab/>
        <w:t xml:space="preserve">a licensed playschool under the </w:t>
      </w:r>
      <w:r>
        <w:rPr>
          <w:i/>
          <w:iCs/>
        </w:rPr>
        <w:t>Children and Young People Act 2008</w:t>
      </w:r>
      <w:r>
        <w:t xml:space="preserve"> of the </w:t>
      </w:r>
      <w:smartTag w:uri="urn:schemas-microsoft-com:office:smarttags" w:element="place">
        <w:smartTag w:uri="urn:schemas-microsoft-com:office:smarttags" w:element="State">
          <w:r>
            <w:t>Australian Capital Territory</w:t>
          </w:r>
        </w:smartTag>
      </w:smartTag>
      <w:r>
        <w:t>;</w:t>
      </w:r>
    </w:p>
    <w:p>
      <w:pPr>
        <w:pStyle w:val="Indenta"/>
      </w:pPr>
      <w:r>
        <w:tab/>
        <w:t>(m)</w:t>
      </w:r>
      <w:r>
        <w:tab/>
        <w:t xml:space="preserve">a stand alone service under a children’s services law of </w:t>
      </w:r>
      <w:smartTag w:uri="urn:schemas-microsoft-com:office:smarttags" w:element="place">
        <w:smartTag w:uri="urn:schemas-microsoft-com:office:smarttags" w:element="State">
          <w:r>
            <w:t>Queensland</w:t>
          </w:r>
        </w:smartTag>
      </w:smartTag>
      <w:r>
        <w:t>;</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 licensed limited hours service or short term service under the </w:t>
      </w:r>
      <w:r>
        <w:rPr>
          <w:i/>
          <w:iCs/>
        </w:rPr>
        <w:t>Children’s Services Act 1996</w:t>
      </w:r>
      <w:r>
        <w:t xml:space="preserve"> of Victoria;</w:t>
      </w:r>
    </w:p>
    <w:p>
      <w:pPr>
        <w:pStyle w:val="Indenta"/>
      </w:pPr>
      <w:r>
        <w:tab/>
        <w:t>(r)</w:t>
      </w:r>
      <w:r>
        <w:tab/>
        <w:t xml:space="preserve">a service funded by the government department principally administering the </w:t>
      </w:r>
      <w:r>
        <w:rPr>
          <w:i/>
          <w:iCs/>
        </w:rPr>
        <w:t>Children and Community Services Act 2004</w:t>
      </w:r>
      <w:r>
        <w:t xml:space="preserve"> of </w:t>
      </w:r>
      <w:smartTag w:uri="urn:schemas-microsoft-com:office:smarttags" w:element="place">
        <w:smartTag w:uri="urn:schemas-microsoft-com:office:smarttags" w:element="State">
          <w:r>
            <w:t>Western Australia</w:t>
          </w:r>
        </w:smartTag>
      </w:smartTag>
      <w:r>
        <w:t xml:space="preserve"> for the purposes of preventive, support and recreation services for at risk children.</w:t>
      </w:r>
    </w:p>
    <w:p>
      <w:pPr>
        <w:pStyle w:val="NotesPerm"/>
        <w:tabs>
          <w:tab w:val="clear" w:pos="879"/>
          <w:tab w:val="left" w:pos="851"/>
        </w:tabs>
        <w:ind w:left="1418" w:hanging="1418"/>
      </w:pPr>
      <w:r>
        <w:tab/>
        <w:t>Note:</w:t>
      </w:r>
      <w:r>
        <w:tab/>
        <w:t>This regulation differs from regulation 5 of the national regulations made by the Ministerial Council.</w:t>
      </w:r>
    </w:p>
    <w:p>
      <w:pPr>
        <w:pStyle w:val="Footnotesection"/>
      </w:pPr>
      <w:r>
        <w:tab/>
        <w:t>[Regulation 5 amended in Gazette 5 Mar 2013 p. 1107.]</w:t>
      </w:r>
    </w:p>
    <w:p>
      <w:pPr>
        <w:pStyle w:val="Heading5"/>
        <w:spacing w:before="600"/>
      </w:pPr>
      <w:bookmarkStart w:id="11" w:name="_Toc398888102"/>
      <w:r>
        <w:rPr>
          <w:rStyle w:val="CharSectno"/>
        </w:rPr>
        <w:t>6</w:t>
      </w:r>
      <w:r>
        <w:t>.</w:t>
      </w:r>
      <w:r>
        <w:tab/>
        <w:t>Eligible association</w:t>
      </w:r>
      <w:bookmarkEnd w:id="11"/>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w:t>
      </w:r>
      <w:smartTag w:uri="urn:schemas-microsoft-com:office:smarttags" w:element="place">
        <w:smartTag w:uri="urn:schemas-microsoft-com:office:smarttags" w:element="State">
          <w:r>
            <w:t>Queensland</w:t>
          </w:r>
        </w:smartTag>
      </w:smartTag>
      <w:r>
        <w:t xml:space="preserve"> is a prescribed association.</w:t>
      </w:r>
    </w:p>
    <w:p>
      <w:pPr>
        <w:pStyle w:val="Heading5"/>
      </w:pPr>
      <w:bookmarkStart w:id="12" w:name="_Toc398888103"/>
      <w:r>
        <w:rPr>
          <w:rStyle w:val="CharSectno"/>
        </w:rPr>
        <w:t>7</w:t>
      </w:r>
      <w:r>
        <w:t>.</w:t>
      </w:r>
      <w:r>
        <w:tab/>
        <w:t>Prescribed rating system</w:t>
      </w:r>
      <w:bookmarkEnd w:id="12"/>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13" w:name="_Toc398888104"/>
      <w:r>
        <w:rPr>
          <w:rStyle w:val="CharSectno"/>
        </w:rPr>
        <w:t>8</w:t>
      </w:r>
      <w:r>
        <w:t>.</w:t>
      </w:r>
      <w:r>
        <w:tab/>
        <w:t>National Quality Standard</w:t>
      </w:r>
      <w:bookmarkEnd w:id="13"/>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14" w:name="_Toc398888105"/>
      <w:r>
        <w:rPr>
          <w:rStyle w:val="CharSectno"/>
        </w:rPr>
        <w:t>9</w:t>
      </w:r>
      <w:r>
        <w:t>.</w:t>
      </w:r>
      <w:r>
        <w:tab/>
        <w:t>Prescribed entities</w:t>
      </w:r>
      <w:bookmarkEnd w:id="14"/>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pPr>
      <w:r>
        <w:tab/>
        <w:t>(b)</w:t>
      </w:r>
      <w:r>
        <w:tab/>
        <w:t>a body politic.</w:t>
      </w:r>
    </w:p>
    <w:p>
      <w:pPr>
        <w:pStyle w:val="Footnotesection"/>
      </w:pPr>
      <w:r>
        <w:tab/>
        <w:t>[Regulation 9 inserted in Gazette 13 Dec 2013 p.</w:t>
      </w:r>
      <w:r>
        <w:rPr>
          <w:sz w:val="19"/>
        </w:rPr>
        <w:t> </w:t>
      </w:r>
      <w:r>
        <w:t>6152.]</w:t>
      </w:r>
    </w:p>
    <w:p>
      <w:pPr>
        <w:pStyle w:val="Heading5"/>
      </w:pPr>
      <w:bookmarkStart w:id="15" w:name="_Toc398888106"/>
      <w:r>
        <w:rPr>
          <w:rStyle w:val="CharSectno"/>
        </w:rPr>
        <w:t>10</w:t>
      </w:r>
      <w:r>
        <w:t>.</w:t>
      </w:r>
      <w:r>
        <w:tab/>
        <w:t xml:space="preserve">Meaning of </w:t>
      </w:r>
      <w:r>
        <w:rPr>
          <w:i/>
        </w:rPr>
        <w:t>actively working towards</w:t>
      </w:r>
      <w:r>
        <w:t xml:space="preserve"> a qualification</w:t>
      </w:r>
      <w:bookmarkEnd w:id="15"/>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is making satisfactory progress towards completion of the course; and</w:t>
      </w:r>
    </w:p>
    <w:p>
      <w:pPr>
        <w:pStyle w:val="Indenti"/>
      </w:pPr>
      <w:r>
        <w:tab/>
        <w:t>(iii)</w:t>
      </w:r>
      <w:r>
        <w:tab/>
        <w:t>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w:t>
      </w:r>
    </w:p>
    <w:p>
      <w:pPr>
        <w:pStyle w:val="Heading5"/>
      </w:pPr>
      <w:bookmarkStart w:id="16" w:name="_Toc398888107"/>
      <w:r>
        <w:rPr>
          <w:rStyle w:val="CharSectno"/>
        </w:rPr>
        <w:t>11</w:t>
      </w:r>
      <w:r>
        <w:t>.</w:t>
      </w:r>
      <w:r>
        <w:tab/>
        <w:t xml:space="preserve">Meaning of </w:t>
      </w:r>
      <w:r>
        <w:rPr>
          <w:i/>
        </w:rPr>
        <w:t>in attendance</w:t>
      </w:r>
      <w:r>
        <w:t xml:space="preserve"> at a centre</w:t>
      </w:r>
      <w:r>
        <w:noBreakHyphen/>
        <w:t>based service</w:t>
      </w:r>
      <w:bookmarkEnd w:id="16"/>
    </w:p>
    <w:p>
      <w:pPr>
        <w:pStyle w:val="Subsection"/>
      </w:pPr>
      <w:r>
        <w:tab/>
      </w:r>
      <w:r>
        <w:tab/>
        <w:t xml:space="preserve">For the purposes of these Regulations, an early childhood teacher is </w:t>
      </w:r>
      <w:r>
        <w:rPr>
          <w:rStyle w:val="CharDefText"/>
        </w:rPr>
        <w:t>in attendance</w:t>
      </w:r>
      <w:r>
        <w:t xml:space="preserve"> at a centre</w:t>
      </w:r>
      <w:r>
        <w:noBreakHyphen/>
        <w:t xml:space="preserve">based service if the teacher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Heading5"/>
      </w:pPr>
      <w:bookmarkStart w:id="17" w:name="_Toc398888108"/>
      <w:r>
        <w:rPr>
          <w:rStyle w:val="CharSectno"/>
        </w:rPr>
        <w:t>12</w:t>
      </w:r>
      <w:r>
        <w:t>.</w:t>
      </w:r>
      <w:r>
        <w:tab/>
        <w:t xml:space="preserve">Meaning of </w:t>
      </w:r>
      <w:r>
        <w:rPr>
          <w:i/>
        </w:rPr>
        <w:t>serious incident</w:t>
      </w:r>
      <w:bookmarkEnd w:id="17"/>
    </w:p>
    <w:p>
      <w:pPr>
        <w:pStyle w:val="Subsection"/>
      </w:pPr>
      <w:r>
        <w:tab/>
      </w:r>
      <w:r>
        <w:tab/>
        <w:t xml:space="preserve">For the purposes of section 174(5) of the Law, the following are prescribed as serious incidents — </w:t>
      </w:r>
    </w:p>
    <w:p>
      <w:pPr>
        <w:pStyle w:val="Indenta"/>
      </w:pPr>
      <w:r>
        <w:tab/>
        <w:t>(a)</w:t>
      </w:r>
      <w:r>
        <w:tab/>
        <w:t xml:space="preserve">the death of a child — </w:t>
      </w:r>
    </w:p>
    <w:p>
      <w:pPr>
        <w:pStyle w:val="Indenti"/>
      </w:pPr>
      <w:r>
        <w:tab/>
        <w:t>(i)</w:t>
      </w:r>
      <w:r>
        <w:tab/>
        <w:t>while being educated and cared for by an education and care service; or</w:t>
      </w:r>
    </w:p>
    <w:p>
      <w:pPr>
        <w:pStyle w:val="Indenti"/>
      </w:pPr>
      <w:r>
        <w:tab/>
        <w:t>(ii)</w:t>
      </w:r>
      <w:r>
        <w:tab/>
        <w:t>following an incident while being educated and cared for by an education and care service;</w:t>
      </w:r>
    </w:p>
    <w:p>
      <w:pPr>
        <w:pStyle w:val="Indenta"/>
      </w:pPr>
      <w:r>
        <w:tab/>
        <w:t>(b)</w:t>
      </w:r>
      <w:r>
        <w:tab/>
        <w:t xml:space="preserve">any incident involving serious injury or trauma to, or illness of, a child while being educated and cared for by an education and care service — </w:t>
      </w:r>
    </w:p>
    <w:p>
      <w:pPr>
        <w:pStyle w:val="Indenti"/>
      </w:pPr>
      <w:r>
        <w:tab/>
        <w:t>(i)</w:t>
      </w:r>
      <w:r>
        <w:tab/>
        <w:t>which a reasonable person would consider required urgent medical attention from a registered medical practitioner; or</w:t>
      </w:r>
    </w:p>
    <w:p>
      <w:pPr>
        <w:pStyle w:val="NotesPerm"/>
        <w:tabs>
          <w:tab w:val="clear" w:pos="879"/>
          <w:tab w:val="left" w:pos="2694"/>
        </w:tabs>
        <w:spacing w:before="80"/>
        <w:ind w:left="1652" w:hanging="1652"/>
      </w:pPr>
      <w:r>
        <w:tab/>
        <w:t xml:space="preserve">Examples: </w:t>
      </w:r>
      <w:r>
        <w:tab/>
        <w:t>Whooping cough, broken limb, anaphylaxis reaction.</w:t>
      </w:r>
    </w:p>
    <w:p>
      <w:pPr>
        <w:pStyle w:val="Indenti"/>
      </w:pPr>
      <w:r>
        <w:tab/>
        <w:t>(ii)</w:t>
      </w:r>
      <w:r>
        <w:tab/>
        <w:t>for which the child attended, or ought reasonably to have attended, a hospital;</w:t>
      </w:r>
    </w:p>
    <w:p>
      <w:pPr>
        <w:pStyle w:val="Indenta"/>
      </w:pPr>
      <w:r>
        <w:tab/>
        <w:t>(c)</w:t>
      </w:r>
      <w:r>
        <w:tab/>
        <w:t>any incident where the attendance of emergency services at the education and care service premises was sought, or ought reasonably to have been sought;</w:t>
      </w:r>
    </w:p>
    <w:p>
      <w:pPr>
        <w:pStyle w:val="Indenta"/>
      </w:pPr>
      <w:r>
        <w:tab/>
        <w:t>(d)</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amended in Gazette 13 Dec 2013 p.</w:t>
      </w:r>
      <w:r>
        <w:rPr>
          <w:sz w:val="19"/>
        </w:rPr>
        <w:t> </w:t>
      </w:r>
      <w:r>
        <w:t>6152</w:t>
      </w:r>
      <w:r>
        <w:noBreakHyphen/>
        <w:t>3.]</w:t>
      </w:r>
    </w:p>
    <w:p>
      <w:pPr>
        <w:pStyle w:val="Heading5"/>
      </w:pPr>
      <w:bookmarkStart w:id="18" w:name="_Toc398888109"/>
      <w:r>
        <w:rPr>
          <w:rStyle w:val="CharSectno"/>
        </w:rPr>
        <w:t>13</w:t>
      </w:r>
      <w:r>
        <w:t>.</w:t>
      </w:r>
      <w:r>
        <w:tab/>
        <w:t xml:space="preserve">Meaning of </w:t>
      </w:r>
      <w:r>
        <w:rPr>
          <w:i/>
        </w:rPr>
        <w:t>working directly with children</w:t>
      </w:r>
      <w:bookmarkEnd w:id="18"/>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19" w:name="_Toc397340254"/>
      <w:bookmarkStart w:id="20" w:name="_Toc398887691"/>
      <w:bookmarkStart w:id="21" w:name="_Toc398888110"/>
      <w:r>
        <w:rPr>
          <w:rStyle w:val="CharPartNo"/>
        </w:rPr>
        <w:t>Chapter 2</w:t>
      </w:r>
      <w:r>
        <w:t> — </w:t>
      </w:r>
      <w:r>
        <w:rPr>
          <w:rStyle w:val="CharPartText"/>
        </w:rPr>
        <w:t>Approvals and certificates</w:t>
      </w:r>
      <w:bookmarkEnd w:id="19"/>
      <w:bookmarkEnd w:id="20"/>
      <w:bookmarkEnd w:id="21"/>
    </w:p>
    <w:p>
      <w:pPr>
        <w:pStyle w:val="MiscellaneousBody"/>
      </w:pPr>
      <w:r>
        <w:t>This Chapter sets out requirements for obtaining provider approvals, service approvals and supervisor certificates.</w:t>
      </w:r>
    </w:p>
    <w:p>
      <w:pPr>
        <w:pStyle w:val="MiscellaneousBody"/>
      </w:pPr>
      <w:r>
        <w:rPr>
          <w:b/>
        </w:rPr>
        <w:t>Part 2.1</w:t>
      </w:r>
      <w:r>
        <w:t xml:space="preserve"> deals with the process of obtaining provider approvals and includes the information required for applications.</w:t>
      </w:r>
    </w:p>
    <w:p>
      <w:pPr>
        <w:pStyle w:val="MiscellaneousBody"/>
      </w:pPr>
      <w:r>
        <w:rPr>
          <w:b/>
        </w:rPr>
        <w:t>Part 2.2</w:t>
      </w:r>
      <w:r>
        <w:t xml:space="preserve"> contains matters relating to service approvals.</w:t>
      </w:r>
    </w:p>
    <w:p>
      <w:pPr>
        <w:pStyle w:val="MiscellaneousBody"/>
        <w:spacing w:before="120"/>
        <w:ind w:left="284"/>
      </w:pPr>
      <w:r>
        <w:rPr>
          <w:i/>
        </w:rPr>
        <w:t>Division 1</w:t>
      </w:r>
      <w:r>
        <w:t xml:space="preserve"> deals with applications for service approvals, conditions on service approvals and annual fees for service approvals.</w:t>
      </w:r>
    </w:p>
    <w:p>
      <w:pPr>
        <w:pStyle w:val="MiscellaneousBody"/>
        <w:spacing w:before="120"/>
        <w:ind w:left="284"/>
      </w:pPr>
      <w:r>
        <w:rPr>
          <w:i/>
        </w:rPr>
        <w:t>Division 2</w:t>
      </w:r>
      <w:r>
        <w:t xml:space="preserve"> deals with amendment of service approvals and notices of change to nominated supervisors.</w:t>
      </w:r>
    </w:p>
    <w:p>
      <w:pPr>
        <w:pStyle w:val="MiscellaneousBody"/>
        <w:spacing w:before="120"/>
        <w:ind w:left="284"/>
      </w:pPr>
      <w:r>
        <w:rPr>
          <w:i/>
        </w:rPr>
        <w:t>Division 3</w:t>
      </w:r>
      <w:r>
        <w:t xml:space="preserve"> deals with the transfer of service approvals from one approved provider to another.</w:t>
      </w:r>
    </w:p>
    <w:p>
      <w:pPr>
        <w:pStyle w:val="MiscellaneousBody"/>
        <w:spacing w:before="120"/>
        <w:ind w:left="284"/>
      </w:pPr>
      <w:r>
        <w:rPr>
          <w:i/>
        </w:rPr>
        <w:t>Division 4</w:t>
      </w:r>
      <w:r>
        <w:t xml:space="preserve"> deals with the suspension of service approvals.</w:t>
      </w:r>
    </w:p>
    <w:p>
      <w:pPr>
        <w:pStyle w:val="MiscellaneousBody"/>
        <w:spacing w:before="120"/>
        <w:ind w:left="284"/>
      </w:pPr>
      <w:r>
        <w:rPr>
          <w:i/>
        </w:rPr>
        <w:t>Division 5</w:t>
      </w:r>
      <w:r>
        <w:t xml:space="preserve"> deals with the process for obtaining a service waiver.</w:t>
      </w:r>
    </w:p>
    <w:p>
      <w:pPr>
        <w:pStyle w:val="MiscellaneousBody"/>
        <w:spacing w:before="120"/>
        <w:ind w:left="284"/>
      </w:pPr>
      <w:r>
        <w:rPr>
          <w:i/>
        </w:rPr>
        <w:t>Division 6</w:t>
      </w:r>
      <w:r>
        <w:t xml:space="preserve"> deals with the process for obtaining a temporary waiver.</w:t>
      </w:r>
    </w:p>
    <w:p>
      <w:pPr>
        <w:pStyle w:val="MiscellaneousBody"/>
      </w:pPr>
      <w:r>
        <w:rPr>
          <w:b/>
        </w:rPr>
        <w:t>Part 2.3</w:t>
      </w:r>
      <w:r>
        <w:t xml:space="preserve"> sets out matters relating to supervisor certificates.</w:t>
      </w:r>
    </w:p>
    <w:p>
      <w:pPr>
        <w:pStyle w:val="MiscellaneousBody"/>
        <w:spacing w:before="120"/>
        <w:ind w:left="284"/>
      </w:pPr>
      <w:r>
        <w:rPr>
          <w:i/>
        </w:rPr>
        <w:t>Division 1</w:t>
      </w:r>
      <w:r>
        <w:t xml:space="preserve"> deals with the process for obtaining a supervisor certificate.</w:t>
      </w:r>
    </w:p>
    <w:p>
      <w:pPr>
        <w:pStyle w:val="MiscellaneousBody"/>
        <w:spacing w:before="120"/>
        <w:ind w:left="284"/>
      </w:pPr>
      <w:r>
        <w:rPr>
          <w:i/>
        </w:rPr>
        <w:t>Division 2</w:t>
      </w:r>
      <w:r>
        <w:t xml:space="preserve"> deals with the amendment of supervisor certificates.</w:t>
      </w:r>
    </w:p>
    <w:p>
      <w:pPr>
        <w:pStyle w:val="MiscellaneousBody"/>
        <w:spacing w:before="120"/>
        <w:ind w:left="284"/>
      </w:pPr>
      <w:r>
        <w:rPr>
          <w:i/>
        </w:rPr>
        <w:t>Division 3</w:t>
      </w:r>
      <w:r>
        <w:t xml:space="preserve"> deals with the suspension of supervisor certificates.</w:t>
      </w:r>
    </w:p>
    <w:p>
      <w:pPr>
        <w:pStyle w:val="MiscellaneousBody"/>
        <w:spacing w:before="120"/>
        <w:ind w:left="284"/>
      </w:pPr>
      <w:r>
        <w:rPr>
          <w:i/>
        </w:rPr>
        <w:t>Division 4</w:t>
      </w:r>
      <w:r>
        <w:t xml:space="preserve"> deals with the process for placing a certified supervisor in day to day charge of an education and care service.</w:t>
      </w:r>
    </w:p>
    <w:p>
      <w:pPr>
        <w:pStyle w:val="Heading3"/>
      </w:pPr>
      <w:bookmarkStart w:id="22" w:name="_Toc397340255"/>
      <w:bookmarkStart w:id="23" w:name="_Toc398887692"/>
      <w:bookmarkStart w:id="24" w:name="_Toc398888111"/>
      <w:r>
        <w:rPr>
          <w:rStyle w:val="CharDivNo"/>
        </w:rPr>
        <w:t>Part 2.1</w:t>
      </w:r>
      <w:r>
        <w:t> — </w:t>
      </w:r>
      <w:r>
        <w:rPr>
          <w:rStyle w:val="CharDivText"/>
        </w:rPr>
        <w:t>Provider approvals</w:t>
      </w:r>
      <w:bookmarkEnd w:id="22"/>
      <w:bookmarkEnd w:id="23"/>
      <w:bookmarkEnd w:id="24"/>
    </w:p>
    <w:p>
      <w:pPr>
        <w:pStyle w:val="Heading5"/>
      </w:pPr>
      <w:bookmarkStart w:id="25" w:name="_Toc398888112"/>
      <w:r>
        <w:rPr>
          <w:rStyle w:val="CharSectno"/>
        </w:rPr>
        <w:t>14</w:t>
      </w:r>
      <w:r>
        <w:t>.</w:t>
      </w:r>
      <w:r>
        <w:tab/>
        <w:t>Application for provider approval by individual</w:t>
      </w:r>
      <w:bookmarkEnd w:id="25"/>
      <w:r>
        <w:t xml:space="preserve"> </w:t>
      </w:r>
    </w:p>
    <w:p>
      <w:pPr>
        <w:pStyle w:val="Subsection"/>
        <w:keepNext/>
      </w:pPr>
      <w:r>
        <w:tab/>
      </w:r>
      <w:r>
        <w:tab/>
        <w:t xml:space="preserve">An application for a provider approval made by an individual under section 10 of the Law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safety screening clearance;</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NotesPerm"/>
        <w:tabs>
          <w:tab w:val="clear" w:pos="879"/>
          <w:tab w:val="left" w:pos="851"/>
        </w:tabs>
        <w:ind w:left="1418" w:hanging="1418"/>
      </w:pPr>
      <w:r>
        <w:tab/>
        <w:t>Note:</w:t>
      </w:r>
      <w:r>
        <w:tab/>
        <w:t>If there is more than one applicant, the prescribed information must be provided in respect of each applicant — see section 10(3) of the Law.</w:t>
      </w:r>
    </w:p>
    <w:p>
      <w:pPr>
        <w:pStyle w:val="Footnotesection"/>
      </w:pPr>
      <w:r>
        <w:tab/>
        <w:t>[Regulation 14 amended in Gazette 13 Dec 2013 p.</w:t>
      </w:r>
      <w:r>
        <w:rPr>
          <w:sz w:val="19"/>
        </w:rPr>
        <w:t> </w:t>
      </w:r>
      <w:r>
        <w:t>6153</w:t>
      </w:r>
      <w:r>
        <w:noBreakHyphen/>
        <w:t>4.]</w:t>
      </w:r>
    </w:p>
    <w:p>
      <w:pPr>
        <w:pStyle w:val="Heading5"/>
      </w:pPr>
      <w:bookmarkStart w:id="26" w:name="_Toc398888113"/>
      <w:r>
        <w:rPr>
          <w:rStyle w:val="CharSectno"/>
        </w:rPr>
        <w:t>15</w:t>
      </w:r>
      <w:r>
        <w:t>.</w:t>
      </w:r>
      <w:r>
        <w:tab/>
        <w:t>Application for provider approval by person other than an individual</w:t>
      </w:r>
      <w:bookmarkEnd w:id="26"/>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NotesPerm"/>
        <w:tabs>
          <w:tab w:val="clear" w:pos="879"/>
          <w:tab w:val="left" w:pos="851"/>
        </w:tabs>
        <w:spacing w:before="80"/>
        <w:ind w:left="1701" w:hanging="1701"/>
      </w:pPr>
      <w:r>
        <w:tab/>
        <w:t>Example:</w:t>
      </w:r>
      <w:r>
        <w:tab/>
        <w:t>The partnership agreement for a partnership.</w:t>
      </w:r>
    </w:p>
    <w:p>
      <w:pPr>
        <w:pStyle w:val="Indenta"/>
      </w:pPr>
      <w:r>
        <w:tab/>
        <w:t>(e)</w:t>
      </w:r>
      <w:r>
        <w:tab/>
        <w:t>a financial declaration regarding the applicant;</w:t>
      </w:r>
    </w:p>
    <w:p>
      <w:pPr>
        <w:pStyle w:val="Indenta"/>
      </w:pPr>
      <w:r>
        <w:tab/>
        <w:t>(f)</w:t>
      </w:r>
      <w:r>
        <w:tab/>
        <w:t>for each individual who will be a person with management or control of an education and care service to be operated by the applicant, the information set out in regulation 14.</w:t>
      </w:r>
    </w:p>
    <w:p>
      <w:pPr>
        <w:pStyle w:val="NotesPerm"/>
        <w:tabs>
          <w:tab w:val="clear" w:pos="879"/>
          <w:tab w:val="left" w:pos="851"/>
        </w:tabs>
        <w:ind w:left="1418" w:hanging="1418"/>
      </w:pPr>
      <w:r>
        <w:tab/>
        <w:t>Note:</w:t>
      </w:r>
      <w:r>
        <w:tab/>
        <w:t>If there is more than one applicant, the prescribed information must be provided in respect of each applicant — see section 10(3) of the Law.</w:t>
      </w:r>
    </w:p>
    <w:p>
      <w:pPr>
        <w:pStyle w:val="Heading5"/>
      </w:pPr>
      <w:bookmarkStart w:id="27" w:name="_Toc398888114"/>
      <w:r>
        <w:rPr>
          <w:rStyle w:val="CharSectno"/>
        </w:rPr>
        <w:t>16</w:t>
      </w:r>
      <w:r>
        <w:t>.</w:t>
      </w:r>
      <w:r>
        <w:tab/>
        <w:t>Matters relating to criminal history</w:t>
      </w:r>
      <w:bookmarkEnd w:id="27"/>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28" w:name="_Toc398888115"/>
      <w:r>
        <w:rPr>
          <w:rStyle w:val="CharSectno"/>
        </w:rPr>
        <w:t>17</w:t>
      </w:r>
      <w:r>
        <w:t>.</w:t>
      </w:r>
      <w:r>
        <w:tab/>
        <w:t>Application for amendment of provider approval</w:t>
      </w:r>
      <w:bookmarkEnd w:id="28"/>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29" w:name="_Toc398888116"/>
      <w:r>
        <w:rPr>
          <w:rStyle w:val="CharSectno"/>
        </w:rPr>
        <w:t>18</w:t>
      </w:r>
      <w:r>
        <w:t>.</w:t>
      </w:r>
      <w:r>
        <w:tab/>
        <w:t>Maximum period of suspension of provider approval</w:t>
      </w:r>
      <w:bookmarkEnd w:id="29"/>
      <w:r>
        <w:t xml:space="preserve"> </w:t>
      </w:r>
    </w:p>
    <w:p>
      <w:pPr>
        <w:pStyle w:val="Subsection"/>
      </w:pPr>
      <w:r>
        <w:tab/>
      </w:r>
      <w:r>
        <w:tab/>
        <w:t>The prescribed maximum period of suspension of a provider approval under section 27(a) or 33(1)(a)(ii) of the Law is 12 months.</w:t>
      </w:r>
    </w:p>
    <w:p>
      <w:pPr>
        <w:pStyle w:val="Heading5"/>
      </w:pPr>
      <w:bookmarkStart w:id="30" w:name="_Toc398888117"/>
      <w:r>
        <w:rPr>
          <w:rStyle w:val="CharSectno"/>
        </w:rPr>
        <w:t>19</w:t>
      </w:r>
      <w:r>
        <w:t>.</w:t>
      </w:r>
      <w:r>
        <w:tab/>
        <w:t>Application for voluntary suspension of provider approval</w:t>
      </w:r>
      <w:bookmarkEnd w:id="30"/>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31" w:name="_Toc398888118"/>
      <w:r>
        <w:rPr>
          <w:rStyle w:val="CharSectno"/>
        </w:rPr>
        <w:t>20</w:t>
      </w:r>
      <w:r>
        <w:t>.</w:t>
      </w:r>
      <w:r>
        <w:tab/>
        <w:t>Application by individual executor for provider approval</w:t>
      </w:r>
      <w:bookmarkEnd w:id="31"/>
      <w:r>
        <w:t xml:space="preserve"> </w:t>
      </w:r>
    </w:p>
    <w:p>
      <w:pPr>
        <w:pStyle w:val="Subsection"/>
      </w:pPr>
      <w:r>
        <w:tab/>
      </w:r>
      <w:r>
        <w:tab/>
        <w:t xml:space="preserve">An application for a provider approval made under section 39(5) of the Law by an executor who is an individual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NotesPerm"/>
        <w:tabs>
          <w:tab w:val="clear" w:pos="879"/>
          <w:tab w:val="left" w:pos="851"/>
        </w:tabs>
        <w:spacing w:before="80"/>
        <w:ind w:left="1418" w:hanging="1418"/>
      </w:pPr>
      <w:r>
        <w:tab/>
        <w:t>Note:</w:t>
      </w:r>
      <w: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safety screening clearance;</w:t>
      </w:r>
    </w:p>
    <w:p>
      <w:pPr>
        <w:pStyle w:val="Indenta"/>
        <w:keepNext/>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Footnotesection"/>
      </w:pPr>
      <w:r>
        <w:tab/>
        <w:t>[Regulation 20 amended in Gazette 13 Dec 2013 p.</w:t>
      </w:r>
      <w:r>
        <w:rPr>
          <w:sz w:val="19"/>
        </w:rPr>
        <w:t> </w:t>
      </w:r>
      <w:r>
        <w:t>6154</w:t>
      </w:r>
      <w:r>
        <w:noBreakHyphen/>
        <w:t>5.]</w:t>
      </w:r>
    </w:p>
    <w:p>
      <w:pPr>
        <w:pStyle w:val="Heading5"/>
      </w:pPr>
      <w:bookmarkStart w:id="32" w:name="_Toc398888119"/>
      <w:r>
        <w:rPr>
          <w:rStyle w:val="CharSectno"/>
        </w:rPr>
        <w:t>21</w:t>
      </w:r>
      <w:r>
        <w:t>.</w:t>
      </w:r>
      <w:r>
        <w:tab/>
        <w:t>Application by executor other than an individual for provider approval</w:t>
      </w:r>
      <w:bookmarkEnd w:id="32"/>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NotesPerm"/>
        <w:tabs>
          <w:tab w:val="clear" w:pos="879"/>
          <w:tab w:val="left" w:pos="851"/>
        </w:tabs>
        <w:spacing w:before="80"/>
        <w:ind w:left="1418" w:hanging="1418"/>
      </w:pPr>
      <w:r>
        <w:tab/>
        <w:t>Note:</w:t>
      </w:r>
      <w:r>
        <w:tab/>
        <w:t>This period cannot exceed 6 months.</w:t>
      </w:r>
    </w:p>
    <w:p>
      <w:pPr>
        <w:pStyle w:val="Indenta"/>
      </w:pPr>
      <w:r>
        <w:tab/>
        <w:t>(f)</w:t>
      </w:r>
      <w:r>
        <w:tab/>
        <w:t>documentary evidence of the legal status of the applicant and its constitution;</w:t>
      </w:r>
    </w:p>
    <w:p>
      <w:pPr>
        <w:pStyle w:val="NotesPerm"/>
        <w:tabs>
          <w:tab w:val="clear" w:pos="879"/>
          <w:tab w:val="left" w:pos="851"/>
        </w:tabs>
        <w:spacing w:before="80"/>
        <w:ind w:left="1701" w:hanging="1418"/>
      </w:pPr>
      <w:r>
        <w:tab/>
        <w:t xml:space="preserve">Example: </w:t>
      </w:r>
      <w: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33" w:name="_Toc398888120"/>
      <w:r>
        <w:rPr>
          <w:rStyle w:val="CharSectno"/>
        </w:rPr>
        <w:t>22</w:t>
      </w:r>
      <w:r>
        <w:t>.</w:t>
      </w:r>
      <w:r>
        <w:tab/>
        <w:t>Application by individual for provider approval on incapacity of approved provider</w:t>
      </w:r>
      <w:bookmarkEnd w:id="33"/>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NotesPerm"/>
        <w:tabs>
          <w:tab w:val="clear" w:pos="879"/>
          <w:tab w:val="left" w:pos="851"/>
        </w:tabs>
        <w:spacing w:before="80"/>
        <w:ind w:left="1418" w:hanging="1418"/>
      </w:pPr>
      <w:r>
        <w:tab/>
        <w:t>Note:</w:t>
      </w:r>
      <w: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safety screening clearance;</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Footnotesection"/>
      </w:pPr>
      <w:r>
        <w:tab/>
        <w:t>[Regulation 22 amended in Gazette 13 Dec 2013 p.</w:t>
      </w:r>
      <w:r>
        <w:rPr>
          <w:sz w:val="19"/>
        </w:rPr>
        <w:t> </w:t>
      </w:r>
      <w:r>
        <w:t>6155</w:t>
      </w:r>
      <w:r>
        <w:noBreakHyphen/>
        <w:t>6.]</w:t>
      </w:r>
    </w:p>
    <w:p>
      <w:pPr>
        <w:pStyle w:val="Heading5"/>
      </w:pPr>
      <w:bookmarkStart w:id="34" w:name="_Toc398888121"/>
      <w:r>
        <w:rPr>
          <w:rStyle w:val="CharSectno"/>
        </w:rPr>
        <w:t>23</w:t>
      </w:r>
      <w:r>
        <w:t>.</w:t>
      </w:r>
      <w:r>
        <w:tab/>
        <w:t>Application by person other than an individual for provider approval on incapacity of approved provider</w:t>
      </w:r>
      <w:bookmarkEnd w:id="34"/>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spacing w:before="100"/>
      </w:pPr>
      <w:r>
        <w:tab/>
        <w:t>(e)</w:t>
      </w:r>
      <w:r>
        <w:tab/>
        <w:t xml:space="preserve">the proposed duration of the provider approval; </w:t>
      </w:r>
    </w:p>
    <w:p>
      <w:pPr>
        <w:pStyle w:val="NotesPerm"/>
        <w:tabs>
          <w:tab w:val="clear" w:pos="879"/>
          <w:tab w:val="left" w:pos="851"/>
        </w:tabs>
        <w:spacing w:before="100"/>
        <w:ind w:left="1418" w:hanging="1418"/>
      </w:pPr>
      <w:r>
        <w:tab/>
        <w:t>Note:</w:t>
      </w:r>
      <w:r>
        <w:tab/>
        <w:t>This period cannot exceed 6 months.</w:t>
      </w:r>
    </w:p>
    <w:p>
      <w:pPr>
        <w:pStyle w:val="Indenta"/>
        <w:spacing w:before="100"/>
      </w:pPr>
      <w:r>
        <w:tab/>
        <w:t>(f)</w:t>
      </w:r>
      <w:r>
        <w:tab/>
        <w:t xml:space="preserve">documentary evidence of the legal status of the applicant and its constitution; </w:t>
      </w:r>
    </w:p>
    <w:p>
      <w:pPr>
        <w:pStyle w:val="NotesPerm"/>
        <w:tabs>
          <w:tab w:val="clear" w:pos="879"/>
          <w:tab w:val="left" w:pos="851"/>
        </w:tabs>
        <w:spacing w:before="100"/>
        <w:ind w:left="1701" w:hanging="1418"/>
      </w:pPr>
      <w:r>
        <w:tab/>
        <w:t>Example:</w:t>
      </w:r>
      <w: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Heading3"/>
      </w:pPr>
      <w:bookmarkStart w:id="35" w:name="_Toc397340266"/>
      <w:bookmarkStart w:id="36" w:name="_Toc398887703"/>
      <w:bookmarkStart w:id="37" w:name="_Toc398888122"/>
      <w:r>
        <w:rPr>
          <w:rStyle w:val="CharDivNo"/>
        </w:rPr>
        <w:t>Part 2.2</w:t>
      </w:r>
      <w:r>
        <w:t> — </w:t>
      </w:r>
      <w:r>
        <w:rPr>
          <w:rStyle w:val="CharDivText"/>
        </w:rPr>
        <w:t>Service approvals</w:t>
      </w:r>
      <w:bookmarkEnd w:id="35"/>
      <w:bookmarkEnd w:id="36"/>
      <w:bookmarkEnd w:id="37"/>
    </w:p>
    <w:p>
      <w:pPr>
        <w:pStyle w:val="Heading4"/>
      </w:pPr>
      <w:bookmarkStart w:id="38" w:name="_Toc397340267"/>
      <w:bookmarkStart w:id="39" w:name="_Toc398887704"/>
      <w:bookmarkStart w:id="40" w:name="_Toc398888123"/>
      <w:r>
        <w:t>Division 1 — Applications for service approvals</w:t>
      </w:r>
      <w:bookmarkEnd w:id="38"/>
      <w:bookmarkEnd w:id="39"/>
      <w:bookmarkEnd w:id="40"/>
    </w:p>
    <w:p>
      <w:pPr>
        <w:pStyle w:val="Heading5"/>
      </w:pPr>
      <w:bookmarkStart w:id="41" w:name="_Toc398888124"/>
      <w:r>
        <w:rPr>
          <w:rStyle w:val="CharSectno"/>
        </w:rPr>
        <w:t>24</w:t>
      </w:r>
      <w:r>
        <w:t>.</w:t>
      </w:r>
      <w:r>
        <w:tab/>
        <w:t>Application for service approval — centre</w:t>
      </w:r>
      <w:r>
        <w:noBreakHyphen/>
        <w:t>based service</w:t>
      </w:r>
      <w:bookmarkEnd w:id="41"/>
      <w:r>
        <w:t xml:space="preserve"> </w:t>
      </w:r>
    </w:p>
    <w:p>
      <w:pPr>
        <w:pStyle w:val="Subsection"/>
      </w:pPr>
      <w:r>
        <w:tab/>
      </w:r>
      <w:r>
        <w:tab/>
        <w:t>An application under section 43 of the Law for a service approval for a centre</w:t>
      </w:r>
      <w:r>
        <w:noBreakHyphen/>
        <w:t xml:space="preserve">based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 and</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NotesPerm"/>
        <w:tabs>
          <w:tab w:val="clear" w:pos="879"/>
          <w:tab w:val="left" w:pos="851"/>
        </w:tabs>
        <w:ind w:left="1418" w:hanging="1418"/>
      </w:pPr>
      <w:r>
        <w:tab/>
        <w:t>Note:</w:t>
      </w:r>
      <w:r>
        <w:tab/>
        <w:t>The application must include the certified supervisor’s written consent to the nomination — see section 44(1)(d) of the Law.</w:t>
      </w:r>
    </w:p>
    <w:p>
      <w:pPr>
        <w:pStyle w:val="Heading5"/>
      </w:pPr>
      <w:bookmarkStart w:id="42" w:name="_Toc398888125"/>
      <w:r>
        <w:rPr>
          <w:rStyle w:val="CharSectno"/>
        </w:rPr>
        <w:t>25</w:t>
      </w:r>
      <w:r>
        <w:t>.</w:t>
      </w:r>
      <w:r>
        <w:tab/>
        <w:t>Additional information about proposed education and care service premises</w:t>
      </w:r>
      <w:bookmarkEnd w:id="42"/>
      <w:r>
        <w:t xml:space="preserve"> </w:t>
      </w:r>
    </w:p>
    <w:p>
      <w:pPr>
        <w:pStyle w:val="Subsection"/>
      </w:pPr>
      <w:r>
        <w:tab/>
        <w:t>(1)</w:t>
      </w:r>
      <w:r>
        <w:tab/>
        <w:t>Subject to subregulation (2), in addition to the information referred to in regulation 24, an application for a service approval for a centre</w:t>
      </w:r>
      <w:r>
        <w:noBreakHyphen/>
        <w:t xml:space="preserve">based service must include the following information about the proposed education and care service premises — </w:t>
      </w:r>
    </w:p>
    <w:p>
      <w:pPr>
        <w:pStyle w:val="Indenta"/>
      </w:pPr>
      <w:r>
        <w:tab/>
        <w:t>(a)</w:t>
      </w:r>
      <w:r>
        <w:tab/>
        <w:t>the location and street address of the proposed education and care service premises;</w:t>
      </w:r>
    </w:p>
    <w:p>
      <w:pPr>
        <w:pStyle w:val="Indenta"/>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NotesPerm"/>
        <w:tabs>
          <w:tab w:val="clear" w:pos="879"/>
          <w:tab w:val="left" w:pos="851"/>
        </w:tabs>
        <w:spacing w:before="60"/>
        <w:ind w:left="1701" w:hanging="1418"/>
      </w:pPr>
      <w:r>
        <w:tab/>
        <w:t>Example:</w:t>
      </w:r>
      <w: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Subsection"/>
      </w:pPr>
      <w:r>
        <w:tab/>
        <w:t>(2)</w:t>
      </w:r>
      <w:r>
        <w:tab/>
        <w:t xml:space="preserve">A regulatory authority may determine that the information set out in subregulation (1)(b) or (g) is not required to be provided if the approved provider is seeking — </w:t>
      </w:r>
    </w:p>
    <w:p>
      <w:pPr>
        <w:pStyle w:val="Indenta"/>
      </w:pPr>
      <w:r>
        <w:tab/>
        <w:t>(a)</w:t>
      </w:r>
      <w:r>
        <w:tab/>
        <w:t>to relocate the education and care service to alternative premises for not more than 12 months; or</w:t>
      </w:r>
    </w:p>
    <w:p>
      <w:pPr>
        <w:pStyle w:val="Indenta"/>
      </w:pPr>
      <w:r>
        <w:tab/>
        <w:t>(b)</w:t>
      </w:r>
      <w:r>
        <w:tab/>
        <w:t>to locate the education and care service on a school site.</w:t>
      </w:r>
    </w:p>
    <w:p>
      <w:pPr>
        <w:pStyle w:val="Footnotesection"/>
      </w:pPr>
      <w:r>
        <w:tab/>
        <w:t>[Regulation 25 amended in Gazette 13 Dec 2013 p.</w:t>
      </w:r>
      <w:r>
        <w:rPr>
          <w:sz w:val="19"/>
        </w:rPr>
        <w:t> </w:t>
      </w:r>
      <w:r>
        <w:t>6156</w:t>
      </w:r>
      <w:r>
        <w:noBreakHyphen/>
        <w:t>7.]</w:t>
      </w:r>
    </w:p>
    <w:p>
      <w:pPr>
        <w:pStyle w:val="Heading5"/>
      </w:pPr>
      <w:bookmarkStart w:id="43" w:name="_Toc398888126"/>
      <w:r>
        <w:rPr>
          <w:rStyle w:val="CharSectno"/>
        </w:rPr>
        <w:t>26</w:t>
      </w:r>
      <w:r>
        <w:t>.</w:t>
      </w:r>
      <w:r>
        <w:tab/>
        <w:t>Application for service approval — family day care service</w:t>
      </w:r>
      <w:bookmarkEnd w:id="43"/>
      <w:r>
        <w:t xml:space="preserve"> </w:t>
      </w:r>
    </w:p>
    <w:p>
      <w:pPr>
        <w:pStyle w:val="Subsection"/>
      </w:pPr>
      <w:r>
        <w:tab/>
      </w:r>
      <w:r>
        <w:tab/>
        <w:t xml:space="preserve">An application under section 43 of the Law for a service approval for a family day care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(h)</w:t>
      </w:r>
      <w:r>
        <w:tab/>
        <w:t>the jurisdictions and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NotesPerm"/>
        <w:tabs>
          <w:tab w:val="clear" w:pos="879"/>
          <w:tab w:val="left" w:pos="851"/>
        </w:tabs>
        <w:spacing w:before="80"/>
        <w:ind w:left="1418" w:hanging="1418"/>
      </w:pPr>
      <w:r>
        <w:tab/>
        <w:t xml:space="preserve">Note: </w:t>
      </w:r>
      <w:r>
        <w:tab/>
        <w:t>The application must include the certified supervisor’s written consent to the nomination — see section 44(1)(d) of the Law.</w:t>
      </w:r>
    </w:p>
    <w:p>
      <w:pPr>
        <w:pStyle w:val="Heading5"/>
      </w:pPr>
      <w:bookmarkStart w:id="44" w:name="_Toc398888127"/>
      <w:r>
        <w:rPr>
          <w:rStyle w:val="CharSectno"/>
        </w:rPr>
        <w:t>27</w:t>
      </w:r>
      <w:r>
        <w:t>.</w:t>
      </w:r>
      <w:r>
        <w:tab/>
        <w:t>Additional matters to have regard to in determining application for service approval</w:t>
      </w:r>
      <w:bookmarkEnd w:id="44"/>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NotesPerm"/>
        <w:tabs>
          <w:tab w:val="clear" w:pos="879"/>
          <w:tab w:val="left" w:pos="851"/>
        </w:tabs>
        <w:spacing w:before="80"/>
        <w:ind w:left="1418" w:hanging="1418"/>
      </w:pPr>
      <w:r>
        <w:tab/>
        <w:t>Note:</w:t>
      </w:r>
      <w:r>
        <w:tab/>
        <w:t>See section 47(1)(g) of the Law.</w:t>
      </w:r>
    </w:p>
    <w:p>
      <w:pPr>
        <w:pStyle w:val="Heading5"/>
      </w:pPr>
      <w:bookmarkStart w:id="45" w:name="_Toc398888128"/>
      <w:r>
        <w:rPr>
          <w:rStyle w:val="CharSectno"/>
        </w:rPr>
        <w:t>28</w:t>
      </w:r>
      <w:r>
        <w:t>.</w:t>
      </w:r>
      <w:r>
        <w:tab/>
        <w:t>Additional grounds for refusal to grant service approval</w:t>
      </w:r>
      <w:bookmarkEnd w:id="45"/>
      <w:r>
        <w:t xml:space="preserve"> </w:t>
      </w:r>
    </w:p>
    <w:p>
      <w:pPr>
        <w:pStyle w:val="Subsection"/>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NotesPerm"/>
        <w:spacing w:before="80"/>
      </w:pPr>
      <w:r>
        <w:tab/>
        <w:t>Examples:</w:t>
      </w:r>
    </w:p>
    <w:p>
      <w:pPr>
        <w:pStyle w:val="NotesPerm"/>
        <w:tabs>
          <w:tab w:val="clear" w:pos="879"/>
          <w:tab w:val="left" w:pos="851"/>
        </w:tabs>
        <w:spacing w:before="80"/>
        <w:ind w:left="1418" w:hanging="1418"/>
      </w:pPr>
      <w:r>
        <w:tab/>
        <w:t xml:space="preserve">1 </w:t>
      </w:r>
      <w:r>
        <w:tab/>
        <w:t>The Regulatory Authority is not satisfied that the applicant is capable of maintaining premises or equipment or providing staff as required under the Law, whether because of financial or management capacity or another reason.</w:t>
      </w:r>
    </w:p>
    <w:p>
      <w:pPr>
        <w:pStyle w:val="NotesPerm"/>
        <w:tabs>
          <w:tab w:val="clear" w:pos="879"/>
          <w:tab w:val="left" w:pos="851"/>
        </w:tabs>
        <w:spacing w:before="80"/>
        <w:ind w:left="1418" w:hanging="1418"/>
      </w:pPr>
      <w:r>
        <w:tab/>
        <w:t xml:space="preserve">2 </w:t>
      </w:r>
      <w: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NotesPerm"/>
        <w:tabs>
          <w:tab w:val="clear" w:pos="879"/>
          <w:tab w:val="left" w:pos="851"/>
        </w:tabs>
        <w:spacing w:before="80"/>
        <w:ind w:left="1418" w:hanging="1418"/>
      </w:pPr>
      <w:r>
        <w:tab/>
        <w:t>Note:</w:t>
      </w:r>
      <w:r>
        <w:tab/>
        <w:t>See section 49(2) of the Law.</w:t>
      </w:r>
    </w:p>
    <w:p>
      <w:pPr>
        <w:pStyle w:val="Heading5"/>
      </w:pPr>
      <w:bookmarkStart w:id="46" w:name="_Toc398888129"/>
      <w:r>
        <w:rPr>
          <w:rStyle w:val="CharSectno"/>
        </w:rPr>
        <w:t>29</w:t>
      </w:r>
      <w:r>
        <w:t>.</w:t>
      </w:r>
      <w:r>
        <w:tab/>
        <w:t>Condition on service approval — insurance</w:t>
      </w:r>
      <w:bookmarkEnd w:id="46"/>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NotesPerm"/>
        <w:tabs>
          <w:tab w:val="clear" w:pos="879"/>
          <w:tab w:val="left" w:pos="851"/>
        </w:tabs>
        <w:spacing w:before="80"/>
        <w:ind w:left="1418" w:hanging="1418"/>
      </w:pPr>
      <w:r>
        <w:tab/>
        <w:t>Notes:</w:t>
      </w:r>
    </w:p>
    <w:p>
      <w:pPr>
        <w:pStyle w:val="NotesPerm"/>
        <w:tabs>
          <w:tab w:val="clear" w:pos="879"/>
          <w:tab w:val="left" w:pos="851"/>
          <w:tab w:val="left" w:pos="1418"/>
        </w:tabs>
        <w:spacing w:before="80"/>
        <w:ind w:left="1418" w:hanging="1418"/>
      </w:pPr>
      <w:r>
        <w:tab/>
        <w:t xml:space="preserve">1 </w:t>
      </w:r>
      <w:r>
        <w:tab/>
        <w:t>See section 51(4) of the Law.</w:t>
      </w:r>
    </w:p>
    <w:p>
      <w:pPr>
        <w:pStyle w:val="NotesPerm"/>
        <w:tabs>
          <w:tab w:val="clear" w:pos="879"/>
          <w:tab w:val="left" w:pos="851"/>
          <w:tab w:val="left" w:pos="1418"/>
        </w:tabs>
        <w:spacing w:before="80"/>
        <w:ind w:left="1418" w:hanging="1418"/>
      </w:pPr>
      <w:r>
        <w:tab/>
        <w:t xml:space="preserve">2 </w:t>
      </w:r>
      <w:r>
        <w:tab/>
        <w:t>See regulation 180 for the requirement to keep evidence of prescribed insurance.</w:t>
      </w:r>
    </w:p>
    <w:p>
      <w:pPr>
        <w:pStyle w:val="Heading5"/>
      </w:pPr>
      <w:bookmarkStart w:id="47" w:name="_Toc398888130"/>
      <w:r>
        <w:rPr>
          <w:rStyle w:val="CharSectno"/>
        </w:rPr>
        <w:t>30</w:t>
      </w:r>
      <w:r>
        <w:t>.</w:t>
      </w:r>
      <w:r>
        <w:tab/>
        <w:t>Condition on service approval — family day care educator insurance</w:t>
      </w:r>
      <w:bookmarkEnd w:id="47"/>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NotesPerm"/>
        <w:tabs>
          <w:tab w:val="clear" w:pos="879"/>
          <w:tab w:val="left" w:pos="851"/>
        </w:tabs>
        <w:spacing w:before="80"/>
        <w:ind w:left="1418" w:hanging="1418"/>
      </w:pPr>
      <w:r>
        <w:tab/>
        <w:t>Notes:</w:t>
      </w:r>
    </w:p>
    <w:p>
      <w:pPr>
        <w:pStyle w:val="NotesPerm"/>
        <w:tabs>
          <w:tab w:val="clear" w:pos="879"/>
          <w:tab w:val="left" w:pos="851"/>
          <w:tab w:val="left" w:pos="1418"/>
        </w:tabs>
        <w:spacing w:before="80"/>
        <w:ind w:left="1418" w:hanging="1418"/>
      </w:pPr>
      <w:r>
        <w:tab/>
        <w:t xml:space="preserve">1 </w:t>
      </w:r>
      <w:r>
        <w:tab/>
        <w:t>See section 51(5) of the Law.</w:t>
      </w:r>
    </w:p>
    <w:p>
      <w:pPr>
        <w:pStyle w:val="NotesPerm"/>
        <w:tabs>
          <w:tab w:val="clear" w:pos="879"/>
          <w:tab w:val="left" w:pos="851"/>
          <w:tab w:val="left" w:pos="1418"/>
        </w:tabs>
        <w:spacing w:before="80"/>
        <w:ind w:left="1418" w:hanging="1418"/>
      </w:pPr>
      <w:r>
        <w:tab/>
        <w:t xml:space="preserve">2 </w:t>
      </w:r>
      <w:r>
        <w:tab/>
        <w:t>See regulation 180 for the requirement to keep evidence of prescribed insurance.</w:t>
      </w:r>
    </w:p>
    <w:p>
      <w:pPr>
        <w:pStyle w:val="Heading5"/>
      </w:pPr>
      <w:bookmarkStart w:id="48" w:name="_Toc398888131"/>
      <w:r>
        <w:rPr>
          <w:rStyle w:val="CharSectno"/>
        </w:rPr>
        <w:t>31</w:t>
      </w:r>
      <w:r>
        <w:t>.</w:t>
      </w:r>
      <w:r>
        <w:tab/>
        <w:t>Condition on service approval — quality improvement plan</w:t>
      </w:r>
      <w:bookmarkEnd w:id="48"/>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parents of a child who is enrolled at the service or who are seeking to enrol a child at the service.</w:t>
      </w:r>
    </w:p>
    <w:p>
      <w:pPr>
        <w:pStyle w:val="NotesPerm"/>
        <w:tabs>
          <w:tab w:val="clear" w:pos="879"/>
          <w:tab w:val="left" w:pos="851"/>
        </w:tabs>
        <w:spacing w:before="80"/>
        <w:ind w:left="1418" w:hanging="1418"/>
      </w:pPr>
      <w:r>
        <w:tab/>
        <w:t>Notes:</w:t>
      </w:r>
    </w:p>
    <w:p>
      <w:pPr>
        <w:pStyle w:val="NotesPerm"/>
        <w:tabs>
          <w:tab w:val="clear" w:pos="879"/>
          <w:tab w:val="left" w:pos="851"/>
          <w:tab w:val="left" w:pos="1418"/>
        </w:tabs>
        <w:spacing w:before="80"/>
        <w:ind w:left="1418" w:hanging="1418"/>
      </w:pPr>
      <w:r>
        <w:tab/>
        <w:t xml:space="preserve">1 </w:t>
      </w:r>
      <w:r>
        <w:tab/>
        <w:t>See section 51(5) of the Law.</w:t>
      </w:r>
    </w:p>
    <w:p>
      <w:pPr>
        <w:pStyle w:val="NotesPerm"/>
        <w:tabs>
          <w:tab w:val="clear" w:pos="879"/>
          <w:tab w:val="left" w:pos="851"/>
          <w:tab w:val="left" w:pos="1418"/>
        </w:tabs>
        <w:spacing w:before="80"/>
        <w:ind w:left="1418" w:hanging="1418"/>
      </w:pPr>
      <w:r>
        <w:tab/>
        <w:t xml:space="preserve">2 </w:t>
      </w:r>
      <w:r>
        <w:tab/>
        <w:t>See regulations 55 and 56, which set out requirements for quality improvement plans.</w:t>
      </w:r>
    </w:p>
    <w:p>
      <w:pPr>
        <w:pStyle w:val="Heading5"/>
      </w:pPr>
      <w:bookmarkStart w:id="49" w:name="_Toc398888132"/>
      <w:r>
        <w:rPr>
          <w:rStyle w:val="CharSectno"/>
        </w:rPr>
        <w:t>32</w:t>
      </w:r>
      <w:r>
        <w:t>.</w:t>
      </w:r>
      <w:r>
        <w:tab/>
        <w:t>Condition on service approval — entitlement to occupy premises</w:t>
      </w:r>
      <w:bookmarkEnd w:id="49"/>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NotesPerm"/>
        <w:tabs>
          <w:tab w:val="clear" w:pos="879"/>
          <w:tab w:val="left" w:pos="851"/>
        </w:tabs>
        <w:spacing w:before="80"/>
        <w:ind w:left="1418" w:hanging="1418"/>
      </w:pPr>
      <w:r>
        <w:tab/>
        <w:t>Note:</w:t>
      </w:r>
      <w:r>
        <w:tab/>
        <w:t>See section 51(5) of the Law.</w:t>
      </w:r>
    </w:p>
    <w:p>
      <w:pPr>
        <w:pStyle w:val="Heading5"/>
      </w:pPr>
      <w:bookmarkStart w:id="50" w:name="_Toc398888133"/>
      <w:r>
        <w:rPr>
          <w:rStyle w:val="CharSectno"/>
        </w:rPr>
        <w:t>33</w:t>
      </w:r>
      <w:r>
        <w:t>.</w:t>
      </w:r>
      <w:r>
        <w:tab/>
        <w:t>Annual fees</w:t>
      </w:r>
      <w:bookmarkEnd w:id="50"/>
    </w:p>
    <w:p>
      <w:pPr>
        <w:pStyle w:val="Subsection"/>
      </w:pPr>
      <w:r>
        <w:tab/>
      </w:r>
      <w:r>
        <w:tab/>
        <w:t>The approved provider of an education and care service must pay the relevant annual fee set out in Schedule 2 for the service approval on or before 1 July each year.</w:t>
      </w:r>
    </w:p>
    <w:p>
      <w:pPr>
        <w:pStyle w:val="Footnotesection"/>
      </w:pPr>
      <w:r>
        <w:tab/>
        <w:t>[Regulation 33 amended in Gazette 13 Dec 2013 p.</w:t>
      </w:r>
      <w:r>
        <w:rPr>
          <w:sz w:val="19"/>
        </w:rPr>
        <w:t> </w:t>
      </w:r>
      <w:r>
        <w:t>6157.]</w:t>
      </w:r>
    </w:p>
    <w:p>
      <w:pPr>
        <w:pStyle w:val="Heading4"/>
      </w:pPr>
      <w:bookmarkStart w:id="51" w:name="_Toc397340278"/>
      <w:bookmarkStart w:id="52" w:name="_Toc398887715"/>
      <w:bookmarkStart w:id="53" w:name="_Toc398888134"/>
      <w:r>
        <w:t>Division 2 — Amendment of service approval and notice of change to nominated supervisor</w:t>
      </w:r>
      <w:bookmarkEnd w:id="51"/>
      <w:bookmarkEnd w:id="52"/>
      <w:bookmarkEnd w:id="53"/>
    </w:p>
    <w:p>
      <w:pPr>
        <w:pStyle w:val="Heading5"/>
      </w:pPr>
      <w:bookmarkStart w:id="54" w:name="_Toc398888135"/>
      <w:r>
        <w:rPr>
          <w:rStyle w:val="CharSectno"/>
        </w:rPr>
        <w:t>34</w:t>
      </w:r>
      <w:r>
        <w:t>.</w:t>
      </w:r>
      <w:r>
        <w:tab/>
        <w:t>Prescribed information for application to amend service approval</w:t>
      </w:r>
      <w:bookmarkEnd w:id="54"/>
      <w:r>
        <w:t xml:space="preserve"> </w:t>
      </w:r>
    </w:p>
    <w:p>
      <w:pPr>
        <w:pStyle w:val="Subsection"/>
      </w:pPr>
      <w:r>
        <w:tab/>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55" w:name="_Toc398888136"/>
      <w:r>
        <w:rPr>
          <w:rStyle w:val="CharSectno"/>
        </w:rPr>
        <w:t>35</w:t>
      </w:r>
      <w:r>
        <w:t>.</w:t>
      </w:r>
      <w:r>
        <w:tab/>
        <w:t>Notice of change to nominated supervisor</w:t>
      </w:r>
      <w:bookmarkEnd w:id="55"/>
      <w:r>
        <w:t xml:space="preserve"> </w:t>
      </w:r>
    </w:p>
    <w:p>
      <w:pPr>
        <w:pStyle w:val="Subsection"/>
      </w:pPr>
      <w:r>
        <w:tab/>
      </w:r>
      <w:r>
        <w:tab/>
        <w:t xml:space="preserve">A notice under section 56 of the Law to change the person nominated as the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Indenta"/>
      </w:pPr>
      <w:r>
        <w:tab/>
        <w:t>(e)</w:t>
      </w:r>
      <w:r>
        <w:tab/>
        <w:t>the nominated supervisor’s written consent to the nomination;</w:t>
      </w:r>
    </w:p>
    <w:p>
      <w:pPr>
        <w:pStyle w:val="Indenta"/>
      </w:pPr>
      <w:r>
        <w:tab/>
        <w:t>(f)</w:t>
      </w:r>
      <w:r>
        <w:tab/>
        <w:t>the supervisor certificate number of the new nominated supervisor;</w:t>
      </w:r>
    </w:p>
    <w:p>
      <w:pPr>
        <w:pStyle w:val="Indenta"/>
      </w:pPr>
      <w:r>
        <w:tab/>
        <w:t>(g)</w:t>
      </w:r>
      <w:r>
        <w:tab/>
        <w:t>the date on which the new supervisor commences or commenced work as the nominated supervisor.</w:t>
      </w:r>
    </w:p>
    <w:p>
      <w:pPr>
        <w:pStyle w:val="Heading4"/>
      </w:pPr>
      <w:bookmarkStart w:id="56" w:name="_Toc397340281"/>
      <w:bookmarkStart w:id="57" w:name="_Toc398887718"/>
      <w:bookmarkStart w:id="58" w:name="_Toc398888137"/>
      <w:r>
        <w:t>Division 3 — Transfer of service approval</w:t>
      </w:r>
      <w:bookmarkEnd w:id="56"/>
      <w:bookmarkEnd w:id="57"/>
      <w:bookmarkEnd w:id="58"/>
    </w:p>
    <w:p>
      <w:pPr>
        <w:pStyle w:val="Heading5"/>
      </w:pPr>
      <w:bookmarkStart w:id="59" w:name="_Toc398888138"/>
      <w:r>
        <w:rPr>
          <w:rStyle w:val="CharSectno"/>
        </w:rPr>
        <w:t>36</w:t>
      </w:r>
      <w:r>
        <w:t>.</w:t>
      </w:r>
      <w:r>
        <w:tab/>
        <w:t>Notice of transfer of service approval — centre</w:t>
      </w:r>
      <w:r>
        <w:noBreakHyphen/>
        <w:t>based service</w:t>
      </w:r>
      <w:bookmarkEnd w:id="59"/>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60" w:name="_Toc398888139"/>
      <w:r>
        <w:rPr>
          <w:rStyle w:val="CharSectno"/>
        </w:rPr>
        <w:t>37</w:t>
      </w:r>
      <w:r>
        <w:t>.</w:t>
      </w:r>
      <w:r>
        <w:tab/>
        <w:t>Notice of transfer of service approval — family day care service</w:t>
      </w:r>
      <w:bookmarkEnd w:id="60"/>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61" w:name="_Toc398888140"/>
      <w:r>
        <w:rPr>
          <w:rStyle w:val="CharSectno"/>
        </w:rPr>
        <w:t>38</w:t>
      </w:r>
      <w:r>
        <w:t>.</w:t>
      </w:r>
      <w:r>
        <w:tab/>
        <w:t>Notification of decision to intervene in transfer of service approval</w:t>
      </w:r>
      <w:bookmarkEnd w:id="61"/>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NotesPerm"/>
        <w:tabs>
          <w:tab w:val="clear" w:pos="879"/>
          <w:tab w:val="left" w:pos="851"/>
        </w:tabs>
        <w:spacing w:before="80"/>
        <w:ind w:left="1418" w:hanging="1418"/>
      </w:pPr>
      <w:r>
        <w:tab/>
        <w:t>Note:</w:t>
      </w:r>
      <w:r>
        <w:tab/>
        <w:t>This regulation differs from regulation 38 of the national regulations made by the Ministerial Council.</w:t>
      </w:r>
    </w:p>
    <w:p>
      <w:pPr>
        <w:pStyle w:val="Heading4"/>
      </w:pPr>
      <w:bookmarkStart w:id="62" w:name="_Toc397340285"/>
      <w:bookmarkStart w:id="63" w:name="_Toc398887722"/>
      <w:bookmarkStart w:id="64" w:name="_Toc398888141"/>
      <w:r>
        <w:t>Division 4 — Suspension of service approval</w:t>
      </w:r>
      <w:bookmarkEnd w:id="62"/>
      <w:bookmarkEnd w:id="63"/>
      <w:bookmarkEnd w:id="64"/>
    </w:p>
    <w:p>
      <w:pPr>
        <w:pStyle w:val="Heading5"/>
      </w:pPr>
      <w:bookmarkStart w:id="65" w:name="_Toc398888142"/>
      <w:r>
        <w:rPr>
          <w:rStyle w:val="CharSectno"/>
        </w:rPr>
        <w:t>39</w:t>
      </w:r>
      <w:r>
        <w:t>.</w:t>
      </w:r>
      <w:r>
        <w:tab/>
        <w:t>Maximum period of suspension of service approval</w:t>
      </w:r>
      <w:bookmarkEnd w:id="65"/>
      <w:r>
        <w:t xml:space="preserve"> </w:t>
      </w:r>
    </w:p>
    <w:p>
      <w:pPr>
        <w:pStyle w:val="Subsection"/>
      </w:pPr>
      <w:r>
        <w:tab/>
      </w:r>
      <w:r>
        <w:tab/>
        <w:t>The prescribed maximum period of suspension of a service approval under sections 72(a) and 79(1)(a)(ii) of the Law is 12 months.</w:t>
      </w:r>
    </w:p>
    <w:p>
      <w:pPr>
        <w:pStyle w:val="Heading5"/>
      </w:pPr>
      <w:bookmarkStart w:id="66" w:name="_Toc398888143"/>
      <w:r>
        <w:rPr>
          <w:rStyle w:val="CharSectno"/>
        </w:rPr>
        <w:t>40</w:t>
      </w:r>
      <w:r>
        <w:t>.</w:t>
      </w:r>
      <w:r>
        <w:tab/>
        <w:t>Application for voluntary suspension of service approval</w:t>
      </w:r>
      <w:bookmarkEnd w:id="66"/>
      <w:r>
        <w:t xml:space="preserve"> </w:t>
      </w:r>
    </w:p>
    <w:p>
      <w:pPr>
        <w:pStyle w:val="Subsection"/>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67" w:name="_Toc397340288"/>
      <w:bookmarkStart w:id="68" w:name="_Toc398887725"/>
      <w:bookmarkStart w:id="69" w:name="_Toc398888144"/>
      <w:r>
        <w:t>Division 5 — Service waiver</w:t>
      </w:r>
      <w:bookmarkEnd w:id="67"/>
      <w:bookmarkEnd w:id="68"/>
      <w:bookmarkEnd w:id="69"/>
    </w:p>
    <w:p>
      <w:pPr>
        <w:pStyle w:val="Heading5"/>
      </w:pPr>
      <w:bookmarkStart w:id="70" w:name="_Toc398888145"/>
      <w:r>
        <w:rPr>
          <w:rStyle w:val="CharSectno"/>
        </w:rPr>
        <w:t>41</w:t>
      </w:r>
      <w:r>
        <w:t>.</w:t>
      </w:r>
      <w:r>
        <w:tab/>
        <w:t>Service waiver — prescribed elements</w:t>
      </w:r>
      <w:bookmarkEnd w:id="70"/>
      <w:r>
        <w:t xml:space="preserve"> </w:t>
      </w:r>
    </w:p>
    <w:p>
      <w:pPr>
        <w:pStyle w:val="Subsection"/>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117, 124, 127 and 128; and</w:t>
      </w:r>
    </w:p>
    <w:p>
      <w:pPr>
        <w:pStyle w:val="Indenti"/>
      </w:pPr>
      <w:r>
        <w:tab/>
        <w:t>(iv)</w:t>
      </w:r>
      <w:r>
        <w:tab/>
        <w:t>any provision in Chapter 7 that applies in place of a provision referred to in subparagraph (i), (ii) or (iii).</w:t>
      </w:r>
    </w:p>
    <w:p>
      <w:pPr>
        <w:pStyle w:val="Heading5"/>
      </w:pPr>
      <w:bookmarkStart w:id="71" w:name="_Toc398888146"/>
      <w:r>
        <w:rPr>
          <w:rStyle w:val="CharSectno"/>
        </w:rPr>
        <w:t>42</w:t>
      </w:r>
      <w:r>
        <w:t>.</w:t>
      </w:r>
      <w:r>
        <w:tab/>
        <w:t>Prescribed information — application for service waiver</w:t>
      </w:r>
      <w:bookmarkEnd w:id="71"/>
      <w:r>
        <w:t xml:space="preserve"> </w:t>
      </w:r>
    </w:p>
    <w:p>
      <w:pPr>
        <w:pStyle w:val="Subsection"/>
      </w:pPr>
      <w:r>
        <w:tab/>
      </w:r>
      <w:r>
        <w:tab/>
        <w:t xml:space="preserve">An application under section 87 of the Law for a service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pPr>
      <w:r>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NotesPerm"/>
        <w:tabs>
          <w:tab w:val="clear" w:pos="879"/>
          <w:tab w:val="left" w:pos="851"/>
        </w:tabs>
        <w:spacing w:before="80"/>
        <w:ind w:left="1418" w:hanging="1418"/>
      </w:pPr>
      <w:r>
        <w:tab/>
        <w:t>Note:</w:t>
      </w:r>
      <w:r>
        <w:tab/>
        <w:t>See section 88 of the Law.</w:t>
      </w:r>
    </w:p>
    <w:p>
      <w:pPr>
        <w:pStyle w:val="Heading5"/>
      </w:pPr>
      <w:bookmarkStart w:id="72" w:name="_Toc398888147"/>
      <w:r>
        <w:rPr>
          <w:rStyle w:val="CharSectno"/>
        </w:rPr>
        <w:t>43</w:t>
      </w:r>
      <w:r>
        <w:t>.</w:t>
      </w:r>
      <w:r>
        <w:tab/>
        <w:t>Prescribed period — revocation of service waiver</w:t>
      </w:r>
      <w:bookmarkEnd w:id="72"/>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60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Heading4"/>
      </w:pPr>
      <w:bookmarkStart w:id="73" w:name="_Toc397340292"/>
      <w:bookmarkStart w:id="74" w:name="_Toc398887729"/>
      <w:bookmarkStart w:id="75" w:name="_Toc398888148"/>
      <w:r>
        <w:t>Division 6 — Temporary waiver</w:t>
      </w:r>
      <w:bookmarkEnd w:id="73"/>
      <w:bookmarkEnd w:id="74"/>
      <w:bookmarkEnd w:id="75"/>
    </w:p>
    <w:p>
      <w:pPr>
        <w:pStyle w:val="Heading5"/>
      </w:pPr>
      <w:bookmarkStart w:id="76" w:name="_Toc398888149"/>
      <w:r>
        <w:rPr>
          <w:rStyle w:val="CharSectno"/>
        </w:rPr>
        <w:t>44</w:t>
      </w:r>
      <w:r>
        <w:t>.</w:t>
      </w:r>
      <w:r>
        <w:tab/>
        <w:t>Temporary waiver — prescribed elements</w:t>
      </w:r>
      <w:bookmarkEnd w:id="76"/>
    </w:p>
    <w:p>
      <w:pPr>
        <w:pStyle w:val="Subsection"/>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pPr>
      <w:r>
        <w:tab/>
        <w:t>(iii)</w:t>
      </w:r>
      <w:r>
        <w:tab/>
        <w:t>in the case of a family day care service, regulations 117, 124, 127, 128 and 136; and</w:t>
      </w:r>
    </w:p>
    <w:p>
      <w:pPr>
        <w:pStyle w:val="Indenti"/>
      </w:pPr>
      <w:r>
        <w:tab/>
        <w:t>(iv)</w:t>
      </w:r>
      <w:r>
        <w:tab/>
        <w:t>any provision in Chapter 7 that applies in place of a provision referred to in subparagraph (i), (ii) or (iii).</w:t>
      </w:r>
    </w:p>
    <w:p>
      <w:pPr>
        <w:pStyle w:val="Heading5"/>
      </w:pPr>
      <w:bookmarkStart w:id="77" w:name="_Toc398888150"/>
      <w:r>
        <w:rPr>
          <w:rStyle w:val="CharSectno"/>
        </w:rPr>
        <w:t>45</w:t>
      </w:r>
      <w:r>
        <w:t>.</w:t>
      </w:r>
      <w:r>
        <w:tab/>
        <w:t>Application for temporary waiver</w:t>
      </w:r>
      <w:bookmarkEnd w:id="77"/>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NotesPerm"/>
        <w:tabs>
          <w:tab w:val="clear" w:pos="879"/>
          <w:tab w:val="left" w:pos="851"/>
        </w:tabs>
        <w:spacing w:before="80"/>
        <w:ind w:left="1418" w:hanging="1418"/>
      </w:pPr>
      <w:r>
        <w:tab/>
        <w:t>Note:</w:t>
      </w:r>
      <w:r>
        <w:tab/>
        <w:t>This period cannot exceed 12 months.</w:t>
      </w:r>
    </w:p>
    <w:p>
      <w:pPr>
        <w:pStyle w:val="Indenta"/>
      </w:pPr>
      <w:r>
        <w:tab/>
        <w:t>(h)</w:t>
      </w:r>
      <w:r>
        <w:tab/>
        <w:t>details of steps that are being or will be taken in order to comply with the specified elements or regulations;</w:t>
      </w:r>
    </w:p>
    <w:p>
      <w:pPr>
        <w:pStyle w:val="Indenta"/>
      </w:pPr>
      <w:r>
        <w:tab/>
        <w:t>(i)</w:t>
      </w:r>
      <w:r>
        <w:tab/>
        <w:t>the measures being taken or to be taken to protect the wellbeing of children being educated and cared for by the education and care service while the temporary waiver is in force.</w:t>
      </w:r>
    </w:p>
    <w:p>
      <w:pPr>
        <w:pStyle w:val="NotesPerm"/>
        <w:tabs>
          <w:tab w:val="clear" w:pos="879"/>
          <w:tab w:val="left" w:pos="851"/>
        </w:tabs>
        <w:spacing w:before="80"/>
        <w:ind w:left="1418" w:hanging="1418"/>
      </w:pPr>
      <w:r>
        <w:tab/>
        <w:t>Note:</w:t>
      </w:r>
      <w:r>
        <w:tab/>
        <w:t>See section 95 of the Law.</w:t>
      </w:r>
    </w:p>
    <w:p>
      <w:pPr>
        <w:pStyle w:val="Heading3"/>
      </w:pPr>
      <w:bookmarkStart w:id="78" w:name="_Toc397340295"/>
      <w:bookmarkStart w:id="79" w:name="_Toc398887732"/>
      <w:bookmarkStart w:id="80" w:name="_Toc398888151"/>
      <w:r>
        <w:rPr>
          <w:rStyle w:val="CharDivNo"/>
        </w:rPr>
        <w:t>Part 2.3</w:t>
      </w:r>
      <w:r>
        <w:t> — </w:t>
      </w:r>
      <w:r>
        <w:rPr>
          <w:rStyle w:val="CharDivText"/>
        </w:rPr>
        <w:t>Supervisor certificates</w:t>
      </w:r>
      <w:bookmarkEnd w:id="78"/>
      <w:bookmarkEnd w:id="79"/>
      <w:bookmarkEnd w:id="80"/>
    </w:p>
    <w:p>
      <w:pPr>
        <w:pStyle w:val="Heading4"/>
      </w:pPr>
      <w:bookmarkStart w:id="81" w:name="_Toc397340296"/>
      <w:bookmarkStart w:id="82" w:name="_Toc398887733"/>
      <w:bookmarkStart w:id="83" w:name="_Toc398888152"/>
      <w:r>
        <w:t>Division 1 — Applications for supervisor certificates</w:t>
      </w:r>
      <w:bookmarkEnd w:id="81"/>
      <w:bookmarkEnd w:id="82"/>
      <w:bookmarkEnd w:id="83"/>
    </w:p>
    <w:p>
      <w:pPr>
        <w:pStyle w:val="Heading5"/>
      </w:pPr>
      <w:bookmarkStart w:id="84" w:name="_Toc398888153"/>
      <w:r>
        <w:rPr>
          <w:rStyle w:val="CharSectno"/>
        </w:rPr>
        <w:t>46</w:t>
      </w:r>
      <w:r>
        <w:t>.</w:t>
      </w:r>
      <w:r>
        <w:tab/>
        <w:t>Application for supervisor certificate</w:t>
      </w:r>
      <w:bookmarkEnd w:id="84"/>
      <w:r>
        <w:t xml:space="preserve"> </w:t>
      </w:r>
    </w:p>
    <w:p>
      <w:pPr>
        <w:pStyle w:val="Subsection"/>
      </w:pPr>
      <w:r>
        <w:tab/>
        <w:t>(1)</w:t>
      </w:r>
      <w:r>
        <w:tab/>
        <w:t xml:space="preserve">Subject to subregulation (2), an application under section 106 of the Law for a supervisor certificate must include the following information — </w:t>
      </w:r>
    </w:p>
    <w:p>
      <w:pPr>
        <w:pStyle w:val="Indenta"/>
      </w:pPr>
      <w:r>
        <w:tab/>
        <w:t>(a)</w:t>
      </w:r>
      <w:r>
        <w:tab/>
        <w:t>the applicant’s full name, and any former name or other name the applicant may be known by;</w:t>
      </w:r>
    </w:p>
    <w:p>
      <w:pPr>
        <w:pStyle w:val="Indenta"/>
      </w:pPr>
      <w:r>
        <w:tab/>
        <w:t>(b)</w:t>
      </w:r>
      <w:r>
        <w:tab/>
        <w:t>the applicant’s residential address and contact details;</w:t>
      </w:r>
    </w:p>
    <w:p>
      <w:pPr>
        <w:pStyle w:val="Indenta"/>
      </w:pPr>
      <w:r>
        <w:tab/>
        <w:t>(c)</w:t>
      </w:r>
      <w:r>
        <w:tab/>
        <w:t>proof of the applicant’s identity;</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Indenta"/>
      </w:pPr>
      <w:r>
        <w:tab/>
        <w:t>(f)</w:t>
      </w:r>
      <w:r>
        <w:tab/>
        <w:t xml:space="preserve">except in the case of an application to the New South Wales Regulatory Authority, the Queensland Regulatory Authority or the Tasmanian Regulatory Authority, the following — </w:t>
      </w:r>
    </w:p>
    <w:p>
      <w:pPr>
        <w:pStyle w:val="Indenti"/>
      </w:pPr>
      <w:r>
        <w:tab/>
        <w:t>(i)</w:t>
      </w:r>
      <w:r>
        <w:tab/>
        <w:t>if the applicant holds a current working with children check, working with children card or working with vulnerable people check, a copy of the check or card; or</w:t>
      </w:r>
    </w:p>
    <w:p>
      <w:pPr>
        <w:pStyle w:val="Indenti"/>
      </w:pPr>
      <w:r>
        <w:tab/>
        <w:t>(ii)</w:t>
      </w:r>
      <w:r>
        <w:tab/>
        <w:t>if the applicant is a teacher registered under an education law of a participating jurisdiction, proof of current registration under that law; or</w:t>
      </w:r>
    </w:p>
    <w:p>
      <w:pPr>
        <w:pStyle w:val="Ednotesubpara"/>
      </w:pPr>
      <w:r>
        <w:tab/>
        <w:t>[(iii)</w:t>
      </w:r>
      <w:r>
        <w:tab/>
        <w:t>deleted]</w:t>
      </w:r>
    </w:p>
    <w:p>
      <w:pPr>
        <w:pStyle w:val="Indenti"/>
      </w:pPr>
      <w:r>
        <w:tab/>
        <w:t>(iv)</w:t>
      </w:r>
      <w:r>
        <w:tab/>
        <w:t xml:space="preserve">in any other case — </w:t>
      </w:r>
    </w:p>
    <w:p>
      <w:pPr>
        <w:pStyle w:val="IndentI0"/>
      </w:pPr>
      <w:r>
        <w:tab/>
        <w:t>(A)</w:t>
      </w:r>
      <w:r>
        <w:tab/>
        <w:t>a criminal history record check issued not more than 6 months before the date of the application; and</w:t>
      </w:r>
    </w:p>
    <w:p>
      <w:pPr>
        <w:pStyle w:val="IndentI0"/>
      </w:pPr>
      <w:r>
        <w:tab/>
        <w:t>(B)</w:t>
      </w:r>
      <w:r>
        <w:tab/>
        <w:t>a criminal history statement made by the applicant in relation to the period after the date on which the criminal history record check was issued to the date of the application; and</w:t>
      </w:r>
    </w:p>
    <w:p>
      <w:pPr>
        <w:pStyle w:val="IndentI0"/>
      </w:pPr>
      <w:r>
        <w:tab/>
        <w:t>(C)</w:t>
      </w:r>
      <w:r>
        <w:tab/>
        <w:t>if the individual lived and worked outside Australia at any time within the previous 3 years, an overseas criminal history statement about the applicant; and</w:t>
      </w:r>
    </w:p>
    <w:p>
      <w:pPr>
        <w:pStyle w:val="IndentI0"/>
      </w:pPr>
      <w:r>
        <w:tab/>
        <w:t>(D)</w:t>
      </w:r>
      <w:r>
        <w:tab/>
        <w:t>a disciplinary proceedings statement regarding the applicant;</w:t>
      </w:r>
    </w:p>
    <w:p>
      <w:pPr>
        <w:pStyle w:val="Indenta"/>
      </w:pPr>
      <w:r>
        <w:tab/>
        <w:t>(g)</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(h)</w:t>
      </w:r>
      <w:r>
        <w:tab/>
        <w:t>in the case of an application to the Queensland Regulatory Authority, a copy of the applicant’s current working with children card or working with children check;</w:t>
      </w:r>
    </w:p>
    <w:p>
      <w:pPr>
        <w:pStyle w:val="Indenta"/>
      </w:pPr>
      <w:r>
        <w:tab/>
        <w:t>(i)</w:t>
      </w:r>
      <w:r>
        <w:tab/>
        <w:t>in the case of an application to the Tasmanian Regulatory Authority, a copy of the applicant’s safety screening clearance.</w:t>
      </w:r>
    </w:p>
    <w:p>
      <w:pPr>
        <w:pStyle w:val="Subsection"/>
        <w:keepNext/>
        <w:keepLines/>
      </w:pPr>
      <w:r>
        <w:tab/>
        <w:t>(2)</w:t>
      </w:r>
      <w:r>
        <w:tab/>
        <w:t xml:space="preserve">An application under section 106 of the Law for a supervisor certificate made by an individual who is an approved provider or a person with management or control of an education and care service must include the following information — </w:t>
      </w:r>
    </w:p>
    <w:p>
      <w:pPr>
        <w:pStyle w:val="Indenta"/>
      </w:pPr>
      <w:r>
        <w:tab/>
        <w:t>(a)</w:t>
      </w:r>
      <w:r>
        <w:tab/>
        <w:t>the applicant’s full name;</w:t>
      </w:r>
    </w:p>
    <w:p>
      <w:pPr>
        <w:pStyle w:val="Indenta"/>
      </w:pPr>
      <w:r>
        <w:tab/>
        <w:t>(b)</w:t>
      </w:r>
      <w:r>
        <w:tab/>
        <w:t>the provider approval number;</w:t>
      </w:r>
    </w:p>
    <w:p>
      <w:pPr>
        <w:pStyle w:val="Indenta"/>
      </w:pPr>
      <w:r>
        <w:tab/>
        <w:t>(c)</w:t>
      </w:r>
      <w:r>
        <w:tab/>
        <w:t>the applicant’s contact details;</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Footnotesection"/>
      </w:pPr>
      <w:r>
        <w:tab/>
        <w:t>[Regulation 46 amended in Gazette 13 Dec 2013 p.</w:t>
      </w:r>
      <w:r>
        <w:rPr>
          <w:sz w:val="19"/>
        </w:rPr>
        <w:t> </w:t>
      </w:r>
      <w:r>
        <w:t>6157</w:t>
      </w:r>
      <w:r>
        <w:noBreakHyphen/>
        <w:t>8.]</w:t>
      </w:r>
    </w:p>
    <w:p>
      <w:pPr>
        <w:pStyle w:val="Heading5"/>
      </w:pPr>
      <w:bookmarkStart w:id="85" w:name="_Toc398888154"/>
      <w:r>
        <w:rPr>
          <w:rStyle w:val="CharSectno"/>
        </w:rPr>
        <w:t>47</w:t>
      </w:r>
      <w:r>
        <w:t>.</w:t>
      </w:r>
      <w:r>
        <w:tab/>
        <w:t>Minimum requirements for qualifications, experience and management capability</w:t>
      </w:r>
      <w:bookmarkEnd w:id="85"/>
      <w:r>
        <w:t xml:space="preserve"> </w:t>
      </w:r>
    </w:p>
    <w:p>
      <w:pPr>
        <w:pStyle w:val="Subsection"/>
      </w:pPr>
      <w:r>
        <w:tab/>
        <w:t>(1)</w:t>
      </w:r>
      <w:r>
        <w:tab/>
        <w:t xml:space="preserve">The minimum requirements for qualifications, experience and management capability for the purposes of sections 108(1)(b) and 112(c) of the Law are — </w:t>
      </w:r>
    </w:p>
    <w:p>
      <w:pPr>
        <w:pStyle w:val="Indenta"/>
      </w:pPr>
      <w:r>
        <w:tab/>
        <w:t>(a)</w:t>
      </w:r>
      <w:r>
        <w:tab/>
        <w:t xml:space="preserve">the applicant must have — </w:t>
      </w:r>
    </w:p>
    <w:p>
      <w:pPr>
        <w:pStyle w:val="Indenti"/>
      </w:pPr>
      <w:r>
        <w:tab/>
        <w:t>(i)</w:t>
      </w:r>
      <w:r>
        <w:tab/>
        <w:t>adequate knowledge and understanding of the provision of education and care to children; and</w:t>
      </w:r>
    </w:p>
    <w:p>
      <w:pPr>
        <w:pStyle w:val="Indenti"/>
      </w:pPr>
      <w:r>
        <w:tab/>
        <w:t>(ii)</w:t>
      </w:r>
      <w:r>
        <w:tab/>
        <w:t>the ability to effectively supervise and manage an education and care service;</w:t>
      </w:r>
    </w:p>
    <w:p>
      <w:pPr>
        <w:pStyle w:val="Indenta"/>
      </w:pPr>
      <w:r>
        <w:tab/>
      </w:r>
      <w:r>
        <w:tab/>
        <w:t>and</w:t>
      </w:r>
    </w:p>
    <w:p>
      <w:pPr>
        <w:pStyle w:val="Indenta"/>
      </w:pPr>
      <w:r>
        <w:tab/>
        <w:t>(b)</w:t>
      </w:r>
      <w:r>
        <w:tab/>
        <w:t xml:space="preserve">subject to subregulation (2), the applicant must have at least one of the following — </w:t>
      </w:r>
    </w:p>
    <w:p>
      <w:pPr>
        <w:pStyle w:val="Indenti"/>
      </w:pPr>
      <w:r>
        <w:tab/>
        <w:t>(i)</w:t>
      </w:r>
      <w:r>
        <w:tab/>
        <w:t>at least 3 years’ experience working as an educator in an education and care service or a children’s service or a school or in a service regulated under a former education and care services law;</w:t>
      </w:r>
    </w:p>
    <w:p>
      <w:pPr>
        <w:pStyle w:val="Indenti"/>
      </w:pPr>
      <w:r>
        <w:tab/>
        <w:t>(ii)</w:t>
      </w:r>
      <w:r>
        <w:tab/>
        <w:t>an approved diploma level education and care qualification;</w:t>
      </w:r>
    </w:p>
    <w:p>
      <w:pPr>
        <w:pStyle w:val="Indenti"/>
      </w:pPr>
      <w:r>
        <w:tab/>
        <w:t>(iii)</w:t>
      </w:r>
      <w:r>
        <w:tab/>
        <w:t>an approved early childhood teaching qualification.</w:t>
      </w:r>
    </w:p>
    <w:p>
      <w:pPr>
        <w:pStyle w:val="Subsection"/>
      </w:pPr>
      <w:r>
        <w:tab/>
        <w:t>(2)</w:t>
      </w:r>
      <w:r>
        <w:tab/>
        <w:t>Subregulation (1)(b) does not apply in relation to a supervisor certificate that is subject to a condition that the holder may only be a nominated supervisor of, or placed in day to day charge of, an education and care service that primarily educates and cares for children over preschool age.</w:t>
      </w:r>
    </w:p>
    <w:p>
      <w:pPr>
        <w:pStyle w:val="Heading5"/>
      </w:pPr>
      <w:bookmarkStart w:id="86" w:name="_Toc398888155"/>
      <w:r>
        <w:rPr>
          <w:rStyle w:val="CharSectno"/>
        </w:rPr>
        <w:t>48</w:t>
      </w:r>
      <w:r>
        <w:t>.</w:t>
      </w:r>
      <w:r>
        <w:tab/>
        <w:t>Matters relating to criminal history</w:t>
      </w:r>
      <w:bookmarkEnd w:id="86"/>
      <w:r>
        <w:t xml:space="preserve"> </w:t>
      </w:r>
    </w:p>
    <w:p>
      <w:pPr>
        <w:pStyle w:val="Subsection"/>
      </w:pPr>
      <w:r>
        <w:tab/>
      </w:r>
      <w:r>
        <w:tab/>
        <w:t xml:space="preserve">The matters relating to the criminal history of a person that the Regulatory Authority must have regard to under section 109(1)(c) of the Law are — </w:t>
      </w:r>
    </w:p>
    <w:p>
      <w:pPr>
        <w:pStyle w:val="Indenta"/>
      </w:pPr>
      <w:r>
        <w:tab/>
        <w:t>(a)</w:t>
      </w:r>
      <w:r>
        <w:tab/>
        <w:t xml:space="preserve">if the jurisdiction has a working with vulnerable people law — </w:t>
      </w:r>
    </w:p>
    <w:p>
      <w:pPr>
        <w:pStyle w:val="Indenti"/>
      </w:pPr>
      <w:r>
        <w:tab/>
        <w:t>(i)</w:t>
      </w:r>
      <w:r>
        <w:tab/>
        <w:t>any check of that person under that law; or</w:t>
      </w:r>
    </w:p>
    <w:p>
      <w:pPr>
        <w:pStyle w:val="Indenti"/>
      </w:pPr>
      <w:r>
        <w:tab/>
        <w:t>(ii)</w:t>
      </w:r>
      <w:r>
        <w:tab/>
        <w:t>whether the person holds a current teacher registration under an education law of that jurisdiction;</w:t>
      </w:r>
    </w:p>
    <w:p>
      <w:pPr>
        <w:pStyle w:val="Indenta"/>
      </w:pPr>
      <w:r>
        <w:tab/>
      </w:r>
      <w:r>
        <w:tab/>
        <w:t>and</w:t>
      </w:r>
    </w:p>
    <w:p>
      <w:pPr>
        <w:pStyle w:val="Indenta"/>
      </w:pPr>
      <w:r>
        <w:tab/>
        <w:t>(b)</w:t>
      </w:r>
      <w:r>
        <w:tab/>
        <w:t xml:space="preserve">if the jurisdiction does not have a working with vulnerable people law — </w:t>
      </w:r>
    </w:p>
    <w:p>
      <w:pPr>
        <w:pStyle w:val="Indenti"/>
      </w:pPr>
      <w:r>
        <w:tab/>
        <w:t>(i)</w:t>
      </w:r>
      <w:r>
        <w:tab/>
        <w:t>any matters included in a criminal history record check; or</w:t>
      </w:r>
    </w:p>
    <w:p>
      <w:pPr>
        <w:pStyle w:val="Indenti"/>
      </w:pPr>
      <w:r>
        <w:tab/>
        <w:t>(ii)</w:t>
      </w:r>
      <w:r>
        <w:tab/>
        <w:t>whether the person holds a current teacher registration under an education law of that jurisdiction.</w:t>
      </w:r>
    </w:p>
    <w:p>
      <w:pPr>
        <w:pStyle w:val="NotesPerm"/>
        <w:tabs>
          <w:tab w:val="clear" w:pos="879"/>
          <w:tab w:val="left" w:pos="851"/>
        </w:tabs>
        <w:ind w:left="1418" w:hanging="1418"/>
      </w:pPr>
      <w:r>
        <w:rPr>
          <w:rFonts w:cs="Arial"/>
          <w:szCs w:val="18"/>
        </w:rPr>
        <w:tab/>
      </w:r>
      <w:r>
        <w:t>Note:</w:t>
      </w:r>
      <w:r>
        <w:tab/>
        <w:t>This regulation applies if the applicant does not provide a working with children check.</w:t>
      </w:r>
    </w:p>
    <w:p>
      <w:pPr>
        <w:pStyle w:val="Heading5"/>
      </w:pPr>
      <w:bookmarkStart w:id="87" w:name="_Toc398888156"/>
      <w:r>
        <w:rPr>
          <w:rStyle w:val="CharSectno"/>
        </w:rPr>
        <w:t>49</w:t>
      </w:r>
      <w:r>
        <w:t>.</w:t>
      </w:r>
      <w:r>
        <w:tab/>
        <w:t>Prescribed classes of persons for grant of supervisor certificate</w:t>
      </w:r>
      <w:bookmarkEnd w:id="87"/>
      <w:r>
        <w:t xml:space="preserve"> </w:t>
      </w:r>
    </w:p>
    <w:p>
      <w:pPr>
        <w:pStyle w:val="Subsection"/>
      </w:pPr>
      <w:r>
        <w:tab/>
      </w:r>
      <w:r>
        <w:tab/>
        <w:t xml:space="preserve">The Regulatory Authority may grant a supervisor certificate under section 114 of the Law to a person in one of the following classes of persons — </w:t>
      </w:r>
    </w:p>
    <w:p>
      <w:pPr>
        <w:pStyle w:val="Indenta"/>
        <w:spacing w:before="70"/>
      </w:pPr>
      <w:r>
        <w:tab/>
        <w:t>(a)</w:t>
      </w:r>
      <w:r>
        <w:tab/>
        <w:t>a principal of a school that provides an education and care service at the site of the school;</w:t>
      </w:r>
    </w:p>
    <w:p>
      <w:pPr>
        <w:pStyle w:val="Indenta"/>
        <w:spacing w:before="70"/>
      </w:pPr>
      <w:r>
        <w:tab/>
        <w:t>(b)</w:t>
      </w:r>
      <w:r>
        <w:tab/>
        <w:t>a person in charge of a campus of a school that provides an education and care service at that campus;</w:t>
      </w:r>
    </w:p>
    <w:p>
      <w:pPr>
        <w:pStyle w:val="Indenta"/>
        <w:spacing w:before="70"/>
      </w:pPr>
      <w:r>
        <w:tab/>
        <w:t>(c)</w:t>
      </w:r>
      <w:r>
        <w:tab/>
        <w:t>a teacher at an off</w:t>
      </w:r>
      <w:r>
        <w:noBreakHyphen/>
        <w:t xml:space="preserve">site government preschool (within the meaning of the </w:t>
      </w:r>
      <w:r>
        <w:rPr>
          <w:i/>
        </w:rPr>
        <w:t>Education Act 2004</w:t>
      </w:r>
      <w:r>
        <w:t xml:space="preserve"> of the </w:t>
      </w:r>
      <w:smartTag w:uri="urn:schemas-microsoft-com:office:smarttags" w:element="place">
        <w:smartTag w:uri="urn:schemas-microsoft-com:office:smarttags" w:element="State">
          <w:r>
            <w:t>Australian Capital Territory</w:t>
          </w:r>
        </w:smartTag>
      </w:smartTag>
      <w:r>
        <w:t>);</w:t>
      </w:r>
    </w:p>
    <w:p>
      <w:pPr>
        <w:pStyle w:val="Indenta"/>
        <w:spacing w:before="70"/>
      </w:pPr>
      <w:r>
        <w:tab/>
        <w:t>(d)</w:t>
      </w:r>
      <w:r>
        <w:tab/>
        <w:t>a director of a pre</w:t>
      </w:r>
      <w:r>
        <w:noBreakHyphen/>
        <w:t xml:space="preserve">school education program (within the meaning of the </w:t>
      </w:r>
      <w:r>
        <w:rPr>
          <w:i/>
        </w:rPr>
        <w:t>Education Act 1972</w:t>
      </w:r>
      <w:r>
        <w:t xml:space="preserve"> of </w:t>
      </w:r>
      <w:smartTag w:uri="urn:schemas-microsoft-com:office:smarttags" w:element="place">
        <w:smartTag w:uri="urn:schemas-microsoft-com:office:smarttags" w:element="State">
          <w:r>
            <w:t>South Australia</w:t>
          </w:r>
        </w:smartTag>
      </w:smartTag>
      <w:r>
        <w:t>) provided by either a Government school or a registered non</w:t>
      </w:r>
      <w:r>
        <w:noBreakHyphen/>
        <w:t>Government school (both within the meaning of that Act);</w:t>
      </w:r>
    </w:p>
    <w:p>
      <w:pPr>
        <w:pStyle w:val="Indenta"/>
        <w:spacing w:before="70"/>
      </w:pPr>
      <w:r>
        <w:tab/>
        <w:t>(e)</w:t>
      </w:r>
      <w:r>
        <w:tab/>
        <w:t>a director of a pre</w:t>
      </w:r>
      <w:r>
        <w:noBreakHyphen/>
        <w:t xml:space="preserve">school education program provided in a children’s services centre registered under the </w:t>
      </w:r>
      <w:r>
        <w:rPr>
          <w:i/>
        </w:rPr>
        <w:t>Children’s Services Act 1985</w:t>
      </w:r>
      <w:r>
        <w:t xml:space="preserve"> of South Australia;</w:t>
      </w:r>
    </w:p>
    <w:p>
      <w:pPr>
        <w:pStyle w:val="Indenta"/>
        <w:spacing w:before="70"/>
      </w:pPr>
      <w:r>
        <w:tab/>
        <w:t>(f)</w:t>
      </w:r>
      <w:r>
        <w:tab/>
        <w:t>a registered teacher delivering a pre</w:t>
      </w:r>
      <w:r>
        <w:noBreakHyphen/>
        <w:t xml:space="preserve">preparatory learning program under an education law of </w:t>
      </w:r>
      <w:smartTag w:uri="urn:schemas-microsoft-com:office:smarttags" w:element="place">
        <w:smartTag w:uri="urn:schemas-microsoft-com:office:smarttags" w:element="State">
          <w:r>
            <w:t>Queensland</w:t>
          </w:r>
        </w:smartTag>
      </w:smartTag>
      <w:r>
        <w:t>;</w:t>
      </w:r>
    </w:p>
    <w:p>
      <w:pPr>
        <w:pStyle w:val="Indenta"/>
        <w:spacing w:before="70"/>
      </w:pPr>
      <w:r>
        <w:tab/>
        <w:t>(g)</w:t>
      </w:r>
      <w:r>
        <w:tab/>
        <w:t xml:space="preserve">a registered teacher (within the meaning of the </w:t>
      </w:r>
      <w:r>
        <w:rPr>
          <w:i/>
        </w:rPr>
        <w:t>Teachers Registration Act 2000</w:t>
      </w:r>
      <w:r>
        <w:t xml:space="preserve"> of </w:t>
      </w:r>
      <w:smartTag w:uri="urn:schemas-microsoft-com:office:smarttags" w:element="State">
        <w:r>
          <w:t>Tasmania</w:t>
        </w:r>
      </w:smartTag>
      <w:r>
        <w:t xml:space="preserve">) providing a preschool program at a school established or registered under the </w:t>
      </w:r>
      <w:r>
        <w:rPr>
          <w:i/>
        </w:rPr>
        <w:t>Education Act 1994</w:t>
      </w:r>
      <w:r>
        <w:t xml:space="preserve"> of Tasmania.</w:t>
      </w:r>
    </w:p>
    <w:p>
      <w:pPr>
        <w:pStyle w:val="Footnotesection"/>
      </w:pPr>
      <w:r>
        <w:tab/>
        <w:t>[Regulation 49 amended in Gazette 5 Mar 2013 p. 1107.]</w:t>
      </w:r>
    </w:p>
    <w:p>
      <w:pPr>
        <w:pStyle w:val="Heading5"/>
      </w:pPr>
      <w:bookmarkStart w:id="88" w:name="_Toc398888157"/>
      <w:r>
        <w:rPr>
          <w:rStyle w:val="CharSectno"/>
        </w:rPr>
        <w:t>50</w:t>
      </w:r>
      <w:r>
        <w:t>.</w:t>
      </w:r>
      <w:r>
        <w:tab/>
        <w:t>Issue of supervisor certificate — supervisor in prescribed class</w:t>
      </w:r>
      <w:bookmarkEnd w:id="88"/>
      <w:r>
        <w:t xml:space="preserve"> </w:t>
      </w:r>
    </w:p>
    <w:p>
      <w:pPr>
        <w:pStyle w:val="Subsection"/>
      </w:pPr>
      <w:r>
        <w:tab/>
      </w:r>
      <w:r>
        <w:tab/>
        <w:t xml:space="preserve">A supervisor certificate issued under section 116 of the Law in respect of a certificate granted under section 114 of the Law must include the following information — </w:t>
      </w:r>
    </w:p>
    <w:p>
      <w:pPr>
        <w:pStyle w:val="Indenta"/>
        <w:spacing w:before="70"/>
      </w:pPr>
      <w:r>
        <w:tab/>
        <w:t>(a)</w:t>
      </w:r>
      <w:r>
        <w:tab/>
        <w:t>the name of the approved education and care service;</w:t>
      </w:r>
    </w:p>
    <w:p>
      <w:pPr>
        <w:pStyle w:val="Indenta"/>
      </w:pPr>
      <w:r>
        <w:tab/>
        <w:t>(b)</w:t>
      </w:r>
      <w:r>
        <w:tab/>
        <w:t>the name of the school that provides the education and care service (if different from the name of the approved education and care service).</w:t>
      </w:r>
    </w:p>
    <w:p>
      <w:pPr>
        <w:pStyle w:val="Heading4"/>
      </w:pPr>
      <w:bookmarkStart w:id="89" w:name="_Toc397340302"/>
      <w:bookmarkStart w:id="90" w:name="_Toc398887739"/>
      <w:bookmarkStart w:id="91" w:name="_Toc398888158"/>
      <w:r>
        <w:t>Division 2 — Amendment of supervisor certificate</w:t>
      </w:r>
      <w:bookmarkEnd w:id="89"/>
      <w:bookmarkEnd w:id="90"/>
      <w:bookmarkEnd w:id="91"/>
    </w:p>
    <w:p>
      <w:pPr>
        <w:pStyle w:val="Heading5"/>
      </w:pPr>
      <w:bookmarkStart w:id="92" w:name="_Toc398888159"/>
      <w:r>
        <w:rPr>
          <w:rStyle w:val="CharSectno"/>
        </w:rPr>
        <w:t>51</w:t>
      </w:r>
      <w:r>
        <w:t>.</w:t>
      </w:r>
      <w:r>
        <w:tab/>
        <w:t>Application for amendment of supervisor certificate</w:t>
      </w:r>
      <w:bookmarkEnd w:id="92"/>
      <w:r>
        <w:t xml:space="preserve"> </w:t>
      </w:r>
    </w:p>
    <w:p>
      <w:pPr>
        <w:pStyle w:val="Subsection"/>
      </w:pPr>
      <w:r>
        <w:tab/>
      </w:r>
      <w:r>
        <w:tab/>
        <w:t xml:space="preserve">An application under section 119 of the Law for an amendment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prescribed class, the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details of the amendment applied for.</w:t>
      </w:r>
    </w:p>
    <w:p>
      <w:pPr>
        <w:pStyle w:val="Heading4"/>
      </w:pPr>
      <w:bookmarkStart w:id="93" w:name="_Toc397340304"/>
      <w:bookmarkStart w:id="94" w:name="_Toc398887741"/>
      <w:bookmarkStart w:id="95" w:name="_Toc398888160"/>
      <w:r>
        <w:t>Division 3 — Suspension of supervisor certificate</w:t>
      </w:r>
      <w:bookmarkEnd w:id="93"/>
      <w:bookmarkEnd w:id="94"/>
      <w:bookmarkEnd w:id="95"/>
    </w:p>
    <w:p>
      <w:pPr>
        <w:pStyle w:val="Heading5"/>
      </w:pPr>
      <w:bookmarkStart w:id="96" w:name="_Toc398888161"/>
      <w:r>
        <w:rPr>
          <w:rStyle w:val="CharSectno"/>
        </w:rPr>
        <w:t>52</w:t>
      </w:r>
      <w:r>
        <w:t>.</w:t>
      </w:r>
      <w:r>
        <w:tab/>
        <w:t>Maximum period of suspension of supervisor certificate</w:t>
      </w:r>
      <w:bookmarkEnd w:id="96"/>
      <w:r>
        <w:t xml:space="preserve"> </w:t>
      </w:r>
    </w:p>
    <w:p>
      <w:pPr>
        <w:pStyle w:val="Subsection"/>
      </w:pPr>
      <w:r>
        <w:tab/>
      </w:r>
      <w:r>
        <w:tab/>
        <w:t>The prescribed maximum period of suspension of a supervisor certificate under section 125(a)(i) of the Law is 12 months.</w:t>
      </w:r>
    </w:p>
    <w:p>
      <w:pPr>
        <w:pStyle w:val="Heading5"/>
      </w:pPr>
      <w:bookmarkStart w:id="97" w:name="_Toc398888162"/>
      <w:r>
        <w:rPr>
          <w:rStyle w:val="CharSectno"/>
        </w:rPr>
        <w:t>53</w:t>
      </w:r>
      <w:r>
        <w:t>.</w:t>
      </w:r>
      <w:r>
        <w:tab/>
        <w:t>Prescribed information — voluntary suspension of supervisor certificate</w:t>
      </w:r>
      <w:bookmarkEnd w:id="97"/>
      <w:r>
        <w:t xml:space="preserve"> </w:t>
      </w:r>
    </w:p>
    <w:p>
      <w:pPr>
        <w:pStyle w:val="Subsection"/>
      </w:pPr>
      <w:r>
        <w:tab/>
      </w:r>
      <w:r>
        <w:tab/>
        <w:t xml:space="preserve">An application under section 129 of the Law for the suspension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class prescribed under regulation 49, that class and the details of the service for which the supervisor holds the position in that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reasons for the suspension;</w:t>
      </w:r>
    </w:p>
    <w:p>
      <w:pPr>
        <w:pStyle w:val="Indenta"/>
      </w:pPr>
      <w:r>
        <w:tab/>
        <w:t>(f)</w:t>
      </w:r>
      <w:r>
        <w:tab/>
        <w:t>the date on which the suspension is proposed to take effect, and the duration of the suspension.</w:t>
      </w:r>
    </w:p>
    <w:p>
      <w:pPr>
        <w:pStyle w:val="Heading4"/>
      </w:pPr>
      <w:bookmarkStart w:id="98" w:name="_Toc397340307"/>
      <w:bookmarkStart w:id="99" w:name="_Toc398887744"/>
      <w:bookmarkStart w:id="100" w:name="_Toc398888163"/>
      <w:r>
        <w:t>Division 4 — Process for certified supervisor to be placed in day to day charge</w:t>
      </w:r>
      <w:bookmarkEnd w:id="98"/>
      <w:bookmarkEnd w:id="99"/>
      <w:bookmarkEnd w:id="100"/>
    </w:p>
    <w:p>
      <w:pPr>
        <w:pStyle w:val="Heading5"/>
      </w:pPr>
      <w:bookmarkStart w:id="101" w:name="_Toc398888164"/>
      <w:r>
        <w:rPr>
          <w:rStyle w:val="CharSectno"/>
        </w:rPr>
        <w:t>54</w:t>
      </w:r>
      <w:r>
        <w:t>.</w:t>
      </w:r>
      <w:r>
        <w:tab/>
        <w:t>Process for certified supervisor to be placed in day to day charge of education and care service</w:t>
      </w:r>
      <w:bookmarkEnd w:id="101"/>
      <w:r>
        <w:t xml:space="preserve"> </w:t>
      </w:r>
    </w:p>
    <w:p>
      <w:pPr>
        <w:pStyle w:val="Subsection"/>
      </w:pPr>
      <w:r>
        <w:tab/>
      </w:r>
      <w:r>
        <w:tab/>
        <w:t xml:space="preserve">For the purposes of section 162(1)(c) or 164(1)(c) of the Law, a certified supervisor is placed in day to day charge of an education and care service if — </w:t>
      </w:r>
    </w:p>
    <w:p>
      <w:pPr>
        <w:pStyle w:val="Indenta"/>
      </w:pPr>
      <w:r>
        <w:tab/>
        <w:t>(a)</w:t>
      </w:r>
      <w:r>
        <w:tab/>
        <w:t>the approved provider or the nominated supervisor for the service designates the certified supervisor as the certified supervisor in day to day charge; and</w:t>
      </w:r>
    </w:p>
    <w:p>
      <w:pPr>
        <w:pStyle w:val="Indenta"/>
      </w:pPr>
      <w:r>
        <w:tab/>
        <w:t>(b)</w:t>
      </w:r>
      <w:r>
        <w:tab/>
        <w:t>the certified supervisor accepts the designation in writing.</w:t>
      </w:r>
    </w:p>
    <w:p>
      <w:pPr>
        <w:pStyle w:val="NotesPerm"/>
        <w:tabs>
          <w:tab w:val="clear" w:pos="879"/>
          <w:tab w:val="left" w:pos="851"/>
        </w:tabs>
        <w:ind w:left="1418" w:hanging="1418"/>
      </w:pPr>
      <w:r>
        <w:tab/>
        <w:t>Note:</w:t>
      </w:r>
      <w:r>
        <w:tab/>
        <w:t>A certified supervisor placed in day to day charge of an education and care service is not the nominated supervisor for the service and does not have the same responsibilities as the nominated supervisor.</w:t>
      </w:r>
    </w:p>
    <w:p>
      <w:pPr>
        <w:pStyle w:val="Heading2"/>
      </w:pPr>
      <w:bookmarkStart w:id="102" w:name="_Toc397340309"/>
      <w:bookmarkStart w:id="103" w:name="_Toc398887746"/>
      <w:bookmarkStart w:id="104" w:name="_Toc398888165"/>
      <w:r>
        <w:rPr>
          <w:rStyle w:val="CharPartNo"/>
        </w:rPr>
        <w:t>Chapter 3</w:t>
      </w:r>
      <w:r>
        <w:t> — </w:t>
      </w:r>
      <w:r>
        <w:rPr>
          <w:rStyle w:val="CharPartText"/>
        </w:rPr>
        <w:t>Assessments and ratings</w:t>
      </w:r>
      <w:bookmarkEnd w:id="102"/>
      <w:bookmarkEnd w:id="103"/>
      <w:bookmarkEnd w:id="104"/>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105" w:name="_Toc397340310"/>
      <w:bookmarkStart w:id="106" w:name="_Toc398887747"/>
      <w:bookmarkStart w:id="107" w:name="_Toc398888166"/>
      <w:r>
        <w:rPr>
          <w:rStyle w:val="CharDivNo"/>
        </w:rPr>
        <w:t>Part 3.1</w:t>
      </w:r>
      <w:r>
        <w:t> — </w:t>
      </w:r>
      <w:r>
        <w:rPr>
          <w:rStyle w:val="CharDivText"/>
        </w:rPr>
        <w:t>Quality improvement plans</w:t>
      </w:r>
      <w:bookmarkEnd w:id="105"/>
      <w:bookmarkEnd w:id="106"/>
      <w:bookmarkEnd w:id="107"/>
    </w:p>
    <w:p>
      <w:pPr>
        <w:pStyle w:val="Heading5"/>
      </w:pPr>
      <w:bookmarkStart w:id="108" w:name="_Toc398888167"/>
      <w:r>
        <w:rPr>
          <w:rStyle w:val="CharSectno"/>
        </w:rPr>
        <w:t>55</w:t>
      </w:r>
      <w:r>
        <w:t>.</w:t>
      </w:r>
      <w:r>
        <w:tab/>
        <w:t>Quality improvement plans</w:t>
      </w:r>
      <w:bookmarkEnd w:id="108"/>
      <w:r>
        <w:t xml:space="preserve"> </w:t>
      </w:r>
    </w:p>
    <w:p>
      <w:pPr>
        <w:pStyle w:val="Subsection"/>
        <w:widowControl w:val="0"/>
      </w:pPr>
      <w:r>
        <w:tab/>
        <w:t>(1)</w:t>
      </w:r>
      <w:r>
        <w:tab/>
        <w:t xml:space="preserve">The approved provider of an education and care service must ensure that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within 3 months of the grant of the service approval.</w:t>
      </w:r>
    </w:p>
    <w:p>
      <w:pPr>
        <w:pStyle w:val="NotesPerm"/>
        <w:tabs>
          <w:tab w:val="clear" w:pos="879"/>
          <w:tab w:val="left" w:pos="851"/>
        </w:tabs>
        <w:spacing w:before="80"/>
        <w:ind w:left="1418" w:hanging="1418"/>
      </w:pPr>
      <w:r>
        <w:tab/>
        <w:t>Note:</w:t>
      </w:r>
      <w:r>
        <w:tab/>
        <w:t>A compliance direction may be issued for failure to comply with subregulation (1).</w:t>
      </w:r>
    </w:p>
    <w:p>
      <w:pPr>
        <w:pStyle w:val="Heading5"/>
      </w:pPr>
      <w:bookmarkStart w:id="109" w:name="_Toc398888168"/>
      <w:r>
        <w:rPr>
          <w:rStyle w:val="CharSectno"/>
        </w:rPr>
        <w:t>56</w:t>
      </w:r>
      <w:r>
        <w:t>.</w:t>
      </w:r>
      <w:r>
        <w:tab/>
        <w:t>Review and revision of quality improvement plans</w:t>
      </w:r>
      <w:bookmarkEnd w:id="109"/>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NotesPerm"/>
        <w:tabs>
          <w:tab w:val="clear" w:pos="879"/>
          <w:tab w:val="left" w:pos="851"/>
        </w:tabs>
        <w:spacing w:before="80"/>
        <w:ind w:left="1418" w:hanging="1418"/>
      </w:pPr>
      <w:r>
        <w:tab/>
        <w:t>Note:</w:t>
      </w:r>
      <w:r>
        <w:tab/>
        <w:t>See regulation 31 for the conditions on the service approval requiring the current quality improvement plan to be kept available.</w:t>
      </w:r>
    </w:p>
    <w:p>
      <w:pPr>
        <w:pStyle w:val="Heading3"/>
      </w:pPr>
      <w:bookmarkStart w:id="110" w:name="_Toc397340313"/>
      <w:bookmarkStart w:id="111" w:name="_Toc398887750"/>
      <w:bookmarkStart w:id="112" w:name="_Toc398888169"/>
      <w:r>
        <w:rPr>
          <w:rStyle w:val="CharDivNo"/>
        </w:rPr>
        <w:t>Part 3.2</w:t>
      </w:r>
      <w:r>
        <w:t> — </w:t>
      </w:r>
      <w:r>
        <w:rPr>
          <w:rStyle w:val="CharDivText"/>
        </w:rPr>
        <w:t>Prescribed rating levels</w:t>
      </w:r>
      <w:bookmarkEnd w:id="110"/>
      <w:bookmarkEnd w:id="111"/>
      <w:bookmarkEnd w:id="112"/>
    </w:p>
    <w:p>
      <w:pPr>
        <w:pStyle w:val="Heading5"/>
      </w:pPr>
      <w:bookmarkStart w:id="113" w:name="_Toc398888170"/>
      <w:r>
        <w:rPr>
          <w:rStyle w:val="CharSectno"/>
        </w:rPr>
        <w:t>57</w:t>
      </w:r>
      <w:r>
        <w:t>.</w:t>
      </w:r>
      <w:r>
        <w:tab/>
        <w:t>Rating levels</w:t>
      </w:r>
      <w:bookmarkEnd w:id="113"/>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spacing w:before="60"/>
      </w:pPr>
      <w:r>
        <w:tab/>
        <w:t>(d)</w:t>
      </w:r>
      <w:r>
        <w:tab/>
        <w:t>Exceeding National Quality Standard (the second highest rating level);</w:t>
      </w:r>
    </w:p>
    <w:p>
      <w:pPr>
        <w:pStyle w:val="NotesPerm"/>
        <w:tabs>
          <w:tab w:val="clear" w:pos="879"/>
          <w:tab w:val="left" w:pos="851"/>
        </w:tabs>
        <w:spacing w:before="60"/>
        <w:ind w:left="1418" w:hanging="1418"/>
      </w:pPr>
      <w:r>
        <w:tab/>
        <w:t>Note:</w:t>
      </w:r>
      <w:r>
        <w:tab/>
        <w:t>The second highest rating level is referred to in section 152(5) of the Law.</w:t>
      </w:r>
    </w:p>
    <w:p>
      <w:pPr>
        <w:pStyle w:val="Indenta"/>
        <w:spacing w:before="60"/>
      </w:pPr>
      <w:r>
        <w:tab/>
        <w:t>(e)</w:t>
      </w:r>
      <w:r>
        <w:tab/>
        <w:t>Excellent rating (the highest rating level).</w:t>
      </w:r>
    </w:p>
    <w:p>
      <w:pPr>
        <w:pStyle w:val="NotesPerm"/>
        <w:tabs>
          <w:tab w:val="clear" w:pos="879"/>
          <w:tab w:val="left" w:pos="851"/>
        </w:tabs>
        <w:spacing w:before="60"/>
        <w:ind w:left="1418" w:hanging="1418"/>
      </w:pPr>
      <w:r>
        <w:tab/>
        <w:t>Note:</w:t>
      </w:r>
      <w:r>
        <w:tab/>
        <w:t>The criteria for an excellent rating are determined by the National Authority. See section 153 of the Law.</w:t>
      </w:r>
    </w:p>
    <w:p>
      <w:pPr>
        <w:pStyle w:val="Heading5"/>
      </w:pPr>
      <w:bookmarkStart w:id="114" w:name="_Toc398888171"/>
      <w:r>
        <w:rPr>
          <w:rStyle w:val="CharSectno"/>
        </w:rPr>
        <w:t>58</w:t>
      </w:r>
      <w:r>
        <w:t>.</w:t>
      </w:r>
      <w:r>
        <w:tab/>
        <w:t>Prescribed provisional rating</w:t>
      </w:r>
      <w:bookmarkEnd w:id="114"/>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115" w:name="_Toc398888172"/>
      <w:r>
        <w:rPr>
          <w:rStyle w:val="CharSectno"/>
        </w:rPr>
        <w:t>59</w:t>
      </w:r>
      <w:r>
        <w:t>.</w:t>
      </w:r>
      <w:r>
        <w:tab/>
        <w:t>Significant Improvement Required</w:t>
      </w:r>
      <w:bookmarkEnd w:id="115"/>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an unacceptable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Heading5"/>
      </w:pPr>
      <w:bookmarkStart w:id="116" w:name="_Toc398888173"/>
      <w:r>
        <w:rPr>
          <w:rStyle w:val="CharSectno"/>
        </w:rPr>
        <w:t>60</w:t>
      </w:r>
      <w:r>
        <w:t>.</w:t>
      </w:r>
      <w:r>
        <w:tab/>
        <w:t>Working Towards National Quality Standard</w:t>
      </w:r>
      <w:bookmarkEnd w:id="116"/>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117" w:name="_Toc398888174"/>
      <w:r>
        <w:rPr>
          <w:rStyle w:val="CharSectno"/>
        </w:rPr>
        <w:t>61</w:t>
      </w:r>
      <w:r>
        <w:t>.</w:t>
      </w:r>
      <w:r>
        <w:tab/>
        <w:t>Meeting National Quality Standard</w:t>
      </w:r>
      <w:bookmarkEnd w:id="117"/>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118" w:name="_Toc398888175"/>
      <w:r>
        <w:rPr>
          <w:rStyle w:val="CharSectno"/>
        </w:rPr>
        <w:t>62</w:t>
      </w:r>
      <w:r>
        <w:t>.</w:t>
      </w:r>
      <w:r>
        <w:tab/>
        <w:t>Exceeding National Quality Standard</w:t>
      </w:r>
      <w:bookmarkEnd w:id="118"/>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NotesPerm"/>
        <w:keepNext/>
        <w:tabs>
          <w:tab w:val="clear" w:pos="879"/>
          <w:tab w:val="left" w:pos="851"/>
        </w:tabs>
        <w:spacing w:before="80"/>
        <w:ind w:left="1418" w:hanging="1418"/>
      </w:pPr>
      <w:r>
        <w:tab/>
        <w:t>Notes:</w:t>
      </w:r>
    </w:p>
    <w:p>
      <w:pPr>
        <w:pStyle w:val="NotesPerm"/>
        <w:tabs>
          <w:tab w:val="clear" w:pos="879"/>
          <w:tab w:val="left" w:pos="851"/>
        </w:tabs>
        <w:spacing w:before="80"/>
        <w:ind w:left="1418" w:hanging="1418"/>
      </w:pPr>
      <w:r>
        <w:tab/>
        <w:t>1</w:t>
      </w:r>
      <w:r>
        <w:tab/>
        <w:t>This regulation differs from regulation 62 of the national regulations made by the Ministerial Council.</w:t>
      </w:r>
    </w:p>
    <w:p>
      <w:pPr>
        <w:pStyle w:val="NotesPerm"/>
        <w:tabs>
          <w:tab w:val="clear" w:pos="879"/>
          <w:tab w:val="left" w:pos="851"/>
          <w:tab w:val="left" w:pos="1418"/>
        </w:tabs>
        <w:spacing w:before="80"/>
        <w:ind w:left="1418" w:hanging="1418"/>
      </w:pPr>
      <w:r>
        <w:tab/>
        <w:t>2</w:t>
      </w:r>
      <w:r>
        <w:tab/>
        <w:t>For WA specific provisions, see regulation 368A.</w:t>
      </w:r>
    </w:p>
    <w:p>
      <w:pPr>
        <w:pStyle w:val="Footnotesection"/>
      </w:pPr>
      <w:r>
        <w:tab/>
        <w:t>[Regulation 62 amended in Gazette 6 Jun 2014 p. 1787.]</w:t>
      </w:r>
    </w:p>
    <w:p>
      <w:pPr>
        <w:pStyle w:val="Heading3"/>
      </w:pPr>
      <w:bookmarkStart w:id="119" w:name="_Toc397340320"/>
      <w:bookmarkStart w:id="120" w:name="_Toc398887757"/>
      <w:bookmarkStart w:id="121" w:name="_Toc398888176"/>
      <w:r>
        <w:rPr>
          <w:rStyle w:val="CharDivNo"/>
        </w:rPr>
        <w:t>Part 3.3</w:t>
      </w:r>
      <w:r>
        <w:t> — </w:t>
      </w:r>
      <w:r>
        <w:rPr>
          <w:rStyle w:val="CharDivText"/>
        </w:rPr>
        <w:t>Assessment</w:t>
      </w:r>
      <w:bookmarkEnd w:id="119"/>
      <w:bookmarkEnd w:id="120"/>
      <w:bookmarkEnd w:id="121"/>
    </w:p>
    <w:p>
      <w:pPr>
        <w:pStyle w:val="Heading4"/>
      </w:pPr>
      <w:bookmarkStart w:id="122" w:name="_Toc397340321"/>
      <w:bookmarkStart w:id="123" w:name="_Toc398887758"/>
      <w:bookmarkStart w:id="124" w:name="_Toc398888177"/>
      <w:r>
        <w:t>Division 1 — Assessment</w:t>
      </w:r>
      <w:bookmarkEnd w:id="122"/>
      <w:bookmarkEnd w:id="123"/>
      <w:bookmarkEnd w:id="124"/>
    </w:p>
    <w:p>
      <w:pPr>
        <w:pStyle w:val="Heading5"/>
      </w:pPr>
      <w:bookmarkStart w:id="125" w:name="_Toc398888178"/>
      <w:r>
        <w:rPr>
          <w:rStyle w:val="CharSectno"/>
        </w:rPr>
        <w:t>63</w:t>
      </w:r>
      <w:r>
        <w:t>.</w:t>
      </w:r>
      <w:r>
        <w:tab/>
        <w:t>Assessing approved education and care services</w:t>
      </w:r>
      <w:bookmarkEnd w:id="125"/>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NotesPerm"/>
        <w:tabs>
          <w:tab w:val="clear" w:pos="879"/>
          <w:tab w:val="left" w:pos="851"/>
        </w:tabs>
        <w:spacing w:before="80"/>
        <w:ind w:left="1418" w:hanging="1418"/>
      </w:pPr>
      <w:r>
        <w:tab/>
        <w:t>Notes:</w:t>
      </w:r>
      <w:r>
        <w:tab/>
      </w:r>
    </w:p>
    <w:p>
      <w:pPr>
        <w:pStyle w:val="NotesPerm"/>
        <w:tabs>
          <w:tab w:val="clear" w:pos="879"/>
          <w:tab w:val="left" w:pos="851"/>
          <w:tab w:val="left" w:pos="1418"/>
        </w:tabs>
        <w:spacing w:before="80"/>
        <w:ind w:left="1418" w:hanging="1418"/>
      </w:pPr>
      <w:r>
        <w:tab/>
        <w:t>1</w:t>
      </w:r>
      <w:r>
        <w:tab/>
        <w:t>See Division 2 of this Part.</w:t>
      </w:r>
    </w:p>
    <w:p>
      <w:pPr>
        <w:pStyle w:val="NotesPerm"/>
        <w:tabs>
          <w:tab w:val="clear" w:pos="879"/>
          <w:tab w:val="left" w:pos="851"/>
        </w:tabs>
        <w:spacing w:before="80"/>
        <w:ind w:left="1418" w:hanging="1418"/>
      </w:pPr>
      <w:r>
        <w:tab/>
        <w:t>2</w:t>
      </w:r>
      <w:r>
        <w:tab/>
        <w:t>This regulation differs from regulation 63 of the national regulations made by the Ministerial Council.</w:t>
      </w:r>
    </w:p>
    <w:p>
      <w:pPr>
        <w:pStyle w:val="Heading5"/>
      </w:pPr>
      <w:bookmarkStart w:id="126" w:name="_Toc398888179"/>
      <w:r>
        <w:rPr>
          <w:rStyle w:val="CharSectno"/>
        </w:rPr>
        <w:t>64</w:t>
      </w:r>
      <w:r>
        <w:t>.</w:t>
      </w:r>
      <w:r>
        <w:tab/>
        <w:t>Matters for determination of rating</w:t>
      </w:r>
      <w:bookmarkEnd w:id="126"/>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127" w:name="_Toc398888180"/>
      <w:r>
        <w:rPr>
          <w:rStyle w:val="CharSectno"/>
        </w:rPr>
        <w:t>65</w:t>
      </w:r>
      <w:r>
        <w:t>.</w:t>
      </w:r>
      <w:r>
        <w:tab/>
        <w:t>Assessment and rating of new education and care services</w:t>
      </w:r>
      <w:bookmarkEnd w:id="127"/>
      <w:r>
        <w:t xml:space="preserve"> </w:t>
      </w:r>
    </w:p>
    <w:p>
      <w:pPr>
        <w:pStyle w:val="Subsection"/>
      </w:pPr>
      <w:r>
        <w:tab/>
      </w:r>
      <w:r>
        <w:tab/>
        <w:t>On being granted a service approval, an education and care service is rated as Provisional — Not Yet Assessed under the National Quality Framework.</w:t>
      </w:r>
    </w:p>
    <w:p>
      <w:pPr>
        <w:pStyle w:val="NotesPerm"/>
        <w:tabs>
          <w:tab w:val="clear" w:pos="879"/>
          <w:tab w:val="left" w:pos="851"/>
        </w:tabs>
        <w:spacing w:before="80"/>
        <w:ind w:left="1418" w:hanging="1418"/>
      </w:pPr>
      <w:r>
        <w:tab/>
        <w:t>Note:</w:t>
      </w:r>
      <w:r>
        <w:tab/>
        <w:t>See section 133(2) of the Law.</w:t>
      </w:r>
    </w:p>
    <w:p>
      <w:pPr>
        <w:pStyle w:val="Heading4"/>
      </w:pPr>
      <w:bookmarkStart w:id="128" w:name="_Toc397340325"/>
      <w:bookmarkStart w:id="129" w:name="_Toc398887762"/>
      <w:bookmarkStart w:id="130" w:name="_Toc398888181"/>
      <w:r>
        <w:t>Division 2 — Reassessment</w:t>
      </w:r>
      <w:bookmarkEnd w:id="128"/>
      <w:bookmarkEnd w:id="129"/>
      <w:bookmarkEnd w:id="130"/>
    </w:p>
    <w:p>
      <w:pPr>
        <w:pStyle w:val="Heading5"/>
      </w:pPr>
      <w:bookmarkStart w:id="131" w:name="_Toc398888182"/>
      <w:r>
        <w:rPr>
          <w:rStyle w:val="CharSectno"/>
        </w:rPr>
        <w:t>66</w:t>
      </w:r>
      <w:r>
        <w:t>.</w:t>
      </w:r>
      <w:r>
        <w:tab/>
        <w:t>Application for reassessment</w:t>
      </w:r>
      <w:bookmarkEnd w:id="131"/>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132" w:name="_Toc398888183"/>
      <w:r>
        <w:rPr>
          <w:rStyle w:val="CharSectno"/>
        </w:rPr>
        <w:t>67</w:t>
      </w:r>
      <w:r>
        <w:t>.</w:t>
      </w:r>
      <w:r>
        <w:tab/>
        <w:t>Reassessment by Regulatory Authority</w:t>
      </w:r>
      <w:bookmarkEnd w:id="132"/>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133" w:name="_Toc397340328"/>
      <w:bookmarkStart w:id="134" w:name="_Toc398887765"/>
      <w:bookmarkStart w:id="135" w:name="_Toc398888184"/>
      <w:r>
        <w:rPr>
          <w:rStyle w:val="CharDivNo"/>
        </w:rPr>
        <w:t>Part 3.4</w:t>
      </w:r>
      <w:r>
        <w:t> — </w:t>
      </w:r>
      <w:r>
        <w:rPr>
          <w:rStyle w:val="CharDivText"/>
        </w:rPr>
        <w:t>Review of ratings</w:t>
      </w:r>
      <w:bookmarkEnd w:id="133"/>
      <w:bookmarkEnd w:id="134"/>
      <w:bookmarkEnd w:id="135"/>
    </w:p>
    <w:p>
      <w:pPr>
        <w:pStyle w:val="Heading4"/>
      </w:pPr>
      <w:bookmarkStart w:id="136" w:name="_Toc397340329"/>
      <w:bookmarkStart w:id="137" w:name="_Toc398887766"/>
      <w:bookmarkStart w:id="138" w:name="_Toc398888185"/>
      <w:r>
        <w:t>Division 1 — Review of ratings by Regulatory Authority</w:t>
      </w:r>
      <w:bookmarkEnd w:id="136"/>
      <w:bookmarkEnd w:id="137"/>
      <w:bookmarkEnd w:id="138"/>
    </w:p>
    <w:p>
      <w:pPr>
        <w:pStyle w:val="Heading5"/>
      </w:pPr>
      <w:bookmarkStart w:id="139" w:name="_Toc398888186"/>
      <w:r>
        <w:rPr>
          <w:rStyle w:val="CharSectno"/>
        </w:rPr>
        <w:t>68</w:t>
      </w:r>
      <w:r>
        <w:t>.</w:t>
      </w:r>
      <w:r>
        <w:tab/>
        <w:t>Prescribed information for request for review of rating</w:t>
      </w:r>
      <w:bookmarkEnd w:id="139"/>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NotesPerm"/>
        <w:tabs>
          <w:tab w:val="clear" w:pos="879"/>
          <w:tab w:val="left" w:pos="851"/>
        </w:tabs>
        <w:ind w:left="1418" w:hanging="1418"/>
      </w:pPr>
      <w:r>
        <w:tab/>
        <w:t>Note:</w:t>
      </w:r>
      <w:r>
        <w:tab/>
        <w:t>Section 141(4)(b) of the Law requires that the request must set out the grounds on which a review is sought.</w:t>
      </w:r>
    </w:p>
    <w:p>
      <w:pPr>
        <w:pStyle w:val="Heading4"/>
      </w:pPr>
      <w:bookmarkStart w:id="140" w:name="_Toc397340331"/>
      <w:bookmarkStart w:id="141" w:name="_Toc398887768"/>
      <w:bookmarkStart w:id="142" w:name="_Toc398888187"/>
      <w:r>
        <w:t>Division 2 — Review of ratings by Ratings Review Panel</w:t>
      </w:r>
      <w:bookmarkEnd w:id="140"/>
      <w:bookmarkEnd w:id="141"/>
      <w:bookmarkEnd w:id="142"/>
    </w:p>
    <w:p>
      <w:pPr>
        <w:pStyle w:val="Heading5"/>
      </w:pPr>
      <w:bookmarkStart w:id="143" w:name="_Toc398888188"/>
      <w:r>
        <w:rPr>
          <w:rStyle w:val="CharSectno"/>
        </w:rPr>
        <w:t>69</w:t>
      </w:r>
      <w:r>
        <w:t>.</w:t>
      </w:r>
      <w:r>
        <w:tab/>
        <w:t>Application for further review by Ratings Review Panel</w:t>
      </w:r>
      <w:bookmarkEnd w:id="143"/>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NotesPerm"/>
        <w:tabs>
          <w:tab w:val="clear" w:pos="879"/>
          <w:tab w:val="left" w:pos="851"/>
        </w:tabs>
        <w:spacing w:before="80"/>
        <w:ind w:left="1418" w:hanging="1418"/>
      </w:pPr>
      <w:r>
        <w:tab/>
        <w:t>Note:</w:t>
      </w:r>
      <w:r>
        <w:tab/>
        <w:t>See section 145(2)(b) of the Law.</w:t>
      </w:r>
    </w:p>
    <w:p>
      <w:pPr>
        <w:pStyle w:val="Heading5"/>
      </w:pPr>
      <w:bookmarkStart w:id="144" w:name="_Toc398888189"/>
      <w:r>
        <w:rPr>
          <w:rStyle w:val="CharSectno"/>
        </w:rPr>
        <w:t>70</w:t>
      </w:r>
      <w:r>
        <w:t>.</w:t>
      </w:r>
      <w:r>
        <w:tab/>
        <w:t>Prescribed areas of expertise or expert knowledge of Ratings Review Panel pool</w:t>
      </w:r>
      <w:bookmarkEnd w:id="144"/>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pPr>
      <w:r>
        <w:tab/>
        <w:t>(b)</w:t>
      </w:r>
      <w:r>
        <w:tab/>
        <w:t>best practice regulation.</w:t>
      </w:r>
    </w:p>
    <w:p>
      <w:pPr>
        <w:pStyle w:val="NotesPerm"/>
        <w:tabs>
          <w:tab w:val="clear" w:pos="879"/>
          <w:tab w:val="left" w:pos="851"/>
        </w:tabs>
        <w:spacing w:before="80"/>
        <w:ind w:left="1418" w:hanging="1418"/>
      </w:pPr>
      <w:r>
        <w:tab/>
        <w:t>Note:</w:t>
      </w:r>
      <w:r>
        <w:tab/>
        <w:t>These areas are in addition to the areas prescribed in section 147(3) of the Law.</w:t>
      </w:r>
    </w:p>
    <w:p>
      <w:pPr>
        <w:pStyle w:val="Heading3"/>
      </w:pPr>
      <w:bookmarkStart w:id="145" w:name="_Toc397340334"/>
      <w:bookmarkStart w:id="146" w:name="_Toc398887771"/>
      <w:bookmarkStart w:id="147" w:name="_Toc398888190"/>
      <w:r>
        <w:rPr>
          <w:rStyle w:val="CharDivNo"/>
        </w:rPr>
        <w:t>Part 3.5</w:t>
      </w:r>
      <w:r>
        <w:t> — </w:t>
      </w:r>
      <w:r>
        <w:rPr>
          <w:rStyle w:val="CharDivText"/>
        </w:rPr>
        <w:t>Highest rating</w:t>
      </w:r>
      <w:bookmarkEnd w:id="145"/>
      <w:bookmarkEnd w:id="146"/>
      <w:bookmarkEnd w:id="147"/>
    </w:p>
    <w:p>
      <w:pPr>
        <w:pStyle w:val="Heading5"/>
      </w:pPr>
      <w:bookmarkStart w:id="148" w:name="_Toc398888191"/>
      <w:r>
        <w:rPr>
          <w:rStyle w:val="CharSectno"/>
        </w:rPr>
        <w:t>71</w:t>
      </w:r>
      <w:r>
        <w:t>.</w:t>
      </w:r>
      <w:r>
        <w:tab/>
        <w:t>Application or reapplication for the highest rating</w:t>
      </w:r>
      <w:bookmarkEnd w:id="148"/>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149" w:name="_Toc397340336"/>
      <w:bookmarkStart w:id="150" w:name="_Toc398887773"/>
      <w:bookmarkStart w:id="151" w:name="_Toc398888192"/>
      <w:r>
        <w:rPr>
          <w:rStyle w:val="CharDivNo"/>
        </w:rPr>
        <w:t>Part 3.6</w:t>
      </w:r>
      <w:r>
        <w:t> — </w:t>
      </w:r>
      <w:r>
        <w:rPr>
          <w:rStyle w:val="CharDivText"/>
        </w:rPr>
        <w:t>Offences</w:t>
      </w:r>
      <w:bookmarkEnd w:id="149"/>
      <w:bookmarkEnd w:id="150"/>
      <w:bookmarkEnd w:id="151"/>
    </w:p>
    <w:p>
      <w:pPr>
        <w:pStyle w:val="Heading5"/>
      </w:pPr>
      <w:bookmarkStart w:id="152" w:name="_Toc398888193"/>
      <w:r>
        <w:rPr>
          <w:rStyle w:val="CharSectno"/>
        </w:rPr>
        <w:t>72</w:t>
      </w:r>
      <w:r>
        <w:t>.</w:t>
      </w:r>
      <w:r>
        <w:tab/>
        <w:t>Offences in relation to giving false or misleading statements about ratings</w:t>
      </w:r>
      <w:bookmarkEnd w:id="152"/>
      <w:r>
        <w:t xml:space="preserve"> </w:t>
      </w:r>
    </w:p>
    <w:p>
      <w:pPr>
        <w:pStyle w:val="Subsection"/>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NotesPerm"/>
        <w:tabs>
          <w:tab w:val="clear" w:pos="879"/>
          <w:tab w:val="left" w:pos="851"/>
        </w:tabs>
        <w:spacing w:before="80"/>
        <w:ind w:left="1418" w:hanging="1418"/>
      </w:pPr>
      <w:r>
        <w:tab/>
        <w:t>Note:</w:t>
      </w:r>
      <w:r>
        <w:tab/>
        <w:t>A compliance direction may be issued for failure to comply with subregulation (1) or (2).</w:t>
      </w:r>
    </w:p>
    <w:p>
      <w:pPr>
        <w:pStyle w:val="Heading2"/>
      </w:pPr>
      <w:bookmarkStart w:id="153" w:name="_Toc397340338"/>
      <w:bookmarkStart w:id="154" w:name="_Toc398887775"/>
      <w:bookmarkStart w:id="155" w:name="_Toc398888194"/>
      <w:r>
        <w:rPr>
          <w:rStyle w:val="CharPartNo"/>
        </w:rPr>
        <w:t>Chapter 4</w:t>
      </w:r>
      <w:r>
        <w:rPr>
          <w:rStyle w:val="CharDivNo"/>
        </w:rPr>
        <w:t> </w:t>
      </w:r>
      <w:r>
        <w:t>—</w:t>
      </w:r>
      <w:r>
        <w:rPr>
          <w:rStyle w:val="CharDivText"/>
        </w:rPr>
        <w:t> </w:t>
      </w:r>
      <w:r>
        <w:rPr>
          <w:rStyle w:val="CharPartText"/>
        </w:rPr>
        <w:t>Operational requirements</w:t>
      </w:r>
      <w:bookmarkEnd w:id="153"/>
      <w:bookmarkEnd w:id="154"/>
      <w:bookmarkEnd w:id="155"/>
    </w:p>
    <w:p>
      <w:pPr>
        <w:pStyle w:val="MiscellaneousBody"/>
      </w:pPr>
      <w:r>
        <w:t>This Chapter contains requirements for operating an education and care service. This Chapter is relevant for all services and is aligned with the National Quality Standard.</w:t>
      </w:r>
    </w:p>
    <w:p>
      <w:pPr>
        <w:pStyle w:val="MiscellaneousBody"/>
      </w:pPr>
      <w:r>
        <w:rPr>
          <w:b/>
        </w:rPr>
        <w:t>Part 4.1</w:t>
      </w:r>
      <w:r>
        <w:t xml:space="preserve"> sets out requirements for an educational program and practice for a service. The regulations in this Part are relevant to quality area 1 of the National Standard.</w:t>
      </w:r>
    </w:p>
    <w:p>
      <w:pPr>
        <w:pStyle w:val="MiscellaneousBody"/>
      </w:pPr>
      <w:r>
        <w:rPr>
          <w:b/>
        </w:rPr>
        <w:t>Part 4.2</w:t>
      </w:r>
      <w:r>
        <w:t xml:space="preserve"> sets out requirements for services relating to children’s health and safety. The regulations in this Part are relevant to quality area 2 of the National Standard.</w:t>
      </w:r>
    </w:p>
    <w:p>
      <w:pPr>
        <w:pStyle w:val="MiscellaneousBody"/>
        <w:ind w:left="284"/>
      </w:pPr>
      <w:r>
        <w:rPr>
          <w:i/>
        </w:rPr>
        <w:t>Division 1</w:t>
      </w:r>
      <w:r>
        <w:t xml:space="preserve"> sets out requirements to be put in place for the health, safety and wellbeing of children.</w:t>
      </w:r>
    </w:p>
    <w:p>
      <w:pPr>
        <w:pStyle w:val="MiscellaneousBody"/>
        <w:ind w:left="284"/>
      </w:pPr>
      <w:r>
        <w:rPr>
          <w:i/>
        </w:rPr>
        <w:t>Division 2</w:t>
      </w:r>
      <w:r>
        <w:t xml:space="preserve"> sets out the requirements for policies and procedures relating to incidents, injuries, trauma and illness.</w:t>
      </w:r>
    </w:p>
    <w:p>
      <w:pPr>
        <w:pStyle w:val="MiscellaneousBody"/>
        <w:ind w:left="284"/>
      </w:pPr>
      <w:r>
        <w:rPr>
          <w:i/>
        </w:rPr>
        <w:t>Division 3</w:t>
      </w:r>
      <w:r>
        <w:t xml:space="preserve"> sets out requirements for a medical conditions policy and medication procedures.</w:t>
      </w:r>
    </w:p>
    <w:p>
      <w:pPr>
        <w:pStyle w:val="MiscellaneousBody"/>
        <w:ind w:left="284"/>
      </w:pPr>
      <w:r>
        <w:rPr>
          <w:i/>
        </w:rPr>
        <w:t>Division 4</w:t>
      </w:r>
      <w:r>
        <w:t xml:space="preserve"> sets out matters relating to the administration of medication.</w:t>
      </w:r>
    </w:p>
    <w:p>
      <w:pPr>
        <w:pStyle w:val="MiscellaneousBody"/>
        <w:ind w:left="284"/>
      </w:pPr>
      <w:r>
        <w:rPr>
          <w:i/>
        </w:rPr>
        <w:t>Division 5</w:t>
      </w:r>
      <w:r>
        <w:t xml:space="preserve"> sets out matters relating to emergencies and communication.</w:t>
      </w:r>
    </w:p>
    <w:p>
      <w:pPr>
        <w:pStyle w:val="MiscellaneousBody"/>
        <w:ind w:left="284"/>
      </w:pPr>
      <w:r>
        <w:rPr>
          <w:i/>
        </w:rPr>
        <w:t>Division 6</w:t>
      </w:r>
      <w:r>
        <w:t xml:space="preserve"> sets out requirements for collection of children from premises and excursions.</w:t>
      </w:r>
    </w:p>
    <w:p>
      <w:pPr>
        <w:pStyle w:val="MiscellaneousBody"/>
      </w:pPr>
      <w:r>
        <w:rPr>
          <w:b/>
        </w:rPr>
        <w:t>Part 4.3</w:t>
      </w:r>
      <w:r>
        <w:t xml:space="preserve"> sets out the physical environment requirements for services. These requirements may differ depending on whether the service is a centre</w:t>
      </w:r>
      <w:r>
        <w:noBreakHyphen/>
        <w:t>based service or a family day care service. The regulations in this Part are relevant to quality area 3 of the National Standard.</w:t>
      </w:r>
    </w:p>
    <w:p>
      <w:pPr>
        <w:pStyle w:val="MiscellaneousBody"/>
        <w:ind w:left="284"/>
      </w:pPr>
      <w:r>
        <w:rPr>
          <w:i/>
        </w:rPr>
        <w:t>Division 1</w:t>
      </w:r>
      <w:r>
        <w:t xml:space="preserve"> sets out the requirements for premises for both centre</w:t>
      </w:r>
      <w:r>
        <w:noBreakHyphen/>
        <w:t>based services and family day care services.</w:t>
      </w:r>
    </w:p>
    <w:p>
      <w:pPr>
        <w:pStyle w:val="MiscellaneousBody"/>
        <w:ind w:left="284"/>
      </w:pPr>
      <w:r>
        <w:rPr>
          <w:i/>
        </w:rPr>
        <w:t>Division 2</w:t>
      </w:r>
      <w:r>
        <w:t xml:space="preserve"> sets out the additional requirements for centre</w:t>
      </w:r>
      <w:r>
        <w:noBreakHyphen/>
        <w:t>based services.</w:t>
      </w:r>
    </w:p>
    <w:p>
      <w:pPr>
        <w:pStyle w:val="MiscellaneousBody"/>
        <w:ind w:left="284"/>
      </w:pPr>
      <w:r>
        <w:rPr>
          <w:i/>
        </w:rPr>
        <w:t>Division 3</w:t>
      </w:r>
      <w:r>
        <w:t xml:space="preserve"> sets out the additional requirements for family day care services.</w:t>
      </w:r>
    </w:p>
    <w:p>
      <w:pPr>
        <w:pStyle w:val="MiscellaneousBody"/>
      </w:pPr>
      <w:r>
        <w:rPr>
          <w:b/>
        </w:rPr>
        <w:t>Part 4.4</w:t>
      </w:r>
      <w: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pPr>
      <w:r>
        <w:rPr>
          <w:b/>
        </w:rPr>
        <w:t>Part 4.5</w:t>
      </w:r>
      <w:r>
        <w:t xml:space="preserve"> sets out provisions relating to relationships between children and educators. The regulations in this Part are relevant to quality area 5 of the National Standard.</w:t>
      </w:r>
    </w:p>
    <w:p>
      <w:pPr>
        <w:pStyle w:val="MiscellaneousBody"/>
      </w:pPr>
      <w:r>
        <w:rPr>
          <w:b/>
        </w:rPr>
        <w:t>Part 4.6</w:t>
      </w:r>
      <w:r>
        <w:t xml:space="preserve"> sets out a requirement for services to have collaborative relationships with families. The regulations in this Part are relevant to quality area 6 of the National Standard.</w:t>
      </w:r>
    </w:p>
    <w:p>
      <w:pPr>
        <w:pStyle w:val="MiscellaneousBody"/>
      </w:pPr>
      <w:r>
        <w:rPr>
          <w:b/>
        </w:rPr>
        <w:t>Part 4.7</w:t>
      </w:r>
      <w:r>
        <w:t xml:space="preserve"> sets out matters relating to management and leadership in services. The regulations in this Part are relevant to quality area 7 of the National Standard.</w:t>
      </w:r>
    </w:p>
    <w:p>
      <w:pPr>
        <w:pStyle w:val="MiscellaneousBody"/>
        <w:ind w:left="284"/>
      </w:pPr>
      <w:r>
        <w:rPr>
          <w:i/>
        </w:rPr>
        <w:t>Division 1</w:t>
      </w:r>
      <w:r>
        <w:t xml:space="preserve"> sets out matters relating to the management of services.</w:t>
      </w:r>
    </w:p>
    <w:p>
      <w:pPr>
        <w:pStyle w:val="MiscellaneousBody"/>
        <w:ind w:left="284"/>
      </w:pPr>
      <w:r>
        <w:rPr>
          <w:i/>
        </w:rPr>
        <w:t>Division 2</w:t>
      </w:r>
      <w:r>
        <w:t xml:space="preserve"> sets out matters relating to policies and procedures for services.</w:t>
      </w:r>
    </w:p>
    <w:p>
      <w:pPr>
        <w:pStyle w:val="MiscellaneousBody"/>
        <w:ind w:left="284"/>
      </w:pPr>
      <w:r>
        <w:rPr>
          <w:i/>
        </w:rPr>
        <w:t>Division 3</w:t>
      </w:r>
      <w:r>
        <w:t xml:space="preserve"> sets out information and record</w:t>
      </w:r>
      <w:r>
        <w:noBreakHyphen/>
        <w:t>keeping requirements.</w:t>
      </w:r>
    </w:p>
    <w:p>
      <w:pPr>
        <w:pStyle w:val="Heading3"/>
      </w:pPr>
      <w:bookmarkStart w:id="156" w:name="_Toc397340339"/>
      <w:bookmarkStart w:id="157" w:name="_Toc398887776"/>
      <w:bookmarkStart w:id="158" w:name="_Toc398888195"/>
      <w:r>
        <w:rPr>
          <w:rStyle w:val="CharDivNo"/>
        </w:rPr>
        <w:t>Part 4.1</w:t>
      </w:r>
      <w:r>
        <w:t> — </w:t>
      </w:r>
      <w:r>
        <w:rPr>
          <w:rStyle w:val="CharDivText"/>
        </w:rPr>
        <w:t>Educational program and practice</w:t>
      </w:r>
      <w:bookmarkEnd w:id="156"/>
      <w:bookmarkEnd w:id="157"/>
      <w:bookmarkEnd w:id="158"/>
    </w:p>
    <w:p>
      <w:pPr>
        <w:pStyle w:val="Heading5"/>
      </w:pPr>
      <w:bookmarkStart w:id="159" w:name="_Toc398888196"/>
      <w:r>
        <w:rPr>
          <w:rStyle w:val="CharSectno"/>
        </w:rPr>
        <w:t>73</w:t>
      </w:r>
      <w:r>
        <w:t>.</w:t>
      </w:r>
      <w:r>
        <w:tab/>
        <w:t>Educational program</w:t>
      </w:r>
      <w:bookmarkEnd w:id="159"/>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160" w:name="_Toc398888197"/>
      <w:r>
        <w:rPr>
          <w:rStyle w:val="CharSectno"/>
        </w:rPr>
        <w:t>74</w:t>
      </w:r>
      <w:r>
        <w:t>.</w:t>
      </w:r>
      <w:r>
        <w:tab/>
        <w:t>Documenting of child assessments or evaluations for delivery of educational program</w:t>
      </w:r>
      <w:bookmarkEnd w:id="160"/>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evaluations of the child’s wellbeing, development and learning.</w:t>
      </w:r>
    </w:p>
    <w:p>
      <w:pPr>
        <w:pStyle w:val="Subsection"/>
      </w:pPr>
      <w:r>
        <w:tab/>
        <w:t>(2)</w:t>
      </w:r>
      <w:r>
        <w:tab/>
        <w:t xml:space="preserve">In preparing the documentation, the approved provider must — </w:t>
      </w:r>
    </w:p>
    <w:p>
      <w:pPr>
        <w:pStyle w:val="Indenta"/>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61" w:name="_Toc398888198"/>
      <w:r>
        <w:rPr>
          <w:rStyle w:val="CharSectno"/>
        </w:rPr>
        <w:t>75</w:t>
      </w:r>
      <w:r>
        <w:t>.</w:t>
      </w:r>
      <w:r>
        <w:tab/>
        <w:t>Information about educational program to be kept available</w:t>
      </w:r>
      <w:bookmarkEnd w:id="161"/>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parents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162" w:name="_Toc398888199"/>
      <w:r>
        <w:rPr>
          <w:rStyle w:val="CharSectno"/>
        </w:rPr>
        <w:t>76</w:t>
      </w:r>
      <w:r>
        <w:t>.</w:t>
      </w:r>
      <w:r>
        <w:tab/>
        <w:t>Information about educational program to be given to parents</w:t>
      </w:r>
      <w:bookmarkEnd w:id="162"/>
      <w:r>
        <w:t xml:space="preserve"> </w:t>
      </w:r>
    </w:p>
    <w:p>
      <w:pPr>
        <w:pStyle w:val="Subsection"/>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NotesPerm"/>
        <w:tabs>
          <w:tab w:val="clear" w:pos="879"/>
          <w:tab w:val="left" w:pos="851"/>
        </w:tabs>
        <w:ind w:left="1418" w:hanging="1418"/>
      </w:pPr>
      <w:r>
        <w:tab/>
        <w:t>Note:</w:t>
      </w:r>
      <w:r>
        <w:tab/>
        <w:t>A compliance direction may be issued for failure to comply with this regulation.</w:t>
      </w:r>
    </w:p>
    <w:p>
      <w:pPr>
        <w:pStyle w:val="Heading3"/>
      </w:pPr>
      <w:bookmarkStart w:id="163" w:name="_Toc397340344"/>
      <w:bookmarkStart w:id="164" w:name="_Toc398887781"/>
      <w:bookmarkStart w:id="165" w:name="_Toc398888200"/>
      <w:r>
        <w:rPr>
          <w:rStyle w:val="CharDivNo"/>
        </w:rPr>
        <w:t>Part 4.2</w:t>
      </w:r>
      <w:r>
        <w:t> — </w:t>
      </w:r>
      <w:r>
        <w:rPr>
          <w:rStyle w:val="CharDivText"/>
        </w:rPr>
        <w:t>Children’s health and safety</w:t>
      </w:r>
      <w:bookmarkEnd w:id="163"/>
      <w:bookmarkEnd w:id="164"/>
      <w:bookmarkEnd w:id="165"/>
    </w:p>
    <w:p>
      <w:pPr>
        <w:pStyle w:val="Heading4"/>
      </w:pPr>
      <w:bookmarkStart w:id="166" w:name="_Toc397340345"/>
      <w:bookmarkStart w:id="167" w:name="_Toc398887782"/>
      <w:bookmarkStart w:id="168" w:name="_Toc398888201"/>
      <w:r>
        <w:t>Division 1 — Health, safety and wellbeing of children</w:t>
      </w:r>
      <w:bookmarkEnd w:id="166"/>
      <w:bookmarkEnd w:id="167"/>
      <w:bookmarkEnd w:id="168"/>
    </w:p>
    <w:p>
      <w:pPr>
        <w:pStyle w:val="Heading5"/>
      </w:pPr>
      <w:bookmarkStart w:id="169" w:name="_Toc398888202"/>
      <w:r>
        <w:rPr>
          <w:rStyle w:val="CharSectno"/>
        </w:rPr>
        <w:t>77</w:t>
      </w:r>
      <w:r>
        <w:t>.</w:t>
      </w:r>
      <w:r>
        <w:tab/>
        <w:t>Health, hygiene and safe food practices</w:t>
      </w:r>
      <w:bookmarkEnd w:id="169"/>
      <w:r>
        <w:t xml:space="preserve"> </w:t>
      </w:r>
    </w:p>
    <w:p>
      <w:pPr>
        <w:pStyle w:val="Subsection"/>
      </w:pPr>
      <w:r>
        <w:tab/>
        <w:t>(1)</w:t>
      </w:r>
      <w:r>
        <w:tab/>
        <w:t xml:space="preserve">The approved provider of an education and care service must ensure that the nominated supervisor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The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NotesPerm"/>
        <w:tabs>
          <w:tab w:val="clear" w:pos="879"/>
          <w:tab w:val="left" w:pos="851"/>
        </w:tabs>
        <w:spacing w:before="120"/>
        <w:ind w:left="1418" w:hanging="1418"/>
      </w:pPr>
      <w:r>
        <w:tab/>
        <w:t>Note:</w:t>
      </w:r>
      <w:r>
        <w:tab/>
        <w:t>A compliance direction may be issued for failure to comply with subregulation (1).</w:t>
      </w:r>
    </w:p>
    <w:p>
      <w:pPr>
        <w:pStyle w:val="Heading5"/>
      </w:pPr>
      <w:bookmarkStart w:id="170" w:name="_Toc398888203"/>
      <w:r>
        <w:rPr>
          <w:rStyle w:val="CharSectno"/>
        </w:rPr>
        <w:t>78</w:t>
      </w:r>
      <w:r>
        <w:t>.</w:t>
      </w:r>
      <w:r>
        <w:tab/>
        <w:t>Food and beverages</w:t>
      </w:r>
      <w:bookmarkEnd w:id="170"/>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pPr>
      <w:r>
        <w:tab/>
        <w:t>(2)</w:t>
      </w:r>
      <w:r>
        <w:tab/>
        <w:t xml:space="preserve">The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71" w:name="_Toc398888204"/>
      <w:r>
        <w:rPr>
          <w:rStyle w:val="CharSectno"/>
        </w:rPr>
        <w:t>79</w:t>
      </w:r>
      <w:r>
        <w:t>.</w:t>
      </w:r>
      <w:r>
        <w:tab/>
        <w:t>Service providing food and beverages</w:t>
      </w:r>
      <w:bookmarkEnd w:id="171"/>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The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72" w:name="_Toc398888205"/>
      <w:r>
        <w:rPr>
          <w:rStyle w:val="CharSectno"/>
        </w:rPr>
        <w:t>80</w:t>
      </w:r>
      <w:r>
        <w:t>.</w:t>
      </w:r>
      <w:r>
        <w:tab/>
        <w:t>Weekly menu</w:t>
      </w:r>
      <w:bookmarkEnd w:id="172"/>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parents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The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parents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parents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tab/>
        <w:t>(4)</w:t>
      </w:r>
      <w:r>
        <w:tab/>
        <w:t>To avoid doubt, this regulation does not apply to food and beverages provided by a parent or family member for consumption by the child.</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73" w:name="_Toc398888206"/>
      <w:r>
        <w:rPr>
          <w:rStyle w:val="CharSectno"/>
        </w:rPr>
        <w:t>81</w:t>
      </w:r>
      <w:r>
        <w:t>.</w:t>
      </w:r>
      <w:r>
        <w:tab/>
        <w:t>Sleep and rest</w:t>
      </w:r>
      <w:bookmarkEnd w:id="173"/>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The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74" w:name="_Toc398888207"/>
      <w:r>
        <w:rPr>
          <w:rStyle w:val="CharSectno"/>
        </w:rPr>
        <w:t>82</w:t>
      </w:r>
      <w:r>
        <w:t>.</w:t>
      </w:r>
      <w:r>
        <w:tab/>
        <w:t>Tobacco, drug and alcohol</w:t>
      </w:r>
      <w:r>
        <w:noBreakHyphen/>
        <w:t>free environment</w:t>
      </w:r>
      <w:bookmarkEnd w:id="174"/>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NotesPerm"/>
        <w:tabs>
          <w:tab w:val="clear" w:pos="879"/>
          <w:tab w:val="left" w:pos="851"/>
        </w:tabs>
        <w:spacing w:before="80"/>
        <w:ind w:left="1418" w:hanging="1418"/>
      </w:pPr>
      <w:r>
        <w:tab/>
        <w:t>Note:</w:t>
      </w:r>
      <w:r>
        <w:tab/>
        <w:t>A compliance direction may be issued for failure to comply with subregulation (1).</w:t>
      </w:r>
    </w:p>
    <w:p>
      <w:pPr>
        <w:pStyle w:val="Heading5"/>
      </w:pPr>
      <w:bookmarkStart w:id="175" w:name="_Toc398888208"/>
      <w:r>
        <w:rPr>
          <w:rStyle w:val="CharSectno"/>
        </w:rPr>
        <w:t>83</w:t>
      </w:r>
      <w:r>
        <w:t>.</w:t>
      </w:r>
      <w:r>
        <w:tab/>
        <w:t>Staff members and family day care educators not to be affected by alcohol or drugs</w:t>
      </w:r>
      <w:bookmarkEnd w:id="175"/>
      <w:r>
        <w:t xml:space="preserve"> </w:t>
      </w:r>
    </w:p>
    <w:p>
      <w:pPr>
        <w:pStyle w:val="Subsection"/>
      </w:pPr>
      <w:r>
        <w:tab/>
        <w:t>(1)</w:t>
      </w:r>
      <w:r>
        <w:tab/>
        <w:t>The approved provider of an education and care service must ensure that the nominated supervisor or a staff member of, or volunteer at, the service is not affected by alcohol or drugs (including prescription medication) so as to impair his or her capacity to supervise or provide education and care to children being educated and cared for by the service.</w:t>
      </w:r>
    </w:p>
    <w:p>
      <w:pPr>
        <w:pStyle w:val="Penstart"/>
      </w:pPr>
      <w:r>
        <w:tab/>
        <w:t>Penalty: $2000.</w:t>
      </w:r>
    </w:p>
    <w:p>
      <w:pPr>
        <w:pStyle w:val="Subsection"/>
      </w:pPr>
      <w:r>
        <w:tab/>
        <w:t>(2)</w:t>
      </w:r>
      <w:r>
        <w:tab/>
        <w:t xml:space="preserve">The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his or her capacity to supervise or provide education and care to the children.</w:t>
      </w:r>
    </w:p>
    <w:p>
      <w:pPr>
        <w:pStyle w:val="Penstart"/>
      </w:pPr>
      <w:r>
        <w:tab/>
        <w:t>Penalty: $2000.</w:t>
      </w:r>
    </w:p>
    <w:p>
      <w:pPr>
        <w:pStyle w:val="Subsection"/>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his or her capacity to provide education and care to the children.</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76" w:name="_Toc398888209"/>
      <w:r>
        <w:rPr>
          <w:rStyle w:val="CharSectno"/>
        </w:rPr>
        <w:t>84</w:t>
      </w:r>
      <w:r>
        <w:t>.</w:t>
      </w:r>
      <w:r>
        <w:tab/>
        <w:t>Awareness of child protection law</w:t>
      </w:r>
      <w:bookmarkEnd w:id="176"/>
      <w:r>
        <w:t xml:space="preserve"> </w:t>
      </w:r>
    </w:p>
    <w:p>
      <w:pPr>
        <w:pStyle w:val="Subsection"/>
      </w:pPr>
      <w:r>
        <w:tab/>
      </w:r>
      <w:r>
        <w:tab/>
        <w:t xml:space="preserve">The approved provider of an education and care service must ensure that the nominated supervisor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177" w:name="_Toc397340354"/>
      <w:bookmarkStart w:id="178" w:name="_Toc398887791"/>
      <w:bookmarkStart w:id="179" w:name="_Toc398888210"/>
      <w:r>
        <w:t>Division 2 — Incidents, injury, trauma and illness</w:t>
      </w:r>
      <w:bookmarkEnd w:id="177"/>
      <w:bookmarkEnd w:id="178"/>
      <w:bookmarkEnd w:id="179"/>
    </w:p>
    <w:p>
      <w:pPr>
        <w:pStyle w:val="Heading5"/>
      </w:pPr>
      <w:bookmarkStart w:id="180" w:name="_Toc398888211"/>
      <w:r>
        <w:rPr>
          <w:rStyle w:val="CharSectno"/>
        </w:rPr>
        <w:t>85</w:t>
      </w:r>
      <w:r>
        <w:t>.</w:t>
      </w:r>
      <w:r>
        <w:tab/>
        <w:t>Incident, injury, trauma and illness policies and procedures</w:t>
      </w:r>
      <w:bookmarkEnd w:id="180"/>
      <w:r>
        <w:t xml:space="preserve"> </w:t>
      </w:r>
    </w:p>
    <w:p>
      <w:pPr>
        <w:pStyle w:val="Subsection"/>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181" w:name="_Toc398888212"/>
      <w:r>
        <w:rPr>
          <w:rStyle w:val="CharSectno"/>
        </w:rPr>
        <w:t>86</w:t>
      </w:r>
      <w:r>
        <w:t>.</w:t>
      </w:r>
      <w:r>
        <w:tab/>
        <w:t>Notification to parents of incident, injury, trauma and illness</w:t>
      </w:r>
      <w:bookmarkEnd w:id="181"/>
      <w:r>
        <w:t xml:space="preserve"> </w:t>
      </w:r>
    </w:p>
    <w:p>
      <w:pPr>
        <w:pStyle w:val="Subsection"/>
      </w:pPr>
      <w:r>
        <w:tab/>
      </w:r>
      <w:r>
        <w:tab/>
        <w:t>The approved provider of an education and care service must ensure that a parent of a child being educated and cared for by the service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Heading5"/>
      </w:pPr>
      <w:bookmarkStart w:id="182" w:name="_Toc398888213"/>
      <w:r>
        <w:rPr>
          <w:rStyle w:val="CharSectno"/>
        </w:rPr>
        <w:t>87</w:t>
      </w:r>
      <w:r>
        <w:t>.</w:t>
      </w:r>
      <w:r>
        <w:tab/>
        <w:t>Incident, injury, trauma and illness record</w:t>
      </w:r>
      <w:bookmarkEnd w:id="182"/>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183" w:name="_Toc398888214"/>
      <w:r>
        <w:rPr>
          <w:rStyle w:val="CharSectno"/>
        </w:rPr>
        <w:t>88</w:t>
      </w:r>
      <w:r>
        <w:t>.</w:t>
      </w:r>
      <w:r>
        <w:tab/>
        <w:t>Infectious diseases</w:t>
      </w:r>
      <w:bookmarkEnd w:id="183"/>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184" w:name="_Toc398888215"/>
      <w:r>
        <w:rPr>
          <w:rStyle w:val="CharSectno"/>
        </w:rPr>
        <w:t>89</w:t>
      </w:r>
      <w:r>
        <w:t>.</w:t>
      </w:r>
      <w:r>
        <w:tab/>
        <w:t>First aid kits</w:t>
      </w:r>
      <w:bookmarkEnd w:id="184"/>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NotesPerm"/>
        <w:tabs>
          <w:tab w:val="clear" w:pos="879"/>
          <w:tab w:val="left" w:pos="851"/>
        </w:tabs>
        <w:spacing w:before="120"/>
        <w:ind w:left="1418" w:hanging="1418"/>
      </w:pPr>
      <w:r>
        <w:tab/>
        <w:t>Note:</w:t>
      </w:r>
      <w:r>
        <w:tab/>
        <w:t>A compliance direction may be issued for failure to comply with subregulation (1).</w:t>
      </w:r>
    </w:p>
    <w:p>
      <w:pPr>
        <w:pStyle w:val="Heading4"/>
      </w:pPr>
      <w:bookmarkStart w:id="185" w:name="_Toc397340360"/>
      <w:bookmarkStart w:id="186" w:name="_Toc398887797"/>
      <w:bookmarkStart w:id="187" w:name="_Toc398888216"/>
      <w:r>
        <w:t>Division 3 — Medical conditions policy</w:t>
      </w:r>
      <w:bookmarkEnd w:id="185"/>
      <w:bookmarkEnd w:id="186"/>
      <w:bookmarkEnd w:id="187"/>
    </w:p>
    <w:p>
      <w:pPr>
        <w:pStyle w:val="Heading5"/>
      </w:pPr>
      <w:bookmarkStart w:id="188" w:name="_Toc398888217"/>
      <w:r>
        <w:rPr>
          <w:rStyle w:val="CharSectno"/>
        </w:rPr>
        <w:t>90</w:t>
      </w:r>
      <w:r>
        <w:t>.</w:t>
      </w:r>
      <w:r>
        <w:tab/>
        <w:t>Medical conditions policy</w:t>
      </w:r>
      <w:bookmarkEnd w:id="188"/>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the nominated supervisor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Heading5"/>
      </w:pPr>
      <w:bookmarkStart w:id="189" w:name="_Toc398888218"/>
      <w:r>
        <w:rPr>
          <w:rStyle w:val="CharSectno"/>
        </w:rPr>
        <w:t>91</w:t>
      </w:r>
      <w:r>
        <w:t>.</w:t>
      </w:r>
      <w:r>
        <w:tab/>
        <w:t>Medical conditions policy to be provided to parents</w:t>
      </w:r>
      <w:bookmarkEnd w:id="189"/>
      <w:r>
        <w:t xml:space="preserve"> </w:t>
      </w:r>
    </w:p>
    <w:p>
      <w:pPr>
        <w:pStyle w:val="Subsection"/>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190" w:name="_Toc397340363"/>
      <w:bookmarkStart w:id="191" w:name="_Toc398887800"/>
      <w:bookmarkStart w:id="192" w:name="_Toc398888219"/>
      <w:r>
        <w:t>Division 4 — Administration of medication</w:t>
      </w:r>
      <w:bookmarkEnd w:id="190"/>
      <w:bookmarkEnd w:id="191"/>
      <w:bookmarkEnd w:id="192"/>
    </w:p>
    <w:p>
      <w:pPr>
        <w:pStyle w:val="Heading5"/>
      </w:pPr>
      <w:bookmarkStart w:id="193" w:name="_Toc398888220"/>
      <w:r>
        <w:rPr>
          <w:rStyle w:val="CharSectno"/>
        </w:rPr>
        <w:t>92</w:t>
      </w:r>
      <w:r>
        <w:t>.</w:t>
      </w:r>
      <w:r>
        <w:tab/>
        <w:t>Medication record</w:t>
      </w:r>
      <w:bookmarkEnd w:id="193"/>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Heading5"/>
      </w:pPr>
      <w:bookmarkStart w:id="194" w:name="_Toc398888221"/>
      <w:r>
        <w:rPr>
          <w:rStyle w:val="CharSectno"/>
        </w:rPr>
        <w:t>93</w:t>
      </w:r>
      <w:r>
        <w:t>.</w:t>
      </w:r>
      <w:r>
        <w:tab/>
        <w:t>Administration of medication</w:t>
      </w:r>
      <w:bookmarkEnd w:id="194"/>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The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Heading5"/>
        <w:spacing w:before="200"/>
      </w:pPr>
      <w:bookmarkStart w:id="195" w:name="_Toc398888222"/>
      <w:r>
        <w:rPr>
          <w:rStyle w:val="CharSectno"/>
        </w:rPr>
        <w:t>94</w:t>
      </w:r>
      <w:r>
        <w:t>.</w:t>
      </w:r>
      <w:r>
        <w:tab/>
        <w:t>Exception to authorisation requirement — anaphylaxis or asthma emergency</w:t>
      </w:r>
      <w:bookmarkEnd w:id="195"/>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spacing w:before="120"/>
      </w:pPr>
      <w:r>
        <w:tab/>
        <w:t>(2)</w:t>
      </w:r>
      <w:r>
        <w:tab/>
        <w:t xml:space="preserve">If medication is administered under this regulation, the approved provider or nominated supervisor of the education and care service or family day care educator must ensure that the following are notified as soon as practicable — </w:t>
      </w:r>
    </w:p>
    <w:p>
      <w:pPr>
        <w:pStyle w:val="Indenta"/>
        <w:spacing w:before="60"/>
      </w:pPr>
      <w:r>
        <w:tab/>
        <w:t>(a)</w:t>
      </w:r>
      <w:r>
        <w:tab/>
        <w:t>a parent of the child;</w:t>
      </w:r>
    </w:p>
    <w:p>
      <w:pPr>
        <w:pStyle w:val="Indenta"/>
        <w:spacing w:before="60"/>
      </w:pPr>
      <w:r>
        <w:tab/>
        <w:t>(b)</w:t>
      </w:r>
      <w:r>
        <w:tab/>
        <w:t>emergency services.</w:t>
      </w:r>
    </w:p>
    <w:p>
      <w:pPr>
        <w:pStyle w:val="Heading5"/>
      </w:pPr>
      <w:bookmarkStart w:id="196" w:name="_Toc398888223"/>
      <w:r>
        <w:rPr>
          <w:rStyle w:val="CharSectno"/>
        </w:rPr>
        <w:t>95</w:t>
      </w:r>
      <w:r>
        <w:t>.</w:t>
      </w:r>
      <w:r>
        <w:tab/>
        <w:t>Procedure for administration of medication</w:t>
      </w:r>
      <w:bookmarkEnd w:id="196"/>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197" w:name="_Toc398888224"/>
      <w:r>
        <w:rPr>
          <w:rStyle w:val="CharSectno"/>
        </w:rPr>
        <w:t>96</w:t>
      </w:r>
      <w:r>
        <w:t>.</w:t>
      </w:r>
      <w:r>
        <w:tab/>
        <w:t>Self</w:t>
      </w:r>
      <w:r>
        <w:noBreakHyphen/>
        <w:t>administration of medication</w:t>
      </w:r>
      <w:bookmarkEnd w:id="197"/>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198" w:name="_Toc397340369"/>
      <w:bookmarkStart w:id="199" w:name="_Toc398887806"/>
      <w:bookmarkStart w:id="200" w:name="_Toc398888225"/>
      <w:r>
        <w:t>Division 5 — Emergencies and communication</w:t>
      </w:r>
      <w:bookmarkEnd w:id="198"/>
      <w:bookmarkEnd w:id="199"/>
      <w:bookmarkEnd w:id="200"/>
    </w:p>
    <w:p>
      <w:pPr>
        <w:pStyle w:val="Heading5"/>
      </w:pPr>
      <w:bookmarkStart w:id="201" w:name="_Toc398888226"/>
      <w:r>
        <w:rPr>
          <w:rStyle w:val="CharSectno"/>
        </w:rPr>
        <w:t>97</w:t>
      </w:r>
      <w:r>
        <w:t>.</w:t>
      </w:r>
      <w:r>
        <w:tab/>
        <w:t>Emergency and evacuation procedures</w:t>
      </w:r>
      <w:bookmarkEnd w:id="201"/>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(2), (3) or (4).</w:t>
      </w:r>
    </w:p>
    <w:p>
      <w:pPr>
        <w:pStyle w:val="Footnotesection"/>
      </w:pPr>
      <w:r>
        <w:tab/>
        <w:t>[Regulation 97 amended in Gazette 13 Dec 2013 p.</w:t>
      </w:r>
      <w:r>
        <w:rPr>
          <w:sz w:val="19"/>
        </w:rPr>
        <w:t> </w:t>
      </w:r>
      <w:r>
        <w:t>6158</w:t>
      </w:r>
      <w:r>
        <w:noBreakHyphen/>
        <w:t>9.]</w:t>
      </w:r>
    </w:p>
    <w:p>
      <w:pPr>
        <w:pStyle w:val="Heading5"/>
      </w:pPr>
      <w:bookmarkStart w:id="202" w:name="_Toc398888227"/>
      <w:r>
        <w:rPr>
          <w:rStyle w:val="CharSectno"/>
        </w:rPr>
        <w:t>98</w:t>
      </w:r>
      <w:r>
        <w:t>.</w:t>
      </w:r>
      <w:r>
        <w:tab/>
        <w:t>Telephone or other communication equipment</w:t>
      </w:r>
      <w:bookmarkEnd w:id="202"/>
      <w:r>
        <w:t xml:space="preserve"> </w:t>
      </w:r>
    </w:p>
    <w:p>
      <w:pPr>
        <w:pStyle w:val="Subsection"/>
      </w:pPr>
      <w:r>
        <w:tab/>
      </w:r>
      <w:r>
        <w:tab/>
        <w:t>The approved provider of an education and care service must ensure that, when educating or caring for children as part of the service, the nominated supervisor and staff members of the service have ready access to an operating telephone or other similar means of communication to enable immediate communication to and from parents and emergency services.</w:t>
      </w:r>
    </w:p>
    <w:p>
      <w:pPr>
        <w:pStyle w:val="Penstart"/>
      </w:pPr>
      <w:r>
        <w:tab/>
        <w:t>Penalty: $1000.</w:t>
      </w:r>
    </w:p>
    <w:p>
      <w:pPr>
        <w:pStyle w:val="NotesPerm"/>
        <w:tabs>
          <w:tab w:val="clear" w:pos="879"/>
          <w:tab w:val="left" w:pos="851"/>
        </w:tabs>
        <w:spacing w:before="120"/>
        <w:ind w:left="1701" w:hanging="1418"/>
      </w:pPr>
      <w:r>
        <w:tab/>
        <w:t>Example:</w:t>
      </w:r>
      <w:r>
        <w:tab/>
        <w:t>Fixed</w:t>
      </w:r>
      <w:r>
        <w:noBreakHyphen/>
        <w:t>line telephone, mobile phone, satellite phone, 2</w:t>
      </w:r>
      <w:r>
        <w:noBreakHyphen/>
        <w:t>way radio, video conferencing equipment.</w:t>
      </w:r>
    </w:p>
    <w:p>
      <w:pPr>
        <w:pStyle w:val="NotesPerm"/>
        <w:tabs>
          <w:tab w:val="clear" w:pos="879"/>
          <w:tab w:val="left" w:pos="851"/>
        </w:tabs>
        <w:spacing w:before="120"/>
        <w:ind w:left="1418" w:hanging="1418"/>
      </w:pPr>
      <w:r>
        <w:tab/>
        <w:t>Note:</w:t>
      </w:r>
      <w:r>
        <w:tab/>
        <w:t>A compliance direction may be issued for failure to comply with this regulation.</w:t>
      </w:r>
    </w:p>
    <w:p>
      <w:pPr>
        <w:pStyle w:val="Heading4"/>
        <w:keepLines/>
      </w:pPr>
      <w:bookmarkStart w:id="203" w:name="_Toc397340372"/>
      <w:bookmarkStart w:id="204" w:name="_Toc398887809"/>
      <w:bookmarkStart w:id="205" w:name="_Toc398888228"/>
      <w:r>
        <w:t>Division 6 — Collection of children from premises and excursions</w:t>
      </w:r>
      <w:bookmarkEnd w:id="203"/>
      <w:bookmarkEnd w:id="204"/>
      <w:bookmarkEnd w:id="205"/>
    </w:p>
    <w:p>
      <w:pPr>
        <w:pStyle w:val="Heading5"/>
      </w:pPr>
      <w:bookmarkStart w:id="206" w:name="_Toc398888229"/>
      <w:r>
        <w:rPr>
          <w:rStyle w:val="CharSectno"/>
        </w:rPr>
        <w:t>99</w:t>
      </w:r>
      <w:r>
        <w:t>.</w:t>
      </w:r>
      <w:r>
        <w:tab/>
        <w:t>Children leaving the education and care service premises</w:t>
      </w:r>
      <w:bookmarkEnd w:id="206"/>
      <w:r>
        <w:t xml:space="preserve"> </w:t>
      </w:r>
    </w:p>
    <w:p>
      <w:pPr>
        <w:pStyle w:val="NotesPerm"/>
        <w:keepNext/>
        <w:keepLines/>
        <w:tabs>
          <w:tab w:val="clear" w:pos="879"/>
          <w:tab w:val="left" w:pos="851"/>
        </w:tabs>
        <w:ind w:left="1418" w:hanging="1418"/>
      </w:pPr>
      <w:r>
        <w:tab/>
        <w:t>Notes:</w:t>
      </w:r>
    </w:p>
    <w:p>
      <w:pPr>
        <w:pStyle w:val="NotesPerm"/>
        <w:keepLines/>
        <w:tabs>
          <w:tab w:val="clear" w:pos="879"/>
          <w:tab w:val="left" w:pos="851"/>
        </w:tabs>
        <w:spacing w:before="80"/>
        <w:ind w:left="1418" w:hanging="1418"/>
      </w:pPr>
      <w:r>
        <w:tab/>
        <w:t xml:space="preserve">1 </w:t>
      </w:r>
      <w:r>
        <w:tab/>
        <w:t>Regulation 99 of the national regulations made by the Ministerial Council does not apply as a law of WA.</w:t>
      </w:r>
    </w:p>
    <w:p>
      <w:pPr>
        <w:pStyle w:val="NotesPerm"/>
        <w:tabs>
          <w:tab w:val="clear" w:pos="879"/>
          <w:tab w:val="left" w:pos="851"/>
        </w:tabs>
        <w:spacing w:before="80"/>
        <w:ind w:left="1418" w:hanging="1418"/>
      </w:pPr>
      <w:r>
        <w:tab/>
        <w:t xml:space="preserve">2 </w:t>
      </w:r>
      <w:r>
        <w:tab/>
        <w:t xml:space="preserve">For a provision reflecting regulation 99 of the national regulations made by the Ministerial Council see section 165A of the Law as applying in </w:t>
      </w:r>
      <w:smartTag w:uri="urn:schemas-microsoft-com:office:smarttags" w:element="place">
        <w:smartTag w:uri="urn:schemas-microsoft-com:office:smarttags" w:element="State">
          <w:r>
            <w:t>Western Australia</w:t>
          </w:r>
        </w:smartTag>
      </w:smartTag>
      <w:r>
        <w:t>.</w:t>
      </w:r>
    </w:p>
    <w:p>
      <w:pPr>
        <w:pStyle w:val="Heading5"/>
      </w:pPr>
      <w:bookmarkStart w:id="207" w:name="_Toc398888230"/>
      <w:r>
        <w:rPr>
          <w:rStyle w:val="CharSectno"/>
        </w:rPr>
        <w:t>100</w:t>
      </w:r>
      <w:r>
        <w:t>.</w:t>
      </w:r>
      <w:r>
        <w:tab/>
        <w:t>Risk assessment must be conducted before excursion</w:t>
      </w:r>
      <w:bookmarkEnd w:id="207"/>
      <w:r>
        <w:t xml:space="preserve"> </w:t>
      </w:r>
    </w:p>
    <w:p>
      <w:pPr>
        <w:pStyle w:val="Subsection"/>
      </w:pPr>
      <w:r>
        <w:tab/>
        <w:t>(1)</w:t>
      </w:r>
      <w:r>
        <w:tab/>
        <w:t>The approved provider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(2)</w:t>
      </w:r>
      <w:r>
        <w:tab/>
        <w:t>The nominated supervisor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(3)</w:t>
      </w:r>
      <w:r>
        <w:tab/>
        <w:t>A family day care educator must carry out a risk assessment in accordance with regulation 101 before an authorisation is sought under regulation 102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w:t>
      </w:r>
    </w:p>
    <w:p>
      <w:pPr>
        <w:pStyle w:val="Heading5"/>
      </w:pPr>
      <w:bookmarkStart w:id="208" w:name="_Toc398888231"/>
      <w:r>
        <w:rPr>
          <w:rStyle w:val="CharSectno"/>
        </w:rPr>
        <w:t>101</w:t>
      </w:r>
      <w:r>
        <w:t>.</w:t>
      </w:r>
      <w:r>
        <w:tab/>
        <w:t>Conduct of risk assessment for excursion</w:t>
      </w:r>
      <w:bookmarkEnd w:id="208"/>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pPr>
      <w:r>
        <w:tab/>
        <w:t>(c)</w:t>
      </w:r>
      <w:r>
        <w:tab/>
        <w:t>any risks associated with water</w:t>
      </w:r>
      <w:r>
        <w:noBreakHyphen/>
        <w:t>based activities; and</w:t>
      </w:r>
    </w:p>
    <w:p>
      <w:pPr>
        <w:pStyle w:val="Indenta"/>
      </w:pPr>
      <w:r>
        <w:tab/>
        <w:t>(d)</w:t>
      </w:r>
      <w:r>
        <w:tab/>
        <w:t>the transport to and from the proposed destination for the excursion; 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NotesPerm"/>
        <w:tabs>
          <w:tab w:val="clear" w:pos="879"/>
          <w:tab w:val="left" w:pos="851"/>
        </w:tabs>
        <w:spacing w:before="80"/>
        <w:ind w:left="1701" w:hanging="1418"/>
      </w:pPr>
      <w:r>
        <w:tab/>
        <w:t>Example:</w:t>
      </w:r>
      <w:r>
        <w:tab/>
        <w:t>Specialised skills could include life</w:t>
      </w:r>
      <w: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NotesPerm"/>
        <w:tabs>
          <w:tab w:val="clear" w:pos="879"/>
          <w:tab w:val="left" w:pos="851"/>
        </w:tabs>
        <w:spacing w:before="80"/>
        <w:ind w:left="1701" w:hanging="1418"/>
      </w:pPr>
      <w:r>
        <w:tab/>
        <w:t>Example:</w:t>
      </w:r>
      <w:r>
        <w:tab/>
        <w:t>A mobile phone and a list of emergency contact numbers for children on the excursion.</w:t>
      </w:r>
    </w:p>
    <w:p>
      <w:pPr>
        <w:pStyle w:val="Heading5"/>
      </w:pPr>
      <w:bookmarkStart w:id="209" w:name="_Toc398888232"/>
      <w:r>
        <w:rPr>
          <w:rStyle w:val="CharSectno"/>
        </w:rPr>
        <w:t>102</w:t>
      </w:r>
      <w:r>
        <w:t>.</w:t>
      </w:r>
      <w:r>
        <w:tab/>
        <w:t>Authorisation for excursions</w:t>
      </w:r>
      <w:bookmarkEnd w:id="209"/>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The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spacing w:before="70"/>
      </w:pPr>
      <w:r>
        <w:tab/>
        <w:t>(c)</w:t>
      </w:r>
      <w:r>
        <w:tab/>
        <w:t>the date the child is to be taken on the excursion (unless the authorisation is for a regular outing); and</w:t>
      </w:r>
    </w:p>
    <w:p>
      <w:pPr>
        <w:pStyle w:val="Indenta"/>
        <w:spacing w:before="70"/>
      </w:pPr>
      <w:r>
        <w:tab/>
        <w:t>(d)</w:t>
      </w:r>
      <w:r>
        <w:tab/>
        <w:t>a description of the proposed destination for the excursion; and</w:t>
      </w:r>
    </w:p>
    <w:p>
      <w:pPr>
        <w:pStyle w:val="Indenta"/>
        <w:spacing w:before="70"/>
      </w:pPr>
      <w:r>
        <w:tab/>
        <w:t>(e)</w:t>
      </w:r>
      <w:r>
        <w:tab/>
        <w:t>the method of transport to be used for the excursion; 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Heading3"/>
      </w:pPr>
      <w:bookmarkStart w:id="210" w:name="_Toc397340377"/>
      <w:bookmarkStart w:id="211" w:name="_Toc398887814"/>
      <w:bookmarkStart w:id="212" w:name="_Toc398888233"/>
      <w:r>
        <w:rPr>
          <w:rStyle w:val="CharDivNo"/>
        </w:rPr>
        <w:t>Part 4.3</w:t>
      </w:r>
      <w:r>
        <w:t> — </w:t>
      </w:r>
      <w:r>
        <w:rPr>
          <w:rStyle w:val="CharDivText"/>
        </w:rPr>
        <w:t>Physical environment</w:t>
      </w:r>
      <w:bookmarkEnd w:id="210"/>
      <w:bookmarkEnd w:id="211"/>
      <w:bookmarkEnd w:id="212"/>
    </w:p>
    <w:p>
      <w:pPr>
        <w:pStyle w:val="Heading4"/>
      </w:pPr>
      <w:bookmarkStart w:id="213" w:name="_Toc397340378"/>
      <w:bookmarkStart w:id="214" w:name="_Toc398887815"/>
      <w:bookmarkStart w:id="215" w:name="_Toc398888234"/>
      <w:r>
        <w:t>Division 1 — Centre</w:t>
      </w:r>
      <w:r>
        <w:noBreakHyphen/>
        <w:t>based services and family day care services</w:t>
      </w:r>
      <w:bookmarkEnd w:id="213"/>
      <w:bookmarkEnd w:id="214"/>
      <w:bookmarkEnd w:id="215"/>
    </w:p>
    <w:p>
      <w:pPr>
        <w:pStyle w:val="Heading5"/>
      </w:pPr>
      <w:bookmarkStart w:id="216" w:name="_Toc398888235"/>
      <w:r>
        <w:rPr>
          <w:rStyle w:val="CharSectno"/>
        </w:rPr>
        <w:t>103</w:t>
      </w:r>
      <w:r>
        <w:t>.</w:t>
      </w:r>
      <w:r>
        <w:tab/>
        <w:t>Premises, furniture and equipment to be safe, clean and in good repair</w:t>
      </w:r>
      <w:bookmarkEnd w:id="216"/>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217" w:name="_Toc398888236"/>
      <w:r>
        <w:rPr>
          <w:rStyle w:val="CharSectno"/>
        </w:rPr>
        <w:t>104</w:t>
      </w:r>
      <w:r>
        <w:t>.</w:t>
      </w:r>
      <w:r>
        <w:tab/>
        <w:t>Fencing</w:t>
      </w:r>
      <w:bookmarkEnd w:id="217"/>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218" w:name="_Toc398888237"/>
      <w:r>
        <w:rPr>
          <w:rStyle w:val="CharSectno"/>
        </w:rPr>
        <w:t>105</w:t>
      </w:r>
      <w:r>
        <w:t>.</w:t>
      </w:r>
      <w:r>
        <w:tab/>
        <w:t>Furniture, materials and equipment</w:t>
      </w:r>
      <w:bookmarkEnd w:id="218"/>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219" w:name="_Toc398888238"/>
      <w:r>
        <w:rPr>
          <w:rStyle w:val="CharSectno"/>
        </w:rPr>
        <w:t>106</w:t>
      </w:r>
      <w:r>
        <w:t>.</w:t>
      </w:r>
      <w:r>
        <w:tab/>
        <w:t>Laundry and hygiene facilities</w:t>
      </w:r>
      <w:bookmarkEnd w:id="219"/>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tab/>
        <w:t>(2)</w:t>
      </w:r>
      <w:r>
        <w:tab/>
        <w:t>The approved provider of the service must ensure that laundry and hygienic facilities are located and maintained in a way that does not pose a risk to children.</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220" w:name="_Toc398888239"/>
      <w:r>
        <w:rPr>
          <w:rStyle w:val="CharSectno"/>
        </w:rPr>
        <w:t>107</w:t>
      </w:r>
      <w:r>
        <w:t>.</w:t>
      </w:r>
      <w:r>
        <w:tab/>
        <w:t>Space requirements — indoor space</w:t>
      </w:r>
      <w:bookmarkEnd w:id="220"/>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NotesPerm"/>
        <w:tabs>
          <w:tab w:val="clear" w:pos="879"/>
          <w:tab w:val="left" w:pos="851"/>
        </w:tabs>
        <w:spacing w:before="80"/>
        <w:ind w:left="1418" w:hanging="1418"/>
      </w:pPr>
      <w:r>
        <w:tab/>
        <w:t>Note:</w:t>
      </w:r>
      <w:r>
        <w:tab/>
        <w:t>A compliance direction may be issued for failure to comply with subregulation (2).</w:t>
      </w:r>
    </w:p>
    <w:p>
      <w:pPr>
        <w:pStyle w:val="Footnotesection"/>
      </w:pPr>
      <w:r>
        <w:tab/>
        <w:t>[Regulation 107 amended in Gazette 13 Dec 2013 p.</w:t>
      </w:r>
      <w:r>
        <w:rPr>
          <w:sz w:val="19"/>
        </w:rPr>
        <w:t> </w:t>
      </w:r>
      <w:r>
        <w:t>6159.]</w:t>
      </w:r>
    </w:p>
    <w:p>
      <w:pPr>
        <w:pStyle w:val="Heading5"/>
      </w:pPr>
      <w:bookmarkStart w:id="221" w:name="_Toc398888240"/>
      <w:r>
        <w:rPr>
          <w:rStyle w:val="CharSectno"/>
        </w:rPr>
        <w:t>108</w:t>
      </w:r>
      <w:r>
        <w:t>.</w:t>
      </w:r>
      <w:r>
        <w:tab/>
        <w:t>Space requirements — outdoor space</w:t>
      </w:r>
      <w:bookmarkEnd w:id="221"/>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NotesPerm"/>
        <w:tabs>
          <w:tab w:val="clear" w:pos="879"/>
          <w:tab w:val="left" w:pos="851"/>
        </w:tabs>
        <w:ind w:left="1418" w:hanging="1418"/>
      </w:pPr>
      <w:r>
        <w:tab/>
        <w:t>Note:</w:t>
      </w:r>
      <w:r>
        <w:tab/>
        <w:t>A compliance direction may be issued for failure to comply with subregulation (2).</w:t>
      </w:r>
    </w:p>
    <w:p>
      <w:pPr>
        <w:pStyle w:val="Footnotesection"/>
      </w:pPr>
      <w:r>
        <w:tab/>
        <w:t>[Regulation 108 amended in Gazette 13 Dec 2013 p.</w:t>
      </w:r>
      <w:r>
        <w:rPr>
          <w:sz w:val="19"/>
        </w:rPr>
        <w:t> </w:t>
      </w:r>
      <w:r>
        <w:t>6159.]</w:t>
      </w:r>
    </w:p>
    <w:p>
      <w:pPr>
        <w:pStyle w:val="Heading5"/>
      </w:pPr>
      <w:bookmarkStart w:id="222" w:name="_Toc398888241"/>
      <w:r>
        <w:rPr>
          <w:rStyle w:val="CharSectno"/>
        </w:rPr>
        <w:t>109</w:t>
      </w:r>
      <w:r>
        <w:t>.</w:t>
      </w:r>
      <w:r>
        <w:tab/>
        <w:t>Toilet and hygiene facilities</w:t>
      </w:r>
      <w:bookmarkEnd w:id="222"/>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223" w:name="_Toc398888242"/>
      <w:r>
        <w:rPr>
          <w:rStyle w:val="CharSectno"/>
        </w:rPr>
        <w:t>110</w:t>
      </w:r>
      <w:r>
        <w:t>.</w:t>
      </w:r>
      <w:r>
        <w:tab/>
        <w:t>Ventilation and natural light</w:t>
      </w:r>
      <w:bookmarkEnd w:id="223"/>
      <w:r>
        <w:t xml:space="preserve"> </w:t>
      </w:r>
    </w:p>
    <w:p>
      <w:pPr>
        <w:pStyle w:val="Subsection"/>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224" w:name="_Toc397340387"/>
      <w:bookmarkStart w:id="225" w:name="_Toc398887824"/>
      <w:bookmarkStart w:id="226" w:name="_Toc398888243"/>
      <w:r>
        <w:t>Division 2 — Additional requirements for centre</w:t>
      </w:r>
      <w:r>
        <w:noBreakHyphen/>
        <w:t>based services</w:t>
      </w:r>
      <w:bookmarkEnd w:id="224"/>
      <w:bookmarkEnd w:id="225"/>
      <w:bookmarkEnd w:id="226"/>
    </w:p>
    <w:p>
      <w:pPr>
        <w:pStyle w:val="Heading5"/>
      </w:pPr>
      <w:bookmarkStart w:id="227" w:name="_Toc398888244"/>
      <w:r>
        <w:rPr>
          <w:rStyle w:val="CharSectno"/>
        </w:rPr>
        <w:t>111</w:t>
      </w:r>
      <w:r>
        <w:t>.</w:t>
      </w:r>
      <w:r>
        <w:tab/>
        <w:t>Administrative space</w:t>
      </w:r>
      <w:bookmarkEnd w:id="227"/>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parents of children; and</w:t>
      </w:r>
    </w:p>
    <w:p>
      <w:pPr>
        <w:pStyle w:val="Indenta"/>
      </w:pPr>
      <w:r>
        <w:tab/>
        <w:t>(c)</w:t>
      </w:r>
      <w:r>
        <w:tab/>
        <w:t>conducting private conversations.</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228" w:name="_Toc398888245"/>
      <w:r>
        <w:rPr>
          <w:rStyle w:val="CharSectno"/>
        </w:rPr>
        <w:t>112</w:t>
      </w:r>
      <w:r>
        <w:t>.</w:t>
      </w:r>
      <w:r>
        <w:tab/>
        <w:t>Nappy change facilities</w:t>
      </w:r>
      <w:bookmarkEnd w:id="228"/>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NotesPerm"/>
        <w:tabs>
          <w:tab w:val="clear" w:pos="879"/>
          <w:tab w:val="left" w:pos="851"/>
        </w:tabs>
        <w:ind w:left="1418" w:hanging="1418"/>
      </w:pPr>
      <w:r>
        <w:tab/>
        <w:t>Note:</w:t>
      </w:r>
      <w:r>
        <w:tab/>
        <w:t>A compliance direction may be issued for failure to comply with subregulation (3).</w:t>
      </w:r>
    </w:p>
    <w:p>
      <w:pPr>
        <w:pStyle w:val="Heading5"/>
      </w:pPr>
      <w:bookmarkStart w:id="229" w:name="_Toc398888246"/>
      <w:r>
        <w:rPr>
          <w:rStyle w:val="CharSectno"/>
        </w:rPr>
        <w:t>113</w:t>
      </w:r>
      <w:r>
        <w:t>.</w:t>
      </w:r>
      <w:r>
        <w:tab/>
        <w:t>Outdoor space — natural environment</w:t>
      </w:r>
      <w:bookmarkEnd w:id="229"/>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NotesPerm"/>
        <w:tabs>
          <w:tab w:val="clear" w:pos="879"/>
          <w:tab w:val="left" w:pos="851"/>
        </w:tabs>
        <w:ind w:left="1701" w:hanging="1701"/>
      </w:pPr>
      <w:r>
        <w:tab/>
        <w:t>Example:</w:t>
      </w:r>
      <w:r>
        <w:tab/>
        <w:t>The use of natural features such as trees, sand and natural vegetation.</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230" w:name="_Toc398888247"/>
      <w:r>
        <w:rPr>
          <w:rStyle w:val="CharSectno"/>
        </w:rPr>
        <w:t>114</w:t>
      </w:r>
      <w:r>
        <w:t>.</w:t>
      </w:r>
      <w:r>
        <w:tab/>
        <w:t>Outdoor space — shade</w:t>
      </w:r>
      <w:bookmarkEnd w:id="230"/>
      <w:r>
        <w:t xml:space="preserve"> </w:t>
      </w:r>
    </w:p>
    <w:p>
      <w:pPr>
        <w:pStyle w:val="Subsection"/>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231" w:name="_Toc398888248"/>
      <w:r>
        <w:rPr>
          <w:rStyle w:val="CharSectno"/>
        </w:rPr>
        <w:t>115</w:t>
      </w:r>
      <w:r>
        <w:t>.</w:t>
      </w:r>
      <w:r>
        <w:tab/>
        <w:t>Premises designed to facilitate supervision</w:t>
      </w:r>
      <w:bookmarkEnd w:id="231"/>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NotesPerm"/>
        <w:tabs>
          <w:tab w:val="clear" w:pos="879"/>
          <w:tab w:val="left" w:pos="851"/>
        </w:tabs>
        <w:spacing w:before="80"/>
        <w:ind w:left="1418" w:hanging="1418"/>
      </w:pPr>
      <w:r>
        <w:tab/>
        <w:t>Note:</w:t>
      </w:r>
      <w:r>
        <w:tab/>
        <w:t>A compliance direction may be issued for failure to comply with this regulation.</w:t>
      </w:r>
    </w:p>
    <w:p>
      <w:pPr>
        <w:pStyle w:val="Heading4"/>
      </w:pPr>
      <w:bookmarkStart w:id="232" w:name="_Toc397340393"/>
      <w:bookmarkStart w:id="233" w:name="_Toc398887830"/>
      <w:bookmarkStart w:id="234" w:name="_Toc398888249"/>
      <w:r>
        <w:t>Division 3 — Additional provisions for family day care services</w:t>
      </w:r>
      <w:bookmarkEnd w:id="232"/>
      <w:bookmarkEnd w:id="233"/>
      <w:bookmarkEnd w:id="234"/>
    </w:p>
    <w:p>
      <w:pPr>
        <w:pStyle w:val="Heading5"/>
      </w:pPr>
      <w:bookmarkStart w:id="235" w:name="_Toc398888250"/>
      <w:r>
        <w:rPr>
          <w:rStyle w:val="CharSectno"/>
        </w:rPr>
        <w:t>116</w:t>
      </w:r>
      <w:r>
        <w:t>.</w:t>
      </w:r>
      <w:r>
        <w:tab/>
        <w:t>Assessments of family day care residences and approved family day care venues</w:t>
      </w:r>
      <w:bookmarkEnd w:id="235"/>
      <w:r>
        <w:t xml:space="preserve"> </w:t>
      </w:r>
    </w:p>
    <w:p>
      <w:pPr>
        <w:pStyle w:val="Subsection"/>
      </w:pPr>
      <w:r>
        <w:tab/>
        <w:t>(1)</w:t>
      </w:r>
      <w:r>
        <w:tab/>
        <w:t xml:space="preserve">The approved provider of a family day care service must conduct an assessment (including a risk assessment) of each residence and approved family day care venue of the service — </w:t>
      </w:r>
    </w:p>
    <w:p>
      <w:pPr>
        <w:pStyle w:val="Indenta"/>
      </w:pPr>
      <w:r>
        <w:tab/>
        <w:t>(a)</w:t>
      </w:r>
      <w:r>
        <w:tab/>
        <w:t>before education and care is provided to children at the residence or venue as part of the service; and</w:t>
      </w:r>
    </w:p>
    <w:p>
      <w:pPr>
        <w:pStyle w:val="Indenta"/>
      </w:pPr>
      <w:r>
        <w:tab/>
        <w:t>(b)</w:t>
      </w:r>
      <w:r>
        <w:tab/>
        <w:t xml:space="preserve">at least annually — </w:t>
      </w:r>
    </w:p>
    <w:p>
      <w:pPr>
        <w:pStyle w:val="Subsection"/>
        <w:spacing w:before="120"/>
      </w:pPr>
      <w:r>
        <w:tab/>
      </w:r>
      <w:r>
        <w:tab/>
        <w:t>to ensure that the health, safety and wellbeing of children being educated and cared for by the service are protected.</w:t>
      </w:r>
    </w:p>
    <w:p>
      <w:pPr>
        <w:pStyle w:val="Penstart"/>
      </w:pPr>
      <w:r>
        <w:tab/>
        <w:t>Penalty: $2000.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pPr>
      <w:r>
        <w:tab/>
        <w:t>(c)</w:t>
      </w:r>
      <w:r>
        <w:tab/>
        <w:t>any other changes to the residence or venue that will affect the education and care provided to children at the service.</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236" w:name="_Toc398888251"/>
      <w:r>
        <w:rPr>
          <w:rStyle w:val="CharSectno"/>
        </w:rPr>
        <w:t>117</w:t>
      </w:r>
      <w:r>
        <w:t>.</w:t>
      </w:r>
      <w:r>
        <w:tab/>
        <w:t>Glass</w:t>
      </w:r>
      <w:bookmarkEnd w:id="236"/>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NotesPerm"/>
        <w:tabs>
          <w:tab w:val="clear" w:pos="879"/>
          <w:tab w:val="left" w:pos="851"/>
        </w:tabs>
        <w:ind w:left="1418" w:hanging="1418"/>
      </w:pPr>
      <w:r>
        <w:tab/>
        <w:t>Note:</w:t>
      </w:r>
      <w:r>
        <w:tab/>
        <w:t>A compliance direction may be issued for failure to comply with this regulation.</w:t>
      </w:r>
    </w:p>
    <w:p>
      <w:pPr>
        <w:pStyle w:val="Heading3"/>
      </w:pPr>
      <w:bookmarkStart w:id="237" w:name="_Toc397340396"/>
      <w:bookmarkStart w:id="238" w:name="_Toc398887833"/>
      <w:bookmarkStart w:id="239" w:name="_Toc398888252"/>
      <w:r>
        <w:rPr>
          <w:rStyle w:val="CharDivNo"/>
        </w:rPr>
        <w:t>Part 4.4</w:t>
      </w:r>
      <w:r>
        <w:t> — </w:t>
      </w:r>
      <w:r>
        <w:rPr>
          <w:rStyle w:val="CharDivText"/>
        </w:rPr>
        <w:t>Staffing arrangements</w:t>
      </w:r>
      <w:bookmarkEnd w:id="237"/>
      <w:bookmarkEnd w:id="238"/>
      <w:bookmarkEnd w:id="239"/>
    </w:p>
    <w:p>
      <w:pPr>
        <w:pStyle w:val="Heading4"/>
      </w:pPr>
      <w:bookmarkStart w:id="240" w:name="_Toc397340397"/>
      <w:bookmarkStart w:id="241" w:name="_Toc398887834"/>
      <w:bookmarkStart w:id="242" w:name="_Toc398888253"/>
      <w:r>
        <w:t>Division 1 — Educational leader</w:t>
      </w:r>
      <w:bookmarkEnd w:id="240"/>
      <w:bookmarkEnd w:id="241"/>
      <w:bookmarkEnd w:id="242"/>
    </w:p>
    <w:p>
      <w:pPr>
        <w:pStyle w:val="Heading5"/>
      </w:pPr>
      <w:bookmarkStart w:id="243" w:name="_Toc398888254"/>
      <w:r>
        <w:rPr>
          <w:rStyle w:val="CharSectno"/>
        </w:rPr>
        <w:t>118</w:t>
      </w:r>
      <w:r>
        <w:t>.</w:t>
      </w:r>
      <w:r>
        <w:tab/>
        <w:t>Educational leader</w:t>
      </w:r>
      <w:bookmarkEnd w:id="243"/>
      <w:r>
        <w:t xml:space="preserve"> </w:t>
      </w:r>
    </w:p>
    <w:p>
      <w:pPr>
        <w:pStyle w:val="Subsection"/>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244" w:name="_Toc397340399"/>
      <w:bookmarkStart w:id="245" w:name="_Toc398887836"/>
      <w:bookmarkStart w:id="246" w:name="_Toc398888255"/>
      <w:r>
        <w:t>Division 2 — Age and supervision requirements</w:t>
      </w:r>
      <w:bookmarkEnd w:id="244"/>
      <w:bookmarkEnd w:id="245"/>
      <w:bookmarkEnd w:id="246"/>
    </w:p>
    <w:p>
      <w:pPr>
        <w:pStyle w:val="Heading5"/>
      </w:pPr>
      <w:bookmarkStart w:id="247" w:name="_Toc398888256"/>
      <w:r>
        <w:rPr>
          <w:rStyle w:val="CharSectno"/>
        </w:rPr>
        <w:t>119</w:t>
      </w:r>
      <w:r>
        <w:t>.</w:t>
      </w:r>
      <w:r>
        <w:tab/>
        <w:t>Family day care educator and family day care educator assistant to be at least 18 years old</w:t>
      </w:r>
      <w:bookmarkEnd w:id="247"/>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248" w:name="_Toc398888257"/>
      <w:r>
        <w:rPr>
          <w:rStyle w:val="CharSectno"/>
        </w:rPr>
        <w:t>120</w:t>
      </w:r>
      <w:r>
        <w:t>.</w:t>
      </w:r>
      <w:r>
        <w:tab/>
        <w:t>Educators who are under 18 to be supervised</w:t>
      </w:r>
      <w:bookmarkEnd w:id="248"/>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249" w:name="_Toc397340402"/>
      <w:bookmarkStart w:id="250" w:name="_Toc398887839"/>
      <w:bookmarkStart w:id="251" w:name="_Toc398888258"/>
      <w:r>
        <w:t>Division 3 — Minimum number of educators required</w:t>
      </w:r>
      <w:bookmarkEnd w:id="249"/>
      <w:bookmarkEnd w:id="250"/>
      <w:bookmarkEnd w:id="251"/>
    </w:p>
    <w:p>
      <w:pPr>
        <w:pStyle w:val="Heading5"/>
      </w:pPr>
      <w:bookmarkStart w:id="252" w:name="_Toc398888259"/>
      <w:r>
        <w:rPr>
          <w:rStyle w:val="CharSectno"/>
        </w:rPr>
        <w:t>121</w:t>
      </w:r>
      <w:r>
        <w:t>.</w:t>
      </w:r>
      <w:r>
        <w:tab/>
        <w:t>Application of Division 3</w:t>
      </w:r>
      <w:bookmarkEnd w:id="252"/>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NotesPerm"/>
        <w:tabs>
          <w:tab w:val="clear" w:pos="879"/>
          <w:tab w:val="left" w:pos="851"/>
        </w:tabs>
        <w:ind w:left="1418" w:hanging="1418"/>
      </w:pPr>
      <w:r>
        <w:tab/>
        <w:t>Note:</w:t>
      </w:r>
      <w:r>
        <w:tab/>
        <w:t>Chapter 7 contains provisions that affect the operation of this Division in relation to particular jurisdictions.</w:t>
      </w:r>
    </w:p>
    <w:p>
      <w:pPr>
        <w:pStyle w:val="Heading5"/>
      </w:pPr>
      <w:bookmarkStart w:id="253" w:name="_Toc398888260"/>
      <w:r>
        <w:rPr>
          <w:rStyle w:val="CharSectno"/>
        </w:rPr>
        <w:t>122</w:t>
      </w:r>
      <w:r>
        <w:t>.</w:t>
      </w:r>
      <w:r>
        <w:tab/>
        <w:t>Educators must be working directly with children to be included in ratios</w:t>
      </w:r>
      <w:bookmarkEnd w:id="253"/>
      <w:r>
        <w:t xml:space="preserve"> </w:t>
      </w:r>
    </w:p>
    <w:p>
      <w:pPr>
        <w:pStyle w:val="Subsection"/>
      </w:pPr>
      <w:r>
        <w:tab/>
      </w:r>
      <w:r>
        <w:tab/>
        <w:t>An educator cannot be included in calculating the educator to child ratio of a centre</w:t>
      </w:r>
      <w:r>
        <w:noBreakHyphen/>
        <w:t>based service unless the educator is working directly with children at the service.</w:t>
      </w:r>
    </w:p>
    <w:p>
      <w:pPr>
        <w:pStyle w:val="Heading5"/>
      </w:pPr>
      <w:bookmarkStart w:id="254" w:name="_Toc398888261"/>
      <w:r>
        <w:rPr>
          <w:rStyle w:val="CharSectno"/>
        </w:rPr>
        <w:t>123</w:t>
      </w:r>
      <w:r>
        <w:t>.</w:t>
      </w:r>
      <w:r>
        <w:tab/>
        <w:t>Educator to child ratios — centre</w:t>
      </w:r>
      <w:r>
        <w:noBreakHyphen/>
        <w:t>based services</w:t>
      </w:r>
      <w:bookmarkEnd w:id="254"/>
      <w:r>
        <w:t xml:space="preserve"> </w:t>
      </w:r>
    </w:p>
    <w:p>
      <w:pPr>
        <w:pStyle w:val="Subsection"/>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NotesPerm"/>
        <w:tabs>
          <w:tab w:val="clear" w:pos="879"/>
          <w:tab w:val="left" w:pos="851"/>
        </w:tabs>
        <w:ind w:left="1418" w:hanging="1418"/>
      </w:pPr>
      <w:r>
        <w:tab/>
        <w:t>Examples</w:t>
      </w:r>
      <w:r>
        <w:rPr>
          <w:rFonts w:cs="Arial"/>
          <w:szCs w:val="18"/>
        </w:rPr>
        <w:t>:</w:t>
      </w:r>
    </w:p>
    <w:p>
      <w:pPr>
        <w:pStyle w:val="NotesPerm"/>
        <w:tabs>
          <w:tab w:val="clear" w:pos="879"/>
          <w:tab w:val="left" w:pos="851"/>
        </w:tabs>
        <w:ind w:left="1418" w:hanging="1418"/>
      </w:pPr>
      <w:r>
        <w:tab/>
        <w:t>1</w:t>
      </w:r>
      <w:r>
        <w:tab/>
      </w:r>
      <w:r>
        <w:rPr>
          <w:rFonts w:cs="Arial"/>
          <w:szCs w:val="18"/>
        </w:rPr>
        <w:t>A child is determined to be in need of protection under a child protection order.</w:t>
      </w:r>
    </w:p>
    <w:p>
      <w:pPr>
        <w:pStyle w:val="NotesPerm"/>
        <w:tabs>
          <w:tab w:val="clear" w:pos="879"/>
          <w:tab w:val="left" w:pos="851"/>
        </w:tabs>
        <w:ind w:left="1418" w:hanging="1418"/>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1 educator to 11 children;</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1 educator to 10 children;</w:t>
      </w:r>
    </w:p>
    <w:p>
      <w:pPr>
        <w:pStyle w:val="Indenta"/>
      </w:pPr>
      <w:r>
        <w:tab/>
        <w:t>(d)</w:t>
      </w:r>
      <w:r>
        <w:tab/>
        <w:t>for children over preschool age in a jurisdiction, the relevant ratio (if any) set out in Chapter 7 for that jurisdiction.</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is required under Division 5 to be in attendance at a centre</w:t>
      </w:r>
      <w:r>
        <w:noBreakHyphen/>
        <w:t>based service, subject to regulation 122 that teacher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NotesPerm"/>
        <w:keepNext/>
        <w:tabs>
          <w:tab w:val="clear" w:pos="879"/>
          <w:tab w:val="left" w:pos="851"/>
        </w:tabs>
        <w:spacing w:before="120"/>
        <w:ind w:left="1418" w:hanging="1418"/>
      </w:pPr>
      <w:r>
        <w:tab/>
        <w:t>Notes:</w:t>
      </w:r>
    </w:p>
    <w:p>
      <w:pPr>
        <w:pStyle w:val="NotesPerm"/>
        <w:tabs>
          <w:tab w:val="clear" w:pos="879"/>
          <w:tab w:val="left" w:pos="851"/>
        </w:tabs>
        <w:spacing w:before="80"/>
        <w:ind w:left="1418" w:hanging="1418"/>
      </w:pPr>
      <w:r>
        <w:tab/>
        <w:t xml:space="preserve">1 </w:t>
      </w:r>
      <w:r>
        <w:tab/>
        <w:t>This regulation differs from regulation 123 of the national regulations made by the Ministerial Council.</w:t>
      </w:r>
    </w:p>
    <w:p>
      <w:pPr>
        <w:pStyle w:val="NotesPerm"/>
        <w:tabs>
          <w:tab w:val="clear" w:pos="879"/>
          <w:tab w:val="left" w:pos="851"/>
          <w:tab w:val="left" w:pos="1418"/>
        </w:tabs>
        <w:spacing w:before="80"/>
        <w:ind w:left="1418" w:hanging="1418"/>
      </w:pPr>
      <w:r>
        <w:tab/>
        <w:t xml:space="preserve">2 </w:t>
      </w:r>
      <w:r>
        <w:tab/>
        <w:t>For other WA specific provisions, see regulations 372, 374 and 374A.</w:t>
      </w:r>
    </w:p>
    <w:p>
      <w:pPr>
        <w:pStyle w:val="Footnotesection"/>
      </w:pPr>
      <w:r>
        <w:tab/>
        <w:t>[Regulation 123 amended in Gazette 5 Mar 2013 p. 1108; 13 Dec 2013 p.</w:t>
      </w:r>
      <w:r>
        <w:rPr>
          <w:sz w:val="19"/>
        </w:rPr>
        <w:t> </w:t>
      </w:r>
      <w:r>
        <w:t>6160</w:t>
      </w:r>
      <w:r>
        <w:noBreakHyphen/>
        <w:t>1.]</w:t>
      </w:r>
    </w:p>
    <w:p>
      <w:pPr>
        <w:pStyle w:val="Heading5"/>
      </w:pPr>
      <w:bookmarkStart w:id="255" w:name="_Toc398888262"/>
      <w:r>
        <w:rPr>
          <w:rStyle w:val="CharSectno"/>
        </w:rPr>
        <w:t>124</w:t>
      </w:r>
      <w:r>
        <w:t>.</w:t>
      </w:r>
      <w:r>
        <w:tab/>
        <w:t>Number of children who can be educated and cared for — family day care educator</w:t>
      </w:r>
      <w:bookmarkEnd w:id="255"/>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spacing w:before="70"/>
      </w:pPr>
      <w:r>
        <w:tab/>
        <w:t>(a)</w:t>
      </w:r>
      <w:r>
        <w:tab/>
        <w:t>no more than 4 can be preschool age or under;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NotesPerm"/>
        <w:tabs>
          <w:tab w:val="clear" w:pos="879"/>
          <w:tab w:val="left" w:pos="851"/>
        </w:tabs>
        <w:ind w:left="1418" w:hanging="1418"/>
      </w:pPr>
      <w:r>
        <w:tab/>
        <w:t>Note:</w:t>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preschool age or under,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4"/>
      </w:pPr>
      <w:bookmarkStart w:id="256" w:name="_Toc397340407"/>
      <w:bookmarkStart w:id="257" w:name="_Toc398887844"/>
      <w:bookmarkStart w:id="258" w:name="_Toc398888263"/>
      <w:r>
        <w:t>Division 4 — Educational qualifications for educators</w:t>
      </w:r>
      <w:bookmarkEnd w:id="256"/>
      <w:bookmarkEnd w:id="257"/>
      <w:bookmarkEnd w:id="258"/>
    </w:p>
    <w:p>
      <w:pPr>
        <w:pStyle w:val="Heading5"/>
        <w:spacing w:before="200"/>
      </w:pPr>
      <w:bookmarkStart w:id="259" w:name="_Toc398888264"/>
      <w:r>
        <w:rPr>
          <w:rStyle w:val="CharSectno"/>
        </w:rPr>
        <w:t>125</w:t>
      </w:r>
      <w:r>
        <w:t>.</w:t>
      </w:r>
      <w:r>
        <w:tab/>
        <w:t>Application of Division 4</w:t>
      </w:r>
      <w:bookmarkEnd w:id="259"/>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 163 of the Law.</w:t>
      </w:r>
    </w:p>
    <w:p>
      <w:pPr>
        <w:pStyle w:val="NotesPerm"/>
        <w:tabs>
          <w:tab w:val="clear" w:pos="879"/>
          <w:tab w:val="left" w:pos="851"/>
        </w:tabs>
        <w:spacing w:before="80"/>
        <w:ind w:left="1418" w:hanging="1418"/>
      </w:pPr>
      <w:r>
        <w:tab/>
        <w:t>Note:</w:t>
      </w:r>
      <w:r>
        <w:tab/>
        <w:t>Chapter 7 contains provisions that affect the operation of this Division in relation to particular jurisdictions.</w:t>
      </w:r>
    </w:p>
    <w:p>
      <w:pPr>
        <w:pStyle w:val="Heading5"/>
      </w:pPr>
      <w:bookmarkStart w:id="260" w:name="_Toc398888265"/>
      <w:r>
        <w:rPr>
          <w:rStyle w:val="CharSectno"/>
        </w:rPr>
        <w:t>126</w:t>
      </w:r>
      <w:r>
        <w:t>.</w:t>
      </w:r>
      <w:r>
        <w:tab/>
        <w:t>Centre</w:t>
      </w:r>
      <w:r>
        <w:noBreakHyphen/>
        <w:t>based services — general educator qualifications</w:t>
      </w:r>
      <w:bookmarkEnd w:id="260"/>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have, or be actively working towards, at least an approved diploma level education and care qualification; and</w:t>
      </w:r>
    </w:p>
    <w:p>
      <w:pPr>
        <w:pStyle w:val="Indenta"/>
        <w:spacing w:before="60"/>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is to be counted as meeting the requirements of subregulation (1)(a).</w:t>
      </w:r>
    </w:p>
    <w:p>
      <w:pPr>
        <w:pStyle w:val="NotesPerm"/>
        <w:tabs>
          <w:tab w:val="clear" w:pos="879"/>
          <w:tab w:val="left" w:pos="851"/>
        </w:tabs>
        <w:spacing w:before="80"/>
        <w:ind w:left="1418" w:hanging="1418"/>
      </w:pPr>
      <w:r>
        <w:tab/>
        <w:t>Notes:</w:t>
      </w:r>
    </w:p>
    <w:p>
      <w:pPr>
        <w:pStyle w:val="NotesPerm"/>
        <w:tabs>
          <w:tab w:val="clear" w:pos="879"/>
          <w:tab w:val="left" w:pos="851"/>
        </w:tabs>
        <w:spacing w:before="80"/>
        <w:ind w:left="1418" w:hanging="1418"/>
      </w:pPr>
      <w:r>
        <w:tab/>
        <w:t xml:space="preserve">1 </w:t>
      </w:r>
      <w:r>
        <w:tab/>
        <w:t xml:space="preserve">Meaning of </w:t>
      </w:r>
      <w:r>
        <w:rPr>
          <w:b/>
          <w:i/>
        </w:rPr>
        <w:t>actively working towards</w:t>
      </w:r>
      <w:r>
        <w:t> — see regulation 10.</w:t>
      </w:r>
    </w:p>
    <w:p>
      <w:pPr>
        <w:pStyle w:val="NotesPerm"/>
        <w:tabs>
          <w:tab w:val="clear" w:pos="879"/>
          <w:tab w:val="left" w:pos="851"/>
        </w:tabs>
        <w:spacing w:before="80"/>
        <w:ind w:left="1418" w:hanging="1418"/>
      </w:pPr>
      <w:r>
        <w:tab/>
        <w:t xml:space="preserve">2 </w:t>
      </w:r>
      <w:r>
        <w:tab/>
        <w:t>An early childhood teacher can be included in determining the number of educators who have an approved diploma level education and care qualification if the teacher is working directly with children.</w:t>
      </w:r>
    </w:p>
    <w:p>
      <w:pPr>
        <w:pStyle w:val="Heading5"/>
      </w:pPr>
      <w:bookmarkStart w:id="261" w:name="_Toc398888266"/>
      <w:r>
        <w:rPr>
          <w:rStyle w:val="CharSectno"/>
        </w:rPr>
        <w:t>127</w:t>
      </w:r>
      <w:r>
        <w:t>.</w:t>
      </w:r>
      <w:r>
        <w:tab/>
        <w:t>Family day care educator qualifications</w:t>
      </w:r>
      <w:bookmarkEnd w:id="261"/>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262" w:name="_Toc398888267"/>
      <w:r>
        <w:rPr>
          <w:rStyle w:val="CharSectno"/>
        </w:rPr>
        <w:t>128</w:t>
      </w:r>
      <w:r>
        <w:t>.</w:t>
      </w:r>
      <w:r>
        <w:tab/>
        <w:t>Family day care co</w:t>
      </w:r>
      <w:r>
        <w:noBreakHyphen/>
        <w:t>ordinator qualifications</w:t>
      </w:r>
      <w:bookmarkEnd w:id="262"/>
      <w:r>
        <w:t xml:space="preserve"> </w:t>
      </w:r>
    </w:p>
    <w:p>
      <w:pPr>
        <w:pStyle w:val="Subsection"/>
      </w:pPr>
      <w:r>
        <w:tab/>
      </w:r>
      <w:r>
        <w:tab/>
        <w:t>A family day care co</w:t>
      </w:r>
      <w:r>
        <w:noBreakHyphen/>
        <w:t>ordinator must have an approved diploma level education and care qualification.</w:t>
      </w:r>
    </w:p>
    <w:p>
      <w:pPr>
        <w:pStyle w:val="Heading4"/>
      </w:pPr>
      <w:bookmarkStart w:id="263" w:name="_Toc397340412"/>
      <w:bookmarkStart w:id="264" w:name="_Toc398887849"/>
      <w:bookmarkStart w:id="265" w:name="_Toc398888268"/>
      <w:r>
        <w:t>Division 5 — Requirements for educators who are early childhood teachers</w:t>
      </w:r>
      <w:bookmarkEnd w:id="263"/>
      <w:bookmarkEnd w:id="264"/>
      <w:bookmarkEnd w:id="265"/>
    </w:p>
    <w:p>
      <w:pPr>
        <w:pStyle w:val="Heading5"/>
      </w:pPr>
      <w:bookmarkStart w:id="266" w:name="_Toc398888269"/>
      <w:r>
        <w:rPr>
          <w:rStyle w:val="CharSectno"/>
        </w:rPr>
        <w:t>129</w:t>
      </w:r>
      <w:r>
        <w:t>.</w:t>
      </w:r>
      <w:r>
        <w:tab/>
        <w:t>Application of Division 5</w:t>
      </w:r>
      <w:bookmarkEnd w:id="266"/>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NotesPerm"/>
        <w:tabs>
          <w:tab w:val="clear" w:pos="879"/>
          <w:tab w:val="left" w:pos="851"/>
        </w:tabs>
        <w:ind w:left="1418" w:hanging="1418"/>
      </w:pPr>
      <w:r>
        <w:tab/>
        <w:t>Note:</w:t>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in Gazette 13 Dec 2013 p.</w:t>
      </w:r>
      <w:r>
        <w:rPr>
          <w:sz w:val="19"/>
        </w:rPr>
        <w:t> </w:t>
      </w:r>
      <w:r>
        <w:t>6161.]</w:t>
      </w:r>
    </w:p>
    <w:p>
      <w:pPr>
        <w:pStyle w:val="Heading5"/>
      </w:pPr>
      <w:bookmarkStart w:id="267" w:name="_Toc398888270"/>
      <w:r>
        <w:rPr>
          <w:rStyle w:val="CharSectno"/>
        </w:rPr>
        <w:t>130</w:t>
      </w:r>
      <w:r>
        <w:t>.</w:t>
      </w:r>
      <w:r>
        <w:tab/>
        <w:t>Requirement for early childhood teacher — centre</w:t>
      </w:r>
      <w:r>
        <w:noBreakHyphen/>
        <w:t>based services — fewer than 25 approved places</w:t>
      </w:r>
      <w:bookmarkEnd w:id="267"/>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268" w:name="_Toc398888271"/>
      <w:r>
        <w:rPr>
          <w:rStyle w:val="CharSectno"/>
        </w:rPr>
        <w:t>131</w:t>
      </w:r>
      <w:r>
        <w:t>.</w:t>
      </w:r>
      <w:r>
        <w:tab/>
        <w:t>Requirement for early childhood teacher — centre</w:t>
      </w:r>
      <w:r>
        <w:noBreakHyphen/>
        <w:t>based services — 25 or more approved places but fewer than 25 children</w:t>
      </w:r>
      <w:bookmarkEnd w:id="268"/>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spacing w:before="180"/>
      </w:pPr>
      <w:r>
        <w:tab/>
        <w:t>(2)</w:t>
      </w:r>
      <w:r>
        <w:tab/>
        <w:t>The service must comply with regulation 130 during any period that it educates and cares for fewer than 25 children.</w:t>
      </w:r>
    </w:p>
    <w:p>
      <w:pPr>
        <w:pStyle w:val="NotesPerm"/>
        <w:tabs>
          <w:tab w:val="clear" w:pos="879"/>
          <w:tab w:val="left" w:pos="851"/>
        </w:tabs>
        <w:ind w:left="1418" w:hanging="1418"/>
      </w:pPr>
      <w:r>
        <w:tab/>
        <w:t>Note:</w:t>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in Gazette 13 Dec 2013 p.</w:t>
      </w:r>
      <w:r>
        <w:rPr>
          <w:sz w:val="19"/>
        </w:rPr>
        <w:t> </w:t>
      </w:r>
      <w:r>
        <w:t>6162.]</w:t>
      </w:r>
    </w:p>
    <w:p>
      <w:pPr>
        <w:pStyle w:val="Heading5"/>
        <w:spacing w:before="260"/>
      </w:pPr>
      <w:bookmarkStart w:id="269" w:name="_Toc398888272"/>
      <w:r>
        <w:rPr>
          <w:rStyle w:val="CharSectno"/>
        </w:rPr>
        <w:t>132</w:t>
      </w:r>
      <w:r>
        <w:t>.</w:t>
      </w:r>
      <w:r>
        <w:tab/>
        <w:t>Requirement for early childhood teacher — centre</w:t>
      </w:r>
      <w:r>
        <w:noBreakHyphen/>
        <w:t>based services — 25 to 59 children</w:t>
      </w:r>
      <w:bookmarkEnd w:id="269"/>
      <w:r>
        <w:t xml:space="preserve"> </w:t>
      </w:r>
    </w:p>
    <w:p>
      <w:pPr>
        <w:pStyle w:val="Subsection"/>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270" w:name="_Toc398888273"/>
      <w:r>
        <w:rPr>
          <w:rStyle w:val="CharSectno"/>
        </w:rPr>
        <w:t>133</w:t>
      </w:r>
      <w:r>
        <w:t>.</w:t>
      </w:r>
      <w:r>
        <w:tab/>
        <w:t>Requirement for early childhood teacher — centre</w:t>
      </w:r>
      <w:r>
        <w:noBreakHyphen/>
        <w:t>based services — 60 to 80 children</w:t>
      </w:r>
      <w:bookmarkEnd w:id="270"/>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another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Heading5"/>
      </w:pPr>
      <w:bookmarkStart w:id="271" w:name="_Toc398888274"/>
      <w:r>
        <w:rPr>
          <w:rStyle w:val="CharSectno"/>
        </w:rPr>
        <w:t>134</w:t>
      </w:r>
      <w:r>
        <w:t>.</w:t>
      </w:r>
      <w:r>
        <w:tab/>
        <w:t>Requirement for early childhood teacher — centre</w:t>
      </w:r>
      <w:r>
        <w:noBreakHyphen/>
        <w:t>based services — more than 80 children</w:t>
      </w:r>
      <w:bookmarkEnd w:id="271"/>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another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Heading5"/>
      </w:pPr>
      <w:bookmarkStart w:id="272" w:name="_Toc398888275"/>
      <w:r>
        <w:rPr>
          <w:rStyle w:val="CharSectno"/>
        </w:rPr>
        <w:t>135</w:t>
      </w:r>
      <w:r>
        <w:t>.</w:t>
      </w:r>
      <w:r>
        <w:tab/>
        <w:t>Early childhood teacher illness or absence</w:t>
      </w:r>
      <w:bookmarkEnd w:id="272"/>
      <w:r>
        <w:t xml:space="preserve"> </w:t>
      </w:r>
    </w:p>
    <w:p>
      <w:pPr>
        <w:pStyle w:val="Subsection"/>
      </w:pPr>
      <w:r>
        <w:tab/>
        <w:t>(1)</w:t>
      </w:r>
      <w:r>
        <w:tab/>
        <w:t>If an early childhood teacher is absent from the education and care service because of short</w:t>
      </w:r>
      <w:r>
        <w:noBreakHyphen/>
        <w:t xml:space="preserve">term illness or leave, the following persons may be taken for the purposes of regulations 132(1), 133(1) and 134(1) to be an early childhood teacher during that absence — </w:t>
      </w:r>
    </w:p>
    <w:p>
      <w:pPr>
        <w:pStyle w:val="Indenta"/>
      </w:pPr>
      <w:r>
        <w:tab/>
        <w:t>(a)</w:t>
      </w:r>
      <w:r>
        <w:tab/>
        <w:t>a person who holds an approved diploma level education and care qualification;</w:t>
      </w:r>
    </w:p>
    <w:p>
      <w:pPr>
        <w:pStyle w:val="Indenta"/>
      </w:pPr>
      <w:r>
        <w:tab/>
        <w:t>(b)</w:t>
      </w:r>
      <w:r>
        <w:tab/>
        <w:t>a person who holds a qualification in primary teaching.</w:t>
      </w:r>
    </w:p>
    <w:p>
      <w:pPr>
        <w:pStyle w:val="Subsection"/>
      </w:pPr>
      <w:r>
        <w:tab/>
        <w:t>(2)</w:t>
      </w:r>
      <w:r>
        <w:tab/>
        <w:t>To avoid doubt, subregulation (1) does not apply in case of a period of leave exceeding 12 weeks.</w:t>
      </w:r>
    </w:p>
    <w:p>
      <w:pPr>
        <w:pStyle w:val="Heading4"/>
      </w:pPr>
      <w:bookmarkStart w:id="273" w:name="_Toc397340420"/>
      <w:bookmarkStart w:id="274" w:name="_Toc398887857"/>
      <w:bookmarkStart w:id="275" w:name="_Toc398888276"/>
      <w:r>
        <w:t>Division 6 — First aid qualifications</w:t>
      </w:r>
      <w:bookmarkEnd w:id="273"/>
      <w:bookmarkEnd w:id="274"/>
      <w:bookmarkEnd w:id="275"/>
    </w:p>
    <w:p>
      <w:pPr>
        <w:pStyle w:val="Heading5"/>
      </w:pPr>
      <w:bookmarkStart w:id="276" w:name="_Toc398888277"/>
      <w:r>
        <w:rPr>
          <w:rStyle w:val="CharSectno"/>
        </w:rPr>
        <w:t>136</w:t>
      </w:r>
      <w:r>
        <w:t>.</w:t>
      </w:r>
      <w:r>
        <w:tab/>
        <w:t>First aid qualifications</w:t>
      </w:r>
      <w:bookmarkEnd w:id="276"/>
      <w:r>
        <w:t xml:space="preserve"> </w:t>
      </w:r>
    </w:p>
    <w:p>
      <w:pPr>
        <w:pStyle w:val="Subsection"/>
      </w:pPr>
      <w:r>
        <w:tab/>
        <w:t>(1)</w:t>
      </w:r>
      <w:r>
        <w:tab/>
        <w:t>The approved provider of a centre</w:t>
      </w:r>
      <w:r>
        <w:noBreakHyphen/>
        <w:t xml:space="preserve">based service must ensure that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educator who holds a current approved first aid qualification;</w:t>
      </w:r>
    </w:p>
    <w:p>
      <w:pPr>
        <w:pStyle w:val="Indenta"/>
        <w:spacing w:before="100"/>
      </w:pPr>
      <w:r>
        <w:tab/>
        <w:t>(b)</w:t>
      </w:r>
      <w:r>
        <w:tab/>
        <w:t>at least one educator who has undertaken current approved anaphylaxis management training;</w:t>
      </w:r>
    </w:p>
    <w:p>
      <w:pPr>
        <w:pStyle w:val="Indenta"/>
        <w:spacing w:before="100"/>
      </w:pPr>
      <w:r>
        <w:tab/>
        <w:t>(c)</w:t>
      </w:r>
      <w:r>
        <w:tab/>
        <w:t>at least one educator who has undertaken current approved emergency asthma management training.</w:t>
      </w:r>
    </w:p>
    <w:p>
      <w:pPr>
        <w:pStyle w:val="Penstart"/>
        <w:spacing w:before="100"/>
      </w:pPr>
      <w:r>
        <w:tab/>
        <w:t>Penalty: $2000.</w:t>
      </w:r>
    </w:p>
    <w:p>
      <w:pPr>
        <w:pStyle w:val="Subsection"/>
        <w:spacing w:before="200"/>
      </w:pPr>
      <w:r>
        <w:tab/>
        <w:t>(2)</w:t>
      </w:r>
      <w:r>
        <w:tab/>
        <w:t>If children are being educated and cared for at service premises on the site of a school, it is sufficient for the purposes of subregulation (1) if the educators referred to in that subregulation are in attendance at the school site and immediately available in an emergency.</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w:t>
      </w:r>
    </w:p>
    <w:p>
      <w:pPr>
        <w:pStyle w:val="Defpara"/>
      </w:pPr>
      <w:r>
        <w:tab/>
      </w:r>
      <w:r>
        <w:tab/>
        <w:t>and</w:t>
      </w:r>
    </w:p>
    <w:p>
      <w:pPr>
        <w:pStyle w:val="Defpara"/>
      </w:pPr>
      <w:r>
        <w:tab/>
        <w:t>(b)</w:t>
      </w:r>
      <w:r>
        <w:tab/>
        <w:t>has been approved by the National Authority in accordance with Division 7.</w:t>
      </w:r>
    </w:p>
    <w:p>
      <w:pPr>
        <w:pStyle w:val="NotesPerm"/>
        <w:tabs>
          <w:tab w:val="clear" w:pos="879"/>
          <w:tab w:val="left" w:pos="851"/>
        </w:tabs>
        <w:ind w:left="1418" w:hanging="1418"/>
      </w:pPr>
      <w:r>
        <w:tab/>
        <w:t>Note:</w:t>
      </w:r>
      <w:r>
        <w:tab/>
        <w:t>A compliance direction may be issued for failure to comply with subregulation (1).</w:t>
      </w:r>
    </w:p>
    <w:p>
      <w:pPr>
        <w:pStyle w:val="Heading4"/>
      </w:pPr>
      <w:bookmarkStart w:id="277" w:name="_Toc397340422"/>
      <w:bookmarkStart w:id="278" w:name="_Toc398887859"/>
      <w:bookmarkStart w:id="279" w:name="_Toc398888278"/>
      <w:r>
        <w:t>Division 7 — Approval and determination of qualifications</w:t>
      </w:r>
      <w:bookmarkEnd w:id="277"/>
      <w:bookmarkEnd w:id="278"/>
      <w:bookmarkEnd w:id="279"/>
    </w:p>
    <w:p>
      <w:pPr>
        <w:pStyle w:val="Heading5"/>
      </w:pPr>
      <w:bookmarkStart w:id="280" w:name="_Toc398888279"/>
      <w:r>
        <w:rPr>
          <w:rStyle w:val="CharSectno"/>
        </w:rPr>
        <w:t>137</w:t>
      </w:r>
      <w:r>
        <w:t>.</w:t>
      </w:r>
      <w:r>
        <w:tab/>
        <w:t>Approval of qualifications</w:t>
      </w:r>
      <w:bookmarkEnd w:id="280"/>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w:t>
      </w:r>
      <w:smartTag w:uri="urn:schemas-microsoft-com:office:smarttags" w:element="place">
        <w:smartTag w:uri="urn:schemas-microsoft-com:office:smarttags" w:element="State">
          <w:r>
            <w:t>Queensland</w:t>
          </w:r>
        </w:smartTag>
      </w:smartTag>
      <w:r>
        <w:t xml:space="preserve">,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 xml:space="preserve">a list of qualifications and former qualifications for family day care co-ordinators in </w:t>
      </w:r>
      <w:smartTag w:uri="urn:schemas-microsoft-com:office:smarttags" w:element="place">
        <w:smartTag w:uri="urn:schemas-microsoft-com:office:smarttags" w:element="State">
          <w:r>
            <w:t>Queensland</w:t>
          </w:r>
        </w:smartTag>
      </w:smartTag>
      <w:r>
        <w:t>.</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units of approved certificate III level education and care qualifications for the purposes of the definition of </w:t>
      </w:r>
      <w:r>
        <w:rPr>
          <w:b/>
          <w:i/>
        </w:rPr>
        <w:t>actively working towards</w:t>
      </w:r>
      <w:r>
        <w:t xml:space="preserve"> a qualification.</w:t>
      </w:r>
    </w:p>
    <w:p>
      <w:pPr>
        <w:pStyle w:val="Heading5"/>
      </w:pPr>
      <w:bookmarkStart w:id="281" w:name="_Toc398888280"/>
      <w:r>
        <w:rPr>
          <w:rStyle w:val="CharSectno"/>
        </w:rPr>
        <w:t>138</w:t>
      </w:r>
      <w:r>
        <w:t>.</w:t>
      </w:r>
      <w:r>
        <w:tab/>
        <w:t>Application for qualification to be assessed for inclusion on the list of approved qualifications</w:t>
      </w:r>
      <w:bookmarkEnd w:id="281"/>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282" w:name="_Toc398888281"/>
      <w:r>
        <w:rPr>
          <w:rStyle w:val="CharSectno"/>
        </w:rPr>
        <w:t>139</w:t>
      </w:r>
      <w:r>
        <w:t>.</w:t>
      </w:r>
      <w:r>
        <w:tab/>
        <w:t>Application for determination of equivalent qualification</w:t>
      </w:r>
      <w:bookmarkEnd w:id="282"/>
      <w:r>
        <w:t xml:space="preserve"> </w:t>
      </w:r>
    </w:p>
    <w:p>
      <w:pPr>
        <w:pStyle w:val="Subsection"/>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Footnotesection"/>
      </w:pPr>
      <w:r>
        <w:tab/>
        <w:t>[Regulation 139 amended in Gazette 13 Dec 2013 p.</w:t>
      </w:r>
      <w:r>
        <w:rPr>
          <w:sz w:val="19"/>
        </w:rPr>
        <w:t> </w:t>
      </w:r>
      <w:r>
        <w:t>6162.]</w:t>
      </w:r>
    </w:p>
    <w:p>
      <w:pPr>
        <w:pStyle w:val="Heading5"/>
      </w:pPr>
      <w:bookmarkStart w:id="283" w:name="_Toc398888282"/>
      <w:r>
        <w:rPr>
          <w:rStyle w:val="CharSectno"/>
        </w:rPr>
        <w:t>140</w:t>
      </w:r>
      <w:r>
        <w:t>.</w:t>
      </w:r>
      <w:r>
        <w:tab/>
        <w:t>Application for determination of an equivalent qualification</w:t>
      </w:r>
      <w:bookmarkEnd w:id="283"/>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 xml:space="preserve">if the applicant is not an Australian citizen, the applicant’s visa or residency status in </w:t>
      </w:r>
      <w:smartTag w:uri="urn:schemas-microsoft-com:office:smarttags" w:element="place">
        <w:smartTag w:uri="urn:schemas-microsoft-com:office:smarttags" w:element="country-region">
          <w:r>
            <w:t>Australia</w:t>
          </w:r>
        </w:smartTag>
      </w:smartTag>
      <w:r>
        <w:t xml:space="preserve">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spacing w:before="50"/>
      </w:pPr>
      <w:r>
        <w:tab/>
        <w:t>(j)</w:t>
      </w:r>
      <w:r>
        <w:tab/>
        <w:t xml:space="preserve">a summary of the applicant’s education, other than the qualification that is to be determined, including — </w:t>
      </w:r>
    </w:p>
    <w:p>
      <w:pPr>
        <w:pStyle w:val="Indenti"/>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in Gazette 13 Dec 2013 p.</w:t>
      </w:r>
      <w:r>
        <w:rPr>
          <w:sz w:val="19"/>
        </w:rPr>
        <w:t> </w:t>
      </w:r>
      <w:r>
        <w:t>6162.]</w:t>
      </w:r>
    </w:p>
    <w:p>
      <w:pPr>
        <w:pStyle w:val="Heading5"/>
      </w:pPr>
      <w:bookmarkStart w:id="284" w:name="_Toc398888283"/>
      <w:r>
        <w:rPr>
          <w:rStyle w:val="CharSectno"/>
        </w:rPr>
        <w:t>141</w:t>
      </w:r>
      <w:r>
        <w:t>.</w:t>
      </w:r>
      <w:r>
        <w:tab/>
        <w:t>Additional information for application for determination of equivalent qualification</w:t>
      </w:r>
      <w:bookmarkEnd w:id="284"/>
      <w:r>
        <w:t xml:space="preserve"> </w:t>
      </w:r>
    </w:p>
    <w:p>
      <w:pPr>
        <w:pStyle w:val="Subsection"/>
      </w:pPr>
      <w:r>
        <w:tab/>
        <w:t>(1)</w:t>
      </w:r>
      <w:r>
        <w:tab/>
        <w:t xml:space="preserve">The following documents must also be provided with an application for determination of an equivalent qualification — </w:t>
      </w:r>
    </w:p>
    <w:p>
      <w:pPr>
        <w:pStyle w:val="Indenta"/>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NotesPerm"/>
        <w:tabs>
          <w:tab w:val="clear" w:pos="879"/>
          <w:tab w:val="left" w:pos="851"/>
        </w:tabs>
        <w:spacing w:before="80"/>
        <w:ind w:left="1418" w:hanging="1418"/>
      </w:pPr>
      <w:r>
        <w:tab/>
        <w:t>Note:</w:t>
      </w:r>
      <w:r>
        <w:tab/>
        <w:t>This regulation differs from regulation 141 of the national regulations made by the Ministerial Council.</w:t>
      </w:r>
    </w:p>
    <w:p>
      <w:pPr>
        <w:pStyle w:val="Footnotesection"/>
      </w:pPr>
      <w:r>
        <w:tab/>
        <w:t>[Regulation 141 amended in Gazette 13 Dec 2013 p.</w:t>
      </w:r>
      <w:r>
        <w:rPr>
          <w:sz w:val="19"/>
        </w:rPr>
        <w:t> </w:t>
      </w:r>
      <w:r>
        <w:t>6162</w:t>
      </w:r>
      <w:r>
        <w:noBreakHyphen/>
        <w:t>3.]</w:t>
      </w:r>
    </w:p>
    <w:p>
      <w:pPr>
        <w:pStyle w:val="Heading5"/>
      </w:pPr>
      <w:bookmarkStart w:id="285" w:name="_Toc398888284"/>
      <w:r>
        <w:rPr>
          <w:rStyle w:val="CharSectno"/>
        </w:rPr>
        <w:t>142</w:t>
      </w:r>
      <w:r>
        <w:t>.</w:t>
      </w:r>
      <w:r>
        <w:tab/>
        <w:t>Translations of documents</w:t>
      </w:r>
      <w:bookmarkEnd w:id="285"/>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286" w:name="_Toc398888285"/>
      <w:r>
        <w:rPr>
          <w:rStyle w:val="CharSectno"/>
        </w:rPr>
        <w:t>143</w:t>
      </w:r>
      <w:r>
        <w:t>.</w:t>
      </w:r>
      <w:r>
        <w:tab/>
        <w:t>Certification of documents</w:t>
      </w:r>
      <w:bookmarkEnd w:id="286"/>
      <w:r>
        <w:t xml:space="preserve"> </w:t>
      </w:r>
    </w:p>
    <w:p>
      <w:pPr>
        <w:pStyle w:val="Subsection"/>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in Gazette 13 Dec 2013 p.</w:t>
      </w:r>
      <w:r>
        <w:rPr>
          <w:sz w:val="19"/>
        </w:rPr>
        <w:t> </w:t>
      </w:r>
      <w:r>
        <w:t>6163.]</w:t>
      </w:r>
    </w:p>
    <w:p>
      <w:pPr>
        <w:pStyle w:val="Heading4"/>
      </w:pPr>
      <w:bookmarkStart w:id="287" w:name="_Toc397340430"/>
      <w:bookmarkStart w:id="288" w:name="_Toc398887867"/>
      <w:bookmarkStart w:id="289" w:name="_Toc398888286"/>
      <w:r>
        <w:t>Division 8 — Family day care educator assistant</w:t>
      </w:r>
      <w:bookmarkEnd w:id="287"/>
      <w:bookmarkEnd w:id="288"/>
      <w:bookmarkEnd w:id="289"/>
    </w:p>
    <w:p>
      <w:pPr>
        <w:pStyle w:val="Heading5"/>
      </w:pPr>
      <w:bookmarkStart w:id="290" w:name="_Toc398888287"/>
      <w:r>
        <w:rPr>
          <w:rStyle w:val="CharSectno"/>
        </w:rPr>
        <w:t>144</w:t>
      </w:r>
      <w:r>
        <w:t>.</w:t>
      </w:r>
      <w:r>
        <w:tab/>
        <w:t>Family day care educator assistant</w:t>
      </w:r>
      <w:bookmarkEnd w:id="290"/>
      <w:r>
        <w:t xml:space="preserve"> </w:t>
      </w:r>
    </w:p>
    <w:p>
      <w:pPr>
        <w:pStyle w:val="Subsection"/>
      </w:pPr>
      <w:r>
        <w:tab/>
        <w:t>(1)</w:t>
      </w:r>
      <w:r>
        <w:tab/>
        <w:t>An approved provider of a family day care service may approve a person to assist a family day care educator in providing education and care to children as part of a family day care service in the circumstances set out in subregulation (2).</w:t>
      </w:r>
    </w:p>
    <w:p>
      <w:pPr>
        <w:pStyle w:val="Subsection"/>
      </w:pPr>
      <w:r>
        <w:tab/>
        <w:t>(2)</w:t>
      </w:r>
      <w:r>
        <w:tab/>
        <w:t xml:space="preserve">An approved family day care educator assistant may assist the family day care educator by — </w:t>
      </w:r>
    </w:p>
    <w:p>
      <w:pPr>
        <w:pStyle w:val="Indenta"/>
      </w:pPr>
      <w:r>
        <w:tab/>
        <w:t>(a)</w:t>
      </w:r>
      <w:r>
        <w:tab/>
        <w:t xml:space="preserve">in the absence of the family day care educator, transporting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and</w:t>
      </w:r>
    </w:p>
    <w:p>
      <w:pPr>
        <w:pStyle w:val="Indenta"/>
      </w:pPr>
      <w:r>
        <w:tab/>
        <w:t>(b)</w:t>
      </w:r>
      <w:r>
        <w:tab/>
        <w:t>providing education and care to a child, in the absence of the family day care educator, in emergency situations, including when the educator requires urgent medical care or treatment; and</w:t>
      </w:r>
    </w:p>
    <w:p>
      <w:pPr>
        <w:pStyle w:val="Indenta"/>
      </w:pPr>
      <w:r>
        <w:tab/>
        <w:t>(c)</w:t>
      </w:r>
      <w:r>
        <w:tab/>
        <w:t xml:space="preserve">providing education and care to a child, in the absence of the family day care educator to attend an appointment (other than a regular appointment),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spacing w:before="60"/>
      </w:pPr>
      <w:r>
        <w:tab/>
        <w:t>(iii)</w:t>
      </w:r>
      <w:r>
        <w:tab/>
        <w:t>notice of that absence has been given to the parents of the child;</w:t>
      </w:r>
    </w:p>
    <w:p>
      <w:pPr>
        <w:pStyle w:val="Indenta"/>
        <w:spacing w:before="60"/>
      </w:pPr>
      <w:r>
        <w:tab/>
      </w:r>
      <w:r>
        <w:tab/>
        <w:t>and</w:t>
      </w:r>
    </w:p>
    <w:p>
      <w:pPr>
        <w:pStyle w:val="Indenta"/>
        <w:spacing w:before="60"/>
      </w:pPr>
      <w:r>
        <w:tab/>
        <w:t>(d)</w:t>
      </w:r>
      <w:r>
        <w:tab/>
        <w:t>providing assistance to the educator while the educator is educating and caring for children as part of a family day care service.</w:t>
      </w:r>
    </w:p>
    <w:p>
      <w:pPr>
        <w:pStyle w:val="Subsection"/>
        <w:spacing w:before="130"/>
      </w:pPr>
      <w:r>
        <w:tab/>
        <w:t>(3)</w:t>
      </w:r>
      <w:r>
        <w:tab/>
        <w:t>An approved provider must not approve a person under subregulation (1) unless the family day care educator provides the written consent of a parent of each child being educated and cared for by the educator to the use of the assistant in the circumstances set out in subregulation (2).</w:t>
      </w:r>
    </w:p>
    <w:p>
      <w:pPr>
        <w:pStyle w:val="Heading4"/>
        <w:spacing w:before="220"/>
      </w:pPr>
      <w:bookmarkStart w:id="291" w:name="_Toc397340432"/>
      <w:bookmarkStart w:id="292" w:name="_Toc398887869"/>
      <w:bookmarkStart w:id="293" w:name="_Toc398888288"/>
      <w:r>
        <w:t>Division 9 — Staff and educator records — centre</w:t>
      </w:r>
      <w:r>
        <w:noBreakHyphen/>
        <w:t>based services</w:t>
      </w:r>
      <w:bookmarkEnd w:id="291"/>
      <w:bookmarkEnd w:id="292"/>
      <w:bookmarkEnd w:id="293"/>
    </w:p>
    <w:p>
      <w:pPr>
        <w:pStyle w:val="Heading5"/>
        <w:spacing w:before="180"/>
      </w:pPr>
      <w:bookmarkStart w:id="294" w:name="_Toc398888289"/>
      <w:r>
        <w:rPr>
          <w:rStyle w:val="CharSectno"/>
        </w:rPr>
        <w:t>145</w:t>
      </w:r>
      <w:r>
        <w:t>.</w:t>
      </w:r>
      <w:r>
        <w:tab/>
        <w:t>Staff record</w:t>
      </w:r>
      <w:bookmarkEnd w:id="294"/>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NotesPerm"/>
        <w:tabs>
          <w:tab w:val="clear" w:pos="879"/>
          <w:tab w:val="left" w:pos="851"/>
        </w:tabs>
        <w:spacing w:before="80"/>
        <w:ind w:left="1418" w:hanging="1418"/>
      </w:pPr>
      <w:r>
        <w:tab/>
        <w:t>Note:</w:t>
      </w:r>
      <w:r>
        <w:tab/>
        <w:t>Other records are also required to be kept by the approved provider under this Division.</w:t>
      </w:r>
    </w:p>
    <w:p>
      <w:pPr>
        <w:pStyle w:val="Heading5"/>
      </w:pPr>
      <w:bookmarkStart w:id="295" w:name="_Toc398888290"/>
      <w:r>
        <w:rPr>
          <w:rStyle w:val="CharSectno"/>
        </w:rPr>
        <w:t>146</w:t>
      </w:r>
      <w:r>
        <w:t>.</w:t>
      </w:r>
      <w:r>
        <w:tab/>
        <w:t>Nominated supervisor</w:t>
      </w:r>
      <w:bookmarkEnd w:id="295"/>
      <w:r>
        <w:t xml:space="preserve"> </w:t>
      </w:r>
    </w:p>
    <w:p>
      <w:pPr>
        <w:pStyle w:val="Subsection"/>
        <w:spacing w:before="140"/>
      </w:pPr>
      <w:r>
        <w:tab/>
      </w:r>
      <w:r>
        <w:tab/>
        <w:t xml:space="preserve">The staff record must include the following information in relation to the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supervisor is actively working towards that qualification as provided under regulation 10;</w:t>
      </w:r>
    </w:p>
    <w:p>
      <w:pPr>
        <w:pStyle w:val="Indenta"/>
      </w:pPr>
      <w:r>
        <w:tab/>
        <w:t>(c)</w:t>
      </w:r>
      <w:r>
        <w:tab/>
        <w:t>evidence of any approved training (including first aid training) completed by the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has provided proof as permitted by regulation 46 of the supervisor’s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nominated supervisor’s safety screening clearance and the expiry date of that clearance.</w:t>
      </w:r>
    </w:p>
    <w:p>
      <w:pPr>
        <w:pStyle w:val="Footnotesection"/>
      </w:pPr>
      <w:r>
        <w:tab/>
        <w:t>[Regulation 146 amended in Gazette 13 Dec 2013 p.</w:t>
      </w:r>
      <w:r>
        <w:rPr>
          <w:sz w:val="19"/>
        </w:rPr>
        <w:t> </w:t>
      </w:r>
      <w:r>
        <w:t>6164.]</w:t>
      </w:r>
    </w:p>
    <w:p>
      <w:pPr>
        <w:pStyle w:val="Heading5"/>
      </w:pPr>
      <w:bookmarkStart w:id="296" w:name="_Toc398888291"/>
      <w:r>
        <w:rPr>
          <w:rStyle w:val="CharSectno"/>
        </w:rPr>
        <w:t>147</w:t>
      </w:r>
      <w:r>
        <w:t>.</w:t>
      </w:r>
      <w:r>
        <w:tab/>
        <w:t>Staff members</w:t>
      </w:r>
      <w:bookmarkEnd w:id="296"/>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staff member’s safety screening clearance and the expiry date of that clearance.</w:t>
      </w:r>
    </w:p>
    <w:p>
      <w:pPr>
        <w:pStyle w:val="Footnotesection"/>
      </w:pPr>
      <w:r>
        <w:tab/>
        <w:t>[Regulation 147 amended in Gazette 13 Dec 2013 p.</w:t>
      </w:r>
      <w:r>
        <w:rPr>
          <w:sz w:val="19"/>
        </w:rPr>
        <w:t> </w:t>
      </w:r>
      <w:r>
        <w:t>6164</w:t>
      </w:r>
      <w:r>
        <w:noBreakHyphen/>
        <w:t>5.]</w:t>
      </w:r>
    </w:p>
    <w:p>
      <w:pPr>
        <w:pStyle w:val="Heading5"/>
      </w:pPr>
      <w:bookmarkStart w:id="297" w:name="_Toc398888292"/>
      <w:r>
        <w:rPr>
          <w:rStyle w:val="CharSectno"/>
        </w:rPr>
        <w:t>148</w:t>
      </w:r>
      <w:r>
        <w:t>.</w:t>
      </w:r>
      <w:r>
        <w:tab/>
        <w:t>Educational leader</w:t>
      </w:r>
      <w:bookmarkEnd w:id="297"/>
      <w:r>
        <w:t xml:space="preserve"> </w:t>
      </w:r>
    </w:p>
    <w:p>
      <w:pPr>
        <w:pStyle w:val="Subsection"/>
      </w:pPr>
      <w:r>
        <w:tab/>
      </w:r>
      <w:r>
        <w:tab/>
        <w:t>The staff record must include the name of the person designated as the educational leader in accordance with regulation 118.</w:t>
      </w:r>
    </w:p>
    <w:p>
      <w:pPr>
        <w:pStyle w:val="Heading5"/>
      </w:pPr>
      <w:bookmarkStart w:id="298" w:name="_Toc398888293"/>
      <w:r>
        <w:rPr>
          <w:rStyle w:val="CharSectno"/>
        </w:rPr>
        <w:t>149</w:t>
      </w:r>
      <w:r>
        <w:t>.</w:t>
      </w:r>
      <w:r>
        <w:tab/>
        <w:t>Volunteers and students</w:t>
      </w:r>
      <w:bookmarkEnd w:id="298"/>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299" w:name="_Toc398888294"/>
      <w:r>
        <w:rPr>
          <w:rStyle w:val="CharSectno"/>
        </w:rPr>
        <w:t>150</w:t>
      </w:r>
      <w:r>
        <w:t>.</w:t>
      </w:r>
      <w:r>
        <w:tab/>
        <w:t>Responsible person</w:t>
      </w:r>
      <w:bookmarkEnd w:id="299"/>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300" w:name="_Toc398888295"/>
      <w:r>
        <w:rPr>
          <w:rStyle w:val="CharSectno"/>
        </w:rPr>
        <w:t>151</w:t>
      </w:r>
      <w:r>
        <w:t>.</w:t>
      </w:r>
      <w:r>
        <w:tab/>
        <w:t>Record of educators working directly with children</w:t>
      </w:r>
      <w:bookmarkEnd w:id="300"/>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NotesPerm"/>
        <w:tabs>
          <w:tab w:val="clear" w:pos="879"/>
          <w:tab w:val="left" w:pos="851"/>
        </w:tabs>
        <w:ind w:left="1701" w:hanging="1418"/>
      </w:pPr>
      <w:r>
        <w:tab/>
        <w:t>Example:</w:t>
      </w:r>
      <w:r>
        <w:tab/>
        <w:t>The record could be a staff roster or staff time sheet.</w:t>
      </w:r>
    </w:p>
    <w:p>
      <w:pPr>
        <w:pStyle w:val="Heading5"/>
      </w:pPr>
      <w:bookmarkStart w:id="301" w:name="_Toc398888296"/>
      <w:r>
        <w:rPr>
          <w:rStyle w:val="CharSectno"/>
        </w:rPr>
        <w:t>152</w:t>
      </w:r>
      <w:r>
        <w:t>.</w:t>
      </w:r>
      <w:r>
        <w:tab/>
        <w:t>Record of access to early childhood teachers</w:t>
      </w:r>
      <w:bookmarkEnd w:id="301"/>
      <w:r>
        <w:t xml:space="preserve"> </w:t>
      </w:r>
    </w:p>
    <w:p>
      <w:pPr>
        <w:pStyle w:val="Subsection"/>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children preschool age or under must ensure that a record is kept of the period that an early childhood teacher is in attendance at the service.</w:t>
      </w:r>
    </w:p>
    <w:p>
      <w:pPr>
        <w:pStyle w:val="Heading4"/>
      </w:pPr>
      <w:bookmarkStart w:id="302" w:name="_Toc397340441"/>
      <w:bookmarkStart w:id="303" w:name="_Toc398887878"/>
      <w:bookmarkStart w:id="304" w:name="_Toc398888297"/>
      <w:r>
        <w:t>Division 10 — Register of family day care educators and records of family day care service</w:t>
      </w:r>
      <w:bookmarkEnd w:id="302"/>
      <w:bookmarkEnd w:id="303"/>
      <w:bookmarkEnd w:id="304"/>
    </w:p>
    <w:p>
      <w:pPr>
        <w:pStyle w:val="Heading5"/>
      </w:pPr>
      <w:bookmarkStart w:id="305" w:name="_Toc398888298"/>
      <w:r>
        <w:rPr>
          <w:rStyle w:val="CharSectno"/>
        </w:rPr>
        <w:t>153</w:t>
      </w:r>
      <w:r>
        <w:t>.</w:t>
      </w:r>
      <w:r>
        <w:tab/>
        <w:t>Register of family day care educators</w:t>
      </w:r>
      <w:bookmarkEnd w:id="305"/>
      <w:r>
        <w:t xml:space="preserve"> </w:t>
      </w:r>
    </w:p>
    <w:p>
      <w:pPr>
        <w:pStyle w:val="Subsection"/>
      </w:pPr>
      <w:r>
        <w:tab/>
      </w:r>
      <w:r>
        <w:tab/>
        <w:t xml:space="preserve">For the purposes of section 269 of the Law, the register of family day care educators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when applicable, the date that the educator ceased to be engaged by or registered with the service, for the period of 3 years following that date;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Indenta"/>
      </w:pPr>
      <w:r>
        <w:tab/>
        <w:t>(h)</w:t>
      </w:r>
      <w:r>
        <w:tab/>
        <w:t>if the educator is a certified supervisor, the number of the supervisor certificate and the date it was granted;</w:t>
      </w:r>
    </w:p>
    <w:p>
      <w:pPr>
        <w:pStyle w:val="Indenta"/>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pPr>
      <w:r>
        <w:tab/>
        <w:t>(l)</w:t>
      </w:r>
      <w:r>
        <w:tab/>
        <w:t>if the educator will be providing education and care to children in a jurisdiction with a working with children law or a working with vulnerable people law, a record of the identifying number of the check conducted or card issued under that law and the expiry date of that check or card (if applicable);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working with children check, working with children card, working with vulnerable people check or criminal history record check or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nominated supervisor of the service.</w:t>
      </w:r>
    </w:p>
    <w:p>
      <w:pPr>
        <w:pStyle w:val="Heading5"/>
      </w:pPr>
      <w:bookmarkStart w:id="306" w:name="_Toc398888299"/>
      <w:r>
        <w:rPr>
          <w:rStyle w:val="CharSectno"/>
        </w:rPr>
        <w:t>154</w:t>
      </w:r>
      <w:r>
        <w:t>.</w:t>
      </w:r>
      <w:r>
        <w:tab/>
        <w:t>Record of staff, family day care co</w:t>
      </w:r>
      <w:r>
        <w:noBreakHyphen/>
        <w:t>ordinators and family day care educator assistants</w:t>
      </w:r>
      <w:bookmarkEnd w:id="306"/>
      <w:r>
        <w:t xml:space="preserve"> </w:t>
      </w:r>
    </w:p>
    <w:p>
      <w:pPr>
        <w:pStyle w:val="Subsection"/>
      </w:pPr>
      <w:r>
        <w:tab/>
      </w:r>
      <w:r>
        <w:tab/>
        <w:t>The approved provider of a family day care service must keep a record of staff, of family day care co</w:t>
      </w:r>
      <w:r>
        <w:noBreakHyphen/>
        <w:t xml:space="preserve">ordinators engaged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the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 and</w:t>
      </w:r>
    </w:p>
    <w:p>
      <w:pPr>
        <w:pStyle w:val="Indenta"/>
      </w:pPr>
      <w:r>
        <w:tab/>
        <w:t>(e)</w:t>
      </w:r>
      <w:r>
        <w:tab/>
        <w:t xml:space="preserve">in relation to each family day care educator assistant approved by the service, the following information — </w:t>
      </w:r>
    </w:p>
    <w:p>
      <w:pPr>
        <w:pStyle w:val="Indenti"/>
      </w:pPr>
      <w:r>
        <w:tab/>
        <w:t>(i)</w:t>
      </w:r>
      <w:r>
        <w:tab/>
        <w:t>the full name, address and date of birth of the educator assistant;</w:t>
      </w:r>
    </w:p>
    <w:p>
      <w:pPr>
        <w:pStyle w:val="Indenti"/>
      </w:pPr>
      <w:r>
        <w:tab/>
        <w:t>(ii)</w:t>
      </w:r>
      <w:r>
        <w:tab/>
        <w:t>the contact details of the educator assistant;</w:t>
      </w:r>
    </w:p>
    <w:p>
      <w:pPr>
        <w:pStyle w:val="Indenti"/>
      </w:pPr>
      <w:r>
        <w:tab/>
        <w:t>(iii)</w:t>
      </w:r>
      <w:r>
        <w:tab/>
        <w:t>the name of the family day care educator to be assisted by the educator assistant;</w:t>
      </w:r>
    </w:p>
    <w:p>
      <w:pPr>
        <w:pStyle w:val="Indenti"/>
      </w:pPr>
      <w:r>
        <w:tab/>
        <w:t>(iv)</w:t>
      </w:r>
      <w:r>
        <w:tab/>
        <w:t>the date that the educator assistant was approved by the service;</w:t>
      </w:r>
    </w:p>
    <w:p>
      <w:pPr>
        <w:pStyle w:val="Indenti"/>
      </w:pPr>
      <w:r>
        <w:tab/>
        <w:t>(v)</w:t>
      </w:r>
      <w:r>
        <w:tab/>
        <w:t>when applicable, the date that the educator assistant ceased to be approved by the service, for the period of 3 years following that date;</w:t>
      </w:r>
    </w:p>
    <w:p>
      <w:pPr>
        <w:pStyle w:val="Indenti"/>
      </w:pPr>
      <w:r>
        <w:tab/>
        <w:t>(vi)</w:t>
      </w:r>
      <w:r>
        <w:tab/>
        <w:t>evidence that the educator assistant has completed first aid qualifications in accordance with regulation 136(3);</w:t>
      </w:r>
    </w:p>
    <w:p>
      <w:pPr>
        <w:pStyle w:val="Indenti"/>
      </w:pPr>
      <w:r>
        <w:tab/>
        <w:t>(vii)</w:t>
      </w:r>
      <w:r>
        <w:tab/>
        <w:t>the identifying number of the current working with children check, working with children card or working with vulnerable people check or record of criminal history or teacher registration of the educator assistant and the date of expiry of that check, card or registration, if applicable;</w:t>
      </w:r>
    </w:p>
    <w:p>
      <w:pPr>
        <w:pStyle w:val="Indenti"/>
      </w:pPr>
      <w:r>
        <w:tab/>
        <w:t>(viii)</w:t>
      </w:r>
      <w:r>
        <w:tab/>
        <w:t>the date that the check, card, record or registration was sighted by the approved provider or nominated supervisor of the family day care service.</w:t>
      </w:r>
    </w:p>
    <w:p>
      <w:pPr>
        <w:pStyle w:val="Heading3"/>
      </w:pPr>
      <w:bookmarkStart w:id="307" w:name="_Toc397340444"/>
      <w:bookmarkStart w:id="308" w:name="_Toc398887881"/>
      <w:bookmarkStart w:id="309" w:name="_Toc398888300"/>
      <w:r>
        <w:rPr>
          <w:rStyle w:val="CharDivNo"/>
        </w:rPr>
        <w:t>Part 4.5</w:t>
      </w:r>
      <w:r>
        <w:t> — </w:t>
      </w:r>
      <w:r>
        <w:rPr>
          <w:rStyle w:val="CharDivText"/>
        </w:rPr>
        <w:t>Relationships with children</w:t>
      </w:r>
      <w:bookmarkEnd w:id="307"/>
      <w:bookmarkEnd w:id="308"/>
      <w:bookmarkEnd w:id="309"/>
    </w:p>
    <w:p>
      <w:pPr>
        <w:pStyle w:val="Heading5"/>
      </w:pPr>
      <w:bookmarkStart w:id="310" w:name="_Toc398888301"/>
      <w:r>
        <w:rPr>
          <w:rStyle w:val="CharSectno"/>
        </w:rPr>
        <w:t>155</w:t>
      </w:r>
      <w:r>
        <w:t>.</w:t>
      </w:r>
      <w:r>
        <w:tab/>
        <w:t>Interactions with children</w:t>
      </w:r>
      <w:bookmarkEnd w:id="310"/>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311" w:name="_Toc398888302"/>
      <w:r>
        <w:rPr>
          <w:rStyle w:val="CharSectno"/>
        </w:rPr>
        <w:t>156</w:t>
      </w:r>
      <w:r>
        <w:t>.</w:t>
      </w:r>
      <w:r>
        <w:tab/>
        <w:t>Relationships in groups</w:t>
      </w:r>
      <w:bookmarkEnd w:id="311"/>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NotesPerm"/>
        <w:tabs>
          <w:tab w:val="clear" w:pos="879"/>
          <w:tab w:val="left" w:pos="851"/>
        </w:tabs>
        <w:ind w:left="1418" w:hanging="1418"/>
      </w:pPr>
      <w:r>
        <w:tab/>
        <w:t>Note:</w:t>
      </w:r>
      <w:r>
        <w:tab/>
        <w:t>A compliance direction may be issued for failure to comply with subregulation (1).</w:t>
      </w:r>
    </w:p>
    <w:p>
      <w:pPr>
        <w:pStyle w:val="Heading3"/>
      </w:pPr>
      <w:bookmarkStart w:id="312" w:name="_Toc397340447"/>
      <w:bookmarkStart w:id="313" w:name="_Toc398887884"/>
      <w:bookmarkStart w:id="314" w:name="_Toc398888303"/>
      <w:r>
        <w:rPr>
          <w:rStyle w:val="CharDivNo"/>
        </w:rPr>
        <w:t>Part 4.6</w:t>
      </w:r>
      <w:r>
        <w:t> — </w:t>
      </w:r>
      <w:r>
        <w:rPr>
          <w:rStyle w:val="CharDivText"/>
        </w:rPr>
        <w:t>Collaborative partnerships with families and communities</w:t>
      </w:r>
      <w:bookmarkEnd w:id="312"/>
      <w:bookmarkEnd w:id="313"/>
      <w:bookmarkEnd w:id="314"/>
    </w:p>
    <w:p>
      <w:pPr>
        <w:pStyle w:val="Heading5"/>
      </w:pPr>
      <w:bookmarkStart w:id="315" w:name="_Toc398888304"/>
      <w:r>
        <w:rPr>
          <w:rStyle w:val="CharSectno"/>
        </w:rPr>
        <w:t>157</w:t>
      </w:r>
      <w:r>
        <w:t>.</w:t>
      </w:r>
      <w:r>
        <w:tab/>
        <w:t>Access for parents</w:t>
      </w:r>
      <w:bookmarkEnd w:id="315"/>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The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spacing w:before="60"/>
      </w:pPr>
      <w:r>
        <w:tab/>
        <w:t>(ii)</w:t>
      </w:r>
      <w:r>
        <w:tab/>
        <w:t>conflict with any duty of the provider, supervisor or educator under the Law;</w:t>
      </w:r>
    </w:p>
    <w:p>
      <w:pPr>
        <w:pStyle w:val="Indenta"/>
        <w:spacing w:before="60"/>
      </w:pPr>
      <w:r>
        <w:tab/>
      </w:r>
      <w:r>
        <w:tab/>
        <w:t>or</w:t>
      </w:r>
    </w:p>
    <w:p>
      <w:pPr>
        <w:pStyle w:val="Indenta"/>
        <w:spacing w:before="60"/>
      </w:pPr>
      <w:r>
        <w:tab/>
        <w:t>(b)</w:t>
      </w:r>
      <w:r>
        <w:tab/>
        <w:t>the provider, supervisor or family day care educator is aware that the parent is prohibited by a court order from having contact with the child.</w:t>
      </w:r>
    </w:p>
    <w:p>
      <w:pPr>
        <w:pStyle w:val="NotesPerm"/>
        <w:tabs>
          <w:tab w:val="clear" w:pos="879"/>
          <w:tab w:val="left" w:pos="851"/>
        </w:tabs>
        <w:spacing w:before="80"/>
        <w:ind w:left="1418" w:hanging="1418"/>
      </w:pPr>
      <w:r>
        <w:tab/>
        <w:t>Notes:</w:t>
      </w:r>
      <w:r>
        <w:tab/>
      </w:r>
    </w:p>
    <w:p>
      <w:pPr>
        <w:pStyle w:val="NotesPerm"/>
        <w:tabs>
          <w:tab w:val="clear" w:pos="879"/>
          <w:tab w:val="left" w:pos="851"/>
        </w:tabs>
        <w:spacing w:before="80"/>
        <w:ind w:left="1418" w:hanging="1418"/>
      </w:pPr>
      <w:r>
        <w:tab/>
        <w:t xml:space="preserve">1 </w:t>
      </w:r>
      <w:r>
        <w:tab/>
        <w:t>A compliance direction may be issued for failure to comply with subregulation (1).</w:t>
      </w:r>
    </w:p>
    <w:p>
      <w:pPr>
        <w:pStyle w:val="NotesPerm"/>
        <w:tabs>
          <w:tab w:val="clear" w:pos="879"/>
          <w:tab w:val="left" w:pos="851"/>
        </w:tabs>
        <w:spacing w:before="80"/>
        <w:ind w:left="1418" w:hanging="1418"/>
      </w:pPr>
      <w:r>
        <w:tab/>
        <w:t xml:space="preserve">2 </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Heading3"/>
      </w:pPr>
      <w:bookmarkStart w:id="316" w:name="_Toc397340449"/>
      <w:bookmarkStart w:id="317" w:name="_Toc398887886"/>
      <w:bookmarkStart w:id="318" w:name="_Toc398888305"/>
      <w:r>
        <w:rPr>
          <w:rStyle w:val="CharDivNo"/>
        </w:rPr>
        <w:t>Part 4.7</w:t>
      </w:r>
      <w:r>
        <w:t> — </w:t>
      </w:r>
      <w:r>
        <w:rPr>
          <w:rStyle w:val="CharDivText"/>
        </w:rPr>
        <w:t>Leadership and service management</w:t>
      </w:r>
      <w:bookmarkEnd w:id="316"/>
      <w:bookmarkEnd w:id="317"/>
      <w:bookmarkEnd w:id="318"/>
    </w:p>
    <w:p>
      <w:pPr>
        <w:pStyle w:val="Heading4"/>
        <w:spacing w:before="200"/>
      </w:pPr>
      <w:bookmarkStart w:id="319" w:name="_Toc397340450"/>
      <w:bookmarkStart w:id="320" w:name="_Toc398887887"/>
      <w:bookmarkStart w:id="321" w:name="_Toc398888306"/>
      <w:r>
        <w:t>Division 1 — Management of services</w:t>
      </w:r>
      <w:bookmarkEnd w:id="319"/>
      <w:bookmarkEnd w:id="320"/>
      <w:bookmarkEnd w:id="321"/>
    </w:p>
    <w:p>
      <w:pPr>
        <w:pStyle w:val="MiscellaneousHeading"/>
        <w:spacing w:before="200"/>
        <w:rPr>
          <w:b/>
        </w:rPr>
      </w:pPr>
      <w:r>
        <w:rPr>
          <w:b/>
        </w:rPr>
        <w:t>Subdivision 1 — Attendance and enrolment records</w:t>
      </w:r>
    </w:p>
    <w:p>
      <w:pPr>
        <w:pStyle w:val="Heading5"/>
        <w:spacing w:before="180"/>
      </w:pPr>
      <w:bookmarkStart w:id="322" w:name="_Toc398888307"/>
      <w:r>
        <w:rPr>
          <w:rStyle w:val="CharSectno"/>
        </w:rPr>
        <w:t>158</w:t>
      </w:r>
      <w:r>
        <w:t>.</w:t>
      </w:r>
      <w:r>
        <w:tab/>
        <w:t>Children’s attendance record to be kept by approved provider</w:t>
      </w:r>
      <w:bookmarkEnd w:id="322"/>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the nominated supervisor or an educator.</w:t>
      </w:r>
    </w:p>
    <w:p>
      <w:pPr>
        <w:pStyle w:val="Subsection"/>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Heading5"/>
        <w:spacing w:before="200"/>
      </w:pPr>
      <w:bookmarkStart w:id="323" w:name="_Toc398888308"/>
      <w:r>
        <w:rPr>
          <w:rStyle w:val="CharSectno"/>
        </w:rPr>
        <w:t>159</w:t>
      </w:r>
      <w:r>
        <w:t>.</w:t>
      </w:r>
      <w:r>
        <w:tab/>
        <w:t>Children’s attendance record to be kept by family day care educator</w:t>
      </w:r>
      <w:bookmarkEnd w:id="323"/>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324" w:name="_Toc398888309"/>
      <w:r>
        <w:rPr>
          <w:rStyle w:val="CharSectno"/>
        </w:rPr>
        <w:t>160</w:t>
      </w:r>
      <w:r>
        <w:t>.</w:t>
      </w:r>
      <w:r>
        <w:tab/>
        <w:t>Child enrolment records to be kept by approved provider and family day care educator</w:t>
      </w:r>
      <w:bookmarkEnd w:id="324"/>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NotesPerm"/>
        <w:tabs>
          <w:tab w:val="clear" w:pos="879"/>
          <w:tab w:val="left" w:pos="851"/>
        </w:tabs>
        <w:spacing w:before="80"/>
        <w:ind w:left="1418" w:hanging="1418"/>
      </w:pPr>
      <w:r>
        <w:tab/>
        <w:t>Note:</w:t>
      </w:r>
      <w:r>
        <w:tab/>
      </w:r>
      <w:r>
        <w:rPr>
          <w:rStyle w:val="CharDefText"/>
        </w:rPr>
        <w:t>Authorised nominee</w:t>
      </w:r>
      <w: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Heading5"/>
      </w:pPr>
      <w:bookmarkStart w:id="325" w:name="_Toc398888310"/>
      <w:r>
        <w:rPr>
          <w:rStyle w:val="CharSectno"/>
        </w:rPr>
        <w:t>161</w:t>
      </w:r>
      <w:r>
        <w:t>.</w:t>
      </w:r>
      <w:r>
        <w:tab/>
        <w:t>Authorisations to be kept in enrolment record</w:t>
      </w:r>
      <w:bookmarkEnd w:id="325"/>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medical treatment of the child, for the approved provider,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w:t>
      </w:r>
    </w:p>
    <w:p>
      <w:pPr>
        <w:pStyle w:val="Heading5"/>
      </w:pPr>
      <w:bookmarkStart w:id="326" w:name="_Toc398888311"/>
      <w:r>
        <w:rPr>
          <w:rStyle w:val="CharSectno"/>
        </w:rPr>
        <w:t>162</w:t>
      </w:r>
      <w:r>
        <w:t>.</w:t>
      </w:r>
      <w:r>
        <w:tab/>
        <w:t>Health information to be kept in enrolment record</w:t>
      </w:r>
      <w:bookmarkEnd w:id="326"/>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w:t>
      </w:r>
    </w:p>
    <w:p>
      <w:pPr>
        <w:pStyle w:val="MiscellaneousHeading"/>
        <w:spacing w:before="300"/>
        <w:rPr>
          <w:b/>
          <w:bCs/>
        </w:rPr>
      </w:pPr>
      <w:r>
        <w:rPr>
          <w:b/>
          <w:bCs/>
        </w:rPr>
        <w:t>Subdivision 2 — Residents at family day care residences and family day care educator assistants</w:t>
      </w:r>
    </w:p>
    <w:p>
      <w:pPr>
        <w:pStyle w:val="Heading5"/>
      </w:pPr>
      <w:bookmarkStart w:id="327" w:name="_Toc398888312"/>
      <w:r>
        <w:rPr>
          <w:rStyle w:val="CharSectno"/>
        </w:rPr>
        <w:t>163</w:t>
      </w:r>
      <w:r>
        <w:t>.</w:t>
      </w:r>
      <w:r>
        <w:tab/>
        <w:t>Residents at family day care residence and family day care educator assistants to be fit and proper persons</w:t>
      </w:r>
      <w:bookmarkEnd w:id="327"/>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safety screening clearance.</w:t>
      </w:r>
    </w:p>
    <w:p>
      <w:pPr>
        <w:pStyle w:val="Subsection"/>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spacing w:before="60"/>
      </w:pPr>
      <w:r>
        <w:tab/>
        <w:t>(b)</w:t>
      </w:r>
      <w:r>
        <w:tab/>
        <w:t xml:space="preserve">has applied for a working with children check or working with children card — </w:t>
      </w:r>
    </w:p>
    <w:p>
      <w:pPr>
        <w:pStyle w:val="Subsection"/>
        <w:spacing w:before="120"/>
      </w:pPr>
      <w:r>
        <w:tab/>
      </w:r>
      <w:r>
        <w:tab/>
        <w:t>the person is taken to hold the check or card until the application is determined.</w:t>
      </w:r>
    </w:p>
    <w:p>
      <w:pPr>
        <w:pStyle w:val="NotesPerm"/>
        <w:tabs>
          <w:tab w:val="clear" w:pos="879"/>
          <w:tab w:val="left" w:pos="851"/>
        </w:tabs>
        <w:spacing w:before="80"/>
        <w:ind w:left="1418" w:hanging="1418"/>
      </w:pPr>
      <w:r>
        <w:tab/>
        <w:t>Note:</w:t>
      </w:r>
      <w:r>
        <w:tab/>
        <w:t>A compliance direction may be issued for failure to comply with subregulation (1) or (2).</w:t>
      </w:r>
    </w:p>
    <w:p>
      <w:pPr>
        <w:pStyle w:val="Footnotesection"/>
        <w:spacing w:before="100"/>
      </w:pPr>
      <w:r>
        <w:tab/>
        <w:t>[Regulation 163 amended in Gazette 13 Dec 2013 p.</w:t>
      </w:r>
      <w:r>
        <w:rPr>
          <w:sz w:val="19"/>
        </w:rPr>
        <w:t> </w:t>
      </w:r>
      <w:r>
        <w:t>6165.]</w:t>
      </w:r>
    </w:p>
    <w:p>
      <w:pPr>
        <w:pStyle w:val="Heading5"/>
      </w:pPr>
      <w:bookmarkStart w:id="328" w:name="_Toc398888313"/>
      <w:r>
        <w:rPr>
          <w:rStyle w:val="CharSectno"/>
        </w:rPr>
        <w:t>164</w:t>
      </w:r>
      <w:r>
        <w:t>.</w:t>
      </w:r>
      <w:r>
        <w:tab/>
        <w:t>Requirement for notice of new persons at residence</w:t>
      </w:r>
      <w:bookmarkEnd w:id="328"/>
      <w:r>
        <w:t xml:space="preserve"> </w:t>
      </w:r>
    </w:p>
    <w:p>
      <w:pPr>
        <w:pStyle w:val="Subsection"/>
        <w:spacing w:before="150"/>
      </w:pPr>
      <w:r>
        <w:tab/>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spacing w:before="60"/>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NotesPerm"/>
        <w:tabs>
          <w:tab w:val="clear" w:pos="879"/>
          <w:tab w:val="left" w:pos="851"/>
        </w:tabs>
        <w:spacing w:before="80"/>
        <w:ind w:left="1418" w:hanging="1418"/>
      </w:pPr>
      <w:r>
        <w:tab/>
        <w:t>Note:</w:t>
      </w:r>
      <w:r>
        <w:tab/>
        <w:t>A compliance direction may be issued for failure to comply with this regulation.</w:t>
      </w:r>
    </w:p>
    <w:p>
      <w:pPr>
        <w:pStyle w:val="Heading5"/>
      </w:pPr>
      <w:bookmarkStart w:id="329" w:name="_Toc398888314"/>
      <w:r>
        <w:rPr>
          <w:rStyle w:val="CharSectno"/>
        </w:rPr>
        <w:t>165</w:t>
      </w:r>
      <w:r>
        <w:t>.</w:t>
      </w:r>
      <w:r>
        <w:tab/>
        <w:t>Record of visitors</w:t>
      </w:r>
      <w:bookmarkEnd w:id="329"/>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330" w:name="_Toc398888315"/>
      <w:r>
        <w:rPr>
          <w:rStyle w:val="CharSectno"/>
        </w:rPr>
        <w:t>166</w:t>
      </w:r>
      <w:r>
        <w:t>.</w:t>
      </w:r>
      <w:r>
        <w:tab/>
        <w:t>Children not to be alone with visitors</w:t>
      </w:r>
      <w:bookmarkEnd w:id="330"/>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spacing w:before="240"/>
        <w:outlineLvl w:val="0"/>
        <w:rPr>
          <w:b/>
          <w:bCs/>
        </w:rPr>
      </w:pPr>
      <w:r>
        <w:rPr>
          <w:b/>
          <w:bCs/>
        </w:rPr>
        <w:t>Subdivision 3 — Record of service’s compliance</w:t>
      </w:r>
    </w:p>
    <w:p>
      <w:pPr>
        <w:pStyle w:val="Heading5"/>
      </w:pPr>
      <w:bookmarkStart w:id="331" w:name="_Toc398888316"/>
      <w:r>
        <w:rPr>
          <w:rStyle w:val="CharSectno"/>
        </w:rPr>
        <w:t>167</w:t>
      </w:r>
      <w:r>
        <w:t>.</w:t>
      </w:r>
      <w:r>
        <w:tab/>
        <w:t>Record of service’s compliance</w:t>
      </w:r>
      <w:bookmarkEnd w:id="331"/>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spacing w:before="280"/>
      </w:pPr>
      <w:bookmarkStart w:id="332" w:name="_Toc397340461"/>
      <w:bookmarkStart w:id="333" w:name="_Toc398887898"/>
      <w:bookmarkStart w:id="334" w:name="_Toc398888317"/>
      <w:r>
        <w:t>Division 2 — Policies and procedures</w:t>
      </w:r>
      <w:bookmarkEnd w:id="332"/>
      <w:bookmarkEnd w:id="333"/>
      <w:bookmarkEnd w:id="334"/>
    </w:p>
    <w:p>
      <w:pPr>
        <w:pStyle w:val="Heading5"/>
      </w:pPr>
      <w:bookmarkStart w:id="335" w:name="_Toc398888318"/>
      <w:r>
        <w:rPr>
          <w:rStyle w:val="CharSectno"/>
        </w:rPr>
        <w:t>168</w:t>
      </w:r>
      <w:r>
        <w:t>.</w:t>
      </w:r>
      <w:r>
        <w:tab/>
        <w:t>Education and care service must have policies and procedures</w:t>
      </w:r>
      <w:bookmarkEnd w:id="335"/>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NotesPerm"/>
        <w:tabs>
          <w:tab w:val="clear" w:pos="879"/>
          <w:tab w:val="left" w:pos="851"/>
        </w:tabs>
        <w:ind w:left="1418" w:hanging="1418"/>
      </w:pPr>
      <w:r>
        <w:tab/>
        <w:t>Note:</w:t>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regulation 99; and</w:t>
      </w:r>
    </w:p>
    <w:p>
      <w:pPr>
        <w:pStyle w:val="Indenti"/>
        <w:spacing w:before="100"/>
      </w:pPr>
      <w:r>
        <w:tab/>
        <w:t>(ii)</w:t>
      </w:r>
      <w:r>
        <w:tab/>
        <w:t xml:space="preserve">for </w:t>
      </w:r>
      <w:smartTag w:uri="urn:schemas-microsoft-com:office:smarttags" w:element="State">
        <w:r>
          <w:t>Western Australia</w:t>
        </w:r>
      </w:smartTag>
      <w:r>
        <w:t xml:space="preserve"> —section 165A of the Law as applying in </w:t>
      </w:r>
      <w:smartTag w:uri="urn:schemas-microsoft-com:office:smarttags" w:element="place">
        <w:smartTag w:uri="urn:schemas-microsoft-com:office:smarttags" w:element="State">
          <w:r>
            <w:t>Western Australia</w:t>
          </w:r>
        </w:smartTag>
      </w:smartTag>
      <w:r>
        <w:t>;</w:t>
      </w:r>
    </w:p>
    <w:p>
      <w:pPr>
        <w:pStyle w:val="Indenta"/>
        <w:spacing w:before="100"/>
      </w:pPr>
      <w:r>
        <w:tab/>
        <w:t>(g)</w:t>
      </w:r>
      <w:r>
        <w:tab/>
        <w:t>excursions, including procedures complying with regulations 100 to 102;</w:t>
      </w:r>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NotesPerm"/>
        <w:tabs>
          <w:tab w:val="clear" w:pos="879"/>
          <w:tab w:val="left" w:pos="851"/>
        </w:tabs>
        <w:ind w:left="1418" w:hanging="1418"/>
      </w:pPr>
      <w:r>
        <w:tab/>
        <w:t>Notes:</w:t>
      </w:r>
    </w:p>
    <w:p>
      <w:pPr>
        <w:pStyle w:val="NotesPerm"/>
        <w:tabs>
          <w:tab w:val="clear" w:pos="879"/>
          <w:tab w:val="left" w:pos="851"/>
        </w:tabs>
        <w:spacing w:before="80"/>
        <w:ind w:left="1418" w:hanging="1418"/>
      </w:pPr>
      <w:r>
        <w:tab/>
        <w:t xml:space="preserve">1 </w:t>
      </w:r>
      <w:r>
        <w:tab/>
        <w:t>A compliance direction may be issued for failure to comply with subregulation (1).</w:t>
      </w:r>
    </w:p>
    <w:p>
      <w:pPr>
        <w:pStyle w:val="NotesPerm"/>
        <w:tabs>
          <w:tab w:val="clear" w:pos="879"/>
          <w:tab w:val="left" w:pos="851"/>
        </w:tabs>
        <w:spacing w:before="80"/>
        <w:ind w:left="1418" w:hanging="1418"/>
      </w:pPr>
      <w:r>
        <w:tab/>
        <w:t xml:space="preserve">2 </w:t>
      </w:r>
      <w:r>
        <w:tab/>
        <w:t>This regulation differs from regulation 168 of the national regulations made by the Ministerial Council.</w:t>
      </w:r>
    </w:p>
    <w:p>
      <w:pPr>
        <w:pStyle w:val="Heading5"/>
      </w:pPr>
      <w:bookmarkStart w:id="336" w:name="_Toc398888319"/>
      <w:r>
        <w:rPr>
          <w:rStyle w:val="CharSectno"/>
        </w:rPr>
        <w:t>169</w:t>
      </w:r>
      <w:r>
        <w:t>.</w:t>
      </w:r>
      <w:r>
        <w:tab/>
        <w:t>Additional policies and procedures — family day care service</w:t>
      </w:r>
      <w:bookmarkEnd w:id="336"/>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assessment and approval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37" w:name="_Toc398888320"/>
      <w:r>
        <w:rPr>
          <w:rStyle w:val="CharSectno"/>
        </w:rPr>
        <w:t>170</w:t>
      </w:r>
      <w:r>
        <w:t>.</w:t>
      </w:r>
      <w:r>
        <w:tab/>
        <w:t>Policies and procedures to be followed</w:t>
      </w:r>
      <w:bookmarkEnd w:id="337"/>
      <w:r>
        <w:t xml:space="preserve"> </w:t>
      </w:r>
    </w:p>
    <w:p>
      <w:pPr>
        <w:pStyle w:val="Subsection"/>
      </w:pPr>
      <w:r>
        <w:tab/>
        <w:t>(1)</w:t>
      </w:r>
      <w:r>
        <w:tab/>
        <w:t>The approved provider of a centre</w:t>
      </w:r>
      <w:r>
        <w:noBreakHyphen/>
        <w:t>based service must take reasonable steps to ensure that the nominated supervisor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the nominated supervisor and staff members of, and family day care educators engaged by or registered with, the service follow the policies and procedures required under regulations 168 and 169.</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338" w:name="_Toc398888321"/>
      <w:r>
        <w:rPr>
          <w:rStyle w:val="CharSectno"/>
        </w:rPr>
        <w:t>171</w:t>
      </w:r>
      <w:r>
        <w:t>.</w:t>
      </w:r>
      <w:r>
        <w:tab/>
        <w:t>Policies and procedures to be kept available</w:t>
      </w:r>
      <w:bookmarkEnd w:id="338"/>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the nominated supervisor,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339" w:name="_Toc398888322"/>
      <w:r>
        <w:rPr>
          <w:rStyle w:val="CharSectno"/>
        </w:rPr>
        <w:t>172</w:t>
      </w:r>
      <w:r>
        <w:t>.</w:t>
      </w:r>
      <w:r>
        <w:tab/>
        <w:t>Notification of change to policies or procedures</w:t>
      </w:r>
      <w:bookmarkEnd w:id="339"/>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NotesPerm"/>
        <w:tabs>
          <w:tab w:val="clear" w:pos="879"/>
          <w:tab w:val="left" w:pos="851"/>
        </w:tabs>
        <w:ind w:left="1418" w:hanging="1418"/>
      </w:pPr>
      <w:r>
        <w:tab/>
        <w:t>Note:</w:t>
      </w:r>
      <w:r>
        <w:tab/>
        <w:t>A compliance direction may be issued for failure to comply with subregulation (1)(b).</w:t>
      </w:r>
    </w:p>
    <w:p>
      <w:pPr>
        <w:pStyle w:val="Heading4"/>
        <w:spacing w:before="220"/>
      </w:pPr>
      <w:bookmarkStart w:id="340" w:name="_Toc397340467"/>
      <w:bookmarkStart w:id="341" w:name="_Toc398887904"/>
      <w:bookmarkStart w:id="342" w:name="_Toc398888323"/>
      <w:r>
        <w:t>Division 3 — Information and record</w:t>
      </w:r>
      <w:r>
        <w:noBreakHyphen/>
        <w:t>keeping requirements</w:t>
      </w:r>
      <w:bookmarkEnd w:id="340"/>
      <w:bookmarkEnd w:id="341"/>
      <w:bookmarkEnd w:id="342"/>
    </w:p>
    <w:p>
      <w:pPr>
        <w:pStyle w:val="MiscellaneousHeading"/>
        <w:spacing w:before="220"/>
        <w:rPr>
          <w:b/>
          <w:bCs/>
        </w:rPr>
      </w:pPr>
      <w:r>
        <w:rPr>
          <w:b/>
          <w:bCs/>
        </w:rPr>
        <w:t>Subdivision 1 — Display and reporting of prescribed information</w:t>
      </w:r>
    </w:p>
    <w:p>
      <w:pPr>
        <w:pStyle w:val="Heading5"/>
      </w:pPr>
      <w:bookmarkStart w:id="343" w:name="_Toc398888324"/>
      <w:r>
        <w:rPr>
          <w:rStyle w:val="CharSectno"/>
        </w:rPr>
        <w:t>173</w:t>
      </w:r>
      <w:r>
        <w:t>.</w:t>
      </w:r>
      <w:r>
        <w:tab/>
        <w:t>Prescribed information to be displayed</w:t>
      </w:r>
      <w:bookmarkEnd w:id="343"/>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 xml:space="preserve">in relation to the nominated supervisor or the prescribed class of persons to which the nominated supervisor belongs — </w:t>
      </w:r>
    </w:p>
    <w:p>
      <w:pPr>
        <w:pStyle w:val="Indenti"/>
      </w:pPr>
      <w:r>
        <w:tab/>
        <w:t>(i)</w:t>
      </w:r>
      <w:r>
        <w:tab/>
        <w:t>the name of the nominated supervisor; or</w:t>
      </w:r>
    </w:p>
    <w:p>
      <w:pPr>
        <w:pStyle w:val="Indenti"/>
      </w:pPr>
      <w:r>
        <w:tab/>
        <w:t>(ii)</w:t>
      </w:r>
      <w:r>
        <w:tab/>
        <w:t>if the nominated supervisor is a member of a prescribed class, the class;</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except in the case of a family day care residence or approved family day care venue,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if applicable, a notice stating that a child who has been diagnosed as at risk of anaphylaxis is enrolled at the education and care service;</w:t>
      </w:r>
    </w:p>
    <w:p>
      <w:pPr>
        <w:pStyle w:val="Indenta"/>
      </w:pPr>
      <w:r>
        <w:tab/>
        <w:t>(g)</w:t>
      </w:r>
      <w:r>
        <w:tab/>
        <w:t>if applicable, a notice of an occurrence of an infectious disease at the education and care service.</w:t>
      </w:r>
    </w:p>
    <w:p>
      <w:pPr>
        <w:pStyle w:val="Heading5"/>
      </w:pPr>
      <w:bookmarkStart w:id="344" w:name="_Toc398888325"/>
      <w:r>
        <w:rPr>
          <w:rStyle w:val="CharSectno"/>
        </w:rPr>
        <w:t>174</w:t>
      </w:r>
      <w:r>
        <w:t>.</w:t>
      </w:r>
      <w:r>
        <w:tab/>
        <w:t>Time to notify certain circumstances to Regulatory Authority</w:t>
      </w:r>
      <w:bookmarkEnd w:id="344"/>
      <w:r>
        <w:t xml:space="preserve"> </w:t>
      </w:r>
    </w:p>
    <w:p>
      <w:pPr>
        <w:pStyle w:val="Subsection"/>
      </w:pPr>
      <w:r>
        <w:tab/>
        <w:t>(1)</w:t>
      </w:r>
      <w:r>
        <w:tab/>
        <w:t>For the purposes of section 173(3) of the Law, a notice must be provided within 14 days of the relevant event or within 14 days of the approved provider becoming aware of the relevant event.</w:t>
      </w:r>
    </w:p>
    <w:p>
      <w:pPr>
        <w:pStyle w:val="Subsection"/>
      </w:pPr>
      <w:r>
        <w:tab/>
        <w:t>(2)</w:t>
      </w:r>
      <w:r>
        <w:tab/>
        <w:t xml:space="preserve">For the purposes of section 173(4) of the Law, a notice must be provided — </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Heading5"/>
      </w:pPr>
      <w:bookmarkStart w:id="345" w:name="_Toc398888326"/>
      <w:r>
        <w:rPr>
          <w:rStyle w:val="CharSectno"/>
        </w:rPr>
        <w:t>175</w:t>
      </w:r>
      <w:r>
        <w:t>.</w:t>
      </w:r>
      <w:r>
        <w:tab/>
        <w:t>Prescribed information to be notified to Regulatory Authority</w:t>
      </w:r>
      <w:bookmarkEnd w:id="345"/>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spacing w:before="70"/>
      </w:pPr>
      <w:r>
        <w:tab/>
        <w:t>(b)</w:t>
      </w:r>
      <w:r>
        <w:tab/>
        <w:t xml:space="preserve">any incident that requires the approved provider to close, or reduce the number of children attending, the education and care service for a period; </w:t>
      </w:r>
    </w:p>
    <w:p>
      <w:pPr>
        <w:pStyle w:val="NotesPerm"/>
        <w:tabs>
          <w:tab w:val="clear" w:pos="879"/>
          <w:tab w:val="left" w:pos="851"/>
        </w:tabs>
        <w:spacing w:before="70"/>
        <w:ind w:left="1843" w:hanging="1843"/>
      </w:pPr>
      <w:r>
        <w:tab/>
        <w:t xml:space="preserve">Example: </w:t>
      </w:r>
      <w: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in the case of a family day care service, any change to the State or Territory in which the family day care service operates;</w:t>
      </w:r>
    </w:p>
    <w:p>
      <w:pPr>
        <w:pStyle w:val="Indenta"/>
      </w:pPr>
      <w:r>
        <w:tab/>
        <w:t>(e)</w:t>
      </w:r>
      <w:r>
        <w:tab/>
        <w:t>in the case of a family day care service, if a new approved family day care venue is added to the service.</w:t>
      </w:r>
    </w:p>
    <w:p>
      <w:pPr>
        <w:pStyle w:val="Footnotesection"/>
      </w:pPr>
      <w:r>
        <w:tab/>
        <w:t>[Regulation 175 amended in Gazette 13 Dec 2013 p.</w:t>
      </w:r>
      <w:r>
        <w:rPr>
          <w:sz w:val="19"/>
        </w:rPr>
        <w:t> </w:t>
      </w:r>
      <w:r>
        <w:t>6166.]</w:t>
      </w:r>
    </w:p>
    <w:p>
      <w:pPr>
        <w:pStyle w:val="Heading5"/>
      </w:pPr>
      <w:bookmarkStart w:id="346" w:name="_Toc398888327"/>
      <w:r>
        <w:rPr>
          <w:rStyle w:val="CharSectno"/>
        </w:rPr>
        <w:t>176</w:t>
      </w:r>
      <w:r>
        <w:t>.</w:t>
      </w:r>
      <w:r>
        <w:tab/>
        <w:t>Time to notify certain information to Regulatory Authority</w:t>
      </w:r>
      <w:bookmarkEnd w:id="346"/>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(c)</w:t>
      </w:r>
      <w:r>
        <w:tab/>
        <w:t>in any other case, within 7 days of the relevant event or within 7 days of the approved provider becoming aware of the relevant information.</w:t>
      </w:r>
    </w:p>
    <w:p>
      <w:pPr>
        <w:pStyle w:val="Footnotesection"/>
      </w:pPr>
      <w:r>
        <w:tab/>
        <w:t>[Regulation 176 amended in Gazette 13 Dec 2013 p.</w:t>
      </w:r>
      <w:r>
        <w:rPr>
          <w:sz w:val="19"/>
        </w:rPr>
        <w:t> </w:t>
      </w:r>
      <w:r>
        <w:t>6166.]</w:t>
      </w:r>
    </w:p>
    <w:p>
      <w:pPr>
        <w:pStyle w:val="MiscellaneousHeading"/>
        <w:outlineLvl w:val="0"/>
        <w:rPr>
          <w:b/>
          <w:bCs/>
        </w:rPr>
      </w:pPr>
      <w:r>
        <w:rPr>
          <w:b/>
          <w:bCs/>
        </w:rPr>
        <w:t>Subdivision 2 — Prescribed records</w:t>
      </w:r>
    </w:p>
    <w:p>
      <w:pPr>
        <w:pStyle w:val="Heading5"/>
      </w:pPr>
      <w:bookmarkStart w:id="347" w:name="_Toc398888328"/>
      <w:r>
        <w:rPr>
          <w:rStyle w:val="CharSectno"/>
        </w:rPr>
        <w:t>177</w:t>
      </w:r>
      <w:r>
        <w:t>.</w:t>
      </w:r>
      <w:r>
        <w:tab/>
        <w:t>Prescribed enrolment and other documents to be kept by approved provider</w:t>
      </w:r>
      <w:bookmarkEnd w:id="347"/>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family day care co</w:t>
      </w:r>
      <w:r>
        <w:noBreakHyphen/>
        <w:t>ordinators engaged by the service and family day care educator assistants approved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certified supervisors placed in day to day charge of the education and care service under section 162 of the Law.</w:t>
      </w:r>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NotesPerm"/>
        <w:tabs>
          <w:tab w:val="clear" w:pos="879"/>
          <w:tab w:val="left" w:pos="851"/>
        </w:tabs>
        <w:ind w:left="1418" w:hanging="1418"/>
      </w:pPr>
      <w:r>
        <w:tab/>
        <w:t>Notes:</w:t>
      </w:r>
      <w:r>
        <w:tab/>
      </w:r>
    </w:p>
    <w:p>
      <w:pPr>
        <w:pStyle w:val="NotesPerm"/>
        <w:tabs>
          <w:tab w:val="clear" w:pos="879"/>
          <w:tab w:val="left" w:pos="851"/>
          <w:tab w:val="left" w:pos="1418"/>
        </w:tabs>
        <w:spacing w:before="80"/>
        <w:ind w:left="1418" w:hanging="1418"/>
      </w:pPr>
      <w:r>
        <w:tab/>
        <w:t>1</w:t>
      </w:r>
      <w:r>
        <w:tab/>
        <w:t>A compliance direction may be issued for failure to comply with subregulation (2) or (3).</w:t>
      </w:r>
    </w:p>
    <w:p>
      <w:pPr>
        <w:pStyle w:val="NotesPerm"/>
        <w:tabs>
          <w:tab w:val="clear" w:pos="879"/>
          <w:tab w:val="left" w:pos="851"/>
        </w:tabs>
        <w:spacing w:before="80"/>
        <w:ind w:left="1418" w:hanging="1418"/>
      </w:pPr>
      <w:r>
        <w:tab/>
        <w:t>2</w:t>
      </w:r>
      <w:r>
        <w:tab/>
        <w:t>This regulation differs from regulation 177 of the national regulations made by the Ministerial Council.</w:t>
      </w:r>
    </w:p>
    <w:p>
      <w:pPr>
        <w:pStyle w:val="Footnotesection"/>
      </w:pPr>
      <w:r>
        <w:tab/>
        <w:t>[Regulation 177 amended in Gazette 5 Mar 2013 p. 1108; 13 Dec 2013 p.</w:t>
      </w:r>
      <w:r>
        <w:rPr>
          <w:sz w:val="19"/>
        </w:rPr>
        <w:t> </w:t>
      </w:r>
      <w:r>
        <w:t>6166</w:t>
      </w:r>
      <w:r>
        <w:noBreakHyphen/>
        <w:t>7.]</w:t>
      </w:r>
    </w:p>
    <w:p>
      <w:pPr>
        <w:pStyle w:val="Heading5"/>
      </w:pPr>
      <w:bookmarkStart w:id="348" w:name="_Toc398888329"/>
      <w:r>
        <w:rPr>
          <w:rStyle w:val="CharSectno"/>
        </w:rPr>
        <w:t>178</w:t>
      </w:r>
      <w:r>
        <w:t>.</w:t>
      </w:r>
      <w:r>
        <w:tab/>
        <w:t>Prescribed enrolment and other documents to be kept by family day care educator</w:t>
      </w:r>
      <w:bookmarkEnd w:id="348"/>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349" w:name="_Toc398888330"/>
      <w:r>
        <w:rPr>
          <w:rStyle w:val="CharSectno"/>
        </w:rPr>
        <w:t>179</w:t>
      </w:r>
      <w:r>
        <w:t>.</w:t>
      </w:r>
      <w:r>
        <w:tab/>
        <w:t>Family day care educator to provide documents on leaving service</w:t>
      </w:r>
      <w:bookmarkEnd w:id="349"/>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spacing w:before="240"/>
        <w:outlineLvl w:val="0"/>
        <w:rPr>
          <w:b/>
          <w:bCs/>
        </w:rPr>
      </w:pPr>
      <w:r>
        <w:rPr>
          <w:b/>
          <w:bCs/>
        </w:rPr>
        <w:t>Subdivision 3 — Insurance information</w:t>
      </w:r>
    </w:p>
    <w:p>
      <w:pPr>
        <w:pStyle w:val="Heading5"/>
        <w:spacing w:before="200"/>
      </w:pPr>
      <w:bookmarkStart w:id="350" w:name="_Toc398888331"/>
      <w:r>
        <w:rPr>
          <w:rStyle w:val="CharSectno"/>
        </w:rPr>
        <w:t>180</w:t>
      </w:r>
      <w:r>
        <w:t>.</w:t>
      </w:r>
      <w:r>
        <w:tab/>
        <w:t>Evidence of prescribed insurance</w:t>
      </w:r>
      <w:bookmarkEnd w:id="350"/>
      <w:r>
        <w:t xml:space="preserve"> </w:t>
      </w:r>
    </w:p>
    <w:p>
      <w:pPr>
        <w:pStyle w:val="Subsection"/>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spacing w:before="240"/>
        <w:outlineLvl w:val="0"/>
        <w:rPr>
          <w:b/>
          <w:bCs/>
        </w:rPr>
      </w:pPr>
      <w:r>
        <w:rPr>
          <w:b/>
          <w:bCs/>
        </w:rPr>
        <w:t>Subdivision 4 — Confidentiality and storage of records</w:t>
      </w:r>
    </w:p>
    <w:p>
      <w:pPr>
        <w:pStyle w:val="Heading5"/>
        <w:spacing w:before="200"/>
      </w:pPr>
      <w:bookmarkStart w:id="351" w:name="_Toc398888332"/>
      <w:r>
        <w:rPr>
          <w:rStyle w:val="CharSectno"/>
        </w:rPr>
        <w:t>181</w:t>
      </w:r>
      <w:r>
        <w:t>.</w:t>
      </w:r>
      <w:r>
        <w:tab/>
        <w:t>Confidentiality of records kept by approved provider</w:t>
      </w:r>
      <w:bookmarkEnd w:id="351"/>
      <w:r>
        <w:t xml:space="preserve"> </w:t>
      </w:r>
    </w:p>
    <w:p>
      <w:pPr>
        <w:pStyle w:val="Subsection"/>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352" w:name="_Toc398888333"/>
      <w:r>
        <w:rPr>
          <w:rStyle w:val="CharSectno"/>
        </w:rPr>
        <w:t>182</w:t>
      </w:r>
      <w:r>
        <w:t>.</w:t>
      </w:r>
      <w:r>
        <w:tab/>
        <w:t>Confidentiality of records kept by family day care educator</w:t>
      </w:r>
      <w:bookmarkEnd w:id="352"/>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Heading5"/>
      </w:pPr>
      <w:bookmarkStart w:id="353" w:name="_Toc398888334"/>
      <w:r>
        <w:rPr>
          <w:rStyle w:val="CharSectno"/>
        </w:rPr>
        <w:t>183</w:t>
      </w:r>
      <w:r>
        <w:t>.</w:t>
      </w:r>
      <w:r>
        <w:tab/>
        <w:t>Storage of records and other documents</w:t>
      </w:r>
      <w:bookmarkEnd w:id="353"/>
      <w:r>
        <w:t xml:space="preserve"> </w:t>
      </w:r>
    </w:p>
    <w:p>
      <w:pPr>
        <w:pStyle w:val="Subsection"/>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the nominated supervisor or staff member of an education and care service, until the end of 3 years after the last date on which the nominated supervisor or staff member provided education and care on behalf of the service;</w:t>
      </w:r>
    </w:p>
    <w:p>
      <w:pPr>
        <w:pStyle w:val="Indenta"/>
      </w:pPr>
      <w:r>
        <w:tab/>
        <w:t>(g)</w:t>
      </w:r>
      <w:r>
        <w:tab/>
        <w:t>in case of any other record, until the end of 3 years after the date on which the record was made.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354" w:name="_Toc398888335"/>
      <w:r>
        <w:rPr>
          <w:rStyle w:val="CharSectno"/>
        </w:rPr>
        <w:t>184</w:t>
      </w:r>
      <w:r>
        <w:t>.</w:t>
      </w:r>
      <w:r>
        <w:tab/>
        <w:t>Storage of records after service approval transferred</w:t>
      </w:r>
      <w:bookmarkEnd w:id="354"/>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spacing w:before="240"/>
        <w:outlineLvl w:val="0"/>
        <w:rPr>
          <w:b/>
          <w:bCs/>
        </w:rPr>
      </w:pPr>
      <w:r>
        <w:rPr>
          <w:b/>
          <w:bCs/>
        </w:rPr>
        <w:t>Subdivision 5 — Law and regulations to be available</w:t>
      </w:r>
    </w:p>
    <w:p>
      <w:pPr>
        <w:pStyle w:val="Heading5"/>
      </w:pPr>
      <w:bookmarkStart w:id="355" w:name="_Toc398888336"/>
      <w:r>
        <w:rPr>
          <w:rStyle w:val="CharSectno"/>
        </w:rPr>
        <w:t>185</w:t>
      </w:r>
      <w:r>
        <w:t>.</w:t>
      </w:r>
      <w:r>
        <w:tab/>
        <w:t>Law and regulations to be available</w:t>
      </w:r>
      <w:bookmarkEnd w:id="355"/>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the nominated supervisor, staff members, volunteers, parents of children enrolled at the service and any person seeking to make use of the service.</w:t>
      </w:r>
    </w:p>
    <w:p>
      <w:pPr>
        <w:pStyle w:val="NotesPerm"/>
        <w:tabs>
          <w:tab w:val="clear" w:pos="879"/>
          <w:tab w:val="left" w:pos="851"/>
        </w:tabs>
        <w:ind w:left="1418" w:hanging="1418"/>
      </w:pPr>
      <w:r>
        <w:tab/>
        <w:t>Note:</w:t>
      </w:r>
      <w:r>
        <w:tab/>
        <w:t>A compliance direction may be issued for failure to comply with this regulation.</w:t>
      </w:r>
    </w:p>
    <w:p>
      <w:pPr>
        <w:pStyle w:val="Heading2"/>
      </w:pPr>
      <w:bookmarkStart w:id="356" w:name="_Toc397340481"/>
      <w:bookmarkStart w:id="357" w:name="_Toc398887918"/>
      <w:bookmarkStart w:id="358" w:name="_Toc398888337"/>
      <w:r>
        <w:rPr>
          <w:rStyle w:val="CharPartNo"/>
          <w:szCs w:val="34"/>
        </w:rPr>
        <w:t>Chapter 5</w:t>
      </w:r>
      <w:r>
        <w:t> — </w:t>
      </w:r>
      <w:r>
        <w:rPr>
          <w:rStyle w:val="CharPartText"/>
        </w:rPr>
        <w:t>Review, enforcement and compliance</w:t>
      </w:r>
      <w:bookmarkEnd w:id="356"/>
      <w:bookmarkEnd w:id="357"/>
      <w:bookmarkEnd w:id="358"/>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359" w:name="_Toc397340482"/>
      <w:bookmarkStart w:id="360" w:name="_Toc398887919"/>
      <w:bookmarkStart w:id="361" w:name="_Toc398888338"/>
      <w:r>
        <w:rPr>
          <w:rStyle w:val="CharDivNo"/>
        </w:rPr>
        <w:t>Part 5.1</w:t>
      </w:r>
      <w:r>
        <w:t> — </w:t>
      </w:r>
      <w:r>
        <w:rPr>
          <w:rStyle w:val="CharDivText"/>
        </w:rPr>
        <w:t>Internal review</w:t>
      </w:r>
      <w:bookmarkEnd w:id="359"/>
      <w:bookmarkEnd w:id="360"/>
      <w:bookmarkEnd w:id="361"/>
    </w:p>
    <w:p>
      <w:pPr>
        <w:pStyle w:val="Heading5"/>
      </w:pPr>
      <w:bookmarkStart w:id="362" w:name="_Toc398888339"/>
      <w:r>
        <w:rPr>
          <w:rStyle w:val="CharSectno"/>
        </w:rPr>
        <w:t>186</w:t>
      </w:r>
      <w:r>
        <w:t>.</w:t>
      </w:r>
      <w:r>
        <w:tab/>
        <w:t>Application for internal review of reviewable decision</w:t>
      </w:r>
      <w:bookmarkEnd w:id="362"/>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service approval number or supervisor certificate number to which the reviewable decision relates;</w:t>
      </w:r>
    </w:p>
    <w:p>
      <w:pPr>
        <w:pStyle w:val="Indenta"/>
      </w:pPr>
      <w:r>
        <w:tab/>
        <w:t>(d)</w:t>
      </w:r>
      <w:r>
        <w:tab/>
        <w:t>the full name of the person to whom the provider approval, service approval or supervisor certificate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Heading3"/>
      </w:pPr>
      <w:bookmarkStart w:id="363" w:name="_Toc397340484"/>
      <w:bookmarkStart w:id="364" w:name="_Toc398887921"/>
      <w:bookmarkStart w:id="365" w:name="_Toc398888340"/>
      <w:r>
        <w:rPr>
          <w:rStyle w:val="CharDivNo"/>
        </w:rPr>
        <w:t>Part 5.2</w:t>
      </w:r>
      <w:r>
        <w:t> — </w:t>
      </w:r>
      <w:r>
        <w:rPr>
          <w:rStyle w:val="CharDivText"/>
        </w:rPr>
        <w:t>Enforcement and compliance</w:t>
      </w:r>
      <w:bookmarkEnd w:id="363"/>
      <w:bookmarkEnd w:id="364"/>
      <w:bookmarkEnd w:id="365"/>
    </w:p>
    <w:p>
      <w:pPr>
        <w:pStyle w:val="Heading5"/>
      </w:pPr>
      <w:bookmarkStart w:id="366" w:name="_Toc398888341"/>
      <w:r>
        <w:rPr>
          <w:rStyle w:val="CharSectno"/>
        </w:rPr>
        <w:t>187</w:t>
      </w:r>
      <w:r>
        <w:t>.</w:t>
      </w:r>
      <w:r>
        <w:tab/>
        <w:t>Prescribed form of identity card</w:t>
      </w:r>
      <w:bookmarkEnd w:id="366"/>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367" w:name="_Toc398888342"/>
      <w:r>
        <w:rPr>
          <w:rStyle w:val="CharSectno"/>
        </w:rPr>
        <w:t>188</w:t>
      </w:r>
      <w:r>
        <w:t>.</w:t>
      </w:r>
      <w:r>
        <w:tab/>
        <w:t>Compliance directions</w:t>
      </w:r>
      <w:bookmarkEnd w:id="367"/>
      <w:r>
        <w:t xml:space="preserve"> </w:t>
      </w:r>
    </w:p>
    <w:p>
      <w:pPr>
        <w:pStyle w:val="Subsection"/>
      </w:pPr>
      <w:r>
        <w:tab/>
      </w:r>
      <w:r>
        <w:tab/>
        <w:t>The provisions of the regulations set out in Schedule 3 are prescribed for the purposes of section 176 of the Law.</w:t>
      </w:r>
    </w:p>
    <w:p>
      <w:pPr>
        <w:pStyle w:val="Heading5"/>
      </w:pPr>
      <w:bookmarkStart w:id="368" w:name="_Toc398888343"/>
      <w:r>
        <w:rPr>
          <w:rStyle w:val="CharSectno"/>
        </w:rPr>
        <w:t>189</w:t>
      </w:r>
      <w:r>
        <w:t>.</w:t>
      </w:r>
      <w:r>
        <w:tab/>
        <w:t>Application to cancel prohibition notice</w:t>
      </w:r>
      <w:bookmarkEnd w:id="368"/>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NotesPerm"/>
        <w:tabs>
          <w:tab w:val="clear" w:pos="879"/>
          <w:tab w:val="left" w:pos="851"/>
        </w:tabs>
        <w:ind w:left="1418" w:hanging="1418"/>
      </w:pPr>
      <w:r>
        <w:tab/>
        <w:t>Note:</w:t>
      </w:r>
      <w:r>
        <w:tab/>
        <w:t>Section 186(4) and (5) of the Law set out additional statements that may be included in the application.</w:t>
      </w:r>
    </w:p>
    <w:p>
      <w:pPr>
        <w:pStyle w:val="Heading5"/>
      </w:pPr>
      <w:bookmarkStart w:id="369" w:name="_Toc398888344"/>
      <w:r>
        <w:rPr>
          <w:rStyle w:val="CharSectno"/>
        </w:rPr>
        <w:t>190</w:t>
      </w:r>
      <w:r>
        <w:t>.</w:t>
      </w:r>
      <w:r>
        <w:tab/>
        <w:t>Infringement offences</w:t>
      </w:r>
      <w:bookmarkEnd w:id="369"/>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t>
      </w:r>
      <w:smartTag w:uri="urn:schemas-microsoft-com:office:smarttags" w:element="place">
        <w:smartTag w:uri="urn:schemas-microsoft-com:office:smarttags" w:element="State">
          <w:r>
            <w:t>Western Australia</w:t>
          </w:r>
        </w:smartTag>
      </w:smartTag>
      <w:r>
        <w:t xml:space="preserve">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NotesPerm"/>
        <w:tabs>
          <w:tab w:val="clear" w:pos="879"/>
          <w:tab w:val="left" w:pos="851"/>
        </w:tabs>
        <w:ind w:left="1418" w:hanging="1418"/>
      </w:pPr>
      <w:r>
        <w:tab/>
        <w:t>Notes:</w:t>
      </w:r>
    </w:p>
    <w:p>
      <w:pPr>
        <w:pStyle w:val="NotesPerm"/>
        <w:tabs>
          <w:tab w:val="clear" w:pos="879"/>
          <w:tab w:val="left" w:pos="851"/>
        </w:tabs>
        <w:ind w:left="1418" w:hanging="1418"/>
      </w:pPr>
      <w:r>
        <w:tab/>
        <w:t>1</w:t>
      </w:r>
      <w:r>
        <w:tab/>
        <w:t>This regulation differs from regulation 190 of the national regulations made by the Ministerial Council.</w:t>
      </w:r>
    </w:p>
    <w:p>
      <w:pPr>
        <w:pStyle w:val="NotesPerm"/>
        <w:tabs>
          <w:tab w:val="clear" w:pos="879"/>
          <w:tab w:val="left" w:pos="851"/>
        </w:tabs>
        <w:ind w:left="1418" w:hanging="1418"/>
      </w:pPr>
      <w:r>
        <w:tab/>
        <w:t>2</w:t>
      </w:r>
      <w:r>
        <w:tab/>
        <w:t xml:space="preserve">The infringements law for </w:t>
      </w:r>
      <w:smartTag w:uri="urn:schemas-microsoft-com:office:smarttags" w:element="State">
        <w:r>
          <w:t>Western Australia</w:t>
        </w:r>
      </w:smartTag>
      <w:r>
        <w:t xml:space="preserve"> is Part 2 of the </w:t>
      </w:r>
      <w:r>
        <w:rPr>
          <w:i/>
        </w:rPr>
        <w:t>Criminal Procedure Act 2004</w:t>
      </w:r>
      <w:r>
        <w:t xml:space="preserve"> of </w:t>
      </w:r>
      <w:smartTag w:uri="urn:schemas-microsoft-com:office:smarttags" w:element="place">
        <w:smartTag w:uri="urn:schemas-microsoft-com:office:smarttags" w:element="State">
          <w:r>
            <w:t>Western Australia</w:t>
          </w:r>
        </w:smartTag>
      </w:smartTag>
      <w:r>
        <w:t>.</w:t>
      </w:r>
    </w:p>
    <w:p>
      <w:pPr>
        <w:pStyle w:val="Heading5"/>
      </w:pPr>
      <w:bookmarkStart w:id="370" w:name="_Toc398888345"/>
      <w:r>
        <w:rPr>
          <w:rStyle w:val="CharSectno"/>
        </w:rPr>
        <w:t>191</w:t>
      </w:r>
      <w:r>
        <w:t>.</w:t>
      </w:r>
      <w:r>
        <w:tab/>
        <w:t>False or misleading information or documents</w:t>
      </w:r>
      <w:bookmarkEnd w:id="370"/>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371" w:name="_Toc397340490"/>
      <w:bookmarkStart w:id="372" w:name="_Toc398887927"/>
      <w:bookmarkStart w:id="373" w:name="_Toc398888346"/>
      <w:r>
        <w:rPr>
          <w:rStyle w:val="CharPartNo"/>
        </w:rPr>
        <w:t>Chapter 6</w:t>
      </w:r>
      <w:r>
        <w:t> — </w:t>
      </w:r>
      <w:r>
        <w:rPr>
          <w:rStyle w:val="CharPartText"/>
        </w:rPr>
        <w:t>Administration</w:t>
      </w:r>
      <w:bookmarkEnd w:id="371"/>
      <w:bookmarkEnd w:id="372"/>
      <w:bookmarkEnd w:id="373"/>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374" w:name="_Toc397340491"/>
      <w:bookmarkStart w:id="375" w:name="_Toc398887928"/>
      <w:bookmarkStart w:id="376" w:name="_Toc398888347"/>
      <w:r>
        <w:rPr>
          <w:rStyle w:val="CharDivNo"/>
        </w:rPr>
        <w:t>Part 6.1</w:t>
      </w:r>
      <w:r>
        <w:t> — </w:t>
      </w:r>
      <w:r>
        <w:rPr>
          <w:rStyle w:val="CharDivText"/>
        </w:rPr>
        <w:t>Australian Children’s Education and Care Quality Authority</w:t>
      </w:r>
      <w:bookmarkEnd w:id="374"/>
      <w:bookmarkEnd w:id="375"/>
      <w:bookmarkEnd w:id="376"/>
    </w:p>
    <w:p>
      <w:pPr>
        <w:pStyle w:val="Heading5"/>
      </w:pPr>
      <w:bookmarkStart w:id="377" w:name="_Toc398888348"/>
      <w:r>
        <w:rPr>
          <w:rStyle w:val="CharSectno"/>
        </w:rPr>
        <w:t>192</w:t>
      </w:r>
      <w:r>
        <w:t>.</w:t>
      </w:r>
      <w:r>
        <w:tab/>
        <w:t>Co</w:t>
      </w:r>
      <w:r>
        <w:noBreakHyphen/>
        <w:t>operation with prescribed classes of body</w:t>
      </w:r>
      <w:bookmarkEnd w:id="377"/>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378" w:name="_Toc398888349"/>
      <w:r>
        <w:rPr>
          <w:rStyle w:val="CharSectno"/>
        </w:rPr>
        <w:t>193</w:t>
      </w:r>
      <w:r>
        <w:t>.</w:t>
      </w:r>
      <w:r>
        <w:tab/>
        <w:t>Allocating, transferring or reimbursing money to a participating jurisdiction</w:t>
      </w:r>
      <w:bookmarkEnd w:id="378"/>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379" w:name="_Toc398888350"/>
      <w:r>
        <w:rPr>
          <w:rStyle w:val="CharSectno"/>
        </w:rPr>
        <w:t>194</w:t>
      </w:r>
      <w:r>
        <w:t>.</w:t>
      </w:r>
      <w:r>
        <w:tab/>
        <w:t>Investment of Authority Fund</w:t>
      </w:r>
      <w:bookmarkEnd w:id="379"/>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380" w:name="_Toc397340495"/>
      <w:bookmarkStart w:id="381" w:name="_Toc398887932"/>
      <w:bookmarkStart w:id="382" w:name="_Toc398888351"/>
      <w:r>
        <w:rPr>
          <w:rStyle w:val="CharDivNo"/>
        </w:rPr>
        <w:t>Part 6.2</w:t>
      </w:r>
      <w:r>
        <w:t> — </w:t>
      </w:r>
      <w:r>
        <w:rPr>
          <w:rStyle w:val="CharDivText"/>
        </w:rPr>
        <w:t>Information, records and privacy — National Authority and Regulatory Authorities</w:t>
      </w:r>
      <w:bookmarkEnd w:id="380"/>
      <w:bookmarkEnd w:id="381"/>
      <w:bookmarkEnd w:id="382"/>
    </w:p>
    <w:p>
      <w:pPr>
        <w:pStyle w:val="Heading4"/>
      </w:pPr>
      <w:bookmarkStart w:id="383" w:name="_Toc397340496"/>
      <w:bookmarkStart w:id="384" w:name="_Toc398887933"/>
      <w:bookmarkStart w:id="385" w:name="_Toc398888352"/>
      <w:r>
        <w:t xml:space="preserve">Division 1 — Application of Commonwealth </w:t>
      </w:r>
      <w:r>
        <w:rPr>
          <w:i/>
        </w:rPr>
        <w:t>Privacy Act 1988</w:t>
      </w:r>
      <w:bookmarkEnd w:id="383"/>
      <w:bookmarkEnd w:id="384"/>
      <w:bookmarkEnd w:id="385"/>
    </w:p>
    <w:p>
      <w:pPr>
        <w:pStyle w:val="Heading5"/>
      </w:pPr>
      <w:bookmarkStart w:id="386" w:name="_Toc398888353"/>
      <w:r>
        <w:rPr>
          <w:rStyle w:val="CharSectno"/>
        </w:rPr>
        <w:t>195</w:t>
      </w:r>
      <w:r>
        <w:t>.</w:t>
      </w:r>
      <w:r>
        <w:tab/>
        <w:t xml:space="preserve">Application of Commonwealth </w:t>
      </w:r>
      <w:r>
        <w:rPr>
          <w:i/>
        </w:rPr>
        <w:t>Privacy Act 1988</w:t>
      </w:r>
      <w:bookmarkEnd w:id="386"/>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387" w:name="_Toc398888354"/>
      <w:r>
        <w:rPr>
          <w:rStyle w:val="CharSectno"/>
        </w:rPr>
        <w:t>196</w:t>
      </w:r>
      <w:r>
        <w:t>.</w:t>
      </w:r>
      <w:r>
        <w:tab/>
        <w:t>Modifications relating to National Education and Care Services Privacy Commissioner and staff</w:t>
      </w:r>
      <w:bookmarkEnd w:id="387"/>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388" w:name="_Toc398888355"/>
      <w:r>
        <w:rPr>
          <w:rStyle w:val="CharSectno"/>
        </w:rPr>
        <w:t>197</w:t>
      </w:r>
      <w:r>
        <w:t>.</w:t>
      </w:r>
      <w:r>
        <w:tab/>
        <w:t>Modifications about financial matters</w:t>
      </w:r>
      <w:bookmarkEnd w:id="388"/>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389" w:name="_Toc398888356"/>
      <w:r>
        <w:rPr>
          <w:rStyle w:val="CharSectno"/>
        </w:rPr>
        <w:t>198</w:t>
      </w:r>
      <w:r>
        <w:t>.</w:t>
      </w:r>
      <w:r>
        <w:tab/>
        <w:t>Modifications about annual report</w:t>
      </w:r>
      <w:bookmarkEnd w:id="389"/>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390" w:name="_Toc398888357"/>
      <w:r>
        <w:rPr>
          <w:rStyle w:val="CharSectno"/>
        </w:rPr>
        <w:t>199</w:t>
      </w:r>
      <w:r>
        <w:t>.</w:t>
      </w:r>
      <w:r>
        <w:tab/>
        <w:t>Modifications relating to National Authority and Regulatory Authorities</w:t>
      </w:r>
      <w:bookmarkEnd w:id="390"/>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391" w:name="_Toc398888358"/>
      <w:r>
        <w:rPr>
          <w:rStyle w:val="CharSectno"/>
        </w:rPr>
        <w:t>200</w:t>
      </w:r>
      <w:r>
        <w:t>.</w:t>
      </w:r>
      <w:r>
        <w:tab/>
        <w:t>Modifications relating to determinations</w:t>
      </w:r>
      <w:bookmarkEnd w:id="391"/>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392" w:name="_Toc398888359"/>
      <w:r>
        <w:rPr>
          <w:rStyle w:val="CharSectno"/>
        </w:rPr>
        <w:t>201</w:t>
      </w:r>
      <w:r>
        <w:t>.</w:t>
      </w:r>
      <w:r>
        <w:tab/>
        <w:t>Miscellaneous modifications</w:t>
      </w:r>
      <w:bookmarkEnd w:id="392"/>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393" w:name="_Toc398888360"/>
      <w:r>
        <w:rPr>
          <w:rStyle w:val="CharSectno"/>
        </w:rPr>
        <w:t>202</w:t>
      </w:r>
      <w:r>
        <w:t>.</w:t>
      </w:r>
      <w:r>
        <w:tab/>
        <w:t>Relevant administrative tribunal</w:t>
      </w:r>
      <w:bookmarkEnd w:id="393"/>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394" w:name="_Toc398888361"/>
      <w:r>
        <w:rPr>
          <w:rStyle w:val="CharSectno"/>
        </w:rPr>
        <w:t>203</w:t>
      </w:r>
      <w:r>
        <w:t>.</w:t>
      </w:r>
      <w:r>
        <w:tab/>
        <w:t>Regulations</w:t>
      </w:r>
      <w:bookmarkEnd w:id="394"/>
      <w:r>
        <w:t xml:space="preserve"> </w:t>
      </w:r>
    </w:p>
    <w:p>
      <w:pPr>
        <w:pStyle w:val="Subsection"/>
      </w:pPr>
      <w:r>
        <w:tab/>
      </w:r>
      <w:r>
        <w:tab/>
        <w:t>The regulations made under the Privacy Act do not apply.</w:t>
      </w:r>
    </w:p>
    <w:p>
      <w:pPr>
        <w:pStyle w:val="Heading4"/>
      </w:pPr>
      <w:bookmarkStart w:id="395" w:name="_Toc397340506"/>
      <w:bookmarkStart w:id="396" w:name="_Toc398887943"/>
      <w:bookmarkStart w:id="397" w:name="_Toc398888362"/>
      <w:r>
        <w:t xml:space="preserve">Division 2 — Application of Commonwealth </w:t>
      </w:r>
      <w:r>
        <w:rPr>
          <w:i/>
        </w:rPr>
        <w:t>Freedom of Information Act 1982</w:t>
      </w:r>
      <w:bookmarkEnd w:id="395"/>
      <w:bookmarkEnd w:id="396"/>
      <w:bookmarkEnd w:id="397"/>
    </w:p>
    <w:p>
      <w:pPr>
        <w:pStyle w:val="Heading5"/>
      </w:pPr>
      <w:bookmarkStart w:id="398" w:name="_Toc398888363"/>
      <w:r>
        <w:rPr>
          <w:rStyle w:val="CharSectno"/>
        </w:rPr>
        <w:t>204</w:t>
      </w:r>
      <w:r>
        <w:t>.</w:t>
      </w:r>
      <w:r>
        <w:tab/>
        <w:t>Application of Commonwealth</w:t>
      </w:r>
      <w:r>
        <w:rPr>
          <w:i/>
        </w:rPr>
        <w:t xml:space="preserve"> Freedom of Information Act 1982</w:t>
      </w:r>
      <w:bookmarkEnd w:id="398"/>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399" w:name="_Toc398888364"/>
      <w:r>
        <w:rPr>
          <w:rStyle w:val="CharSectno"/>
        </w:rPr>
        <w:t>205</w:t>
      </w:r>
      <w:r>
        <w:t>.</w:t>
      </w:r>
      <w:r>
        <w:tab/>
        <w:t>Modifications relating to National Education and Care Services Freedom of Information Commissioner and staff</w:t>
      </w:r>
      <w:bookmarkEnd w:id="399"/>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400" w:name="_Toc398888365"/>
      <w:r>
        <w:rPr>
          <w:rStyle w:val="CharSectno"/>
        </w:rPr>
        <w:t>206</w:t>
      </w:r>
      <w:r>
        <w:t>.</w:t>
      </w:r>
      <w:r>
        <w:tab/>
        <w:t>Modifications about financial matters</w:t>
      </w:r>
      <w:bookmarkEnd w:id="400"/>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401" w:name="_Toc398888366"/>
      <w:r>
        <w:rPr>
          <w:rStyle w:val="CharSectno"/>
        </w:rPr>
        <w:t>207</w:t>
      </w:r>
      <w:r>
        <w:t>.</w:t>
      </w:r>
      <w:r>
        <w:tab/>
        <w:t>Modifications about annual report</w:t>
      </w:r>
      <w:bookmarkEnd w:id="401"/>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402" w:name="_Toc398888367"/>
      <w:r>
        <w:rPr>
          <w:rStyle w:val="CharSectno"/>
        </w:rPr>
        <w:t>208</w:t>
      </w:r>
      <w:r>
        <w:t>.</w:t>
      </w:r>
      <w:r>
        <w:tab/>
        <w:t>Modifications relating to National Authority and Regulatory Authorities</w:t>
      </w:r>
      <w:bookmarkEnd w:id="402"/>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 and</w:t>
      </w:r>
    </w:p>
    <w:p>
      <w:pPr>
        <w:pStyle w:val="Indenta"/>
      </w:pPr>
      <w:r>
        <w:tab/>
        <w:t>(e)</w:t>
      </w:r>
      <w:r>
        <w:tab/>
        <w:t xml:space="preserve">the requirement to publish information about the following is a requirement for an agency to publish the information — </w:t>
      </w:r>
    </w:p>
    <w:p>
      <w:pPr>
        <w:pStyle w:val="Indenti"/>
      </w:pPr>
      <w:r>
        <w:tab/>
        <w:t>(i)</w:t>
      </w:r>
      <w:r>
        <w:tab/>
        <w:t>information concerning the functions and documents of the agency; and</w:t>
      </w:r>
    </w:p>
    <w:p>
      <w:pPr>
        <w:pStyle w:val="Indenti"/>
      </w:pPr>
      <w:r>
        <w:tab/>
        <w:t>(ii)</w:t>
      </w:r>
      <w:r>
        <w:tab/>
        <w:t>the addresses of offices that are to be Information Access Offices for the purposes of the Act;</w:t>
      </w:r>
    </w:p>
    <w:p>
      <w:pPr>
        <w:pStyle w:val="Indenta"/>
      </w:pPr>
      <w:r>
        <w:tab/>
      </w:r>
      <w:r>
        <w:tab/>
        <w:t>and</w:t>
      </w:r>
    </w:p>
    <w:p>
      <w:pPr>
        <w:pStyle w:val="Indenta"/>
      </w:pPr>
      <w:r>
        <w:tab/>
        <w:t>(f)</w:t>
      </w:r>
      <w:r>
        <w:tab/>
        <w:t>the requirement to first publish the information referred to in paragraph (e) is a requirement for an agency to publish the information as soon as practicable after the scheme commencement date but not later than 12 months after that commencement date.</w:t>
      </w:r>
    </w:p>
    <w:p>
      <w:pPr>
        <w:pStyle w:val="Footnotesection"/>
      </w:pPr>
      <w:r>
        <w:tab/>
        <w:t>[Regulation 208 amended in Gazette 13 Dec 2013 p.</w:t>
      </w:r>
      <w:r>
        <w:rPr>
          <w:sz w:val="19"/>
        </w:rPr>
        <w:t> </w:t>
      </w:r>
      <w:r>
        <w:t>6167.]</w:t>
      </w:r>
    </w:p>
    <w:p>
      <w:pPr>
        <w:pStyle w:val="Heading5"/>
        <w:spacing w:before="500"/>
      </w:pPr>
      <w:bookmarkStart w:id="403" w:name="_Toc398888368"/>
      <w:r>
        <w:rPr>
          <w:rStyle w:val="CharSectno"/>
        </w:rPr>
        <w:t>209</w:t>
      </w:r>
      <w:r>
        <w:t>.</w:t>
      </w:r>
      <w:r>
        <w:tab/>
        <w:t>Miscellaneous modifications</w:t>
      </w:r>
      <w:bookmarkEnd w:id="403"/>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 xml:space="preserve">General of </w:t>
      </w:r>
      <w:smartTag w:uri="urn:schemas-microsoft-com:office:smarttags" w:element="PersonName">
        <w:r>
          <w:t>Intelligence</w:t>
        </w:r>
      </w:smartTag>
      <w:r>
        <w:t xml:space="preserv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(k)</w:t>
      </w:r>
      <w:r>
        <w:tab/>
        <w:t>with any other modifications that are necessary for the effective administration of the FOI Act for the purposes of the National Quality Framework.</w:t>
      </w:r>
    </w:p>
    <w:p>
      <w:pPr>
        <w:pStyle w:val="Heading5"/>
      </w:pPr>
      <w:bookmarkStart w:id="404" w:name="_Toc398888369"/>
      <w:r>
        <w:rPr>
          <w:rStyle w:val="CharSectno"/>
        </w:rPr>
        <w:t>210</w:t>
      </w:r>
      <w:r>
        <w:t>.</w:t>
      </w:r>
      <w:r>
        <w:tab/>
        <w:t>Relevant administrative tribunal</w:t>
      </w:r>
      <w:bookmarkEnd w:id="404"/>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405" w:name="_Toc398888370"/>
      <w:r>
        <w:rPr>
          <w:rStyle w:val="CharSectno"/>
        </w:rPr>
        <w:t>211</w:t>
      </w:r>
      <w:r>
        <w:t>.</w:t>
      </w:r>
      <w:r>
        <w:tab/>
        <w:t>Regulations</w:t>
      </w:r>
      <w:bookmarkEnd w:id="405"/>
      <w:r>
        <w:t xml:space="preserve"> </w:t>
      </w:r>
    </w:p>
    <w:p>
      <w:pPr>
        <w:pStyle w:val="Subsection"/>
      </w:pPr>
      <w:r>
        <w:tab/>
      </w:r>
      <w:r>
        <w:tab/>
        <w:t>The regulations made under the FOI Act, other than the provisions providing for fees and charges, do not apply.</w:t>
      </w:r>
    </w:p>
    <w:p>
      <w:pPr>
        <w:pStyle w:val="Heading4"/>
        <w:rPr>
          <w:i/>
        </w:rPr>
      </w:pPr>
      <w:bookmarkStart w:id="406" w:name="_Toc397340515"/>
      <w:bookmarkStart w:id="407" w:name="_Toc398887952"/>
      <w:bookmarkStart w:id="408" w:name="_Toc398888371"/>
      <w:r>
        <w:t xml:space="preserve">Division 3 — Application of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bookmarkEnd w:id="406"/>
      <w:bookmarkEnd w:id="407"/>
      <w:bookmarkEnd w:id="408"/>
    </w:p>
    <w:p>
      <w:pPr>
        <w:pStyle w:val="Heading5"/>
      </w:pPr>
      <w:bookmarkStart w:id="409" w:name="_Toc398888372"/>
      <w:r>
        <w:rPr>
          <w:rStyle w:val="CharSectno"/>
        </w:rPr>
        <w:t>212</w:t>
      </w:r>
      <w:r>
        <w:t>.</w:t>
      </w:r>
      <w:r>
        <w:tab/>
        <w:t>Application of State Records Act</w:t>
      </w:r>
      <w:bookmarkEnd w:id="409"/>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410" w:name="_Toc398888373"/>
      <w:r>
        <w:rPr>
          <w:rStyle w:val="CharSectno"/>
        </w:rPr>
        <w:t>213</w:t>
      </w:r>
      <w:r>
        <w:t>.</w:t>
      </w:r>
      <w:r>
        <w:tab/>
        <w:t>Modifications relating to State Records Authority and its Board and Director</w:t>
      </w:r>
      <w:bookmarkEnd w:id="410"/>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411" w:name="_Toc398888374"/>
      <w:r>
        <w:rPr>
          <w:rStyle w:val="CharSectno"/>
        </w:rPr>
        <w:t>214</w:t>
      </w:r>
      <w:r>
        <w:t>.</w:t>
      </w:r>
      <w:r>
        <w:tab/>
        <w:t>Modifications relating to National Authority</w:t>
      </w:r>
      <w:bookmarkEnd w:id="411"/>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412" w:name="_Toc398888375"/>
      <w:r>
        <w:rPr>
          <w:rStyle w:val="CharSectno"/>
        </w:rPr>
        <w:t>215</w:t>
      </w:r>
      <w:r>
        <w:t>.</w:t>
      </w:r>
      <w:r>
        <w:tab/>
        <w:t>Modifications relating to Ministerial Council</w:t>
      </w:r>
      <w:bookmarkEnd w:id="412"/>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413" w:name="_Toc398888376"/>
      <w:r>
        <w:rPr>
          <w:rStyle w:val="CharSectno"/>
        </w:rPr>
        <w:t>216</w:t>
      </w:r>
      <w:r>
        <w:t>.</w:t>
      </w:r>
      <w:r>
        <w:tab/>
        <w:t>Miscellaneous modifications</w:t>
      </w:r>
      <w:bookmarkEnd w:id="413"/>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 xml:space="preserve">as if a reference in section 19 to the State were a reference to </w:t>
      </w:r>
      <w:smartTag w:uri="urn:schemas-microsoft-com:office:smarttags" w:element="place">
        <w:smartTag w:uri="urn:schemas-microsoft-com:office:smarttags" w:element="State">
          <w:r>
            <w:t>New South Wales</w:t>
          </w:r>
        </w:smartTag>
      </w:smartTag>
      <w:r>
        <w:t>;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w:t>
      </w:r>
      <w:smartTag w:uri="urn:schemas-microsoft-com:office:smarttags" w:element="place">
        <w:smartTag w:uri="urn:schemas-microsoft-com:office:smarttags" w:element="State">
          <w:r>
            <w:t>Queensland</w:t>
          </w:r>
        </w:smartTag>
      </w:smartTag>
      <w:r>
        <w:t>;</w:t>
      </w:r>
    </w:p>
    <w:p>
      <w:pPr>
        <w:pStyle w:val="Indenti"/>
      </w:pPr>
      <w:r>
        <w:tab/>
        <w:t>(ii)</w:t>
      </w:r>
      <w:r>
        <w:tab/>
        <w:t>the Anti</w:t>
      </w:r>
      <w:r>
        <w:noBreakHyphen/>
        <w:t>Corruption Branch of the South Australia Police;</w:t>
      </w:r>
    </w:p>
    <w:p>
      <w:pPr>
        <w:pStyle w:val="Indenti"/>
      </w:pPr>
      <w:r>
        <w:tab/>
        <w:t>(iii)</w:t>
      </w:r>
      <w:r>
        <w:tab/>
        <w:t xml:space="preserve">the Integrity Commission of </w:t>
      </w:r>
      <w:smartTag w:uri="urn:schemas-microsoft-com:office:smarttags" w:element="State">
        <w:r>
          <w:t>Tasmania</w:t>
        </w:r>
      </w:smartTag>
      <w:r>
        <w:t xml:space="preserve">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and Crime Commission Act 2003</w:t>
      </w:r>
      <w:r>
        <w:t xml:space="preserve"> of </w:t>
      </w:r>
      <w:smartTag w:uri="urn:schemas-microsoft-com:office:smarttags" w:element="place">
        <w:smartTag w:uri="urn:schemas-microsoft-com:office:smarttags" w:element="State">
          <w:r>
            <w:t>Western Australia</w:t>
          </w:r>
        </w:smartTag>
      </w:smartTag>
      <w:r>
        <w:t>;</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Heading5"/>
      </w:pPr>
      <w:bookmarkStart w:id="414" w:name="_Toc398888377"/>
      <w:r>
        <w:rPr>
          <w:rStyle w:val="CharSectno"/>
        </w:rPr>
        <w:t>217</w:t>
      </w:r>
      <w:r>
        <w:t>.</w:t>
      </w:r>
      <w:r>
        <w:tab/>
        <w:t>Regulations</w:t>
      </w:r>
      <w:bookmarkEnd w:id="414"/>
      <w:r>
        <w:t xml:space="preserve"> </w:t>
      </w:r>
    </w:p>
    <w:p>
      <w:pPr>
        <w:pStyle w:val="Subsection"/>
      </w:pPr>
      <w:r>
        <w:tab/>
      </w:r>
      <w:r>
        <w:tab/>
        <w:t>The regulations made under the State Records Act do not apply.</w:t>
      </w:r>
    </w:p>
    <w:p>
      <w:pPr>
        <w:pStyle w:val="Heading4"/>
      </w:pPr>
      <w:bookmarkStart w:id="415" w:name="_Toc397340522"/>
      <w:bookmarkStart w:id="416" w:name="_Toc398887959"/>
      <w:bookmarkStart w:id="417" w:name="_Toc398888378"/>
      <w:r>
        <w:t xml:space="preserve">Division 4 — Application of Commonwealth </w:t>
      </w:r>
      <w:r>
        <w:rPr>
          <w:i/>
        </w:rPr>
        <w:t>Ombudsman Act 1976</w:t>
      </w:r>
      <w:bookmarkEnd w:id="415"/>
      <w:bookmarkEnd w:id="416"/>
      <w:bookmarkEnd w:id="417"/>
    </w:p>
    <w:p>
      <w:pPr>
        <w:pStyle w:val="Heading5"/>
      </w:pPr>
      <w:bookmarkStart w:id="418" w:name="_Toc398888379"/>
      <w:r>
        <w:rPr>
          <w:rStyle w:val="CharSectno"/>
        </w:rPr>
        <w:t>218</w:t>
      </w:r>
      <w:r>
        <w:t>.</w:t>
      </w:r>
      <w:r>
        <w:tab/>
        <w:t>Application of Commonwealth Ombudsman Act</w:t>
      </w:r>
      <w:bookmarkEnd w:id="418"/>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419" w:name="_Toc398888380"/>
      <w:r>
        <w:rPr>
          <w:rStyle w:val="CharSectno"/>
        </w:rPr>
        <w:t>219</w:t>
      </w:r>
      <w:r>
        <w:t>.</w:t>
      </w:r>
      <w:r>
        <w:tab/>
        <w:t>Modifications relating to Education and Care Services Ombudsman and staff</w:t>
      </w:r>
      <w:bookmarkEnd w:id="419"/>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and the appointment of an acting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Heading5"/>
      </w:pPr>
      <w:bookmarkStart w:id="420" w:name="_Toc398888381"/>
      <w:r>
        <w:rPr>
          <w:rStyle w:val="CharSectno"/>
        </w:rPr>
        <w:t>220</w:t>
      </w:r>
      <w:r>
        <w:t>.</w:t>
      </w:r>
      <w:r>
        <w:tab/>
        <w:t>Modifications about financial matters</w:t>
      </w:r>
      <w:bookmarkEnd w:id="420"/>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421" w:name="_Toc398888382"/>
      <w:r>
        <w:rPr>
          <w:rStyle w:val="CharSectno"/>
        </w:rPr>
        <w:t>221</w:t>
      </w:r>
      <w:r>
        <w:t>.</w:t>
      </w:r>
      <w:r>
        <w:tab/>
        <w:t>Modifications about annual report</w:t>
      </w:r>
      <w:bookmarkEnd w:id="421"/>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422" w:name="_Toc398888383"/>
      <w:r>
        <w:rPr>
          <w:rStyle w:val="CharSectno"/>
        </w:rPr>
        <w:t>222</w:t>
      </w:r>
      <w:r>
        <w:t>.</w:t>
      </w:r>
      <w:r>
        <w:tab/>
        <w:t>Modifications relating to National Authority and Regulatory Authorities</w:t>
      </w:r>
      <w:bookmarkEnd w:id="422"/>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423" w:name="_Toc398888384"/>
      <w:r>
        <w:rPr>
          <w:rStyle w:val="CharSectno"/>
        </w:rPr>
        <w:t>223</w:t>
      </w:r>
      <w:r>
        <w:t>.</w:t>
      </w:r>
      <w:r>
        <w:tab/>
        <w:t>Miscellaneous modifications</w:t>
      </w:r>
      <w:bookmarkEnd w:id="423"/>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424" w:name="_Toc398888385"/>
      <w:r>
        <w:rPr>
          <w:rStyle w:val="CharSectno"/>
        </w:rPr>
        <w:t>224</w:t>
      </w:r>
      <w:r>
        <w:t>.</w:t>
      </w:r>
      <w:r>
        <w:tab/>
        <w:t>Relevant administrative tribunal</w:t>
      </w:r>
      <w:bookmarkEnd w:id="424"/>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spacing w:before="60"/>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425" w:name="_Toc398888386"/>
      <w:r>
        <w:rPr>
          <w:rStyle w:val="CharSectno"/>
        </w:rPr>
        <w:t>225</w:t>
      </w:r>
      <w:r>
        <w:t>.</w:t>
      </w:r>
      <w:r>
        <w:tab/>
        <w:t>Regulations</w:t>
      </w:r>
      <w:bookmarkEnd w:id="425"/>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426" w:name="_Toc397340531"/>
      <w:bookmarkStart w:id="427" w:name="_Toc398887968"/>
      <w:bookmarkStart w:id="428" w:name="_Toc398888387"/>
      <w:r>
        <w:t>Division 5 — Publication of information</w:t>
      </w:r>
      <w:bookmarkEnd w:id="426"/>
      <w:bookmarkEnd w:id="427"/>
      <w:bookmarkEnd w:id="428"/>
    </w:p>
    <w:p>
      <w:pPr>
        <w:pStyle w:val="Heading5"/>
      </w:pPr>
      <w:bookmarkStart w:id="429" w:name="_Toc398888388"/>
      <w:r>
        <w:rPr>
          <w:rStyle w:val="CharSectno"/>
        </w:rPr>
        <w:t>226</w:t>
      </w:r>
      <w:r>
        <w:t>.</w:t>
      </w:r>
      <w:r>
        <w:tab/>
        <w:t>Publication of information</w:t>
      </w:r>
      <w:bookmarkEnd w:id="429"/>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430" w:name="_Toc398888389"/>
      <w:r>
        <w:rPr>
          <w:rStyle w:val="CharSectno"/>
        </w:rPr>
        <w:t>227</w:t>
      </w:r>
      <w:r>
        <w:t>.</w:t>
      </w:r>
      <w:r>
        <w:tab/>
        <w:t>Compliance and enforcement information</w:t>
      </w:r>
      <w:bookmarkEnd w:id="430"/>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service approval or supervisor certificate;</w:t>
      </w:r>
    </w:p>
    <w:p>
      <w:pPr>
        <w:pStyle w:val="Indenta"/>
      </w:pPr>
      <w:r>
        <w:tab/>
        <w:t>(e)</w:t>
      </w:r>
      <w:r>
        <w:tab/>
        <w:t>an amendment made to a provider approval, service approval or supervisor certificate for purposes of enforcement.</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spacing w:before="52"/>
      </w:pPr>
      <w:r>
        <w:tab/>
        <w:t>(iv)</w:t>
      </w:r>
      <w:r>
        <w:tab/>
        <w:t>for an individual, the name of the individual and the individual’s supervisor certificate number, if relevant;</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 xml:space="preserve">for the amendment of a provider approval, service approval or supervisor certificate —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 xml:space="preserve">for a suspension of a provider approval, service approval or supervisor certificate —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service approval or supervisor certificate,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NotesPerm"/>
        <w:keepNext/>
        <w:keepLines/>
        <w:tabs>
          <w:tab w:val="clear" w:pos="879"/>
          <w:tab w:val="left" w:pos="851"/>
        </w:tabs>
        <w:ind w:left="1418" w:hanging="1418"/>
      </w:pPr>
      <w:r>
        <w:tab/>
        <w:t>Notes:</w:t>
      </w:r>
    </w:p>
    <w:p>
      <w:pPr>
        <w:pStyle w:val="NotesPerm"/>
        <w:keepNext/>
        <w:keepLines/>
        <w:tabs>
          <w:tab w:val="clear" w:pos="879"/>
          <w:tab w:val="left" w:pos="851"/>
        </w:tabs>
        <w:spacing w:before="80"/>
        <w:ind w:left="1418" w:hanging="1418"/>
      </w:pPr>
      <w:r>
        <w:tab/>
        <w:t xml:space="preserve">1 </w:t>
      </w:r>
      <w:r>
        <w:tab/>
        <w:t>This regulation differs from regulation 227 of the national regulations made by the Ministerial Council.</w:t>
      </w:r>
    </w:p>
    <w:p>
      <w:pPr>
        <w:pStyle w:val="NotesPerm"/>
        <w:keepLines/>
        <w:tabs>
          <w:tab w:val="clear" w:pos="879"/>
          <w:tab w:val="left" w:pos="851"/>
        </w:tabs>
        <w:spacing w:before="80"/>
        <w:ind w:left="1418" w:hanging="1418"/>
      </w:pPr>
      <w:r>
        <w:tab/>
        <w:t xml:space="preserve">2 </w:t>
      </w:r>
      <w:r>
        <w:tab/>
        <w:t>Section 270(6) of the Law further restricts the publication of identifying information.</w:t>
      </w:r>
    </w:p>
    <w:p>
      <w:pPr>
        <w:pStyle w:val="Footnotesection"/>
      </w:pPr>
      <w:r>
        <w:tab/>
        <w:t>[Regulation 227 amended in Gazette 5 Mar 2013 p. 1108</w:t>
      </w:r>
      <w:r>
        <w:noBreakHyphen/>
        <w:t>9; 13 Dec 2013 p.</w:t>
      </w:r>
      <w:r>
        <w:rPr>
          <w:sz w:val="19"/>
        </w:rPr>
        <w:t> </w:t>
      </w:r>
      <w:r>
        <w:t>6167</w:t>
      </w:r>
      <w:r>
        <w:noBreakHyphen/>
        <w:t>8.]</w:t>
      </w:r>
    </w:p>
    <w:p>
      <w:pPr>
        <w:pStyle w:val="Heading5"/>
      </w:pPr>
      <w:bookmarkStart w:id="431" w:name="_Toc398888390"/>
      <w:r>
        <w:rPr>
          <w:rStyle w:val="CharSectno"/>
        </w:rPr>
        <w:t>228</w:t>
      </w:r>
      <w:r>
        <w:t>.</w:t>
      </w:r>
      <w:r>
        <w:tab/>
        <w:t>Timing of publication where internal or external review of enforcement action is available</w:t>
      </w:r>
      <w:bookmarkEnd w:id="431"/>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432" w:name="_Toc397340535"/>
      <w:bookmarkStart w:id="433" w:name="_Toc398887972"/>
      <w:bookmarkStart w:id="434" w:name="_Toc398888391"/>
      <w:r>
        <w:t>Division 6 — Registers</w:t>
      </w:r>
      <w:bookmarkEnd w:id="432"/>
      <w:bookmarkEnd w:id="433"/>
      <w:bookmarkEnd w:id="434"/>
    </w:p>
    <w:p>
      <w:pPr>
        <w:pStyle w:val="Heading5"/>
      </w:pPr>
      <w:bookmarkStart w:id="435" w:name="_Toc398888392"/>
      <w:r>
        <w:rPr>
          <w:rStyle w:val="CharSectno"/>
        </w:rPr>
        <w:t>229</w:t>
      </w:r>
      <w:r>
        <w:t>.</w:t>
      </w:r>
      <w:r>
        <w:tab/>
        <w:t>Register of approved providers</w:t>
      </w:r>
      <w:bookmarkEnd w:id="435"/>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436" w:name="_Toc398888393"/>
      <w:r>
        <w:rPr>
          <w:rStyle w:val="CharSectno"/>
        </w:rPr>
        <w:t>230</w:t>
      </w:r>
      <w:r>
        <w:t>.</w:t>
      </w:r>
      <w:r>
        <w:tab/>
        <w:t>Register of approved education and care services</w:t>
      </w:r>
      <w:bookmarkEnd w:id="436"/>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Heading5"/>
      </w:pPr>
      <w:bookmarkStart w:id="437" w:name="_Toc398888394"/>
      <w:r>
        <w:rPr>
          <w:rStyle w:val="CharSectno"/>
        </w:rPr>
        <w:t>231</w:t>
      </w:r>
      <w:r>
        <w:t>.</w:t>
      </w:r>
      <w:r>
        <w:tab/>
        <w:t>Register of certified supervisors</w:t>
      </w:r>
      <w:bookmarkEnd w:id="437"/>
      <w:r>
        <w:t xml:space="preserve"> </w:t>
      </w:r>
    </w:p>
    <w:p>
      <w:pPr>
        <w:pStyle w:val="Subsection"/>
      </w:pPr>
      <w:r>
        <w:tab/>
      </w:r>
      <w:r>
        <w:tab/>
        <w:t xml:space="preserve">For the purposes of section 268 of the Law, the following information must be included in the register of certified supervisors in respect of each supervisor — </w:t>
      </w:r>
    </w:p>
    <w:p>
      <w:pPr>
        <w:pStyle w:val="Indenta"/>
      </w:pPr>
      <w:r>
        <w:tab/>
        <w:t>(a)</w:t>
      </w:r>
      <w:r>
        <w:tab/>
        <w:t xml:space="preserve">if the supervisor is in a prescribed class of persons — </w:t>
      </w:r>
    </w:p>
    <w:p>
      <w:pPr>
        <w:pStyle w:val="Indenti"/>
      </w:pPr>
      <w:r>
        <w:tab/>
        <w:t>(i)</w:t>
      </w:r>
      <w:r>
        <w:tab/>
        <w:t>the prescribed class to which the certified supervisor belongs; and</w:t>
      </w:r>
    </w:p>
    <w:p>
      <w:pPr>
        <w:pStyle w:val="Indenti"/>
      </w:pPr>
      <w:r>
        <w:tab/>
        <w:t>(ii)</w:t>
      </w:r>
      <w:r>
        <w:tab/>
        <w:t>the name of the relevant approved education and care service; and</w:t>
      </w:r>
    </w:p>
    <w:p>
      <w:pPr>
        <w:pStyle w:val="Indenti"/>
      </w:pPr>
      <w:r>
        <w:tab/>
        <w:t>(iii)</w:t>
      </w:r>
      <w:r>
        <w:tab/>
        <w:t>the name of the school that provides the relevant education and care service (if different from the name of the approved education and care service);</w:t>
      </w:r>
    </w:p>
    <w:p>
      <w:pPr>
        <w:pStyle w:val="Indenta"/>
      </w:pPr>
      <w:r>
        <w:tab/>
        <w:t>(b)</w:t>
      </w:r>
      <w:r>
        <w:tab/>
        <w:t>the date the certified supervisor was granted a supervisor certificate;</w:t>
      </w:r>
    </w:p>
    <w:p>
      <w:pPr>
        <w:pStyle w:val="Indenta"/>
      </w:pPr>
      <w:r>
        <w:tab/>
        <w:t>(c)</w:t>
      </w:r>
      <w:r>
        <w:tab/>
        <w:t>the supervisor certificate number.</w:t>
      </w:r>
    </w:p>
    <w:p>
      <w:pPr>
        <w:pStyle w:val="Heading3"/>
      </w:pPr>
      <w:bookmarkStart w:id="438" w:name="_Toc397340539"/>
      <w:bookmarkStart w:id="439" w:name="_Toc398887976"/>
      <w:bookmarkStart w:id="440" w:name="_Toc398888395"/>
      <w:r>
        <w:rPr>
          <w:rStyle w:val="CharDivNo"/>
        </w:rPr>
        <w:t>Part 6.3</w:t>
      </w:r>
      <w:r>
        <w:t> — </w:t>
      </w:r>
      <w:r>
        <w:rPr>
          <w:rStyle w:val="CharDivText"/>
        </w:rPr>
        <w:t>Fees</w:t>
      </w:r>
      <w:bookmarkEnd w:id="438"/>
      <w:bookmarkEnd w:id="439"/>
      <w:bookmarkEnd w:id="440"/>
    </w:p>
    <w:p>
      <w:pPr>
        <w:pStyle w:val="Heading5"/>
      </w:pPr>
      <w:bookmarkStart w:id="441" w:name="_Toc398888396"/>
      <w:r>
        <w:rPr>
          <w:rStyle w:val="CharSectno"/>
        </w:rPr>
        <w:t>232</w:t>
      </w:r>
      <w:r>
        <w:t>.</w:t>
      </w:r>
      <w:r>
        <w:tab/>
        <w:t>Prescribed fees</w:t>
      </w:r>
      <w:bookmarkEnd w:id="441"/>
      <w:r>
        <w:t xml:space="preserve"> </w:t>
      </w:r>
    </w:p>
    <w:p>
      <w:pPr>
        <w:pStyle w:val="Subsection"/>
      </w:pPr>
      <w:r>
        <w:tab/>
      </w:r>
      <w:r>
        <w:tab/>
        <w:t>The prescribed fee payable under a provision of the Law is the relevant fee in Schedule 2 in relation to that provision of the Law.</w:t>
      </w:r>
    </w:p>
    <w:p>
      <w:pPr>
        <w:pStyle w:val="NotesPerm"/>
        <w:tabs>
          <w:tab w:val="clear" w:pos="879"/>
          <w:tab w:val="left" w:pos="851"/>
        </w:tabs>
        <w:ind w:left="1418" w:hanging="1418"/>
      </w:pPr>
      <w:r>
        <w:tab/>
        <w:t>Note:</w:t>
      </w:r>
      <w:r>
        <w:tab/>
        <w:t>See also regulations 138 and 139, which also provide for the payment of fees.</w:t>
      </w:r>
    </w:p>
    <w:p>
      <w:pPr>
        <w:pStyle w:val="Heading5"/>
      </w:pPr>
      <w:bookmarkStart w:id="442" w:name="_Toc398888397"/>
      <w:r>
        <w:rPr>
          <w:rStyle w:val="CharSectno"/>
        </w:rPr>
        <w:t>233</w:t>
      </w:r>
      <w:r>
        <w:t>.</w:t>
      </w:r>
      <w:r>
        <w:tab/>
        <w:t>Late payment fees (annual fees)</w:t>
      </w:r>
      <w:bookmarkEnd w:id="442"/>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of the relevant annual fee prescribed for the purposes of regulation 33.</w:t>
      </w:r>
    </w:p>
    <w:p>
      <w:pPr>
        <w:pStyle w:val="Heading5"/>
      </w:pPr>
      <w:bookmarkStart w:id="443" w:name="_Toc398888398"/>
      <w:r>
        <w:rPr>
          <w:rStyle w:val="CharSectno"/>
        </w:rPr>
        <w:t>234</w:t>
      </w:r>
      <w:r>
        <w:t>.</w:t>
      </w:r>
      <w:r>
        <w:tab/>
        <w:t>Waiver, reduction, deferral and refund of fees</w:t>
      </w:r>
      <w:bookmarkEnd w:id="443"/>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444" w:name="_Toc398888399"/>
      <w:r>
        <w:rPr>
          <w:rStyle w:val="CharSectno"/>
        </w:rPr>
        <w:t>235</w:t>
      </w:r>
      <w:r>
        <w:t>.</w:t>
      </w:r>
      <w:r>
        <w:tab/>
        <w:t>Indexation of fees</w:t>
      </w:r>
      <w:bookmarkEnd w:id="444"/>
      <w:r>
        <w:t xml:space="preserve"> </w:t>
      </w:r>
    </w:p>
    <w:p>
      <w:pPr>
        <w:pStyle w:val="Subsection"/>
      </w:pPr>
      <w:r>
        <w:tab/>
        <w:t>(1)</w:t>
      </w:r>
      <w:r>
        <w:tab/>
        <w:t>If a fee is required to be paid under the Law or these Regulations before 1 July 2013, the amount of the fee is the amount prescribed in these Regulations for the relevant matter.</w:t>
      </w:r>
    </w:p>
    <w:p>
      <w:pPr>
        <w:pStyle w:val="Subsection"/>
      </w:pPr>
      <w:r>
        <w:tab/>
        <w:t>(2)</w:t>
      </w:r>
      <w:r>
        <w:tab/>
        <w:t xml:space="preserve">If a fee is required to be paid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tab/>
        <w:t>(c)</w:t>
      </w:r>
      <w:r>
        <w:tab/>
        <w:t>round the result down to the nearest whole dollar.</w:t>
      </w:r>
    </w:p>
    <w:p>
      <w:pPr>
        <w:pStyle w:val="NotesPerm"/>
        <w:tabs>
          <w:tab w:val="clear" w:pos="879"/>
          <w:tab w:val="left" w:pos="851"/>
        </w:tabs>
        <w:ind w:left="1701" w:hanging="1701"/>
      </w:pPr>
      <w:r>
        <w:tab/>
        <w:t>Example:</w:t>
      </w:r>
      <w:r>
        <w:tab/>
        <w:t>An indexed fee for an application for a provider approval for the year starting 1 July 2013 would be worked out by multiplying $200 (the fee payable in the previous year) by the indexation factor for 2013</w:t>
      </w:r>
      <w:r>
        <w:noBreakHyphen/>
        <w:t>2014 worked out under subregulation (3), and then rounding the result down.</w:t>
      </w:r>
    </w:p>
    <w:p>
      <w:pPr>
        <w:pStyle w:val="Subsection"/>
      </w:pPr>
      <w:r>
        <w:tab/>
        <w:t>(3)</w:t>
      </w:r>
      <w:r>
        <w:tab/>
        <w:t xml:space="preserve">The indexation factor is worked out using the following formula — </w:t>
      </w:r>
    </w:p>
    <w:p>
      <w:pPr>
        <w:pStyle w:val="Equation"/>
        <w:spacing w:before="160"/>
        <w:jc w:val="center"/>
      </w:pPr>
      <w:r>
        <w:rPr>
          <w:position w:val="-24"/>
        </w:rPr>
        <w:object w:dxaOrig="4500" w:dyaOrig="540">
          <v:shape id="_x0000_i1026" type="#_x0000_t75" style="width:225pt;height:27pt" o:ole="">
            <v:imagedata r:id="rId24" o:title=""/>
          </v:shape>
          <o:OLEObject Type="Embed" ProgID="Equation.3" ShapeID="_x0000_i1026" DrawAspect="Content" ObjectID="_1645134920" r:id="rId25"/>
        </w:object>
      </w:r>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keepNext/>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Heading5"/>
      </w:pPr>
      <w:bookmarkStart w:id="445" w:name="_Toc398888400"/>
      <w:r>
        <w:rPr>
          <w:rStyle w:val="CharSectno"/>
        </w:rPr>
        <w:t>236</w:t>
      </w:r>
      <w:r>
        <w:t>.</w:t>
      </w:r>
      <w:r>
        <w:tab/>
        <w:t>Publication of indexed fees</w:t>
      </w:r>
      <w:bookmarkEnd w:id="445"/>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446" w:name="_Toc397340545"/>
      <w:bookmarkStart w:id="447" w:name="_Toc398887982"/>
      <w:bookmarkStart w:id="448" w:name="_Toc398888401"/>
      <w:r>
        <w:rPr>
          <w:rStyle w:val="CharDivNo"/>
        </w:rPr>
        <w:t>Part 6.4</w:t>
      </w:r>
      <w:r>
        <w:t> — </w:t>
      </w:r>
      <w:r>
        <w:rPr>
          <w:rStyle w:val="CharDivText"/>
        </w:rPr>
        <w:t>Delegations</w:t>
      </w:r>
      <w:bookmarkEnd w:id="446"/>
      <w:bookmarkEnd w:id="447"/>
      <w:bookmarkEnd w:id="448"/>
    </w:p>
    <w:p>
      <w:pPr>
        <w:pStyle w:val="Heading5"/>
      </w:pPr>
      <w:bookmarkStart w:id="449" w:name="_Toc398888402"/>
      <w:r>
        <w:rPr>
          <w:rStyle w:val="CharSectno"/>
        </w:rPr>
        <w:t>237</w:t>
      </w:r>
      <w:r>
        <w:t>.</w:t>
      </w:r>
      <w:r>
        <w:tab/>
        <w:t>Delegation</w:t>
      </w:r>
      <w:bookmarkEnd w:id="449"/>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 xml:space="preserve">the Catholic Education Commission of </w:t>
      </w:r>
      <w:smartTag w:uri="urn:schemas-microsoft-com:office:smarttags" w:element="place">
        <w:smartTag w:uri="urn:schemas-microsoft-com:office:smarttags" w:element="State">
          <w:r>
            <w:t>Western Australia</w:t>
          </w:r>
        </w:smartTag>
      </w:smartTag>
      <w:r>
        <w:t>.</w:t>
      </w:r>
    </w:p>
    <w:p>
      <w:pPr>
        <w:pStyle w:val="Heading2"/>
      </w:pPr>
      <w:bookmarkStart w:id="450" w:name="_Toc397340547"/>
      <w:bookmarkStart w:id="451" w:name="_Toc398887984"/>
      <w:bookmarkStart w:id="452" w:name="_Toc398888403"/>
      <w:r>
        <w:rPr>
          <w:rStyle w:val="CharPartNo"/>
        </w:rPr>
        <w:t>Chapter 7</w:t>
      </w:r>
      <w:r>
        <w:t> — </w:t>
      </w:r>
      <w:r>
        <w:rPr>
          <w:rStyle w:val="CharPartText"/>
        </w:rPr>
        <w:t>Jurisdiction</w:t>
      </w:r>
      <w:r>
        <w:rPr>
          <w:rStyle w:val="CharPartText"/>
        </w:rPr>
        <w:noBreakHyphen/>
        <w:t>specific and transitional and saving provisions</w:t>
      </w:r>
      <w:bookmarkEnd w:id="450"/>
      <w:bookmarkEnd w:id="451"/>
      <w:bookmarkEnd w:id="452"/>
    </w:p>
    <w:p>
      <w:pPr>
        <w:pStyle w:val="MiscellaneousBody"/>
      </w:pPr>
      <w:r>
        <w:t>This Chapter contains transitional and saving provisions and provisions that relate to specific jurisdictions.</w:t>
      </w:r>
    </w:p>
    <w:p>
      <w:pPr>
        <w:pStyle w:val="MiscellaneousBody"/>
        <w:spacing w:before="140"/>
      </w:pPr>
      <w:r>
        <w:rPr>
          <w:b/>
        </w:rPr>
        <w:t>Part 7.1</w:t>
      </w:r>
      <w:r>
        <w:t xml:space="preserve"> contains general transitional and saving provisions.</w:t>
      </w:r>
    </w:p>
    <w:p>
      <w:pPr>
        <w:pStyle w:val="MiscellaneousBody"/>
        <w:spacing w:before="140"/>
      </w:pPr>
      <w:r>
        <w:rPr>
          <w:b/>
        </w:rPr>
        <w:t>Part 7.2</w:t>
      </w:r>
      <w:r>
        <w:t xml:space="preserve"> contains provisions relating to the </w:t>
      </w:r>
      <w:smartTag w:uri="urn:schemas-microsoft-com:office:smarttags" w:element="place">
        <w:smartTag w:uri="urn:schemas-microsoft-com:office:smarttags" w:element="State">
          <w:r>
            <w:t>Australian Capital Territory</w:t>
          </w:r>
        </w:smartTag>
      </w:smartTag>
      <w:r>
        <w:t>.</w:t>
      </w:r>
    </w:p>
    <w:p>
      <w:pPr>
        <w:pStyle w:val="MiscellaneousBody"/>
        <w:spacing w:before="140"/>
      </w:pPr>
      <w:r>
        <w:rPr>
          <w:b/>
        </w:rPr>
        <w:t>Part 7.3</w:t>
      </w:r>
      <w:r>
        <w:t xml:space="preserve"> contains provisions relating to </w:t>
      </w:r>
      <w:smartTag w:uri="urn:schemas-microsoft-com:office:smarttags" w:element="place">
        <w:smartTag w:uri="urn:schemas-microsoft-com:office:smarttags" w:element="State">
          <w:r>
            <w:t>New South Wales</w:t>
          </w:r>
        </w:smartTag>
      </w:smartTag>
      <w:r>
        <w:t>.</w:t>
      </w:r>
    </w:p>
    <w:p>
      <w:pPr>
        <w:pStyle w:val="MiscellaneousBody"/>
        <w:spacing w:before="140"/>
      </w:pPr>
      <w:r>
        <w:rPr>
          <w:b/>
        </w:rPr>
        <w:t>Part 7.4</w:t>
      </w:r>
      <w:r>
        <w:t xml:space="preserve"> contains provisions relating to the </w:t>
      </w:r>
      <w:smartTag w:uri="urn:schemas-microsoft-com:office:smarttags" w:element="place">
        <w:smartTag w:uri="urn:schemas-microsoft-com:office:smarttags" w:element="State">
          <w:r>
            <w:t>Northern Territory</w:t>
          </w:r>
        </w:smartTag>
      </w:smartTag>
      <w:r>
        <w:t>.</w:t>
      </w:r>
    </w:p>
    <w:p>
      <w:pPr>
        <w:pStyle w:val="MiscellaneousBody"/>
        <w:spacing w:before="140"/>
      </w:pPr>
      <w:r>
        <w:rPr>
          <w:b/>
        </w:rPr>
        <w:t>Part 7.5</w:t>
      </w:r>
      <w:r>
        <w:t xml:space="preserve"> contains provisions relating to </w:t>
      </w:r>
      <w:smartTag w:uri="urn:schemas-microsoft-com:office:smarttags" w:element="place">
        <w:smartTag w:uri="urn:schemas-microsoft-com:office:smarttags" w:element="State">
          <w:r>
            <w:t>Queensland</w:t>
          </w:r>
        </w:smartTag>
      </w:smartTag>
      <w:r>
        <w:t>.</w:t>
      </w:r>
    </w:p>
    <w:p>
      <w:pPr>
        <w:pStyle w:val="MiscellaneousBody"/>
        <w:spacing w:before="140"/>
      </w:pPr>
      <w:r>
        <w:rPr>
          <w:b/>
        </w:rPr>
        <w:t>Part 7.6</w:t>
      </w:r>
      <w:r>
        <w:t xml:space="preserve"> contains provisions relating to </w:t>
      </w:r>
      <w:smartTag w:uri="urn:schemas-microsoft-com:office:smarttags" w:element="place">
        <w:smartTag w:uri="urn:schemas-microsoft-com:office:smarttags" w:element="State">
          <w:r>
            <w:t>South Australia</w:t>
          </w:r>
        </w:smartTag>
      </w:smartTag>
      <w:r>
        <w:t>.</w:t>
      </w:r>
    </w:p>
    <w:p>
      <w:pPr>
        <w:pStyle w:val="MiscellaneousBody"/>
        <w:spacing w:before="140"/>
      </w:pPr>
      <w:r>
        <w:rPr>
          <w:b/>
        </w:rPr>
        <w:t>Part 7.7</w:t>
      </w:r>
      <w:r>
        <w:t xml:space="preserve"> contains provisions relating to </w:t>
      </w:r>
      <w:smartTag w:uri="urn:schemas-microsoft-com:office:smarttags" w:element="place">
        <w:smartTag w:uri="urn:schemas-microsoft-com:office:smarttags" w:element="State">
          <w:r>
            <w:t>Tasmania</w:t>
          </w:r>
        </w:smartTag>
      </w:smartTag>
      <w:r>
        <w:t>.</w:t>
      </w:r>
    </w:p>
    <w:p>
      <w:pPr>
        <w:pStyle w:val="MiscellaneousBody"/>
        <w:spacing w:before="140"/>
      </w:pPr>
      <w:r>
        <w:rPr>
          <w:b/>
        </w:rPr>
        <w:t>Part 7.8</w:t>
      </w:r>
      <w:r>
        <w:t xml:space="preserve"> contains provisions relating to </w:t>
      </w:r>
      <w:smartTag w:uri="urn:schemas-microsoft-com:office:smarttags" w:element="place">
        <w:smartTag w:uri="urn:schemas-microsoft-com:office:smarttags" w:element="State">
          <w:r>
            <w:t>Victoria</w:t>
          </w:r>
        </w:smartTag>
      </w:smartTag>
      <w:r>
        <w:t>.</w:t>
      </w:r>
    </w:p>
    <w:p>
      <w:pPr>
        <w:pStyle w:val="MiscellaneousBody"/>
        <w:spacing w:before="140"/>
      </w:pPr>
      <w:r>
        <w:rPr>
          <w:b/>
        </w:rPr>
        <w:t>Part 7.9</w:t>
      </w:r>
      <w:r>
        <w:t xml:space="preserve"> contains provisions relating to </w:t>
      </w:r>
      <w:smartTag w:uri="urn:schemas-microsoft-com:office:smarttags" w:element="place">
        <w:smartTag w:uri="urn:schemas-microsoft-com:office:smarttags" w:element="State">
          <w:r>
            <w:t>Western Australia</w:t>
          </w:r>
        </w:smartTag>
      </w:smartTag>
      <w:r>
        <w:t>.</w:t>
      </w:r>
    </w:p>
    <w:p>
      <w:pPr>
        <w:pStyle w:val="NotesPerm"/>
        <w:tabs>
          <w:tab w:val="clear" w:pos="879"/>
          <w:tab w:val="left" w:pos="851"/>
        </w:tabs>
        <w:spacing w:before="140"/>
        <w:ind w:left="1418" w:hanging="1418"/>
      </w:pPr>
      <w:r>
        <w:tab/>
        <w:t>Note:</w:t>
      </w:r>
      <w:r>
        <w:tab/>
        <w:t>The national regulations made by the Ministerial Council include provisions as Parts 7.2-7.8.</w:t>
      </w:r>
    </w:p>
    <w:p>
      <w:pPr>
        <w:pStyle w:val="Heading3"/>
      </w:pPr>
      <w:bookmarkStart w:id="453" w:name="_Toc397340548"/>
      <w:bookmarkStart w:id="454" w:name="_Toc398887985"/>
      <w:bookmarkStart w:id="455" w:name="_Toc398888404"/>
      <w:r>
        <w:rPr>
          <w:rStyle w:val="CharDivNo"/>
        </w:rPr>
        <w:t>Part 7.1</w:t>
      </w:r>
      <w:r>
        <w:t> — </w:t>
      </w:r>
      <w:r>
        <w:rPr>
          <w:rStyle w:val="CharDivText"/>
        </w:rPr>
        <w:t>General transitional and saving provisions</w:t>
      </w:r>
      <w:bookmarkEnd w:id="453"/>
      <w:bookmarkEnd w:id="454"/>
      <w:bookmarkEnd w:id="455"/>
    </w:p>
    <w:p>
      <w:pPr>
        <w:pStyle w:val="Heading4"/>
      </w:pPr>
      <w:bookmarkStart w:id="456" w:name="_Toc397340549"/>
      <w:bookmarkStart w:id="457" w:name="_Toc398887986"/>
      <w:bookmarkStart w:id="458" w:name="_Toc398888405"/>
      <w:r>
        <w:t>Division 1 — Quality improvement plans</w:t>
      </w:r>
      <w:bookmarkEnd w:id="456"/>
      <w:bookmarkEnd w:id="457"/>
      <w:bookmarkEnd w:id="458"/>
    </w:p>
    <w:p>
      <w:pPr>
        <w:pStyle w:val="Heading5"/>
      </w:pPr>
      <w:bookmarkStart w:id="459" w:name="_Toc398888406"/>
      <w:r>
        <w:rPr>
          <w:rStyle w:val="CharSectno"/>
        </w:rPr>
        <w:t>238</w:t>
      </w:r>
      <w:r>
        <w:t>.</w:t>
      </w:r>
      <w:r>
        <w:tab/>
        <w:t>Quality improvement plans</w:t>
      </w:r>
      <w:bookmarkEnd w:id="459"/>
      <w:r>
        <w:t xml:space="preserve"> </w:t>
      </w:r>
    </w:p>
    <w:p>
      <w:pPr>
        <w:pStyle w:val="Subsection"/>
      </w:pPr>
      <w:r>
        <w:tab/>
        <w:t>(1)</w:t>
      </w:r>
      <w:r>
        <w:tab/>
        <w:t xml:space="preserve">The approved provider of a declared approved service must — </w:t>
      </w:r>
    </w:p>
    <w:p>
      <w:pPr>
        <w:pStyle w:val="Indenta"/>
      </w:pPr>
      <w:r>
        <w:tab/>
        <w:t>(a)</w:t>
      </w:r>
      <w:r>
        <w:tab/>
        <w:t xml:space="preserve">prepare a quality improvement plan in accordance with regulation 55(1) by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xml:space="preserve"> — 30 November 2012; </w:t>
      </w:r>
    </w:p>
    <w:p>
      <w:pPr>
        <w:pStyle w:val="Indenta"/>
      </w:pPr>
      <w:r>
        <w:tab/>
      </w:r>
      <w:r>
        <w:tab/>
        <w:t>and</w:t>
      </w:r>
    </w:p>
    <w:p>
      <w:pPr>
        <w:pStyle w:val="Indenta"/>
      </w:pPr>
      <w:r>
        <w:tab/>
        <w:t>(b)</w:t>
      </w:r>
      <w:r>
        <w:tab/>
        <w:t>make the quality improvement plan available to the Regulatory Authority on request.</w:t>
      </w:r>
    </w:p>
    <w:p>
      <w:pPr>
        <w:pStyle w:val="Subsection"/>
      </w:pPr>
      <w:r>
        <w:tab/>
        <w:t>(2)</w:t>
      </w:r>
      <w:r>
        <w:tab/>
        <w:t>Regulation 55(2) does not apply to a declared approved service.</w:t>
      </w:r>
    </w:p>
    <w:p>
      <w:pPr>
        <w:pStyle w:val="Subsection"/>
      </w:pPr>
      <w:r>
        <w:tab/>
        <w:t>(3)</w:t>
      </w:r>
      <w:r>
        <w:tab/>
        <w:t xml:space="preserve">Regulation 55(2) applies to the approved provider of an education and care service for which a service approval is granted under the Law before 31 August 2012 as if it required the quality improvement plan to be submitted to the Regulatory Authority on or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30 November 2012.</w:t>
      </w:r>
    </w:p>
    <w:p>
      <w:pPr>
        <w:pStyle w:val="NotesPerm"/>
        <w:tabs>
          <w:tab w:val="clear" w:pos="879"/>
          <w:tab w:val="left" w:pos="851"/>
        </w:tabs>
        <w:ind w:left="1418" w:hanging="1418"/>
      </w:pPr>
      <w:r>
        <w:tab/>
        <w:t>Note:</w:t>
      </w:r>
      <w:r>
        <w:tab/>
        <w:t>This regulation differs from regulation 238 of the national regulations made by the Ministerial Council.</w:t>
      </w:r>
    </w:p>
    <w:p>
      <w:pPr>
        <w:pStyle w:val="Heading4"/>
      </w:pPr>
      <w:bookmarkStart w:id="460" w:name="_Toc397340551"/>
      <w:bookmarkStart w:id="461" w:name="_Toc398887988"/>
      <w:bookmarkStart w:id="462" w:name="_Toc398888407"/>
      <w:r>
        <w:t>Division 2 — Staffing arrangements</w:t>
      </w:r>
      <w:bookmarkEnd w:id="460"/>
      <w:bookmarkEnd w:id="461"/>
      <w:bookmarkEnd w:id="462"/>
    </w:p>
    <w:p>
      <w:pPr>
        <w:pStyle w:val="Heading5"/>
      </w:pPr>
      <w:bookmarkStart w:id="463" w:name="_Toc398888408"/>
      <w:r>
        <w:rPr>
          <w:rStyle w:val="CharSectno"/>
        </w:rPr>
        <w:t>239</w:t>
      </w:r>
      <w:r>
        <w:t>.</w:t>
      </w:r>
      <w:r>
        <w:tab/>
        <w:t>Centre</w:t>
      </w:r>
      <w:r>
        <w:noBreakHyphen/>
        <w:t>based service offering a preschool program in a composite class in a school</w:t>
      </w:r>
      <w:bookmarkEnd w:id="463"/>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NotesPerm"/>
        <w:tabs>
          <w:tab w:val="clear" w:pos="879"/>
          <w:tab w:val="left" w:pos="851"/>
        </w:tabs>
        <w:ind w:left="1418" w:hanging="1418"/>
      </w:pPr>
      <w:r>
        <w:tab/>
        <w:t>Note:</w:t>
      </w:r>
      <w:r>
        <w:tab/>
        <w:t>See also Division 7.</w:t>
      </w:r>
    </w:p>
    <w:p>
      <w:pPr>
        <w:pStyle w:val="Heading5"/>
      </w:pPr>
      <w:bookmarkStart w:id="464" w:name="_Toc398888409"/>
      <w:r>
        <w:rPr>
          <w:rStyle w:val="CharSectno"/>
        </w:rPr>
        <w:t>240</w:t>
      </w:r>
      <w:r>
        <w:t>.</w:t>
      </w:r>
      <w:r>
        <w:tab/>
        <w:t>Qualifications for educators — centre</w:t>
      </w:r>
      <w:r>
        <w:noBreakHyphen/>
        <w:t>based service</w:t>
      </w:r>
      <w:bookmarkEnd w:id="464"/>
      <w:r>
        <w:t xml:space="preserve"> </w:t>
      </w:r>
    </w:p>
    <w:p>
      <w:pPr>
        <w:pStyle w:val="Subsection"/>
      </w:pPr>
      <w:r>
        <w:tab/>
        <w:t>(1)</w:t>
      </w:r>
      <w:r>
        <w:tab/>
        <w:t>This regulation applies until 31 December 2015.</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Heading5"/>
      </w:pPr>
      <w:bookmarkStart w:id="465" w:name="_Toc398888410"/>
      <w:r>
        <w:rPr>
          <w:rStyle w:val="CharSectno"/>
        </w:rPr>
        <w:t>241</w:t>
      </w:r>
      <w:r>
        <w:t>.</w:t>
      </w:r>
      <w:r>
        <w:tab/>
        <w:t>Persons taken to hold an approved early childhood teaching qualification</w:t>
      </w:r>
      <w:bookmarkEnd w:id="465"/>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was recognised under the former education and care services law, or for the purposes of a preschool funding program, of any participating jurisdiction as an early childhood teacher; 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w:t>
      </w:r>
      <w:smartTag w:uri="urn:schemas-microsoft-com:office:smarttags" w:element="place">
        <w:smartTag w:uri="urn:schemas-microsoft-com:office:smarttags" w:element="State">
          <w:r>
            <w:t>Queensland</w:t>
          </w:r>
        </w:smartTag>
      </w:smartTag>
      <w:r>
        <w:t>); or</w:t>
      </w:r>
    </w:p>
    <w:p>
      <w:pPr>
        <w:pStyle w:val="Indenta"/>
      </w:pPr>
      <w:r>
        <w:tab/>
        <w:t>(e)</w:t>
      </w:r>
      <w:r>
        <w:tab/>
        <w:t xml:space="preserve">was registered as a teacher under the </w:t>
      </w:r>
      <w:r>
        <w:rPr>
          <w:i/>
        </w:rPr>
        <w:t>Teachers Registration and Standards Act 2004</w:t>
      </w:r>
      <w:r>
        <w:t xml:space="preserve"> of </w:t>
      </w:r>
      <w:smartTag w:uri="urn:schemas-microsoft-com:office:smarttags" w:element="place">
        <w:smartTag w:uri="urn:schemas-microsoft-com:office:smarttags" w:element="State">
          <w:r>
            <w:t>South Australia</w:t>
          </w:r>
        </w:smartTag>
      </w:smartTag>
      <w:r>
        <w:t xml:space="preserve"> and was employed to deliver a preschool program; or</w:t>
      </w:r>
    </w:p>
    <w:p>
      <w:pPr>
        <w:pStyle w:val="Indenta"/>
      </w:pPr>
      <w:r>
        <w:tab/>
        <w:t>(f)</w:t>
      </w:r>
      <w:r>
        <w:tab/>
        <w:t xml:space="preserve">was registered as a teacher under the </w:t>
      </w:r>
      <w:r>
        <w:rPr>
          <w:i/>
        </w:rPr>
        <w:t>Teachers Registration Act 2000</w:t>
      </w:r>
      <w:r>
        <w:t xml:space="preserve"> of </w:t>
      </w:r>
      <w:smartTag w:uri="urn:schemas-microsoft-com:office:smarttags" w:element="State">
        <w:r>
          <w:t>Tasmania</w:t>
        </w:r>
      </w:smartTag>
      <w:r>
        <w:t xml:space="preserve">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w:t>
      </w:r>
      <w:smartTag w:uri="urn:schemas-microsoft-com:office:smarttags" w:element="place">
        <w:smartTag w:uri="urn:schemas-microsoft-com:office:smarttags" w:element="State">
          <w:r>
            <w:t>Queensland</w:t>
          </w:r>
        </w:smartTag>
      </w:smartTag>
      <w:r>
        <w:t xml:space="preserve">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w:t>
      </w:r>
      <w:smartTag w:uri="urn:schemas-microsoft-com:office:smarttags" w:element="place">
        <w:smartTag w:uri="urn:schemas-microsoft-com:office:smarttags" w:element="State">
          <w:r>
            <w:t>Queensland</w:t>
          </w:r>
        </w:smartTag>
      </w:smartTag>
      <w:r>
        <w:t xml:space="preserve">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in Gazette 13 Dec 2013 p.</w:t>
      </w:r>
      <w:r>
        <w:rPr>
          <w:sz w:val="19"/>
        </w:rPr>
        <w:t> </w:t>
      </w:r>
      <w:r>
        <w:t>6169.]</w:t>
      </w:r>
    </w:p>
    <w:p>
      <w:pPr>
        <w:pStyle w:val="Heading5"/>
        <w:spacing w:before="260"/>
      </w:pPr>
      <w:bookmarkStart w:id="466" w:name="_Toc398888411"/>
      <w:r>
        <w:rPr>
          <w:rStyle w:val="CharSectno"/>
        </w:rPr>
        <w:t>242</w:t>
      </w:r>
      <w:r>
        <w:t>.</w:t>
      </w:r>
      <w:r>
        <w:tab/>
        <w:t>Persons taken to be early childhood teachers</w:t>
      </w:r>
      <w:bookmarkEnd w:id="466"/>
      <w:r>
        <w:t xml:space="preserve"> </w:t>
      </w:r>
    </w:p>
    <w:p>
      <w:pPr>
        <w:pStyle w:val="Subsection"/>
        <w:spacing w:before="180"/>
      </w:pPr>
      <w:r>
        <w:tab/>
        <w:t>(1)</w:t>
      </w:r>
      <w:r>
        <w:tab/>
        <w:t>This regulation applies on and after 1 January 2014 and before 1 January 2016.</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NotesPerm"/>
        <w:tabs>
          <w:tab w:val="clear" w:pos="879"/>
          <w:tab w:val="left" w:pos="851"/>
        </w:tabs>
        <w:spacing w:before="80"/>
        <w:ind w:left="1418" w:hanging="1418"/>
      </w:pPr>
      <w:r>
        <w:tab/>
        <w:t>Note:</w:t>
      </w:r>
      <w:r>
        <w:tab/>
        <w:t>This regulation differs from regulation 242 of the national regulations made by the Ministerial Council.</w:t>
      </w:r>
    </w:p>
    <w:p>
      <w:pPr>
        <w:pStyle w:val="Footnotesection"/>
      </w:pPr>
      <w:r>
        <w:tab/>
        <w:t>[Regulation 242 amended in Gazette 13 Dec 2013 p.</w:t>
      </w:r>
      <w:r>
        <w:rPr>
          <w:sz w:val="19"/>
        </w:rPr>
        <w:t> </w:t>
      </w:r>
      <w:r>
        <w:t>6169.]</w:t>
      </w:r>
    </w:p>
    <w:p>
      <w:pPr>
        <w:pStyle w:val="Heading5"/>
      </w:pPr>
      <w:bookmarkStart w:id="467" w:name="_Toc398888412"/>
      <w:r>
        <w:rPr>
          <w:rStyle w:val="CharSectno"/>
        </w:rPr>
        <w:t>243</w:t>
      </w:r>
      <w:r>
        <w:t>.</w:t>
      </w:r>
      <w:r>
        <w:tab/>
        <w:t>Persons taken to hold an approved diploma level education and care qualification</w:t>
      </w:r>
      <w:bookmarkEnd w:id="467"/>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was recognised under the former education and care services law of any participating jurisdiction as a diploma level educator; 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diploma level education and care qualifications.</w:t>
      </w:r>
    </w:p>
    <w:p>
      <w:pPr>
        <w:pStyle w:val="Heading5"/>
      </w:pPr>
      <w:bookmarkStart w:id="468" w:name="_Toc398888413"/>
      <w:r>
        <w:rPr>
          <w:rStyle w:val="CharSectno"/>
        </w:rPr>
        <w:t>243A</w:t>
      </w:r>
      <w:r>
        <w:t>.</w:t>
      </w:r>
      <w:r>
        <w:tab/>
        <w:t>Persons taken to hold an approved diploma level education and care qualification for regulation 128 in Queensland</w:t>
      </w:r>
      <w:bookmarkEnd w:id="468"/>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in Gazette 13 Dec 2013 p.</w:t>
      </w:r>
      <w:r>
        <w:rPr>
          <w:sz w:val="19"/>
        </w:rPr>
        <w:t> </w:t>
      </w:r>
      <w:r>
        <w:t>6169.]</w:t>
      </w:r>
    </w:p>
    <w:p>
      <w:pPr>
        <w:pStyle w:val="Heading5"/>
      </w:pPr>
      <w:bookmarkStart w:id="469" w:name="_Toc398888414"/>
      <w:r>
        <w:rPr>
          <w:rStyle w:val="CharSectno"/>
        </w:rPr>
        <w:t>244</w:t>
      </w:r>
      <w:r>
        <w:t>.</w:t>
      </w:r>
      <w:r>
        <w:tab/>
        <w:t>Persons taken to hold an approved certificate III level education and care qualification</w:t>
      </w:r>
      <w:bookmarkEnd w:id="469"/>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was recognised under the former education and care services law of any participating jurisdiction as a certificate III level educator; 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certificate III level education and care qualifications.</w:t>
      </w:r>
    </w:p>
    <w:p>
      <w:pPr>
        <w:pStyle w:val="Heading5"/>
      </w:pPr>
      <w:bookmarkStart w:id="470" w:name="_Toc398888415"/>
      <w:r>
        <w:rPr>
          <w:rStyle w:val="CharSectno"/>
        </w:rPr>
        <w:t>245</w:t>
      </w:r>
      <w:r>
        <w:t>.</w:t>
      </w:r>
      <w:r>
        <w:tab/>
        <w:t>Person taken to hold approved first aid qualification</w:t>
      </w:r>
      <w:bookmarkEnd w:id="470"/>
      <w:r>
        <w:t xml:space="preserve"> </w:t>
      </w:r>
    </w:p>
    <w:p>
      <w:pPr>
        <w:pStyle w:val="Subsection"/>
      </w:pPr>
      <w:r>
        <w:tab/>
        <w:t>(1)</w:t>
      </w:r>
      <w:r>
        <w:tab/>
        <w:t xml:space="preserve">This regulation applies if — </w:t>
      </w:r>
    </w:p>
    <w:p>
      <w:pPr>
        <w:pStyle w:val="Indenta"/>
      </w:pPr>
      <w:r>
        <w:tab/>
        <w:t>(a)</w:t>
      </w:r>
      <w:r>
        <w:tab/>
        <w:t>immediately before the scheme commencement day, a person held a first aid qualification or had completed first aid training that met the requirements under the former education and care services law of a participating jurisdiction for first aid qualifications or training for educators; and</w:t>
      </w:r>
    </w:p>
    <w:p>
      <w:pPr>
        <w:pStyle w:val="Indenta"/>
      </w:pPr>
      <w:r>
        <w:tab/>
        <w:t>(b)</w:t>
      </w:r>
      <w:r>
        <w:tab/>
        <w:t>that qualification or training is not included in the list of approved first aid qualifications and training programs published under regulation 137(1)(e).</w:t>
      </w:r>
    </w:p>
    <w:p>
      <w:pPr>
        <w:pStyle w:val="Subsection"/>
      </w:pPr>
      <w:r>
        <w:tab/>
        <w:t>(2)</w:t>
      </w:r>
      <w:r>
        <w:tab/>
        <w:t xml:space="preserve">The person is taken to hold an approved first aid qualification within the meaning of regulation 136(5) on and from the scheme commencement day until the earlier of the following — </w:t>
      </w:r>
    </w:p>
    <w:p>
      <w:pPr>
        <w:pStyle w:val="Indenta"/>
      </w:pPr>
      <w:r>
        <w:tab/>
        <w:t>(a)</w:t>
      </w:r>
      <w:r>
        <w:tab/>
        <w:t xml:space="preserve">for — </w:t>
      </w:r>
    </w:p>
    <w:p>
      <w:pPr>
        <w:pStyle w:val="Indenti"/>
      </w:pPr>
      <w:r>
        <w:tab/>
        <w:t>(i)</w:t>
      </w:r>
      <w:r>
        <w:tab/>
        <w:t xml:space="preserve">all participating jurisdictions other than </w:t>
      </w:r>
      <w:smartTag w:uri="urn:schemas-microsoft-com:office:smarttags" w:element="place">
        <w:smartTag w:uri="urn:schemas-microsoft-com:office:smarttags" w:element="State">
          <w:r>
            <w:t>Western Australia</w:t>
          </w:r>
        </w:smartTag>
      </w:smartTag>
      <w:r>
        <w:t> — 31 December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31 July 2013;</w:t>
      </w:r>
    </w:p>
    <w:p>
      <w:pPr>
        <w:pStyle w:val="Indenta"/>
      </w:pPr>
      <w:r>
        <w:tab/>
        <w:t>(b)</w:t>
      </w:r>
      <w:r>
        <w:tab/>
        <w:t>the date on which the training or qualification is, or would have been, required to be renewed or updated under the requirements of the qualification or the training or the former education and care services law.</w:t>
      </w:r>
    </w:p>
    <w:p>
      <w:pPr>
        <w:pStyle w:val="NotesPerm"/>
        <w:tabs>
          <w:tab w:val="clear" w:pos="879"/>
          <w:tab w:val="left" w:pos="851"/>
        </w:tabs>
        <w:ind w:left="1418" w:hanging="1418"/>
      </w:pPr>
      <w:r>
        <w:tab/>
        <w:t>Note:</w:t>
      </w:r>
      <w:r>
        <w:tab/>
        <w:t>This regulation differs from regulation 245 of the national regulations made by the Ministerial Council.</w:t>
      </w:r>
    </w:p>
    <w:p>
      <w:pPr>
        <w:pStyle w:val="Heading5"/>
      </w:pPr>
      <w:bookmarkStart w:id="471" w:name="_Toc398888416"/>
      <w:r>
        <w:rPr>
          <w:rStyle w:val="CharSectno"/>
        </w:rPr>
        <w:t>246</w:t>
      </w:r>
      <w:r>
        <w:t>.</w:t>
      </w:r>
      <w:r>
        <w:tab/>
        <w:t>Anaphylaxis training</w:t>
      </w:r>
      <w:bookmarkEnd w:id="471"/>
      <w:r>
        <w:t xml:space="preserve"> </w:t>
      </w:r>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anaphylaxis management.</w:t>
      </w:r>
    </w:p>
    <w:p>
      <w:pPr>
        <w:pStyle w:val="Subsection"/>
      </w:pPr>
      <w:r>
        <w:tab/>
        <w:t>(2)</w:t>
      </w:r>
      <w:r>
        <w:tab/>
        <w:t xml:space="preserve">Regulations 136(1)(b) and 136(3)(b)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NotesPerm"/>
        <w:tabs>
          <w:tab w:val="clear" w:pos="879"/>
          <w:tab w:val="left" w:pos="851"/>
        </w:tabs>
        <w:ind w:left="1418" w:hanging="1418"/>
      </w:pPr>
      <w:r>
        <w:tab/>
        <w:t>Note:</w:t>
      </w:r>
      <w:r>
        <w:tab/>
        <w:t>This regulation differs from regulation 246 of the national regulations made by the Ministerial Council.</w:t>
      </w:r>
    </w:p>
    <w:p>
      <w:pPr>
        <w:pStyle w:val="Heading5"/>
      </w:pPr>
      <w:bookmarkStart w:id="472" w:name="_Toc398888417"/>
      <w:r>
        <w:rPr>
          <w:rStyle w:val="CharSectno"/>
        </w:rPr>
        <w:t>247</w:t>
      </w:r>
      <w:r>
        <w:t>.</w:t>
      </w:r>
      <w:r>
        <w:tab/>
        <w:t>Asthma management training</w:t>
      </w:r>
      <w:bookmarkEnd w:id="472"/>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asthma management.</w:t>
      </w:r>
    </w:p>
    <w:p>
      <w:pPr>
        <w:pStyle w:val="Subsection"/>
      </w:pPr>
      <w:r>
        <w:tab/>
        <w:t>(2)</w:t>
      </w:r>
      <w:r>
        <w:tab/>
        <w:t xml:space="preserve">Regulations 136(1)(c) and 136(3)(c)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NotesPerm"/>
        <w:tabs>
          <w:tab w:val="clear" w:pos="879"/>
          <w:tab w:val="left" w:pos="851"/>
        </w:tabs>
        <w:ind w:left="1418" w:hanging="1418"/>
      </w:pPr>
      <w:r>
        <w:tab/>
        <w:t>Note:</w:t>
      </w:r>
      <w:r>
        <w:tab/>
        <w:t>This regulation differs from regulation 247 of the national regulations made by the Ministerial Council.</w:t>
      </w:r>
    </w:p>
    <w:p>
      <w:pPr>
        <w:pStyle w:val="Heading4"/>
      </w:pPr>
      <w:bookmarkStart w:id="473" w:name="_Toc397340562"/>
      <w:bookmarkStart w:id="474" w:name="_Toc398887999"/>
      <w:bookmarkStart w:id="475" w:name="_Toc398888418"/>
      <w:r>
        <w:t>Division 3 — Physical environment</w:t>
      </w:r>
      <w:bookmarkEnd w:id="473"/>
      <w:bookmarkEnd w:id="474"/>
      <w:bookmarkEnd w:id="475"/>
    </w:p>
    <w:p>
      <w:pPr>
        <w:pStyle w:val="Heading5"/>
      </w:pPr>
      <w:bookmarkStart w:id="476" w:name="_Toc398888419"/>
      <w:r>
        <w:rPr>
          <w:rStyle w:val="CharSectno"/>
        </w:rPr>
        <w:t>248</w:t>
      </w:r>
      <w:r>
        <w:t>.</w:t>
      </w:r>
      <w:r>
        <w:tab/>
        <w:t>Centre</w:t>
      </w:r>
      <w:r>
        <w:noBreakHyphen/>
        <w:t>based service offering a preschool program in a composite class in a school</w:t>
      </w:r>
      <w:bookmarkEnd w:id="476"/>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NotesPerm"/>
        <w:tabs>
          <w:tab w:val="clear" w:pos="879"/>
          <w:tab w:val="left" w:pos="851"/>
        </w:tabs>
        <w:ind w:left="1418" w:hanging="1418"/>
      </w:pPr>
      <w:r>
        <w:tab/>
        <w:t>Note:</w:t>
      </w:r>
      <w:r>
        <w:tab/>
        <w:t>See also Division 7.</w:t>
      </w:r>
    </w:p>
    <w:p>
      <w:pPr>
        <w:pStyle w:val="Heading5"/>
      </w:pPr>
      <w:bookmarkStart w:id="477" w:name="_Toc398888420"/>
      <w:r>
        <w:rPr>
          <w:rStyle w:val="CharSectno"/>
        </w:rPr>
        <w:t>249</w:t>
      </w:r>
      <w:r>
        <w:t>.</w:t>
      </w:r>
      <w:r>
        <w:tab/>
        <w:t>Declared approved services (other than declared approved family day care services)</w:t>
      </w:r>
      <w:bookmarkEnd w:id="477"/>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 xml:space="preserve">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 </w:t>
      </w:r>
    </w:p>
    <w:p>
      <w:pPr>
        <w:pStyle w:val="Indenta"/>
      </w:pPr>
      <w:r>
        <w:tab/>
        <w:t>(a)</w:t>
      </w:r>
      <w:r>
        <w:tab/>
        <w:t xml:space="preserve">that regulation does not apply to the declared approved service until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 or</w:t>
      </w:r>
    </w:p>
    <w:p>
      <w:pPr>
        <w:pStyle w:val="Indenti"/>
      </w:pPr>
      <w:r>
        <w:tab/>
        <w:t>(iii)</w:t>
      </w:r>
      <w:r>
        <w:tab/>
        <w:t>31 December 2015.</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NotesPerm"/>
        <w:tabs>
          <w:tab w:val="clear" w:pos="879"/>
          <w:tab w:val="left" w:pos="851"/>
        </w:tabs>
        <w:ind w:left="1418" w:hanging="1418"/>
      </w:pPr>
      <w:r>
        <w:tab/>
        <w:t>Note:</w:t>
      </w:r>
      <w:r>
        <w:tab/>
        <w:t>See also Division 7.</w:t>
      </w:r>
    </w:p>
    <w:p>
      <w:pPr>
        <w:pStyle w:val="Heading5"/>
      </w:pPr>
      <w:bookmarkStart w:id="478" w:name="_Toc398888421"/>
      <w:r>
        <w:rPr>
          <w:rStyle w:val="CharSectno"/>
        </w:rPr>
        <w:t>250</w:t>
      </w:r>
      <w:r>
        <w:t>.</w:t>
      </w:r>
      <w:r>
        <w:tab/>
        <w:t>Declared approved family day care services</w:t>
      </w:r>
      <w:bookmarkEnd w:id="478"/>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NotesPerm"/>
        <w:tabs>
          <w:tab w:val="clear" w:pos="879"/>
          <w:tab w:val="left" w:pos="851"/>
        </w:tabs>
        <w:ind w:left="1418" w:hanging="1418"/>
      </w:pPr>
      <w:r>
        <w:tab/>
        <w:t>Note:</w:t>
      </w:r>
      <w:r>
        <w:tab/>
        <w:t>See also Division 7.</w:t>
      </w:r>
    </w:p>
    <w:p>
      <w:pPr>
        <w:pStyle w:val="Heading5"/>
      </w:pPr>
      <w:bookmarkStart w:id="479" w:name="_Toc398888422"/>
      <w:r>
        <w:rPr>
          <w:rStyle w:val="CharSectno"/>
        </w:rPr>
        <w:t>251</w:t>
      </w:r>
      <w:r>
        <w:t>.</w:t>
      </w:r>
      <w:r>
        <w:tab/>
        <w:t>Declared out of scope services</w:t>
      </w:r>
      <w:bookmarkEnd w:id="479"/>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NotesPerm"/>
        <w:tabs>
          <w:tab w:val="clear" w:pos="879"/>
          <w:tab w:val="left" w:pos="851"/>
        </w:tabs>
        <w:ind w:left="1418" w:hanging="1418"/>
      </w:pPr>
      <w:r>
        <w:tab/>
        <w:t>Note:</w:t>
      </w:r>
      <w:r>
        <w:tab/>
        <w:t>See also Division 7.</w:t>
      </w:r>
    </w:p>
    <w:p>
      <w:pPr>
        <w:pStyle w:val="Heading4"/>
      </w:pPr>
      <w:bookmarkStart w:id="480" w:name="_Toc397340567"/>
      <w:bookmarkStart w:id="481" w:name="_Toc398888004"/>
      <w:bookmarkStart w:id="482" w:name="_Toc398888423"/>
      <w:r>
        <w:t>Division 4 — Information retention and sharing</w:t>
      </w:r>
      <w:bookmarkEnd w:id="480"/>
      <w:bookmarkEnd w:id="481"/>
      <w:bookmarkEnd w:id="482"/>
    </w:p>
    <w:p>
      <w:pPr>
        <w:pStyle w:val="Heading5"/>
      </w:pPr>
      <w:bookmarkStart w:id="483" w:name="_Toc398888424"/>
      <w:r>
        <w:rPr>
          <w:rStyle w:val="CharSectno"/>
        </w:rPr>
        <w:t>252</w:t>
      </w:r>
      <w:r>
        <w:t>.</w:t>
      </w:r>
      <w:r>
        <w:tab/>
        <w:t>Information held by Regulatory Authority or regulatory body</w:t>
      </w:r>
      <w:bookmarkEnd w:id="483"/>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484" w:name="_Toc398888425"/>
      <w:r>
        <w:rPr>
          <w:rStyle w:val="CharSectno"/>
        </w:rPr>
        <w:t>253</w:t>
      </w:r>
      <w:r>
        <w:t>.</w:t>
      </w:r>
      <w:r>
        <w:tab/>
        <w:t>Information kept by approved provider</w:t>
      </w:r>
      <w:bookmarkEnd w:id="484"/>
    </w:p>
    <w:p>
      <w:pPr>
        <w:pStyle w:val="Subsection"/>
      </w:pPr>
      <w:r>
        <w:tab/>
      </w:r>
      <w:r>
        <w:tab/>
        <w:t>For the purposes of section 322(3) of the Law, the documents must be kept in accordance with regulation 183.</w:t>
      </w:r>
    </w:p>
    <w:p>
      <w:pPr>
        <w:pStyle w:val="Heading4"/>
      </w:pPr>
      <w:bookmarkStart w:id="485" w:name="_Toc397340570"/>
      <w:bookmarkStart w:id="486" w:name="_Toc398888007"/>
      <w:bookmarkStart w:id="487" w:name="_Toc398888426"/>
      <w:r>
        <w:t>Division 5 — Declared approved learning frameworks</w:t>
      </w:r>
      <w:bookmarkEnd w:id="485"/>
      <w:bookmarkEnd w:id="486"/>
      <w:bookmarkEnd w:id="487"/>
    </w:p>
    <w:p>
      <w:pPr>
        <w:pStyle w:val="Heading5"/>
      </w:pPr>
      <w:bookmarkStart w:id="488" w:name="_Toc398888427"/>
      <w:r>
        <w:rPr>
          <w:rStyle w:val="CharSectno"/>
        </w:rPr>
        <w:t>254</w:t>
      </w:r>
      <w:r>
        <w:t>.</w:t>
      </w:r>
      <w:r>
        <w:tab/>
        <w:t>Declared approved learning frameworks</w:t>
      </w:r>
      <w:bookmarkEnd w:id="488"/>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 xml:space="preserve">Belonging, Being and Becoming: The Early Years Learning Framework for </w:t>
      </w:r>
      <w:smartTag w:uri="urn:schemas-microsoft-com:office:smarttags" w:element="place">
        <w:smartTag w:uri="urn:schemas-microsoft-com:office:smarttags" w:element="country-region">
          <w:r>
            <w:t>Australia</w:t>
          </w:r>
        </w:smartTag>
      </w:smartTag>
      <w:r>
        <w:t>, produced by the Department of Education, Employment and Workplace Relations of the Commonwealth for the Council of Australian Governments, 2009;</w:t>
      </w:r>
    </w:p>
    <w:p>
      <w:pPr>
        <w:pStyle w:val="Indenta"/>
      </w:pPr>
      <w:r>
        <w:tab/>
        <w:t>(b)</w:t>
      </w:r>
      <w:r>
        <w:tab/>
        <w:t xml:space="preserve">My Time, Our Place: Framework for School Age Care in </w:t>
      </w:r>
      <w:smartTag w:uri="urn:schemas-microsoft-com:office:smarttags" w:element="place">
        <w:smartTag w:uri="urn:schemas-microsoft-com:office:smarttags" w:element="country-region">
          <w:r>
            <w:t>Australia</w:t>
          </w:r>
        </w:smartTag>
      </w:smartTag>
      <w:r>
        <w:t xml:space="preserve"> produced by the Commonwealth Government Department of Education, Employment and Workplace Relations for the Council of Australian Governments, 2011.</w:t>
      </w:r>
    </w:p>
    <w:p>
      <w:pPr>
        <w:pStyle w:val="Subsection"/>
      </w:pPr>
      <w:r>
        <w:tab/>
        <w:t>(2)</w:t>
      </w:r>
      <w:r>
        <w:tab/>
        <w:t xml:space="preserve">For the purpose of section 323 of the Law, the following, as in force on the scheme commencement day, are declared approved learning frameworks for the purpose of the Law as it applies in the participating jurisdiction specified — </w:t>
      </w:r>
    </w:p>
    <w:p>
      <w:pPr>
        <w:pStyle w:val="Indenta"/>
      </w:pPr>
      <w:r>
        <w:tab/>
        <w:t>(a)</w:t>
      </w:r>
      <w:r>
        <w:tab/>
        <w:t xml:space="preserve">for the </w:t>
      </w:r>
      <w:smartTag w:uri="urn:schemas-microsoft-com:office:smarttags" w:element="place">
        <w:smartTag w:uri="urn:schemas-microsoft-com:office:smarttags" w:element="State">
          <w:r>
            <w:t>Australian Capital Territory</w:t>
          </w:r>
        </w:smartTag>
      </w:smartTag>
      <w:r>
        <w:t>, Every Chance to Learn — Curriculum framework for ACT schools preschool to Year 10;</w:t>
      </w:r>
    </w:p>
    <w:p>
      <w:pPr>
        <w:pStyle w:val="Indenta"/>
      </w:pPr>
      <w:r>
        <w:tab/>
        <w:t>(b)</w:t>
      </w:r>
      <w:r>
        <w:tab/>
        <w:t xml:space="preserve">for </w:t>
      </w:r>
      <w:smartTag w:uri="urn:schemas-microsoft-com:office:smarttags" w:element="State">
        <w:r>
          <w:t>Tasmania</w:t>
        </w:r>
      </w:smartTag>
      <w:r>
        <w:t xml:space="preserve">, the Tasmanian Curriculum, the Department of Education of </w:t>
      </w:r>
      <w:smartTag w:uri="urn:schemas-microsoft-com:office:smarttags" w:element="place">
        <w:smartTag w:uri="urn:schemas-microsoft-com:office:smarttags" w:element="State">
          <w:r>
            <w:t>Tasmania</w:t>
          </w:r>
        </w:smartTag>
      </w:smartTag>
      <w:r>
        <w:t>, 2008;</w:t>
      </w:r>
    </w:p>
    <w:p>
      <w:pPr>
        <w:pStyle w:val="Indenta"/>
      </w:pPr>
      <w:r>
        <w:tab/>
        <w:t>(c)</w:t>
      </w:r>
      <w:r>
        <w:tab/>
        <w:t>for Victoria, the Victorian Early Years Learning and Development Framework, published by the Department of Education and the Victorian Curriculum and Assessment Authority in November 2009;</w:t>
      </w:r>
    </w:p>
    <w:p>
      <w:pPr>
        <w:pStyle w:val="Indenta"/>
      </w:pPr>
      <w:r>
        <w:tab/>
        <w:t>(d)</w:t>
      </w:r>
      <w:r>
        <w:tab/>
        <w:t xml:space="preserve">for </w:t>
      </w:r>
      <w:smartTag w:uri="urn:schemas-microsoft-com:office:smarttags" w:element="State">
        <w:r>
          <w:t>Western Australia</w:t>
        </w:r>
      </w:smartTag>
      <w:r>
        <w:t xml:space="preserve">, the Curriculum Framework for Kindergarten to Year 12 Education in </w:t>
      </w:r>
      <w:smartTag w:uri="urn:schemas-microsoft-com:office:smarttags" w:element="place">
        <w:smartTag w:uri="urn:schemas-microsoft-com:office:smarttags" w:element="State">
          <w:r>
            <w:t>Western Australia</w:t>
          </w:r>
        </w:smartTag>
      </w:smartTag>
      <w:r>
        <w:t>.</w:t>
      </w:r>
    </w:p>
    <w:p>
      <w:pPr>
        <w:pStyle w:val="Subsection"/>
      </w:pPr>
      <w:r>
        <w:tab/>
        <w:t>(3)</w:t>
      </w:r>
      <w:r>
        <w:tab/>
        <w:t>Subregulation (2)(a) ceases to have effect on 31 December 2015.</w:t>
      </w:r>
    </w:p>
    <w:p>
      <w:pPr>
        <w:pStyle w:val="Heading4"/>
      </w:pPr>
      <w:bookmarkStart w:id="489" w:name="_Toc397340572"/>
      <w:bookmarkStart w:id="490" w:name="_Toc398888009"/>
      <w:bookmarkStart w:id="491" w:name="_Toc398888428"/>
      <w:r>
        <w:t>Division 6 — Fees</w:t>
      </w:r>
      <w:bookmarkEnd w:id="489"/>
      <w:bookmarkEnd w:id="490"/>
      <w:bookmarkEnd w:id="491"/>
    </w:p>
    <w:p>
      <w:pPr>
        <w:pStyle w:val="Heading5"/>
      </w:pPr>
      <w:bookmarkStart w:id="492" w:name="_Toc398888429"/>
      <w:r>
        <w:rPr>
          <w:rStyle w:val="CharSectno"/>
        </w:rPr>
        <w:t>255</w:t>
      </w:r>
      <w:r>
        <w:t>.</w:t>
      </w:r>
      <w:r>
        <w:tab/>
        <w:t>Fees for application for provider approval for declared out of scope service</w:t>
      </w:r>
      <w:bookmarkEnd w:id="492"/>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493" w:name="_Toc397340574"/>
      <w:bookmarkStart w:id="494" w:name="_Toc398888011"/>
      <w:bookmarkStart w:id="495" w:name="_Toc398888430"/>
      <w:r>
        <w:t>Division 7 — General provisions relating to exemptions</w:t>
      </w:r>
      <w:bookmarkEnd w:id="493"/>
      <w:bookmarkEnd w:id="494"/>
      <w:bookmarkEnd w:id="495"/>
    </w:p>
    <w:p>
      <w:pPr>
        <w:pStyle w:val="Heading5"/>
      </w:pPr>
      <w:bookmarkStart w:id="496" w:name="_Toc398888431"/>
      <w:r>
        <w:rPr>
          <w:rStyle w:val="CharSectno"/>
        </w:rPr>
        <w:t>256</w:t>
      </w:r>
      <w:r>
        <w:t>.</w:t>
      </w:r>
      <w:r>
        <w:tab/>
        <w:t>Publication where service taken to comply with regulations</w:t>
      </w:r>
      <w:bookmarkEnd w:id="496"/>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NotesPerm"/>
        <w:tabs>
          <w:tab w:val="clear" w:pos="879"/>
          <w:tab w:val="left" w:pos="851"/>
        </w:tabs>
        <w:spacing w:before="80"/>
        <w:ind w:left="1418" w:hanging="1418"/>
      </w:pPr>
      <w:r>
        <w:tab/>
        <w:t>Note:</w:t>
      </w:r>
      <w:r>
        <w:tab/>
        <w:t>This regulation differs from regulation 256 of the national regulations made by the Ministerial Council.</w:t>
      </w:r>
    </w:p>
    <w:p>
      <w:pPr>
        <w:pStyle w:val="Heading5"/>
      </w:pPr>
      <w:bookmarkStart w:id="497" w:name="_Toc398888432"/>
      <w:r>
        <w:rPr>
          <w:rStyle w:val="CharSectno"/>
        </w:rPr>
        <w:t>257</w:t>
      </w:r>
      <w:r>
        <w:t>.</w:t>
      </w:r>
      <w:r>
        <w:tab/>
        <w:t>Application for removal of exemption</w:t>
      </w:r>
      <w:bookmarkEnd w:id="497"/>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NotesPerm"/>
        <w:tabs>
          <w:tab w:val="clear" w:pos="879"/>
          <w:tab w:val="left" w:pos="851"/>
        </w:tabs>
        <w:ind w:left="1418" w:hanging="1418"/>
      </w:pPr>
      <w:r>
        <w:tab/>
        <w:t>Note:</w:t>
      </w:r>
      <w:r>
        <w:tab/>
        <w:t>This regulation differs from regulation 257 of the national regulations made by the Ministerial Council.</w:t>
      </w:r>
    </w:p>
    <w:p>
      <w:pPr>
        <w:pStyle w:val="Heading3"/>
      </w:pPr>
      <w:bookmarkStart w:id="498" w:name="_Toc397340577"/>
      <w:bookmarkStart w:id="499" w:name="_Toc398888014"/>
      <w:bookmarkStart w:id="500" w:name="_Toc398888433"/>
      <w:r>
        <w:rPr>
          <w:rStyle w:val="CharDivNo"/>
        </w:rPr>
        <w:t>Part 7.2</w:t>
      </w:r>
      <w:r>
        <w:t> — </w:t>
      </w:r>
      <w:smartTag w:uri="urn:schemas-microsoft-com:office:smarttags" w:element="place">
        <w:smartTag w:uri="urn:schemas-microsoft-com:office:smarttags" w:element="State">
          <w:r>
            <w:rPr>
              <w:rStyle w:val="CharDivText"/>
            </w:rPr>
            <w:t>Australian Capital Territory</w:t>
          </w:r>
        </w:smartTag>
      </w:smartTag>
      <w:r>
        <w:rPr>
          <w:rStyle w:val="CharDivText"/>
        </w:rPr>
        <w:t> — specific provisions</w:t>
      </w:r>
      <w:bookmarkEnd w:id="498"/>
      <w:bookmarkEnd w:id="499"/>
      <w:bookmarkEnd w:id="500"/>
    </w:p>
    <w:p>
      <w:pPr>
        <w:pStyle w:val="NotesPerm"/>
        <w:tabs>
          <w:tab w:val="clear" w:pos="879"/>
          <w:tab w:val="left" w:pos="851"/>
        </w:tabs>
        <w:ind w:left="1418" w:hanging="1418"/>
      </w:pPr>
      <w:r>
        <w:tab/>
        <w:t>Note:</w:t>
      </w:r>
      <w:r>
        <w:tab/>
        <w:t>The national regulations made by the Ministerial Council include provisions as Part 7.2.</w:t>
      </w:r>
    </w:p>
    <w:p>
      <w:pPr>
        <w:pStyle w:val="Heading3"/>
      </w:pPr>
      <w:bookmarkStart w:id="501" w:name="_Toc397340578"/>
      <w:bookmarkStart w:id="502" w:name="_Toc398888015"/>
      <w:bookmarkStart w:id="503" w:name="_Toc398888434"/>
      <w:r>
        <w:rPr>
          <w:rStyle w:val="CharDivNo"/>
        </w:rPr>
        <w:t>Part 7.3</w:t>
      </w:r>
      <w:r>
        <w:t> — </w:t>
      </w:r>
      <w:smartTag w:uri="urn:schemas-microsoft-com:office:smarttags" w:element="place">
        <w:smartTag w:uri="urn:schemas-microsoft-com:office:smarttags" w:element="State">
          <w:r>
            <w:rPr>
              <w:rStyle w:val="CharDivText"/>
            </w:rPr>
            <w:t>New South Wales</w:t>
          </w:r>
        </w:smartTag>
      </w:smartTag>
      <w:r>
        <w:rPr>
          <w:rStyle w:val="CharDivText"/>
        </w:rPr>
        <w:t> — specific provisions</w:t>
      </w:r>
      <w:bookmarkEnd w:id="501"/>
      <w:bookmarkEnd w:id="502"/>
      <w:bookmarkEnd w:id="503"/>
    </w:p>
    <w:p>
      <w:pPr>
        <w:pStyle w:val="NotesPerm"/>
        <w:tabs>
          <w:tab w:val="clear" w:pos="879"/>
          <w:tab w:val="left" w:pos="851"/>
        </w:tabs>
        <w:ind w:left="1418" w:hanging="1418"/>
      </w:pPr>
      <w:r>
        <w:tab/>
        <w:t>Note:</w:t>
      </w:r>
      <w:r>
        <w:tab/>
        <w:t>The national regulations made by the Ministerial Council include provisions as Part 7.3.</w:t>
      </w:r>
    </w:p>
    <w:p>
      <w:pPr>
        <w:pStyle w:val="Heading3"/>
      </w:pPr>
      <w:bookmarkStart w:id="504" w:name="_Toc397340579"/>
      <w:bookmarkStart w:id="505" w:name="_Toc398888016"/>
      <w:bookmarkStart w:id="506" w:name="_Toc398888435"/>
      <w:r>
        <w:rPr>
          <w:rStyle w:val="CharDivNo"/>
        </w:rPr>
        <w:t>Part 7.4</w:t>
      </w:r>
      <w:r>
        <w:t> — </w:t>
      </w:r>
      <w:smartTag w:uri="urn:schemas-microsoft-com:office:smarttags" w:element="place">
        <w:smartTag w:uri="urn:schemas-microsoft-com:office:smarttags" w:element="State">
          <w:r>
            <w:rPr>
              <w:rStyle w:val="CharDivText"/>
            </w:rPr>
            <w:t>Northern Territory</w:t>
          </w:r>
        </w:smartTag>
      </w:smartTag>
      <w:r>
        <w:rPr>
          <w:rStyle w:val="CharDivText"/>
        </w:rPr>
        <w:t> — specific provisions</w:t>
      </w:r>
      <w:bookmarkEnd w:id="504"/>
      <w:bookmarkEnd w:id="505"/>
      <w:bookmarkEnd w:id="506"/>
    </w:p>
    <w:p>
      <w:pPr>
        <w:pStyle w:val="NotesPerm"/>
        <w:tabs>
          <w:tab w:val="clear" w:pos="879"/>
          <w:tab w:val="left" w:pos="851"/>
        </w:tabs>
        <w:ind w:left="1418" w:hanging="1418"/>
      </w:pPr>
      <w:r>
        <w:tab/>
        <w:t>Note:</w:t>
      </w:r>
      <w:r>
        <w:tab/>
        <w:t>The national regulations made by the Ministerial Council include provisions as Part 7.4.</w:t>
      </w:r>
    </w:p>
    <w:p>
      <w:pPr>
        <w:pStyle w:val="Heading3"/>
      </w:pPr>
      <w:bookmarkStart w:id="507" w:name="_Toc397340580"/>
      <w:bookmarkStart w:id="508" w:name="_Toc398888017"/>
      <w:bookmarkStart w:id="509" w:name="_Toc398888436"/>
      <w:r>
        <w:rPr>
          <w:rStyle w:val="CharDivNo"/>
        </w:rPr>
        <w:t>Part 7.5</w:t>
      </w:r>
      <w:r>
        <w:t> — </w:t>
      </w:r>
      <w:smartTag w:uri="urn:schemas-microsoft-com:office:smarttags" w:element="place">
        <w:smartTag w:uri="urn:schemas-microsoft-com:office:smarttags" w:element="State">
          <w:r>
            <w:rPr>
              <w:rStyle w:val="CharDivText"/>
            </w:rPr>
            <w:t>Queensland</w:t>
          </w:r>
        </w:smartTag>
      </w:smartTag>
      <w:r>
        <w:rPr>
          <w:rStyle w:val="CharDivText"/>
        </w:rPr>
        <w:t> — specific provisions</w:t>
      </w:r>
      <w:bookmarkEnd w:id="507"/>
      <w:bookmarkEnd w:id="508"/>
      <w:bookmarkEnd w:id="509"/>
    </w:p>
    <w:p>
      <w:pPr>
        <w:pStyle w:val="NotesPerm"/>
        <w:tabs>
          <w:tab w:val="clear" w:pos="879"/>
          <w:tab w:val="left" w:pos="851"/>
        </w:tabs>
        <w:ind w:left="1418" w:hanging="1418"/>
      </w:pPr>
      <w:r>
        <w:tab/>
        <w:t>Note:</w:t>
      </w:r>
      <w:r>
        <w:tab/>
        <w:t>The national regulations made by the Ministerial Council include provisions as Part 7.5.</w:t>
      </w:r>
    </w:p>
    <w:p>
      <w:pPr>
        <w:pStyle w:val="Heading3"/>
      </w:pPr>
      <w:bookmarkStart w:id="510" w:name="_Toc397340581"/>
      <w:bookmarkStart w:id="511" w:name="_Toc398888018"/>
      <w:bookmarkStart w:id="512" w:name="_Toc398888437"/>
      <w:r>
        <w:rPr>
          <w:rStyle w:val="CharDivNo"/>
        </w:rPr>
        <w:t>Part 7.6</w:t>
      </w:r>
      <w:r>
        <w:t> — </w:t>
      </w:r>
      <w:smartTag w:uri="urn:schemas-microsoft-com:office:smarttags" w:element="place">
        <w:smartTag w:uri="urn:schemas-microsoft-com:office:smarttags" w:element="State">
          <w:r>
            <w:rPr>
              <w:rStyle w:val="CharDivText"/>
            </w:rPr>
            <w:t>South Australia</w:t>
          </w:r>
        </w:smartTag>
      </w:smartTag>
      <w:r>
        <w:rPr>
          <w:rStyle w:val="CharDivText"/>
        </w:rPr>
        <w:t> — specific provisions</w:t>
      </w:r>
      <w:bookmarkEnd w:id="510"/>
      <w:bookmarkEnd w:id="511"/>
      <w:bookmarkEnd w:id="512"/>
    </w:p>
    <w:p>
      <w:pPr>
        <w:pStyle w:val="NotesPerm"/>
        <w:tabs>
          <w:tab w:val="clear" w:pos="879"/>
          <w:tab w:val="left" w:pos="851"/>
        </w:tabs>
        <w:spacing w:before="140"/>
        <w:ind w:left="1418" w:hanging="1418"/>
      </w:pPr>
      <w:r>
        <w:tab/>
        <w:t>Note:</w:t>
      </w:r>
      <w:r>
        <w:tab/>
        <w:t>The national regulations made by the Ministerial Council include provisions as Part 7.6.</w:t>
      </w:r>
    </w:p>
    <w:p>
      <w:pPr>
        <w:pStyle w:val="Heading3"/>
      </w:pPr>
      <w:bookmarkStart w:id="513" w:name="_Toc397340582"/>
      <w:bookmarkStart w:id="514" w:name="_Toc398888019"/>
      <w:bookmarkStart w:id="515" w:name="_Toc398888438"/>
      <w:r>
        <w:rPr>
          <w:rStyle w:val="CharDivNo"/>
        </w:rPr>
        <w:t>Part 7.7</w:t>
      </w:r>
      <w:r>
        <w:t> — </w:t>
      </w:r>
      <w:smartTag w:uri="urn:schemas-microsoft-com:office:smarttags" w:element="place">
        <w:smartTag w:uri="urn:schemas-microsoft-com:office:smarttags" w:element="State">
          <w:r>
            <w:rPr>
              <w:rStyle w:val="CharDivText"/>
            </w:rPr>
            <w:t>Tasmania</w:t>
          </w:r>
        </w:smartTag>
      </w:smartTag>
      <w:r>
        <w:rPr>
          <w:rStyle w:val="CharDivText"/>
        </w:rPr>
        <w:t> — specific provisions</w:t>
      </w:r>
      <w:bookmarkEnd w:id="513"/>
      <w:bookmarkEnd w:id="514"/>
      <w:bookmarkEnd w:id="515"/>
    </w:p>
    <w:p>
      <w:pPr>
        <w:pStyle w:val="NotesPerm"/>
        <w:tabs>
          <w:tab w:val="clear" w:pos="879"/>
          <w:tab w:val="left" w:pos="851"/>
        </w:tabs>
        <w:spacing w:before="140"/>
        <w:ind w:left="1418" w:hanging="1418"/>
      </w:pPr>
      <w:r>
        <w:tab/>
        <w:t>Note:</w:t>
      </w:r>
      <w:r>
        <w:tab/>
        <w:t>The national regulations made by the Ministerial Council include provisions as Part 7.7.</w:t>
      </w:r>
    </w:p>
    <w:p>
      <w:pPr>
        <w:pStyle w:val="Heading3"/>
      </w:pPr>
      <w:bookmarkStart w:id="516" w:name="_Toc397340583"/>
      <w:bookmarkStart w:id="517" w:name="_Toc398888020"/>
      <w:bookmarkStart w:id="518" w:name="_Toc398888439"/>
      <w:r>
        <w:rPr>
          <w:rStyle w:val="CharDivNo"/>
        </w:rPr>
        <w:t>Part 7.8</w:t>
      </w:r>
      <w:r>
        <w:t> — </w:t>
      </w:r>
      <w:smartTag w:uri="urn:schemas-microsoft-com:office:smarttags" w:element="place">
        <w:smartTag w:uri="urn:schemas-microsoft-com:office:smarttags" w:element="State">
          <w:r>
            <w:rPr>
              <w:rStyle w:val="CharDivText"/>
            </w:rPr>
            <w:t>Victoria</w:t>
          </w:r>
        </w:smartTag>
      </w:smartTag>
      <w:r>
        <w:rPr>
          <w:rStyle w:val="CharDivText"/>
        </w:rPr>
        <w:t> — specific provisions</w:t>
      </w:r>
      <w:bookmarkEnd w:id="516"/>
      <w:bookmarkEnd w:id="517"/>
      <w:bookmarkEnd w:id="518"/>
    </w:p>
    <w:p>
      <w:pPr>
        <w:pStyle w:val="NotesPerm"/>
        <w:tabs>
          <w:tab w:val="clear" w:pos="879"/>
          <w:tab w:val="left" w:pos="851"/>
        </w:tabs>
        <w:spacing w:before="140"/>
        <w:ind w:left="1418" w:hanging="1418"/>
      </w:pPr>
      <w:r>
        <w:tab/>
        <w:t>Note:</w:t>
      </w:r>
      <w:r>
        <w:tab/>
        <w:t>The national regulations made by the Ministerial Council include provisions as Part 7.8.</w:t>
      </w:r>
    </w:p>
    <w:p>
      <w:pPr>
        <w:pStyle w:val="Heading3"/>
      </w:pPr>
      <w:bookmarkStart w:id="519" w:name="_Toc397340584"/>
      <w:bookmarkStart w:id="520" w:name="_Toc398888021"/>
      <w:bookmarkStart w:id="521" w:name="_Toc398888440"/>
      <w:r>
        <w:rPr>
          <w:rStyle w:val="CharDivNo"/>
        </w:rPr>
        <w:t>Part 7.9</w:t>
      </w:r>
      <w:r>
        <w:t> — </w:t>
      </w:r>
      <w:smartTag w:uri="urn:schemas-microsoft-com:office:smarttags" w:element="place">
        <w:smartTag w:uri="urn:schemas-microsoft-com:office:smarttags" w:element="State">
          <w:r>
            <w:rPr>
              <w:rStyle w:val="CharDivText"/>
            </w:rPr>
            <w:t>Western Australia</w:t>
          </w:r>
        </w:smartTag>
      </w:smartTag>
      <w:r>
        <w:rPr>
          <w:rStyle w:val="CharDivText"/>
        </w:rPr>
        <w:t> — specific provisions</w:t>
      </w:r>
      <w:bookmarkEnd w:id="519"/>
      <w:bookmarkEnd w:id="520"/>
      <w:bookmarkEnd w:id="521"/>
    </w:p>
    <w:p>
      <w:pPr>
        <w:pStyle w:val="Heading4"/>
        <w:spacing w:before="220"/>
      </w:pPr>
      <w:bookmarkStart w:id="522" w:name="_Toc397340585"/>
      <w:bookmarkStart w:id="523" w:name="_Toc398888022"/>
      <w:bookmarkStart w:id="524" w:name="_Toc398888441"/>
      <w:r>
        <w:t>Division 1 — Application of Part 7.9</w:t>
      </w:r>
      <w:bookmarkEnd w:id="522"/>
      <w:bookmarkEnd w:id="523"/>
      <w:bookmarkEnd w:id="524"/>
    </w:p>
    <w:p>
      <w:pPr>
        <w:pStyle w:val="Heading5"/>
        <w:spacing w:before="210"/>
      </w:pPr>
      <w:bookmarkStart w:id="525" w:name="_Toc398888442"/>
      <w:r>
        <w:rPr>
          <w:rStyle w:val="CharSectno"/>
        </w:rPr>
        <w:t>367</w:t>
      </w:r>
      <w:r>
        <w:t>.</w:t>
      </w:r>
      <w:r>
        <w:tab/>
        <w:t>Application of Part 7.9</w:t>
      </w:r>
      <w:bookmarkEnd w:id="525"/>
      <w:r>
        <w:t xml:space="preserve"> </w:t>
      </w:r>
    </w:p>
    <w:p>
      <w:pPr>
        <w:pStyle w:val="Subsection"/>
        <w:spacing w:before="140"/>
      </w:pPr>
      <w:r>
        <w:tab/>
      </w:r>
      <w:r>
        <w:tab/>
        <w:t xml:space="preserve">This Part applies to </w:t>
      </w:r>
      <w:smartTag w:uri="urn:schemas-microsoft-com:office:smarttags" w:element="place">
        <w:smartTag w:uri="urn:schemas-microsoft-com:office:smarttags" w:element="State">
          <w:r>
            <w:t>Western Australia</w:t>
          </w:r>
        </w:smartTag>
      </w:smartTag>
      <w:r>
        <w:t>.</w:t>
      </w:r>
    </w:p>
    <w:p>
      <w:pPr>
        <w:pStyle w:val="Heading5"/>
      </w:pPr>
      <w:bookmarkStart w:id="526" w:name="_Toc398888443"/>
      <w:r>
        <w:rPr>
          <w:rStyle w:val="CharSectno"/>
        </w:rPr>
        <w:t>368</w:t>
      </w:r>
      <w:r>
        <w:t>.</w:t>
      </w:r>
      <w:r>
        <w:tab/>
        <w:t>Definitions</w:t>
      </w:r>
      <w:bookmarkEnd w:id="526"/>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Heading4"/>
      </w:pPr>
      <w:bookmarkStart w:id="527" w:name="_Toc397340588"/>
      <w:bookmarkStart w:id="528" w:name="_Toc398888025"/>
      <w:bookmarkStart w:id="529" w:name="_Toc398888444"/>
      <w:r>
        <w:t>Division 1A — Exceeding National Quality Standards</w:t>
      </w:r>
      <w:bookmarkEnd w:id="527"/>
      <w:bookmarkEnd w:id="528"/>
      <w:bookmarkEnd w:id="529"/>
    </w:p>
    <w:p>
      <w:pPr>
        <w:pStyle w:val="Footnoteheading"/>
      </w:pPr>
      <w:r>
        <w:tab/>
        <w:t>[Heading inserted in Gazette 6 Jun 2014 p. 1788.]</w:t>
      </w:r>
    </w:p>
    <w:p>
      <w:pPr>
        <w:pStyle w:val="Heading5"/>
      </w:pPr>
      <w:bookmarkStart w:id="530" w:name="_Toc398888445"/>
      <w:r>
        <w:rPr>
          <w:rStyle w:val="CharSectno"/>
        </w:rPr>
        <w:t>368A</w:t>
      </w:r>
      <w:r>
        <w:t>.</w:t>
      </w:r>
      <w:r>
        <w:tab/>
        <w:t>Exceeding National Quality Standards: educational program and practice quality area</w:t>
      </w:r>
      <w:bookmarkEnd w:id="530"/>
    </w:p>
    <w:p>
      <w:pPr>
        <w:pStyle w:val="Subsection"/>
      </w:pPr>
      <w:r>
        <w:tab/>
        <w:t>(1)</w:t>
      </w:r>
      <w:r>
        <w:tab/>
        <w:t xml:space="preserve">For Western Australia, an education and care service is entitled to be given an Exceeding National Quality Standards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NotesPerm"/>
        <w:tabs>
          <w:tab w:val="clear" w:pos="879"/>
          <w:tab w:val="left" w:pos="851"/>
        </w:tabs>
        <w:ind w:left="1418" w:hanging="1418"/>
      </w:pPr>
      <w:r>
        <w:tab/>
        <w:t>Note:</w:t>
      </w:r>
      <w:r>
        <w:tab/>
        <w:t>The national regulations made by the Ministerial Council does not include provisions as Part 7.9 Division 1A.</w:t>
      </w:r>
    </w:p>
    <w:p>
      <w:pPr>
        <w:pStyle w:val="Footnotesection"/>
      </w:pPr>
      <w:r>
        <w:tab/>
        <w:t>[Regulation 368A inserted in Gazette 6 Jun 2014 p. 1788.]</w:t>
      </w:r>
    </w:p>
    <w:p>
      <w:pPr>
        <w:pStyle w:val="Heading4"/>
      </w:pPr>
      <w:bookmarkStart w:id="531" w:name="_Toc397340590"/>
      <w:bookmarkStart w:id="532" w:name="_Toc398888027"/>
      <w:bookmarkStart w:id="533" w:name="_Toc398888446"/>
      <w:r>
        <w:t>Division 2 — Minimum number of educators and qualifications required — children over preschool age</w:t>
      </w:r>
      <w:bookmarkEnd w:id="531"/>
      <w:bookmarkEnd w:id="532"/>
      <w:bookmarkEnd w:id="533"/>
    </w:p>
    <w:p>
      <w:pPr>
        <w:pStyle w:val="Heading5"/>
      </w:pPr>
      <w:bookmarkStart w:id="534" w:name="_Toc398888447"/>
      <w:r>
        <w:rPr>
          <w:rStyle w:val="CharSectno"/>
        </w:rPr>
        <w:t>369</w:t>
      </w:r>
      <w:r>
        <w:t>.</w:t>
      </w:r>
      <w:r>
        <w:tab/>
        <w:t>Educator to child ratios — children over preschool age</w:t>
      </w:r>
      <w:bookmarkEnd w:id="534"/>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Heading5"/>
      </w:pPr>
      <w:bookmarkStart w:id="535" w:name="_Toc398888448"/>
      <w:r>
        <w:rPr>
          <w:rStyle w:val="CharSectno"/>
        </w:rPr>
        <w:t>370</w:t>
      </w:r>
      <w:r>
        <w:t>.</w:t>
      </w:r>
      <w:r>
        <w:tab/>
        <w:t>General qualification requirements for educators — children over preschool age</w:t>
      </w:r>
      <w:bookmarkEnd w:id="535"/>
      <w:r>
        <w:t xml:space="preserve"> </w:t>
      </w:r>
    </w:p>
    <w:p>
      <w:pPr>
        <w:pStyle w:val="Subsection"/>
        <w:spacing w:before="150"/>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spacing w:before="150"/>
      </w:pPr>
      <w:r>
        <w:tab/>
        <w:t>(2)</w:t>
      </w:r>
      <w:r>
        <w:tab/>
        <w:t>The number of educators at the service who are required to be qualified educators is the relevant number set out in column 4 of the Table to regulation 369 in relation to the service.</w:t>
      </w:r>
    </w:p>
    <w:p>
      <w:pPr>
        <w:pStyle w:val="Subsection"/>
        <w:spacing w:before="150"/>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t>
      </w:r>
      <w:smartTag w:uri="urn:schemas-microsoft-com:office:smarttags" w:element="place">
        <w:smartTag w:uri="urn:schemas-microsoft-com:office:smarttags" w:element="State">
          <w:r>
            <w:t>Western Australia</w:t>
          </w:r>
        </w:smartTag>
      </w:smartTag>
      <w:r>
        <w:t>.</w:t>
      </w:r>
    </w:p>
    <w:p>
      <w:pPr>
        <w:pStyle w:val="Heading4"/>
      </w:pPr>
      <w:bookmarkStart w:id="536" w:name="_Toc397340593"/>
      <w:bookmarkStart w:id="537" w:name="_Toc398888030"/>
      <w:bookmarkStart w:id="538" w:name="_Toc398888449"/>
      <w:r>
        <w:t>Division 3 — Minimum number of educators and qualifications required — centre</w:t>
      </w:r>
      <w:r>
        <w:noBreakHyphen/>
        <w:t>based services — children preschool age or under</w:t>
      </w:r>
      <w:bookmarkEnd w:id="536"/>
      <w:bookmarkEnd w:id="537"/>
      <w:bookmarkEnd w:id="538"/>
    </w:p>
    <w:p>
      <w:pPr>
        <w:pStyle w:val="Heading5"/>
      </w:pPr>
      <w:bookmarkStart w:id="539" w:name="_Toc398888450"/>
      <w:r>
        <w:rPr>
          <w:rStyle w:val="CharSectno"/>
        </w:rPr>
        <w:t>371</w:t>
      </w:r>
      <w:r>
        <w:t>.</w:t>
      </w:r>
      <w:r>
        <w:tab/>
        <w:t>Educator to child ratio — children preschool age or under who are 36 months of age or over (other than for a pre</w:t>
      </w:r>
      <w:r>
        <w:noBreakHyphen/>
        <w:t>kindergarten programme or kindergarten programme)</w:t>
      </w:r>
      <w:bookmarkEnd w:id="539"/>
      <w:r>
        <w:t xml:space="preserve"> </w:t>
      </w:r>
    </w:p>
    <w:p>
      <w:pPr>
        <w:pStyle w:val="NotesPerm"/>
        <w:tabs>
          <w:tab w:val="clear" w:pos="879"/>
          <w:tab w:val="left" w:pos="851"/>
        </w:tabs>
        <w:ind w:left="1418" w:hanging="1418"/>
      </w:pPr>
      <w:r>
        <w:tab/>
        <w:t>Note:</w:t>
      </w:r>
      <w:r>
        <w:tab/>
        <w:t>Regulation 371 of the national regulations made by the Ministerial Council does not apply as a law of WA.</w:t>
      </w:r>
    </w:p>
    <w:p>
      <w:pPr>
        <w:pStyle w:val="Heading5"/>
      </w:pPr>
      <w:bookmarkStart w:id="540" w:name="_Toc398888451"/>
      <w:r>
        <w:rPr>
          <w:rStyle w:val="CharSectno"/>
        </w:rPr>
        <w:t>372</w:t>
      </w:r>
      <w:r>
        <w:t>.</w:t>
      </w:r>
      <w:r>
        <w:tab/>
        <w:t>Educator to child ratio — pre</w:t>
      </w:r>
      <w:r>
        <w:noBreakHyphen/>
        <w:t>kindergarten programme or kindergarten programme provided by a school</w:t>
      </w:r>
      <w:bookmarkEnd w:id="540"/>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541" w:name="_Toc398888452"/>
      <w:r>
        <w:rPr>
          <w:rStyle w:val="CharSectno"/>
        </w:rPr>
        <w:t>373</w:t>
      </w:r>
      <w:r>
        <w:t>.</w:t>
      </w:r>
      <w:r>
        <w:tab/>
        <w:t>Early childhood teachers — pre</w:t>
      </w:r>
      <w:r>
        <w:noBreakHyphen/>
        <w:t>kindergarten programme or kindergarten programme provided by a school</w:t>
      </w:r>
      <w:bookmarkEnd w:id="541"/>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must be in attendance at all times that children are being educated and cared for by the programme.</w:t>
      </w:r>
    </w:p>
    <w:p>
      <w:pPr>
        <w:pStyle w:val="Heading4"/>
      </w:pPr>
      <w:bookmarkStart w:id="542" w:name="_Toc397340597"/>
      <w:bookmarkStart w:id="543" w:name="_Toc398888034"/>
      <w:bookmarkStart w:id="544" w:name="_Toc398888453"/>
      <w:r>
        <w:t>Division 4 — Transitional provisions — staffing arrangements</w:t>
      </w:r>
      <w:bookmarkEnd w:id="542"/>
      <w:bookmarkEnd w:id="543"/>
      <w:bookmarkEnd w:id="544"/>
    </w:p>
    <w:p>
      <w:pPr>
        <w:pStyle w:val="MiscellaneousHeading"/>
        <w:rPr>
          <w:b/>
          <w:bCs/>
        </w:rPr>
      </w:pPr>
      <w:r>
        <w:rPr>
          <w:b/>
          <w:bCs/>
        </w:rPr>
        <w:t>Subdivision 1 — Centre</w:t>
      </w:r>
      <w:r>
        <w:rPr>
          <w:b/>
          <w:bCs/>
        </w:rPr>
        <w:noBreakHyphen/>
        <w:t>based services</w:t>
      </w:r>
    </w:p>
    <w:p>
      <w:pPr>
        <w:pStyle w:val="Heading5"/>
      </w:pPr>
      <w:bookmarkStart w:id="545" w:name="_Toc398888454"/>
      <w:r>
        <w:rPr>
          <w:rStyle w:val="CharSectno"/>
        </w:rPr>
        <w:t>374</w:t>
      </w:r>
      <w:r>
        <w:t>.</w:t>
      </w:r>
      <w:r>
        <w:tab/>
        <w:t>Educator to child ratio — pre</w:t>
      </w:r>
      <w:r>
        <w:noBreakHyphen/>
        <w:t>kindergarten programme or kindergarten programme provided by a school</w:t>
      </w:r>
      <w:bookmarkEnd w:id="545"/>
      <w:r>
        <w:t xml:space="preserve"> </w:t>
      </w:r>
    </w:p>
    <w:p>
      <w:pPr>
        <w:pStyle w:val="Subsection"/>
      </w:pPr>
      <w:r>
        <w:tab/>
        <w:t>(1)</w:t>
      </w:r>
      <w:r>
        <w:tab/>
        <w:t>This regulation applies in place of regulation 123(1)(c) until 31 December 2015 to a pre</w:t>
      </w:r>
      <w:r>
        <w:noBreakHyphen/>
        <w:t>kindergarten programme or kindergarten programme provided by a school.</w:t>
      </w:r>
    </w:p>
    <w:p>
      <w:pPr>
        <w:pStyle w:val="Subsection"/>
      </w:pPr>
      <w:r>
        <w:tab/>
        <w:t>(2)</w:t>
      </w:r>
      <w:r>
        <w:tab/>
        <w:t>The educator to child ratio for the programme is 2 educators for the first 25 children and 1 educator for each additional 8 children.</w:t>
      </w:r>
    </w:p>
    <w:p>
      <w:pPr>
        <w:pStyle w:val="Subsection"/>
      </w:pPr>
      <w:r>
        <w:tab/>
        <w:t>(3)</w:t>
      </w:r>
      <w:r>
        <w:tab/>
        <w:t>Despite subregulation (2), if the programme educates and cares for 13 or fewer children, the programme may meet the educator to child ratio for those children with 1 educator who is an early childhood teacher.</w:t>
      </w:r>
    </w:p>
    <w:p>
      <w:pPr>
        <w:pStyle w:val="Heading5"/>
      </w:pPr>
      <w:bookmarkStart w:id="546" w:name="_Toc398888455"/>
      <w:r>
        <w:rPr>
          <w:rStyle w:val="CharSectno"/>
        </w:rPr>
        <w:t>374A</w:t>
      </w:r>
      <w:r>
        <w:t>.</w:t>
      </w:r>
      <w:r>
        <w:tab/>
        <w:t>Educator to child ratios — centre</w:t>
      </w:r>
      <w:r>
        <w:noBreakHyphen/>
        <w:t>based services during lunch periods</w:t>
      </w:r>
      <w:bookmarkEnd w:id="546"/>
    </w:p>
    <w:p>
      <w:pPr>
        <w:pStyle w:val="Subsection"/>
        <w:spacing w:before="120"/>
      </w:pPr>
      <w:r>
        <w:tab/>
        <w:t>(1)</w:t>
      </w:r>
      <w:r>
        <w:tab/>
        <w:t xml:space="preserve">In this regulation — </w:t>
      </w:r>
    </w:p>
    <w:p>
      <w:pPr>
        <w:pStyle w:val="Defstart"/>
      </w:pPr>
      <w:r>
        <w:tab/>
      </w:r>
      <w:r>
        <w:rPr>
          <w:rStyle w:val="CharDefText"/>
        </w:rPr>
        <w:t>lunch period</w:t>
      </w:r>
      <w:r>
        <w:t xml:space="preserve"> means a period of not more than 3 hours in any day during which educators at centre</w:t>
      </w:r>
      <w:r>
        <w:noBreakHyphen/>
        <w:t>based services are permitted to have lunch breaks.</w:t>
      </w:r>
    </w:p>
    <w:p>
      <w:pPr>
        <w:pStyle w:val="Subsection"/>
        <w:spacing w:before="120"/>
      </w:pPr>
      <w:r>
        <w:tab/>
        <w:t>(2)</w:t>
      </w:r>
      <w:r>
        <w:tab/>
        <w:t>This regulation applies in place of regulation 123 until 31 July 2015 to a centre</w:t>
      </w:r>
      <w:r>
        <w:noBreakHyphen/>
        <w:t>based service during lunch periods.</w:t>
      </w:r>
    </w:p>
    <w:p>
      <w:pPr>
        <w:pStyle w:val="Subsection"/>
        <w:spacing w:before="120"/>
      </w:pPr>
      <w:r>
        <w:tab/>
        <w:t>(3)</w:t>
      </w:r>
      <w:r>
        <w:tab/>
        <w:t>During lunch periods, a centre</w:t>
      </w:r>
      <w:r>
        <w:noBreakHyphen/>
        <w:t>based service that educates and cares for children who are 5 years of age or under may meet the educator to child ratio for those children with a number of educators that is not less than 60% of the number of educators that would otherwise be required under regulation 123.</w:t>
      </w:r>
    </w:p>
    <w:p>
      <w:pPr>
        <w:pStyle w:val="NotesPerm"/>
        <w:tabs>
          <w:tab w:val="clear" w:pos="879"/>
          <w:tab w:val="left" w:pos="851"/>
        </w:tabs>
        <w:spacing w:before="80"/>
        <w:ind w:left="1418" w:hanging="1418"/>
      </w:pPr>
      <w:r>
        <w:tab/>
        <w:t>Note:</w:t>
      </w:r>
      <w:r>
        <w:tab/>
        <w:t>Regulation 374A does not form part of the national regulations made by the Ministerial Council.</w:t>
      </w:r>
    </w:p>
    <w:p>
      <w:pPr>
        <w:pStyle w:val="Footnotesection"/>
        <w:spacing w:before="80"/>
      </w:pPr>
      <w:r>
        <w:tab/>
        <w:t>[Regulation 374A amended in Gazette 6 Jun 2014 p. 1788.]</w:t>
      </w:r>
    </w:p>
    <w:p>
      <w:pPr>
        <w:pStyle w:val="Heading5"/>
        <w:spacing w:before="200"/>
      </w:pPr>
      <w:bookmarkStart w:id="547" w:name="_Toc398888456"/>
      <w:r>
        <w:rPr>
          <w:rStyle w:val="CharSectno"/>
        </w:rPr>
        <w:t>375</w:t>
      </w:r>
      <w:r>
        <w:t>.</w:t>
      </w:r>
      <w:r>
        <w:tab/>
        <w:t>Qualifications for educators — children aged 24 months or under (other than for a pre</w:t>
      </w:r>
      <w:r>
        <w:noBreakHyphen/>
        <w:t>kindergarten programme or kindergarten programme)</w:t>
      </w:r>
      <w:bookmarkEnd w:id="547"/>
    </w:p>
    <w:p>
      <w:pPr>
        <w:pStyle w:val="Subsection"/>
        <w:spacing w:before="120"/>
      </w:pPr>
      <w:r>
        <w:tab/>
        <w:t>(1)</w:t>
      </w:r>
      <w:r>
        <w:tab/>
        <w:t>This regulation applies to a centre</w:t>
      </w:r>
      <w:r>
        <w:noBreakHyphen/>
        <w:t>based service until 31 December 2013.</w:t>
      </w:r>
    </w:p>
    <w:p>
      <w:pPr>
        <w:pStyle w:val="Subsection"/>
        <w:spacing w:before="120"/>
      </w:pPr>
      <w:r>
        <w:tab/>
        <w:t>(2)</w:t>
      </w:r>
      <w:r>
        <w:tab/>
        <w:t>This regulation does not apply to a pre</w:t>
      </w:r>
      <w:r>
        <w:noBreakHyphen/>
        <w:t>kindergarten programme or a kindergarten programme provided by a school.</w:t>
      </w:r>
    </w:p>
    <w:p>
      <w:pPr>
        <w:pStyle w:val="Subsection"/>
        <w:spacing w:before="120"/>
      </w:pPr>
      <w:r>
        <w:tab/>
        <w:t>(3)</w:t>
      </w:r>
      <w:r>
        <w:tab/>
        <w:t>One of every 3 educators required to meet the educator to child ratio for children aged 24 months or under at a centre</w:t>
      </w:r>
      <w:r>
        <w:noBreakHyphen/>
        <w:t xml:space="preserve">based service must — </w:t>
      </w:r>
    </w:p>
    <w:p>
      <w:pPr>
        <w:pStyle w:val="Indenta"/>
        <w:spacing w:before="60"/>
      </w:pPr>
      <w:r>
        <w:tab/>
        <w:t>(a)</w:t>
      </w:r>
      <w:r>
        <w:tab/>
        <w:t xml:space="preserve">hold — </w:t>
      </w:r>
    </w:p>
    <w:p>
      <w:pPr>
        <w:pStyle w:val="Indenti"/>
        <w:spacing w:before="60"/>
      </w:pPr>
      <w:r>
        <w:tab/>
        <w:t>(i)</w:t>
      </w:r>
      <w:r>
        <w:tab/>
        <w:t>an approved diploma level education and care qualification; or</w:t>
      </w:r>
    </w:p>
    <w:p>
      <w:pPr>
        <w:pStyle w:val="Indenti"/>
        <w:spacing w:before="60"/>
      </w:pPr>
      <w:r>
        <w:tab/>
        <w:t>(ii)</w:t>
      </w:r>
      <w:r>
        <w:tab/>
        <w:t>a qualification published under regulation 137(2) in the list of former qualifications approved as diploma level education and care qualifications;</w:t>
      </w:r>
    </w:p>
    <w:p>
      <w:pPr>
        <w:pStyle w:val="Indenta"/>
        <w:spacing w:before="60"/>
      </w:pPr>
      <w:r>
        <w:tab/>
      </w:r>
      <w:r>
        <w:tab/>
        <w:t>and</w:t>
      </w:r>
    </w:p>
    <w:p>
      <w:pPr>
        <w:pStyle w:val="Indenta"/>
      </w:pPr>
      <w:r>
        <w:tab/>
        <w:t>(b)</w:t>
      </w:r>
      <w:r>
        <w:tab/>
        <w:t>have undertaken a specialist course on the principles and practices of the care and education of children aged no more than 24 months; and</w:t>
      </w:r>
    </w:p>
    <w:p>
      <w:pPr>
        <w:pStyle w:val="Indenta"/>
      </w:pPr>
      <w:r>
        <w:tab/>
        <w:t>(c)</w:t>
      </w:r>
      <w:r>
        <w:tab/>
        <w:t>have at least 100 hours practical experience educating and caring for children aged 24 months or under.</w:t>
      </w:r>
    </w:p>
    <w:p>
      <w:pPr>
        <w:pStyle w:val="Subsection"/>
      </w:pPr>
      <w:r>
        <w:tab/>
        <w:t>(4)</w:t>
      </w:r>
      <w:r>
        <w:tab/>
        <w:t>The qualification requirements in regulation 126(1) do not apply in relation to the educators educating and caring for children aged 24 months or under at the service.</w:t>
      </w:r>
    </w:p>
    <w:p>
      <w:pPr>
        <w:pStyle w:val="Heading5"/>
      </w:pPr>
      <w:bookmarkStart w:id="548" w:name="_Toc398888457"/>
      <w:r>
        <w:rPr>
          <w:rStyle w:val="CharSectno"/>
        </w:rPr>
        <w:t>376</w:t>
      </w:r>
      <w:r>
        <w:t>.</w:t>
      </w:r>
      <w:r>
        <w:tab/>
        <w:t>Qualifications for educators — children aged more than 24 months but less than 36 months (other than for a pre</w:t>
      </w:r>
      <w:r>
        <w:noBreakHyphen/>
        <w:t>kindergarten programme or kindergarten programme)</w:t>
      </w:r>
      <w:bookmarkEnd w:id="548"/>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a kindergarten programme provided by a school.</w:t>
      </w:r>
    </w:p>
    <w:p>
      <w:pPr>
        <w:pStyle w:val="Subsection"/>
      </w:pPr>
      <w:r>
        <w:tab/>
        <w:t>(3)</w:t>
      </w:r>
      <w:r>
        <w:tab/>
        <w:t>One of every 3 educators required to meet the educator to child ratio for children aged more than 24 months but less than 36 months at the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w:t>
      </w:r>
    </w:p>
    <w:p>
      <w:pPr>
        <w:pStyle w:val="Indenta"/>
      </w:pPr>
      <w:r>
        <w:tab/>
      </w:r>
      <w:r>
        <w:tab/>
        <w:t>or</w:t>
      </w:r>
    </w:p>
    <w:p>
      <w:pPr>
        <w:pStyle w:val="Indenta"/>
      </w:pPr>
      <w:r>
        <w:tab/>
        <w:t>(b)</w:t>
      </w:r>
      <w:r>
        <w:tab/>
        <w:t>be a registered mothercraft nurse.</w:t>
      </w:r>
    </w:p>
    <w:p>
      <w:pPr>
        <w:pStyle w:val="Subsection"/>
      </w:pPr>
      <w:r>
        <w:tab/>
        <w:t>(4)</w:t>
      </w:r>
      <w:r>
        <w:tab/>
        <w:t>The qualification requirements in regulation 126(1) do not apply in relation to the educators educating and caring for children aged more than 24 months but less than 36 months.</w:t>
      </w:r>
    </w:p>
    <w:p>
      <w:pPr>
        <w:pStyle w:val="Footnotesection"/>
      </w:pPr>
      <w:r>
        <w:tab/>
        <w:t>[Regulation 376 amended in Gazette 5 Mar 2013 p. 1109.]</w:t>
      </w:r>
    </w:p>
    <w:p>
      <w:pPr>
        <w:pStyle w:val="Heading5"/>
      </w:pPr>
      <w:bookmarkStart w:id="549" w:name="_Toc398888458"/>
      <w:r>
        <w:rPr>
          <w:rStyle w:val="CharSectno"/>
        </w:rPr>
        <w:t>377</w:t>
      </w:r>
      <w:r>
        <w:t>.</w:t>
      </w:r>
      <w:r>
        <w:tab/>
        <w:t>Qualifications for educators — children preschool age or under who are 36 months of age or over (other than a pre</w:t>
      </w:r>
      <w:r>
        <w:noBreakHyphen/>
        <w:t>kindergarten programme or kindergarten programme)</w:t>
      </w:r>
      <w:bookmarkEnd w:id="549"/>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kindergarten programme provided by a school.</w:t>
      </w:r>
    </w:p>
    <w:p>
      <w:pPr>
        <w:pStyle w:val="Subsection"/>
      </w:pPr>
      <w:r>
        <w:tab/>
        <w:t>(3)</w:t>
      </w:r>
      <w:r>
        <w:tab/>
        <w:t>One of every 3 educators required to meet the educator to child ratio for children preschool age or under who are 36 months of age or over at a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w:t>
      </w:r>
    </w:p>
    <w:p>
      <w:pPr>
        <w:pStyle w:val="Indenta"/>
      </w:pPr>
      <w:r>
        <w:tab/>
      </w:r>
      <w:r>
        <w:tab/>
        <w:t>or</w:t>
      </w:r>
    </w:p>
    <w:p>
      <w:pPr>
        <w:pStyle w:val="Indenta"/>
      </w:pPr>
      <w:r>
        <w:tab/>
        <w:t>(b)</w:t>
      </w:r>
      <w:r>
        <w:tab/>
        <w:t>be a registered mothercraft nurse.</w:t>
      </w:r>
    </w:p>
    <w:p>
      <w:pPr>
        <w:pStyle w:val="Subsection"/>
      </w:pPr>
      <w:r>
        <w:tab/>
        <w:t>(4)</w:t>
      </w:r>
      <w:r>
        <w:tab/>
        <w:t>The qualification requirements in regulation 126(1) do not apply to educators educating and caring for children preschool age or under who are 36 months of age or over at the service.</w:t>
      </w:r>
    </w:p>
    <w:p>
      <w:pPr>
        <w:pStyle w:val="Heading5"/>
      </w:pPr>
      <w:bookmarkStart w:id="550" w:name="_Toc398888459"/>
      <w:r>
        <w:rPr>
          <w:rStyle w:val="CharSectno"/>
        </w:rPr>
        <w:t>378</w:t>
      </w:r>
      <w:r>
        <w:t>.</w:t>
      </w:r>
      <w:r>
        <w:tab/>
        <w:t>Qualifications for educators — pre</w:t>
      </w:r>
      <w:r>
        <w:noBreakHyphen/>
        <w:t>kindergarten programme or kindergarten programme provided by a school</w:t>
      </w:r>
      <w:bookmarkEnd w:id="550"/>
      <w:r>
        <w:t xml:space="preserve"> </w:t>
      </w:r>
    </w:p>
    <w:p>
      <w:pPr>
        <w:pStyle w:val="Subsection"/>
      </w:pPr>
      <w:r>
        <w:tab/>
        <w:t>(1)</w:t>
      </w:r>
      <w:r>
        <w:tab/>
        <w:t>This regulation applies to a pre</w:t>
      </w:r>
      <w:r>
        <w:noBreakHyphen/>
        <w:t>kindergarten programme or kindergarten programme provided by a school.</w:t>
      </w:r>
    </w:p>
    <w:p>
      <w:pPr>
        <w:pStyle w:val="Subsection"/>
      </w:pPr>
      <w:r>
        <w:tab/>
        <w:t>(2)</w:t>
      </w:r>
      <w:r>
        <w:tab/>
        <w:t>The qualification requirements in regulation 126(1) do not apply before 1 January 2014.</w:t>
      </w:r>
    </w:p>
    <w:p>
      <w:pPr>
        <w:pStyle w:val="Heading5"/>
      </w:pPr>
      <w:bookmarkStart w:id="551" w:name="_Toc398888460"/>
      <w:r>
        <w:rPr>
          <w:rStyle w:val="CharSectno"/>
        </w:rPr>
        <w:t>379</w:t>
      </w:r>
      <w:r>
        <w:t>.</w:t>
      </w:r>
      <w:r>
        <w:tab/>
        <w:t>Educators required to be early childhood teachers</w:t>
      </w:r>
      <w:bookmarkEnd w:id="551"/>
      <w:r>
        <w:t xml:space="preserve"> </w:t>
      </w:r>
    </w:p>
    <w:p>
      <w:pPr>
        <w:pStyle w:val="Subsection"/>
      </w:pPr>
      <w:r>
        <w:tab/>
        <w:t>(1)</w:t>
      </w:r>
      <w:r>
        <w:tab/>
        <w:t>Division 5 of Part 4.4 does not apply to a centre</w:t>
      </w:r>
      <w:r>
        <w:noBreakHyphen/>
        <w:t>based service until 1 January 2014.</w:t>
      </w:r>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NotesPerm"/>
        <w:tabs>
          <w:tab w:val="clear" w:pos="879"/>
          <w:tab w:val="left" w:pos="851"/>
        </w:tabs>
        <w:ind w:left="1418" w:hanging="1418"/>
      </w:pPr>
      <w:r>
        <w:tab/>
        <w:t>Note:</w:t>
      </w:r>
      <w:r>
        <w:tab/>
        <w:t>This regulation differs from regulation 379 of the national regulations made by the Ministerial Council.</w:t>
      </w:r>
    </w:p>
    <w:p>
      <w:pPr>
        <w:pStyle w:val="Footnotesection"/>
      </w:pPr>
      <w:r>
        <w:tab/>
        <w:t>[Regulation 379 amended in Gazette 13 Dec 2013 p.</w:t>
      </w:r>
      <w:r>
        <w:rPr>
          <w:sz w:val="19"/>
        </w:rPr>
        <w:t> </w:t>
      </w:r>
      <w:r>
        <w:t>6170.]</w:t>
      </w:r>
    </w:p>
    <w:p>
      <w:pPr>
        <w:pStyle w:val="MiscellaneousHeading"/>
        <w:spacing w:before="280"/>
        <w:outlineLvl w:val="0"/>
        <w:rPr>
          <w:b/>
          <w:bCs/>
        </w:rPr>
      </w:pPr>
      <w:r>
        <w:rPr>
          <w:b/>
          <w:bCs/>
        </w:rPr>
        <w:t>Subdivision 2 — Family day care services</w:t>
      </w:r>
    </w:p>
    <w:p>
      <w:pPr>
        <w:pStyle w:val="Heading5"/>
      </w:pPr>
      <w:bookmarkStart w:id="552" w:name="_Toc398888461"/>
      <w:r>
        <w:rPr>
          <w:rStyle w:val="CharSectno"/>
        </w:rPr>
        <w:t>380</w:t>
      </w:r>
      <w:r>
        <w:t>.</w:t>
      </w:r>
      <w:r>
        <w:tab/>
        <w:t>Number of children who can be educated and cared for — family day care educator</w:t>
      </w:r>
      <w:bookmarkEnd w:id="552"/>
      <w:r>
        <w:t xml:space="preserve"> </w:t>
      </w:r>
    </w:p>
    <w:p>
      <w:pPr>
        <w:pStyle w:val="Subsection"/>
      </w:pPr>
      <w:r>
        <w:tab/>
        <w:t>(1)</w:t>
      </w:r>
      <w:r>
        <w:tab/>
        <w:t>This regulation applies in place of regulation 124 until 31 December 2013.</w:t>
      </w:r>
    </w:p>
    <w:p>
      <w:pPr>
        <w:pStyle w:val="Subsection"/>
      </w:pPr>
      <w:r>
        <w:tab/>
        <w:t>(2)</w:t>
      </w:r>
      <w:r>
        <w:tab/>
        <w:t>A family day care educator must not educate and care for more than 7 children at any one time.</w:t>
      </w:r>
    </w:p>
    <w:p>
      <w:pPr>
        <w:pStyle w:val="Subsection"/>
      </w:pPr>
      <w:r>
        <w:tab/>
        <w:t>(3)</w:t>
      </w:r>
      <w:r>
        <w:tab/>
        <w:t xml:space="preserve">In determining the number of children for subregulation (1) — </w:t>
      </w:r>
    </w:p>
    <w:p>
      <w:pPr>
        <w:pStyle w:val="Indenta"/>
      </w:pPr>
      <w:r>
        <w:tab/>
        <w:t>(a)</w:t>
      </w:r>
      <w:r>
        <w:tab/>
        <w:t>any child who has commenced a secondary programme is not counted; and</w:t>
      </w:r>
    </w:p>
    <w:p>
      <w:pPr>
        <w:pStyle w:val="Indenta"/>
      </w:pPr>
      <w:r>
        <w:tab/>
        <w:t>(b)</w:t>
      </w:r>
      <w:r>
        <w:tab/>
        <w:t>the educator’s own children are counted unless they are excluded by paragraph (a); and</w:t>
      </w:r>
    </w:p>
    <w:p>
      <w:pPr>
        <w:pStyle w:val="Indenta"/>
      </w:pPr>
      <w:r>
        <w:tab/>
        <w:t>(c)</w:t>
      </w:r>
      <w:r>
        <w:tab/>
        <w:t>no more than 5 children may be below the age to attend a pre</w:t>
      </w:r>
      <w:r>
        <w:noBreakHyphen/>
        <w:t>primary programme; and</w:t>
      </w:r>
    </w:p>
    <w:p>
      <w:pPr>
        <w:pStyle w:val="Indenta"/>
      </w:pPr>
      <w:r>
        <w:tab/>
        <w:t>(d)</w:t>
      </w:r>
      <w:r>
        <w:tab/>
        <w:t>at least one of the children referred to in paragraph (c) must be a child attending a kindergarten programme.</w:t>
      </w:r>
    </w:p>
    <w:p>
      <w:pPr>
        <w:pStyle w:val="Subsection"/>
      </w:pPr>
      <w:r>
        <w:tab/>
        <w:t>(4)</w:t>
      </w:r>
      <w:r>
        <w:tab/>
        <w:t>Despite subregulation (2), the approved provider of a family day care service may approve, in writing, a family day care educator to educate and care for more than 7 children, or more than 5 children below the age to attend a pre</w:t>
      </w:r>
      <w:r>
        <w:noBreakHyphen/>
        <w:t>primary programme, at any one time, in exceptional circumstances.</w:t>
      </w:r>
    </w:p>
    <w:p>
      <w:pPr>
        <w:pStyle w:val="Subsection"/>
        <w:keepNext/>
      </w:pPr>
      <w:r>
        <w:tab/>
        <w:t>(5)</w:t>
      </w:r>
      <w:r>
        <w:tab/>
        <w:t xml:space="preserve">For the purposes of subregulation (4),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5"/>
      </w:pPr>
      <w:bookmarkStart w:id="553" w:name="_Toc398888462"/>
      <w:r>
        <w:rPr>
          <w:rStyle w:val="CharSectno"/>
        </w:rPr>
        <w:t>381</w:t>
      </w:r>
      <w:r>
        <w:t>.</w:t>
      </w:r>
      <w:r>
        <w:tab/>
        <w:t>Qualifications for family day care educators</w:t>
      </w:r>
      <w:bookmarkEnd w:id="553"/>
      <w:r>
        <w:t xml:space="preserve"> </w:t>
      </w:r>
    </w:p>
    <w:p>
      <w:pPr>
        <w:pStyle w:val="Subsection"/>
      </w:pPr>
      <w:r>
        <w:tab/>
      </w:r>
      <w:r>
        <w:tab/>
        <w:t>The qualification requirements in regulation 127 do not apply to family day care educators before 1 January 2014.</w:t>
      </w:r>
    </w:p>
    <w:p>
      <w:pPr>
        <w:pStyle w:val="Heading5"/>
      </w:pPr>
      <w:bookmarkStart w:id="554" w:name="_Toc398888463"/>
      <w:r>
        <w:rPr>
          <w:rStyle w:val="CharSectno"/>
        </w:rPr>
        <w:t>382</w:t>
      </w:r>
      <w:r>
        <w:t>.</w:t>
      </w:r>
      <w:r>
        <w:tab/>
        <w:t>Qualifications for family day care co</w:t>
      </w:r>
      <w:r>
        <w:noBreakHyphen/>
        <w:t>ordinators</w:t>
      </w:r>
      <w:bookmarkEnd w:id="554"/>
      <w:r>
        <w:t xml:space="preserve"> </w:t>
      </w:r>
    </w:p>
    <w:p>
      <w:pPr>
        <w:pStyle w:val="Subsection"/>
      </w:pPr>
      <w:r>
        <w:tab/>
      </w:r>
      <w:r>
        <w:tab/>
        <w:t>The qualification requirements in regulation 128 do not apply to family day care co</w:t>
      </w:r>
      <w:r>
        <w:noBreakHyphen/>
        <w:t>ordinators before 1 January 2014.</w:t>
      </w:r>
    </w:p>
    <w:p>
      <w:pPr>
        <w:pStyle w:val="Heading4"/>
      </w:pPr>
      <w:bookmarkStart w:id="555" w:name="_Toc397340608"/>
      <w:bookmarkStart w:id="556" w:name="_Toc398888045"/>
      <w:bookmarkStart w:id="557" w:name="_Toc398888464"/>
      <w:r>
        <w:t>Division 5 — Saving provision — physical environment</w:t>
      </w:r>
      <w:bookmarkEnd w:id="555"/>
      <w:bookmarkEnd w:id="556"/>
      <w:bookmarkEnd w:id="557"/>
    </w:p>
    <w:p>
      <w:pPr>
        <w:pStyle w:val="Heading5"/>
      </w:pPr>
      <w:bookmarkStart w:id="558" w:name="_Toc398888465"/>
      <w:r>
        <w:rPr>
          <w:rStyle w:val="CharSectno"/>
        </w:rPr>
        <w:t>383</w:t>
      </w:r>
      <w:r>
        <w:t>.</w:t>
      </w:r>
      <w:r>
        <w:tab/>
        <w:t>Saving provision — education and care services provided by a school</w:t>
      </w:r>
      <w:bookmarkEnd w:id="558"/>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NotesPerm"/>
        <w:tabs>
          <w:tab w:val="clear" w:pos="879"/>
          <w:tab w:val="left" w:pos="851"/>
        </w:tabs>
        <w:ind w:left="1418" w:hanging="1418"/>
      </w:pPr>
      <w:r>
        <w:tab/>
        <w:t>Note:</w:t>
      </w:r>
      <w:r>
        <w:tab/>
        <w:t>See also Division 7 of Part 7.1.</w:t>
      </w:r>
    </w:p>
    <w:p>
      <w:pPr>
        <w:pStyle w:val="Heading4"/>
      </w:pPr>
      <w:bookmarkStart w:id="559" w:name="_Toc397340610"/>
      <w:bookmarkStart w:id="560" w:name="_Toc398888047"/>
      <w:bookmarkStart w:id="561" w:name="_Toc398888466"/>
      <w:r>
        <w:t>Division 6 — Other transitional matters</w:t>
      </w:r>
      <w:bookmarkEnd w:id="559"/>
      <w:bookmarkEnd w:id="560"/>
      <w:bookmarkEnd w:id="561"/>
    </w:p>
    <w:p>
      <w:pPr>
        <w:pStyle w:val="Heading5"/>
      </w:pPr>
      <w:bookmarkStart w:id="562" w:name="_Toc398888467"/>
      <w:r>
        <w:rPr>
          <w:rStyle w:val="CharSectno"/>
        </w:rPr>
        <w:t>384</w:t>
      </w:r>
      <w:r>
        <w:t>.</w:t>
      </w:r>
      <w:r>
        <w:tab/>
        <w:t>Monetary orders under former education and care services law</w:t>
      </w:r>
      <w:bookmarkEnd w:id="562"/>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NotesPerm"/>
        <w:tabs>
          <w:tab w:val="clear" w:pos="879"/>
          <w:tab w:val="left" w:pos="851"/>
        </w:tabs>
        <w:ind w:left="1418" w:hanging="1418"/>
      </w:pPr>
      <w:r>
        <w:tab/>
        <w:t>Note:</w:t>
      </w:r>
      <w:r>
        <w:tab/>
        <w:t>Regulation 384 does not form part of the national regulations made by the Ministerial Council.</w:t>
      </w:r>
    </w:p>
    <w:p>
      <w:pPr>
        <w:pStyle w:val="Heading5"/>
      </w:pPr>
      <w:bookmarkStart w:id="563" w:name="_Toc398888468"/>
      <w:r>
        <w:rPr>
          <w:rStyle w:val="CharSectno"/>
        </w:rPr>
        <w:t>385</w:t>
      </w:r>
      <w:r>
        <w:t>.</w:t>
      </w:r>
      <w:r>
        <w:tab/>
        <w:t>Proceedings under former education and care services law</w:t>
      </w:r>
      <w:bookmarkEnd w:id="563"/>
      <w:r>
        <w:t xml:space="preserve"> </w:t>
      </w:r>
    </w:p>
    <w:p>
      <w:pPr>
        <w:pStyle w:val="Subsection"/>
      </w:pPr>
      <w:r>
        <w:tab/>
      </w:r>
      <w:r>
        <w:tab/>
        <w:t xml:space="preserve">The Regulatory Authority may commence or continue proceedings under section 29 of the </w:t>
      </w:r>
      <w:r>
        <w:rPr>
          <w:i/>
        </w:rPr>
        <w:t>Child Care Services Act 2007</w:t>
      </w:r>
      <w:r>
        <w:t xml:space="preserve"> of </w:t>
      </w:r>
      <w:smartTag w:uri="urn:schemas-microsoft-com:office:smarttags" w:element="place">
        <w:smartTag w:uri="urn:schemas-microsoft-com:office:smarttags" w:element="State">
          <w:r>
            <w:t>Western Australia</w:t>
          </w:r>
        </w:smartTag>
      </w:smartTag>
      <w:r>
        <w:t xml:space="preserve"> in relation to a person who held a licence under that Act in relation to a service that is taken to be an education and care service.</w:t>
      </w:r>
    </w:p>
    <w:p>
      <w:pPr>
        <w:pStyle w:val="NotesPerm"/>
        <w:tabs>
          <w:tab w:val="clear" w:pos="879"/>
          <w:tab w:val="left" w:pos="851"/>
        </w:tabs>
        <w:ind w:left="1418" w:hanging="1418"/>
      </w:pPr>
      <w:r>
        <w:tab/>
        <w:t>Note:</w:t>
      </w:r>
      <w:r>
        <w:tab/>
        <w:t>Regulation 385 does not form part of the national regulations made by the Ministerial Council.</w:t>
      </w:r>
    </w:p>
    <w:p>
      <w:pPr>
        <w:pStyle w:val="Footnotesection"/>
      </w:pPr>
      <w:r>
        <w:tab/>
        <w:t>[Regulation 385 amended in Gazette 5 Mar 2013 p. 1109.]</w:t>
      </w:r>
    </w:p>
    <w:p>
      <w:pPr>
        <w:sectPr>
          <w:headerReference w:type="even" r:id="rId26"/>
          <w:headerReference w:type="default" r:id="rId27"/>
          <w:footerReference w:type="even" r:id="rId28"/>
          <w:footerReference w:type="default" r:id="rId29"/>
          <w:footerReference w:type="first" r:id="rId30"/>
          <w:pgSz w:w="11906" w:h="16838" w:code="9"/>
          <w:pgMar w:top="2376" w:right="2404" w:bottom="3544" w:left="2404" w:header="709" w:footer="3380" w:gutter="0"/>
          <w:pgNumType w:start="1"/>
          <w:cols w:space="720"/>
          <w:noEndnote/>
          <w:titlePg/>
          <w:docGrid w:linePitch="326"/>
        </w:sectPr>
      </w:pPr>
    </w:p>
    <w:p>
      <w:pPr>
        <w:pStyle w:val="yScheduleHeading"/>
        <w:outlineLvl w:val="0"/>
      </w:pPr>
      <w:bookmarkStart w:id="564" w:name="_Toc397340613"/>
      <w:bookmarkStart w:id="565" w:name="_Toc398888050"/>
      <w:bookmarkStart w:id="566" w:name="_Toc398888469"/>
      <w:r>
        <w:rPr>
          <w:rStyle w:val="CharSchNo"/>
        </w:rPr>
        <w:t>Schedule 1</w:t>
      </w:r>
      <w:r>
        <w:rPr>
          <w:rStyle w:val="CharSDivNo"/>
        </w:rPr>
        <w:t> </w:t>
      </w:r>
      <w:r>
        <w:t>—</w:t>
      </w:r>
      <w:r>
        <w:rPr>
          <w:rStyle w:val="CharSDivText"/>
        </w:rPr>
        <w:t> </w:t>
      </w:r>
      <w:r>
        <w:rPr>
          <w:rStyle w:val="CharSchText"/>
        </w:rPr>
        <w:t>National Quality Standard</w:t>
      </w:r>
      <w:bookmarkEnd w:id="564"/>
      <w:bookmarkEnd w:id="565"/>
      <w:bookmarkEnd w:id="566"/>
    </w:p>
    <w:p>
      <w:pPr>
        <w:pStyle w:val="NotesPerm"/>
        <w:tabs>
          <w:tab w:val="clear" w:pos="879"/>
          <w:tab w:val="left" w:pos="851"/>
        </w:tabs>
        <w:ind w:left="1418" w:hanging="1418"/>
      </w:pPr>
      <w:r>
        <w:tab/>
        <w:t>Notes:</w:t>
      </w:r>
    </w:p>
    <w:p>
      <w:pPr>
        <w:pStyle w:val="NotesPerm"/>
        <w:tabs>
          <w:tab w:val="clear" w:pos="879"/>
          <w:tab w:val="left" w:pos="851"/>
        </w:tabs>
        <w:spacing w:before="120"/>
        <w:ind w:left="1418" w:hanging="1418"/>
      </w:pPr>
      <w:r>
        <w:tab/>
        <w:t>1</w:t>
      </w:r>
      <w:r>
        <w:tab/>
        <w:t>The National Quality Standard is used to assess education and care services to determine rating levels under Part 5 of the Law.</w:t>
      </w:r>
    </w:p>
    <w:p>
      <w:pPr>
        <w:pStyle w:val="NotesPerm"/>
        <w:tabs>
          <w:tab w:val="clear" w:pos="879"/>
          <w:tab w:val="left" w:pos="851"/>
        </w:tabs>
        <w:spacing w:before="120"/>
        <w:ind w:left="1418" w:hanging="1418"/>
      </w:pPr>
      <w:r>
        <w:tab/>
        <w:t>2</w:t>
      </w:r>
      <w:r>
        <w:tab/>
        <w:t>The Regulatory Authority may suspend a service approval if an education and care service is rated under Part 5 of the Law as not meeting the National Quality Standard, there has been no improvement in that rating and a service waiver or temporary waiver does not apply — see section 70(1)(d) of the Law.</w:t>
      </w:r>
    </w:p>
    <w:p>
      <w:pPr>
        <w:pStyle w:val="yHeading4"/>
      </w:pPr>
      <w:bookmarkStart w:id="567" w:name="_Toc397340614"/>
      <w:bookmarkStart w:id="568" w:name="_Toc398888051"/>
      <w:bookmarkStart w:id="569" w:name="_Toc398888470"/>
      <w:r>
        <w:t>Quality area 1 — Educational program and practice</w:t>
      </w:r>
      <w:bookmarkEnd w:id="567"/>
      <w:bookmarkEnd w:id="568"/>
      <w:bookmarkEnd w:id="569"/>
    </w:p>
    <w:p>
      <w:pPr>
        <w:pStyle w:val="yMiscellaneousBody"/>
      </w:pPr>
      <w:r>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Body"/>
      </w:pPr>
      <w:r>
        <w:rPr>
          <w:b/>
        </w:rPr>
        <w:t>Standard 1.1</w:t>
      </w:r>
      <w:r>
        <w:t xml:space="preserve"> An Approved Learning Framework informs the development of a curriculum that enhances each child’s learning and development. </w:t>
      </w:r>
    </w:p>
    <w:p>
      <w:pPr>
        <w:pStyle w:val="yMiscellaneousBody"/>
        <w:spacing w:before="120"/>
        <w:ind w:left="284"/>
      </w:pPr>
      <w:r>
        <w:rPr>
          <w:b/>
        </w:rPr>
        <w:t>Element 1.1.1</w:t>
      </w:r>
      <w:r>
        <w:t xml:space="preserve"> Curriculum decision making contributes to each child’s learning and development outcomes in relation to their identity, connection with community, wellbeing, confidence as learners and effectiveness as communicators.</w:t>
      </w:r>
    </w:p>
    <w:p>
      <w:pPr>
        <w:pStyle w:val="yMiscellaneousBody"/>
        <w:spacing w:before="120"/>
        <w:ind w:left="284"/>
      </w:pPr>
      <w:r>
        <w:rPr>
          <w:b/>
        </w:rPr>
        <w:t>Element 1.1.2</w:t>
      </w:r>
      <w:r>
        <w:t xml:space="preserve"> Each child’s current knowledge, ideas, culture, abilities and interests are the foundation of the program.</w:t>
      </w:r>
    </w:p>
    <w:p>
      <w:pPr>
        <w:pStyle w:val="yMiscellaneousBody"/>
        <w:spacing w:before="120"/>
        <w:ind w:left="284"/>
      </w:pPr>
      <w:r>
        <w:rPr>
          <w:b/>
        </w:rPr>
        <w:t>Element 1.1.3</w:t>
      </w:r>
      <w:r>
        <w:t xml:space="preserve"> The program, including routines, is organised in ways that maximise opportunities for each child’s learning.</w:t>
      </w:r>
    </w:p>
    <w:p>
      <w:pPr>
        <w:pStyle w:val="yMiscellaneousBody"/>
        <w:spacing w:before="120"/>
        <w:ind w:left="284"/>
      </w:pPr>
      <w:r>
        <w:rPr>
          <w:b/>
        </w:rPr>
        <w:t>Element 1.1.4</w:t>
      </w:r>
      <w:r>
        <w:t xml:space="preserve"> The documentation about each child’s program and progress is available to families.</w:t>
      </w:r>
    </w:p>
    <w:p>
      <w:pPr>
        <w:pStyle w:val="yMiscellaneousBody"/>
        <w:spacing w:before="120"/>
        <w:ind w:left="284"/>
      </w:pPr>
      <w:r>
        <w:rPr>
          <w:b/>
        </w:rPr>
        <w:t>Element 1.1.5</w:t>
      </w:r>
      <w:r>
        <w:t xml:space="preserve"> Every child is supported to participate in the program.</w:t>
      </w:r>
    </w:p>
    <w:p>
      <w:pPr>
        <w:pStyle w:val="yMiscellaneousBody"/>
        <w:spacing w:before="120"/>
        <w:ind w:left="284"/>
      </w:pPr>
      <w:r>
        <w:rPr>
          <w:b/>
        </w:rPr>
        <w:t>Element 1.1.6</w:t>
      </w:r>
      <w:r>
        <w:t xml:space="preserve"> Each child’s agency is promoted, enabling them to make choices and decisions and influence events and their world.</w:t>
      </w:r>
    </w:p>
    <w:p>
      <w:pPr>
        <w:pStyle w:val="yMiscellaneousBody"/>
      </w:pPr>
      <w:r>
        <w:rPr>
          <w:b/>
        </w:rPr>
        <w:t>Standard 1.2</w:t>
      </w:r>
      <w:r>
        <w:t xml:space="preserve"> Educators and co</w:t>
      </w:r>
      <w:r>
        <w:noBreakHyphen/>
        <w:t xml:space="preserve">ordinators are focused, active and reflective in designing and delivering the program for each child. </w:t>
      </w:r>
    </w:p>
    <w:p>
      <w:pPr>
        <w:pStyle w:val="yMiscellaneousBody"/>
        <w:spacing w:before="120"/>
        <w:ind w:left="284"/>
      </w:pPr>
      <w:r>
        <w:rPr>
          <w:b/>
        </w:rPr>
        <w:t>Element 1.2.1</w:t>
      </w:r>
      <w:r>
        <w:t xml:space="preserve"> Each child’s learning and development is assessed as part of an ongoing cycle of planning, documentation and evaluation.</w:t>
      </w:r>
    </w:p>
    <w:p>
      <w:pPr>
        <w:pStyle w:val="yMiscellaneousBody"/>
        <w:ind w:left="284"/>
      </w:pPr>
      <w:r>
        <w:rPr>
          <w:b/>
        </w:rPr>
        <w:t>Element 1.2.2</w:t>
      </w:r>
      <w:r>
        <w:t xml:space="preserve"> Educators respond to children’s ideas and play and use intentional teaching to scaffold and extend each child’s learning.</w:t>
      </w:r>
    </w:p>
    <w:p>
      <w:pPr>
        <w:pStyle w:val="yMiscellaneousBody"/>
        <w:ind w:left="284"/>
      </w:pPr>
      <w:r>
        <w:rPr>
          <w:b/>
        </w:rPr>
        <w:t>Element 1.2.3</w:t>
      </w:r>
      <w:r>
        <w:t xml:space="preserve"> Critical reflection on children’s learning and development, both as individuals and in groups, is regularly used to implement the program.</w:t>
      </w:r>
    </w:p>
    <w:p>
      <w:pPr>
        <w:pStyle w:val="yMiscellaneousBody"/>
      </w:pPr>
      <w:r>
        <w:t xml:space="preserve">For the purposes of Quality area 1 — </w:t>
      </w:r>
    </w:p>
    <w:p>
      <w:pPr>
        <w:pStyle w:val="yDefstart"/>
      </w:pPr>
      <w:r>
        <w:rPr>
          <w:bCs/>
        </w:rPr>
        <w:tab/>
      </w:r>
      <w:r>
        <w:rPr>
          <w:rStyle w:val="CharDefText"/>
        </w:rPr>
        <w:t>agency</w:t>
      </w:r>
      <w:r>
        <w:t xml:space="preserve"> involves being able to make choices and decisions, to influence events and to have an impact on one’s world;</w:t>
      </w:r>
    </w:p>
    <w:p>
      <w:pPr>
        <w:pStyle w:val="yDefstart"/>
      </w:pPr>
      <w:r>
        <w:tab/>
      </w:r>
      <w:r>
        <w:rPr>
          <w:rStyle w:val="CharDefText"/>
        </w:rPr>
        <w:t>intentional teaching</w:t>
      </w:r>
      <w:r>
        <w:t xml:space="preserve"> involves educators being deliberate, purposeful and thoughtful in their decisions and actions. Intentional teaching is the opposite of teaching by rote or continuing with traditions simply because things have </w:t>
      </w:r>
      <w:r>
        <w:rPr>
          <w:b/>
          <w:i/>
        </w:rPr>
        <w:t>always</w:t>
      </w:r>
      <w:r>
        <w:t xml:space="preserve"> been done that way;</w:t>
      </w:r>
    </w:p>
    <w:p>
      <w:pPr>
        <w:pStyle w:val="yDefstart"/>
      </w:pPr>
      <w:r>
        <w:tab/>
      </w:r>
      <w:r>
        <w:rPr>
          <w:rStyle w:val="CharDefText"/>
        </w:rPr>
        <w:t>scaffold</w:t>
      </w:r>
      <w:r>
        <w:t xml:space="preserve"> means the educators’ decisions and actions that build on children’s existing knowledge and skills to enhance their learning.</w:t>
      </w:r>
    </w:p>
    <w:p>
      <w:pPr>
        <w:pStyle w:val="yHeading4"/>
      </w:pPr>
      <w:bookmarkStart w:id="570" w:name="_Toc397340615"/>
      <w:bookmarkStart w:id="571" w:name="_Toc398888052"/>
      <w:bookmarkStart w:id="572" w:name="_Toc398888471"/>
      <w:r>
        <w:t>Quality area 2 — Children’s health and safety</w:t>
      </w:r>
      <w:bookmarkEnd w:id="570"/>
      <w:bookmarkEnd w:id="571"/>
      <w:bookmarkEnd w:id="572"/>
    </w:p>
    <w:p>
      <w:pPr>
        <w:pStyle w:val="yMiscellaneousBody"/>
      </w:pPr>
      <w:r>
        <w:t>Every child’s health and wellbeing is safeguarded and promoted.</w:t>
      </w:r>
    </w:p>
    <w:p>
      <w:pPr>
        <w:pStyle w:val="yMiscellaneousBody"/>
      </w:pPr>
      <w:r>
        <w:rPr>
          <w:b/>
        </w:rPr>
        <w:t>Standard 2.1</w:t>
      </w:r>
      <w:r>
        <w:t xml:space="preserve"> Each child’s health is promoted. </w:t>
      </w:r>
    </w:p>
    <w:p>
      <w:pPr>
        <w:pStyle w:val="yMiscellaneousBody"/>
        <w:ind w:left="284"/>
      </w:pPr>
      <w:r>
        <w:rPr>
          <w:b/>
        </w:rPr>
        <w:t>Element 2.1.1</w:t>
      </w:r>
      <w:r>
        <w:t xml:space="preserve"> Each child’s health needs are supported.</w:t>
      </w:r>
    </w:p>
    <w:p>
      <w:pPr>
        <w:pStyle w:val="yMiscellaneousBody"/>
        <w:ind w:left="284"/>
      </w:pPr>
      <w:r>
        <w:rPr>
          <w:b/>
        </w:rPr>
        <w:t>Element 2.1.2</w:t>
      </w:r>
      <w:r>
        <w:t xml:space="preserve"> Each child’s comfort is provided for and there are appropriate opportunities to meet each child’s need for sleep, rest and relaxation.</w:t>
      </w:r>
    </w:p>
    <w:p>
      <w:pPr>
        <w:pStyle w:val="yMiscellaneousBody"/>
        <w:ind w:left="284"/>
      </w:pPr>
      <w:r>
        <w:rPr>
          <w:b/>
        </w:rPr>
        <w:t>Element 2.1.3</w:t>
      </w:r>
      <w:r>
        <w:t xml:space="preserve"> Effective hygiene practices are promoted and implemented.</w:t>
      </w:r>
    </w:p>
    <w:p>
      <w:pPr>
        <w:pStyle w:val="yMiscellaneousBody"/>
        <w:ind w:left="284"/>
      </w:pPr>
      <w:r>
        <w:rPr>
          <w:b/>
        </w:rPr>
        <w:t>Element 2.1.4</w:t>
      </w:r>
      <w:r>
        <w:t xml:space="preserve"> Steps are taken to control the spread of infectious diseases and to manage injuries and illness, in accordance with recognised guidelines.</w:t>
      </w:r>
    </w:p>
    <w:p>
      <w:pPr>
        <w:pStyle w:val="yMiscellaneousBody"/>
      </w:pPr>
      <w:r>
        <w:rPr>
          <w:b/>
        </w:rPr>
        <w:t>Standard 2.2</w:t>
      </w:r>
      <w:r>
        <w:t xml:space="preserve"> Healthy eating and physical activity are embedded in the program for children. </w:t>
      </w:r>
    </w:p>
    <w:p>
      <w:pPr>
        <w:pStyle w:val="yMiscellaneousBody"/>
        <w:ind w:left="284"/>
      </w:pPr>
      <w:r>
        <w:rPr>
          <w:b/>
        </w:rPr>
        <w:t>Element 2.2.1</w:t>
      </w:r>
      <w:r>
        <w:t xml:space="preserve"> Healthy eating is promoted and food and drinks provided by the service are nutritious and appropriate for each child.</w:t>
      </w:r>
    </w:p>
    <w:p>
      <w:pPr>
        <w:pStyle w:val="yMiscellaneousBody"/>
        <w:ind w:left="284"/>
      </w:pPr>
      <w:r>
        <w:rPr>
          <w:b/>
        </w:rPr>
        <w:t>Element 2.2.2</w:t>
      </w:r>
      <w:r>
        <w:t xml:space="preserve"> Physical activity is promoted through planned and spontaneous experiences and is appropriate for each child.</w:t>
      </w:r>
    </w:p>
    <w:p>
      <w:pPr>
        <w:pStyle w:val="yMiscellaneousBody"/>
        <w:keepNext/>
      </w:pPr>
      <w:r>
        <w:rPr>
          <w:b/>
        </w:rPr>
        <w:t>Standard 2.3</w:t>
      </w:r>
      <w:r>
        <w:t xml:space="preserve"> Each child is protected. </w:t>
      </w:r>
    </w:p>
    <w:p>
      <w:pPr>
        <w:pStyle w:val="yMiscellaneousBody"/>
        <w:ind w:left="284"/>
      </w:pPr>
      <w:r>
        <w:rPr>
          <w:b/>
        </w:rPr>
        <w:t>Element 2.3.1</w:t>
      </w:r>
      <w:r>
        <w:t xml:space="preserve"> Children are adequately supervised at all times.</w:t>
      </w:r>
    </w:p>
    <w:p>
      <w:pPr>
        <w:pStyle w:val="yMiscellaneousBody"/>
        <w:ind w:left="284"/>
      </w:pPr>
      <w:r>
        <w:rPr>
          <w:b/>
        </w:rPr>
        <w:t>Element 2.3.2</w:t>
      </w:r>
      <w:r>
        <w:t xml:space="preserve"> Every reasonable precaution is taken to protect children from harm and any hazard likely to cause injury.</w:t>
      </w:r>
    </w:p>
    <w:p>
      <w:pPr>
        <w:pStyle w:val="yMiscellaneousBody"/>
        <w:ind w:left="284"/>
      </w:pPr>
      <w:r>
        <w:rPr>
          <w:b/>
        </w:rPr>
        <w:t>Element 2.3.3</w:t>
      </w:r>
      <w:r>
        <w:t xml:space="preserve"> Plans to effectively manage incidents and emergencies are developed in consultation with relevant authorities, practised and implemented.</w:t>
      </w:r>
    </w:p>
    <w:p>
      <w:pPr>
        <w:pStyle w:val="yMiscellaneousBody"/>
        <w:ind w:left="284"/>
      </w:pPr>
      <w:r>
        <w:rPr>
          <w:b/>
        </w:rPr>
        <w:t>Element 2.3.4</w:t>
      </w:r>
      <w:r>
        <w:t xml:space="preserve"> Educators, co</w:t>
      </w:r>
      <w:r>
        <w:noBreakHyphen/>
        <w:t>ordinators and staff members are aware of their roles and responsibilities to respond to every child at risk of abuse or neglect.</w:t>
      </w:r>
    </w:p>
    <w:p>
      <w:pPr>
        <w:pStyle w:val="yHeading4"/>
      </w:pPr>
      <w:bookmarkStart w:id="573" w:name="_Toc397340616"/>
      <w:bookmarkStart w:id="574" w:name="_Toc398888053"/>
      <w:bookmarkStart w:id="575" w:name="_Toc398888472"/>
      <w:r>
        <w:t>Quality area 3 — Physical environment</w:t>
      </w:r>
      <w:bookmarkEnd w:id="573"/>
      <w:bookmarkEnd w:id="574"/>
      <w:bookmarkEnd w:id="575"/>
    </w:p>
    <w:p>
      <w:pPr>
        <w:pStyle w:val="yMiscellaneousBody"/>
      </w:pPr>
      <w:r>
        <w:t>The physical environment is safe, suitable and provides a rich and diverse range of experiences which promote children’s learning and development.</w:t>
      </w:r>
    </w:p>
    <w:p>
      <w:pPr>
        <w:pStyle w:val="yMiscellaneousBody"/>
      </w:pPr>
      <w:r>
        <w:rPr>
          <w:b/>
        </w:rPr>
        <w:t>Standard 3.1</w:t>
      </w:r>
      <w:r>
        <w:t xml:space="preserve"> The design and location of the premises is appropriate for the operation of a service. </w:t>
      </w:r>
    </w:p>
    <w:p>
      <w:pPr>
        <w:pStyle w:val="yMiscellaneousBody"/>
        <w:ind w:left="284"/>
      </w:pPr>
      <w:r>
        <w:rPr>
          <w:b/>
        </w:rPr>
        <w:t>Element 3.1.1</w:t>
      </w:r>
      <w:r>
        <w:t xml:space="preserve"> Outdoor and indoor spaces, buildings, furniture, equipment, facilities and resources are suitable for their purpose.</w:t>
      </w:r>
    </w:p>
    <w:p>
      <w:pPr>
        <w:pStyle w:val="yMiscellaneousBody"/>
        <w:ind w:left="284"/>
      </w:pPr>
      <w:r>
        <w:rPr>
          <w:b/>
        </w:rPr>
        <w:t>Element 3.1.2</w:t>
      </w:r>
      <w:r>
        <w:t xml:space="preserve"> Premises, furniture and equipment are safe, clean and well maintained.</w:t>
      </w:r>
    </w:p>
    <w:p>
      <w:pPr>
        <w:pStyle w:val="yMiscellaneousBody"/>
        <w:ind w:left="284"/>
      </w:pPr>
      <w:r>
        <w:rPr>
          <w:b/>
        </w:rPr>
        <w:t>Element 3.1.3</w:t>
      </w:r>
      <w:r>
        <w:t xml:space="preserve"> Facilities are designed or adapted to ensure access and participation by every child in the service and to allow flexible use, and interaction between indoor and outdoor space.</w:t>
      </w:r>
    </w:p>
    <w:p>
      <w:pPr>
        <w:pStyle w:val="yMiscellaneousBody"/>
      </w:pPr>
      <w:r>
        <w:rPr>
          <w:b/>
        </w:rPr>
        <w:t>Standard 3.2</w:t>
      </w:r>
      <w:r>
        <w:t xml:space="preserve"> The environment is inclusive, promotes competence, independent exploration and learning through play. </w:t>
      </w:r>
    </w:p>
    <w:p>
      <w:pPr>
        <w:pStyle w:val="yMiscellaneousBody"/>
        <w:ind w:left="284"/>
      </w:pPr>
      <w:r>
        <w:rPr>
          <w:b/>
        </w:rPr>
        <w:t>Element 3.2.1</w:t>
      </w:r>
      <w:r>
        <w:t xml:space="preserve"> Outdoor and indoor spaces are designed and organised to engage every child in quality experiences in both built and natural environments.</w:t>
      </w:r>
    </w:p>
    <w:p>
      <w:pPr>
        <w:pStyle w:val="yMiscellaneousBody"/>
        <w:ind w:left="284"/>
      </w:pPr>
      <w:r>
        <w:rPr>
          <w:b/>
        </w:rPr>
        <w:t>Element 3.2.2</w:t>
      </w:r>
      <w:r>
        <w:t xml:space="preserve"> Resources, materials and equipment are sufficient in number, organised in ways that ensure appropriate and effective implementation of the program and allow for multiple uses.</w:t>
      </w:r>
    </w:p>
    <w:p>
      <w:pPr>
        <w:pStyle w:val="yMiscellaneousBody"/>
      </w:pPr>
      <w:r>
        <w:rPr>
          <w:b/>
        </w:rPr>
        <w:t>Standard 3.3</w:t>
      </w:r>
      <w:r>
        <w:t xml:space="preserve"> The service takes an active role in caring for its environment and contributes to a sustainable future. </w:t>
      </w:r>
    </w:p>
    <w:p>
      <w:pPr>
        <w:pStyle w:val="yMiscellaneousBody"/>
        <w:spacing w:before="120"/>
        <w:ind w:left="284"/>
      </w:pPr>
      <w:r>
        <w:rPr>
          <w:b/>
        </w:rPr>
        <w:t>Element 3.3.1</w:t>
      </w:r>
      <w:r>
        <w:t xml:space="preserve"> Sustainable practices are embedded in service operations.</w:t>
      </w:r>
    </w:p>
    <w:p>
      <w:pPr>
        <w:pStyle w:val="yMiscellaneousBody"/>
        <w:spacing w:before="120"/>
        <w:ind w:left="284"/>
      </w:pPr>
      <w:r>
        <w:rPr>
          <w:b/>
        </w:rPr>
        <w:t>Element 3.3.2</w:t>
      </w:r>
      <w:r>
        <w:t xml:space="preserve"> Children are supported to become environmentally responsible and show respect for the environment.</w:t>
      </w:r>
    </w:p>
    <w:p>
      <w:pPr>
        <w:pStyle w:val="yHeading4"/>
      </w:pPr>
      <w:bookmarkStart w:id="576" w:name="_Toc397340617"/>
      <w:bookmarkStart w:id="577" w:name="_Toc398888054"/>
      <w:bookmarkStart w:id="578" w:name="_Toc398888473"/>
      <w:r>
        <w:t>Quality area 4 — Staffing arrangements</w:t>
      </w:r>
      <w:bookmarkEnd w:id="576"/>
      <w:bookmarkEnd w:id="577"/>
      <w:bookmarkEnd w:id="578"/>
    </w:p>
    <w:p>
      <w:pPr>
        <w:pStyle w:val="yMiscellaneousBody"/>
        <w:spacing w:before="140"/>
      </w:pPr>
      <w:r>
        <w:t>Staffing arrangements create a safe and predictable environment for children and support warm, respectful relationships. Qualified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Body"/>
        <w:spacing w:before="140"/>
      </w:pPr>
      <w:r>
        <w:rPr>
          <w:b/>
        </w:rPr>
        <w:t>Standard 4.1</w:t>
      </w:r>
      <w:r>
        <w:t xml:space="preserve"> Staffing arrangements enhance children’s learning and development and ensure their safety and wellbeing. </w:t>
      </w:r>
    </w:p>
    <w:p>
      <w:pPr>
        <w:pStyle w:val="yMiscellaneousBody"/>
        <w:spacing w:before="120"/>
        <w:ind w:left="284"/>
      </w:pPr>
      <w:r>
        <w:rPr>
          <w:b/>
        </w:rPr>
        <w:t>Element 4.1.1</w:t>
      </w:r>
      <w:r>
        <w:t xml:space="preserve"> Educator</w:t>
      </w:r>
      <w:r>
        <w:noBreakHyphen/>
        <w:t>to</w:t>
      </w:r>
      <w:r>
        <w:noBreakHyphen/>
        <w:t>child ratios and qualification requirements are maintained at all times.</w:t>
      </w:r>
    </w:p>
    <w:p>
      <w:pPr>
        <w:pStyle w:val="yMiscellaneousBody"/>
        <w:spacing w:before="140"/>
      </w:pPr>
      <w:r>
        <w:rPr>
          <w:b/>
        </w:rPr>
        <w:t>Standard 4.2</w:t>
      </w:r>
      <w:r>
        <w:t xml:space="preserve"> Educators, co</w:t>
      </w:r>
      <w:r>
        <w:noBreakHyphen/>
        <w:t xml:space="preserve">ordinators and staff members are respectful and ethical. </w:t>
      </w:r>
    </w:p>
    <w:p>
      <w:pPr>
        <w:pStyle w:val="yMiscellaneousBody"/>
        <w:spacing w:before="120"/>
        <w:ind w:left="284"/>
      </w:pPr>
      <w:r>
        <w:rPr>
          <w:b/>
        </w:rPr>
        <w:t>Element 4.2.1</w:t>
      </w:r>
      <w:r>
        <w:t xml:space="preserve"> Professional standards guide practice, interactions and relationships.</w:t>
      </w:r>
    </w:p>
    <w:p>
      <w:pPr>
        <w:pStyle w:val="yMiscellaneousBody"/>
        <w:spacing w:before="120"/>
        <w:ind w:left="284"/>
      </w:pPr>
      <w:r>
        <w:rPr>
          <w:b/>
        </w:rPr>
        <w:t>Element 4.2.2</w:t>
      </w:r>
      <w:r>
        <w:t xml:space="preserve"> Educators, co</w:t>
      </w:r>
      <w:r>
        <w:noBreakHyphen/>
        <w:t>ordinators and staff members work collaboratively and affirm, challenge, support and learn from each other to further develop their skills, to improve practice and relationships.</w:t>
      </w:r>
    </w:p>
    <w:p>
      <w:pPr>
        <w:pStyle w:val="yMiscellaneousBody"/>
        <w:spacing w:before="120"/>
        <w:ind w:left="284"/>
      </w:pPr>
      <w:r>
        <w:rPr>
          <w:b/>
        </w:rPr>
        <w:t>Element 4.2.3</w:t>
      </w:r>
      <w:r>
        <w:t xml:space="preserve"> Interactions convey mutual respect, equity and recognition of each other’s strengths and skills.</w:t>
      </w:r>
    </w:p>
    <w:p>
      <w:pPr>
        <w:pStyle w:val="yHeading4"/>
      </w:pPr>
      <w:bookmarkStart w:id="579" w:name="_Toc397340618"/>
      <w:bookmarkStart w:id="580" w:name="_Toc398888055"/>
      <w:bookmarkStart w:id="581" w:name="_Toc398888474"/>
      <w:r>
        <w:t>Quality area 5 — Relationships with children</w:t>
      </w:r>
      <w:bookmarkEnd w:id="579"/>
      <w:bookmarkEnd w:id="580"/>
      <w:bookmarkEnd w:id="581"/>
    </w:p>
    <w:p>
      <w:pPr>
        <w:pStyle w:val="yMiscellaneousBody"/>
        <w:spacing w:before="140"/>
      </w:pPr>
      <w:r>
        <w:t>Relationships that are responsive, respectful and promote children’s sense of security and belonging free them to explore the environment and engage in learning.</w:t>
      </w:r>
    </w:p>
    <w:p>
      <w:pPr>
        <w:pStyle w:val="yMiscellaneousBody"/>
        <w:spacing w:before="140"/>
      </w:pPr>
      <w:r>
        <w:rPr>
          <w:b/>
        </w:rPr>
        <w:t>Standard 5.1</w:t>
      </w:r>
      <w:r>
        <w:t xml:space="preserve"> Respectful and equitable relationships are developed and maintained with each child. </w:t>
      </w:r>
    </w:p>
    <w:p>
      <w:pPr>
        <w:pStyle w:val="yMiscellaneousBody"/>
        <w:spacing w:before="120"/>
        <w:ind w:left="284"/>
      </w:pPr>
      <w:r>
        <w:rPr>
          <w:b/>
        </w:rPr>
        <w:t>Element 5.1.1</w:t>
      </w:r>
      <w:r>
        <w:t xml:space="preserve"> Interactions with each child are warm, responsive and build trusting relationships.</w:t>
      </w:r>
    </w:p>
    <w:p>
      <w:pPr>
        <w:pStyle w:val="yMiscellaneousBody"/>
        <w:ind w:left="284"/>
      </w:pPr>
      <w:r>
        <w:rPr>
          <w:b/>
        </w:rPr>
        <w:t xml:space="preserve">Element 5.1.2 </w:t>
      </w:r>
      <w:r>
        <w:t>Every child is able to engage with educators in meaningful, open interactions that support the acquisition of skills for life and learning.</w:t>
      </w:r>
    </w:p>
    <w:p>
      <w:pPr>
        <w:pStyle w:val="yMiscellaneousBody"/>
        <w:ind w:left="284"/>
      </w:pPr>
      <w:r>
        <w:rPr>
          <w:b/>
        </w:rPr>
        <w:t>Element 5.1.3</w:t>
      </w:r>
      <w:r>
        <w:t xml:space="preserve"> Each child is supported to feel secure, confident and included.</w:t>
      </w:r>
    </w:p>
    <w:p>
      <w:pPr>
        <w:pStyle w:val="yMiscellaneousBody"/>
      </w:pPr>
      <w:r>
        <w:rPr>
          <w:b/>
        </w:rPr>
        <w:t>Standard 5.2</w:t>
      </w:r>
      <w:r>
        <w:t xml:space="preserve"> Each child is supported to build and maintain sensitive and responsive relationships with other children and adults. </w:t>
      </w:r>
    </w:p>
    <w:p>
      <w:pPr>
        <w:pStyle w:val="yMiscellaneousBody"/>
        <w:ind w:left="284"/>
      </w:pPr>
      <w:r>
        <w:rPr>
          <w:b/>
        </w:rPr>
        <w:t>Element 5.2.1</w:t>
      </w:r>
      <w:r>
        <w:t xml:space="preserve"> Every child is supported to work with, learn from and help others through collaborative learning opportunities.</w:t>
      </w:r>
    </w:p>
    <w:p>
      <w:pPr>
        <w:pStyle w:val="yMiscellaneousBody"/>
        <w:ind w:left="284"/>
      </w:pPr>
      <w:r>
        <w:rPr>
          <w:b/>
        </w:rPr>
        <w:t>Element 5.2.2</w:t>
      </w:r>
      <w:r>
        <w:t xml:space="preserve"> Each child is supported to manage their own behaviour, respond appropriately to the behaviour of others and communicate effectively to resolve conflicts.</w:t>
      </w:r>
    </w:p>
    <w:p>
      <w:pPr>
        <w:pStyle w:val="yMiscellaneousBody"/>
        <w:ind w:left="284"/>
      </w:pPr>
      <w:r>
        <w:rPr>
          <w:b/>
        </w:rPr>
        <w:t>Element 5.2.3</w:t>
      </w:r>
      <w:r>
        <w:t xml:space="preserve"> The dignity and rights of every child are maintained at all times.</w:t>
      </w:r>
    </w:p>
    <w:p>
      <w:pPr>
        <w:pStyle w:val="yHeading4"/>
      </w:pPr>
      <w:bookmarkStart w:id="582" w:name="_Toc397340619"/>
      <w:bookmarkStart w:id="583" w:name="_Toc398888056"/>
      <w:bookmarkStart w:id="584" w:name="_Toc398888475"/>
      <w:r>
        <w:t>Quality area 6 — Collaborative partnerships with families and communities</w:t>
      </w:r>
      <w:bookmarkEnd w:id="582"/>
      <w:bookmarkEnd w:id="583"/>
      <w:bookmarkEnd w:id="584"/>
    </w:p>
    <w:p>
      <w:pPr>
        <w:pStyle w:val="yMiscellaneousBody"/>
      </w:pPr>
      <w:r>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Body"/>
      </w:pPr>
      <w:r>
        <w:rPr>
          <w:b/>
        </w:rPr>
        <w:t>Standard 6.1</w:t>
      </w:r>
      <w:r>
        <w:t xml:space="preserve"> Respectful, supportive relationships with families are developed and maintained. </w:t>
      </w:r>
    </w:p>
    <w:p>
      <w:pPr>
        <w:pStyle w:val="yMiscellaneousBody"/>
        <w:ind w:left="284"/>
      </w:pPr>
      <w:r>
        <w:rPr>
          <w:b/>
        </w:rPr>
        <w:t>Element 6.1.1</w:t>
      </w:r>
      <w:r>
        <w:t xml:space="preserve"> There is an effective enrolment and orientation process for families.</w:t>
      </w:r>
    </w:p>
    <w:p>
      <w:pPr>
        <w:pStyle w:val="yMiscellaneousBody"/>
        <w:ind w:left="284"/>
      </w:pPr>
      <w:r>
        <w:rPr>
          <w:b/>
        </w:rPr>
        <w:t>Element 6.1.2</w:t>
      </w:r>
      <w:r>
        <w:t xml:space="preserve"> Families have opportunities to be involved in the service and contribute to service decisions.</w:t>
      </w:r>
    </w:p>
    <w:p>
      <w:pPr>
        <w:pStyle w:val="yMiscellaneousBody"/>
        <w:ind w:left="284"/>
      </w:pPr>
      <w:r>
        <w:rPr>
          <w:b/>
        </w:rPr>
        <w:t>Element 6.1.3</w:t>
      </w:r>
      <w:r>
        <w:t xml:space="preserve"> Current information about the service is available to families.</w:t>
      </w:r>
    </w:p>
    <w:p>
      <w:pPr>
        <w:pStyle w:val="yMiscellaneousBody"/>
      </w:pPr>
      <w:r>
        <w:rPr>
          <w:b/>
        </w:rPr>
        <w:t>Standard 6.2</w:t>
      </w:r>
      <w:r>
        <w:t xml:space="preserve"> Families are supported in their parenting role and their values and beliefs about child rearing are respected. </w:t>
      </w:r>
    </w:p>
    <w:p>
      <w:pPr>
        <w:pStyle w:val="yMiscellaneousBody"/>
        <w:ind w:left="284"/>
      </w:pPr>
      <w:r>
        <w:rPr>
          <w:b/>
        </w:rPr>
        <w:t>Element 6.2.1</w:t>
      </w:r>
      <w:r>
        <w:t xml:space="preserve"> The expertise of families is recognised and they share in decision making about their child’s learning and wellbeing.</w:t>
      </w:r>
    </w:p>
    <w:p>
      <w:pPr>
        <w:pStyle w:val="yMiscellaneousBody"/>
        <w:ind w:left="284"/>
      </w:pPr>
      <w:r>
        <w:rPr>
          <w:b/>
        </w:rPr>
        <w:t>Element 6.2.2</w:t>
      </w:r>
      <w:r>
        <w:t xml:space="preserve"> Current information is available to families about community services and resources to support parenting and family wellbeing.</w:t>
      </w:r>
    </w:p>
    <w:p>
      <w:pPr>
        <w:pStyle w:val="yMiscellaneousBody"/>
      </w:pPr>
      <w:r>
        <w:rPr>
          <w:b/>
        </w:rPr>
        <w:t>Standard 6.3</w:t>
      </w:r>
      <w:r>
        <w:t xml:space="preserve"> The service collaborates with other organisations and service providers to enhance children’s learning and wellbeing. </w:t>
      </w:r>
    </w:p>
    <w:p>
      <w:pPr>
        <w:pStyle w:val="yMiscellaneousBody"/>
        <w:ind w:left="284"/>
      </w:pPr>
      <w:r>
        <w:rPr>
          <w:b/>
        </w:rPr>
        <w:t>Element 6.3.1</w:t>
      </w:r>
      <w:r>
        <w:t xml:space="preserve"> Links with relevant community and support agencies are established and maintained.</w:t>
      </w:r>
    </w:p>
    <w:p>
      <w:pPr>
        <w:pStyle w:val="yMiscellaneousBody"/>
        <w:ind w:left="284"/>
      </w:pPr>
      <w:r>
        <w:rPr>
          <w:b/>
        </w:rPr>
        <w:t>Element 6.3.2</w:t>
      </w:r>
      <w:r>
        <w:t xml:space="preserve"> Continuity of learning and transitions for each child are supported by sharing relevant information and clarifying responsibilities.</w:t>
      </w:r>
    </w:p>
    <w:p>
      <w:pPr>
        <w:pStyle w:val="yMiscellaneousBody"/>
        <w:ind w:left="284"/>
      </w:pPr>
      <w:r>
        <w:rPr>
          <w:b/>
        </w:rPr>
        <w:t>Element 6.3.3</w:t>
      </w:r>
      <w:r>
        <w:t xml:space="preserve"> Access to inclusion and support assistance is facilitated.</w:t>
      </w:r>
    </w:p>
    <w:p>
      <w:pPr>
        <w:pStyle w:val="yMiscellaneousBody"/>
        <w:ind w:left="284"/>
      </w:pPr>
      <w:r>
        <w:rPr>
          <w:b/>
        </w:rPr>
        <w:t>Element 6.3.4</w:t>
      </w:r>
      <w:r>
        <w:t xml:space="preserve"> The service builds relationships and engages with their local community.</w:t>
      </w:r>
    </w:p>
    <w:p>
      <w:pPr>
        <w:pStyle w:val="yHeading4"/>
      </w:pPr>
      <w:bookmarkStart w:id="585" w:name="_Toc397340620"/>
      <w:bookmarkStart w:id="586" w:name="_Toc398888057"/>
      <w:bookmarkStart w:id="587" w:name="_Toc398888476"/>
      <w:r>
        <w:t>Quality area 7 — Leadership and service management</w:t>
      </w:r>
      <w:bookmarkEnd w:id="585"/>
      <w:bookmarkEnd w:id="586"/>
      <w:bookmarkEnd w:id="587"/>
    </w:p>
    <w:p>
      <w:pPr>
        <w:pStyle w:val="yMiscellaneousBody"/>
      </w:pPr>
      <w:r>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Body"/>
      </w:pPr>
      <w:r>
        <w:rPr>
          <w:b/>
        </w:rPr>
        <w:t>Standard 7.1</w:t>
      </w:r>
      <w:r>
        <w:t xml:space="preserve"> Effective leadership promotes a positive organisational culture and builds a professional learning community. </w:t>
      </w:r>
    </w:p>
    <w:p>
      <w:pPr>
        <w:pStyle w:val="yMiscellaneousBody"/>
        <w:ind w:left="284"/>
      </w:pPr>
      <w:r>
        <w:rPr>
          <w:b/>
        </w:rPr>
        <w:t>Element 7.1.1</w:t>
      </w:r>
      <w:r>
        <w:t xml:space="preserve"> Appropriate governance arrangements are in place to manage the service.</w:t>
      </w:r>
    </w:p>
    <w:p>
      <w:pPr>
        <w:pStyle w:val="yMiscellaneousBody"/>
        <w:ind w:left="284"/>
      </w:pPr>
      <w:r>
        <w:rPr>
          <w:b/>
        </w:rPr>
        <w:t>Element 7.1.2</w:t>
      </w:r>
      <w:r>
        <w:t xml:space="preserve"> The induction of educators, co</w:t>
      </w:r>
      <w:r>
        <w:noBreakHyphen/>
        <w:t>ordinators and staff members is comprehensive.</w:t>
      </w:r>
    </w:p>
    <w:p>
      <w:pPr>
        <w:pStyle w:val="yMiscellaneousBody"/>
        <w:ind w:left="284"/>
      </w:pPr>
      <w:r>
        <w:rPr>
          <w:b/>
        </w:rPr>
        <w:t>Element 7.1.3</w:t>
      </w:r>
      <w:r>
        <w:t xml:space="preserve"> Every effort is made to promote continuity of educators and co</w:t>
      </w:r>
      <w:r>
        <w:noBreakHyphen/>
        <w:t>ordinators at the service.</w:t>
      </w:r>
    </w:p>
    <w:p>
      <w:pPr>
        <w:pStyle w:val="yMiscellaneousBody"/>
        <w:ind w:left="284"/>
      </w:pPr>
      <w:r>
        <w:rPr>
          <w:b/>
        </w:rPr>
        <w:t>Element 7.1.4</w:t>
      </w:r>
      <w:r>
        <w:t xml:space="preserve"> Provision is made to ensure a suitably qualified and experienced educator or co-ordinator leads the development of the curriculum and ensures the establishment of clear goals and expectations for teaching and learning.</w:t>
      </w:r>
    </w:p>
    <w:p>
      <w:pPr>
        <w:pStyle w:val="yMiscellaneousBody"/>
        <w:ind w:left="284"/>
      </w:pPr>
      <w:r>
        <w:rPr>
          <w:b/>
        </w:rPr>
        <w:t>Element 7.1.5</w:t>
      </w:r>
      <w:r>
        <w:t xml:space="preserve"> Adults working with children and those engaged in management of the service or residing on the premises are fit and proper.</w:t>
      </w:r>
    </w:p>
    <w:p>
      <w:pPr>
        <w:pStyle w:val="yMiscellaneousBody"/>
        <w:keepNext/>
      </w:pPr>
      <w:r>
        <w:rPr>
          <w:b/>
        </w:rPr>
        <w:t>Standard 7.2</w:t>
      </w:r>
      <w:r>
        <w:t xml:space="preserve"> There is a commitment to continuous improvement. </w:t>
      </w:r>
    </w:p>
    <w:p>
      <w:pPr>
        <w:pStyle w:val="yMiscellaneousBody"/>
        <w:ind w:left="284"/>
      </w:pPr>
      <w:r>
        <w:rPr>
          <w:b/>
        </w:rPr>
        <w:t>Element 7.2.1</w:t>
      </w:r>
      <w:r>
        <w:t xml:space="preserve"> A statement of philosophy is developed and guides all aspects of the service’s operations.</w:t>
      </w:r>
    </w:p>
    <w:p>
      <w:pPr>
        <w:pStyle w:val="yMiscellaneousBody"/>
        <w:ind w:left="284"/>
      </w:pPr>
      <w:r>
        <w:rPr>
          <w:b/>
        </w:rPr>
        <w:t>Element 7.2.2</w:t>
      </w:r>
      <w:r>
        <w:t xml:space="preserve"> The performance of educators, co</w:t>
      </w:r>
      <w:r>
        <w:noBreakHyphen/>
        <w:t>ordinators and staff members is evaluated and individual development plans are in place to support performance improvement.</w:t>
      </w:r>
    </w:p>
    <w:p>
      <w:pPr>
        <w:pStyle w:val="yMiscellaneousBody"/>
        <w:ind w:left="284"/>
      </w:pPr>
      <w:r>
        <w:rPr>
          <w:b/>
        </w:rPr>
        <w:t>Element 7.2.3</w:t>
      </w:r>
      <w:r>
        <w:t xml:space="preserve"> An effective self</w:t>
      </w:r>
      <w:r>
        <w:noBreakHyphen/>
        <w:t>assessment and quality improvement process is in place.</w:t>
      </w:r>
    </w:p>
    <w:p>
      <w:pPr>
        <w:pStyle w:val="yMiscellaneousBody"/>
        <w:ind w:left="284"/>
      </w:pPr>
      <w:r>
        <w:rPr>
          <w:b/>
        </w:rPr>
        <w:t>Standard 7.3</w:t>
      </w:r>
      <w:r>
        <w:t xml:space="preserve"> Administrative systems enable the effective management of a quality service. </w:t>
      </w:r>
    </w:p>
    <w:p>
      <w:pPr>
        <w:pStyle w:val="yMiscellaneousBody"/>
        <w:ind w:left="284"/>
      </w:pPr>
      <w:r>
        <w:rPr>
          <w:b/>
        </w:rPr>
        <w:t>Element 7.3.1</w:t>
      </w:r>
      <w:r>
        <w:t xml:space="preserve"> Records and information are stored appropriately to ensure confidentiality, are available from the service and are maintained in accordance with legislative requirements.</w:t>
      </w:r>
    </w:p>
    <w:p>
      <w:pPr>
        <w:pStyle w:val="yMiscellaneousBody"/>
        <w:ind w:left="284"/>
      </w:pPr>
      <w:r>
        <w:rPr>
          <w:b/>
        </w:rPr>
        <w:t>Element 7.3.2</w:t>
      </w:r>
      <w:r>
        <w:t xml:space="preserve"> Administrative systems are established and maintained to ensure the effective operation of the service.</w:t>
      </w:r>
    </w:p>
    <w:p>
      <w:pPr>
        <w:pStyle w:val="yMiscellaneousBody"/>
        <w:ind w:left="284"/>
      </w:pPr>
      <w:r>
        <w:rPr>
          <w:b/>
        </w:rPr>
        <w:t>Element 7.3.3</w:t>
      </w:r>
      <w:r>
        <w:t xml:space="preserve"> The Regulatory Authority is notified of any relevant changes to the operation of the service, of serious incidents and any complaints which allege a breach of legislation.</w:t>
      </w:r>
    </w:p>
    <w:p>
      <w:pPr>
        <w:pStyle w:val="yMiscellaneousBody"/>
        <w:ind w:left="284"/>
      </w:pPr>
      <w:r>
        <w:rPr>
          <w:b/>
        </w:rPr>
        <w:t>Element 7.3.4</w:t>
      </w:r>
      <w:r>
        <w:t xml:space="preserve"> Processes are in place to ensure that all grievances and complaints are addressed, investigated fairly and documented in a timely manner.</w:t>
      </w:r>
    </w:p>
    <w:p>
      <w:pPr>
        <w:pStyle w:val="yMiscellaneousBody"/>
        <w:ind w:left="284"/>
      </w:pPr>
      <w:r>
        <w:rPr>
          <w:b/>
        </w:rPr>
        <w:t>Element 7.3.5</w:t>
      </w:r>
      <w:r>
        <w:t xml:space="preserve"> Service practices are based on effectively documented policies and procedures that are available at the service and reviewed regularly.</w:t>
      </w:r>
    </w:p>
    <w:p>
      <w:pPr>
        <w:pStyle w:val="yScheduleHeading"/>
        <w:outlineLvl w:val="0"/>
      </w:pPr>
      <w:bookmarkStart w:id="588" w:name="_Toc397340621"/>
      <w:bookmarkStart w:id="589" w:name="_Toc398888058"/>
      <w:bookmarkStart w:id="590" w:name="_Toc398888477"/>
      <w:r>
        <w:rPr>
          <w:rStyle w:val="CharSchNo"/>
        </w:rPr>
        <w:t>Schedule 2</w:t>
      </w:r>
      <w:r>
        <w:t> — </w:t>
      </w:r>
      <w:r>
        <w:rPr>
          <w:rStyle w:val="CharSchText"/>
        </w:rPr>
        <w:t>Prescribed fees</w:t>
      </w:r>
      <w:bookmarkEnd w:id="588"/>
      <w:bookmarkEnd w:id="589"/>
      <w:bookmarkEnd w:id="590"/>
    </w:p>
    <w:p>
      <w:pPr>
        <w:pStyle w:val="yHeading3"/>
        <w:spacing w:after="240"/>
      </w:pPr>
      <w:bookmarkStart w:id="591" w:name="_Toc397340622"/>
      <w:bookmarkStart w:id="592" w:name="_Toc398888059"/>
      <w:bookmarkStart w:id="593" w:name="_Toc398888478"/>
      <w:r>
        <w:rPr>
          <w:rStyle w:val="CharSDivNo"/>
        </w:rPr>
        <w:t>Part 1</w:t>
      </w:r>
      <w:r>
        <w:t> — </w:t>
      </w:r>
      <w:r>
        <w:rPr>
          <w:rStyle w:val="CharSDivText"/>
        </w:rPr>
        <w:t>Fees relating to provider approvals, service approvals and ratings</w:t>
      </w:r>
      <w:bookmarkEnd w:id="591"/>
      <w:bookmarkEnd w:id="592"/>
      <w:bookmarkEnd w:id="593"/>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118"/>
              <w:rPr>
                <w:i/>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20"/>
              <w:rPr>
                <w:i/>
                <w:sz w:val="20"/>
              </w:rPr>
            </w:pPr>
          </w:p>
        </w:tc>
        <w:tc>
          <w:tcPr>
            <w:tcW w:w="1843" w:type="dxa"/>
            <w:tcBorders>
              <w:top w:val="single" w:sz="4" w:space="0" w:color="auto"/>
              <w:left w:val="single" w:sz="2" w:space="0" w:color="auto"/>
              <w:bottom w:val="single" w:sz="4" w:space="0" w:color="auto"/>
            </w:tcBorders>
          </w:tcPr>
          <w:p>
            <w:pPr>
              <w:pStyle w:val="yTableNAm"/>
              <w:ind w:left="141" w:right="139"/>
              <w:jc w:val="right"/>
              <w:rPr>
                <w:i/>
                <w:sz w:val="20"/>
              </w:rPr>
            </w:pPr>
            <w:r>
              <w:rPr>
                <w:i/>
                <w:sz w:val="20"/>
              </w:rPr>
              <w:t xml:space="preserve">Fee </w:t>
            </w:r>
          </w:p>
        </w:tc>
        <w:tc>
          <w:tcPr>
            <w:tcW w:w="1841" w:type="dxa"/>
            <w:tcBorders>
              <w:top w:val="single" w:sz="4" w:space="0" w:color="auto"/>
              <w:left w:val="nil"/>
              <w:bottom w:val="single" w:sz="4" w:space="0" w:color="auto"/>
              <w:right w:val="single" w:sz="4" w:space="0" w:color="auto"/>
            </w:tcBorders>
          </w:tcPr>
          <w:p>
            <w:pPr>
              <w:pStyle w:val="yTableNAm"/>
              <w:ind w:left="141"/>
              <w:rPr>
                <w:i/>
                <w:sz w:val="20"/>
              </w:rPr>
            </w:pP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118"/>
              <w:rPr>
                <w:i/>
                <w:sz w:val="20"/>
              </w:rPr>
            </w:pPr>
            <w:r>
              <w:rPr>
                <w:i/>
                <w:sz w:val="20"/>
              </w:rPr>
              <w:t>Section of the 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20"/>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Centre</w:t>
            </w:r>
            <w:r>
              <w:rPr>
                <w:i/>
                <w:sz w:val="20"/>
              </w:rPr>
              <w:noBreakHyphen/>
              <w:t>based 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 xml:space="preserve">Family day care service (No. of family day care educators engaged by or registered 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44(1)(e)</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places or fewer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keepNext/>
              <w:ind w:left="118"/>
              <w:rPr>
                <w:sz w:val="20"/>
              </w:rPr>
            </w:pPr>
            <w:r>
              <w:rPr>
                <w:sz w:val="20"/>
              </w:rPr>
              <w:t>Section 53</w:t>
            </w: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24 or fewer approved places $185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5 or fewer family day care educators $185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keepNext/>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25 to 80 approved places $275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6 to 20 family day care educators $275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keepLines/>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81 or more approved places $365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 xml:space="preserve">21 or more family day care educators $365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139(2)(c)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$800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21 or more family day care educators $800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152(3)(c)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159(3)(c)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bl>
    <w:p>
      <w:pPr>
        <w:pStyle w:val="yHeading3"/>
        <w:keepLines/>
        <w:spacing w:after="240"/>
      </w:pPr>
      <w:bookmarkStart w:id="594" w:name="_Toc397340623"/>
      <w:bookmarkStart w:id="595" w:name="_Toc398888060"/>
      <w:bookmarkStart w:id="596" w:name="_Toc398888479"/>
      <w:r>
        <w:rPr>
          <w:rStyle w:val="CharSDivNo"/>
        </w:rPr>
        <w:t>Part 2</w:t>
      </w:r>
      <w:r>
        <w:t> — </w:t>
      </w:r>
      <w:r>
        <w:rPr>
          <w:rStyle w:val="CharSDivText"/>
        </w:rPr>
        <w:t>Other fees</w:t>
      </w:r>
      <w:bookmarkEnd w:id="594"/>
      <w:bookmarkEnd w:id="595"/>
      <w:bookmarkEnd w:id="596"/>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107(c)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for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$30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119(2)(c)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to amend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129(2)(c)</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to voluntarily suspend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268(4)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certified supervisors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$2000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$100 </w:t>
            </w:r>
          </w:p>
        </w:tc>
      </w:tr>
    </w:tbl>
    <w:p>
      <w:pPr>
        <w:pStyle w:val="yScheduleHeading"/>
      </w:pPr>
      <w:bookmarkStart w:id="597" w:name="_Toc397340624"/>
      <w:bookmarkStart w:id="598" w:name="_Toc398888061"/>
      <w:bookmarkStart w:id="599" w:name="_Toc398888480"/>
      <w:r>
        <w:rPr>
          <w:rStyle w:val="CharSchNo"/>
        </w:rPr>
        <w:t>Schedule 3</w:t>
      </w:r>
      <w:r>
        <w:rPr>
          <w:rStyle w:val="CharSDivNo"/>
        </w:rPr>
        <w:t> </w:t>
      </w:r>
      <w:r>
        <w:t>—</w:t>
      </w:r>
      <w:r>
        <w:rPr>
          <w:rStyle w:val="CharSDivText"/>
        </w:rPr>
        <w:t> </w:t>
      </w:r>
      <w:r>
        <w:rPr>
          <w:rStyle w:val="CharSchText"/>
        </w:rPr>
        <w:t>Compliance directions — prescribed provisions</w:t>
      </w:r>
      <w:bookmarkEnd w:id="597"/>
      <w:bookmarkEnd w:id="598"/>
      <w:bookmarkEnd w:id="599"/>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sectPr>
          <w:headerReference w:type="even" r:id="rId31"/>
          <w:headerReference w:type="default" r:id="rId32"/>
          <w:footerReference w:type="even" r:id="rId33"/>
          <w:footerReference w:type="default" r:id="rId34"/>
          <w:footerReference w:type="first" r:id="rId35"/>
          <w:pgSz w:w="11906" w:h="16838" w:code="9"/>
          <w:pgMar w:top="2381" w:right="2410" w:bottom="3544" w:left="2410" w:header="720" w:footer="3379" w:gutter="0"/>
          <w:cols w:space="720"/>
          <w:docGrid w:linePitch="78"/>
        </w:sectPr>
      </w:pPr>
      <w:bookmarkStart w:id="600" w:name="_Toc397340625"/>
    </w:p>
    <w:p>
      <w:pPr>
        <w:pStyle w:val="yScheduleHeading"/>
        <w:outlineLvl w:val="0"/>
      </w:pPr>
      <w:bookmarkStart w:id="601" w:name="_Toc398888062"/>
      <w:bookmarkStart w:id="602" w:name="_Toc398888481"/>
      <w:r>
        <w:rPr>
          <w:rStyle w:val="CharSchNo"/>
        </w:rPr>
        <w:t>Schedule 4</w:t>
      </w:r>
      <w:r>
        <w:t> — </w:t>
      </w:r>
      <w:r>
        <w:rPr>
          <w:rStyle w:val="CharSchText"/>
        </w:rPr>
        <w:t>Prescribed forms</w:t>
      </w:r>
      <w:bookmarkEnd w:id="600"/>
      <w:bookmarkEnd w:id="601"/>
      <w:bookmarkEnd w:id="602"/>
    </w:p>
    <w:p>
      <w:pPr>
        <w:pStyle w:val="yShoulderClause"/>
      </w:pPr>
      <w:r>
        <w:t>Regulation 190(2)(d)</w:t>
      </w:r>
    </w:p>
    <w:p>
      <w:pPr>
        <w:pStyle w:val="yFootnoteheading"/>
      </w:pPr>
      <w:r>
        <w:tab/>
        <w:t>[Heading amended in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t>Form 2</w:t>
      </w:r>
      <w:r>
        <w:rPr>
          <w:b/>
        </w:rPr>
        <w:t xml:space="preserve"> — Withdrawal of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7"/>
          <w:headerReference w:type="default" r:id="rId38"/>
          <w:pgSz w:w="11906" w:h="16838" w:code="9"/>
          <w:pgMar w:top="2381" w:right="2410" w:bottom="3544" w:left="2410" w:header="720" w:footer="3379" w:gutter="0"/>
          <w:cols w:space="720"/>
          <w:docGrid w:linePitch="78"/>
        </w:sectPr>
      </w:pPr>
    </w:p>
    <w:p>
      <w:pPr>
        <w:pStyle w:val="nHeading2"/>
      </w:pPr>
      <w:bookmarkStart w:id="603" w:name="_Toc397340626"/>
      <w:bookmarkStart w:id="604" w:name="_Toc398888063"/>
      <w:bookmarkStart w:id="605" w:name="_Toc398888482"/>
      <w:r>
        <w:t>Notes</w:t>
      </w:r>
      <w:bookmarkEnd w:id="603"/>
      <w:bookmarkEnd w:id="604"/>
      <w:bookmarkEnd w:id="605"/>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19 September 2014</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Education and Care Services National Regulations 2012</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pPr>
      <w:bookmarkStart w:id="606" w:name="_Toc398888483"/>
      <w:r>
        <w:t>Compilation table</w:t>
      </w:r>
      <w:bookmarkEnd w:id="606"/>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4"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Education and Care Services National Regulations 2012</w:t>
            </w:r>
          </w:p>
        </w:tc>
        <w:tc>
          <w:tcPr>
            <w:tcW w:w="1276" w:type="dxa"/>
            <w:tcBorders>
              <w:top w:val="single" w:sz="8" w:space="0" w:color="auto"/>
              <w:bottom w:val="nil"/>
            </w:tcBorders>
          </w:tcPr>
          <w:p>
            <w:pPr>
              <w:pStyle w:val="nTable"/>
              <w:spacing w:after="40"/>
              <w:rPr>
                <w:sz w:val="19"/>
              </w:rPr>
            </w:pPr>
            <w:r>
              <w:rPr>
                <w:sz w:val="19"/>
              </w:rPr>
              <w:t>25 Jul 2012 p. 3417-660</w:t>
            </w:r>
          </w:p>
        </w:tc>
        <w:tc>
          <w:tcPr>
            <w:tcW w:w="2694" w:type="dxa"/>
            <w:tcBorders>
              <w:top w:val="single" w:sz="8" w:space="0" w:color="auto"/>
              <w:bottom w:val="nil"/>
            </w:tcBorders>
          </w:tcPr>
          <w:p>
            <w:pPr>
              <w:pStyle w:val="nTable"/>
              <w:spacing w:after="40"/>
              <w:rPr>
                <w:sz w:val="19"/>
              </w:rPr>
            </w:pPr>
            <w:r>
              <w:rPr>
                <w:sz w:val="19"/>
              </w:rPr>
              <w:t>r. 1 and 3: 25 Jul 2012 (see r. 3(a));</w:t>
            </w:r>
            <w:r>
              <w:rPr>
                <w:sz w:val="19"/>
              </w:rPr>
              <w:br/>
              <w:t xml:space="preserve">Regulations other than r. 1 and 3: 1 Aug 2012 (see r. 3(b) and </w:t>
            </w:r>
            <w:r>
              <w:rPr>
                <w:i/>
                <w:sz w:val="19"/>
              </w:rPr>
              <w:t>Gazette</w:t>
            </w:r>
            <w:r>
              <w:rPr>
                <w:sz w:val="19"/>
              </w:rPr>
              <w:t xml:space="preserve"> 25 Jul 2012 p. 3411)</w:t>
            </w:r>
          </w:p>
        </w:tc>
      </w:tr>
      <w:tr>
        <w:tc>
          <w:tcPr>
            <w:tcW w:w="3118" w:type="dxa"/>
            <w:tcBorders>
              <w:top w:val="nil"/>
              <w:bottom w:val="nil"/>
            </w:tcBorders>
          </w:tcPr>
          <w:p>
            <w:pPr>
              <w:pStyle w:val="nTable"/>
              <w:spacing w:after="40"/>
              <w:rPr>
                <w:i/>
                <w:sz w:val="19"/>
                <w:szCs w:val="19"/>
              </w:rPr>
            </w:pPr>
            <w:r>
              <w:rPr>
                <w:i/>
                <w:sz w:val="19"/>
                <w:szCs w:val="19"/>
              </w:rPr>
              <w:t>Education and Care Services National Amendment Regulations 2012</w:t>
            </w:r>
          </w:p>
        </w:tc>
        <w:tc>
          <w:tcPr>
            <w:tcW w:w="1276" w:type="dxa"/>
            <w:tcBorders>
              <w:top w:val="nil"/>
              <w:bottom w:val="nil"/>
            </w:tcBorders>
          </w:tcPr>
          <w:p>
            <w:pPr>
              <w:pStyle w:val="nTable"/>
              <w:spacing w:after="40"/>
              <w:rPr>
                <w:sz w:val="19"/>
                <w:szCs w:val="19"/>
              </w:rPr>
            </w:pPr>
            <w:r>
              <w:rPr>
                <w:sz w:val="19"/>
                <w:szCs w:val="19"/>
              </w:rPr>
              <w:t>5 Mar 2013 p. 1107</w:t>
            </w:r>
            <w:r>
              <w:rPr>
                <w:sz w:val="19"/>
                <w:szCs w:val="19"/>
              </w:rPr>
              <w:noBreakHyphen/>
              <w:t>9</w:t>
            </w:r>
          </w:p>
        </w:tc>
        <w:tc>
          <w:tcPr>
            <w:tcW w:w="2694" w:type="dxa"/>
            <w:tcBorders>
              <w:top w:val="nil"/>
              <w:bottom w:val="nil"/>
            </w:tcBorders>
          </w:tcPr>
          <w:p>
            <w:pPr>
              <w:pStyle w:val="nTable"/>
              <w:spacing w:after="40"/>
              <w:rPr>
                <w:sz w:val="19"/>
                <w:szCs w:val="19"/>
              </w:rPr>
            </w:pPr>
            <w:r>
              <w:rPr>
                <w:snapToGrid w:val="0"/>
                <w:sz w:val="19"/>
                <w:szCs w:val="19"/>
              </w:rPr>
              <w:t>r. 1 and 2: 5 Mar 2013 (see r. 2(a));</w:t>
            </w:r>
            <w:r>
              <w:rPr>
                <w:snapToGrid w:val="0"/>
                <w:sz w:val="19"/>
                <w:szCs w:val="19"/>
              </w:rPr>
              <w:br/>
              <w:t>Regulations other than r. 1 and 2: 6 Mar 2013 (see r. 2(b))</w:t>
            </w:r>
          </w:p>
        </w:tc>
      </w:tr>
      <w:tr>
        <w:tc>
          <w:tcPr>
            <w:tcW w:w="3118" w:type="dxa"/>
            <w:tcBorders>
              <w:top w:val="nil"/>
              <w:bottom w:val="nil"/>
            </w:tcBorders>
            <w:shd w:val="clear" w:color="auto" w:fill="auto"/>
          </w:tcPr>
          <w:p>
            <w:pPr>
              <w:pStyle w:val="nTable"/>
              <w:spacing w:after="40"/>
              <w:rPr>
                <w:i/>
                <w:sz w:val="19"/>
                <w:szCs w:val="19"/>
              </w:rPr>
            </w:pPr>
            <w:r>
              <w:rPr>
                <w:i/>
                <w:sz w:val="19"/>
                <w:szCs w:val="19"/>
              </w:rPr>
              <w:t>Education and Care Services National Amendment Regulations 2013</w:t>
            </w:r>
          </w:p>
        </w:tc>
        <w:tc>
          <w:tcPr>
            <w:tcW w:w="1276" w:type="dxa"/>
            <w:tcBorders>
              <w:top w:val="nil"/>
              <w:bottom w:val="nil"/>
            </w:tcBorders>
            <w:shd w:val="clear" w:color="auto" w:fill="auto"/>
          </w:tcPr>
          <w:p>
            <w:pPr>
              <w:pStyle w:val="nTable"/>
              <w:spacing w:after="40"/>
              <w:rPr>
                <w:sz w:val="19"/>
                <w:szCs w:val="19"/>
              </w:rPr>
            </w:pPr>
            <w:r>
              <w:rPr>
                <w:sz w:val="19"/>
                <w:szCs w:val="19"/>
              </w:rPr>
              <w:t>13 Dec 2013 p. 6151</w:t>
            </w:r>
            <w:r>
              <w:rPr>
                <w:sz w:val="19"/>
                <w:szCs w:val="19"/>
              </w:rPr>
              <w:noBreakHyphen/>
              <w:t>70</w:t>
            </w:r>
          </w:p>
        </w:tc>
        <w:tc>
          <w:tcPr>
            <w:tcW w:w="2694" w:type="dxa"/>
            <w:tcBorders>
              <w:top w:val="nil"/>
              <w:bottom w:val="nil"/>
            </w:tcBorders>
            <w:shd w:val="clear" w:color="auto" w:fill="auto"/>
          </w:tcPr>
          <w:p>
            <w:pPr>
              <w:pStyle w:val="nTable"/>
              <w:spacing w:after="40"/>
              <w:rPr>
                <w:snapToGrid w:val="0"/>
                <w:spacing w:val="-2"/>
                <w:sz w:val="19"/>
                <w:szCs w:val="19"/>
              </w:rPr>
            </w:pPr>
            <w:r>
              <w:rPr>
                <w:snapToGrid w:val="0"/>
                <w:sz w:val="19"/>
                <w:szCs w:val="19"/>
              </w:rPr>
              <w:t>r. 1 and 2: 13 Dec 2013 (see r. 2(a));</w:t>
            </w:r>
            <w:r>
              <w:rPr>
                <w:snapToGrid w:val="0"/>
                <w:sz w:val="19"/>
                <w:szCs w:val="19"/>
              </w:rPr>
              <w:br/>
              <w:t xml:space="preserve">Regulations other than r. 1 and 2: </w:t>
            </w:r>
            <w:r>
              <w:rPr>
                <w:sz w:val="19"/>
                <w:szCs w:val="19"/>
              </w:rPr>
              <w:t>31 Dec 2013 (see r. 2(b))</w:t>
            </w:r>
          </w:p>
        </w:tc>
      </w:tr>
      <w:tr>
        <w:tc>
          <w:tcPr>
            <w:tcW w:w="3118" w:type="dxa"/>
            <w:tcBorders>
              <w:top w:val="nil"/>
              <w:bottom w:val="nil"/>
            </w:tcBorders>
            <w:shd w:val="clear" w:color="auto" w:fill="auto"/>
          </w:tcPr>
          <w:p>
            <w:pPr>
              <w:pStyle w:val="nTable"/>
              <w:spacing w:after="40"/>
              <w:rPr>
                <w:i/>
                <w:sz w:val="19"/>
                <w:szCs w:val="19"/>
              </w:rPr>
            </w:pPr>
            <w:r>
              <w:rPr>
                <w:i/>
                <w:sz w:val="19"/>
                <w:szCs w:val="19"/>
              </w:rPr>
              <w:t>Education and Care Services National Amendment Regulations 2014</w:t>
            </w:r>
          </w:p>
        </w:tc>
        <w:tc>
          <w:tcPr>
            <w:tcW w:w="1276" w:type="dxa"/>
            <w:tcBorders>
              <w:top w:val="nil"/>
              <w:bottom w:val="nil"/>
            </w:tcBorders>
            <w:shd w:val="clear" w:color="auto" w:fill="auto"/>
          </w:tcPr>
          <w:p>
            <w:pPr>
              <w:pStyle w:val="nTable"/>
              <w:spacing w:after="40"/>
              <w:rPr>
                <w:sz w:val="19"/>
                <w:szCs w:val="19"/>
              </w:rPr>
            </w:pPr>
            <w:r>
              <w:rPr>
                <w:sz w:val="19"/>
                <w:szCs w:val="19"/>
              </w:rPr>
              <w:t>6 Jun 2014 p. 1787</w:t>
            </w:r>
            <w:r>
              <w:rPr>
                <w:sz w:val="19"/>
                <w:szCs w:val="19"/>
              </w:rPr>
              <w:noBreakHyphen/>
              <w:t>8</w:t>
            </w:r>
          </w:p>
        </w:tc>
        <w:tc>
          <w:tcPr>
            <w:tcW w:w="2694" w:type="dxa"/>
            <w:tcBorders>
              <w:top w:val="nil"/>
              <w:bottom w:val="nil"/>
            </w:tcBorders>
            <w:shd w:val="clear" w:color="auto" w:fill="auto"/>
          </w:tcPr>
          <w:p>
            <w:pPr>
              <w:pStyle w:val="nTable"/>
              <w:spacing w:after="40"/>
              <w:rPr>
                <w:snapToGrid w:val="0"/>
                <w:sz w:val="19"/>
                <w:szCs w:val="19"/>
              </w:rPr>
            </w:pPr>
            <w:r>
              <w:rPr>
                <w:bCs/>
                <w:snapToGrid w:val="0"/>
                <w:sz w:val="19"/>
                <w:szCs w:val="19"/>
              </w:rPr>
              <w:t>r. 1 and 2: 6 Jun 2014 (see r. 2(a));</w:t>
            </w:r>
            <w:r>
              <w:rPr>
                <w:bCs/>
                <w:snapToGrid w:val="0"/>
                <w:sz w:val="19"/>
                <w:szCs w:val="19"/>
              </w:rPr>
              <w:br/>
              <w:t>Regulations other than r. 1 and 2: 7 Jun 2014 (see r. 2(b))</w:t>
            </w:r>
          </w:p>
        </w:tc>
      </w:tr>
      <w:tr>
        <w:tc>
          <w:tcPr>
            <w:tcW w:w="7088" w:type="dxa"/>
            <w:gridSpan w:val="3"/>
            <w:tcBorders>
              <w:top w:val="nil"/>
              <w:bottom w:val="single" w:sz="8" w:space="0" w:color="auto"/>
            </w:tcBorders>
            <w:shd w:val="clear" w:color="auto" w:fill="auto"/>
          </w:tcPr>
          <w:p>
            <w:pPr>
              <w:pStyle w:val="nTable"/>
              <w:spacing w:after="40"/>
              <w:rPr>
                <w:snapToGrid w:val="0"/>
                <w:spacing w:val="-2"/>
                <w:sz w:val="19"/>
                <w:szCs w:val="19"/>
              </w:rPr>
            </w:pPr>
            <w:r>
              <w:rPr>
                <w:b/>
                <w:snapToGrid w:val="0"/>
                <w:sz w:val="19"/>
                <w:szCs w:val="19"/>
              </w:rPr>
              <w:t xml:space="preserve">Reprint 1: The </w:t>
            </w:r>
            <w:r>
              <w:rPr>
                <w:b/>
                <w:i/>
                <w:sz w:val="19"/>
              </w:rPr>
              <w:t>Education and Care Services National Regulations 2012</w:t>
            </w:r>
            <w:r>
              <w:rPr>
                <w:b/>
                <w:snapToGrid w:val="0"/>
                <w:sz w:val="19"/>
                <w:szCs w:val="19"/>
              </w:rPr>
              <w:t xml:space="preserve"> as at 19 Sep 2014</w:t>
            </w:r>
            <w:r>
              <w:rPr>
                <w:snapToGrid w:val="0"/>
                <w:sz w:val="19"/>
                <w:szCs w:val="19"/>
              </w:rPr>
              <w:t xml:space="preserve"> (includes amendments listed above)</w:t>
            </w:r>
          </w:p>
        </w:tc>
      </w:tr>
    </w:tbl>
    <w:p>
      <w:pPr>
        <w:pStyle w:val="nSubsection"/>
      </w:pPr>
      <w:r>
        <w:rPr>
          <w:vertAlign w:val="superscript"/>
        </w:rPr>
        <w:t>2</w:t>
      </w:r>
      <w:r>
        <w:tab/>
        <w:t xml:space="preserve">The short title of this Act was changed to the </w:t>
      </w:r>
      <w:r>
        <w:rPr>
          <w:i/>
        </w:rPr>
        <w:t xml:space="preserve">Administrative Decisions Review Act 1997 </w:t>
      </w:r>
      <w:r>
        <w:t xml:space="preserve">by the </w:t>
      </w:r>
      <w:r>
        <w:rPr>
          <w:i/>
          <w:iCs/>
        </w:rPr>
        <w:t>Civil and Administrative Tribunal Amendment Act 2013</w:t>
      </w:r>
      <w:r>
        <w:t xml:space="preserve"> (NSW) Sch. 2.</w:t>
      </w:r>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p>
      <w:pPr>
        <w:pStyle w:val="nHeading2"/>
        <w:rPr>
          <w:sz w:val="28"/>
        </w:rPr>
      </w:pPr>
      <w:bookmarkStart w:id="607" w:name="_Toc397340628"/>
      <w:bookmarkStart w:id="608" w:name="_Toc398888065"/>
      <w:bookmarkStart w:id="609" w:name="_Toc398888484"/>
      <w:r>
        <w:rPr>
          <w:sz w:val="28"/>
        </w:rPr>
        <w:t>Defined terms</w:t>
      </w:r>
      <w:bookmarkEnd w:id="607"/>
      <w:bookmarkEnd w:id="608"/>
      <w:bookmarkEnd w:id="6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10" w:name="DefinedTerms"/>
      <w:bookmarkEnd w:id="610"/>
      <w:r>
        <w:t>actively working towards</w:t>
      </w:r>
      <w:r>
        <w:tab/>
        <w:t>4(1), 10, 241(7)</w:t>
      </w:r>
    </w:p>
    <w:p>
      <w:pPr>
        <w:pStyle w:val="DefinedTerms"/>
      </w:pPr>
      <w:r>
        <w:t>agency</w:t>
      </w:r>
      <w:r>
        <w:tab/>
        <w:t>Sch. 1</w:t>
      </w:r>
    </w:p>
    <w:p>
      <w:pPr>
        <w:pStyle w:val="DefinedTerms"/>
      </w:pPr>
      <w:r>
        <w:t>approved anaphylaxis management training</w:t>
      </w:r>
      <w:r>
        <w:tab/>
        <w:t>136(5)</w:t>
      </w:r>
    </w:p>
    <w:p>
      <w:pPr>
        <w:pStyle w:val="DefinedTerms"/>
      </w:pPr>
      <w:r>
        <w:t>approved certificate III level education and care qualification</w:t>
      </w:r>
      <w:r>
        <w:tab/>
        <w:t>4(1)</w:t>
      </w:r>
    </w:p>
    <w:p>
      <w:pPr>
        <w:pStyle w:val="DefinedTerms"/>
      </w:pPr>
      <w:r>
        <w:t>approved diploma level education and care qualification</w:t>
      </w:r>
      <w:r>
        <w:tab/>
        <w:t>4(1)</w:t>
      </w:r>
    </w:p>
    <w:p>
      <w:pPr>
        <w:pStyle w:val="DefinedTerms"/>
      </w:pPr>
      <w:r>
        <w:t>approved early childhood teaching qualification</w:t>
      </w:r>
      <w:r>
        <w:tab/>
        <w:t>4(1)</w:t>
      </w:r>
    </w:p>
    <w:p>
      <w:pPr>
        <w:pStyle w:val="DefinedTerms"/>
      </w:pPr>
      <w:r>
        <w:t>approved emergency asthma management training</w:t>
      </w:r>
      <w:r>
        <w:tab/>
        <w:t>136(5)</w:t>
      </w:r>
    </w:p>
    <w:p>
      <w:pPr>
        <w:pStyle w:val="DefinedTerms"/>
      </w:pPr>
      <w:r>
        <w:t>approved first aid qualification</w:t>
      </w:r>
      <w:r>
        <w:tab/>
        <w:t>136(5)</w:t>
      </w:r>
    </w:p>
    <w:p>
      <w:pPr>
        <w:pStyle w:val="DefinedTerms"/>
      </w:pPr>
      <w:r>
        <w:t>approved number of places</w:t>
      </w:r>
      <w:r>
        <w:tab/>
        <w:t>4(1)</w:t>
      </w:r>
    </w:p>
    <w:p>
      <w:pPr>
        <w:pStyle w:val="DefinedTerms"/>
      </w:pPr>
      <w:r>
        <w:t>Authorised nominee</w:t>
      </w:r>
      <w:r>
        <w:tab/>
        <w:t>160(3)</w:t>
      </w:r>
    </w:p>
    <w:p>
      <w:pPr>
        <w:pStyle w:val="DefinedTerms"/>
      </w:pPr>
      <w:r>
        <w:t>bankruptcy declaration</w:t>
      </w:r>
      <w:r>
        <w:tab/>
        <w:t>4(1)</w:t>
      </w:r>
    </w:p>
    <w:p>
      <w:pPr>
        <w:pStyle w:val="DefinedTerms"/>
      </w:pPr>
      <w:r>
        <w:t>building law</w:t>
      </w:r>
      <w:r>
        <w:tab/>
        <w:t>4(1)</w:t>
      </w:r>
    </w:p>
    <w:p>
      <w:pPr>
        <w:pStyle w:val="DefinedTerms"/>
      </w:pPr>
      <w:r>
        <w:t>building permit</w:t>
      </w:r>
      <w:r>
        <w:tab/>
        <w:t>4(1)</w:t>
      </w:r>
    </w:p>
    <w:p>
      <w:pPr>
        <w:pStyle w:val="DefinedTerms"/>
      </w:pPr>
      <w:r>
        <w:t>building practitioner</w:t>
      </w:r>
      <w:r>
        <w:tab/>
        <w:t>4(1)</w:t>
      </w:r>
    </w:p>
    <w:p>
      <w:pPr>
        <w:pStyle w:val="DefinedTerms"/>
      </w:pPr>
      <w:r>
        <w:t>centre</w:t>
      </w:r>
      <w:r>
        <w:noBreakHyphen/>
        <w:t>based service</w:t>
      </w:r>
      <w:r>
        <w:tab/>
        <w:t>4(1)</w:t>
      </w:r>
    </w:p>
    <w:p>
      <w:pPr>
        <w:pStyle w:val="DefinedTerms"/>
      </w:pPr>
      <w:r>
        <w:t>certificate of final inspection</w:t>
      </w:r>
      <w:r>
        <w:tab/>
        <w:t>4(1)</w:t>
      </w:r>
    </w:p>
    <w:p>
      <w:pPr>
        <w:pStyle w:val="DefinedTerms"/>
      </w:pPr>
      <w:r>
        <w:t>child over preschool age</w:t>
      </w:r>
      <w:r>
        <w:tab/>
        <w:t>4(1)</w:t>
      </w:r>
    </w:p>
    <w:p>
      <w:pPr>
        <w:pStyle w:val="DefinedTerms"/>
      </w:pPr>
      <w:r>
        <w:t>child preschool age or under</w:t>
      </w:r>
      <w:r>
        <w:tab/>
        <w:t>4(1)</w:t>
      </w:r>
    </w:p>
    <w:p>
      <w:pPr>
        <w:pStyle w:val="DefinedTerms"/>
      </w:pPr>
      <w:r>
        <w:t>criminal history record check</w:t>
      </w:r>
      <w:r>
        <w:tab/>
        <w:t>4(1)</w:t>
      </w:r>
    </w:p>
    <w:p>
      <w:pPr>
        <w:pStyle w:val="DefinedTerms"/>
      </w:pPr>
      <w:r>
        <w:t>criminal history statement</w:t>
      </w:r>
      <w:r>
        <w:tab/>
        <w:t>4(1)</w:t>
      </w:r>
    </w:p>
    <w:p>
      <w:pPr>
        <w:pStyle w:val="DefinedTerms"/>
      </w:pPr>
      <w:r>
        <w:t>diagnosed as at risk of anaphylaxis</w:t>
      </w:r>
      <w:r>
        <w:tab/>
        <w:t>4(1)</w:t>
      </w:r>
    </w:p>
    <w:p>
      <w:pPr>
        <w:pStyle w:val="DefinedTerms"/>
      </w:pPr>
      <w:r>
        <w:t>disciplinary proceedings statement</w:t>
      </w:r>
      <w:r>
        <w:tab/>
        <w:t>4(1)</w:t>
      </w:r>
    </w:p>
    <w:p>
      <w:pPr>
        <w:pStyle w:val="DefinedTerms"/>
      </w:pPr>
      <w:r>
        <w:t>early childhood teacher</w:t>
      </w:r>
      <w:r>
        <w:tab/>
        <w:t>4(1)</w:t>
      </w:r>
    </w:p>
    <w:p>
      <w:pPr>
        <w:pStyle w:val="DefinedTerms"/>
      </w:pPr>
      <w:r>
        <w:t>educational program</w:t>
      </w:r>
      <w:r>
        <w:tab/>
        <w:t>4(1), 73(1)</w:t>
      </w:r>
    </w:p>
    <w:p>
      <w:pPr>
        <w:pStyle w:val="DefinedTerms"/>
      </w:pPr>
      <w:r>
        <w:t>emergency</w:t>
      </w:r>
      <w:r>
        <w:tab/>
        <w:t>4(1), 123(1A)</w:t>
      </w:r>
    </w:p>
    <w:p>
      <w:pPr>
        <w:pStyle w:val="DefinedTerms"/>
      </w:pPr>
      <w:r>
        <w:t>excursion</w:t>
      </w:r>
      <w:r>
        <w:tab/>
        <w:t>4(1)</w:t>
      </w:r>
    </w:p>
    <w:p>
      <w:pPr>
        <w:pStyle w:val="DefinedTerms"/>
      </w:pPr>
      <w:r>
        <w:t>family day care educator assistant</w:t>
      </w:r>
      <w:r>
        <w:tab/>
        <w:t>4(1)</w:t>
      </w:r>
    </w:p>
    <w:p>
      <w:pPr>
        <w:pStyle w:val="DefinedTerms"/>
      </w:pPr>
      <w:r>
        <w:t>financial declaration</w:t>
      </w:r>
      <w:r>
        <w:tab/>
        <w:t>4(1)</w:t>
      </w:r>
    </w:p>
    <w:p>
      <w:pPr>
        <w:pStyle w:val="DefinedTerms"/>
      </w:pPr>
      <w:r>
        <w:t>in attendance</w:t>
      </w:r>
      <w:r>
        <w:tab/>
        <w:t>4(1), 11</w:t>
      </w:r>
    </w:p>
    <w:p>
      <w:pPr>
        <w:pStyle w:val="DefinedTerms"/>
      </w:pPr>
      <w:r>
        <w:t>index number</w:t>
      </w:r>
      <w:r>
        <w:tab/>
        <w:t>235(3)</w:t>
      </w:r>
    </w:p>
    <w:p>
      <w:pPr>
        <w:pStyle w:val="DefinedTerms"/>
      </w:pPr>
      <w:r>
        <w:t>infectious disease</w:t>
      </w:r>
      <w:r>
        <w:tab/>
        <w:t>4(1)</w:t>
      </w:r>
    </w:p>
    <w:p>
      <w:pPr>
        <w:pStyle w:val="DefinedTerms"/>
      </w:pPr>
      <w:r>
        <w:t>initial entity</w:t>
      </w:r>
      <w:r>
        <w:tab/>
        <w:t>216(n)(vi)</w:t>
      </w:r>
    </w:p>
    <w:p>
      <w:pPr>
        <w:pStyle w:val="DefinedTerms"/>
      </w:pPr>
      <w:r>
        <w:t>intentional teaching</w:t>
      </w:r>
      <w:r>
        <w:tab/>
        <w:t>Sch. 1</w:t>
      </w:r>
    </w:p>
    <w:p>
      <w:pPr>
        <w:pStyle w:val="DefinedTerms"/>
      </w:pPr>
      <w:r>
        <w:t>kindergarten programme</w:t>
      </w:r>
      <w:r>
        <w:tab/>
        <w:t>368</w:t>
      </w:r>
    </w:p>
    <w:p>
      <w:pPr>
        <w:pStyle w:val="DefinedTerms"/>
      </w:pPr>
      <w:r>
        <w:t>lunch period</w:t>
      </w:r>
      <w:r>
        <w:tab/>
        <w:t>374A(1)</w:t>
      </w:r>
    </w:p>
    <w:p>
      <w:pPr>
        <w:pStyle w:val="DefinedTerms"/>
      </w:pPr>
      <w:r>
        <w:t>medication</w:t>
      </w:r>
      <w:r>
        <w:tab/>
        <w:t>4(1)</w:t>
      </w:r>
    </w:p>
    <w:p>
      <w:pPr>
        <w:pStyle w:val="DefinedTerms"/>
      </w:pPr>
      <w:r>
        <w:t>monetary order</w:t>
      </w:r>
      <w:r>
        <w:tab/>
        <w:t>384(2)</w:t>
      </w:r>
    </w:p>
    <w:p>
      <w:pPr>
        <w:pStyle w:val="DefinedTerms"/>
      </w:pPr>
      <w:r>
        <w:t>most recent March year</w:t>
      </w:r>
      <w:r>
        <w:tab/>
        <w:t>235(3)</w:t>
      </w:r>
    </w:p>
    <w:p>
      <w:pPr>
        <w:pStyle w:val="DefinedTerms"/>
      </w:pPr>
      <w:r>
        <w:t>occupancy permit</w:t>
      </w:r>
      <w:r>
        <w:tab/>
        <w:t>4(1)</w:t>
      </w:r>
    </w:p>
    <w:p>
      <w:pPr>
        <w:pStyle w:val="DefinedTerms"/>
      </w:pPr>
      <w:r>
        <w:t>overseas criminal history statement</w:t>
      </w:r>
      <w:r>
        <w:tab/>
        <w:t>4(1)</w:t>
      </w:r>
    </w:p>
    <w:p>
      <w:pPr>
        <w:pStyle w:val="DefinedTerms"/>
      </w:pPr>
      <w:r>
        <w:t>parenting order</w:t>
      </w:r>
      <w:r>
        <w:tab/>
        <w:t>160(4)</w:t>
      </w:r>
    </w:p>
    <w:p>
      <w:pPr>
        <w:pStyle w:val="DefinedTerms"/>
      </w:pPr>
      <w:r>
        <w:t>parenting plan</w:t>
      </w:r>
      <w:r>
        <w:tab/>
        <w:t>160(4)</w:t>
      </w:r>
    </w:p>
    <w:p>
      <w:pPr>
        <w:pStyle w:val="DefinedTerms"/>
      </w:pPr>
      <w:r>
        <w:t>planning and development law</w:t>
      </w:r>
      <w:r>
        <w:tab/>
        <w:t>4(1)</w:t>
      </w:r>
    </w:p>
    <w:p>
      <w:pPr>
        <w:pStyle w:val="DefinedTerms"/>
      </w:pPr>
      <w:r>
        <w:t>planning permit</w:t>
      </w:r>
      <w:r>
        <w:tab/>
        <w:t>4(1)</w:t>
      </w:r>
    </w:p>
    <w:p>
      <w:pPr>
        <w:pStyle w:val="DefinedTerms"/>
      </w:pPr>
      <w:r>
        <w:t>pre</w:t>
      </w:r>
      <w:r>
        <w:noBreakHyphen/>
        <w:t>kindergarten programme</w:t>
      </w:r>
      <w:r>
        <w:tab/>
        <w:t>368</w:t>
      </w:r>
    </w:p>
    <w:p>
      <w:pPr>
        <w:pStyle w:val="DefinedTerms"/>
      </w:pPr>
      <w:r>
        <w:t>pre</w:t>
      </w:r>
      <w:r>
        <w:noBreakHyphen/>
        <w:t>primary programme</w:t>
      </w:r>
      <w:r>
        <w:tab/>
        <w:t>368</w:t>
      </w:r>
    </w:p>
    <w:p>
      <w:pPr>
        <w:pStyle w:val="DefinedTerms"/>
      </w:pPr>
      <w:r>
        <w:t>preschool</w:t>
      </w:r>
      <w:r>
        <w:tab/>
        <w:t>368</w:t>
      </w:r>
    </w:p>
    <w:p>
      <w:pPr>
        <w:pStyle w:val="DefinedTerms"/>
      </w:pPr>
      <w:r>
        <w:t>preschool program</w:t>
      </w:r>
      <w:r>
        <w:tab/>
        <w:t>4(1)</w:t>
      </w:r>
    </w:p>
    <w:p>
      <w:pPr>
        <w:pStyle w:val="DefinedTerms"/>
      </w:pPr>
      <w:r>
        <w:t>prescribed regulation</w:t>
      </w:r>
      <w:r>
        <w:tab/>
        <w:t>256(3), 257(5)</w:t>
      </w:r>
    </w:p>
    <w:p>
      <w:pPr>
        <w:pStyle w:val="DefinedTerms"/>
      </w:pPr>
      <w:r>
        <w:t>previous March year</w:t>
      </w:r>
      <w:r>
        <w:tab/>
        <w:t>235(3)</w:t>
      </w:r>
    </w:p>
    <w:p>
      <w:pPr>
        <w:pStyle w:val="DefinedTerms"/>
      </w:pPr>
      <w:r>
        <w:t>previous service statement</w:t>
      </w:r>
      <w:r>
        <w:tab/>
        <w:t>4(1)</w:t>
      </w:r>
    </w:p>
    <w:p>
      <w:pPr>
        <w:pStyle w:val="DefinedTerms"/>
      </w:pPr>
      <w:r>
        <w:t>provided by a school</w:t>
      </w:r>
      <w:r>
        <w:tab/>
        <w:t>368</w:t>
      </w:r>
    </w:p>
    <w:p>
      <w:pPr>
        <w:pStyle w:val="DefinedTerms"/>
      </w:pPr>
      <w:r>
        <w:t>public office</w:t>
      </w:r>
      <w:r>
        <w:tab/>
        <w:t>214(a)</w:t>
      </w:r>
    </w:p>
    <w:p>
      <w:pPr>
        <w:pStyle w:val="DefinedTerms"/>
      </w:pPr>
      <w:r>
        <w:t>qualified educator</w:t>
      </w:r>
      <w:r>
        <w:tab/>
        <w:t>370(3)</w:t>
      </w:r>
    </w:p>
    <w:p>
      <w:pPr>
        <w:pStyle w:val="DefinedTerms"/>
      </w:pPr>
      <w:r>
        <w:t>quarter</w:t>
      </w:r>
      <w:r>
        <w:tab/>
        <w:t>235(3)</w:t>
      </w:r>
    </w:p>
    <w:p>
      <w:pPr>
        <w:pStyle w:val="DefinedTerms"/>
      </w:pPr>
      <w:r>
        <w:t>recognised estray provisions</w:t>
      </w:r>
      <w:r>
        <w:tab/>
        <w:t>216(c)</w:t>
      </w:r>
    </w:p>
    <w:p>
      <w:pPr>
        <w:pStyle w:val="DefinedTerms"/>
      </w:pPr>
      <w:r>
        <w:t>registered medical practitioner</w:t>
      </w:r>
      <w:r>
        <w:tab/>
        <w:t>4(1)</w:t>
      </w:r>
    </w:p>
    <w:p>
      <w:pPr>
        <w:pStyle w:val="DefinedTerms"/>
      </w:pPr>
      <w:r>
        <w:t>regular outing</w:t>
      </w:r>
      <w:r>
        <w:tab/>
        <w:t>4(1)</w:t>
      </w:r>
    </w:p>
    <w:p>
      <w:pPr>
        <w:pStyle w:val="DefinedTerms"/>
      </w:pPr>
      <w:r>
        <w:t>relevant administrative tribunal</w:t>
      </w:r>
      <w:r>
        <w:tab/>
        <w:t>210</w:t>
      </w:r>
    </w:p>
    <w:p>
      <w:pPr>
        <w:pStyle w:val="DefinedTerms"/>
      </w:pPr>
      <w:r>
        <w:t>relevant regulation</w:t>
      </w:r>
      <w:r>
        <w:tab/>
        <w:t>242(3)</w:t>
      </w:r>
    </w:p>
    <w:p>
      <w:pPr>
        <w:pStyle w:val="DefinedTerms"/>
      </w:pPr>
      <w:r>
        <w:t>relevant year</w:t>
      </w:r>
      <w:r>
        <w:tab/>
        <w:t>235(2)</w:t>
      </w:r>
    </w:p>
    <w:p>
      <w:pPr>
        <w:pStyle w:val="DefinedTerms"/>
      </w:pPr>
      <w:r>
        <w:t>renovate</w:t>
      </w:r>
      <w:r>
        <w:tab/>
        <w:t>4(1)</w:t>
      </w:r>
    </w:p>
    <w:p>
      <w:pPr>
        <w:pStyle w:val="DefinedTerms"/>
      </w:pPr>
      <w:r>
        <w:t>responsible person</w:t>
      </w:r>
      <w:r>
        <w:tab/>
        <w:t>4(1)</w:t>
      </w:r>
    </w:p>
    <w:p>
      <w:pPr>
        <w:pStyle w:val="DefinedTerms"/>
      </w:pPr>
      <w:r>
        <w:t>safety screening clearance</w:t>
      </w:r>
      <w:r>
        <w:tab/>
        <w:t>4(1)</w:t>
      </w:r>
    </w:p>
    <w:p>
      <w:pPr>
        <w:pStyle w:val="DefinedTerms"/>
      </w:pPr>
      <w:r>
        <w:t>scaffold</w:t>
      </w:r>
      <w:r>
        <w:tab/>
        <w:t>Sch. 1</w:t>
      </w:r>
    </w:p>
    <w:p>
      <w:pPr>
        <w:pStyle w:val="DefinedTerms"/>
      </w:pPr>
      <w:r>
        <w:t>scheme commencement day</w:t>
      </w:r>
      <w:r>
        <w:tab/>
        <w:t>4(1)</w:t>
      </w:r>
    </w:p>
    <w:p>
      <w:pPr>
        <w:pStyle w:val="DefinedTerms"/>
      </w:pPr>
      <w:r>
        <w:t>school</w:t>
      </w:r>
      <w:r>
        <w:tab/>
        <w:t>368</w:t>
      </w:r>
    </w:p>
    <w:p>
      <w:pPr>
        <w:pStyle w:val="DefinedTerms"/>
      </w:pPr>
      <w:r>
        <w:t>secondary programme</w:t>
      </w:r>
      <w:r>
        <w:tab/>
        <w:t>368</w:t>
      </w:r>
    </w:p>
    <w:p>
      <w:pPr>
        <w:pStyle w:val="DefinedTerms"/>
      </w:pPr>
      <w:r>
        <w:t>serious incident</w:t>
      </w:r>
      <w:r>
        <w:tab/>
        <w:t>4(1)</w:t>
      </w:r>
    </w:p>
    <w:p>
      <w:pPr>
        <w:pStyle w:val="DefinedTerms"/>
      </w:pPr>
      <w:r>
        <w:t>soil assessment</w:t>
      </w:r>
      <w:r>
        <w:tab/>
        <w:t>4(1)</w:t>
      </w:r>
    </w:p>
    <w:p>
      <w:pPr>
        <w:pStyle w:val="DefinedTerms"/>
      </w:pPr>
      <w:r>
        <w:t>State collecting institution</w:t>
      </w:r>
      <w:r>
        <w:tab/>
        <w:t>216(a)</w:t>
      </w:r>
    </w:p>
    <w:p>
      <w:pPr>
        <w:pStyle w:val="DefinedTerms"/>
      </w:pPr>
      <w:r>
        <w:t>suitably qualified person</w:t>
      </w:r>
      <w:r>
        <w:tab/>
        <w:t>4(1)</w:t>
      </w:r>
    </w:p>
    <w:p>
      <w:pPr>
        <w:pStyle w:val="DefinedTerms"/>
      </w:pPr>
      <w:r>
        <w:t>the Law</w:t>
      </w:r>
      <w:r>
        <w:tab/>
        <w:t>4(1)</w:t>
      </w:r>
    </w:p>
    <w:p>
      <w:pPr>
        <w:pStyle w:val="DefinedTerms"/>
      </w:pPr>
      <w:r>
        <w:t>working directly with children</w:t>
      </w:r>
      <w:r>
        <w:tab/>
        <w:t>4(1), 13</w:t>
      </w:r>
    </w:p>
    <w:p>
      <w:pPr>
        <w:pStyle w:val="DefinedTerms"/>
      </w:pPr>
      <w:r>
        <w:t>working with children check number</w:t>
      </w:r>
      <w:r>
        <w:tab/>
        <w:t>4(1)</w:t>
      </w:r>
    </w:p>
    <w:p>
      <w:pPr>
        <w:pStyle w:val="DefinedTerms"/>
      </w:pPr>
      <w:r>
        <w:t>working with vulnerable people check</w:t>
      </w:r>
      <w:r>
        <w:tab/>
        <w:t>4(1)</w:t>
      </w:r>
    </w:p>
    <w:p>
      <w:pPr>
        <w:pStyle w:val="DefinedTerms"/>
      </w:pPr>
    </w:p>
    <w:p/>
    <w:p/>
    <w:p/>
    <w:p/>
    <w:p/>
    <w:p>
      <w:pPr>
        <w:sectPr>
          <w:headerReference w:type="even" r:id="rId42"/>
          <w:headerReference w:type="default" r:id="rId43"/>
          <w:footerReference w:type="even" r:id="rId44"/>
          <w:footerReference w:type="default" r:id="rId45"/>
          <w:headerReference w:type="first" r:id="rId46"/>
          <w:footerReference w:type="first" r:id="rId47"/>
          <w:pgSz w:w="11906" w:h="16838" w:code="9"/>
          <w:pgMar w:top="2376" w:right="2404" w:bottom="3544" w:left="2404" w:header="720"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8"/>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xvi</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xv</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210</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209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230</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229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230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231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232</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Education and Care Services National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pPr>
          <w:fldSimple w:instr=" STYLEREF &quot;Name of Act/Reg&quot; \* MERGEFORMAT ">
            <w:r>
              <w:rPr>
                <w:bCs/>
                <w:noProof/>
              </w:rPr>
              <w:t>Education and Care Services</w:t>
            </w:r>
            <w:r>
              <w:rPr>
                <w:noProof/>
              </w:rPr>
              <w:t xml:space="preserve"> National Regulations 2012</w:t>
            </w:r>
          </w:fldSimple>
        </w:p>
      </w:tc>
    </w:tr>
    <w:tr>
      <w:tc>
        <w:tcPr>
          <w:tcW w:w="5715" w:type="dxa"/>
        </w:tcPr>
        <w:p>
          <w:pPr>
            <w:pStyle w:val="HeaderTextRight"/>
          </w:pPr>
        </w:p>
      </w:tc>
      <w:tc>
        <w:tcPr>
          <w:tcW w:w="1548" w:type="dxa"/>
        </w:tcPr>
        <w:p>
          <w:pPr>
            <w:pStyle w:val="HeaderNumberRight"/>
          </w:pPr>
        </w:p>
      </w:tc>
    </w:tr>
    <w:tr>
      <w:tc>
        <w:tcPr>
          <w:tcW w:w="5715" w:type="dxa"/>
        </w:tcPr>
        <w:p>
          <w:pPr>
            <w:pStyle w:val="HeaderTextRight"/>
          </w:pPr>
        </w:p>
      </w:tc>
      <w:tc>
        <w:tcPr>
          <w:tcW w:w="1548" w:type="dxa"/>
        </w:tcPr>
        <w:p>
          <w:pPr>
            <w:pStyle w:val="HeaderNumberRight"/>
          </w:pPr>
        </w:p>
      </w:tc>
    </w:tr>
    <w:tr>
      <w:trPr>
        <w:cantSplit/>
      </w:trPr>
      <w:tc>
        <w:tcPr>
          <w:tcW w:w="7258"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Education and Care Services National Regulations 2012</w:t>
            </w:r>
          </w:fldSimple>
        </w:p>
      </w:tc>
    </w:tr>
    <w:tr>
      <w:tc>
        <w:tcPr>
          <w:tcW w:w="1548" w:type="dxa"/>
        </w:tcPr>
        <w:p>
          <w:pPr>
            <w:pStyle w:val="HeaderNumberLeft"/>
          </w:pPr>
          <w:fldSimple w:instr=" styleref CharPartNo ">
            <w:r>
              <w:rPr>
                <w:noProof/>
              </w:rPr>
              <w:t>Chapter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Education and Care Services National Regulations 2012</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Chapter 1</w:t>
            </w:r>
          </w:fldSimple>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Education and Care Services National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National Quality Standard</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Education and Care Services National Regulations 2012</w:t>
            </w:r>
          </w:fldSimple>
        </w:p>
      </w:tc>
    </w:tr>
    <w:tr>
      <w:tc>
        <w:tcPr>
          <w:tcW w:w="5715" w:type="dxa"/>
        </w:tcPr>
        <w:p>
          <w:pPr>
            <w:pStyle w:val="HeaderTextRight"/>
          </w:pPr>
          <w:fldSimple w:instr=" styleref CharSchText ">
            <w:r>
              <w:rPr>
                <w:noProof/>
              </w:rPr>
              <w:t>National Quality Standard</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Education and Care Services National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Compliance directions — prescribed provisions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Education and Care Services National Regulations 2012</w:t>
            </w:r>
          </w:fldSimple>
        </w:p>
      </w:tc>
    </w:tr>
    <w:tr>
      <w:tc>
        <w:tcPr>
          <w:tcW w:w="5715" w:type="dxa"/>
        </w:tcPr>
        <w:p>
          <w:pPr>
            <w:pStyle w:val="HeaderTextRight"/>
          </w:pPr>
          <w:fldSimple w:instr=" styleref CharSchText ">
            <w:r>
              <w:rPr>
                <w:noProof/>
              </w:rPr>
              <w:t>Compliance directions — prescribed provisions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 3</w: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Education and Care Services National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Education and Care Services National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Education and Care Services National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Education and Care Services National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Education and Care Services National Regulations 2012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8">
    <w:nsid w:val="46A85F5D"/>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CC03303"/>
    <w:multiLevelType w:val="singleLevel"/>
    <w:tmpl w:val="0809000F"/>
    <w:lvl w:ilvl="0">
      <w:start w:val="1"/>
      <w:numFmt w:val="decimal"/>
      <w:lvlText w:val="%1."/>
      <w:lvlJc w:val="left"/>
      <w:pPr>
        <w:tabs>
          <w:tab w:val="num" w:pos="360"/>
        </w:tabs>
        <w:ind w:left="360" w:hanging="360"/>
      </w:pPr>
    </w:lvl>
  </w:abstractNum>
  <w:abstractNum w:abstractNumId="3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1">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9"/>
  </w:num>
  <w:num w:numId="3">
    <w:abstractNumId w:val="16"/>
  </w:num>
  <w:num w:numId="4">
    <w:abstractNumId w:val="12"/>
  </w:num>
  <w:num w:numId="5">
    <w:abstractNumId w:val="18"/>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7"/>
  </w:num>
  <w:num w:numId="17">
    <w:abstractNumId w:val="35"/>
  </w:num>
  <w:num w:numId="18">
    <w:abstractNumId w:val="26"/>
  </w:num>
  <w:num w:numId="19">
    <w:abstractNumId w:val="33"/>
  </w:num>
  <w:num w:numId="20">
    <w:abstractNumId w:val="31"/>
  </w:num>
  <w:num w:numId="21">
    <w:abstractNumId w:val="15"/>
  </w:num>
  <w:num w:numId="22">
    <w:abstractNumId w:val="2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638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901130800"/>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6.xml"/><Relationship Id="rId39" Type="http://schemas.openxmlformats.org/officeDocument/2006/relationships/header" Target="header12.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footer" Target="footer11.xml"/><Relationship Id="rId42" Type="http://schemas.openxmlformats.org/officeDocument/2006/relationships/header" Target="header15.xml"/><Relationship Id="rId47" Type="http://schemas.openxmlformats.org/officeDocument/2006/relationships/footer" Target="footer15.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oleObject" Target="embeddings/oleObject2.bin"/><Relationship Id="rId33" Type="http://schemas.openxmlformats.org/officeDocument/2006/relationships/footer" Target="footer10.xml"/><Relationship Id="rId38" Type="http://schemas.openxmlformats.org/officeDocument/2006/relationships/header" Target="header11.xml"/><Relationship Id="rId46"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8.xml"/><Relationship Id="rId41"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4.wmf"/><Relationship Id="rId32" Type="http://schemas.openxmlformats.org/officeDocument/2006/relationships/header" Target="header9.xml"/><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footer" Target="footer14.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footer" Target="footer7.xml"/><Relationship Id="rId36" Type="http://schemas.openxmlformats.org/officeDocument/2006/relationships/image" Target="media/image5.png"/><Relationship Id="rId49" Type="http://schemas.openxmlformats.org/officeDocument/2006/relationships/fontTable" Target="fontTable.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8.xml"/><Relationship Id="rId44" Type="http://schemas.openxmlformats.org/officeDocument/2006/relationships/footer" Target="foot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eader" Target="header7.xml"/><Relationship Id="rId30" Type="http://schemas.openxmlformats.org/officeDocument/2006/relationships/footer" Target="footer9.xml"/><Relationship Id="rId35" Type="http://schemas.openxmlformats.org/officeDocument/2006/relationships/footer" Target="footer12.xml"/><Relationship Id="rId43" Type="http://schemas.openxmlformats.org/officeDocument/2006/relationships/header" Target="header16.xml"/><Relationship Id="rId48" Type="http://schemas.openxmlformats.org/officeDocument/2006/relationships/header" Target="header18.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47E6A1-0FAC-4AC7-9E5A-D115779E3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250</Pages>
  <Words>58558</Words>
  <Characters>305093</Characters>
  <Application>Microsoft Office Word</Application>
  <DocSecurity>0</DocSecurity>
  <Lines>8474</Lines>
  <Paragraphs>4848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358803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2012 - 01-00-00</dc:title>
  <dc:subject/>
  <dc:creator/>
  <cp:keywords/>
  <dc:description/>
  <cp:lastModifiedBy>svcMRProcess</cp:lastModifiedBy>
  <cp:revision>4</cp:revision>
  <cp:lastPrinted>2014-09-02T00:22:00Z</cp:lastPrinted>
  <dcterms:created xsi:type="dcterms:W3CDTF">2020-03-07T17:09:00Z</dcterms:created>
  <dcterms:modified xsi:type="dcterms:W3CDTF">2020-03-07T17:09:00Z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CommencementDate">
    <vt:lpwstr>20140919</vt:lpwstr>
  </property>
  <property fmtid="{D5CDD505-2E9C-101B-9397-08002B2CF9AE}" pid="4" name="AsAtDate">
    <vt:lpwstr>19 Sep 2014</vt:lpwstr>
  </property>
  <property fmtid="{D5CDD505-2E9C-101B-9397-08002B2CF9AE}" pid="5" name="Suffix">
    <vt:lpwstr>01-00-00</vt:lpwstr>
  </property>
  <property fmtid="{D5CDD505-2E9C-101B-9397-08002B2CF9AE}" pid="6" name="DocumentType">
    <vt:lpwstr>Reg</vt:lpwstr>
  </property>
  <property fmtid="{D5CDD505-2E9C-101B-9397-08002B2CF9AE}" pid="7" name="ReprintNo">
    <vt:lpwstr>1</vt:lpwstr>
  </property>
  <property fmtid="{D5CDD505-2E9C-101B-9397-08002B2CF9AE}" pid="8" name="ReprintedAsAt">
    <vt:filetime>2014-09-18T16:00:00Z</vt:filetime>
  </property>
</Properties>
</file>