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Privileges Act 1891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12 September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8455644"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September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Parliamentary Privileges Act 1891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Privileges, immunities and powers of Council and Assembly</w:t>
      </w:r>
      <w:r>
        <w:tab/>
      </w:r>
      <w:r>
        <w:fldChar w:fldCharType="begin"/>
      </w:r>
      <w:r>
        <w:instrText xml:space="preserve"> PAGEREF _Toc398894340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Printed copies of journals of House of Commons to be evidence</w:t>
      </w:r>
      <w:r>
        <w:tab/>
      </w:r>
      <w:r>
        <w:fldChar w:fldCharType="begin"/>
      </w:r>
      <w:r>
        <w:instrText xml:space="preserve"> PAGEREF _Toc398894341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Designation of Legislature</w:t>
      </w:r>
      <w:r>
        <w:tab/>
      </w:r>
      <w:r>
        <w:fldChar w:fldCharType="begin"/>
      </w:r>
      <w:r>
        <w:instrText xml:space="preserve"> PAGEREF _Toc398894342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order attendance of persons</w:t>
      </w:r>
      <w:r>
        <w:tab/>
      </w:r>
      <w:r>
        <w:fldChar w:fldCharType="begin"/>
      </w:r>
      <w:r>
        <w:instrText xml:space="preserve"> PAGEREF _Toc398894343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to attend to be notified by summons</w:t>
      </w:r>
      <w:r>
        <w:tab/>
      </w:r>
      <w:r>
        <w:fldChar w:fldCharType="begin"/>
      </w:r>
      <w:r>
        <w:instrText xml:space="preserve"> PAGEREF _Toc398894344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Attendance of members</w:t>
      </w:r>
      <w:r>
        <w:tab/>
      </w:r>
      <w:r>
        <w:fldChar w:fldCharType="begin"/>
      </w:r>
      <w:r>
        <w:instrText xml:space="preserve"> PAGEREF _Toc398894345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Objection to answer questions or produce documents to be reported to House</w:t>
      </w:r>
      <w:r>
        <w:tab/>
      </w:r>
      <w:r>
        <w:fldChar w:fldCharType="begin"/>
      </w:r>
      <w:r>
        <w:instrText xml:space="preserve"> PAGEREF _Toc398894346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Houses empowered to punish summarily for certain contempts</w:t>
      </w:r>
      <w:r>
        <w:tab/>
      </w:r>
      <w:r>
        <w:fldChar w:fldCharType="begin"/>
      </w:r>
      <w:r>
        <w:instrText xml:space="preserve"> PAGEREF _Toc398894347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President or Speaker to issue warrant</w:t>
      </w:r>
      <w:r>
        <w:tab/>
      </w:r>
      <w:r>
        <w:fldChar w:fldCharType="begin"/>
      </w:r>
      <w:r>
        <w:instrText xml:space="preserve"> PAGEREF _Toc398894348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Persons disturbing proceedings of House may be arrested without warrant</w:t>
      </w:r>
      <w:r>
        <w:tab/>
      </w:r>
      <w:r>
        <w:fldChar w:fldCharType="begin"/>
      </w:r>
      <w:r>
        <w:instrText xml:space="preserve"> PAGEREF _Toc398894349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warrant</w:t>
      </w:r>
      <w:r>
        <w:tab/>
      </w:r>
      <w:r>
        <w:fldChar w:fldCharType="begin"/>
      </w:r>
      <w:r>
        <w:instrText xml:space="preserve"> PAGEREF _Toc398894350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Sheriff’s officers, constables and others to assist in execution of warrant or verbal order</w:t>
      </w:r>
      <w:r>
        <w:tab/>
      </w:r>
      <w:r>
        <w:fldChar w:fldCharType="begin"/>
      </w:r>
      <w:r>
        <w:instrText xml:space="preserve"> PAGEREF _Toc398894351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Doors may be broken open in executing warrant</w:t>
      </w:r>
      <w:r>
        <w:tab/>
      </w:r>
      <w:r>
        <w:fldChar w:fldCharType="begin"/>
      </w:r>
      <w:r>
        <w:instrText xml:space="preserve"> PAGEREF _Toc398894352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House may direct Attorney General to prosecute instead of proceeding summarily</w:t>
      </w:r>
      <w:r>
        <w:tab/>
      </w:r>
      <w:r>
        <w:fldChar w:fldCharType="begin"/>
      </w:r>
      <w:r>
        <w:instrText xml:space="preserve"> PAGEREF _Toc398894353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House may direct Attorney General to prosecute for other contempts</w:t>
      </w:r>
      <w:r>
        <w:tab/>
      </w:r>
      <w:r>
        <w:fldChar w:fldCharType="begin"/>
      </w:r>
      <w:r>
        <w:instrText xml:space="preserve"> PAGEREF _Toc398894354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Short title</w:t>
      </w:r>
      <w:r>
        <w:tab/>
      </w:r>
      <w:r>
        <w:fldChar w:fldCharType="begin"/>
      </w:r>
      <w:r>
        <w:instrText xml:space="preserve"> PAGEREF _Toc398894355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_Toc398894357 \h </w:instrText>
      </w:r>
      <w:r>
        <w:fldChar w:fldCharType="separate"/>
      </w:r>
      <w:r>
        <w:t>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September 2014</w:t>
            </w:r>
            <w:r>
              <w:rPr>
                <w:b/>
                <w:sz w:val="22"/>
              </w:rPr>
              <w:fldChar w:fldCharType="end"/>
            </w:r>
          </w:p>
        </w:tc>
      </w:tr>
    </w:tbl>
    <w:p>
      <w:pPr>
        <w:pStyle w:val="WA"/>
        <w:spacing w:before="120"/>
      </w:pPr>
      <w:r>
        <w:t>Western Australia</w:t>
      </w:r>
    </w:p>
    <w:p>
      <w:pPr>
        <w:pStyle w:val="NameofActReg"/>
      </w:pPr>
      <w:r>
        <w:t xml:space="preserve">Parliamentary Privileges Act 1891 </w:t>
      </w:r>
    </w:p>
    <w:p>
      <w:pPr>
        <w:pStyle w:val="LongTitle"/>
        <w:rPr>
          <w:snapToGrid w:val="0"/>
        </w:rPr>
      </w:pPr>
      <w:r>
        <w:rPr>
          <w:snapToGrid w:val="0"/>
        </w:rPr>
        <w:t xml:space="preserve">An Act for defining the privileges, immunities, and powers of the Legislative Council and Legislative Assembly of Western Australia, respectively. </w:t>
      </w:r>
    </w:p>
    <w:p>
      <w:pPr>
        <w:pStyle w:val="Preamble1"/>
        <w:spacing w:before="240"/>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398894340"/>
      <w:r>
        <w:rPr>
          <w:rStyle w:val="CharSectno"/>
        </w:rPr>
        <w:t>1</w:t>
      </w:r>
      <w:r>
        <w:t>.</w:t>
      </w:r>
      <w:r>
        <w:tab/>
        <w:t>Privileges, immunities and powers of Council and Assembly</w:t>
      </w:r>
      <w:bookmarkEnd w:id="1"/>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inserted by No. 41 of 2004 s. 7.]</w:t>
      </w:r>
    </w:p>
    <w:p>
      <w:pPr>
        <w:pStyle w:val="Heading5"/>
        <w:rPr>
          <w:snapToGrid w:val="0"/>
        </w:rPr>
      </w:pPr>
      <w:bookmarkStart w:id="2" w:name="_Toc398894341"/>
      <w:r>
        <w:rPr>
          <w:rStyle w:val="CharSectno"/>
        </w:rPr>
        <w:t>2</w:t>
      </w:r>
      <w:r>
        <w:rPr>
          <w:snapToGrid w:val="0"/>
        </w:rPr>
        <w:t>.</w:t>
      </w:r>
      <w:r>
        <w:rPr>
          <w:snapToGrid w:val="0"/>
        </w:rPr>
        <w:tab/>
        <w:t>Printed copies of journals of House of Commons to be evidence</w:t>
      </w:r>
      <w:bookmarkEnd w:id="2"/>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3" w:name="_Toc398894342"/>
      <w:r>
        <w:rPr>
          <w:rStyle w:val="CharSectno"/>
        </w:rPr>
        <w:t>3</w:t>
      </w:r>
      <w:r>
        <w:rPr>
          <w:snapToGrid w:val="0"/>
        </w:rPr>
        <w:t>.</w:t>
      </w:r>
      <w:r>
        <w:rPr>
          <w:snapToGrid w:val="0"/>
        </w:rPr>
        <w:tab/>
        <w:t>Designation of Legislature</w:t>
      </w:r>
      <w:bookmarkEnd w:id="3"/>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4" w:name="_Toc398894343"/>
      <w:r>
        <w:rPr>
          <w:rStyle w:val="CharSectno"/>
        </w:rPr>
        <w:t>4</w:t>
      </w:r>
      <w:r>
        <w:rPr>
          <w:snapToGrid w:val="0"/>
        </w:rPr>
        <w:t>.</w:t>
      </w:r>
      <w:r>
        <w:rPr>
          <w:snapToGrid w:val="0"/>
        </w:rPr>
        <w:tab/>
        <w:t>Power to order attendance of persons</w:t>
      </w:r>
      <w:bookmarkEnd w:id="4"/>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5" w:name="_Toc398894344"/>
      <w:r>
        <w:rPr>
          <w:rStyle w:val="CharSectno"/>
        </w:rPr>
        <w:t>5</w:t>
      </w:r>
      <w:r>
        <w:rPr>
          <w:snapToGrid w:val="0"/>
        </w:rPr>
        <w:t>.</w:t>
      </w:r>
      <w:r>
        <w:rPr>
          <w:snapToGrid w:val="0"/>
        </w:rPr>
        <w:tab/>
        <w:t>Order to attend to be notified by summons</w:t>
      </w:r>
      <w:bookmarkEnd w:id="5"/>
      <w:r>
        <w:rPr>
          <w:snapToGrid w:val="0"/>
        </w:rPr>
        <w:t xml:space="preserve"> </w:t>
      </w:r>
    </w:p>
    <w:p>
      <w:pPr>
        <w:pStyle w:val="Subsection"/>
        <w:rPr>
          <w:snapToGrid w:val="0"/>
        </w:rPr>
      </w:pPr>
      <w:r>
        <w:rPr>
          <w:snapToGrid w:val="0"/>
        </w:rPr>
        <w:tab/>
        <w:t>(1)</w:t>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t>(2)</w:t>
      </w:r>
      <w:r>
        <w:rPr>
          <w:snapToGrid w:val="0"/>
        </w:rPr>
        <w:tab/>
        <w:t>In every such summons shall be stated the time and place when and where the person summoned is to attend, and the particular documents which he is required to produce.</w:t>
      </w:r>
    </w:p>
    <w:p>
      <w:pPr>
        <w:pStyle w:val="Subsection"/>
        <w:rPr>
          <w:snapToGrid w:val="0"/>
        </w:rPr>
      </w:pPr>
      <w:r>
        <w:rPr>
          <w:snapToGrid w:val="0"/>
        </w:rPr>
        <w:tab/>
        <w:t>(3)</w:t>
      </w:r>
      <w:r>
        <w:rPr>
          <w:snapToGrid w:val="0"/>
        </w:rPr>
        <w:tab/>
        <w:t>The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t>(4)</w:t>
      </w:r>
      <w:r>
        <w:rPr>
          <w:snapToGrid w:val="0"/>
        </w:rPr>
        <w:tab/>
        <w:t>There shall be paid or tendered to the person so summoned a reasonable sum for his expenses of attendance.</w:t>
      </w:r>
    </w:p>
    <w:p>
      <w:pPr>
        <w:pStyle w:val="Footnotesection"/>
      </w:pPr>
      <w:r>
        <w:tab/>
        <w:t>[Section 5 amended by No. 19 of 2010 s. 51.]</w:t>
      </w:r>
    </w:p>
    <w:p>
      <w:pPr>
        <w:pStyle w:val="Heading5"/>
        <w:rPr>
          <w:snapToGrid w:val="0"/>
        </w:rPr>
      </w:pPr>
      <w:bookmarkStart w:id="6" w:name="_Toc398894345"/>
      <w:r>
        <w:rPr>
          <w:rStyle w:val="CharSectno"/>
        </w:rPr>
        <w:t>6</w:t>
      </w:r>
      <w:r>
        <w:rPr>
          <w:snapToGrid w:val="0"/>
        </w:rPr>
        <w:t>.</w:t>
      </w:r>
      <w:r>
        <w:rPr>
          <w:snapToGrid w:val="0"/>
        </w:rPr>
        <w:tab/>
        <w:t>Attendance of members</w:t>
      </w:r>
      <w:bookmarkEnd w:id="6"/>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7" w:name="_Toc398894346"/>
      <w:r>
        <w:rPr>
          <w:rStyle w:val="CharSectno"/>
        </w:rPr>
        <w:t>7</w:t>
      </w:r>
      <w:r>
        <w:rPr>
          <w:snapToGrid w:val="0"/>
        </w:rPr>
        <w:t>.</w:t>
      </w:r>
      <w:r>
        <w:rPr>
          <w:snapToGrid w:val="0"/>
        </w:rPr>
        <w:tab/>
        <w:t>Objection to answer questions or produce documents to be reported to House</w:t>
      </w:r>
      <w:bookmarkEnd w:id="7"/>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8" w:name="_Toc398894347"/>
      <w:r>
        <w:rPr>
          <w:rStyle w:val="CharSectno"/>
        </w:rPr>
        <w:t>8</w:t>
      </w:r>
      <w:r>
        <w:rPr>
          <w:snapToGrid w:val="0"/>
        </w:rPr>
        <w:t>.</w:t>
      </w:r>
      <w:r>
        <w:rPr>
          <w:snapToGrid w:val="0"/>
        </w:rPr>
        <w:tab/>
        <w:t>Houses empowered to punish summarily for certain contempts</w:t>
      </w:r>
      <w:bookmarkEnd w:id="8"/>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spacing w:before="60"/>
        <w:rPr>
          <w:snapToGrid w:val="0"/>
        </w:rPr>
      </w:pPr>
      <w:r>
        <w:rPr>
          <w:snapToGrid w:val="0"/>
        </w:rPr>
        <w:tab/>
        <w:t>(a)</w:t>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spacing w:before="60"/>
        <w:rPr>
          <w:snapToGrid w:val="0"/>
        </w:rPr>
      </w:pPr>
      <w:r>
        <w:rPr>
          <w:snapToGrid w:val="0"/>
        </w:rPr>
        <w:tab/>
        <w:t>(b)</w:t>
      </w:r>
      <w:r>
        <w:rPr>
          <w:snapToGrid w:val="0"/>
        </w:rPr>
        <w:tab/>
        <w:t>refusing to be examined before, or to answer any lawful and relevant question put by the House or any such Committee, unless excused by the House in manner aforesaid;</w:t>
      </w:r>
    </w:p>
    <w:p>
      <w:pPr>
        <w:pStyle w:val="Indenta"/>
        <w:spacing w:before="60"/>
        <w:rPr>
          <w:snapToGrid w:val="0"/>
        </w:rPr>
      </w:pPr>
      <w:r>
        <w:rPr>
          <w:snapToGrid w:val="0"/>
        </w:rPr>
        <w:tab/>
        <w:t>(c)</w:t>
      </w:r>
      <w:r>
        <w:rPr>
          <w:snapToGrid w:val="0"/>
        </w:rPr>
        <w:tab/>
        <w:t>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spacing w:before="60"/>
        <w:rPr>
          <w:snapToGrid w:val="0"/>
        </w:rPr>
      </w:pPr>
      <w:r>
        <w:rPr>
          <w:snapToGrid w:val="0"/>
        </w:rPr>
        <w:tab/>
        <w:t>(d)</w:t>
      </w:r>
      <w:r>
        <w:rPr>
          <w:snapToGrid w:val="0"/>
        </w:rPr>
        <w:tab/>
        <w:t>sending to a member any threatening letter on account of his behaviour in Parliament;</w:t>
      </w:r>
    </w:p>
    <w:p>
      <w:pPr>
        <w:pStyle w:val="Indenta"/>
        <w:spacing w:before="60"/>
        <w:rPr>
          <w:snapToGrid w:val="0"/>
        </w:rPr>
      </w:pPr>
      <w:r>
        <w:rPr>
          <w:snapToGrid w:val="0"/>
        </w:rPr>
        <w:tab/>
        <w:t>(e)</w:t>
      </w:r>
      <w:r>
        <w:rPr>
          <w:snapToGrid w:val="0"/>
        </w:rPr>
        <w:tab/>
        <w:t>sending a challenge to fight a member;</w:t>
      </w:r>
    </w:p>
    <w:p>
      <w:pPr>
        <w:pStyle w:val="Indenta"/>
        <w:spacing w:before="60"/>
        <w:rPr>
          <w:snapToGrid w:val="0"/>
        </w:rPr>
      </w:pPr>
      <w:r>
        <w:rPr>
          <w:snapToGrid w:val="0"/>
        </w:rPr>
        <w:tab/>
        <w:t>(f)</w:t>
      </w:r>
      <w:r>
        <w:rPr>
          <w:snapToGrid w:val="0"/>
        </w:rPr>
        <w:tab/>
        <w:t>offering a bribe to, or attempting to bribe a member;</w:t>
      </w:r>
    </w:p>
    <w:p>
      <w:pPr>
        <w:pStyle w:val="Indenta"/>
        <w:spacing w:before="60"/>
        <w:rPr>
          <w:snapToGrid w:val="0"/>
        </w:rPr>
      </w:pPr>
      <w:r>
        <w:rPr>
          <w:snapToGrid w:val="0"/>
        </w:rPr>
        <w:tab/>
        <w:t>(g)</w:t>
      </w:r>
      <w:r>
        <w:rPr>
          <w:snapToGrid w:val="0"/>
        </w:rPr>
        <w:tab/>
        <w:t>creating or joining in any disturbance in the House, or in the vicinity of the House while the same is sitting, whereby the proceedings of such House may be interrupted.</w:t>
      </w:r>
    </w:p>
    <w:p>
      <w:pPr>
        <w:pStyle w:val="Footnotesection"/>
      </w:pPr>
      <w:r>
        <w:tab/>
        <w:t>[Section 8 amended by No. 19 of 2010 s. 51.]</w:t>
      </w:r>
    </w:p>
    <w:p>
      <w:pPr>
        <w:pStyle w:val="Heading5"/>
        <w:rPr>
          <w:snapToGrid w:val="0"/>
        </w:rPr>
      </w:pPr>
      <w:bookmarkStart w:id="9" w:name="_Toc398894348"/>
      <w:r>
        <w:rPr>
          <w:rStyle w:val="CharSectno"/>
        </w:rPr>
        <w:t>9</w:t>
      </w:r>
      <w:r>
        <w:rPr>
          <w:snapToGrid w:val="0"/>
        </w:rPr>
        <w:t>.</w:t>
      </w:r>
      <w:r>
        <w:rPr>
          <w:snapToGrid w:val="0"/>
        </w:rPr>
        <w:tab/>
        <w:t>President or Speaker to issue warrant</w:t>
      </w:r>
      <w:bookmarkEnd w:id="9"/>
      <w:r>
        <w:rPr>
          <w:snapToGrid w:val="0"/>
        </w:rPr>
        <w:t xml:space="preserve"> </w:t>
      </w:r>
    </w:p>
    <w:p>
      <w:pPr>
        <w:pStyle w:val="Subsection"/>
        <w:spacing w:before="150"/>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10" w:name="_Toc398894349"/>
      <w:r>
        <w:rPr>
          <w:rStyle w:val="CharSectno"/>
        </w:rPr>
        <w:t>10</w:t>
      </w:r>
      <w:r>
        <w:rPr>
          <w:snapToGrid w:val="0"/>
        </w:rPr>
        <w:t>.</w:t>
      </w:r>
      <w:r>
        <w:rPr>
          <w:snapToGrid w:val="0"/>
        </w:rPr>
        <w:tab/>
        <w:t>Persons disturbing proceedings of House may be arrested without warrant</w:t>
      </w:r>
      <w:bookmarkEnd w:id="10"/>
      <w:r>
        <w:rPr>
          <w:snapToGrid w:val="0"/>
        </w:rPr>
        <w:t xml:space="preserve"> </w:t>
      </w:r>
    </w:p>
    <w:p>
      <w:pPr>
        <w:pStyle w:val="Subsection"/>
        <w:spacing w:before="150"/>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11" w:name="_Toc398894350"/>
      <w:r>
        <w:rPr>
          <w:rStyle w:val="CharSectno"/>
        </w:rPr>
        <w:t>11</w:t>
      </w:r>
      <w:r>
        <w:rPr>
          <w:snapToGrid w:val="0"/>
        </w:rPr>
        <w:t>.</w:t>
      </w:r>
      <w:r>
        <w:rPr>
          <w:snapToGrid w:val="0"/>
        </w:rPr>
        <w:tab/>
        <w:t>Form of warrant</w:t>
      </w:r>
      <w:bookmarkEnd w:id="11"/>
      <w:r>
        <w:rPr>
          <w:snapToGrid w:val="0"/>
        </w:rPr>
        <w:t xml:space="preserve"> </w:t>
      </w:r>
    </w:p>
    <w:p>
      <w:pPr>
        <w:pStyle w:val="Subsection"/>
        <w:spacing w:before="150"/>
        <w:rPr>
          <w:snapToGrid w:val="0"/>
        </w:rPr>
      </w:pPr>
      <w:r>
        <w:rPr>
          <w:snapToGrid w:val="0"/>
        </w:rPr>
        <w:tab/>
        <w:t>(1)</w:t>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spacing w:before="150"/>
        <w:rPr>
          <w:snapToGrid w:val="0"/>
        </w:rPr>
      </w:pPr>
      <w:r>
        <w:rPr>
          <w:snapToGrid w:val="0"/>
        </w:rPr>
        <w:tab/>
        <w:t>(2)</w:t>
      </w:r>
      <w:r>
        <w:rPr>
          <w:snapToGrid w:val="0"/>
        </w:rPr>
        <w:tab/>
        <w:t>Every warrant shall be sufficient from which it can be reasonably collected that the person mentioned therein has been adjudged guilty of any of the contempts aforesaid, and no particular form shall be necessary to be observed in such warrant.</w:t>
      </w:r>
    </w:p>
    <w:p>
      <w:pPr>
        <w:pStyle w:val="Footnotesection"/>
      </w:pPr>
      <w:r>
        <w:tab/>
        <w:t>[Section 11 amended by No. 19 of 2010 s. 51.]</w:t>
      </w:r>
    </w:p>
    <w:p>
      <w:pPr>
        <w:pStyle w:val="Heading5"/>
        <w:rPr>
          <w:snapToGrid w:val="0"/>
        </w:rPr>
      </w:pPr>
      <w:bookmarkStart w:id="12" w:name="_Toc398894351"/>
      <w:r>
        <w:rPr>
          <w:rStyle w:val="CharSectno"/>
        </w:rPr>
        <w:t>12</w:t>
      </w:r>
      <w:r>
        <w:rPr>
          <w:snapToGrid w:val="0"/>
        </w:rPr>
        <w:t>.</w:t>
      </w:r>
      <w:r>
        <w:rPr>
          <w:snapToGrid w:val="0"/>
        </w:rPr>
        <w:tab/>
        <w:t>Sheriff’s officers, constables and others to assist in execution of warrant or verbal order</w:t>
      </w:r>
      <w:bookmarkEnd w:id="12"/>
      <w:r>
        <w:rPr>
          <w:snapToGrid w:val="0"/>
        </w:rPr>
        <w:t xml:space="preserve"> </w:t>
      </w:r>
    </w:p>
    <w:p>
      <w:pPr>
        <w:pStyle w:val="Subsection"/>
        <w:spacing w:before="150"/>
        <w:rPr>
          <w:snapToGrid w:val="0"/>
        </w:rPr>
      </w:pPr>
      <w:r>
        <w:rPr>
          <w:snapToGrid w:val="0"/>
        </w:rPr>
        <w:tab/>
        <w:t>(1)</w:t>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t>(2)</w:t>
      </w:r>
      <w:r>
        <w:rPr>
          <w:snapToGrid w:val="0"/>
        </w:rPr>
        <w:tab/>
        <w:t>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Footnotesection"/>
      </w:pPr>
      <w:r>
        <w:tab/>
        <w:t>[Section 12 amended by No. 19 of 2010 s. 51.]</w:t>
      </w:r>
    </w:p>
    <w:p>
      <w:pPr>
        <w:pStyle w:val="Heading5"/>
        <w:rPr>
          <w:snapToGrid w:val="0"/>
        </w:rPr>
      </w:pPr>
      <w:bookmarkStart w:id="13" w:name="_Toc398894352"/>
      <w:r>
        <w:rPr>
          <w:rStyle w:val="CharSectno"/>
        </w:rPr>
        <w:t>13</w:t>
      </w:r>
      <w:r>
        <w:rPr>
          <w:snapToGrid w:val="0"/>
        </w:rPr>
        <w:t>.</w:t>
      </w:r>
      <w:r>
        <w:rPr>
          <w:snapToGrid w:val="0"/>
        </w:rPr>
        <w:tab/>
        <w:t>Doors may be broken open in executing warrant</w:t>
      </w:r>
      <w:bookmarkEnd w:id="13"/>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14" w:name="_Toc398894353"/>
      <w:r>
        <w:rPr>
          <w:rStyle w:val="CharSectno"/>
        </w:rPr>
        <w:t>14</w:t>
      </w:r>
      <w:r>
        <w:rPr>
          <w:snapToGrid w:val="0"/>
        </w:rPr>
        <w:t>.</w:t>
      </w:r>
      <w:r>
        <w:rPr>
          <w:snapToGrid w:val="0"/>
        </w:rPr>
        <w:tab/>
        <w:t>House may direct Attorney General to prosecute instead of proceeding summarily</w:t>
      </w:r>
      <w:bookmarkEnd w:id="14"/>
      <w:r>
        <w:rPr>
          <w:snapToGrid w:val="0"/>
        </w:rPr>
        <w:t xml:space="preserve"> </w:t>
      </w:r>
    </w:p>
    <w:p>
      <w:pPr>
        <w:pStyle w:val="Subsection"/>
        <w:rPr>
          <w:snapToGrid w:val="0"/>
        </w:rPr>
      </w:pPr>
      <w:r>
        <w:rPr>
          <w:snapToGrid w:val="0"/>
        </w:rPr>
        <w:tab/>
        <w:t>(1)</w:t>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t>(2)</w:t>
      </w:r>
      <w:r>
        <w:rPr>
          <w:snapToGrid w:val="0"/>
        </w:rPr>
        <w:tab/>
        <w:t>It shall be lawful for either House to direct the Attorney General to prosecute before the Supreme Court any such person committing any such crime.</w:t>
      </w:r>
    </w:p>
    <w:p>
      <w:pPr>
        <w:pStyle w:val="Subsection"/>
        <w:rPr>
          <w:snapToGrid w:val="0"/>
        </w:rPr>
      </w:pPr>
      <w:r>
        <w:rPr>
          <w:snapToGrid w:val="0"/>
        </w:rPr>
        <w:tab/>
        <w:t>(3)</w:t>
      </w:r>
      <w:r>
        <w:rPr>
          <w:snapToGrid w:val="0"/>
        </w:rPr>
        <w:tab/>
        <w:t>Any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82; No. 19 of 2010 s. 51.]</w:t>
      </w:r>
    </w:p>
    <w:p>
      <w:pPr>
        <w:pStyle w:val="Heading5"/>
        <w:rPr>
          <w:snapToGrid w:val="0"/>
        </w:rPr>
      </w:pPr>
      <w:bookmarkStart w:id="15" w:name="_Toc398894354"/>
      <w:r>
        <w:rPr>
          <w:rStyle w:val="CharSectno"/>
        </w:rPr>
        <w:t>15</w:t>
      </w:r>
      <w:r>
        <w:rPr>
          <w:snapToGrid w:val="0"/>
        </w:rPr>
        <w:t>.</w:t>
      </w:r>
      <w:r>
        <w:rPr>
          <w:snapToGrid w:val="0"/>
        </w:rPr>
        <w:tab/>
        <w:t>House may direct Attorney General to prosecute for other contempts</w:t>
      </w:r>
      <w:bookmarkEnd w:id="15"/>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16" w:name="_Toc398894355"/>
      <w:r>
        <w:rPr>
          <w:rStyle w:val="CharSectno"/>
        </w:rPr>
        <w:t>17</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17" w:name="_Toc397939557"/>
      <w:bookmarkStart w:id="18" w:name="_Toc398894356"/>
      <w:r>
        <w:t>Notes</w:t>
      </w:r>
      <w:bookmarkEnd w:id="17"/>
      <w:bookmarkEnd w:id="1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September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Parliamentary Privileges Act 1891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398894357"/>
      <w:r>
        <w:rPr>
          <w:snapToGrid w:val="0"/>
        </w:rPr>
        <w:t>Compilation table</w:t>
      </w:r>
      <w:bookmarkEnd w:id="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pacing w:val="-2"/>
                <w:sz w:val="19"/>
              </w:rPr>
            </w:pPr>
            <w:r>
              <w:rPr>
                <w:b/>
                <w:spacing w:val="-2"/>
                <w:sz w:val="19"/>
              </w:rPr>
              <w:t>Assent</w:t>
            </w:r>
          </w:p>
        </w:tc>
        <w:tc>
          <w:tcPr>
            <w:tcW w:w="2551" w:type="dxa"/>
            <w:tcBorders>
              <w:top w:val="single" w:sz="8" w:space="0" w:color="auto"/>
              <w:bottom w:val="single" w:sz="8" w:space="0" w:color="auto"/>
            </w:tcBorders>
            <w:shd w:val="clear" w:color="auto" w:fill="auto"/>
          </w:tcPr>
          <w:p>
            <w:pPr>
              <w:pStyle w:val="nTable"/>
              <w:spacing w:after="40"/>
              <w:rPr>
                <w:b/>
                <w:spacing w:val="-2"/>
                <w:sz w:val="19"/>
              </w:rPr>
            </w:pPr>
            <w:r>
              <w:rPr>
                <w:b/>
                <w:spacing w:val="-2"/>
                <w:sz w:val="19"/>
              </w:rPr>
              <w:t>Commencement</w:t>
            </w:r>
          </w:p>
        </w:tc>
      </w:tr>
      <w:tr>
        <w:tc>
          <w:tcPr>
            <w:tcW w:w="2268" w:type="dxa"/>
          </w:tcPr>
          <w:p>
            <w:pPr>
              <w:pStyle w:val="nTable"/>
              <w:spacing w:after="40"/>
              <w:rPr>
                <w:spacing w:val="-2"/>
                <w:sz w:val="19"/>
                <w:vertAlign w:val="superscript"/>
              </w:rPr>
            </w:pPr>
            <w:r>
              <w:rPr>
                <w:spacing w:val="-2"/>
                <w:sz w:val="19"/>
              </w:rPr>
              <w:t>Untitled</w:t>
            </w:r>
            <w:r>
              <w:rPr>
                <w:spacing w:val="-2"/>
                <w:sz w:val="19"/>
                <w:vertAlign w:val="superscript"/>
              </w:rPr>
              <w:t> 2</w:t>
            </w:r>
          </w:p>
        </w:tc>
        <w:tc>
          <w:tcPr>
            <w:tcW w:w="1134" w:type="dxa"/>
          </w:tcPr>
          <w:p>
            <w:pPr>
              <w:pStyle w:val="nTable"/>
              <w:spacing w:after="40"/>
              <w:rPr>
                <w:spacing w:val="-2"/>
                <w:sz w:val="19"/>
              </w:rPr>
            </w:pPr>
            <w:r>
              <w:rPr>
                <w:spacing w:val="-2"/>
                <w:sz w:val="19"/>
              </w:rPr>
              <w:t>1891 (54 Vict.</w:t>
            </w:r>
            <w:r>
              <w:rPr>
                <w:spacing w:val="-2"/>
                <w:sz w:val="19"/>
              </w:rPr>
              <w:br/>
              <w:t>No. 4)</w:t>
            </w:r>
          </w:p>
        </w:tc>
        <w:tc>
          <w:tcPr>
            <w:tcW w:w="1134" w:type="dxa"/>
          </w:tcPr>
          <w:p>
            <w:pPr>
              <w:pStyle w:val="nTable"/>
              <w:spacing w:after="40"/>
              <w:rPr>
                <w:spacing w:val="-2"/>
                <w:sz w:val="19"/>
              </w:rPr>
            </w:pPr>
            <w:r>
              <w:rPr>
                <w:spacing w:val="-2"/>
                <w:sz w:val="19"/>
              </w:rPr>
              <w:t>26 Feb 1891</w:t>
            </w:r>
          </w:p>
        </w:tc>
        <w:tc>
          <w:tcPr>
            <w:tcW w:w="2551" w:type="dxa"/>
          </w:tcPr>
          <w:p>
            <w:pPr>
              <w:pStyle w:val="nTable"/>
              <w:spacing w:after="40"/>
              <w:rPr>
                <w:spacing w:val="-2"/>
                <w:sz w:val="19"/>
              </w:rPr>
            </w:pPr>
            <w:r>
              <w:rPr>
                <w:spacing w:val="-2"/>
                <w:sz w:val="19"/>
              </w:rPr>
              <w:t>26 Feb 1891</w:t>
            </w:r>
          </w:p>
        </w:tc>
      </w:tr>
      <w:tr>
        <w:tc>
          <w:tcPr>
            <w:tcW w:w="2268" w:type="dxa"/>
          </w:tcPr>
          <w:p>
            <w:pPr>
              <w:pStyle w:val="nTable"/>
              <w:spacing w:after="40"/>
              <w:rPr>
                <w:spacing w:val="-2"/>
                <w:sz w:val="19"/>
              </w:rPr>
            </w:pPr>
            <w:r>
              <w:rPr>
                <w:i/>
                <w:spacing w:val="-2"/>
                <w:sz w:val="19"/>
              </w:rPr>
              <w:t>Criminal Code Act 1902</w:t>
            </w:r>
            <w:r>
              <w:rPr>
                <w:spacing w:val="-2"/>
                <w:sz w:val="19"/>
              </w:rPr>
              <w:t xml:space="preserve"> s. 3(2)</w:t>
            </w:r>
          </w:p>
        </w:tc>
        <w:tc>
          <w:tcPr>
            <w:tcW w:w="1134" w:type="dxa"/>
          </w:tcPr>
          <w:p>
            <w:pPr>
              <w:pStyle w:val="nTable"/>
              <w:spacing w:after="40"/>
              <w:rPr>
                <w:spacing w:val="-2"/>
                <w:sz w:val="19"/>
              </w:rPr>
            </w:pPr>
            <w:r>
              <w:rPr>
                <w:spacing w:val="-2"/>
                <w:sz w:val="19"/>
              </w:rPr>
              <w:t xml:space="preserve">1902 </w:t>
            </w:r>
            <w:r>
              <w:rPr>
                <w:spacing w:val="-2"/>
                <w:sz w:val="19"/>
              </w:rPr>
              <w:br/>
              <w:t>(1 &amp; 2 Edw. VII No. 14)</w:t>
            </w:r>
          </w:p>
        </w:tc>
        <w:tc>
          <w:tcPr>
            <w:tcW w:w="1134" w:type="dxa"/>
          </w:tcPr>
          <w:p>
            <w:pPr>
              <w:pStyle w:val="nTable"/>
              <w:spacing w:after="40"/>
              <w:rPr>
                <w:spacing w:val="-2"/>
                <w:sz w:val="19"/>
              </w:rPr>
            </w:pPr>
            <w:r>
              <w:rPr>
                <w:spacing w:val="-2"/>
                <w:sz w:val="19"/>
              </w:rPr>
              <w:t>19 Feb 1902</w:t>
            </w:r>
          </w:p>
        </w:tc>
        <w:tc>
          <w:tcPr>
            <w:tcW w:w="2551" w:type="dxa"/>
          </w:tcPr>
          <w:p>
            <w:pPr>
              <w:pStyle w:val="nTable"/>
              <w:spacing w:after="40"/>
              <w:rPr>
                <w:spacing w:val="-2"/>
                <w:sz w:val="19"/>
              </w:rPr>
            </w:pPr>
            <w:r>
              <w:rPr>
                <w:spacing w:val="-2"/>
                <w:sz w:val="19"/>
              </w:rPr>
              <w:t>1 May 1902 (see s. 2)</w:t>
            </w:r>
          </w:p>
        </w:tc>
      </w:tr>
      <w:tr>
        <w:tc>
          <w:tcPr>
            <w:tcW w:w="2268" w:type="dxa"/>
          </w:tcPr>
          <w:p>
            <w:pPr>
              <w:pStyle w:val="nTable"/>
              <w:spacing w:after="40"/>
              <w:rPr>
                <w:spacing w:val="-2"/>
                <w:sz w:val="19"/>
              </w:rPr>
            </w:pPr>
            <w:r>
              <w:rPr>
                <w:i/>
                <w:spacing w:val="-2"/>
                <w:sz w:val="19"/>
              </w:rPr>
              <w:t>Statute Law Revision (Short Titles) Act 1966</w:t>
            </w:r>
            <w:r>
              <w:rPr>
                <w:spacing w:val="-2"/>
                <w:sz w:val="19"/>
              </w:rPr>
              <w:t xml:space="preserve"> s. 2</w:t>
            </w:r>
          </w:p>
        </w:tc>
        <w:tc>
          <w:tcPr>
            <w:tcW w:w="1134" w:type="dxa"/>
          </w:tcPr>
          <w:p>
            <w:pPr>
              <w:pStyle w:val="nTable"/>
              <w:spacing w:after="40"/>
              <w:rPr>
                <w:spacing w:val="-2"/>
                <w:sz w:val="19"/>
              </w:rPr>
            </w:pPr>
            <w:r>
              <w:rPr>
                <w:spacing w:val="-2"/>
                <w:sz w:val="19"/>
              </w:rPr>
              <w:t>81 of 1966</w:t>
            </w:r>
          </w:p>
        </w:tc>
        <w:tc>
          <w:tcPr>
            <w:tcW w:w="1134" w:type="dxa"/>
          </w:tcPr>
          <w:p>
            <w:pPr>
              <w:pStyle w:val="nTable"/>
              <w:spacing w:after="40"/>
              <w:rPr>
                <w:spacing w:val="-2"/>
                <w:sz w:val="19"/>
              </w:rPr>
            </w:pPr>
            <w:r>
              <w:rPr>
                <w:spacing w:val="-2"/>
                <w:sz w:val="19"/>
              </w:rPr>
              <w:t>12 Dec 1966</w:t>
            </w:r>
          </w:p>
        </w:tc>
        <w:tc>
          <w:tcPr>
            <w:tcW w:w="2551" w:type="dxa"/>
          </w:tcPr>
          <w:p>
            <w:pPr>
              <w:pStyle w:val="nTable"/>
              <w:spacing w:after="40"/>
              <w:rPr>
                <w:spacing w:val="-2"/>
                <w:sz w:val="19"/>
              </w:rPr>
            </w:pPr>
            <w:r>
              <w:rPr>
                <w:spacing w:val="-2"/>
                <w:sz w:val="19"/>
              </w:rPr>
              <w:t>12 Dec 1966</w:t>
            </w:r>
          </w:p>
        </w:tc>
      </w:tr>
      <w:tr>
        <w:trPr>
          <w:cantSplit/>
        </w:trPr>
        <w:tc>
          <w:tcPr>
            <w:tcW w:w="7087" w:type="dxa"/>
            <w:gridSpan w:val="4"/>
          </w:tcPr>
          <w:p>
            <w:pPr>
              <w:pStyle w:val="nTable"/>
              <w:spacing w:after="40"/>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r>
              <w:rPr>
                <w:b/>
                <w:spacing w:val="-2"/>
                <w:sz w:val="19"/>
              </w:rPr>
              <w:br/>
            </w:r>
            <w:r>
              <w:rPr>
                <w:spacing w:val="-2"/>
                <w:sz w:val="19"/>
              </w:rPr>
              <w:t>(includes amendments listed above)</w:t>
            </w:r>
          </w:p>
        </w:tc>
      </w:tr>
      <w:tr>
        <w:trPr>
          <w:cantSplit/>
        </w:trPr>
        <w:tc>
          <w:tcPr>
            <w:tcW w:w="7087" w:type="dxa"/>
            <w:gridSpan w:val="4"/>
          </w:tcPr>
          <w:p>
            <w:pPr>
              <w:pStyle w:val="nTable"/>
              <w:spacing w:after="40"/>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tcPr>
          <w:p>
            <w:pPr>
              <w:pStyle w:val="nTable"/>
              <w:spacing w:after="40"/>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spacing w:after="40"/>
              <w:rPr>
                <w:spacing w:val="-2"/>
                <w:sz w:val="19"/>
              </w:rPr>
            </w:pPr>
            <w:r>
              <w:rPr>
                <w:spacing w:val="-2"/>
                <w:sz w:val="19"/>
              </w:rPr>
              <w:t>41 of 2004</w:t>
            </w:r>
          </w:p>
        </w:tc>
        <w:tc>
          <w:tcPr>
            <w:tcW w:w="1134" w:type="dxa"/>
          </w:tcPr>
          <w:p>
            <w:pPr>
              <w:pStyle w:val="nTable"/>
              <w:spacing w:after="40"/>
              <w:rPr>
                <w:spacing w:val="-2"/>
                <w:sz w:val="19"/>
              </w:rPr>
            </w:pPr>
            <w:r>
              <w:rPr>
                <w:spacing w:val="-2"/>
                <w:sz w:val="19"/>
              </w:rPr>
              <w:t>3 Nov 2004</w:t>
            </w:r>
          </w:p>
        </w:tc>
        <w:tc>
          <w:tcPr>
            <w:tcW w:w="2551" w:type="dxa"/>
          </w:tcPr>
          <w:p>
            <w:pPr>
              <w:pStyle w:val="nTable"/>
              <w:spacing w:after="40"/>
              <w:rPr>
                <w:spacing w:val="-2"/>
                <w:sz w:val="19"/>
              </w:rPr>
            </w:pPr>
            <w:r>
              <w:rPr>
                <w:spacing w:val="-2"/>
                <w:sz w:val="19"/>
              </w:rPr>
              <w:t>3 Nov 2004 (see s. 2)</w:t>
            </w:r>
          </w:p>
        </w:tc>
      </w:tr>
      <w:tr>
        <w:tc>
          <w:tcPr>
            <w:tcW w:w="2268" w:type="dxa"/>
          </w:tcPr>
          <w:p>
            <w:pPr>
              <w:pStyle w:val="nTable"/>
              <w:spacing w:after="40"/>
              <w:rPr>
                <w:i/>
                <w:iCs/>
                <w:spacing w:val="-2"/>
                <w:sz w:val="19"/>
              </w:rPr>
            </w:pPr>
            <w:r>
              <w:rPr>
                <w:i/>
                <w:iCs/>
                <w:snapToGrid w:val="0"/>
                <w:spacing w:val="-2"/>
                <w:sz w:val="19"/>
              </w:rPr>
              <w:t xml:space="preserve">Criminal Law Amendment (Simple Offences) Act 2004 </w:t>
            </w:r>
            <w:r>
              <w:rPr>
                <w:snapToGrid w:val="0"/>
                <w:spacing w:val="-2"/>
                <w:sz w:val="19"/>
              </w:rPr>
              <w:t>s. 82</w:t>
            </w:r>
          </w:p>
        </w:tc>
        <w:tc>
          <w:tcPr>
            <w:tcW w:w="1134" w:type="dxa"/>
          </w:tcPr>
          <w:p>
            <w:pPr>
              <w:pStyle w:val="nTable"/>
              <w:spacing w:after="40"/>
              <w:rPr>
                <w:spacing w:val="-2"/>
                <w:sz w:val="19"/>
              </w:rPr>
            </w:pPr>
            <w:r>
              <w:rPr>
                <w:snapToGrid w:val="0"/>
                <w:spacing w:val="-2"/>
                <w:sz w:val="19"/>
              </w:rPr>
              <w:t>70 of 2004</w:t>
            </w:r>
          </w:p>
        </w:tc>
        <w:tc>
          <w:tcPr>
            <w:tcW w:w="1134" w:type="dxa"/>
          </w:tcPr>
          <w:p>
            <w:pPr>
              <w:pStyle w:val="nTable"/>
              <w:spacing w:after="40"/>
              <w:rPr>
                <w:spacing w:val="-2"/>
                <w:sz w:val="19"/>
              </w:rPr>
            </w:pPr>
            <w:r>
              <w:rPr>
                <w:snapToGrid w:val="0"/>
                <w:spacing w:val="-2"/>
                <w:sz w:val="19"/>
              </w:rPr>
              <w:t>8 Dec 2004</w:t>
            </w:r>
          </w:p>
        </w:tc>
        <w:tc>
          <w:tcPr>
            <w:tcW w:w="2551" w:type="dxa"/>
          </w:tcPr>
          <w:p>
            <w:pPr>
              <w:pStyle w:val="nTable"/>
              <w:spacing w:after="40"/>
              <w:rPr>
                <w:spacing w:val="-2"/>
                <w:sz w:val="19"/>
              </w:rPr>
            </w:pPr>
            <w:r>
              <w:rPr>
                <w:snapToGrid w:val="0"/>
                <w:spacing w:val="-2"/>
                <w:sz w:val="19"/>
              </w:rPr>
              <w:t xml:space="preserve">31 May 2005 (see s. 2 and </w:t>
            </w:r>
            <w:r>
              <w:rPr>
                <w:i/>
                <w:iCs/>
                <w:snapToGrid w:val="0"/>
                <w:spacing w:val="-2"/>
                <w:sz w:val="19"/>
              </w:rPr>
              <w:t>Gazette</w:t>
            </w:r>
            <w:r>
              <w:rPr>
                <w:snapToGrid w:val="0"/>
                <w:spacing w:val="-2"/>
                <w:sz w:val="19"/>
              </w:rPr>
              <w:t xml:space="preserve"> 14 Jan 2005 p. 163)</w:t>
            </w:r>
          </w:p>
        </w:tc>
      </w:tr>
      <w:tr>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pacing w:val="-2"/>
                <w:sz w:val="19"/>
              </w:rPr>
              <w:t xml:space="preserve">Reprint 3:  The </w:t>
            </w:r>
            <w:r>
              <w:rPr>
                <w:b/>
                <w:i/>
                <w:spacing w:val="-2"/>
                <w:sz w:val="19"/>
              </w:rPr>
              <w:t xml:space="preserve">Parliamentary Privileges Act 1891 </w:t>
            </w:r>
            <w:r>
              <w:rPr>
                <w:b/>
                <w:spacing w:val="-2"/>
                <w:sz w:val="19"/>
              </w:rPr>
              <w:t>as at 12 Sep 2014</w:t>
            </w:r>
            <w:r>
              <w:rPr>
                <w:spacing w:val="-2"/>
                <w:sz w:val="19"/>
              </w:rPr>
              <w:br/>
              <w:t>(includes amendments listed above)</w:t>
            </w:r>
          </w:p>
        </w:tc>
      </w:tr>
    </w:tbl>
    <w:p>
      <w:pPr>
        <w:pStyle w:val="nSubsection"/>
      </w:pPr>
      <w:r>
        <w:rPr>
          <w:snapToGrid w:val="0"/>
          <w:vertAlign w:val="superscript"/>
        </w:rPr>
        <w:t>2</w:t>
      </w:r>
      <w:r>
        <w:rPr>
          <w:snapToGrid w:val="0"/>
        </w:rPr>
        <w:tab/>
        <w:t xml:space="preserve">Now called the </w:t>
      </w:r>
      <w:r>
        <w:rPr>
          <w:i/>
          <w:noProof/>
          <w:snapToGrid w:val="0"/>
        </w:rPr>
        <w:t>Parliamentary Privileges Act 1891</w:t>
      </w:r>
      <w:r>
        <w:rPr>
          <w:snapToGrid w:val="0"/>
        </w:rPr>
        <w:t>; short title inserted (see note under s. 17).</w:t>
      </w:r>
    </w:p>
    <w:p>
      <w:pPr>
        <w:spacing w:before="180"/>
      </w:pPr>
    </w:p>
    <w:p/>
    <w:p/>
    <w:p/>
    <w:p/>
    <w:p>
      <w:pPr>
        <w:sectPr>
          <w:headerReference w:type="even" r:id="rId31"/>
          <w:headerReference w:type="default" r:id="rId32"/>
          <w:footerReference w:type="even" r:id="rId33"/>
          <w:headerReference w:type="first" r:id="rId34"/>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131"/>
    <w:docVar w:name="WAFER_20140122152950" w:val="RemoveTocBookmarks,RemoveUnusedBookmarks,RemoveLanguageTags,UsedStyles,ResetPageSize,UpdateArrangement"/>
    <w:docVar w:name="WAFER_20140122152950_GUID" w:val="9afb62bc-97f6-47b3-af22-95099e977fa3"/>
    <w:docVar w:name="WAFER_20140122160558" w:val="RemoveTocBookmarks,RunningHeaders"/>
    <w:docVar w:name="WAFER_20140122160558_GUID" w:val="d0ab0184-686a-4f22-9932-7faf0ce504fb"/>
    <w:docVar w:name="WAFER_20140711114558" w:val="RemoveTocBookmarks,RemoveUnusedBookmarks,RemoveLanguageTags,UsedStyles,ResetPageSize,RemoveCustomizations,UpdateArrangement"/>
    <w:docVar w:name="WAFER_20140711114558_GUID" w:val="aad8253a-08b3-49d6-9261-ab1923cb0edc"/>
    <w:docVar w:name="WAFER_20140908113627" w:val="RemoveTocBookmarks,RemoveUnusedBookmarks,RemoveLanguageTags,UsedStyles,RemoveTrackChanges"/>
    <w:docVar w:name="WAFER_20140908113627_GUID" w:val="2fd69e98-1237-4ae7-8bc5-f662a1ba5f17"/>
    <w:docVar w:name="WAFER_20140908113639" w:val="RemoveTocBookmarks,RemoveLanguageTags,RemoveTrackChanges,RunningHeaders"/>
    <w:docVar w:name="WAFER_20140908113639_GUID" w:val="26f376f5-df13-472b-81e9-22e6b2c64925"/>
    <w:docVar w:name="WAFER_20151203103131" w:val="RemoveTrackChanges"/>
    <w:docVar w:name="WAFER_20151203103131_GUID" w:val="c0ee616b-e7e7-4f62-9af9-e960e4b37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2861</Words>
  <Characters>13334</Characters>
  <Application>Microsoft Office Word</Application>
  <DocSecurity>0</DocSecurity>
  <Lines>392</Lines>
  <Paragraphs>188</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1891 - 03-00-01</dc:title>
  <dc:subject/>
  <dc:creator/>
  <cp:keywords/>
  <dc:description/>
  <cp:lastModifiedBy>svcMRProcess</cp:lastModifiedBy>
  <cp:revision>4</cp:revision>
  <cp:lastPrinted>2014-09-19T04:51:00Z</cp:lastPrinted>
  <dcterms:created xsi:type="dcterms:W3CDTF">2020-04-15T03:34:00Z</dcterms:created>
  <dcterms:modified xsi:type="dcterms:W3CDTF">2020-04-15T03:34:00Z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574</vt:i4>
  </property>
  <property fmtid="{D5CDD505-2E9C-101B-9397-08002B2CF9AE}" pid="6" name="AsAtDate">
    <vt:lpwstr>12 Sep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2014-09-11T16:00:00Z</vt:filetime>
  </property>
</Properties>
</file>