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Commercial Tenancy (Retail Shops) Agreements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_Toc401152123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_Toc401152124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_Toc401152125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_Toc401152126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_Toc401152127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II — Retail shop leases</w:t>
      </w:r>
    </w:p>
    <w:p>
      <w:pPr>
        <w:pStyle w:val="TOC8"/>
        <w:rPr>
          <w:rFonts w:asciiTheme="minorHAnsi" w:eastAsiaTheme="minorEastAsia" w:hAnsiTheme="minorHAnsi" w:cstheme="minorBidi"/>
          <w:szCs w:val="22"/>
        </w:rPr>
      </w:pPr>
      <w:r>
        <w:t>6</w:t>
      </w:r>
      <w:r>
        <w:rPr>
          <w:snapToGrid w:val="0"/>
        </w:rPr>
        <w:t>.</w:t>
      </w:r>
      <w:r>
        <w:rPr>
          <w:snapToGrid w:val="0"/>
        </w:rPr>
        <w:tab/>
        <w:t>Disclosure statement, tenant’s rights if not given by landlord etc.</w:t>
      </w:r>
      <w:r>
        <w:tab/>
      </w:r>
      <w:r>
        <w:fldChar w:fldCharType="begin"/>
      </w:r>
      <w:r>
        <w:instrText xml:space="preserve"> PAGEREF _Toc401152129 \h </w:instrText>
      </w:r>
      <w:r>
        <w:fldChar w:fldCharType="separate"/>
      </w:r>
      <w:r>
        <w:t>10</w:t>
      </w:r>
      <w:r>
        <w:fldChar w:fldCharType="end"/>
      </w:r>
    </w:p>
    <w:p>
      <w:pPr>
        <w:pStyle w:val="TOC8"/>
        <w:rPr>
          <w:rFonts w:asciiTheme="minorHAnsi" w:eastAsiaTheme="minorEastAsia" w:hAnsiTheme="minorHAnsi" w:cstheme="minorBidi"/>
          <w:szCs w:val="22"/>
        </w:rPr>
      </w:pPr>
      <w:r>
        <w:t>6A.</w:t>
      </w:r>
      <w:r>
        <w:tab/>
        <w:t>Tenant guide, tenant’s rights if not in lease etc.</w:t>
      </w:r>
      <w:r>
        <w:tab/>
      </w:r>
      <w:r>
        <w:fldChar w:fldCharType="begin"/>
      </w:r>
      <w:r>
        <w:instrText xml:space="preserve"> PAGEREF _Toc401152130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Rent based on turnover, provision for in lease is void in some cases</w:t>
      </w:r>
      <w:r>
        <w:tab/>
      </w:r>
      <w:r>
        <w:fldChar w:fldCharType="begin"/>
      </w:r>
      <w:r>
        <w:instrText xml:space="preserve"> PAGEREF _Toc401152131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Turnover figures of tenant, provision in lease requiring is void in some cases</w:t>
      </w:r>
      <w:r>
        <w:tab/>
      </w:r>
      <w:r>
        <w:fldChar w:fldCharType="begin"/>
      </w:r>
      <w:r>
        <w:instrText xml:space="preserve"> PAGEREF _Toc401152132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Key</w:t>
      </w:r>
      <w:r>
        <w:rPr>
          <w:snapToGrid w:val="0"/>
        </w:rPr>
        <w:noBreakHyphen/>
        <w:t>money or goodwill, provision for in lease is void in some cases</w:t>
      </w:r>
      <w:r>
        <w:tab/>
      </w:r>
      <w:r>
        <w:fldChar w:fldCharType="begin"/>
      </w:r>
      <w:r>
        <w:instrText xml:space="preserve"> PAGEREF _Toc401152133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Tenant’s right to assign lease, landlord’s consent to assignment or sub-lease etc.</w:t>
      </w:r>
      <w:r>
        <w:tab/>
      </w:r>
      <w:r>
        <w:fldChar w:fldCharType="begin"/>
      </w:r>
      <w:r>
        <w:instrText xml:space="preserve"> PAGEREF _Toc401152134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Rent review, provisions for in lease and conduct of etc.</w:t>
      </w:r>
      <w:r>
        <w:tab/>
      </w:r>
      <w:r>
        <w:fldChar w:fldCharType="begin"/>
      </w:r>
      <w:r>
        <w:instrText xml:space="preserve"> PAGEREF _Toc401152135 \h </w:instrText>
      </w:r>
      <w:r>
        <w:fldChar w:fldCharType="separate"/>
      </w:r>
      <w:r>
        <w:t>18</w:t>
      </w:r>
      <w:r>
        <w:fldChar w:fldCharType="end"/>
      </w:r>
    </w:p>
    <w:p>
      <w:pPr>
        <w:pStyle w:val="TOC8"/>
        <w:rPr>
          <w:rFonts w:asciiTheme="minorHAnsi" w:eastAsiaTheme="minorEastAsia" w:hAnsiTheme="minorHAnsi" w:cstheme="minorBidi"/>
          <w:szCs w:val="22"/>
        </w:rPr>
      </w:pPr>
      <w:r>
        <w:t>11A.</w:t>
      </w:r>
      <w:r>
        <w:tab/>
        <w:t>Information given under s. 11, restrictions on disclosing</w:t>
      </w:r>
      <w:r>
        <w:tab/>
      </w:r>
      <w:r>
        <w:fldChar w:fldCharType="begin"/>
      </w:r>
      <w:r>
        <w:instrText xml:space="preserve"> PAGEREF _Toc401152136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Landlord’s operating expenses etc., effect of provisions in lease for payment by tenant of</w:t>
      </w:r>
      <w:r>
        <w:tab/>
      </w:r>
      <w:r>
        <w:fldChar w:fldCharType="begin"/>
      </w:r>
      <w:r>
        <w:instrText xml:space="preserve"> PAGEREF _Toc401152137 \h </w:instrText>
      </w:r>
      <w:r>
        <w:fldChar w:fldCharType="separate"/>
      </w:r>
      <w:r>
        <w:t>22</w:t>
      </w:r>
      <w:r>
        <w:fldChar w:fldCharType="end"/>
      </w:r>
    </w:p>
    <w:p>
      <w:pPr>
        <w:pStyle w:val="TOC8"/>
        <w:rPr>
          <w:rFonts w:asciiTheme="minorHAnsi" w:eastAsiaTheme="minorEastAsia" w:hAnsiTheme="minorHAnsi" w:cstheme="minorBidi"/>
          <w:szCs w:val="22"/>
        </w:rPr>
      </w:pPr>
      <w:r>
        <w:t>12A.</w:t>
      </w:r>
      <w:r>
        <w:tab/>
        <w:t>Sinking fund for repairs etc., effect of lease requiring payment by tenant into etc.</w:t>
      </w:r>
      <w:r>
        <w:tab/>
      </w:r>
      <w:r>
        <w:fldChar w:fldCharType="begin"/>
      </w:r>
      <w:r>
        <w:instrText xml:space="preserve"> PAGEREF _Toc401152138 \h </w:instrText>
      </w:r>
      <w:r>
        <w:fldChar w:fldCharType="separate"/>
      </w:r>
      <w:r>
        <w:t>28</w:t>
      </w:r>
      <w:r>
        <w:fldChar w:fldCharType="end"/>
      </w:r>
    </w:p>
    <w:p>
      <w:pPr>
        <w:pStyle w:val="TOC8"/>
        <w:rPr>
          <w:rFonts w:asciiTheme="minorHAnsi" w:eastAsiaTheme="minorEastAsia" w:hAnsiTheme="minorHAnsi" w:cstheme="minorBidi"/>
          <w:szCs w:val="22"/>
        </w:rPr>
      </w:pPr>
      <w:r>
        <w:t>12B.</w:t>
      </w:r>
      <w:r>
        <w:tab/>
        <w:t>Fund for marketing etc. retail shopping centre, effect of lease requiring payment by tenant into etc.</w:t>
      </w:r>
      <w:r>
        <w:tab/>
      </w:r>
      <w:r>
        <w:fldChar w:fldCharType="begin"/>
      </w:r>
      <w:r>
        <w:instrText xml:space="preserve"> PAGEREF _Toc401152139 \h </w:instrText>
      </w:r>
      <w:r>
        <w:fldChar w:fldCharType="separate"/>
      </w:r>
      <w:r>
        <w:t>31</w:t>
      </w:r>
      <w:r>
        <w:fldChar w:fldCharType="end"/>
      </w:r>
    </w:p>
    <w:p>
      <w:pPr>
        <w:pStyle w:val="TOC8"/>
        <w:rPr>
          <w:rFonts w:asciiTheme="minorHAnsi" w:eastAsiaTheme="minorEastAsia" w:hAnsiTheme="minorHAnsi" w:cstheme="minorBidi"/>
          <w:szCs w:val="22"/>
        </w:rPr>
      </w:pPr>
      <w:r>
        <w:t>12C.</w:t>
      </w:r>
      <w:r>
        <w:tab/>
        <w:t>Opening hours, provision in lease for is void etc.</w:t>
      </w:r>
      <w:r>
        <w:tab/>
      </w:r>
      <w:r>
        <w:fldChar w:fldCharType="begin"/>
      </w:r>
      <w:r>
        <w:instrText xml:space="preserve"> PAGEREF _Toc401152140 \h </w:instrText>
      </w:r>
      <w:r>
        <w:fldChar w:fldCharType="separate"/>
      </w:r>
      <w:r>
        <w:t>33</w:t>
      </w:r>
      <w:r>
        <w:fldChar w:fldCharType="end"/>
      </w:r>
    </w:p>
    <w:p>
      <w:pPr>
        <w:pStyle w:val="TOC8"/>
        <w:rPr>
          <w:rFonts w:asciiTheme="minorHAnsi" w:eastAsiaTheme="minorEastAsia" w:hAnsiTheme="minorHAnsi" w:cstheme="minorBidi"/>
          <w:szCs w:val="22"/>
        </w:rPr>
      </w:pPr>
      <w:r>
        <w:t>12D.</w:t>
      </w:r>
      <w:r>
        <w:tab/>
        <w:t>Tenants’ association etc., provision in lease preventing tenant from forming etc. is void etc.</w:t>
      </w:r>
      <w:r>
        <w:tab/>
      </w:r>
      <w:r>
        <w:fldChar w:fldCharType="begin"/>
      </w:r>
      <w:r>
        <w:instrText xml:space="preserve"> PAGEREF _Toc401152141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Tenant entitled to at least 5 year term in some cases etc.</w:t>
      </w:r>
      <w:r>
        <w:tab/>
      </w:r>
      <w:r>
        <w:fldChar w:fldCharType="begin"/>
      </w:r>
      <w:r>
        <w:instrText xml:space="preserve"> PAGEREF _Toc401152142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Head lease modified if inconsistent with lease affected by s. 13(1)</w:t>
      </w:r>
      <w:r>
        <w:tab/>
      </w:r>
      <w:r>
        <w:fldChar w:fldCharType="begin"/>
      </w:r>
      <w:r>
        <w:instrText xml:space="preserve"> PAGEREF _Toc401152143 \h </w:instrText>
      </w:r>
      <w:r>
        <w:fldChar w:fldCharType="separate"/>
      </w:r>
      <w:r>
        <w:t>39</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Lease without option to renew etc., parties’ rights under</w:t>
      </w:r>
      <w:r>
        <w:tab/>
      </w:r>
      <w:r>
        <w:fldChar w:fldCharType="begin"/>
      </w:r>
      <w:r>
        <w:instrText xml:space="preserve"> PAGEREF _Toc401152144 \h </w:instrText>
      </w:r>
      <w:r>
        <w:fldChar w:fldCharType="separate"/>
      </w:r>
      <w:r>
        <w:t>42</w:t>
      </w:r>
      <w:r>
        <w:fldChar w:fldCharType="end"/>
      </w:r>
    </w:p>
    <w:p>
      <w:pPr>
        <w:pStyle w:val="TOC8"/>
        <w:rPr>
          <w:rFonts w:asciiTheme="minorHAnsi" w:eastAsiaTheme="minorEastAsia" w:hAnsiTheme="minorHAnsi" w:cstheme="minorBidi"/>
          <w:szCs w:val="22"/>
        </w:rPr>
      </w:pPr>
      <w:r>
        <w:t>13C.</w:t>
      </w:r>
      <w:r>
        <w:tab/>
        <w:t>Lease with option to renew, when option ceases to be exercisable etc.</w:t>
      </w:r>
      <w:r>
        <w:tab/>
      </w:r>
      <w:r>
        <w:fldChar w:fldCharType="begin"/>
      </w:r>
      <w:r>
        <w:instrText xml:space="preserve"> PAGEREF _Toc401152145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Retail shopping centre shop, lease for deemed to provide for compensation to tenant in some cases</w:t>
      </w:r>
      <w:r>
        <w:tab/>
      </w:r>
      <w:r>
        <w:fldChar w:fldCharType="begin"/>
      </w:r>
      <w:r>
        <w:instrText xml:space="preserve"> PAGEREF _Toc401152146 \h </w:instrText>
      </w:r>
      <w:r>
        <w:fldChar w:fldCharType="separate"/>
      </w:r>
      <w:r>
        <w:t>44</w:t>
      </w:r>
      <w:r>
        <w:fldChar w:fldCharType="end"/>
      </w:r>
    </w:p>
    <w:p>
      <w:pPr>
        <w:pStyle w:val="TOC8"/>
        <w:rPr>
          <w:rFonts w:asciiTheme="minorHAnsi" w:eastAsiaTheme="minorEastAsia" w:hAnsiTheme="minorHAnsi" w:cstheme="minorBidi"/>
          <w:szCs w:val="22"/>
        </w:rPr>
      </w:pPr>
      <w:r>
        <w:t>14A.</w:t>
      </w:r>
      <w:r>
        <w:tab/>
        <w:t>Relocation of tenant’s business, provision in lease for is void in some cases</w:t>
      </w:r>
      <w:r>
        <w:tab/>
      </w:r>
      <w:r>
        <w:fldChar w:fldCharType="begin"/>
      </w:r>
      <w:r>
        <w:instrText xml:space="preserve"> PAGEREF _Toc401152147 \h </w:instrText>
      </w:r>
      <w:r>
        <w:fldChar w:fldCharType="separate"/>
      </w:r>
      <w:r>
        <w:t>45</w:t>
      </w:r>
      <w:r>
        <w:fldChar w:fldCharType="end"/>
      </w:r>
    </w:p>
    <w:p>
      <w:pPr>
        <w:pStyle w:val="TOC8"/>
        <w:rPr>
          <w:rFonts w:asciiTheme="minorHAnsi" w:eastAsiaTheme="minorEastAsia" w:hAnsiTheme="minorHAnsi" w:cstheme="minorBidi"/>
          <w:szCs w:val="22"/>
        </w:rPr>
      </w:pPr>
      <w:r>
        <w:t>14B.</w:t>
      </w:r>
      <w:r>
        <w:tab/>
        <w:t>Landlord’s legal costs of lease etc. not claimable from tenant</w:t>
      </w:r>
      <w:r>
        <w:tab/>
      </w:r>
      <w:r>
        <w:fldChar w:fldCharType="begin"/>
      </w:r>
      <w:r>
        <w:instrText xml:space="preserve"> PAGEREF _Toc401152148 \h </w:instrText>
      </w:r>
      <w:r>
        <w:fldChar w:fldCharType="separate"/>
      </w:r>
      <w:r>
        <w:t>47</w:t>
      </w:r>
      <w:r>
        <w:fldChar w:fldCharType="end"/>
      </w:r>
    </w:p>
    <w:p>
      <w:pPr>
        <w:pStyle w:val="TOC8"/>
        <w:rPr>
          <w:rFonts w:asciiTheme="minorHAnsi" w:eastAsiaTheme="minorEastAsia" w:hAnsiTheme="minorHAnsi" w:cstheme="minorBidi"/>
          <w:szCs w:val="22"/>
        </w:rPr>
      </w:pPr>
      <w:r>
        <w:t>14C.</w:t>
      </w:r>
      <w:r>
        <w:tab/>
        <w:t>Refit etc. of shop, provision in lease requiring tenant to do is void in some cases</w:t>
      </w:r>
      <w:r>
        <w:tab/>
      </w:r>
      <w:r>
        <w:fldChar w:fldCharType="begin"/>
      </w:r>
      <w:r>
        <w:instrText xml:space="preserve"> PAGEREF _Toc401152149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 in lease excluding Act etc. is void etc.</w:t>
      </w:r>
      <w:r>
        <w:tab/>
      </w:r>
      <w:r>
        <w:fldChar w:fldCharType="begin"/>
      </w:r>
      <w:r>
        <w:instrText xml:space="preserve"> PAGEREF _Toc401152150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IIA</w:t>
      </w:r>
      <w:r>
        <w:rPr>
          <w:b w:val="0"/>
        </w:rPr>
        <w:t> </w:t>
      </w:r>
      <w:r>
        <w:t>—</w:t>
      </w:r>
      <w:r>
        <w:rPr>
          <w:b w:val="0"/>
        </w:rPr>
        <w:t> </w:t>
      </w:r>
      <w:r>
        <w:t>Unconscionable conduct and misleading or deceptive conduct</w:t>
      </w:r>
    </w:p>
    <w:p>
      <w:pPr>
        <w:pStyle w:val="TOC4"/>
        <w:tabs>
          <w:tab w:val="right" w:leader="dot" w:pos="7086"/>
        </w:tabs>
        <w:rPr>
          <w:rFonts w:asciiTheme="minorHAnsi" w:eastAsiaTheme="minorEastAsia" w:hAnsiTheme="minorHAnsi" w:cstheme="minorBidi"/>
          <w:b w:val="0"/>
          <w:szCs w:val="22"/>
        </w:rPr>
      </w:pPr>
      <w:r>
        <w:t>Division 1 — Unconscionable conduct</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_Toc401152153 \h </w:instrText>
      </w:r>
      <w:r>
        <w:fldChar w:fldCharType="separate"/>
      </w:r>
      <w:r>
        <w:t>49</w:t>
      </w:r>
      <w:r>
        <w:fldChar w:fldCharType="end"/>
      </w:r>
    </w:p>
    <w:p>
      <w:pPr>
        <w:pStyle w:val="TOC8"/>
        <w:rPr>
          <w:rFonts w:asciiTheme="minorHAnsi" w:eastAsiaTheme="minorEastAsia" w:hAnsiTheme="minorHAnsi" w:cstheme="minorBidi"/>
          <w:szCs w:val="22"/>
        </w:rPr>
      </w:pPr>
      <w:r>
        <w:t>15B.</w:t>
      </w:r>
      <w:r>
        <w:tab/>
        <w:t>Application of Division</w:t>
      </w:r>
      <w:r>
        <w:tab/>
      </w:r>
      <w:r>
        <w:fldChar w:fldCharType="begin"/>
      </w:r>
      <w:r>
        <w:instrText xml:space="preserve"> PAGEREF _Toc401152154 \h </w:instrText>
      </w:r>
      <w:r>
        <w:fldChar w:fldCharType="separate"/>
      </w:r>
      <w:r>
        <w:t>49</w:t>
      </w:r>
      <w:r>
        <w:fldChar w:fldCharType="end"/>
      </w:r>
    </w:p>
    <w:p>
      <w:pPr>
        <w:pStyle w:val="TOC8"/>
        <w:rPr>
          <w:rFonts w:asciiTheme="minorHAnsi" w:eastAsiaTheme="minorEastAsia" w:hAnsiTheme="minorHAnsi" w:cstheme="minorBidi"/>
          <w:szCs w:val="22"/>
        </w:rPr>
      </w:pPr>
      <w:r>
        <w:t>15C.</w:t>
      </w:r>
      <w:r>
        <w:tab/>
        <w:t>Landlord not to engage in unconscionable conduct</w:t>
      </w:r>
      <w:r>
        <w:tab/>
      </w:r>
      <w:r>
        <w:fldChar w:fldCharType="begin"/>
      </w:r>
      <w:r>
        <w:instrText xml:space="preserve"> PAGEREF _Toc401152155 \h </w:instrText>
      </w:r>
      <w:r>
        <w:fldChar w:fldCharType="separate"/>
      </w:r>
      <w:r>
        <w:t>50</w:t>
      </w:r>
      <w:r>
        <w:fldChar w:fldCharType="end"/>
      </w:r>
    </w:p>
    <w:p>
      <w:pPr>
        <w:pStyle w:val="TOC8"/>
        <w:rPr>
          <w:rFonts w:asciiTheme="minorHAnsi" w:eastAsiaTheme="minorEastAsia" w:hAnsiTheme="minorHAnsi" w:cstheme="minorBidi"/>
          <w:szCs w:val="22"/>
        </w:rPr>
      </w:pPr>
      <w:r>
        <w:t>15D.</w:t>
      </w:r>
      <w:r>
        <w:tab/>
        <w:t>Tenant not to engage in unconscionable conduct</w:t>
      </w:r>
      <w:r>
        <w:tab/>
      </w:r>
      <w:r>
        <w:fldChar w:fldCharType="begin"/>
      </w:r>
      <w:r>
        <w:instrText xml:space="preserve"> PAGEREF _Toc401152156 \h </w:instrText>
      </w:r>
      <w:r>
        <w:fldChar w:fldCharType="separate"/>
      </w:r>
      <w:r>
        <w:t>52</w:t>
      </w:r>
      <w:r>
        <w:fldChar w:fldCharType="end"/>
      </w:r>
    </w:p>
    <w:p>
      <w:pPr>
        <w:pStyle w:val="TOC8"/>
        <w:rPr>
          <w:rFonts w:asciiTheme="minorHAnsi" w:eastAsiaTheme="minorEastAsia" w:hAnsiTheme="minorHAnsi" w:cstheme="minorBidi"/>
          <w:szCs w:val="22"/>
        </w:rPr>
      </w:pPr>
      <w:r>
        <w:t>15E.</w:t>
      </w:r>
      <w:r>
        <w:tab/>
        <w:t>Conduct that is not unconscionable for s. 15C and 15D</w:t>
      </w:r>
      <w:r>
        <w:tab/>
      </w:r>
      <w:r>
        <w:fldChar w:fldCharType="begin"/>
      </w:r>
      <w:r>
        <w:instrText xml:space="preserve"> PAGEREF _Toc401152157 \h </w:instrText>
      </w:r>
      <w:r>
        <w:fldChar w:fldCharType="separate"/>
      </w:r>
      <w:r>
        <w:t>54</w:t>
      </w:r>
      <w:r>
        <w:fldChar w:fldCharType="end"/>
      </w:r>
    </w:p>
    <w:p>
      <w:pPr>
        <w:pStyle w:val="TOC8"/>
        <w:rPr>
          <w:rFonts w:asciiTheme="minorHAnsi" w:eastAsiaTheme="minorEastAsia" w:hAnsiTheme="minorHAnsi" w:cstheme="minorBidi"/>
          <w:szCs w:val="22"/>
        </w:rPr>
      </w:pPr>
      <w:r>
        <w:t>15F.</w:t>
      </w:r>
      <w:r>
        <w:tab/>
        <w:t>SAT’s powers as to unconscionable conduct</w:t>
      </w:r>
      <w:r>
        <w:tab/>
      </w:r>
      <w:r>
        <w:fldChar w:fldCharType="begin"/>
      </w:r>
      <w:r>
        <w:instrText xml:space="preserve"> PAGEREF _Toc401152158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Misleading or deceptive conduct</w:t>
      </w:r>
    </w:p>
    <w:p>
      <w:pPr>
        <w:pStyle w:val="TOC8"/>
        <w:rPr>
          <w:rFonts w:asciiTheme="minorHAnsi" w:eastAsiaTheme="minorEastAsia" w:hAnsiTheme="minorHAnsi" w:cstheme="minorBidi"/>
          <w:szCs w:val="22"/>
        </w:rPr>
      </w:pPr>
      <w:r>
        <w:t>16A.</w:t>
      </w:r>
      <w:r>
        <w:tab/>
        <w:t>Term used: misleading or deceptive conduct</w:t>
      </w:r>
      <w:r>
        <w:tab/>
      </w:r>
      <w:r>
        <w:fldChar w:fldCharType="begin"/>
      </w:r>
      <w:r>
        <w:instrText xml:space="preserve"> PAGEREF _Toc401152160 \h </w:instrText>
      </w:r>
      <w:r>
        <w:fldChar w:fldCharType="separate"/>
      </w:r>
      <w:r>
        <w:t>55</w:t>
      </w:r>
      <w:r>
        <w:fldChar w:fldCharType="end"/>
      </w:r>
    </w:p>
    <w:p>
      <w:pPr>
        <w:pStyle w:val="TOC8"/>
        <w:rPr>
          <w:rFonts w:asciiTheme="minorHAnsi" w:eastAsiaTheme="minorEastAsia" w:hAnsiTheme="minorHAnsi" w:cstheme="minorBidi"/>
          <w:szCs w:val="22"/>
        </w:rPr>
      </w:pPr>
      <w:r>
        <w:t>16B.</w:t>
      </w:r>
      <w:r>
        <w:tab/>
        <w:t>Application of Division</w:t>
      </w:r>
      <w:r>
        <w:tab/>
      </w:r>
      <w:r>
        <w:fldChar w:fldCharType="begin"/>
      </w:r>
      <w:r>
        <w:instrText xml:space="preserve"> PAGEREF _Toc401152161 \h </w:instrText>
      </w:r>
      <w:r>
        <w:fldChar w:fldCharType="separate"/>
      </w:r>
      <w:r>
        <w:t>55</w:t>
      </w:r>
      <w:r>
        <w:fldChar w:fldCharType="end"/>
      </w:r>
    </w:p>
    <w:p>
      <w:pPr>
        <w:pStyle w:val="TOC8"/>
        <w:rPr>
          <w:rFonts w:asciiTheme="minorHAnsi" w:eastAsiaTheme="minorEastAsia" w:hAnsiTheme="minorHAnsi" w:cstheme="minorBidi"/>
          <w:szCs w:val="22"/>
        </w:rPr>
      </w:pPr>
      <w:r>
        <w:t>16C.</w:t>
      </w:r>
      <w:r>
        <w:tab/>
        <w:t>Parties to lease not to engage in misleading etc. conduct</w:t>
      </w:r>
      <w:r>
        <w:tab/>
      </w:r>
      <w:r>
        <w:fldChar w:fldCharType="begin"/>
      </w:r>
      <w:r>
        <w:instrText xml:space="preserve"> PAGEREF _Toc401152162 \h </w:instrText>
      </w:r>
      <w:r>
        <w:fldChar w:fldCharType="separate"/>
      </w:r>
      <w:r>
        <w:t>56</w:t>
      </w:r>
      <w:r>
        <w:fldChar w:fldCharType="end"/>
      </w:r>
    </w:p>
    <w:p>
      <w:pPr>
        <w:pStyle w:val="TOC8"/>
        <w:rPr>
          <w:rFonts w:asciiTheme="minorHAnsi" w:eastAsiaTheme="minorEastAsia" w:hAnsiTheme="minorHAnsi" w:cstheme="minorBidi"/>
          <w:szCs w:val="22"/>
        </w:rPr>
      </w:pPr>
      <w:r>
        <w:t>16D.</w:t>
      </w:r>
      <w:r>
        <w:tab/>
        <w:t>SAT’s powers as to misleading etc. conduct</w:t>
      </w:r>
      <w:r>
        <w:tab/>
      </w:r>
      <w:r>
        <w:fldChar w:fldCharType="begin"/>
      </w:r>
      <w:r>
        <w:instrText xml:space="preserve"> PAGEREF _Toc401152163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3 — Reference of questions to State Administrative Tribunal</w:t>
      </w:r>
    </w:p>
    <w:p>
      <w:pPr>
        <w:pStyle w:val="TOC8"/>
        <w:rPr>
          <w:rFonts w:asciiTheme="minorHAnsi" w:eastAsiaTheme="minorEastAsia" w:hAnsiTheme="minorHAnsi" w:cstheme="minorBidi"/>
          <w:szCs w:val="22"/>
        </w:rPr>
      </w:pPr>
      <w:r>
        <w:t>16</w:t>
      </w:r>
      <w:r>
        <w:rPr>
          <w:snapToGrid w:val="0"/>
        </w:rPr>
        <w:t>.</w:t>
      </w:r>
      <w:r>
        <w:rPr>
          <w:snapToGrid w:val="0"/>
        </w:rPr>
        <w:tab/>
        <w:t>Party to lease may refer question to SAT</w:t>
      </w:r>
      <w:r>
        <w:tab/>
      </w:r>
      <w:r>
        <w:fldChar w:fldCharType="begin"/>
      </w:r>
      <w:r>
        <w:instrText xml:space="preserve"> PAGEREF _Toc401152165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III — Powers and procedure for dealing with matters</w:t>
      </w:r>
    </w:p>
    <w:p>
      <w:pPr>
        <w:pStyle w:val="TOC8"/>
        <w:rPr>
          <w:rFonts w:asciiTheme="minorHAnsi" w:eastAsiaTheme="minorEastAsia" w:hAnsiTheme="minorHAnsi" w:cstheme="minorBidi"/>
          <w:szCs w:val="22"/>
        </w:rPr>
      </w:pPr>
      <w:r>
        <w:t>24.</w:t>
      </w:r>
      <w:r>
        <w:tab/>
        <w:t>Term used: matter</w:t>
      </w:r>
      <w:r>
        <w:tab/>
      </w:r>
      <w:r>
        <w:fldChar w:fldCharType="begin"/>
      </w:r>
      <w:r>
        <w:instrText xml:space="preserve"> PAGEREF _Toc401152167 \h </w:instrText>
      </w:r>
      <w:r>
        <w:fldChar w:fldCharType="separate"/>
      </w:r>
      <w:r>
        <w:t>59</w:t>
      </w:r>
      <w:r>
        <w:fldChar w:fldCharType="end"/>
      </w:r>
    </w:p>
    <w:p>
      <w:pPr>
        <w:pStyle w:val="TOC8"/>
        <w:rPr>
          <w:rFonts w:asciiTheme="minorHAnsi" w:eastAsiaTheme="minorEastAsia" w:hAnsiTheme="minorHAnsi" w:cstheme="minorBidi"/>
          <w:szCs w:val="22"/>
        </w:rPr>
      </w:pPr>
      <w:r>
        <w:t>25A.</w:t>
      </w:r>
      <w:r>
        <w:tab/>
        <w:t xml:space="preserve">Resolution of matter using </w:t>
      </w:r>
      <w:r>
        <w:rPr>
          <w:i/>
          <w:iCs/>
        </w:rPr>
        <w:t>Small Business Development Corporation Act 1983</w:t>
      </w:r>
      <w:r>
        <w:t xml:space="preserve"> s. 15C or 15E, request for</w:t>
      </w:r>
      <w:r>
        <w:tab/>
      </w:r>
      <w:r>
        <w:fldChar w:fldCharType="begin"/>
      </w:r>
      <w:r>
        <w:instrText xml:space="preserve"> PAGEREF _Toc401152168 \h </w:instrText>
      </w:r>
      <w:r>
        <w:fldChar w:fldCharType="separate"/>
      </w:r>
      <w:r>
        <w:t>59</w:t>
      </w:r>
      <w:r>
        <w:fldChar w:fldCharType="end"/>
      </w:r>
    </w:p>
    <w:p>
      <w:pPr>
        <w:pStyle w:val="TOC8"/>
        <w:rPr>
          <w:rFonts w:asciiTheme="minorHAnsi" w:eastAsiaTheme="minorEastAsia" w:hAnsiTheme="minorHAnsi" w:cstheme="minorBidi"/>
          <w:szCs w:val="22"/>
        </w:rPr>
      </w:pPr>
      <w:r>
        <w:t>25B.</w:t>
      </w:r>
      <w:r>
        <w:tab/>
        <w:t>Confidential information may be disclosed to Commissioner</w:t>
      </w:r>
      <w:r>
        <w:tab/>
      </w:r>
      <w:r>
        <w:fldChar w:fldCharType="begin"/>
      </w:r>
      <w:r>
        <w:instrText xml:space="preserve"> PAGEREF _Toc401152169 \h </w:instrText>
      </w:r>
      <w:r>
        <w:fldChar w:fldCharType="separate"/>
      </w:r>
      <w:r>
        <w:t>59</w:t>
      </w:r>
      <w:r>
        <w:fldChar w:fldCharType="end"/>
      </w:r>
    </w:p>
    <w:p>
      <w:pPr>
        <w:pStyle w:val="TOC8"/>
        <w:rPr>
          <w:rFonts w:asciiTheme="minorHAnsi" w:eastAsiaTheme="minorEastAsia" w:hAnsiTheme="minorHAnsi" w:cstheme="minorBidi"/>
          <w:szCs w:val="22"/>
        </w:rPr>
      </w:pPr>
      <w:r>
        <w:t>25C.</w:t>
      </w:r>
      <w:r>
        <w:tab/>
        <w:t>Commissioner to issue certificate if matter not resolved etc.</w:t>
      </w:r>
      <w:r>
        <w:tab/>
      </w:r>
      <w:r>
        <w:fldChar w:fldCharType="begin"/>
      </w:r>
      <w:r>
        <w:instrText xml:space="preserve"> PAGEREF _Toc401152170 \h </w:instrText>
      </w:r>
      <w:r>
        <w:fldChar w:fldCharType="separate"/>
      </w:r>
      <w:r>
        <w:t>60</w:t>
      </w:r>
      <w:r>
        <w:fldChar w:fldCharType="end"/>
      </w:r>
    </w:p>
    <w:p>
      <w:pPr>
        <w:pStyle w:val="TOC8"/>
        <w:rPr>
          <w:rFonts w:asciiTheme="minorHAnsi" w:eastAsiaTheme="minorEastAsia" w:hAnsiTheme="minorHAnsi" w:cstheme="minorBidi"/>
          <w:szCs w:val="22"/>
        </w:rPr>
      </w:pPr>
      <w:r>
        <w:t>25D.</w:t>
      </w:r>
      <w:r>
        <w:tab/>
        <w:t>Application to SAT restricted in certain circumstances</w:t>
      </w:r>
      <w:r>
        <w:tab/>
      </w:r>
      <w:r>
        <w:fldChar w:fldCharType="begin"/>
      </w:r>
      <w:r>
        <w:instrText xml:space="preserve"> PAGEREF _Toc401152171 \h </w:instrText>
      </w:r>
      <w:r>
        <w:fldChar w:fldCharType="separate"/>
      </w:r>
      <w:r>
        <w:t>60</w:t>
      </w:r>
      <w:r>
        <w:fldChar w:fldCharType="end"/>
      </w:r>
    </w:p>
    <w:p>
      <w:pPr>
        <w:pStyle w:val="TOC8"/>
        <w:rPr>
          <w:rFonts w:asciiTheme="minorHAnsi" w:eastAsiaTheme="minorEastAsia" w:hAnsiTheme="minorHAnsi" w:cstheme="minorBidi"/>
          <w:szCs w:val="22"/>
        </w:rPr>
      </w:pPr>
      <w:r>
        <w:t>25E.</w:t>
      </w:r>
      <w:r>
        <w:tab/>
        <w:t>Commissioner may intervene in SAT proceeding</w:t>
      </w:r>
      <w:r>
        <w:tab/>
      </w:r>
      <w:r>
        <w:fldChar w:fldCharType="begin"/>
      </w:r>
      <w:r>
        <w:instrText xml:space="preserve"> PAGEREF _Toc401152172 \h </w:instrText>
      </w:r>
      <w:r>
        <w:fldChar w:fldCharType="separate"/>
      </w:r>
      <w:r>
        <w:t>60</w:t>
      </w:r>
      <w:r>
        <w:fldChar w:fldCharType="end"/>
      </w:r>
    </w:p>
    <w:p>
      <w:pPr>
        <w:pStyle w:val="TOC8"/>
        <w:rPr>
          <w:rFonts w:asciiTheme="minorHAnsi" w:eastAsiaTheme="minorEastAsia" w:hAnsiTheme="minorHAnsi" w:cstheme="minorBidi"/>
          <w:szCs w:val="22"/>
        </w:rPr>
      </w:pPr>
      <w:r>
        <w:t>25.</w:t>
      </w:r>
      <w:r>
        <w:tab/>
      </w:r>
      <w:r>
        <w:rPr>
          <w:i/>
          <w:iCs/>
        </w:rPr>
        <w:t>State Administrative Tribunal Act 2004</w:t>
      </w:r>
      <w:r>
        <w:rPr>
          <w:iCs/>
        </w:rPr>
        <w:t>, relationship of this Part to</w:t>
      </w:r>
      <w:r>
        <w:tab/>
      </w:r>
      <w:r>
        <w:fldChar w:fldCharType="begin"/>
      </w:r>
      <w:r>
        <w:instrText xml:space="preserve"> PAGEREF _Toc401152173 \h </w:instrText>
      </w:r>
      <w:r>
        <w:fldChar w:fldCharType="separate"/>
      </w:r>
      <w:r>
        <w:t>61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SAT’s powers to make orders</w:t>
      </w:r>
      <w:r>
        <w:tab/>
      </w:r>
      <w:r>
        <w:fldChar w:fldCharType="begin"/>
      </w:r>
      <w:r>
        <w:instrText xml:space="preserve"> PAGEREF _Toc401152174 \h </w:instrText>
      </w:r>
      <w:r>
        <w:fldChar w:fldCharType="separate"/>
      </w:r>
      <w:r>
        <w:t>61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Both court and SAT having jurisdiction, procedure etc. in case of</w:t>
      </w:r>
      <w:r>
        <w:tab/>
      </w:r>
      <w:r>
        <w:fldChar w:fldCharType="begin"/>
      </w:r>
      <w:r>
        <w:instrText xml:space="preserve"> PAGEREF _Toc401152175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28</w:t>
      </w:r>
      <w:r>
        <w:rPr>
          <w:snapToGrid w:val="0"/>
        </w:rPr>
        <w:t>.</w:t>
      </w:r>
      <w:r>
        <w:rPr>
          <w:snapToGrid w:val="0"/>
        </w:rPr>
        <w:tab/>
        <w:t>Protection from liability for some persons</w:t>
      </w:r>
      <w:r>
        <w:tab/>
      </w:r>
      <w:r>
        <w:fldChar w:fldCharType="begin"/>
      </w:r>
      <w:r>
        <w:instrText xml:space="preserve"> PAGEREF _Toc401152177 \h </w:instrText>
      </w:r>
      <w:r>
        <w:fldChar w:fldCharType="separate"/>
      </w:r>
      <w:r>
        <w:t>65</w:t>
      </w:r>
      <w:r>
        <w:fldChar w:fldCharType="end"/>
      </w:r>
    </w:p>
    <w:p>
      <w:pPr>
        <w:pStyle w:val="TOC8"/>
        <w:rPr>
          <w:rFonts w:asciiTheme="minorHAnsi" w:eastAsiaTheme="minorEastAsia" w:hAnsiTheme="minorHAnsi" w:cstheme="minorBidi"/>
          <w:szCs w:val="22"/>
        </w:rPr>
      </w:pPr>
      <w:r>
        <w:t>29.</w:t>
      </w:r>
      <w:r>
        <w:tab/>
        <w:t>Transitional provisions (Sch. 1)</w:t>
      </w:r>
      <w:r>
        <w:tab/>
      </w:r>
      <w:r>
        <w:fldChar w:fldCharType="begin"/>
      </w:r>
      <w:r>
        <w:instrText xml:space="preserve"> PAGEREF _Toc401152178 \h </w:instrText>
      </w:r>
      <w:r>
        <w:fldChar w:fldCharType="separate"/>
      </w:r>
      <w:r>
        <w:t>65</w:t>
      </w:r>
      <w:r>
        <w:fldChar w:fldCharType="end"/>
      </w:r>
    </w:p>
    <w:p>
      <w:pPr>
        <w:pStyle w:val="TOC8"/>
        <w:rPr>
          <w:rFonts w:asciiTheme="minorHAnsi" w:eastAsiaTheme="minorEastAsia" w:hAnsiTheme="minorHAnsi" w:cstheme="minorBidi"/>
          <w:szCs w:val="22"/>
        </w:rPr>
      </w:pPr>
      <w:r>
        <w:t>30A.</w:t>
      </w:r>
      <w:r>
        <w:tab/>
        <w:t>Small Business Commissioner, functions of</w:t>
      </w:r>
      <w:r>
        <w:tab/>
      </w:r>
      <w:r>
        <w:fldChar w:fldCharType="begin"/>
      </w:r>
      <w:r>
        <w:instrText xml:space="preserve"> PAGEREF _Toc401152179 \h </w:instrText>
      </w:r>
      <w:r>
        <w:fldChar w:fldCharType="separate"/>
      </w:r>
      <w:r>
        <w:t>65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Regulations</w:t>
      </w:r>
      <w:r>
        <w:tab/>
      </w:r>
      <w:r>
        <w:fldChar w:fldCharType="begin"/>
      </w:r>
      <w:r>
        <w:instrText xml:space="preserve"> PAGEREF _Toc401152180 \h </w:instrText>
      </w:r>
      <w:r>
        <w:fldChar w:fldCharType="separate"/>
      </w:r>
      <w:r>
        <w:t>65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Act</w:t>
      </w:r>
      <w:r>
        <w:tab/>
      </w:r>
      <w:r>
        <w:fldChar w:fldCharType="begin"/>
      </w:r>
      <w:r>
        <w:instrText xml:space="preserve"> PAGEREF _Toc401152181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r>
      <w:r>
        <w:rPr>
          <w:i/>
          <w:iCs/>
        </w:rPr>
        <w:t>Interpretation Act 1984</w:t>
      </w:r>
      <w:r>
        <w:t xml:space="preserve"> not affected</w:t>
      </w:r>
      <w:r>
        <w:tab/>
      </w:r>
      <w:r>
        <w:fldChar w:fldCharType="begin"/>
      </w:r>
      <w:r>
        <w:instrText xml:space="preserve"> PAGEREF _Toc401152184 \h </w:instrText>
      </w:r>
      <w:r>
        <w:fldChar w:fldCharType="separate"/>
      </w:r>
      <w:r>
        <w:t>67</w:t>
      </w:r>
      <w:r>
        <w:fldChar w:fldCharType="end"/>
      </w:r>
    </w:p>
    <w:p>
      <w:pPr>
        <w:pStyle w:val="TOC8"/>
        <w:rPr>
          <w:rFonts w:asciiTheme="minorHAnsi" w:eastAsiaTheme="minorEastAsia" w:hAnsiTheme="minorHAnsi" w:cstheme="minorBidi"/>
          <w:szCs w:val="22"/>
        </w:rPr>
      </w:pPr>
      <w:r>
        <w:t>2.</w:t>
      </w:r>
      <w:r>
        <w:tab/>
        <w:t>Transitional regulations</w:t>
      </w:r>
      <w:r>
        <w:tab/>
      </w:r>
      <w:r>
        <w:fldChar w:fldCharType="begin"/>
      </w:r>
      <w:r>
        <w:instrText xml:space="preserve"> PAGEREF _Toc401152185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w:t>
      </w:r>
      <w:r>
        <w:rPr>
          <w:i/>
        </w:rPr>
        <w:t>Commercial Tenancy (Retail Shops) Agreements Amendment Act 2011</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_Toc401152187 \h </w:instrText>
      </w:r>
      <w:r>
        <w:fldChar w:fldCharType="separate"/>
      </w:r>
      <w:r>
        <w:t>68</w:t>
      </w:r>
      <w:r>
        <w:fldChar w:fldCharType="end"/>
      </w:r>
    </w:p>
    <w:p>
      <w:pPr>
        <w:pStyle w:val="TOC8"/>
        <w:rPr>
          <w:rFonts w:asciiTheme="minorHAnsi" w:eastAsiaTheme="minorEastAsia" w:hAnsiTheme="minorHAnsi" w:cstheme="minorBidi"/>
          <w:szCs w:val="22"/>
        </w:rPr>
      </w:pPr>
      <w:r>
        <w:t>4.</w:t>
      </w:r>
      <w:r>
        <w:tab/>
        <w:t>Application of 1985 Act to existing retail shop lease</w:t>
      </w:r>
      <w:r>
        <w:tab/>
      </w:r>
      <w:r>
        <w:fldChar w:fldCharType="begin"/>
      </w:r>
      <w:r>
        <w:instrText xml:space="preserve"> PAGEREF _Toc401152188 \h </w:instrText>
      </w:r>
      <w:r>
        <w:fldChar w:fldCharType="separate"/>
      </w:r>
      <w:r>
        <w:t>69</w:t>
      </w:r>
      <w:r>
        <w:fldChar w:fldCharType="end"/>
      </w:r>
    </w:p>
    <w:p>
      <w:pPr>
        <w:pStyle w:val="TOC8"/>
        <w:rPr>
          <w:rFonts w:asciiTheme="minorHAnsi" w:eastAsiaTheme="minorEastAsia" w:hAnsiTheme="minorHAnsi" w:cstheme="minorBidi"/>
          <w:szCs w:val="22"/>
        </w:rPr>
      </w:pPr>
      <w:r>
        <w:t>5.</w:t>
      </w:r>
      <w:r>
        <w:tab/>
      </w:r>
      <w:r>
        <w:rPr>
          <w:bCs/>
        </w:rPr>
        <w:t>1985 Act does not apply to existing lease that becomes retail shop lease on 1 Jan 2013</w:t>
      </w:r>
      <w:r>
        <w:tab/>
      </w:r>
      <w:r>
        <w:fldChar w:fldCharType="begin"/>
      </w:r>
      <w:r>
        <w:instrText xml:space="preserve"> PAGEREF _Toc401152189 \h </w:instrText>
      </w:r>
      <w:r>
        <w:fldChar w:fldCharType="separate"/>
      </w:r>
      <w:r>
        <w:t>69</w:t>
      </w:r>
      <w:r>
        <w:fldChar w:fldCharType="end"/>
      </w:r>
    </w:p>
    <w:p>
      <w:pPr>
        <w:pStyle w:val="TOC8"/>
        <w:rPr>
          <w:rFonts w:asciiTheme="minorHAnsi" w:eastAsiaTheme="minorEastAsia" w:hAnsiTheme="minorHAnsi" w:cstheme="minorBidi"/>
          <w:szCs w:val="22"/>
        </w:rPr>
      </w:pPr>
      <w:r>
        <w:t>6.</w:t>
      </w:r>
      <w:r>
        <w:tab/>
      </w:r>
      <w:r>
        <w:rPr>
          <w:bCs/>
        </w:rPr>
        <w:t>No contracting out</w:t>
      </w:r>
      <w:r>
        <w:tab/>
      </w:r>
      <w:r>
        <w:fldChar w:fldCharType="begin"/>
      </w:r>
      <w:r>
        <w:instrText xml:space="preserve"> PAGEREF _Toc401152190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_Toc401152192 \h </w:instrText>
      </w:r>
      <w:r>
        <w:fldChar w:fldCharType="separate"/>
      </w:r>
      <w:r>
        <w:t>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_Toc401152193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284" w:right="433"/>
      </w:pPr>
      <w:r>
        <w:t>Commercial Tenancy (Retail Shops) Agreements Act 1985</w:t>
      </w:r>
    </w:p>
    <w:p>
      <w:pPr>
        <w:pStyle w:val="LongTitle"/>
        <w:rPr>
          <w:snapToGrid w:val="0"/>
        </w:rPr>
      </w:pPr>
      <w:r>
        <w:rPr>
          <w:snapToGrid w:val="0"/>
        </w:rPr>
        <w:t>An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pPr>
        <w:pStyle w:val="Footnotelongtitle"/>
      </w:pPr>
      <w:r>
        <w:tab/>
        <w:t>[Long title amended by No. 47 of 2006 s. 20; No. 59 of 2011 s. 4.]</w:t>
      </w:r>
    </w:p>
    <w:p>
      <w:pPr>
        <w:pStyle w:val="Heading2"/>
      </w:pPr>
      <w:bookmarkStart w:id="1" w:name="_Toc401152122"/>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40115212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3" w:name="_Toc40115212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4" w:name="_Toc401152125"/>
      <w:r>
        <w:rPr>
          <w:rStyle w:val="CharSectno"/>
        </w:rPr>
        <w:t>3</w:t>
      </w:r>
      <w:r>
        <w:rPr>
          <w:snapToGrid w:val="0"/>
        </w:rPr>
        <w:t>.</w:t>
      </w:r>
      <w:r>
        <w:rPr>
          <w:snapToGrid w:val="0"/>
        </w:rPr>
        <w:tab/>
        <w:t>Terms used</w:t>
      </w:r>
      <w:bookmarkEnd w:id="4"/>
    </w:p>
    <w:p>
      <w:pPr>
        <w:pStyle w:val="Subsection"/>
      </w:pPr>
      <w:r>
        <w:tab/>
        <w:t>(1)</w:t>
      </w:r>
      <w:r>
        <w:tab/>
        <w:t>In this Act, unless the contrary intention appears —</w:t>
      </w:r>
    </w:p>
    <w:p>
      <w:pPr>
        <w:pStyle w:val="Defstart"/>
        <w:spacing w:before="90"/>
      </w:pPr>
      <w:r>
        <w:tab/>
      </w:r>
      <w:r>
        <w:rPr>
          <w:rStyle w:val="CharDefText"/>
        </w:rPr>
        <w:t>accountant</w:t>
      </w:r>
      <w:r>
        <w:t xml:space="preserve"> means a member of —</w:t>
      </w:r>
    </w:p>
    <w:p>
      <w:pPr>
        <w:pStyle w:val="Defpara"/>
        <w:spacing w:before="90"/>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or</w:t>
      </w:r>
    </w:p>
    <w:p>
      <w:pPr>
        <w:pStyle w:val="Defpara"/>
      </w:pPr>
      <w:r>
        <w:tab/>
        <w:t>(b)</w:t>
      </w:r>
      <w:r>
        <w:tab/>
        <w:t>CPA Australia Ltd;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w:t>
      </w:r>
    </w:p>
    <w:p>
      <w:pPr>
        <w:pStyle w:val="Defstart"/>
        <w:spacing w:before="90"/>
      </w:pPr>
      <w:r>
        <w:tab/>
      </w:r>
      <w:r>
        <w:rPr>
          <w:rStyle w:val="CharDefText"/>
        </w:rPr>
        <w:t>accounting year</w:t>
      </w:r>
      <w:r>
        <w:t xml:space="preserve"> in relation to a lease, means the accounting year specified in the lease or, if not so specified, a financial year;</w:t>
      </w:r>
    </w:p>
    <w:p>
      <w:pPr>
        <w:pStyle w:val="Defstart"/>
        <w:spacing w:before="90"/>
      </w:pPr>
      <w:r>
        <w:rPr>
          <w:b/>
        </w:rPr>
        <w:tab/>
      </w:r>
      <w:r>
        <w:rPr>
          <w:rStyle w:val="CharDefText"/>
        </w:rPr>
        <w:t>building</w:t>
      </w:r>
      <w:r>
        <w:t xml:space="preserve"> includes any structure;</w:t>
      </w:r>
    </w:p>
    <w:p>
      <w:pPr>
        <w:pStyle w:val="Defstart"/>
        <w:spacing w:before="90"/>
      </w:pPr>
      <w:r>
        <w:rPr>
          <w:b/>
        </w:rPr>
        <w:tab/>
      </w:r>
      <w:r>
        <w:rPr>
          <w:rStyle w:val="CharDefText"/>
        </w:rPr>
        <w:t>business</w:t>
      </w:r>
      <w:r>
        <w:t>, in relation to a retail shop lease, means the business carried on or to be carried on at or from the retail shop the subject of the lease;</w:t>
      </w:r>
    </w:p>
    <w:p>
      <w:pPr>
        <w:pStyle w:val="Defstart"/>
        <w:spacing w:before="90"/>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spacing w:before="90"/>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spacing w:before="100"/>
      </w:pPr>
      <w:r>
        <w:tab/>
      </w:r>
      <w:r>
        <w:rPr>
          <w:rStyle w:val="CharDefText"/>
        </w:rPr>
        <w:t>group of premises</w:t>
      </w:r>
      <w:r>
        <w:t xml:space="preserve"> means —</w:t>
      </w:r>
    </w:p>
    <w:p>
      <w:pPr>
        <w:pStyle w:val="Defpara"/>
        <w:spacing w:before="100"/>
      </w:pPr>
      <w:r>
        <w:tab/>
        <w:t>(a)</w:t>
      </w:r>
      <w:r>
        <w:tab/>
        <w:t>a retail shopping centre; or</w:t>
      </w:r>
    </w:p>
    <w:p>
      <w:pPr>
        <w:pStyle w:val="Defpara"/>
        <w:spacing w:before="100"/>
      </w:pPr>
      <w:r>
        <w:tab/>
        <w:t>(b)</w:t>
      </w:r>
      <w:r>
        <w:tab/>
        <w:t>2 or more premises, at least one of which is a retail shop, that are adjacent, or form a cluster —</w:t>
      </w:r>
    </w:p>
    <w:p>
      <w:pPr>
        <w:pStyle w:val="Defsubpara"/>
        <w:spacing w:before="100"/>
      </w:pPr>
      <w:r>
        <w:tab/>
        <w:t>(i)</w:t>
      </w:r>
      <w:r>
        <w:tab/>
        <w:t>which have, or on being leased would have, a common head lessor; and</w:t>
      </w:r>
    </w:p>
    <w:p>
      <w:pPr>
        <w:pStyle w:val="Defsubpara"/>
        <w:spacing w:before="100"/>
      </w:pPr>
      <w:r>
        <w:tab/>
        <w:t>(ii)</w:t>
      </w:r>
      <w:r>
        <w:tab/>
        <w:t>are grouped together for the purpose of allocating to each of those premises a portion of an item of operating expenses;</w:t>
      </w:r>
    </w:p>
    <w:p>
      <w:pPr>
        <w:pStyle w:val="Defstart"/>
        <w:spacing w:before="100"/>
      </w:pPr>
      <w:r>
        <w:tab/>
      </w:r>
      <w:r>
        <w:rPr>
          <w:rStyle w:val="CharDefText"/>
        </w:rPr>
        <w:t>key</w:t>
      </w:r>
      <w:r>
        <w:rPr>
          <w:rStyle w:val="CharDefText"/>
        </w:rPr>
        <w:noBreakHyphen/>
        <w:t>money</w:t>
      </w:r>
      <w:r>
        <w:t xml:space="preserve"> means —</w:t>
      </w:r>
    </w:p>
    <w:p>
      <w:pPr>
        <w:pStyle w:val="Defpara"/>
        <w:spacing w:before="100"/>
      </w:pPr>
      <w:r>
        <w:tab/>
        <w:t>(a)</w:t>
      </w:r>
      <w:r>
        <w:tab/>
        <w:t>money that is to be paid by, or at the request or direction of, a tenant; or</w:t>
      </w:r>
    </w:p>
    <w:p>
      <w:pPr>
        <w:pStyle w:val="Defpara"/>
        <w:spacing w:before="100"/>
      </w:pPr>
      <w:r>
        <w:tab/>
        <w:t>(b)</w:t>
      </w:r>
      <w:r>
        <w:tab/>
        <w:t>any benefit that is to be conferred by, or at the request or direction of, a tenant,</w:t>
      </w:r>
    </w:p>
    <w:p>
      <w:pPr>
        <w:pStyle w:val="Defstart"/>
        <w:spacing w:before="100"/>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00"/>
      </w:pPr>
      <w:r>
        <w:rPr>
          <w:b/>
        </w:rPr>
        <w:tab/>
      </w:r>
      <w:r>
        <w:rPr>
          <w:rStyle w:val="CharDefText"/>
        </w:rPr>
        <w:t>landlord</w:t>
      </w:r>
      <w:r>
        <w:t>, in relation to a lease, means —</w:t>
      </w:r>
    </w:p>
    <w:p>
      <w:pPr>
        <w:pStyle w:val="Defpara"/>
        <w:spacing w:before="100"/>
      </w:pPr>
      <w:r>
        <w:tab/>
        <w:t>(a)</w:t>
      </w:r>
      <w:r>
        <w:tab/>
        <w:t>the person who, under the lease, grants or is to grant to the tenant the entitlement to occupy the premises the subject of the lease; or</w:t>
      </w:r>
    </w:p>
    <w:p>
      <w:pPr>
        <w:pStyle w:val="Defpara"/>
        <w:spacing w:before="100"/>
      </w:pPr>
      <w:r>
        <w:tab/>
        <w:t>(b)</w:t>
      </w:r>
      <w:r>
        <w:tab/>
        <w:t>a person who obtains a reversionary interest in those premises,</w:t>
      </w:r>
    </w:p>
    <w:p>
      <w:pPr>
        <w:pStyle w:val="Defstart"/>
        <w:spacing w:before="100"/>
      </w:pPr>
      <w:r>
        <w:tab/>
        <w:t>but does not include a person who assigns his interest as tenant under the lease;</w:t>
      </w:r>
    </w:p>
    <w:p>
      <w:pPr>
        <w:pStyle w:val="Defstart"/>
        <w:spacing w:before="100"/>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spacing w:before="90"/>
      </w:pPr>
      <w:r>
        <w:tab/>
      </w:r>
      <w:r>
        <w:rPr>
          <w:rStyle w:val="CharDefText"/>
        </w:rPr>
        <w:t>lettable area</w:t>
      </w:r>
      <w:r>
        <w:t>, of a retail shop, means an area of the shop defined or calculated —</w:t>
      </w:r>
    </w:p>
    <w:p>
      <w:pPr>
        <w:pStyle w:val="Defpara"/>
        <w:spacing w:before="90"/>
      </w:pPr>
      <w:r>
        <w:tab/>
        <w:t>(a)</w:t>
      </w:r>
      <w:r>
        <w:tab/>
        <w:t>in such manner as is prescribed by the regulations; and</w:t>
      </w:r>
    </w:p>
    <w:p>
      <w:pPr>
        <w:pStyle w:val="Defpara"/>
        <w:spacing w:before="90"/>
      </w:pPr>
      <w:r>
        <w:tab/>
        <w:t>(b)</w:t>
      </w:r>
      <w:r>
        <w:tab/>
        <w:t>if the shop is part of a group of premises, in the same, or a substantially similar, manner as the area for each other retail shop in the group of premises is defined or calculated;</w:t>
      </w:r>
    </w:p>
    <w:p>
      <w:pPr>
        <w:pStyle w:val="Defstart"/>
        <w:keepNext/>
        <w:spacing w:before="90"/>
      </w:pPr>
      <w:r>
        <w:tab/>
      </w:r>
      <w:r>
        <w:rPr>
          <w:rStyle w:val="CharDefText"/>
        </w:rPr>
        <w:t>management fees</w:t>
      </w:r>
      <w:r>
        <w:t xml:space="preserve"> means fees in respect of costs for or incidental to the collection of rent or other moneys or the management of premises including, but not limited to, such of those costs —</w:t>
      </w:r>
    </w:p>
    <w:p>
      <w:pPr>
        <w:pStyle w:val="Defpara"/>
        <w:keepNext/>
        <w:spacing w:before="90"/>
      </w:pPr>
      <w:r>
        <w:tab/>
        <w:t>(a)</w:t>
      </w:r>
      <w:r>
        <w:tab/>
        <w:t>in respect of —</w:t>
      </w:r>
    </w:p>
    <w:p>
      <w:pPr>
        <w:pStyle w:val="Defsubpara"/>
        <w:keepLines w:val="0"/>
        <w:spacing w:before="90"/>
      </w:pPr>
      <w:r>
        <w:tab/>
        <w:t>(i)</w:t>
      </w:r>
      <w:r>
        <w:tab/>
        <w:t>management offices;</w:t>
      </w:r>
    </w:p>
    <w:p>
      <w:pPr>
        <w:pStyle w:val="Defsubpara"/>
        <w:spacing w:before="90"/>
      </w:pPr>
      <w:r>
        <w:tab/>
        <w:t>(ii)</w:t>
      </w:r>
      <w:r>
        <w:tab/>
        <w:t>plant and equipment;</w:t>
      </w:r>
    </w:p>
    <w:p>
      <w:pPr>
        <w:pStyle w:val="Defsubpara"/>
        <w:spacing w:before="90"/>
      </w:pPr>
      <w:r>
        <w:tab/>
        <w:t>(iii)</w:t>
      </w:r>
      <w:r>
        <w:tab/>
        <w:t>staff;</w:t>
      </w:r>
    </w:p>
    <w:p>
      <w:pPr>
        <w:pStyle w:val="Defpara"/>
        <w:spacing w:before="90"/>
      </w:pPr>
      <w:r>
        <w:tab/>
      </w:r>
      <w:r>
        <w:tab/>
        <w:t>and</w:t>
      </w:r>
    </w:p>
    <w:p>
      <w:pPr>
        <w:pStyle w:val="Defpara"/>
        <w:spacing w:before="90"/>
      </w:pPr>
      <w:r>
        <w:tab/>
        <w:t>(b)</w:t>
      </w:r>
      <w:r>
        <w:tab/>
        <w:t>as are of a kind prescribed;</w:t>
      </w:r>
    </w:p>
    <w:p>
      <w:pPr>
        <w:pStyle w:val="Defstart"/>
        <w:spacing w:before="90"/>
      </w:pPr>
      <w:r>
        <w:tab/>
      </w:r>
      <w:r>
        <w:rPr>
          <w:rStyle w:val="CharDefText"/>
        </w:rPr>
        <w:t>misleading or deceptive conduct application</w:t>
      </w:r>
      <w:r>
        <w:t xml:space="preserve"> means an application under section 16D(1);</w:t>
      </w:r>
    </w:p>
    <w:p>
      <w:pPr>
        <w:pStyle w:val="Defstart"/>
        <w:spacing w:before="90"/>
      </w:pPr>
      <w:r>
        <w:tab/>
      </w:r>
      <w:r>
        <w:rPr>
          <w:rStyle w:val="CharDefText"/>
        </w:rPr>
        <w:t>retail business</w:t>
      </w:r>
      <w:r>
        <w:t xml:space="preserve"> means —</w:t>
      </w:r>
    </w:p>
    <w:p>
      <w:pPr>
        <w:pStyle w:val="Defpara"/>
        <w:spacing w:before="90"/>
      </w:pPr>
      <w:r>
        <w:tab/>
        <w:t>(a)</w:t>
      </w:r>
      <w:r>
        <w:tab/>
        <w:t>a business that wholly or predominantly involves the sale of goods by retail; or</w:t>
      </w:r>
    </w:p>
    <w:p>
      <w:pPr>
        <w:pStyle w:val="Defpara"/>
        <w:spacing w:before="90"/>
      </w:pPr>
      <w:r>
        <w:tab/>
        <w:t>(b)</w:t>
      </w:r>
      <w:r>
        <w:tab/>
        <w:t>a specified business;</w:t>
      </w:r>
    </w:p>
    <w:p>
      <w:pPr>
        <w:pStyle w:val="Defstart"/>
        <w:keepNext/>
        <w:spacing w:before="90"/>
      </w:pPr>
      <w:r>
        <w:tab/>
      </w:r>
      <w:r>
        <w:rPr>
          <w:rStyle w:val="CharDefText"/>
        </w:rPr>
        <w:t>retail shop</w:t>
      </w:r>
      <w:r>
        <w:t xml:space="preserve"> means —</w:t>
      </w:r>
    </w:p>
    <w:p>
      <w:pPr>
        <w:pStyle w:val="Defpara"/>
        <w:spacing w:before="60"/>
      </w:pPr>
      <w:r>
        <w:tab/>
        <w:t>(a)</w:t>
      </w:r>
      <w:r>
        <w:tab/>
        <w:t>any premises situated in a retail shopping centre that are used wholly or predominantly for the carrying on of a business; or</w:t>
      </w:r>
    </w:p>
    <w:p>
      <w:pPr>
        <w:pStyle w:val="Defpara"/>
        <w:spacing w:before="60"/>
      </w:pPr>
      <w:r>
        <w:rPr>
          <w:snapToGrid/>
        </w:rPr>
        <w:tab/>
        <w:t>(b)</w:t>
      </w:r>
      <w:r>
        <w:rPr>
          <w:snapToGrid/>
        </w:rPr>
        <w:tab/>
        <w:t>any premises not situated in a retail shopping</w:t>
      </w:r>
      <w:r>
        <w:t xml:space="preserve"> centre that are used wholly or predominantly for the carrying on of a retail business,</w:t>
      </w:r>
    </w:p>
    <w:p>
      <w:pPr>
        <w:pStyle w:val="Defstart"/>
      </w:pPr>
      <w:r>
        <w:tab/>
        <w:t>but does not include any premises excluded by regulation;</w:t>
      </w:r>
    </w:p>
    <w:p>
      <w:pPr>
        <w:pStyle w:val="Defstart"/>
      </w:pPr>
      <w:r>
        <w:tab/>
      </w:r>
      <w:r>
        <w:rPr>
          <w:rStyle w:val="CharDefText"/>
        </w:rPr>
        <w:t>retail shop lease</w:t>
      </w:r>
      <w:r>
        <w:t xml:space="preserve"> means a lease that provides for the occupation of a retail shop, unless —</w:t>
      </w:r>
    </w:p>
    <w:p>
      <w:pPr>
        <w:pStyle w:val="Defpara"/>
        <w:spacing w:before="60"/>
      </w:pPr>
      <w:r>
        <w:tab/>
        <w:t>(a)</w:t>
      </w:r>
      <w:r>
        <w:tab/>
        <w:t>the retail shop —</w:t>
      </w:r>
    </w:p>
    <w:p>
      <w:pPr>
        <w:pStyle w:val="Defsubpara"/>
        <w:spacing w:before="60"/>
      </w:pPr>
      <w:r>
        <w:tab/>
        <w:t>(i)</w:t>
      </w:r>
      <w:r>
        <w:tab/>
        <w:t>has a lettable area that exceeds 1 000 square metres; and</w:t>
      </w:r>
    </w:p>
    <w:p>
      <w:pPr>
        <w:pStyle w:val="Defsubpara"/>
        <w:spacing w:before="60"/>
      </w:pPr>
      <w:r>
        <w:tab/>
        <w:t>(ii)</w:t>
      </w:r>
      <w:r>
        <w:tab/>
        <w:t>is not of a kind prescribed by the regulations for the purposes of this definition;</w:t>
      </w:r>
    </w:p>
    <w:p>
      <w:pPr>
        <w:pStyle w:val="Defpara"/>
        <w:spacing w:before="50"/>
      </w:pPr>
      <w:r>
        <w:tab/>
      </w:r>
      <w:r>
        <w:tab/>
        <w:t>or</w:t>
      </w:r>
    </w:p>
    <w:p>
      <w:pPr>
        <w:pStyle w:val="Defpara"/>
        <w:spacing w:before="60"/>
      </w:pPr>
      <w:r>
        <w:tab/>
        <w:t>(b)</w:t>
      </w:r>
      <w:r>
        <w:tab/>
        <w:t>the lease is held by —</w:t>
      </w:r>
    </w:p>
    <w:p>
      <w:pPr>
        <w:pStyle w:val="Defsubpara"/>
        <w:spacing w:before="60"/>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Defsubpara"/>
        <w:spacing w:before="60"/>
      </w:pPr>
      <w:r>
        <w:tab/>
        <w:t>(ii)</w:t>
      </w:r>
      <w:r>
        <w:tab/>
        <w:t xml:space="preserve">a subsidiary (within the meaning of the </w:t>
      </w:r>
      <w:r>
        <w:rPr>
          <w:i/>
          <w:iCs/>
        </w:rPr>
        <w:t>Corporations Act 2001</w:t>
      </w:r>
      <w:r>
        <w:t xml:space="preserve"> (Commonwealth) section 9) of such a corporation;</w:t>
      </w:r>
    </w:p>
    <w:p>
      <w:pPr>
        <w:pStyle w:val="Defpara"/>
        <w:spacing w:before="60"/>
      </w:pPr>
      <w:r>
        <w:tab/>
      </w:r>
      <w:r>
        <w:tab/>
        <w:t>or</w:t>
      </w:r>
    </w:p>
    <w:p>
      <w:pPr>
        <w:pStyle w:val="Defpara"/>
        <w:spacing w:before="60"/>
      </w:pPr>
      <w:r>
        <w:tab/>
        <w:t>(c)</w:t>
      </w:r>
      <w:r>
        <w:tab/>
        <w:t>the lease is held by —</w:t>
      </w:r>
    </w:p>
    <w:p>
      <w:pPr>
        <w:pStyle w:val="Defsubpara"/>
        <w:keepLines w:val="0"/>
        <w:spacing w:before="60"/>
      </w:pPr>
      <w:r>
        <w:tab/>
        <w:t>(i)</w:t>
      </w:r>
      <w:r>
        <w:tab/>
        <w:t>a body corporate whose securities are listed on a stock exchange, outside Australia and the external territories, that is a member of the World Federation of Exchanges; or</w:t>
      </w:r>
    </w:p>
    <w:p>
      <w:pPr>
        <w:pStyle w:val="Defsubpara"/>
        <w:spacing w:before="60"/>
      </w:pPr>
      <w:r>
        <w:tab/>
        <w:t>(ii)</w:t>
      </w:r>
      <w:r>
        <w:tab/>
        <w:t xml:space="preserve">a subsidiary (within the meaning of the </w:t>
      </w:r>
      <w:r>
        <w:rPr>
          <w:i/>
          <w:iCs/>
        </w:rPr>
        <w:t>Corporations Act 2001</w:t>
      </w:r>
      <w:r>
        <w:t xml:space="preserve"> (Commonwealth) section 9) of such a body corporate;</w:t>
      </w:r>
    </w:p>
    <w:p>
      <w:pPr>
        <w:pStyle w:val="Defpara"/>
        <w:spacing w:before="60"/>
      </w:pPr>
      <w:r>
        <w:tab/>
      </w:r>
      <w:r>
        <w:tab/>
        <w:t>or</w:t>
      </w:r>
    </w:p>
    <w:p>
      <w:pPr>
        <w:pStyle w:val="Defpara"/>
        <w:spacing w:before="90"/>
      </w:pPr>
      <w:r>
        <w:tab/>
        <w:t>(d)</w:t>
      </w:r>
      <w:r>
        <w:tab/>
        <w:t>the lease is of a kind that is prescribed by the regulations as exempt from the operation of this Act;</w:t>
      </w:r>
    </w:p>
    <w:p>
      <w:pPr>
        <w:pStyle w:val="Defstart"/>
        <w:spacing w:before="90"/>
      </w:pPr>
      <w:r>
        <w:tab/>
      </w:r>
      <w:r>
        <w:rPr>
          <w:rStyle w:val="CharDefText"/>
        </w:rPr>
        <w:t>retail shopping centre</w:t>
      </w:r>
      <w:r>
        <w:t xml:space="preserve"> means a cluster of premises —</w:t>
      </w:r>
    </w:p>
    <w:p>
      <w:pPr>
        <w:pStyle w:val="Defpara"/>
        <w:spacing w:before="90"/>
      </w:pPr>
      <w:r>
        <w:tab/>
        <w:t>(a)</w:t>
      </w:r>
      <w:r>
        <w:tab/>
        <w:t>5 or more of which are used for the carrying on of a retail business; and</w:t>
      </w:r>
    </w:p>
    <w:p>
      <w:pPr>
        <w:pStyle w:val="Defpara"/>
        <w:spacing w:before="90"/>
      </w:pPr>
      <w:r>
        <w:tab/>
        <w:t>(b)</w:t>
      </w:r>
      <w:r>
        <w:tab/>
        <w:t>all of which —</w:t>
      </w:r>
    </w:p>
    <w:p>
      <w:pPr>
        <w:pStyle w:val="Defsubpara"/>
        <w:spacing w:before="90"/>
      </w:pPr>
      <w:r>
        <w:tab/>
        <w:t>(i)</w:t>
      </w:r>
      <w:r>
        <w:tab/>
        <w:t>have, or upon being leased would have, a common head lessor; or</w:t>
      </w:r>
    </w:p>
    <w:p>
      <w:pPr>
        <w:pStyle w:val="Defsubpara"/>
        <w:spacing w:before="90"/>
      </w:pPr>
      <w:r>
        <w:tab/>
        <w:t>(ii)</w:t>
      </w:r>
      <w:r>
        <w:tab/>
        <w:t xml:space="preserve">comprise lots on a single strata plan under the </w:t>
      </w:r>
      <w:r>
        <w:rPr>
          <w:i/>
          <w:iCs/>
        </w:rPr>
        <w:t>Strata Titles Act 1985</w:t>
      </w:r>
      <w:r>
        <w:t>,</w:t>
      </w:r>
    </w:p>
    <w:p>
      <w:pPr>
        <w:pStyle w:val="Defstart"/>
        <w:spacing w:before="90"/>
      </w:pPr>
      <w:r>
        <w:tab/>
        <w:t>but, if the premises are in a building with 2 or more floor levels, includes only those levels of the building where a retail business is situated;</w:t>
      </w:r>
    </w:p>
    <w:p>
      <w:pPr>
        <w:pStyle w:val="Defstart"/>
        <w:spacing w:before="90"/>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spacing w:before="90"/>
      </w:pPr>
      <w:r>
        <w:rPr>
          <w:b/>
        </w:rPr>
        <w:tab/>
      </w:r>
      <w:r>
        <w:rPr>
          <w:rStyle w:val="CharDefText"/>
        </w:rPr>
        <w:t>specified business</w:t>
      </w:r>
      <w:r>
        <w:t xml:space="preserve"> means a business of a kind prescribed by the regulations to be a specified business;</w:t>
      </w:r>
    </w:p>
    <w:p>
      <w:pPr>
        <w:pStyle w:val="Defstart"/>
        <w:spacing w:before="90"/>
      </w:pPr>
      <w:r>
        <w:rPr>
          <w:b/>
        </w:rPr>
        <w:tab/>
      </w:r>
      <w:r>
        <w:rPr>
          <w:rStyle w:val="CharDefText"/>
        </w:rPr>
        <w:t>tenant</w:t>
      </w:r>
      <w:r>
        <w:t>, in relation to a lease, means the person who, under the lease, is or would be entitled to occupy the premises the subject of the lease;</w:t>
      </w:r>
    </w:p>
    <w:p>
      <w:pPr>
        <w:pStyle w:val="Defstart"/>
        <w:spacing w:before="90"/>
      </w:pPr>
      <w:r>
        <w:rPr>
          <w:b/>
        </w:rPr>
        <w:tab/>
      </w:r>
      <w:r>
        <w:rPr>
          <w:rStyle w:val="CharDefText"/>
        </w:rPr>
        <w:t>Tribunal</w:t>
      </w:r>
      <w:r>
        <w:t xml:space="preserve"> means the State Administrative Tribunal;</w:t>
      </w:r>
    </w:p>
    <w:p>
      <w:pPr>
        <w:pStyle w:val="Defstart"/>
        <w:spacing w:before="90"/>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A reference in this Act to a question arising under a retail shop lease includes a reference to —</w:t>
      </w:r>
    </w:p>
    <w:p>
      <w:pPr>
        <w:pStyle w:val="Indenta"/>
        <w:spacing w:before="60"/>
        <w:rPr>
          <w:snapToGrid w:val="0"/>
        </w:rPr>
      </w:pPr>
      <w:r>
        <w:rPr>
          <w:snapToGrid w:val="0"/>
        </w:rPr>
        <w:tab/>
        <w:t>(a)</w:t>
      </w:r>
      <w:r>
        <w:rPr>
          <w:snapToGrid w:val="0"/>
        </w:rPr>
        <w:tab/>
        <w:t>a question whether or not a lease exists or has</w:t>
      </w:r>
      <w:r>
        <w:t xml:space="preserve"> existed, including a question as to forfeiture; or</w:t>
      </w:r>
    </w:p>
    <w:p>
      <w:pPr>
        <w:pStyle w:val="Indenta"/>
        <w:spacing w:before="60"/>
        <w:rPr>
          <w:snapToGrid w:val="0"/>
        </w:rPr>
      </w:pPr>
      <w:r>
        <w:rPr>
          <w:snapToGrid w:val="0"/>
        </w:rPr>
        <w:tab/>
        <w:t>(b)</w:t>
      </w:r>
      <w:r>
        <w:rPr>
          <w:snapToGrid w:val="0"/>
        </w:rPr>
        <w:tab/>
        <w:t>a question whether or not a lease is or was a retail shop lease; or</w:t>
      </w:r>
    </w:p>
    <w:p>
      <w:pPr>
        <w:pStyle w:val="Indenta"/>
        <w:spacing w:before="60"/>
        <w:rPr>
          <w:snapToGrid w:val="0"/>
        </w:rPr>
      </w:pPr>
      <w:r>
        <w:rPr>
          <w:snapToGrid w:val="0"/>
        </w:rPr>
        <w:tab/>
        <w:t>(c)</w:t>
      </w:r>
      <w:r>
        <w:rPr>
          <w:snapToGrid w:val="0"/>
        </w:rPr>
        <w:tab/>
        <w:t>a question arising —</w:t>
      </w:r>
    </w:p>
    <w:p>
      <w:pPr>
        <w:pStyle w:val="Indenti"/>
        <w:spacing w:before="60"/>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spacing w:before="60"/>
        <w:rPr>
          <w:snapToGrid w:val="0"/>
        </w:rPr>
      </w:pPr>
      <w:r>
        <w:rPr>
          <w:snapToGrid w:val="0"/>
        </w:rPr>
        <w:tab/>
        <w:t>(ii)</w:t>
      </w:r>
      <w:r>
        <w:rPr>
          <w:snapToGrid w:val="0"/>
        </w:rPr>
        <w:tab/>
        <w:t>in relation to the retail shop lease under a provision of this Act;</w:t>
      </w:r>
    </w:p>
    <w:p>
      <w:pPr>
        <w:pStyle w:val="Indenta"/>
        <w:keepNext/>
        <w:spacing w:before="60"/>
        <w:rPr>
          <w:snapToGrid w:val="0"/>
        </w:rPr>
      </w:pPr>
      <w:r>
        <w:rPr>
          <w:snapToGrid w:val="0"/>
        </w:rPr>
        <w:tab/>
      </w:r>
      <w:r>
        <w:rPr>
          <w:snapToGrid w:val="0"/>
        </w:rPr>
        <w:tab/>
        <w:t>or</w:t>
      </w:r>
    </w:p>
    <w:p>
      <w:pPr>
        <w:pStyle w:val="Indenta"/>
        <w:keepNext/>
        <w:spacing w:before="60"/>
        <w:rPr>
          <w:snapToGrid w:val="0"/>
        </w:rPr>
      </w:pPr>
      <w:r>
        <w:rPr>
          <w:snapToGrid w:val="0"/>
        </w:rPr>
        <w:tab/>
        <w:t>(d)</w:t>
      </w:r>
      <w:r>
        <w:rPr>
          <w:snapToGrid w:val="0"/>
        </w:rPr>
        <w:tab/>
        <w:t>a matter that is in dispute between the landlord and the tenant under section 12 in relation to —</w:t>
      </w:r>
    </w:p>
    <w:p>
      <w:pPr>
        <w:pStyle w:val="Indenti"/>
        <w:spacing w:before="60"/>
        <w:rPr>
          <w:snapToGrid w:val="0"/>
        </w:rPr>
      </w:pPr>
      <w:r>
        <w:rPr>
          <w:snapToGrid w:val="0"/>
        </w:rPr>
        <w:tab/>
        <w:t>(i)</w:t>
      </w:r>
      <w:r>
        <w:rPr>
          <w:snapToGrid w:val="0"/>
        </w:rPr>
        <w:tab/>
        <w:t>operating expenses of the landlord under the retail shop lease generally; or</w:t>
      </w:r>
    </w:p>
    <w:p>
      <w:pPr>
        <w:pStyle w:val="Indenti"/>
        <w:spacing w:before="60"/>
        <w:rPr>
          <w:snapToGrid w:val="0"/>
        </w:rPr>
      </w:pPr>
      <w:r>
        <w:rPr>
          <w:snapToGrid w:val="0"/>
        </w:rPr>
        <w:tab/>
        <w:t>(ii)</w:t>
      </w:r>
      <w:r>
        <w:rPr>
          <w:snapToGrid w:val="0"/>
        </w:rPr>
        <w:tab/>
        <w:t>an allocation made under section 12(1)(b) of the proportion of those operating expenses; or</w:t>
      </w:r>
    </w:p>
    <w:p>
      <w:pPr>
        <w:pStyle w:val="Indenti"/>
        <w:spacing w:before="60"/>
        <w:rPr>
          <w:snapToGrid w:val="0"/>
        </w:rPr>
      </w:pPr>
      <w:r>
        <w:rPr>
          <w:snapToGrid w:val="0"/>
        </w:rPr>
        <w:tab/>
        <w:t>(iii)</w:t>
      </w:r>
      <w:r>
        <w:rPr>
          <w:snapToGrid w:val="0"/>
        </w:rPr>
        <w:tab/>
        <w:t>a determination of the relevant proportion for the purposes of section 12;</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rPr>
          <w:snapToGrid w:val="0"/>
        </w:rPr>
      </w:pPr>
      <w:r>
        <w:rPr>
          <w:snapToGrid w:val="0"/>
        </w:rPr>
        <w:tab/>
        <w:t>(4)</w:t>
      </w:r>
      <w:r>
        <w:rPr>
          <w:snapToGrid w:val="0"/>
        </w:rPr>
        <w:tab/>
        <w:t>For the purposes of this Act a retail shop lease is entered into when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 3; No. 48 of 1990 s. 4; No. 56 of 1997 s. 24; No. 66 of 1998 s. 4; No. 10 of 2001 s. 38; No. 55 of 2004 s. 117; No. 47 of 2006 s. 21; No. 20 of 2011 s. 30; No. 59 of 2011 s. 5; No. 17 of 2014 s. 14.]</w:t>
      </w:r>
    </w:p>
    <w:p>
      <w:pPr>
        <w:pStyle w:val="Heading5"/>
        <w:spacing w:before="280"/>
        <w:rPr>
          <w:snapToGrid w:val="0"/>
        </w:rPr>
      </w:pPr>
      <w:bookmarkStart w:id="5" w:name="_Toc401152126"/>
      <w:r>
        <w:rPr>
          <w:rStyle w:val="CharSectno"/>
        </w:rPr>
        <w:t>4</w:t>
      </w:r>
      <w:r>
        <w:rPr>
          <w:snapToGrid w:val="0"/>
        </w:rPr>
        <w:t>.</w:t>
      </w:r>
      <w:r>
        <w:rPr>
          <w:snapToGrid w:val="0"/>
        </w:rPr>
        <w:tab/>
        <w:t>Application of Act</w:t>
      </w:r>
      <w:bookmarkEnd w:id="5"/>
    </w:p>
    <w:p>
      <w:pPr>
        <w:pStyle w:val="Subsection"/>
        <w:spacing w:before="180"/>
        <w:rPr>
          <w:snapToGrid w:val="0"/>
        </w:rPr>
      </w:pPr>
      <w:r>
        <w:rPr>
          <w:snapToGrid w:val="0"/>
        </w:rPr>
        <w:tab/>
        <w:t>(1)</w:t>
      </w:r>
      <w:r>
        <w:rPr>
          <w:snapToGrid w:val="0"/>
        </w:rPr>
        <w:tab/>
        <w:t>Subject to subsection (2), this Act does not apply to or in relation to a retail shop lease that was entered into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spacing w:before="180"/>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spacing w:before="180"/>
        <w:rPr>
          <w:snapToGrid w:val="0"/>
        </w:rPr>
      </w:pPr>
      <w:r>
        <w:rPr>
          <w:snapToGrid w:val="0"/>
        </w:rPr>
        <w:tab/>
        <w:t>(3)</w:t>
      </w:r>
      <w:r>
        <w:rPr>
          <w:snapToGrid w:val="0"/>
        </w:rPr>
        <w:tab/>
        <w:t xml:space="preserve">In this section </w:t>
      </w:r>
      <w:r>
        <w:t xml:space="preserve">the </w:t>
      </w:r>
      <w:r>
        <w:rPr>
          <w:rStyle w:val="CharDefText"/>
        </w:rPr>
        <w:t>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Subsection"/>
        <w:spacing w:before="180"/>
      </w:pPr>
      <w:r>
        <w:tab/>
        <w:t>(4)</w:t>
      </w:r>
      <w:r>
        <w:tab/>
        <w:t>Regulations may be made exempting from all or any of the provisions of this Act —</w:t>
      </w:r>
    </w:p>
    <w:p>
      <w:pPr>
        <w:pStyle w:val="Indenta"/>
      </w:pPr>
      <w:r>
        <w:tab/>
        <w:t>(a)</w:t>
      </w:r>
      <w:r>
        <w:tab/>
        <w:t>a prescribed person, retail shop lease or retail shop; or</w:t>
      </w:r>
    </w:p>
    <w:p>
      <w:pPr>
        <w:pStyle w:val="Indenta"/>
      </w:pPr>
      <w:r>
        <w:tab/>
        <w:t>(b)</w:t>
      </w:r>
      <w:r>
        <w:tab/>
        <w:t>a prescribed class of persons, retail shop leases or retail shops.</w:t>
      </w:r>
    </w:p>
    <w:p>
      <w:pPr>
        <w:pStyle w:val="Subsection"/>
        <w:keepNext/>
      </w:pPr>
      <w:r>
        <w:tab/>
        <w:t>(5)</w:t>
      </w:r>
      <w:r>
        <w:tab/>
        <w:t>The regulations may provide for conditions and restrictions subject to which an exemption is to apply.</w:t>
      </w:r>
    </w:p>
    <w:p>
      <w:pPr>
        <w:pStyle w:val="Footnotesection"/>
      </w:pPr>
      <w:r>
        <w:tab/>
        <w:t>[Section 4 amended by No. 55 of 2004 s. 118; No. 59 of 2011 s. 6.]</w:t>
      </w:r>
    </w:p>
    <w:p>
      <w:pPr>
        <w:pStyle w:val="Heading5"/>
        <w:rPr>
          <w:snapToGrid w:val="0"/>
        </w:rPr>
      </w:pPr>
      <w:bookmarkStart w:id="6" w:name="_Toc401152127"/>
      <w:r>
        <w:rPr>
          <w:rStyle w:val="CharSectno"/>
        </w:rPr>
        <w:t>5</w:t>
      </w:r>
      <w:r>
        <w:rPr>
          <w:snapToGrid w:val="0"/>
        </w:rPr>
        <w:t>.</w:t>
      </w:r>
      <w:r>
        <w:rPr>
          <w:snapToGrid w:val="0"/>
        </w:rPr>
        <w:tab/>
        <w:t>Crown bound</w:t>
      </w:r>
      <w:bookmarkEnd w:id="6"/>
    </w:p>
    <w:p>
      <w:pPr>
        <w:pStyle w:val="Subsection"/>
        <w:rPr>
          <w:snapToGrid w:val="0"/>
        </w:rPr>
      </w:pPr>
      <w:r>
        <w:rPr>
          <w:snapToGrid w:val="0"/>
        </w:rPr>
        <w:tab/>
      </w:r>
      <w:r>
        <w:rPr>
          <w:snapToGrid w:val="0"/>
        </w:rPr>
        <w:tab/>
        <w:t>This Act binds the Crown.</w:t>
      </w:r>
    </w:p>
    <w:p>
      <w:pPr>
        <w:pStyle w:val="Heading2"/>
      </w:pPr>
      <w:bookmarkStart w:id="7" w:name="_Toc401152128"/>
      <w:r>
        <w:rPr>
          <w:rStyle w:val="CharPartNo"/>
        </w:rPr>
        <w:t>Part II</w:t>
      </w:r>
      <w:r>
        <w:rPr>
          <w:rStyle w:val="CharDivNo"/>
        </w:rPr>
        <w:t> </w:t>
      </w:r>
      <w:r>
        <w:t>—</w:t>
      </w:r>
      <w:r>
        <w:rPr>
          <w:rStyle w:val="CharDivText"/>
        </w:rPr>
        <w:t> </w:t>
      </w:r>
      <w:r>
        <w:rPr>
          <w:rStyle w:val="CharPartText"/>
        </w:rPr>
        <w:t>Retail shop leases</w:t>
      </w:r>
      <w:bookmarkEnd w:id="7"/>
    </w:p>
    <w:p>
      <w:pPr>
        <w:pStyle w:val="Heading5"/>
        <w:rPr>
          <w:snapToGrid w:val="0"/>
        </w:rPr>
      </w:pPr>
      <w:bookmarkStart w:id="8" w:name="_Toc401152129"/>
      <w:r>
        <w:rPr>
          <w:rStyle w:val="CharSectno"/>
        </w:rPr>
        <w:t>6</w:t>
      </w:r>
      <w:r>
        <w:rPr>
          <w:snapToGrid w:val="0"/>
        </w:rPr>
        <w:t>.</w:t>
      </w:r>
      <w:r>
        <w:rPr>
          <w:snapToGrid w:val="0"/>
        </w:rPr>
        <w:tab/>
        <w:t>Disclosure statement, tenant’s rights if not given by landlord etc.</w:t>
      </w:r>
      <w:bookmarkEnd w:id="8"/>
    </w:p>
    <w:p>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w:t>
      </w:r>
    </w:p>
    <w:p>
      <w:pPr>
        <w:pStyle w:val="Indenta"/>
        <w:spacing w:before="70"/>
      </w:pPr>
      <w:r>
        <w:tab/>
        <w:t>(a)</w:t>
      </w:r>
      <w:r>
        <w:tab/>
        <w:t>within 6 months after the lease was entered into give to the landlord written notice of termination of the lease, unless subsection (3) prevents termination;</w:t>
      </w:r>
    </w:p>
    <w:p>
      <w:pPr>
        <w:pStyle w:val="Indenta"/>
        <w:spacing w:before="70"/>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pPr>
        <w:pStyle w:val="Indenti"/>
        <w:spacing w:before="70"/>
      </w:pPr>
      <w:r>
        <w:tab/>
        <w:t>(i)</w:t>
      </w:r>
      <w:r>
        <w:tab/>
        <w:t>the omission of the landlord to give a disclosure statement in accordance with subsection (4); or</w:t>
      </w:r>
    </w:p>
    <w:p>
      <w:pPr>
        <w:pStyle w:val="Indenti"/>
        <w:spacing w:before="70"/>
      </w:pPr>
      <w:r>
        <w:tab/>
        <w:t>(ii)</w:t>
      </w:r>
      <w:r>
        <w:tab/>
        <w:t>the giving of an incomplete disclosure statement by the landlord; or</w:t>
      </w:r>
    </w:p>
    <w:p>
      <w:pPr>
        <w:pStyle w:val="Indenti"/>
        <w:spacing w:before="70"/>
      </w:pPr>
      <w:r>
        <w:tab/>
        <w:t>(iii)</w:t>
      </w:r>
      <w:r>
        <w:tab/>
        <w:t>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Subsection"/>
      </w:pPr>
      <w:r>
        <w:tab/>
        <w:t>(3)</w:t>
      </w:r>
      <w:r>
        <w:tab/>
        <w:t>A tenant cannot terminate a lease under this section on the ground that the tenant has been given a disclosure statement that is incomplete or contains false or misleading information if —</w:t>
      </w:r>
    </w:p>
    <w:p>
      <w:pPr>
        <w:pStyle w:val="Indenta"/>
        <w:spacing w:before="70"/>
      </w:pPr>
      <w:r>
        <w:tab/>
        <w:t>(a)</w:t>
      </w:r>
      <w:r>
        <w:tab/>
        <w:t>the landlord has acted honestly and reasonably and ought reasonably to be excused for the failure concerned; and</w:t>
      </w:r>
    </w:p>
    <w:p>
      <w:pPr>
        <w:pStyle w:val="Indenta"/>
        <w:spacing w:before="70"/>
      </w:pPr>
      <w:r>
        <w:tab/>
        <w:t>(b)</w:t>
      </w:r>
      <w:r>
        <w:tab/>
        <w:t>the tenant is in substantially as good a position as the tenant would have been if the statement had been complete or had not contained the false or misleading information.</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t xml:space="preserve">the </w:t>
      </w:r>
      <w:r>
        <w:rPr>
          <w:rStyle w:val="CharDefText"/>
        </w:rPr>
        <w:t>outgoing tenant</w:t>
      </w:r>
      <w:r>
        <w:rPr>
          <w:snapToGrid w:val="0"/>
        </w:rPr>
        <w:t xml:space="preserve">) assigns the lease to another person (in this subsection referred to as </w:t>
      </w:r>
      <w:r>
        <w:t xml:space="preserve">the </w:t>
      </w:r>
      <w:r>
        <w:rPr>
          <w:rStyle w:val="CharDefText"/>
        </w:rPr>
        <w:t>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[Section 6 amended by No. 48 of 1990 s. 5; No. 59 of 2011 s. 7.]</w:t>
      </w:r>
    </w:p>
    <w:p>
      <w:pPr>
        <w:pStyle w:val="Heading5"/>
      </w:pPr>
      <w:bookmarkStart w:id="9" w:name="_Toc401152130"/>
      <w:r>
        <w:rPr>
          <w:rStyle w:val="CharSectno"/>
        </w:rPr>
        <w:t>6A</w:t>
      </w:r>
      <w:r>
        <w:t>.</w:t>
      </w:r>
      <w:r>
        <w:tab/>
        <w:t>Tenant guide, tenant’s rights if not in lease etc.</w:t>
      </w:r>
      <w:bookmarkEnd w:id="9"/>
    </w:p>
    <w:p>
      <w:pPr>
        <w:pStyle w:val="Subsection"/>
      </w:pPr>
      <w:r>
        <w:tab/>
        <w:t>(1)</w:t>
      </w:r>
      <w:r>
        <w:tab/>
        <w:t>Where a retail shop lease is entered into and the retail shop lease does not incorporate a tenant guide in accordance with subsection (4), the tenant may, in addition to exercising any other right, do either or both of the following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the </w:t>
      </w:r>
      <w:r>
        <w:rPr>
          <w:rStyle w:val="CharDefText"/>
        </w:rPr>
        <w:t>outgoing tenant</w:t>
      </w:r>
      <w:r>
        <w:t xml:space="preserve">) assigns the lease to another person (in this subsection referred to as the </w:t>
      </w:r>
      <w:r>
        <w:rPr>
          <w:rStyle w:val="CharDefText"/>
        </w:rPr>
        <w:t>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The tenant guide is not required to be included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10" w:name="_Toc401152131"/>
      <w:r>
        <w:rPr>
          <w:rStyle w:val="CharSectno"/>
        </w:rPr>
        <w:t>7</w:t>
      </w:r>
      <w:r>
        <w:rPr>
          <w:snapToGrid w:val="0"/>
        </w:rPr>
        <w:t>.</w:t>
      </w:r>
      <w:r>
        <w:rPr>
          <w:snapToGrid w:val="0"/>
        </w:rPr>
        <w:tab/>
        <w:t>Rent based on turnover, provision for in lease is void in some cases</w:t>
      </w:r>
      <w:bookmarkEnd w:id="10"/>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w:t>
      </w:r>
    </w:p>
    <w:p>
      <w:pPr>
        <w:pStyle w:val="Indenta"/>
        <w:spacing w:before="70"/>
        <w:rPr>
          <w:snapToGrid w:val="0"/>
        </w:rPr>
      </w:pPr>
      <w:r>
        <w:rPr>
          <w:snapToGrid w:val="0"/>
        </w:rPr>
        <w:tab/>
        <w:t>(a)</w:t>
      </w:r>
      <w:r>
        <w:rPr>
          <w:snapToGrid w:val="0"/>
        </w:rPr>
        <w:tab/>
        <w:t>the nett amount of discounts reasonably and properly allowed to any customer in the usual course of business; and</w:t>
      </w:r>
    </w:p>
    <w:p>
      <w:pPr>
        <w:pStyle w:val="Indenta"/>
        <w:spacing w:before="70"/>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 and</w:t>
      </w:r>
    </w:p>
    <w:p>
      <w:pPr>
        <w:pStyle w:val="Indenta"/>
        <w:spacing w:before="70"/>
        <w:rPr>
          <w:snapToGrid w:val="0"/>
        </w:rPr>
      </w:pPr>
      <w:r>
        <w:rPr>
          <w:snapToGrid w:val="0"/>
        </w:rPr>
        <w:tab/>
        <w:t>(c)</w:t>
      </w:r>
      <w:r>
        <w:rPr>
          <w:snapToGrid w:val="0"/>
        </w:rPr>
        <w:tab/>
        <w:t>the amount of uncollected credit accounts written off by the tenant; and</w:t>
      </w:r>
    </w:p>
    <w:p>
      <w:pPr>
        <w:pStyle w:val="Indenta"/>
        <w:spacing w:before="70"/>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 and</w:t>
      </w:r>
    </w:p>
    <w:p>
      <w:pPr>
        <w:pStyle w:val="Indenta"/>
        <w:spacing w:before="70"/>
        <w:rPr>
          <w:snapToGrid w:val="0"/>
        </w:rPr>
      </w:pPr>
      <w:r>
        <w:rPr>
          <w:snapToGrid w:val="0"/>
        </w:rPr>
        <w:tab/>
        <w:t>(e)</w:t>
      </w:r>
      <w:r>
        <w:rPr>
          <w:snapToGrid w:val="0"/>
        </w:rPr>
        <w:tab/>
        <w:t>the amount of any instalment of purchase moneys refunded to customers where a lay</w:t>
      </w:r>
      <w:r>
        <w:rPr>
          <w:snapToGrid w:val="0"/>
        </w:rPr>
        <w:noBreakHyphen/>
        <w:t>by transaction is cancelled; and</w:t>
      </w:r>
    </w:p>
    <w:p>
      <w:pPr>
        <w:pStyle w:val="Indenta"/>
        <w:spacing w:before="70"/>
        <w:rPr>
          <w:snapToGrid w:val="0"/>
        </w:rPr>
      </w:pPr>
      <w:r>
        <w:rPr>
          <w:snapToGrid w:val="0"/>
        </w:rPr>
        <w:tab/>
        <w:t>(f)</w:t>
      </w:r>
      <w:r>
        <w:rPr>
          <w:snapToGrid w:val="0"/>
        </w:rPr>
        <w:tab/>
        <w:t>the amount of any purchase, receipt or other similar tax imposed upon the purchase price or cost of hire of merchandise or services at the point of sale or hire; and</w:t>
      </w:r>
    </w:p>
    <w:p>
      <w:pPr>
        <w:pStyle w:val="Indenta"/>
        <w:spacing w:before="70"/>
        <w:rPr>
          <w:snapToGrid w:val="0"/>
        </w:rPr>
      </w:pPr>
      <w:r>
        <w:rPr>
          <w:snapToGrid w:val="0"/>
        </w:rPr>
        <w:tab/>
        <w:t>(g)</w:t>
      </w:r>
      <w:r>
        <w:rPr>
          <w:snapToGrid w:val="0"/>
        </w:rPr>
        <w:tab/>
        <w:t>the amount of delivery charges; and</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 and</w:t>
      </w:r>
    </w:p>
    <w:p>
      <w:pPr>
        <w:pStyle w:val="Indenta"/>
        <w:rPr>
          <w:snapToGrid w:val="0"/>
        </w:rPr>
      </w:pPr>
      <w:r>
        <w:rPr>
          <w:snapToGrid w:val="0"/>
        </w:rPr>
        <w:tab/>
        <w:t>(i)</w:t>
      </w:r>
      <w:r>
        <w:rPr>
          <w:snapToGrid w:val="0"/>
        </w:rPr>
        <w:tab/>
        <w:t>the price of merchandise returned to shippers, wholesalers or manufacturers; and</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11" w:name="_Toc401152132"/>
      <w:r>
        <w:rPr>
          <w:rStyle w:val="CharSectno"/>
        </w:rPr>
        <w:t>8</w:t>
      </w:r>
      <w:r>
        <w:rPr>
          <w:snapToGrid w:val="0"/>
        </w:rPr>
        <w:t>.</w:t>
      </w:r>
      <w:r>
        <w:rPr>
          <w:snapToGrid w:val="0"/>
        </w:rPr>
        <w:tab/>
        <w:t>Turnover figures of tenant, provision in lease requiring is void in some cases</w:t>
      </w:r>
      <w:bookmarkEnd w:id="11"/>
    </w:p>
    <w:p>
      <w:pPr>
        <w:pStyle w:val="Subsection"/>
        <w:rPr>
          <w:snapToGrid w:val="0"/>
        </w:rPr>
      </w:pPr>
      <w:r>
        <w:rPr>
          <w:snapToGrid w:val="0"/>
        </w:rPr>
        <w:tab/>
        <w:t>(1)</w:t>
      </w:r>
      <w:r>
        <w:rPr>
          <w:snapToGrid w:val="0"/>
        </w:rPr>
        <w:tab/>
        <w:t>A provision in a retail shop lease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spacing w:before="100"/>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12" w:name="_Toc401152133"/>
      <w:r>
        <w:rPr>
          <w:rStyle w:val="CharSectno"/>
        </w:rPr>
        <w:t>9</w:t>
      </w:r>
      <w:r>
        <w:rPr>
          <w:snapToGrid w:val="0"/>
        </w:rPr>
        <w:t>.</w:t>
      </w:r>
      <w:r>
        <w:rPr>
          <w:snapToGrid w:val="0"/>
        </w:rPr>
        <w:tab/>
        <w:t>Key</w:t>
      </w:r>
      <w:r>
        <w:rPr>
          <w:snapToGrid w:val="0"/>
        </w:rPr>
        <w:noBreakHyphen/>
        <w:t>money or goodwill, provision for in lease is void in some cases</w:t>
      </w:r>
      <w:bookmarkEnd w:id="12"/>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 or</w:t>
      </w:r>
    </w:p>
    <w:p>
      <w:pPr>
        <w:pStyle w:val="Indenta"/>
        <w:spacing w:before="60"/>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spacing w:before="60"/>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spacing w:before="100"/>
        <w:ind w:left="890" w:hanging="890"/>
      </w:pPr>
      <w:r>
        <w:tab/>
        <w:t>[Section 9 amended by No. 48 of 1990 s. 6; No. 55 of 2004 s. 119.]</w:t>
      </w:r>
    </w:p>
    <w:p>
      <w:pPr>
        <w:pStyle w:val="Heading5"/>
        <w:rPr>
          <w:snapToGrid w:val="0"/>
        </w:rPr>
      </w:pPr>
      <w:bookmarkStart w:id="13" w:name="_Toc401152134"/>
      <w:r>
        <w:rPr>
          <w:rStyle w:val="CharSectno"/>
        </w:rPr>
        <w:t>10</w:t>
      </w:r>
      <w:r>
        <w:rPr>
          <w:snapToGrid w:val="0"/>
        </w:rPr>
        <w:t>.</w:t>
      </w:r>
      <w:r>
        <w:rPr>
          <w:snapToGrid w:val="0"/>
        </w:rPr>
        <w:tab/>
        <w:t>Tenant’s right to assign lease, landlord’s consent to assignment or sub-lease etc.</w:t>
      </w:r>
      <w:bookmarkEnd w:id="13"/>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w:t>
      </w:r>
    </w:p>
    <w:p>
      <w:pPr>
        <w:pStyle w:val="Indenta"/>
        <w:spacing w:before="60"/>
        <w:rPr>
          <w:snapToGrid w:val="0"/>
        </w:rPr>
      </w:pPr>
      <w:r>
        <w:rPr>
          <w:snapToGrid w:val="0"/>
        </w:rPr>
        <w:tab/>
        <w:t>(a)</w:t>
      </w:r>
      <w:r>
        <w:rPr>
          <w:snapToGrid w:val="0"/>
        </w:rPr>
        <w:tab/>
        <w:t>an assignment of the lease; or</w:t>
      </w:r>
    </w:p>
    <w:p>
      <w:pPr>
        <w:pStyle w:val="Indenta"/>
        <w:spacing w:before="60"/>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spacing w:before="120"/>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In this section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spacing w:before="100"/>
        <w:ind w:left="890" w:hanging="890"/>
      </w:pPr>
      <w:r>
        <w:tab/>
        <w:t>[Section 10 inserted by No. 48 of 1990 s. 7; amended by No. 66 of 1998 s. 6.]</w:t>
      </w:r>
    </w:p>
    <w:p>
      <w:pPr>
        <w:pStyle w:val="Heading5"/>
        <w:rPr>
          <w:snapToGrid w:val="0"/>
        </w:rPr>
      </w:pPr>
      <w:bookmarkStart w:id="14" w:name="_Toc401152135"/>
      <w:r>
        <w:rPr>
          <w:rStyle w:val="CharSectno"/>
        </w:rPr>
        <w:t>11</w:t>
      </w:r>
      <w:r>
        <w:rPr>
          <w:snapToGrid w:val="0"/>
        </w:rPr>
        <w:t>.</w:t>
      </w:r>
      <w:r>
        <w:rPr>
          <w:snapToGrid w:val="0"/>
        </w:rPr>
        <w:tab/>
        <w:t>Rent review, provisions for in lease and conduct of etc.</w:t>
      </w:r>
      <w:bookmarkEnd w:id="14"/>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If a retail shop lease provides for the review during the currency of the retail shop lease of the amount of rent payable under the retail shop lease having regard to the market rent of the retail shop concerned —</w:t>
      </w:r>
    </w:p>
    <w:p>
      <w:pPr>
        <w:pStyle w:val="Indenta"/>
        <w:spacing w:before="60"/>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 and is not to take into account the value of —</w:t>
      </w:r>
    </w:p>
    <w:p>
      <w:pPr>
        <w:pStyle w:val="Indenti"/>
      </w:pPr>
      <w:r>
        <w:tab/>
        <w:t>(i)</w:t>
      </w:r>
      <w:r>
        <w:tab/>
        <w:t>the goodwill of the business carried on in the retail shop; or</w:t>
      </w:r>
    </w:p>
    <w:p>
      <w:pPr>
        <w:pStyle w:val="Indenti"/>
      </w:pPr>
      <w:r>
        <w:tab/>
        <w:t>(ii)</w:t>
      </w:r>
      <w:r>
        <w:tab/>
        <w:t>any stock, fixtures or fittings in the retail shop that are not the property of the landlord; or</w:t>
      </w:r>
    </w:p>
    <w:p>
      <w:pPr>
        <w:pStyle w:val="Indenti"/>
      </w:pPr>
      <w:r>
        <w:tab/>
        <w:t>(iii)</w:t>
      </w:r>
      <w:r>
        <w:tab/>
        <w:t>any structural improvement, or alteration, of the retail shop carried out, or paid for, by the current tenant;</w:t>
      </w:r>
    </w:p>
    <w:p>
      <w:pPr>
        <w:pStyle w:val="Indenta"/>
      </w:pPr>
      <w:r>
        <w:tab/>
      </w:r>
      <w:r>
        <w:tab/>
        <w:t>and</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pPr>
      <w:r>
        <w:tab/>
        <w:t>(3B)</w:t>
      </w:r>
      <w:r>
        <w:tab/>
        <w:t>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w:t>
      </w:r>
    </w:p>
    <w:p>
      <w:pPr>
        <w:pStyle w:val="Indenta"/>
      </w:pPr>
      <w:r>
        <w:tab/>
        <w:t>(a)</w:t>
      </w:r>
      <w:r>
        <w:tab/>
        <w:t>current rental for each lease;</w:t>
      </w:r>
    </w:p>
    <w:p>
      <w:pPr>
        <w:pStyle w:val="Indenta"/>
      </w:pPr>
      <w:r>
        <w:tab/>
        <w:t>(b)</w:t>
      </w:r>
      <w:r>
        <w:tab/>
        <w:t>rent free periods or any other form of incentive;</w:t>
      </w:r>
    </w:p>
    <w:p>
      <w:pPr>
        <w:pStyle w:val="Indenta"/>
      </w:pPr>
      <w:r>
        <w:tab/>
        <w:t>(c)</w:t>
      </w:r>
      <w:r>
        <w:tab/>
        <w:t>recent or proposed variations of any lease;</w:t>
      </w:r>
    </w:p>
    <w:p>
      <w:pPr>
        <w:pStyle w:val="Indenta"/>
      </w:pPr>
      <w:r>
        <w:tab/>
        <w:t>(d)</w:t>
      </w:r>
      <w:r>
        <w:tab/>
        <w:t>outgoings for each lease;</w:t>
      </w:r>
    </w:p>
    <w:p>
      <w:pPr>
        <w:pStyle w:val="Indenta"/>
      </w:pPr>
      <w:r>
        <w:tab/>
        <w:t>(e)</w:t>
      </w:r>
      <w:r>
        <w:tab/>
        <w:t>any other information prescribed for the purposes of this paragraph.</w:t>
      </w:r>
    </w:p>
    <w:p>
      <w:pPr>
        <w:pStyle w:val="Subsection"/>
      </w:pPr>
      <w:r>
        <w:tab/>
        <w:t>(3C)</w:t>
      </w:r>
      <w:r>
        <w:tab/>
        <w:t>If a landlord fails to comply with a request made under subsection (3B) without reasonable excuse —</w:t>
      </w:r>
    </w:p>
    <w:p>
      <w:pPr>
        <w:pStyle w:val="Indenta"/>
      </w:pPr>
      <w:r>
        <w:tab/>
        <w:t>(a)</w:t>
      </w:r>
      <w:r>
        <w:tab/>
        <w:t>the person who made the request must, within 7 days after the landlord has failed to comply with the request, give to the tenant written notice of the landlord’s failure; and</w:t>
      </w:r>
    </w:p>
    <w:p>
      <w:pPr>
        <w:pStyle w:val="Indenta"/>
      </w:pPr>
      <w:r>
        <w:tab/>
        <w:t>(b)</w:t>
      </w:r>
      <w:r>
        <w:tab/>
        <w:t>the tenant may apply in writing to the Tribunal for an order that the landlord comply with a request made under subsection (3B) to supply the information requested.</w:t>
      </w:r>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[Section 11 amended by No. 48 of 1990 s. 8; No. 66 of 1998 s. 7; No. 55 of 2004 s. 120; No. 20 of 2011 s. 31; No. 59 of 2011 s. 8.]</w:t>
      </w:r>
    </w:p>
    <w:p>
      <w:pPr>
        <w:pStyle w:val="Heading5"/>
      </w:pPr>
      <w:bookmarkStart w:id="15" w:name="_Toc401152136"/>
      <w:r>
        <w:rPr>
          <w:rStyle w:val="CharSectno"/>
        </w:rPr>
        <w:t>11A</w:t>
      </w:r>
      <w:r>
        <w:t>.</w:t>
      </w:r>
      <w:r>
        <w:tab/>
        <w:t>Information given under s. 11, restrictions on disclosing</w:t>
      </w:r>
      <w:bookmarkEnd w:id="15"/>
    </w:p>
    <w:p>
      <w:pPr>
        <w:pStyle w:val="Subsection"/>
      </w:pPr>
      <w:r>
        <w:tab/>
        <w:t>(1)</w:t>
      </w:r>
      <w:r>
        <w:tab/>
        <w:t>A person given information by a landlord under section 11(3B) must not disclose that information to any other person unless the disclosure is made —</w:t>
      </w:r>
    </w:p>
    <w:p>
      <w:pPr>
        <w:pStyle w:val="Indenta"/>
      </w:pPr>
      <w:r>
        <w:tab/>
        <w:t>(a)</w:t>
      </w:r>
      <w:r>
        <w:tab/>
        <w:t>for the purpose of, or in connection with, determining the rent payable as a result of the review; or</w:t>
      </w:r>
    </w:p>
    <w:p>
      <w:pPr>
        <w:pStyle w:val="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Indenta"/>
      </w:pPr>
      <w:r>
        <w:tab/>
        <w:t>(c)</w:t>
      </w:r>
      <w:r>
        <w:tab/>
        <w:t>with the consent of both the tenant and the landlord of the relevant retail shop; or</w:t>
      </w:r>
    </w:p>
    <w:p>
      <w:pPr>
        <w:pStyle w:val="Indenta"/>
      </w:pPr>
      <w:r>
        <w:tab/>
        <w:t>(d)</w:t>
      </w:r>
      <w:r>
        <w:tab/>
        <w:t>for the purposes of any legal proceedings arising out of this Act or of any report of any such proceedings; or</w:t>
      </w:r>
    </w:p>
    <w:p>
      <w:pPr>
        <w:pStyle w:val="Indenta"/>
      </w:pPr>
      <w:r>
        <w:tab/>
        <w:t>(e)</w:t>
      </w:r>
      <w:r>
        <w:tab/>
        <w:t>as required or permitted under this Act or any other law; or</w:t>
      </w:r>
    </w:p>
    <w:p>
      <w:pPr>
        <w:pStyle w:val="Indenta"/>
      </w:pPr>
      <w:r>
        <w:tab/>
        <w:t>(f)</w:t>
      </w:r>
      <w:r>
        <w:tab/>
        <w:t>with any other lawful excuse.</w:t>
      </w:r>
    </w:p>
    <w:p>
      <w:pPr>
        <w:pStyle w:val="Subsection"/>
      </w:pPr>
      <w:r>
        <w:tab/>
        <w:t>(2)</w:t>
      </w:r>
      <w:r>
        <w:tab/>
        <w:t>Subsection (1) does not prevent a person from disclosing information that is publicly available at the time the disclosure concerned was made.</w:t>
      </w:r>
    </w:p>
    <w:p>
      <w:pPr>
        <w:pStyle w:val="Subsection"/>
      </w:pPr>
      <w:r>
        <w:tab/>
        <w:t>(3)</w:t>
      </w:r>
      <w:r>
        <w:tab/>
        <w:t>If a person discloses information in contravention of subsection (1) and the tenant or landlord suffers loss or damage because of the disclosure, the tenant or landlord is entitled to be paid by the person who made the disclosure compensation for the loss or damage —</w:t>
      </w:r>
    </w:p>
    <w:p>
      <w:pPr>
        <w:pStyle w:val="Indenta"/>
      </w:pPr>
      <w:r>
        <w:tab/>
        <w:t>(a)</w:t>
      </w:r>
      <w:r>
        <w:tab/>
        <w:t>of such reasonable amount as is agreed between the person and the tenant or landlord; or</w:t>
      </w:r>
    </w:p>
    <w:p>
      <w:pPr>
        <w:pStyle w:val="Indenta"/>
      </w:pPr>
      <w:r>
        <w:tab/>
        <w:t>(b)</w:t>
      </w:r>
      <w:r>
        <w:tab/>
        <w:t>failing agreement, as may be determined by the Tribunal on the application of the tenant or landlord.</w:t>
      </w:r>
    </w:p>
    <w:p>
      <w:pPr>
        <w:pStyle w:val="Footnotesection"/>
      </w:pPr>
      <w:r>
        <w:tab/>
        <w:t>[Section 11A inserted by No. 59 of 2011 s. 9.]</w:t>
      </w:r>
    </w:p>
    <w:p>
      <w:pPr>
        <w:pStyle w:val="Heading5"/>
        <w:rPr>
          <w:snapToGrid w:val="0"/>
        </w:rPr>
      </w:pPr>
      <w:bookmarkStart w:id="16" w:name="_Toc401152137"/>
      <w:r>
        <w:rPr>
          <w:rStyle w:val="CharSectno"/>
        </w:rPr>
        <w:t>12</w:t>
      </w:r>
      <w:r>
        <w:rPr>
          <w:snapToGrid w:val="0"/>
        </w:rPr>
        <w:t>.</w:t>
      </w:r>
      <w:r>
        <w:rPr>
          <w:snapToGrid w:val="0"/>
        </w:rPr>
        <w:tab/>
        <w:t>Landlord’s operating expenses etc., effect of provisions in lease for payment by tenant of</w:t>
      </w:r>
      <w:bookmarkEnd w:id="16"/>
    </w:p>
    <w:p>
      <w:pPr>
        <w:pStyle w:val="Subsection"/>
        <w:rPr>
          <w:snapToGrid w:val="0"/>
        </w:rPr>
      </w:pPr>
      <w:r>
        <w:rPr>
          <w:snapToGrid w:val="0"/>
        </w:rPr>
        <w:tab/>
        <w:t>(1)</w:t>
      </w:r>
      <w:r>
        <w:rPr>
          <w:snapToGrid w:val="0"/>
        </w:rPr>
        <w:tab/>
        <w:t>If provision is made in a retail shop lease for payment by the tenant, in addition to rent, of all or any of the operating expenses of the landlord —</w:t>
      </w:r>
    </w:p>
    <w:p>
      <w:pPr>
        <w:pStyle w:val="Indenta"/>
        <w:rPr>
          <w:snapToGrid w:val="0"/>
        </w:rPr>
      </w:pPr>
      <w:r>
        <w:rPr>
          <w:snapToGrid w:val="0"/>
        </w:rPr>
        <w:tab/>
        <w:t>(a)</w:t>
      </w:r>
      <w:r>
        <w:rPr>
          <w:snapToGrid w:val="0"/>
        </w:rPr>
        <w:tab/>
        <w:t>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w:t>
      </w:r>
    </w:p>
    <w:p>
      <w:pPr>
        <w:pStyle w:val="Indenti"/>
        <w:spacing w:before="60"/>
        <w:rPr>
          <w:snapToGrid w:val="0"/>
        </w:rPr>
      </w:pPr>
      <w:r>
        <w:rPr>
          <w:snapToGrid w:val="0"/>
        </w:rPr>
        <w:tab/>
        <w:t>(i)</w:t>
      </w:r>
      <w:r>
        <w:rPr>
          <w:snapToGrid w:val="0"/>
        </w:rPr>
        <w:tab/>
        <w:t>how that amount is to be determined and, when applicable, apportioned to the tenant; and</w:t>
      </w:r>
    </w:p>
    <w:p>
      <w:pPr>
        <w:pStyle w:val="Indenti"/>
        <w:spacing w:before="60"/>
        <w:rPr>
          <w:snapToGrid w:val="0"/>
        </w:rPr>
      </w:pPr>
      <w:r>
        <w:rPr>
          <w:snapToGrid w:val="0"/>
        </w:rPr>
        <w:tab/>
        <w:t>(ii)</w:t>
      </w:r>
      <w:r>
        <w:rPr>
          <w:snapToGrid w:val="0"/>
        </w:rPr>
        <w:tab/>
        <w:t>how and when that amount is to be paid by the tenant;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 and</w:t>
      </w:r>
    </w:p>
    <w:p>
      <w:pPr>
        <w:pStyle w:val="Indenta"/>
        <w:spacing w:before="60"/>
        <w:rPr>
          <w:snapToGrid w:val="0"/>
        </w:rPr>
      </w:pPr>
      <w:r>
        <w:rPr>
          <w:snapToGrid w:val="0"/>
        </w:rPr>
        <w:tab/>
        <w:t>(c)</w:t>
      </w:r>
      <w:r>
        <w:rPr>
          <w:snapToGrid w:val="0"/>
        </w:rPr>
        <w:tab/>
        <w:t>where —</w:t>
      </w:r>
    </w:p>
    <w:p>
      <w:pPr>
        <w:pStyle w:val="Indenti"/>
        <w:spacing w:before="60"/>
        <w:rPr>
          <w:snapToGrid w:val="0"/>
        </w:rPr>
      </w:pPr>
      <w:r>
        <w:tab/>
        <w:t>(i)</w:t>
      </w:r>
      <w:r>
        <w:tab/>
      </w:r>
      <w:r>
        <w:rPr>
          <w:snapToGrid w:val="0"/>
        </w:rPr>
        <w:t>the premises the subject of the retail shop lease are part of a group of premises; and</w:t>
      </w:r>
    </w:p>
    <w:p>
      <w:pPr>
        <w:pStyle w:val="Defsubpara"/>
        <w:spacing w:before="60"/>
        <w:rPr>
          <w:snapToGrid w:val="0"/>
        </w:rPr>
      </w:pPr>
      <w:r>
        <w:rPr>
          <w:snapToGrid w:val="0"/>
        </w:rPr>
        <w:tab/>
        <w:t>(ii)</w:t>
      </w:r>
      <w:r>
        <w:rPr>
          <w:snapToGrid w:val="0"/>
        </w:rPr>
        <w:tab/>
        <w:t>any part of the operating expenses is expenditure incurred as a result of some only of the premises in the group being open outside the standard trading hours,</w:t>
      </w:r>
    </w:p>
    <w:p>
      <w:pPr>
        <w:pStyle w:val="Indenta"/>
        <w:spacing w:before="60"/>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spacing w:before="60"/>
        <w:rPr>
          <w:snapToGrid w:val="0"/>
        </w:rPr>
      </w:pPr>
      <w:r>
        <w:rPr>
          <w:snapToGrid w:val="0"/>
        </w:rPr>
        <w:tab/>
        <w:t>(d)</w:t>
      </w:r>
      <w:r>
        <w:rPr>
          <w:snapToGrid w:val="0"/>
        </w:rPr>
        <w:tab/>
        <w:t>the retail shop lease shall be taken to provide that —</w:t>
      </w:r>
    </w:p>
    <w:p>
      <w:pPr>
        <w:pStyle w:val="Indenti"/>
        <w:spacing w:before="60"/>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spacing w:before="60"/>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40"/>
        <w:rPr>
          <w:snapToGrid w:val="0"/>
        </w:rPr>
      </w:pPr>
      <w:r>
        <w:rPr>
          <w:snapToGrid w:val="0"/>
        </w:rPr>
        <w:tab/>
        <w:t>(1a)</w:t>
      </w:r>
      <w:r>
        <w:rPr>
          <w:snapToGrid w:val="0"/>
        </w:rPr>
        <w:tab/>
        <w:t>An operating expenses statement —</w:t>
      </w:r>
    </w:p>
    <w:p>
      <w:pPr>
        <w:pStyle w:val="Indenta"/>
        <w:spacing w:before="60"/>
        <w:rPr>
          <w:snapToGrid w:val="0"/>
        </w:rPr>
      </w:pPr>
      <w:r>
        <w:rPr>
          <w:snapToGrid w:val="0"/>
        </w:rPr>
        <w:tab/>
        <w:t>(a)</w:t>
      </w:r>
      <w:r>
        <w:rPr>
          <w:snapToGrid w:val="0"/>
        </w:rPr>
        <w:tab/>
        <w:t>is to be given to the tenant within 3 months after the end of the accounting period to which it relates; and</w:t>
      </w:r>
    </w:p>
    <w:p>
      <w:pPr>
        <w:pStyle w:val="Indenta"/>
        <w:spacing w:before="6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 and</w:t>
      </w:r>
    </w:p>
    <w:p>
      <w:pPr>
        <w:pStyle w:val="Indenta"/>
        <w:spacing w:before="6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 and</w:t>
      </w:r>
    </w:p>
    <w:p>
      <w:pPr>
        <w:pStyle w:val="Indenta"/>
        <w:spacing w:before="6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6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w:t>
      </w:r>
      <w:r>
        <w:t xml:space="preserve"> a retail shop in a group of premises —</w:t>
      </w:r>
    </w:p>
    <w:p>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w:t>
      </w:r>
    </w:p>
    <w:p>
      <w:pPr>
        <w:pStyle w:val="Indenta"/>
        <w:spacing w:before="60"/>
        <w:rPr>
          <w:snapToGrid w:val="0"/>
        </w:rPr>
      </w:pPr>
      <w:r>
        <w:rPr>
          <w:snapToGrid w:val="0"/>
        </w:rPr>
        <w:tab/>
        <w:t>(a)</w:t>
      </w:r>
      <w:r>
        <w:rPr>
          <w:snapToGrid w:val="0"/>
        </w:rPr>
        <w:tab/>
        <w:t>where the premises the subject of the retail shop lease comprise the whole of the land, the notional land tax imposed; and</w:t>
      </w:r>
    </w:p>
    <w:p>
      <w:pPr>
        <w:pStyle w:val="Indenta"/>
        <w:spacing w:before="60"/>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w:t>
      </w:r>
    </w:p>
    <w:p>
      <w:pPr>
        <w:pStyle w:val="Indenta"/>
        <w:spacing w:before="60"/>
        <w:rPr>
          <w:snapToGrid w:val="0"/>
        </w:rPr>
      </w:pPr>
      <w:r>
        <w:rPr>
          <w:snapToGrid w:val="0"/>
        </w:rPr>
        <w:tab/>
        <w:t>(a)</w:t>
      </w:r>
      <w:r>
        <w:rPr>
          <w:snapToGrid w:val="0"/>
        </w:rPr>
        <w:tab/>
        <w:t>the construction of the retail shopping centre; or</w:t>
      </w:r>
    </w:p>
    <w:p>
      <w:pPr>
        <w:pStyle w:val="Indenta"/>
        <w:spacing w:before="60"/>
        <w:rPr>
          <w:snapToGrid w:val="0"/>
        </w:rPr>
      </w:pPr>
      <w:r>
        <w:rPr>
          <w:snapToGrid w:val="0"/>
        </w:rPr>
        <w:tab/>
        <w:t>(b)</w:t>
      </w:r>
      <w:r>
        <w:rPr>
          <w:snapToGrid w:val="0"/>
        </w:rPr>
        <w:tab/>
        <w:t>any extension of the centre or structural improvement to the centre; or</w:t>
      </w:r>
    </w:p>
    <w:p>
      <w:pPr>
        <w:pStyle w:val="Indenta"/>
        <w:spacing w:before="60"/>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Subsection"/>
        <w:rPr>
          <w:snapToGrid w:val="0"/>
        </w:rPr>
      </w:pPr>
      <w:r>
        <w:rPr>
          <w:snapToGrid w:val="0"/>
        </w:rPr>
        <w:tab/>
        <w:t>(3)</w:t>
      </w:r>
      <w:r>
        <w:rPr>
          <w:snapToGrid w:val="0"/>
        </w:rPr>
        <w:tab/>
        <w:t>In this section and section 12A —</w:t>
      </w:r>
    </w:p>
    <w:p>
      <w:pPr>
        <w:pStyle w:val="Defstart"/>
      </w:pPr>
      <w:r>
        <w:tab/>
      </w:r>
      <w:r>
        <w:rPr>
          <w:rStyle w:val="CharDefText"/>
        </w:rPr>
        <w:t>group of premises</w:t>
      </w:r>
      <w:r>
        <w:t xml:space="preserve"> includes a part of a group of premises;</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in relation to a landlord, means expenses of the landlord in operating, repairing or maintaining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r>
        <w:t>;</w:t>
      </w:r>
    </w:p>
    <w:p>
      <w:pPr>
        <w:pStyle w:val="Defstart"/>
      </w:pPr>
      <w:r>
        <w:rPr>
          <w:b/>
        </w:rPr>
        <w:tab/>
      </w:r>
      <w:r>
        <w:rPr>
          <w:rStyle w:val="CharDefText"/>
        </w:rPr>
        <w:t>total lettable area</w:t>
      </w:r>
      <w:r>
        <w:rPr>
          <w:bCs/>
        </w:rPr>
        <w:t>,</w:t>
      </w:r>
      <w:r>
        <w:t xml:space="preserve"> of a group of premises, or part of a group of premises, means the aggregate of —</w:t>
      </w:r>
    </w:p>
    <w:p>
      <w:pPr>
        <w:pStyle w:val="Defpara"/>
      </w:pPr>
      <w:r>
        <w:tab/>
        <w:t>(a)</w:t>
      </w:r>
      <w:r>
        <w:tab/>
        <w:t>the lettable areas of the premises that are retail shops (or areas set aside for retail shops); and</w:t>
      </w:r>
    </w:p>
    <w:p>
      <w:pPr>
        <w:pStyle w:val="Defpara"/>
      </w:pPr>
      <w:r>
        <w:tab/>
        <w:t>(b)</w:t>
      </w:r>
      <w:r>
        <w:tab/>
        <w:t>if any of the premises are not retail shops, the lettable area of those premises defined or calculated in such manner as is prescribed by the regulations.</w:t>
      </w:r>
    </w:p>
    <w:p>
      <w:pPr>
        <w:pStyle w:val="Footnotesection"/>
      </w:pPr>
      <w:r>
        <w:tab/>
        <w:t>[Section 12 amended by No. 48 of 1990 s. 9; No. 66 of 1998 s. 8; No. 10 of 2001 s. 220; No. 45 of 2002 s. 10; No. 55 of 2004 s. 121; No. 38 of 2005 s. 15; No. 59 of 2011 s. 10.]</w:t>
      </w:r>
    </w:p>
    <w:p>
      <w:pPr>
        <w:pStyle w:val="Heading5"/>
      </w:pPr>
      <w:bookmarkStart w:id="17" w:name="_Toc401152138"/>
      <w:r>
        <w:rPr>
          <w:rStyle w:val="CharSectno"/>
        </w:rPr>
        <w:t>12A</w:t>
      </w:r>
      <w:r>
        <w:t>.</w:t>
      </w:r>
      <w:r>
        <w:tab/>
        <w:t>Sinking fund for repairs etc., effect of lease requiring payment by tenant into etc.</w:t>
      </w:r>
      <w:bookmarkEnd w:id="17"/>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 and</w:t>
      </w:r>
    </w:p>
    <w:p>
      <w:pPr>
        <w:pStyle w:val="Indenta"/>
      </w:pPr>
      <w:r>
        <w:tab/>
        <w:t>(b)</w:t>
      </w:r>
      <w:r>
        <w:tab/>
        <w:t>the landlord may only apply amounts standing to the credit of the sinking fund and interest earned on the fund for —</w:t>
      </w:r>
    </w:p>
    <w:p>
      <w:pPr>
        <w:pStyle w:val="Indenti"/>
      </w:pPr>
      <w:r>
        <w:tab/>
        <w:t>(i)</w:t>
      </w:r>
      <w:r>
        <w:tab/>
        <w:t>the purpose mentioned in subsection (2); and</w:t>
      </w:r>
    </w:p>
    <w:p>
      <w:pPr>
        <w:pStyle w:val="Indenti"/>
        <w:spacing w:before="50"/>
      </w:pPr>
      <w:r>
        <w:tab/>
        <w:t>(ii)</w:t>
      </w:r>
      <w:r>
        <w:tab/>
        <w:t>taxes and imposts payable on the fund; and</w:t>
      </w:r>
    </w:p>
    <w:p>
      <w:pPr>
        <w:pStyle w:val="Indenti"/>
        <w:spacing w:before="50"/>
      </w:pPr>
      <w:r>
        <w:tab/>
        <w:t>(iii)</w:t>
      </w:r>
      <w:r>
        <w:tab/>
        <w:t>the cost of an audit referred to in paragraph (c)(iii); and</w:t>
      </w:r>
    </w:p>
    <w:p>
      <w:pPr>
        <w:pStyle w:val="Indenti"/>
        <w:spacing w:before="50"/>
      </w:pPr>
      <w:r>
        <w:tab/>
        <w:t>(iv)</w:t>
      </w:r>
      <w:r>
        <w:tab/>
        <w:t>accounting, legal and other professional costs reasonably incurred in the preparation and approval of the scheme of repayment referred to in paragraph (e);</w:t>
      </w:r>
    </w:p>
    <w:p>
      <w:pPr>
        <w:pStyle w:val="Indenta"/>
        <w:spacing w:before="50"/>
      </w:pPr>
      <w:r>
        <w:tab/>
      </w:r>
      <w:r>
        <w:tab/>
        <w:t>and</w:t>
      </w:r>
    </w:p>
    <w:p>
      <w:pPr>
        <w:pStyle w:val="Indenta"/>
        <w:spacing w:before="50"/>
      </w:pPr>
      <w:r>
        <w:tab/>
        <w:t>(c)</w:t>
      </w:r>
      <w:r>
        <w:tab/>
        <w:t>the landlord is to —</w:t>
      </w:r>
    </w:p>
    <w:p>
      <w:pPr>
        <w:pStyle w:val="Indenti"/>
        <w:spacing w:before="50"/>
      </w:pPr>
      <w:r>
        <w:tab/>
        <w:t>(i)</w:t>
      </w:r>
      <w:r>
        <w:tab/>
        <w:t>keep full and accurate accounts of all money received or held by the landlord in respect of the sinking fund; and</w:t>
      </w:r>
    </w:p>
    <w:p>
      <w:pPr>
        <w:pStyle w:val="Indenti"/>
        <w:spacing w:before="50"/>
      </w:pPr>
      <w:r>
        <w:tab/>
        <w:t>(ii)</w:t>
      </w:r>
      <w:r>
        <w:tab/>
        <w:t>keep the accounts in such manner that they can be conveniently and properly audited; and</w:t>
      </w:r>
    </w:p>
    <w:p>
      <w:pPr>
        <w:pStyle w:val="Indenti"/>
        <w:spacing w:before="50"/>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spacing w:before="50"/>
      </w:pPr>
      <w:r>
        <w:tab/>
        <w:t>(iv)</w:t>
      </w:r>
      <w:r>
        <w:tab/>
        <w:t>within 3 months after the end of each accounting year deliver a copy of that report to the tenant;</w:t>
      </w:r>
    </w:p>
    <w:p>
      <w:pPr>
        <w:pStyle w:val="Indenta"/>
        <w:spacing w:before="50"/>
      </w:pPr>
      <w:r>
        <w:tab/>
      </w:r>
      <w:r>
        <w:tab/>
        <w:t>and</w:t>
      </w:r>
    </w:p>
    <w:p>
      <w:pPr>
        <w:pStyle w:val="Indenta"/>
        <w:spacing w:before="50"/>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spacing w:before="50"/>
      </w:pPr>
      <w:r>
        <w:tab/>
        <w:t>(e)</w:t>
      </w:r>
      <w:r>
        <w:tab/>
        <w:t>if the retail shopping centre is destroyed, demolished or ceases to operate the landlord is to —</w:t>
      </w:r>
    </w:p>
    <w:p>
      <w:pPr>
        <w:pStyle w:val="Indenti"/>
        <w:spacing w:before="50"/>
      </w:pPr>
      <w:r>
        <w:tab/>
        <w:t>(i)</w:t>
      </w:r>
      <w:r>
        <w:tab/>
        <w:t>prepare a scheme of repayment detailing —</w:t>
      </w:r>
    </w:p>
    <w:p>
      <w:pPr>
        <w:pStyle w:val="IndentI0"/>
        <w:spacing w:before="50"/>
      </w:pPr>
      <w:r>
        <w:tab/>
        <w:t>(I)</w:t>
      </w:r>
      <w:r>
        <w:tab/>
        <w:t>the amount standing to the credit of the sinking fund (including any interest earned on the fund); and</w:t>
      </w:r>
    </w:p>
    <w:p>
      <w:pPr>
        <w:pStyle w:val="IndentI0"/>
        <w:spacing w:before="50"/>
      </w:pPr>
      <w:r>
        <w:tab/>
        <w:t>(II)</w:t>
      </w:r>
      <w:r>
        <w:tab/>
        <w:t>the relevant proportion of that amount to which each former tenant is entitled; and</w:t>
      </w:r>
    </w:p>
    <w:p>
      <w:pPr>
        <w:pStyle w:val="IndentI0"/>
        <w:spacing w:before="60"/>
      </w:pPr>
      <w:r>
        <w:tab/>
        <w:t>(III)</w:t>
      </w:r>
      <w:r>
        <w:tab/>
        <w:t>the way in which the landlord proposes to distribute that amount based upon the relevant proportion;</w:t>
      </w:r>
    </w:p>
    <w:p>
      <w:pPr>
        <w:pStyle w:val="Indenti"/>
        <w:spacing w:before="60"/>
      </w:pPr>
      <w:r>
        <w:tab/>
      </w:r>
      <w:r>
        <w:tab/>
        <w:t>and</w:t>
      </w:r>
    </w:p>
    <w:p>
      <w:pPr>
        <w:pStyle w:val="Indenti"/>
        <w:spacing w:before="60"/>
      </w:pPr>
      <w:r>
        <w:tab/>
        <w:t>(ii)</w:t>
      </w:r>
      <w:r>
        <w:tab/>
        <w:t xml:space="preserve">submit the scheme of repayment to the </w:t>
      </w:r>
      <w:r>
        <w:rPr>
          <w:snapToGrid w:val="0"/>
        </w:rPr>
        <w:t>Tribunal</w:t>
      </w:r>
      <w:r>
        <w:t xml:space="preserve"> for approval under subsection (4).</w:t>
      </w:r>
    </w:p>
    <w:p>
      <w:pPr>
        <w:pStyle w:val="Subsection"/>
        <w:spacing w:before="120"/>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2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20"/>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spacing w:before="120"/>
      </w:pPr>
      <w:r>
        <w:tab/>
        <w:t>(7)</w:t>
      </w:r>
      <w:r>
        <w:tab/>
        <w:t>In this section and in section 12B —</w:t>
      </w:r>
    </w:p>
    <w:p>
      <w:pPr>
        <w:pStyle w:val="Defstart"/>
      </w:pPr>
      <w:r>
        <w:tab/>
      </w:r>
      <w:r>
        <w:rPr>
          <w:rStyle w:val="CharDefText"/>
        </w:rPr>
        <w:t>bank</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spacing w:before="100"/>
        <w:ind w:left="890" w:hanging="890"/>
      </w:pPr>
      <w:r>
        <w:tab/>
        <w:t>[Section 12A inserted by No. 66 of 1998 s. 9; amended by No. 26 of 1999 s. 65(2) and (3); No. 10 of 2001 s. 220; No. 55 of 2004 s. 122.]</w:t>
      </w:r>
    </w:p>
    <w:p>
      <w:pPr>
        <w:pStyle w:val="Heading5"/>
      </w:pPr>
      <w:bookmarkStart w:id="18" w:name="_Toc401152139"/>
      <w:r>
        <w:rPr>
          <w:rStyle w:val="CharSectno"/>
        </w:rPr>
        <w:t>12B</w:t>
      </w:r>
      <w:r>
        <w:t>.</w:t>
      </w:r>
      <w:r>
        <w:tab/>
        <w:t>Fund for marketing etc. retail shopping centre, effect of lease requiring payment by tenant into etc.</w:t>
      </w:r>
      <w:bookmarkEnd w:id="18"/>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 and</w:t>
      </w:r>
    </w:p>
    <w:p>
      <w:pPr>
        <w:pStyle w:val="Indenta"/>
      </w:pPr>
      <w:r>
        <w:tab/>
        <w:t>(b)</w:t>
      </w:r>
      <w:r>
        <w:tab/>
        <w:t>the landlord may only apply amounts standing to the credit of the fund or reserve and interest earned on the fund or reserve for —</w:t>
      </w:r>
    </w:p>
    <w:p>
      <w:pPr>
        <w:pStyle w:val="Indenti"/>
      </w:pPr>
      <w:r>
        <w:tab/>
        <w:t>(i)</w:t>
      </w:r>
      <w:r>
        <w:tab/>
        <w:t>the purpose mentioned in subsection (2); and</w:t>
      </w:r>
    </w:p>
    <w:p>
      <w:pPr>
        <w:pStyle w:val="Indenti"/>
      </w:pPr>
      <w:r>
        <w:tab/>
        <w:t>(ii)</w:t>
      </w:r>
      <w:r>
        <w:tab/>
        <w:t>taxes and imposts payable on the fund or reserve; and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r>
      <w:r>
        <w:tab/>
        <w:t>and</w:t>
      </w:r>
    </w:p>
    <w:p>
      <w:pPr>
        <w:pStyle w:val="Indenta"/>
        <w:keepNext/>
      </w:pPr>
      <w:r>
        <w:tab/>
        <w:t>(c)</w:t>
      </w:r>
      <w:r>
        <w:tab/>
        <w:t>the landlord is to —</w:t>
      </w:r>
    </w:p>
    <w:p>
      <w:pPr>
        <w:pStyle w:val="Indenti"/>
      </w:pPr>
      <w:r>
        <w:tab/>
        <w:t>(i)</w:t>
      </w:r>
      <w:r>
        <w:tab/>
        <w:t>keep full and accurate accounts of all money received or held by the landlord in respect of the fund or reserve; and</w:t>
      </w:r>
    </w:p>
    <w:p>
      <w:pPr>
        <w:pStyle w:val="Indenti"/>
      </w:pPr>
      <w:r>
        <w:tab/>
        <w:t>(ii)</w:t>
      </w:r>
      <w:r>
        <w:tab/>
        <w:t>keep the accounts in such manner that they can be conveniently and properly audited; and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r>
      <w:r>
        <w:tab/>
        <w:t>and</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if the retail shopping centre is destroyed, demolished or ceases to operate the landlord is to —</w:t>
      </w:r>
    </w:p>
    <w:p>
      <w:pPr>
        <w:pStyle w:val="Indenti"/>
      </w:pPr>
      <w:r>
        <w:tab/>
        <w:t>(i)</w:t>
      </w:r>
      <w:r>
        <w:tab/>
        <w:t>prepare a scheme of repayment detailing —</w:t>
      </w:r>
    </w:p>
    <w:p>
      <w:pPr>
        <w:pStyle w:val="IndentI0"/>
      </w:pPr>
      <w:r>
        <w:tab/>
        <w:t>(I)</w:t>
      </w:r>
      <w:r>
        <w:tab/>
        <w:t>the amount standing to the credit of the fund or reserve (including any interest earned on the fund or reserve); and</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4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40"/>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 9; amended by No. 26 of 1999 s. 65(4); No. 10 of 2001 s. 220; No. 55 of 2004 s. 123.]</w:t>
      </w:r>
    </w:p>
    <w:p>
      <w:pPr>
        <w:pStyle w:val="Heading5"/>
      </w:pPr>
      <w:bookmarkStart w:id="19" w:name="_Toc401152140"/>
      <w:r>
        <w:rPr>
          <w:rStyle w:val="CharSectno"/>
        </w:rPr>
        <w:t>12C</w:t>
      </w:r>
      <w:r>
        <w:t>.</w:t>
      </w:r>
      <w:r>
        <w:tab/>
        <w:t>Opening hours, provision in lease for is void etc.</w:t>
      </w:r>
      <w:bookmarkEnd w:id="19"/>
    </w:p>
    <w:p>
      <w:pPr>
        <w:pStyle w:val="Subsection"/>
        <w:spacing w:before="140"/>
      </w:pPr>
      <w:r>
        <w:tab/>
        <w:t>(1)</w:t>
      </w:r>
      <w:r>
        <w:tab/>
        <w:t>A provision in a retail shop lease which requires a tenant to open the retail shop the subject of the lease at specified hours or specified times is void.</w:t>
      </w:r>
    </w:p>
    <w:p>
      <w:pPr>
        <w:pStyle w:val="Subsection"/>
        <w:spacing w:before="140"/>
      </w:pPr>
      <w:r>
        <w:tab/>
        <w:t>(2)</w:t>
      </w:r>
      <w:r>
        <w:tab/>
        <w:t>Where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spacing w:before="120"/>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 9.]</w:t>
      </w:r>
    </w:p>
    <w:p>
      <w:pPr>
        <w:pStyle w:val="Heading5"/>
      </w:pPr>
      <w:bookmarkStart w:id="20" w:name="_Toc401152141"/>
      <w:r>
        <w:rPr>
          <w:rStyle w:val="CharSectno"/>
        </w:rPr>
        <w:t>12D</w:t>
      </w:r>
      <w:r>
        <w:t>.</w:t>
      </w:r>
      <w:r>
        <w:tab/>
        <w:t>Tenants’ association etc., provision in lease preventing tenant from forming etc. is void etc.</w:t>
      </w:r>
      <w:bookmarkEnd w:id="20"/>
    </w:p>
    <w:p>
      <w:pPr>
        <w:pStyle w:val="Subsection"/>
        <w:spacing w:before="140"/>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If a tenant under a retail shop lease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A tenant under a retail shop lease may apply in writing to the Tribunal in respect of a failure by the landlord to comply with subsection (2) for one or both of the following orders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21" w:name="_Toc401152142"/>
      <w:r>
        <w:rPr>
          <w:rStyle w:val="CharSectno"/>
        </w:rPr>
        <w:t>13</w:t>
      </w:r>
      <w:r>
        <w:rPr>
          <w:snapToGrid w:val="0"/>
        </w:rPr>
        <w:t>.</w:t>
      </w:r>
      <w:r>
        <w:rPr>
          <w:snapToGrid w:val="0"/>
        </w:rPr>
        <w:tab/>
        <w:t>Tenant entitled to at least 5 year term in some cases etc.</w:t>
      </w:r>
      <w:bookmarkEnd w:id="21"/>
    </w:p>
    <w:p>
      <w:pPr>
        <w:pStyle w:val="Subsection"/>
        <w:rPr>
          <w:snapToGrid w:val="0"/>
        </w:rPr>
      </w:pPr>
      <w:r>
        <w:rPr>
          <w:snapToGrid w:val="0"/>
        </w:rPr>
        <w:tab/>
        <w:t>(1)</w:t>
      </w:r>
      <w:r>
        <w:rPr>
          <w:snapToGrid w:val="0"/>
        </w:rPr>
        <w:tab/>
        <w:t>Subject to this section, where under a retail shop lease —</w:t>
      </w:r>
    </w:p>
    <w:p>
      <w:pPr>
        <w:pStyle w:val="Indenta"/>
        <w:rPr>
          <w:snapToGrid w:val="0"/>
        </w:rPr>
      </w:pPr>
      <w:r>
        <w:rPr>
          <w:snapToGrid w:val="0"/>
        </w:rPr>
        <w:tab/>
        <w:t>(a)</w:t>
      </w:r>
      <w:r>
        <w:rPr>
          <w:snapToGrid w:val="0"/>
        </w:rPr>
        <w:tab/>
        <w:t xml:space="preserve">the term of the lease (in this section called </w:t>
      </w:r>
      <w:r>
        <w:t xml:space="preserve">the </w:t>
      </w:r>
      <w:r>
        <w:rPr>
          <w:rStyle w:val="CharDefText"/>
        </w:rPr>
        <w:t>current term</w:t>
      </w:r>
      <w:r>
        <w:rPr>
          <w:snapToGrid w:val="0"/>
        </w:rPr>
        <w:t xml:space="preserve">) is </w:t>
      </w:r>
      <w:r>
        <w:t xml:space="preserve">more than 6 months but less </w:t>
      </w:r>
      <w:r>
        <w:rPr>
          <w:snapToGrid w:val="0"/>
        </w:rPr>
        <w:t>than 5 years; and</w:t>
      </w:r>
    </w:p>
    <w:p>
      <w:pPr>
        <w:pStyle w:val="Indenta"/>
        <w:rPr>
          <w:snapToGrid w:val="0"/>
        </w:rPr>
      </w:pPr>
      <w:r>
        <w:rPr>
          <w:snapToGrid w:val="0"/>
        </w:rPr>
        <w:tab/>
        <w:t>(b)</w:t>
      </w:r>
      <w:r>
        <w:rPr>
          <w:snapToGrid w:val="0"/>
        </w:rPr>
        <w:tab/>
        <w:t xml:space="preserve">the current term plus any term (in this section called </w:t>
      </w:r>
      <w:r>
        <w:t xml:space="preserve">the </w:t>
      </w:r>
      <w:r>
        <w:rPr>
          <w:rStyle w:val="CharDefText"/>
        </w:rPr>
        <w:t>option term</w:t>
      </w:r>
      <w:r>
        <w:rPr>
          <w:snapToGrid w:val="0"/>
        </w:rPr>
        <w:t xml:space="preserve">) that may be obtained by the tenant by way of an option to renew the lease totals </w:t>
      </w:r>
      <w:r>
        <w:t xml:space="preserve">more than 6 months but less </w:t>
      </w:r>
      <w:r>
        <w:rPr>
          <w:snapToGrid w:val="0"/>
        </w:rPr>
        <w:t>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pPr>
      <w:r>
        <w:tab/>
        <w:t>(2A)</w:t>
      </w:r>
      <w:r>
        <w:tab/>
        <w:t>For the purposes of subsection (1), a lease for a term of more than 6 months includes a tenancy where the tenant has been continuously in possession of the retail shop for more than 6 months as a result of either or both of the following —</w:t>
      </w:r>
    </w:p>
    <w:p>
      <w:pPr>
        <w:pStyle w:val="Indenta"/>
      </w:pPr>
      <w:r>
        <w:tab/>
        <w:t>(a)</w:t>
      </w:r>
      <w:r>
        <w:tab/>
        <w:t>the lease being renewed (one or more times);</w:t>
      </w:r>
    </w:p>
    <w:p>
      <w:pPr>
        <w:pStyle w:val="Indenta"/>
      </w:pPr>
      <w:r>
        <w:tab/>
        <w:t>(b)</w:t>
      </w:r>
      <w:r>
        <w:tab/>
        <w:t>the lease being continued.</w:t>
      </w:r>
    </w:p>
    <w:p>
      <w:pPr>
        <w:pStyle w:val="Subsection"/>
        <w:keepNext/>
        <w:rPr>
          <w:snapToGrid w:val="0"/>
        </w:rPr>
      </w:pPr>
      <w:r>
        <w:rPr>
          <w:snapToGrid w:val="0"/>
        </w:rPr>
        <w:tab/>
        <w:t>(2)</w:t>
      </w:r>
      <w:r>
        <w:rPr>
          <w:snapToGrid w:val="0"/>
        </w:rPr>
        <w:tab/>
        <w:t>Subsection (1) does not apply to a retail shop lease in respect of premises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t xml:space="preserve">the </w:t>
      </w:r>
      <w:r>
        <w:rPr>
          <w:rStyle w:val="CharDefText"/>
        </w:rPr>
        <w:t>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w:t>
      </w:r>
    </w:p>
    <w:p>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the landlord under a retail shop lease holds the premises concerned under a head lease; and</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spacing w:before="90"/>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spacing w:before="110"/>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w:t>
      </w:r>
    </w:p>
    <w:p>
      <w:pPr>
        <w:pStyle w:val="Indenta"/>
        <w:spacing w:before="50"/>
        <w:rPr>
          <w:snapToGrid w:val="0"/>
        </w:rPr>
      </w:pPr>
      <w:r>
        <w:rPr>
          <w:snapToGrid w:val="0"/>
        </w:rPr>
        <w:tab/>
        <w:t>(a)</w:t>
      </w:r>
      <w:r>
        <w:rPr>
          <w:snapToGrid w:val="0"/>
        </w:rPr>
        <w:tab/>
        <w:t>the tenant does not have any further option under subsection (1) to renew the lease; and</w:t>
      </w:r>
    </w:p>
    <w:p>
      <w:pPr>
        <w:pStyle w:val="Indenta"/>
        <w:spacing w:before="50"/>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spacing w:before="110"/>
        <w:rPr>
          <w:snapToGrid w:val="0"/>
        </w:rPr>
      </w:pPr>
      <w:r>
        <w:rPr>
          <w:snapToGrid w:val="0"/>
        </w:rPr>
        <w:tab/>
        <w:t>(6)</w:t>
      </w:r>
      <w:r>
        <w:rPr>
          <w:snapToGrid w:val="0"/>
        </w:rPr>
        <w:tab/>
        <w:t>The landlord under a retail shop lease</w:t>
      </w:r>
      <w:r>
        <w:t xml:space="preserve"> is not entitled to determine the lease —</w:t>
      </w:r>
    </w:p>
    <w:p>
      <w:pPr>
        <w:pStyle w:val="Indenta"/>
        <w:spacing w:before="50"/>
      </w:pPr>
      <w:r>
        <w:tab/>
        <w:t>(aa)</w:t>
      </w:r>
      <w:r>
        <w:tab/>
        <w:t>if the lease is a lease referred to in subsection (1), before the day on which the term that may be obtained by the tenant under that subsection expires; or</w:t>
      </w:r>
    </w:p>
    <w:p>
      <w:pPr>
        <w:pStyle w:val="Indenta"/>
        <w:spacing w:before="50"/>
      </w:pPr>
      <w:r>
        <w:tab/>
        <w:t>(ab)</w:t>
      </w:r>
      <w:r>
        <w:tab/>
        <w:t>if the lease is a lease the current term of which, or the current term plus the option term, is 5 years or longer, before the day that is 5 years after the day on which the current term commenced,</w:t>
      </w:r>
    </w:p>
    <w:p>
      <w:pPr>
        <w:pStyle w:val="Subsection"/>
        <w:spacing w:before="60"/>
      </w:pPr>
      <w:r>
        <w:tab/>
      </w:r>
      <w:r>
        <w:tab/>
        <w:t>except —</w:t>
      </w:r>
    </w:p>
    <w:p>
      <w:pPr>
        <w:pStyle w:val="Indenta"/>
        <w:spacing w:before="48"/>
        <w:rPr>
          <w:snapToGrid w:val="0"/>
        </w:rPr>
      </w:pPr>
      <w:r>
        <w:rPr>
          <w:snapToGrid w:val="0"/>
        </w:rPr>
        <w:tab/>
        <w:t>(a)</w:t>
      </w:r>
      <w:r>
        <w:rPr>
          <w:snapToGrid w:val="0"/>
        </w:rPr>
        <w:tab/>
        <w:t>by reason of default by the tenant or failure of the tenant to remedy any such default in accordance with the lease; or</w:t>
      </w:r>
    </w:p>
    <w:p>
      <w:pPr>
        <w:pStyle w:val="Indenta"/>
        <w:spacing w:before="48"/>
        <w:rPr>
          <w:snapToGrid w:val="0"/>
        </w:rPr>
      </w:pPr>
      <w:r>
        <w:rPr>
          <w:snapToGrid w:val="0"/>
        </w:rPr>
        <w:tab/>
        <w:t>(b)</w:t>
      </w:r>
      <w:r>
        <w:rPr>
          <w:snapToGrid w:val="0"/>
        </w:rPr>
        <w:tab/>
        <w:t>by reason that —</w:t>
      </w:r>
    </w:p>
    <w:p>
      <w:pPr>
        <w:pStyle w:val="Indenti"/>
        <w:spacing w:before="48"/>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pPr>
      <w:r>
        <w:tab/>
        <w:t>(da)</w:t>
      </w:r>
      <w:r>
        <w:tab/>
        <w:t>under and in accordance with a provision of the lease that is the same, or substantially the same, as a provision prescribed for the purposes of this section; or</w:t>
      </w:r>
    </w:p>
    <w:p>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ind w:left="890" w:hanging="890"/>
      </w:pPr>
      <w:r>
        <w:tab/>
        <w:t>[Section 13 amended by No. 49 of 1985 s. 4; No. 48 of 1990 s. 10; No. 55 of 2004 s. 124; No. 59 of 2011 s. 11.]</w:t>
      </w:r>
    </w:p>
    <w:p>
      <w:pPr>
        <w:pStyle w:val="Heading5"/>
        <w:rPr>
          <w:snapToGrid w:val="0"/>
        </w:rPr>
      </w:pPr>
      <w:bookmarkStart w:id="22" w:name="_Toc401152143"/>
      <w:r>
        <w:rPr>
          <w:rStyle w:val="CharSectno"/>
        </w:rPr>
        <w:t>13A</w:t>
      </w:r>
      <w:r>
        <w:rPr>
          <w:snapToGrid w:val="0"/>
        </w:rPr>
        <w:t>.</w:t>
      </w:r>
      <w:r>
        <w:rPr>
          <w:snapToGrid w:val="0"/>
        </w:rPr>
        <w:tab/>
        <w:t>Head lease modified if inconsistent with lease affected by s. 13(1)</w:t>
      </w:r>
      <w:bookmarkEnd w:id="22"/>
    </w:p>
    <w:p>
      <w:pPr>
        <w:pStyle w:val="Subsection"/>
        <w:rPr>
          <w:snapToGrid w:val="0"/>
        </w:rPr>
      </w:pPr>
      <w:r>
        <w:rPr>
          <w:snapToGrid w:val="0"/>
        </w:rPr>
        <w:tab/>
        <w:t>(1)</w:t>
      </w:r>
      <w:r>
        <w:rPr>
          <w:snapToGrid w:val="0"/>
        </w:rPr>
        <w:tab/>
        <w:t>Subject to subsection (3), where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 and</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spacing w:before="120"/>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w:t>
      </w:r>
    </w:p>
    <w:p>
      <w:pPr>
        <w:pStyle w:val="Indenta"/>
        <w:rPr>
          <w:snapToGrid w:val="0"/>
        </w:rPr>
      </w:pPr>
      <w:r>
        <w:rPr>
          <w:snapToGrid w:val="0"/>
        </w:rPr>
        <w:tab/>
        <w:t>(a)</w:t>
      </w:r>
      <w:r>
        <w:rPr>
          <w:snapToGrid w:val="0"/>
        </w:rPr>
        <w:tab/>
        <w:t>the question were a question arising under a retail shop lease; and</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kern w:val="24"/>
        </w:rPr>
        <w:t xml:space="preserve">of the </w:t>
      </w:r>
      <w:r>
        <w:rPr>
          <w:i/>
          <w:kern w:val="24"/>
        </w:rPr>
        <w:t>Corporations Act 2001</w:t>
      </w:r>
      <w:r>
        <w:rPr>
          <w:kern w:val="24"/>
        </w:rPr>
        <w:t xml:space="preserve"> of the Commonwealth</w:t>
      </w:r>
      <w:r>
        <w:rPr>
          <w:snapToGrid w:val="0"/>
        </w:rPr>
        <w:t xml:space="preserve"> and the other —</w:t>
      </w:r>
    </w:p>
    <w:p>
      <w:pPr>
        <w:pStyle w:val="Indenti"/>
        <w:rPr>
          <w:snapToGrid w:val="0"/>
        </w:rPr>
      </w:pPr>
      <w:r>
        <w:rPr>
          <w:snapToGrid w:val="0"/>
        </w:rPr>
        <w:tab/>
        <w:t>(i)</w:t>
      </w:r>
      <w:r>
        <w:rPr>
          <w:snapToGrid w:val="0"/>
        </w:rPr>
        <w:tab/>
        <w:t>is an officer, within the meaning</w:t>
      </w:r>
      <w:r>
        <w:rPr>
          <w:kern w:val="24"/>
        </w:rPr>
        <w:t xml:space="preserve"> of the </w:t>
      </w:r>
      <w:r>
        <w:rPr>
          <w:i/>
          <w:kern w:val="24"/>
        </w:rPr>
        <w:t>Corporations Act 2001</w:t>
      </w:r>
      <w:r>
        <w:rPr>
          <w:kern w:val="24"/>
        </w:rPr>
        <w:t xml:space="preserve"> of the Commonwealth</w:t>
      </w:r>
      <w:r>
        <w:rPr>
          <w:snapToGrid w:val="0"/>
        </w:rPr>
        <w:t>, of that corporation; or</w:t>
      </w:r>
    </w:p>
    <w:p>
      <w:pPr>
        <w:pStyle w:val="Indenti"/>
        <w:rPr>
          <w:snapToGrid w:val="0"/>
        </w:rPr>
      </w:pPr>
      <w:r>
        <w:rPr>
          <w:snapToGrid w:val="0"/>
        </w:rPr>
        <w:tab/>
        <w:t>(ii)</w:t>
      </w:r>
      <w:r>
        <w:rPr>
          <w:snapToGrid w:val="0"/>
        </w:rPr>
        <w:tab/>
        <w:t>is a shareholder of, or holds a beneficial or contingent interest in a share in, that corporation; or</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[Section 13A inserted by No. 49 of 1985 s. 5; amended by No. 48 of 1990 s. 11; No. 10 of 2001 s. 39; No. 28 of 2003 s. 17; No. 55 of 2004 s. 125.]</w:t>
      </w:r>
    </w:p>
    <w:p>
      <w:pPr>
        <w:pStyle w:val="Heading5"/>
        <w:rPr>
          <w:snapToGrid w:val="0"/>
        </w:rPr>
      </w:pPr>
      <w:bookmarkStart w:id="23" w:name="_Toc401152144"/>
      <w:r>
        <w:rPr>
          <w:rStyle w:val="CharSectno"/>
        </w:rPr>
        <w:t>13B</w:t>
      </w:r>
      <w:r>
        <w:rPr>
          <w:snapToGrid w:val="0"/>
        </w:rPr>
        <w:t>.</w:t>
      </w:r>
      <w:r>
        <w:rPr>
          <w:snapToGrid w:val="0"/>
        </w:rPr>
        <w:tab/>
        <w:t>Lease without option to renew etc., parties’ rights under</w:t>
      </w:r>
      <w:bookmarkEnd w:id="23"/>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pPr>
      <w:r>
        <w:tab/>
        <w:t>(4A)</w:t>
      </w:r>
      <w:r>
        <w:tab/>
        <w:t>A lease may be terminated during a period by which it is deemed to be extended under subsection (3) by the tenant giving written notice of termination of the lease to the landlord specifying a day that is —</w:t>
      </w:r>
    </w:p>
    <w:p>
      <w:pPr>
        <w:pStyle w:val="Indenta"/>
      </w:pPr>
      <w:r>
        <w:tab/>
        <w:t>(a)</w:t>
      </w:r>
      <w:r>
        <w:tab/>
        <w:t>on or after the date on which the term of the lease ends; and</w:t>
      </w:r>
    </w:p>
    <w:p>
      <w:pPr>
        <w:pStyle w:val="Indenta"/>
      </w:pPr>
      <w:r>
        <w:tab/>
        <w:t>(b)</w:t>
      </w:r>
      <w:r>
        <w:tab/>
        <w:t>before the date until which the lease is deemed to be extended under subsection (3).</w:t>
      </w:r>
    </w:p>
    <w:p>
      <w:pPr>
        <w:pStyle w:val="Subsection"/>
      </w:pPr>
      <w:r>
        <w:tab/>
        <w:t>(4B)</w:t>
      </w:r>
      <w:r>
        <w:tab/>
        <w:t>If the tenant gives the landlord a notice of termination under subsection (4A), the lease terminates on the day specified in the notice.</w:t>
      </w:r>
    </w:p>
    <w:p>
      <w:pPr>
        <w:pStyle w:val="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[Section 13B inserted by No. 48 of 1990 s. 12; amended by No. 59 of 2011 s. 12.]</w:t>
      </w:r>
    </w:p>
    <w:p>
      <w:pPr>
        <w:pStyle w:val="Heading5"/>
      </w:pPr>
      <w:bookmarkStart w:id="24" w:name="_Toc401152145"/>
      <w:r>
        <w:rPr>
          <w:rStyle w:val="CharSectno"/>
        </w:rPr>
        <w:t>13C</w:t>
      </w:r>
      <w:r>
        <w:t>.</w:t>
      </w:r>
      <w:r>
        <w:tab/>
        <w:t>Lease with option to renew, when option ceases to be exercisable etc.</w:t>
      </w:r>
      <w:bookmarkEnd w:id="24"/>
    </w:p>
    <w:p>
      <w:pPr>
        <w:pStyle w:val="Subsection"/>
      </w:pPr>
      <w:r>
        <w:tab/>
        <w:t>(1)</w:t>
      </w:r>
      <w:r>
        <w:tab/>
        <w:t>If a retail shop lease provides, whether directly or by operation of section 13, an option or a further option of renewal of the lease exercisable by the tenant, the landlord must notify the tenant in writing of the date after which the option is no longer exercisable —</w:t>
      </w:r>
    </w:p>
    <w:p>
      <w:pPr>
        <w:pStyle w:val="Indenta"/>
      </w:pPr>
      <w:r>
        <w:tab/>
        <w:t>(a)</w:t>
      </w:r>
      <w:r>
        <w:tab/>
        <w:t>at least 6 months; and</w:t>
      </w:r>
    </w:p>
    <w:p>
      <w:pPr>
        <w:pStyle w:val="Indenta"/>
      </w:pPr>
      <w:r>
        <w:tab/>
        <w:t>(b)</w:t>
      </w:r>
      <w:r>
        <w:tab/>
        <w:t>no more than 12 months,</w:t>
      </w:r>
    </w:p>
    <w:p>
      <w:pPr>
        <w:pStyle w:val="Subsection"/>
      </w:pPr>
      <w:r>
        <w:tab/>
      </w:r>
      <w:r>
        <w:tab/>
        <w:t>before that date but is not required to do so if the tenant exercises, or purports to exercise, the option before being notified of the date.</w:t>
      </w:r>
    </w:p>
    <w:p>
      <w:pPr>
        <w:pStyle w:val="Subsection"/>
      </w:pPr>
      <w:r>
        <w:tab/>
        <w:t>(2)</w:t>
      </w:r>
      <w:r>
        <w:tab/>
        <w:t>If subsection (1) requires the landlord to notify the tenant but the landlord fails to do so within the time specified by that subsection —</w:t>
      </w:r>
    </w:p>
    <w:p>
      <w:pPr>
        <w:pStyle w:val="Indenta"/>
      </w:pPr>
      <w:r>
        <w:tab/>
        <w:t>(a)</w:t>
      </w:r>
      <w:r>
        <w:tab/>
        <w:t>the retail shop lease is taken to provide that the date after which the option is no longer exercisable is instead 6 months after the landlord notifies the tenant as required; and</w:t>
      </w:r>
    </w:p>
    <w:p>
      <w:pPr>
        <w:pStyle w:val="Indenta"/>
        <w:spacing w:before="70"/>
      </w:pPr>
      <w:r>
        <w:tab/>
        <w:t>(b)</w:t>
      </w:r>
      <w:r>
        <w:tab/>
        <w:t>if that date is after the term of the lease ends, the lease continues until that date (on the same terms and conditions as applied immediately before the lease term ends); and</w:t>
      </w:r>
    </w:p>
    <w:p>
      <w:pPr>
        <w:pStyle w:val="Indenta"/>
        <w:spacing w:before="70"/>
      </w:pPr>
      <w:r>
        <w:tab/>
        <w:t>(c)</w:t>
      </w:r>
      <w:r>
        <w:tab/>
        <w:t>the tenant, whether or not the landlord has by then notified the tenant as required, may give written notice of termination of the lease to the landlord specifying a day that is —</w:t>
      </w:r>
    </w:p>
    <w:p>
      <w:pPr>
        <w:pStyle w:val="Indenti"/>
        <w:spacing w:before="70"/>
      </w:pPr>
      <w:r>
        <w:tab/>
        <w:t>(i)</w:t>
      </w:r>
      <w:r>
        <w:tab/>
        <w:t>on or after the date on which the term of the lease ends; and</w:t>
      </w:r>
    </w:p>
    <w:p>
      <w:pPr>
        <w:pStyle w:val="Indenti"/>
        <w:spacing w:before="70"/>
      </w:pPr>
      <w:r>
        <w:tab/>
        <w:t>(ii)</w:t>
      </w:r>
      <w:r>
        <w:tab/>
        <w:t>before the date until which the lease would otherwise have continued because of paragraph (b).</w:t>
      </w:r>
    </w:p>
    <w:p>
      <w:pPr>
        <w:pStyle w:val="Subsection"/>
      </w:pPr>
      <w:r>
        <w:tab/>
        <w:t>(3)</w:t>
      </w:r>
      <w:r>
        <w:tab/>
        <w:t>If the tenant gives the landlord a notice of termination under subsection (2)(c), the lease terminates on the day specified in the notice.</w:t>
      </w:r>
    </w:p>
    <w:p>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Footnotesection"/>
      </w:pPr>
      <w:r>
        <w:tab/>
        <w:t>[Section 13C inserted by No. 59 of 2011 s. 13.]</w:t>
      </w:r>
    </w:p>
    <w:p>
      <w:pPr>
        <w:pStyle w:val="Heading5"/>
        <w:rPr>
          <w:snapToGrid w:val="0"/>
        </w:rPr>
      </w:pPr>
      <w:bookmarkStart w:id="25" w:name="_Toc401152146"/>
      <w:r>
        <w:rPr>
          <w:rStyle w:val="CharSectno"/>
        </w:rPr>
        <w:t>14</w:t>
      </w:r>
      <w:r>
        <w:rPr>
          <w:snapToGrid w:val="0"/>
        </w:rPr>
        <w:t>.</w:t>
      </w:r>
      <w:r>
        <w:rPr>
          <w:snapToGrid w:val="0"/>
        </w:rPr>
        <w:tab/>
        <w:t>Retail shopping centre shop, lease for deemed to provide for compensation to tenant in some cases</w:t>
      </w:r>
      <w:bookmarkEnd w:id="25"/>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w:t>
      </w:r>
    </w:p>
    <w:p>
      <w:pPr>
        <w:pStyle w:val="Indenta"/>
        <w:rPr>
          <w:snapToGrid w:val="0"/>
        </w:rPr>
      </w:pPr>
      <w:r>
        <w:rPr>
          <w:snapToGrid w:val="0"/>
        </w:rPr>
        <w:tab/>
        <w:t>(a)</w:t>
      </w:r>
      <w:r>
        <w:rPr>
          <w:snapToGrid w:val="0"/>
        </w:rPr>
        <w:tab/>
        <w:t>inhibits the access of the tenant to the retail shop in any substantial manner; or</w:t>
      </w:r>
    </w:p>
    <w:p>
      <w:pPr>
        <w:pStyle w:val="Indenta"/>
        <w:rPr>
          <w:snapToGrid w:val="0"/>
        </w:rPr>
      </w:pPr>
      <w:r>
        <w:rPr>
          <w:snapToGrid w:val="0"/>
        </w:rPr>
        <w:tab/>
        <w:t>(b)</w:t>
      </w:r>
      <w:r>
        <w:rPr>
          <w:snapToGrid w:val="0"/>
        </w:rPr>
        <w:tab/>
        <w:t>takes any action that would substantially alter or inhibit the flow of customers to the retail shop; or</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 or</w:t>
      </w:r>
    </w:p>
    <w:p>
      <w:pPr>
        <w:pStyle w:val="Indenta"/>
        <w:spacing w:before="50"/>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spacing w:before="50"/>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spacing w:before="70"/>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spacing w:before="160"/>
      </w:pPr>
      <w:bookmarkStart w:id="26" w:name="_Toc401152147"/>
      <w:r>
        <w:rPr>
          <w:rStyle w:val="CharSectno"/>
        </w:rPr>
        <w:t>14A</w:t>
      </w:r>
      <w:r>
        <w:t>.</w:t>
      </w:r>
      <w:r>
        <w:tab/>
        <w:t>Relocation of tenant’s business, provision in lease for is void in some cases</w:t>
      </w:r>
      <w:bookmarkEnd w:id="26"/>
    </w:p>
    <w:p>
      <w:pPr>
        <w:pStyle w:val="Subsection"/>
        <w:spacing w:before="90"/>
      </w:pPr>
      <w:r>
        <w:tab/>
        <w:t>(1)</w:t>
      </w:r>
      <w:r>
        <w:tab/>
        <w:t>A provision of a retail shop lease about the relocation of the tenant’s business is void unless —</w:t>
      </w:r>
    </w:p>
    <w:p>
      <w:pPr>
        <w:pStyle w:val="Indenta"/>
        <w:spacing w:before="50"/>
      </w:pPr>
      <w:r>
        <w:tab/>
        <w:t>(a)</w:t>
      </w:r>
      <w:r>
        <w:tab/>
        <w:t>it is in the form prescribed for the purposes of this section; or</w:t>
      </w:r>
    </w:p>
    <w:p>
      <w:pPr>
        <w:pStyle w:val="Indenta"/>
        <w:spacing w:before="50"/>
      </w:pPr>
      <w:r>
        <w:tab/>
        <w:t>(b)</w:t>
      </w:r>
      <w:r>
        <w:tab/>
        <w:t>it is in a form approved by the Tribunal under subsection (3); or</w:t>
      </w:r>
    </w:p>
    <w:p>
      <w:pPr>
        <w:pStyle w:val="Indenta"/>
        <w:spacing w:before="50"/>
      </w:pPr>
      <w:r>
        <w:tab/>
        <w:t>(c)</w:t>
      </w:r>
      <w:r>
        <w:tab/>
        <w:t>if 5 years of the term of the lease (including any period during the extension of the term under an option to renew) have already expired, it is in accordance with subsection (2).</w:t>
      </w:r>
    </w:p>
    <w:p>
      <w:pPr>
        <w:pStyle w:val="Subsection"/>
        <w:spacing w:before="90"/>
      </w:pPr>
      <w:r>
        <w:tab/>
        <w:t>(2)</w:t>
      </w:r>
      <w:r>
        <w:tab/>
        <w:t>A provision of a retail shop lease about the relocation of the tenant’s business is in accordance with this subsection if it contains provisions to the following effect —</w:t>
      </w:r>
    </w:p>
    <w:p>
      <w:pPr>
        <w:pStyle w:val="Indenta"/>
        <w:spacing w:before="50"/>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Indenta"/>
      </w:pPr>
      <w:r>
        <w:tab/>
        <w:t>(c)</w:t>
      </w:r>
      <w:r>
        <w:tab/>
        <w:t>the tenant is to be offered a new lease of the alternative shop —</w:t>
      </w:r>
    </w:p>
    <w:p>
      <w:pPr>
        <w:pStyle w:val="Indenti"/>
      </w:pPr>
      <w:r>
        <w:tab/>
        <w:t>(i)</w:t>
      </w:r>
      <w:r>
        <w:tab/>
        <w:t>on the same, or better, terms and conditions as the existing lease except that the term of the new lease is to be no shorter than the remainder of the term of the existing lease; and</w:t>
      </w:r>
    </w:p>
    <w:p>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Indenta"/>
      </w:pPr>
      <w:r>
        <w:tab/>
        <w:t>(d)</w:t>
      </w:r>
      <w:r>
        <w:tab/>
        <w:t>the landlord is to pay the tenant’s reasonable costs of the relocation, including but not limited to —</w:t>
      </w:r>
    </w:p>
    <w:p>
      <w:pPr>
        <w:pStyle w:val="Indenti"/>
      </w:pPr>
      <w:r>
        <w:tab/>
        <w:t>(i)</w:t>
      </w:r>
      <w:r>
        <w:tab/>
        <w:t>costs incurred by the tenant in dismantling fittings, equipment or services; and</w:t>
      </w:r>
    </w:p>
    <w:p>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Indenti"/>
      </w:pPr>
      <w:r>
        <w:tab/>
        <w:t>(iii)</w:t>
      </w:r>
      <w:r>
        <w:tab/>
        <w:t>packaging and removal costs incurred by the tenant; and</w:t>
      </w:r>
    </w:p>
    <w:p>
      <w:pPr>
        <w:pStyle w:val="Indenti"/>
      </w:pPr>
      <w:r>
        <w:tab/>
        <w:t>(iv)</w:t>
      </w:r>
      <w:r>
        <w:tab/>
        <w:t>legal costs incurred by the tenant;</w:t>
      </w:r>
    </w:p>
    <w:p>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Footnotesection"/>
      </w:pPr>
      <w:r>
        <w:tab/>
        <w:t>[Section 14A inserted by No. 59 of 2011 s. 14.]</w:t>
      </w:r>
    </w:p>
    <w:p>
      <w:pPr>
        <w:pStyle w:val="Heading5"/>
      </w:pPr>
      <w:bookmarkStart w:id="27" w:name="_Toc401152148"/>
      <w:r>
        <w:rPr>
          <w:rStyle w:val="CharSectno"/>
        </w:rPr>
        <w:t>14B</w:t>
      </w:r>
      <w:r>
        <w:t>.</w:t>
      </w:r>
      <w:r>
        <w:tab/>
        <w:t>Landlord’s legal costs of lease etc. not claimable from tenant</w:t>
      </w:r>
      <w:bookmarkEnd w:id="27"/>
    </w:p>
    <w:p>
      <w:pPr>
        <w:pStyle w:val="Subsection"/>
      </w:pPr>
      <w:r>
        <w:tab/>
        <w:t>(1)</w:t>
      </w:r>
      <w:r>
        <w:tab/>
        <w:t>A landlord under a retail shop lease is not able to claim from any person (including the tenant) the landlord’s legal or other expenses relating to —</w:t>
      </w:r>
    </w:p>
    <w:p>
      <w:pPr>
        <w:pStyle w:val="Indenta"/>
      </w:pPr>
      <w:r>
        <w:tab/>
        <w:t>(a)</w:t>
      </w:r>
      <w:r>
        <w:tab/>
        <w:t>the negotiation, preparation or execution of —</w:t>
      </w:r>
    </w:p>
    <w:p>
      <w:pPr>
        <w:pStyle w:val="Indenti"/>
      </w:pPr>
      <w:r>
        <w:tab/>
        <w:t>(i)</w:t>
      </w:r>
      <w:r>
        <w:tab/>
        <w:t>the lease; or</w:t>
      </w:r>
    </w:p>
    <w:p>
      <w:pPr>
        <w:pStyle w:val="Indenti"/>
      </w:pPr>
      <w:r>
        <w:tab/>
        <w:t>(ii)</w:t>
      </w:r>
      <w:r>
        <w:tab/>
        <w:t>a renewal of the lease; or</w:t>
      </w:r>
    </w:p>
    <w:p>
      <w:pPr>
        <w:pStyle w:val="Indenti"/>
      </w:pPr>
      <w:r>
        <w:tab/>
        <w:t>(iii)</w:t>
      </w:r>
      <w:r>
        <w:tab/>
        <w:t>an extension of the lease;</w:t>
      </w:r>
    </w:p>
    <w:p>
      <w:pPr>
        <w:pStyle w:val="Indenta"/>
      </w:pPr>
      <w:r>
        <w:tab/>
      </w:r>
      <w:r>
        <w:tab/>
        <w:t>or</w:t>
      </w:r>
    </w:p>
    <w:p>
      <w:pPr>
        <w:pStyle w:val="Indenta"/>
      </w:pPr>
      <w:r>
        <w:tab/>
        <w:t>(b)</w:t>
      </w:r>
      <w:r>
        <w:tab/>
        <w:t>obtaining the consent of a mortgagee to the lease; or</w:t>
      </w:r>
    </w:p>
    <w:p>
      <w:pPr>
        <w:pStyle w:val="Indenta"/>
      </w:pPr>
      <w:r>
        <w:tab/>
        <w:t>(c)</w:t>
      </w:r>
      <w:r>
        <w:tab/>
        <w:t>the landlord’s compliance with this Act.</w:t>
      </w:r>
    </w:p>
    <w:p>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Footnotesection"/>
      </w:pPr>
      <w:r>
        <w:tab/>
        <w:t>[Section 14B inserted by No. 59 of 2011 s. 14.]</w:t>
      </w:r>
    </w:p>
    <w:p>
      <w:pPr>
        <w:pStyle w:val="Heading5"/>
      </w:pPr>
      <w:bookmarkStart w:id="28" w:name="_Toc401152149"/>
      <w:r>
        <w:rPr>
          <w:rStyle w:val="CharSectno"/>
        </w:rPr>
        <w:t>14C</w:t>
      </w:r>
      <w:r>
        <w:t>.</w:t>
      </w:r>
      <w:r>
        <w:tab/>
        <w:t>Refit etc. of shop, provision in lease requiring tenant to do is void in some cases</w:t>
      </w:r>
      <w:bookmarkEnd w:id="28"/>
    </w:p>
    <w:p>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Footnotesection"/>
      </w:pPr>
      <w:r>
        <w:tab/>
        <w:t>[Section 14C inserted by No. 59 of 2011 s. 14.]</w:t>
      </w:r>
    </w:p>
    <w:p>
      <w:pPr>
        <w:pStyle w:val="Heading5"/>
        <w:rPr>
          <w:snapToGrid w:val="0"/>
        </w:rPr>
      </w:pPr>
      <w:bookmarkStart w:id="29" w:name="_Toc401152150"/>
      <w:r>
        <w:rPr>
          <w:rStyle w:val="CharSectno"/>
        </w:rPr>
        <w:t>15</w:t>
      </w:r>
      <w:r>
        <w:rPr>
          <w:snapToGrid w:val="0"/>
        </w:rPr>
        <w:t>.</w:t>
      </w:r>
      <w:r>
        <w:rPr>
          <w:snapToGrid w:val="0"/>
        </w:rPr>
        <w:tab/>
        <w:t>Provision in lease excluding Act etc. is void etc.</w:t>
      </w:r>
      <w:bookmarkEnd w:id="29"/>
    </w:p>
    <w:p>
      <w:pPr>
        <w:pStyle w:val="Subsection"/>
        <w:rPr>
          <w:snapToGrid w:val="0"/>
        </w:rPr>
      </w:pPr>
      <w:r>
        <w:rPr>
          <w:snapToGrid w:val="0"/>
        </w:rPr>
        <w:tab/>
        <w:t>(1)</w:t>
      </w:r>
      <w:r>
        <w:rPr>
          <w:snapToGrid w:val="0"/>
        </w:rPr>
        <w:tab/>
        <w:t>Any provision of a retail shop lease that purports to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[Section 15 amended by No. 48 of 1990 s. 13; No. 55 of 2004 s. 126.]</w:t>
      </w:r>
    </w:p>
    <w:p>
      <w:pPr>
        <w:pStyle w:val="Heading2"/>
      </w:pPr>
      <w:bookmarkStart w:id="30" w:name="_Toc401152151"/>
      <w:r>
        <w:rPr>
          <w:rStyle w:val="CharPartNo"/>
        </w:rPr>
        <w:t>Part IIA</w:t>
      </w:r>
      <w:r>
        <w:rPr>
          <w:b w:val="0"/>
        </w:rPr>
        <w:t> </w:t>
      </w:r>
      <w:r>
        <w:t>—</w:t>
      </w:r>
      <w:r>
        <w:rPr>
          <w:b w:val="0"/>
        </w:rPr>
        <w:t> </w:t>
      </w:r>
      <w:r>
        <w:rPr>
          <w:rStyle w:val="CharPartText"/>
        </w:rPr>
        <w:t>Unconscionable conduct and misleading or deceptive conduct</w:t>
      </w:r>
      <w:bookmarkEnd w:id="30"/>
    </w:p>
    <w:p>
      <w:pPr>
        <w:pStyle w:val="Footnoteheading"/>
      </w:pPr>
      <w:r>
        <w:tab/>
        <w:t>[Heading inserted by No. 47 of 2006 s. 23; amended by No. 59 of 2011 s. 15.]</w:t>
      </w:r>
    </w:p>
    <w:p>
      <w:pPr>
        <w:pStyle w:val="Heading3"/>
      </w:pPr>
      <w:bookmarkStart w:id="31" w:name="_Toc401152152"/>
      <w:r>
        <w:rPr>
          <w:rStyle w:val="CharDivNo"/>
        </w:rPr>
        <w:t>Division 1</w:t>
      </w:r>
      <w:r>
        <w:t> — </w:t>
      </w:r>
      <w:r>
        <w:rPr>
          <w:rStyle w:val="CharDivText"/>
        </w:rPr>
        <w:t>Unconscionable conduct</w:t>
      </w:r>
      <w:bookmarkEnd w:id="31"/>
    </w:p>
    <w:p>
      <w:pPr>
        <w:pStyle w:val="Footnoteheading"/>
      </w:pPr>
      <w:r>
        <w:tab/>
        <w:t>[Heading inserted by No. 59 of 2011 s. 16.]</w:t>
      </w:r>
    </w:p>
    <w:p>
      <w:pPr>
        <w:pStyle w:val="Heading5"/>
      </w:pPr>
      <w:bookmarkStart w:id="32" w:name="_Toc401152153"/>
      <w:r>
        <w:rPr>
          <w:rStyle w:val="CharSectno"/>
        </w:rPr>
        <w:t>15A</w:t>
      </w:r>
      <w:r>
        <w:t>.</w:t>
      </w:r>
      <w:r>
        <w:tab/>
        <w:t>Terms used</w:t>
      </w:r>
      <w:bookmarkEnd w:id="32"/>
    </w:p>
    <w:p>
      <w:pPr>
        <w:pStyle w:val="Subsection"/>
        <w:spacing w:before="140"/>
      </w:pPr>
      <w:r>
        <w:tab/>
      </w:r>
      <w:r>
        <w:tab/>
        <w:t>In this Division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r>
        <w:tab/>
        <w:t>[Section 15A inserted by No. 47 of 2006 s. 23; amended by No. 59 of 2011 s. 17.]</w:t>
      </w:r>
    </w:p>
    <w:p>
      <w:pPr>
        <w:pStyle w:val="Heading5"/>
      </w:pPr>
      <w:bookmarkStart w:id="33" w:name="_Toc401152154"/>
      <w:r>
        <w:rPr>
          <w:rStyle w:val="CharSectno"/>
        </w:rPr>
        <w:t>15B</w:t>
      </w:r>
      <w:r>
        <w:t>.</w:t>
      </w:r>
      <w:r>
        <w:tab/>
        <w:t>Application of Division</w:t>
      </w:r>
      <w:bookmarkEnd w:id="33"/>
    </w:p>
    <w:p>
      <w:pPr>
        <w:pStyle w:val="Subsection"/>
        <w:spacing w:before="140"/>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pPr>
      <w:r>
        <w:tab/>
        <w:t>(2A)</w:t>
      </w:r>
      <w:r>
        <w:tab/>
        <w:t>In subsection (1) —</w:t>
      </w:r>
    </w:p>
    <w:p>
      <w:pPr>
        <w:pStyle w:val="Defstart"/>
      </w:pPr>
      <w:r>
        <w:tab/>
      </w:r>
      <w:r>
        <w:rPr>
          <w:rStyle w:val="CharDefText"/>
        </w:rPr>
        <w:t>relevant day</w:t>
      </w:r>
      <w:r>
        <w:t xml:space="preserve"> has the meaning given to that term by section 4(3).</w:t>
      </w:r>
    </w:p>
    <w:p>
      <w:pPr>
        <w:pStyle w:val="Subsection"/>
      </w:pPr>
      <w:r>
        <w:tab/>
        <w:t>(2)</w:t>
      </w:r>
      <w:r>
        <w:tab/>
        <w:t>This Division does not apply to conduct that occurred before the commencement.</w:t>
      </w:r>
    </w:p>
    <w:p>
      <w:pPr>
        <w:pStyle w:val="Subsection"/>
      </w:pPr>
      <w:r>
        <w:tab/>
        <w:t>(3)</w:t>
      </w:r>
      <w:r>
        <w:tab/>
        <w:t>Nothing in this Division affects the operation of Division 2.</w:t>
      </w:r>
    </w:p>
    <w:p>
      <w:pPr>
        <w:pStyle w:val="Footnotesection"/>
        <w:ind w:left="890" w:hanging="890"/>
      </w:pPr>
      <w:r>
        <w:tab/>
        <w:t>[Section 15B inserted by No. 47 of 2006 s. 23; amended by No. 59 of 2011 s. 18.]</w:t>
      </w:r>
    </w:p>
    <w:p>
      <w:pPr>
        <w:pStyle w:val="Heading5"/>
      </w:pPr>
      <w:bookmarkStart w:id="34" w:name="_Toc401152155"/>
      <w:r>
        <w:rPr>
          <w:rStyle w:val="CharSectno"/>
        </w:rPr>
        <w:t>15C</w:t>
      </w:r>
      <w:r>
        <w:t>.</w:t>
      </w:r>
      <w:r>
        <w:tab/>
        <w:t>Landlord not to engage in unconscionable conduct</w:t>
      </w:r>
      <w:bookmarkEnd w:id="34"/>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landlord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landlord, the tenant was required to comply with conditions that were not reasonably necessary for the protection of the legitimate interests of the landlord; and</w:t>
      </w:r>
    </w:p>
    <w:p>
      <w:pPr>
        <w:pStyle w:val="Indenta"/>
      </w:pPr>
      <w:r>
        <w:tab/>
        <w:t>(c)</w:t>
      </w:r>
      <w:r>
        <w:tab/>
        <w:t>whether the tenant was able to understand any documents relating to the lease; and</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 and</w:t>
      </w:r>
    </w:p>
    <w:p>
      <w:pPr>
        <w:pStyle w:val="Indenta"/>
      </w:pPr>
      <w:r>
        <w:tab/>
        <w:t>(e)</w:t>
      </w:r>
      <w:r>
        <w:tab/>
        <w:t>the amount for which, and the circumstances under which, the tenant could have acquired an identical or equivalent lease from a person other than the landlord; and</w:t>
      </w:r>
    </w:p>
    <w:p>
      <w:pPr>
        <w:pStyle w:val="Indenta"/>
      </w:pPr>
      <w:r>
        <w:tab/>
        <w:t>(f)</w:t>
      </w:r>
      <w:r>
        <w:tab/>
        <w:t>the extent to which the landlord’s conduct towards the tenant was consistent with the landlord’s conduct in similar transactions between the landlord and other similar tenants; and</w:t>
      </w:r>
    </w:p>
    <w:p>
      <w:pPr>
        <w:pStyle w:val="Indenta"/>
      </w:pPr>
      <w:r>
        <w:tab/>
        <w:t>(g)</w:t>
      </w:r>
      <w:r>
        <w:tab/>
        <w:t>the requirements of any applicable industry code; and</w:t>
      </w:r>
    </w:p>
    <w:p>
      <w:pPr>
        <w:pStyle w:val="Indenta"/>
      </w:pPr>
      <w:r>
        <w:tab/>
        <w:t>(h)</w:t>
      </w:r>
      <w:r>
        <w:tab/>
        <w:t>the requirements of any other industry code, if the tenant acted on the reasonable belief that the landlord would comply with that code; and</w:t>
      </w:r>
    </w:p>
    <w:p>
      <w:pPr>
        <w:pStyle w:val="Indenta"/>
      </w:pPr>
      <w:r>
        <w:tab/>
        <w:t>(i)</w:t>
      </w:r>
      <w:r>
        <w:tab/>
        <w:t>the extent to which the landlord unreasonably failed to disclose to the tenant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r>
      <w:r>
        <w:tab/>
        <w:t>and</w:t>
      </w:r>
    </w:p>
    <w:p>
      <w:pPr>
        <w:pStyle w:val="Indenta"/>
      </w:pPr>
      <w:r>
        <w:tab/>
        <w:t>(j)</w:t>
      </w:r>
      <w:r>
        <w:tab/>
        <w:t>the extent to which the landlord was willing to negotiate the terms and conditions of any lease with the tenant; and</w:t>
      </w:r>
    </w:p>
    <w:p>
      <w:pPr>
        <w:pStyle w:val="Indenta"/>
      </w:pPr>
      <w:r>
        <w:tab/>
        <w:t>(k)</w:t>
      </w:r>
      <w:r>
        <w:tab/>
        <w:t>the extent to which the landlord acted in good faith; and</w:t>
      </w:r>
    </w:p>
    <w:p>
      <w:pPr>
        <w:pStyle w:val="Indenta"/>
      </w:pPr>
      <w:r>
        <w:tab/>
        <w:t>(l)</w:t>
      </w:r>
      <w:r>
        <w:tab/>
        <w:t>the extent to which the landlord was not reasonably willing to negotiate the rent under the lease; and</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In considering whether a landlord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15C inserted by No. 47 of 2006 s. 23.]</w:t>
      </w:r>
    </w:p>
    <w:p>
      <w:pPr>
        <w:pStyle w:val="Heading5"/>
      </w:pPr>
      <w:bookmarkStart w:id="35" w:name="_Toc401152156"/>
      <w:r>
        <w:rPr>
          <w:rStyle w:val="CharSectno"/>
        </w:rPr>
        <w:t>15D</w:t>
      </w:r>
      <w:r>
        <w:t>.</w:t>
      </w:r>
      <w:r>
        <w:tab/>
        <w:t>Tenant not to engage in unconscionable conduct</w:t>
      </w:r>
      <w:bookmarkEnd w:id="35"/>
    </w:p>
    <w:p>
      <w:pPr>
        <w:pStyle w:val="Subsection"/>
      </w:pPr>
      <w:r>
        <w:tab/>
        <w:t>(1)</w:t>
      </w:r>
      <w:r>
        <w:tab/>
        <w:t>A tenant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tenant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tenant, the landlord was required to comply with conditions that were not reasonably necessary for the protection of the legitimate interests of the tenant; and</w:t>
      </w:r>
    </w:p>
    <w:p>
      <w:pPr>
        <w:pStyle w:val="Indenta"/>
      </w:pPr>
      <w:r>
        <w:tab/>
        <w:t>(c)</w:t>
      </w:r>
      <w:r>
        <w:tab/>
        <w:t>whether the landlord was able to understand any documents relating to the lease; and</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 and</w:t>
      </w:r>
    </w:p>
    <w:p>
      <w:pPr>
        <w:pStyle w:val="Indenta"/>
      </w:pPr>
      <w:r>
        <w:tab/>
        <w:t>(e)</w:t>
      </w:r>
      <w:r>
        <w:tab/>
        <w:t>the amount for which, and the circumstances under which, the landlord could have granted an identical or equivalent lease to a person other than the tenant; and</w:t>
      </w:r>
    </w:p>
    <w:p>
      <w:pPr>
        <w:pStyle w:val="Indenta"/>
      </w:pPr>
      <w:r>
        <w:tab/>
        <w:t>(f)</w:t>
      </w:r>
      <w:r>
        <w:tab/>
        <w:t>the extent to which the tenant’s conduct towards the landlord was consistent with the tenant’s conduct in similar transactions between the tenant and other similar landlords; and</w:t>
      </w:r>
    </w:p>
    <w:p>
      <w:pPr>
        <w:pStyle w:val="Indenta"/>
      </w:pPr>
      <w:r>
        <w:tab/>
        <w:t>(g)</w:t>
      </w:r>
      <w:r>
        <w:tab/>
        <w:t>the requirements of any applicable industry code; and</w:t>
      </w:r>
    </w:p>
    <w:p>
      <w:pPr>
        <w:pStyle w:val="Indenta"/>
      </w:pPr>
      <w:r>
        <w:tab/>
        <w:t>(h)</w:t>
      </w:r>
      <w:r>
        <w:tab/>
        <w:t>the requirements of any other industry code, if the landlord acted on the reasonable belief that the tenant would comply with that code; and</w:t>
      </w:r>
    </w:p>
    <w:p>
      <w:pPr>
        <w:pStyle w:val="Indenta"/>
      </w:pPr>
      <w:r>
        <w:tab/>
        <w:t>(i)</w:t>
      </w:r>
      <w:r>
        <w:tab/>
        <w:t>the extent to which the tenant unreasonably failed to disclose to the landlord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r>
      <w:r>
        <w:tab/>
        <w:t>and</w:t>
      </w:r>
    </w:p>
    <w:p>
      <w:pPr>
        <w:pStyle w:val="Indenta"/>
      </w:pPr>
      <w:r>
        <w:tab/>
        <w:t>(j)</w:t>
      </w:r>
      <w:r>
        <w:tab/>
        <w:t>the extent to which the tenant was willing to negotiate the terms and conditions of any lease with the landlord; and</w:t>
      </w:r>
    </w:p>
    <w:p>
      <w:pPr>
        <w:pStyle w:val="Indenta"/>
      </w:pPr>
      <w:r>
        <w:tab/>
        <w:t>(k)</w:t>
      </w:r>
      <w:r>
        <w:tab/>
        <w:t>the extent to which the tenant acted in good faith; and</w:t>
      </w:r>
    </w:p>
    <w:p>
      <w:pPr>
        <w:pStyle w:val="Indenta"/>
      </w:pPr>
      <w:r>
        <w:tab/>
        <w:t>(l)</w:t>
      </w:r>
      <w:r>
        <w:tab/>
        <w:t>the extent to which the tenant was not reasonably willing to negotiate the rent under the lease; and</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In considering whether a tenant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15D inserted by No. 47 of 2006 s. 23.]</w:t>
      </w:r>
    </w:p>
    <w:p>
      <w:pPr>
        <w:pStyle w:val="Heading5"/>
      </w:pPr>
      <w:bookmarkStart w:id="36" w:name="_Toc401152157"/>
      <w:r>
        <w:rPr>
          <w:rStyle w:val="CharSectno"/>
        </w:rPr>
        <w:t>15E</w:t>
      </w:r>
      <w:r>
        <w:t>.</w:t>
      </w:r>
      <w:r>
        <w:tab/>
        <w:t>Conduct that is not unconscionable for s. 15C and 15D</w:t>
      </w:r>
      <w:bookmarkEnd w:id="36"/>
    </w:p>
    <w:p>
      <w:pPr>
        <w:pStyle w:val="Subsection"/>
      </w:pPr>
      <w:r>
        <w:tab/>
      </w:r>
      <w:r>
        <w:tab/>
        <w:t>A person is not to be taken for the purposes of section 15C or 15D to engage in unconscionable conduct in connection with a retail shop lease only because —</w:t>
      </w:r>
    </w:p>
    <w:p>
      <w:pPr>
        <w:pStyle w:val="Indenta"/>
      </w:pPr>
      <w:r>
        <w:tab/>
        <w:t>(a)</w:t>
      </w:r>
      <w:r>
        <w:tab/>
        <w:t>the person institutes legal proceedings in relation to the lease or refers a dispute or claim in relation to the lease to arbitration; or</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r>
        <w:tab/>
        <w:t>[Section 15E inserted by No. 47 of 2006 s. 23.]</w:t>
      </w:r>
    </w:p>
    <w:p>
      <w:pPr>
        <w:pStyle w:val="Heading5"/>
      </w:pPr>
      <w:bookmarkStart w:id="37" w:name="_Toc401152158"/>
      <w:r>
        <w:rPr>
          <w:rStyle w:val="CharSectno"/>
        </w:rPr>
        <w:t>15F</w:t>
      </w:r>
      <w:r>
        <w:t>.</w:t>
      </w:r>
      <w:r>
        <w:tab/>
        <w:t>SAT’s powers as to unconscionable conduct</w:t>
      </w:r>
      <w:bookmarkEnd w:id="37"/>
    </w:p>
    <w:p>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Subsection"/>
      </w:pPr>
      <w:r>
        <w:tab/>
        <w:t>(2)</w:t>
      </w:r>
      <w:r>
        <w:tab/>
        <w:t>An unconscionable conduct application is required to be lodged within 6 years after the alleged unconscionable conduct occurred.</w:t>
      </w:r>
    </w:p>
    <w:p>
      <w:pPr>
        <w:pStyle w:val="Subsection"/>
      </w:pPr>
      <w:r>
        <w:tab/>
        <w:t>(3)</w:t>
      </w:r>
      <w:r>
        <w:tab/>
        <w:t>Without limiting section 26, in proceedings in relation to an unconscionable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In this section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 amended by No. 59 of 2011 s. 19.]</w:t>
      </w:r>
    </w:p>
    <w:p>
      <w:pPr>
        <w:pStyle w:val="Heading3"/>
      </w:pPr>
      <w:bookmarkStart w:id="38" w:name="_Toc401152159"/>
      <w:r>
        <w:rPr>
          <w:rStyle w:val="CharDivNo"/>
        </w:rPr>
        <w:t>Division 2</w:t>
      </w:r>
      <w:r>
        <w:t> — </w:t>
      </w:r>
      <w:r>
        <w:rPr>
          <w:rStyle w:val="CharDivText"/>
        </w:rPr>
        <w:t>Misleading or deceptive conduct</w:t>
      </w:r>
      <w:bookmarkEnd w:id="38"/>
    </w:p>
    <w:p>
      <w:pPr>
        <w:pStyle w:val="Footnoteheading"/>
      </w:pPr>
      <w:r>
        <w:tab/>
        <w:t>[Heading inserted by No. 59 of 2011 s. 20.]</w:t>
      </w:r>
    </w:p>
    <w:p>
      <w:pPr>
        <w:pStyle w:val="Heading5"/>
      </w:pPr>
      <w:bookmarkStart w:id="39" w:name="_Toc401152160"/>
      <w:r>
        <w:rPr>
          <w:rStyle w:val="CharSectno"/>
        </w:rPr>
        <w:t>16A</w:t>
      </w:r>
      <w:r>
        <w:t>.</w:t>
      </w:r>
      <w:r>
        <w:tab/>
        <w:t>Term used: misleading or deceptive conduct</w:t>
      </w:r>
      <w:bookmarkEnd w:id="39"/>
    </w:p>
    <w:p>
      <w:pPr>
        <w:pStyle w:val="Subsection"/>
      </w:pPr>
      <w:r>
        <w:tab/>
      </w:r>
      <w:r>
        <w:tab/>
        <w:t>In this Division —</w:t>
      </w:r>
    </w:p>
    <w:p>
      <w:pPr>
        <w:pStyle w:val="Defstart"/>
      </w:pPr>
      <w:r>
        <w:tab/>
      </w:r>
      <w:r>
        <w:rPr>
          <w:rStyle w:val="CharDefText"/>
        </w:rPr>
        <w:t>misleading or deceptive conduct</w:t>
      </w:r>
      <w:r>
        <w:t xml:space="preserve"> means conduct to which section 16C applies.</w:t>
      </w:r>
    </w:p>
    <w:p>
      <w:pPr>
        <w:pStyle w:val="Footnotesection"/>
      </w:pPr>
      <w:r>
        <w:tab/>
        <w:t>[Section 16A inserted by No. 59 of 2011 s. 20.]</w:t>
      </w:r>
    </w:p>
    <w:p>
      <w:pPr>
        <w:pStyle w:val="Heading5"/>
      </w:pPr>
      <w:bookmarkStart w:id="40" w:name="_Toc401152161"/>
      <w:r>
        <w:rPr>
          <w:rStyle w:val="CharSectno"/>
        </w:rPr>
        <w:t>16B</w:t>
      </w:r>
      <w:r>
        <w:t>.</w:t>
      </w:r>
      <w:r>
        <w:tab/>
        <w:t>Application of Division</w:t>
      </w:r>
      <w:bookmarkEnd w:id="40"/>
    </w:p>
    <w:p>
      <w:pPr>
        <w:pStyle w:val="Subsection"/>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pPr>
      <w:r>
        <w:tab/>
      </w:r>
      <w:r>
        <w:tab/>
        <w:t>if this Act would have applied to the lease had it been entered into on or after that day.</w:t>
      </w:r>
    </w:p>
    <w:p>
      <w:pPr>
        <w:pStyle w:val="Subsection"/>
        <w:spacing w:before="180"/>
      </w:pPr>
      <w:r>
        <w:tab/>
        <w:t>(2)</w:t>
      </w:r>
      <w:r>
        <w:tab/>
        <w:t>In subsection (1) —</w:t>
      </w:r>
    </w:p>
    <w:p>
      <w:pPr>
        <w:pStyle w:val="Defstart"/>
      </w:pPr>
      <w:r>
        <w:tab/>
      </w:r>
      <w:r>
        <w:rPr>
          <w:rStyle w:val="CharDefText"/>
        </w:rPr>
        <w:t>relevant day</w:t>
      </w:r>
      <w:r>
        <w:t xml:space="preserve"> has the meaning given to that term by section 4(3).</w:t>
      </w:r>
    </w:p>
    <w:p>
      <w:pPr>
        <w:pStyle w:val="Subsection"/>
        <w:spacing w:before="180"/>
      </w:pPr>
      <w:r>
        <w:tab/>
        <w:t>(3)</w:t>
      </w:r>
      <w:r>
        <w:tab/>
        <w:t xml:space="preserve">This Division does not apply to conduct that occurred before the commencement of the </w:t>
      </w:r>
      <w:r>
        <w:rPr>
          <w:i/>
          <w:iCs/>
        </w:rPr>
        <w:t>Commercial Tenancy (Retail Shops) Agreements Amendment Act 2011</w:t>
      </w:r>
      <w:r>
        <w:t xml:space="preserve"> section 20</w:t>
      </w:r>
      <w:r>
        <w:rPr>
          <w:vertAlign w:val="superscript"/>
        </w:rPr>
        <w:t> 1</w:t>
      </w:r>
      <w:r>
        <w:t>.</w:t>
      </w:r>
    </w:p>
    <w:p>
      <w:pPr>
        <w:pStyle w:val="Subsection"/>
        <w:spacing w:before="180"/>
      </w:pPr>
      <w:r>
        <w:tab/>
        <w:t>(4)</w:t>
      </w:r>
      <w:r>
        <w:tab/>
        <w:t>Nothing in this Division affects the operation of Division 1.</w:t>
      </w:r>
    </w:p>
    <w:p>
      <w:pPr>
        <w:pStyle w:val="Footnotesection"/>
      </w:pPr>
      <w:r>
        <w:tab/>
        <w:t>[Section 16B inserted by No. 59 of 2011 s. 20.]</w:t>
      </w:r>
    </w:p>
    <w:p>
      <w:pPr>
        <w:pStyle w:val="Heading5"/>
        <w:spacing w:before="280"/>
      </w:pPr>
      <w:bookmarkStart w:id="41" w:name="_Toc401152162"/>
      <w:r>
        <w:rPr>
          <w:rStyle w:val="CharSectno"/>
        </w:rPr>
        <w:t>16C</w:t>
      </w:r>
      <w:r>
        <w:t>.</w:t>
      </w:r>
      <w:r>
        <w:tab/>
        <w:t>Parties to lease not to engage in misleading etc. conduct</w:t>
      </w:r>
      <w:bookmarkEnd w:id="41"/>
    </w:p>
    <w:p>
      <w:pPr>
        <w:pStyle w:val="Subsection"/>
        <w:spacing w:before="180"/>
      </w:pPr>
      <w:r>
        <w:tab/>
      </w:r>
      <w:r>
        <w:tab/>
        <w:t>A party to a retail shop lease must not, in connection with the lease, engage in conduct that is misleading or deceptive to another party to the lease or that is likely to mislead or deceive another party to the lease.</w:t>
      </w:r>
    </w:p>
    <w:p>
      <w:pPr>
        <w:pStyle w:val="Footnotesection"/>
      </w:pPr>
      <w:r>
        <w:tab/>
        <w:t>[Section 16C inserted by No. 59 of 2011 s. 20.]</w:t>
      </w:r>
    </w:p>
    <w:p>
      <w:pPr>
        <w:pStyle w:val="Heading5"/>
        <w:spacing w:before="280"/>
      </w:pPr>
      <w:bookmarkStart w:id="42" w:name="_Toc401152163"/>
      <w:r>
        <w:rPr>
          <w:rStyle w:val="CharSectno"/>
        </w:rPr>
        <w:t>16D</w:t>
      </w:r>
      <w:r>
        <w:t>.</w:t>
      </w:r>
      <w:r>
        <w:tab/>
        <w:t>SAT’s powers as to misleading etc. conduct</w:t>
      </w:r>
      <w:bookmarkEnd w:id="42"/>
    </w:p>
    <w:p>
      <w:pPr>
        <w:pStyle w:val="Subsection"/>
        <w:spacing w:before="180"/>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Subsection"/>
        <w:spacing w:before="180"/>
      </w:pPr>
      <w:r>
        <w:tab/>
        <w:t>(2)</w:t>
      </w:r>
      <w:r>
        <w:tab/>
        <w:t>A misleading or deceptive conduct application is required to be lodged within 6 years after the alleged misleading or deceptive conduct occurred.</w:t>
      </w:r>
    </w:p>
    <w:p>
      <w:pPr>
        <w:pStyle w:val="Subsection"/>
      </w:pPr>
      <w:r>
        <w:tab/>
        <w:t>(3)</w:t>
      </w:r>
      <w:r>
        <w:tab/>
        <w:t>Without limiting section 26, in proceedings in relation to a misleading or deceptive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 misleading or deceptive conduct application, if the Tribunal considers it appropriate to do so.</w:t>
      </w:r>
    </w:p>
    <w:p>
      <w:pPr>
        <w:pStyle w:val="Subsection"/>
      </w:pPr>
      <w:r>
        <w:tab/>
        <w:t>(7)</w:t>
      </w:r>
      <w:r>
        <w:tab/>
        <w:t>In this section —</w:t>
      </w:r>
    </w:p>
    <w:p>
      <w:pPr>
        <w:pStyle w:val="Defstart"/>
      </w:pPr>
      <w:r>
        <w:tab/>
      </w:r>
      <w:r>
        <w:rPr>
          <w:rStyle w:val="CharDefText"/>
        </w:rPr>
        <w:t>specified</w:t>
      </w:r>
      <w:r>
        <w:t>, in relation to an order, means specified in the order.</w:t>
      </w:r>
    </w:p>
    <w:p>
      <w:pPr>
        <w:pStyle w:val="Footnotesection"/>
      </w:pPr>
      <w:r>
        <w:tab/>
        <w:t>[Section 16D inserted by No. 59 of 2011 s. 20.]</w:t>
      </w:r>
    </w:p>
    <w:p>
      <w:pPr>
        <w:pStyle w:val="Heading3"/>
      </w:pPr>
      <w:bookmarkStart w:id="43" w:name="_Toc401152164"/>
      <w:r>
        <w:rPr>
          <w:rStyle w:val="CharDivNo"/>
        </w:rPr>
        <w:t>Division 3</w:t>
      </w:r>
      <w:r>
        <w:t> — </w:t>
      </w:r>
      <w:r>
        <w:rPr>
          <w:rStyle w:val="CharDivText"/>
        </w:rPr>
        <w:t>Reference of questions to State Administrative Tribunal</w:t>
      </w:r>
      <w:bookmarkEnd w:id="43"/>
    </w:p>
    <w:p>
      <w:pPr>
        <w:pStyle w:val="Footnoteheading"/>
        <w:keepNext/>
      </w:pPr>
      <w:r>
        <w:tab/>
        <w:t>[Heading inserted by No. 59 of 2011 s. 21.]</w:t>
      </w:r>
    </w:p>
    <w:p>
      <w:pPr>
        <w:pStyle w:val="Heading5"/>
        <w:rPr>
          <w:snapToGrid w:val="0"/>
        </w:rPr>
      </w:pPr>
      <w:bookmarkStart w:id="44" w:name="_Toc401152165"/>
      <w:r>
        <w:rPr>
          <w:rStyle w:val="CharSectno"/>
        </w:rPr>
        <w:t>16</w:t>
      </w:r>
      <w:r>
        <w:rPr>
          <w:snapToGrid w:val="0"/>
        </w:rPr>
        <w:t>.</w:t>
      </w:r>
      <w:r>
        <w:rPr>
          <w:snapToGrid w:val="0"/>
        </w:rPr>
        <w:tab/>
        <w:t>Party to lease may refer question to SAT</w:t>
      </w:r>
      <w:bookmarkEnd w:id="44"/>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Footnotesection"/>
      </w:pPr>
      <w:r>
        <w:tab/>
        <w:t>[Section 16 inserted by No. 48 of 1990 s. 14; amended by No. 55 of 2004 s. 127; No. 47 of 2006 s. 25; No. 5 of 2008 s. 19.]</w:t>
      </w:r>
    </w:p>
    <w:p>
      <w:pPr>
        <w:pStyle w:val="Ednotesection"/>
      </w:pPr>
      <w:r>
        <w:t>[</w:t>
      </w:r>
      <w:r>
        <w:rPr>
          <w:b/>
        </w:rPr>
        <w:t>17.</w:t>
      </w:r>
      <w:r>
        <w:tab/>
        <w:t>Deleted by No. 48 of 1990 s. 14.]</w:t>
      </w:r>
    </w:p>
    <w:p>
      <w:pPr>
        <w:pStyle w:val="Ednotesection"/>
      </w:pPr>
      <w:r>
        <w:t>[</w:t>
      </w:r>
      <w:r>
        <w:rPr>
          <w:b/>
        </w:rPr>
        <w:t>18</w:t>
      </w:r>
      <w:r>
        <w:rPr>
          <w:b/>
        </w:rPr>
        <w:noBreakHyphen/>
        <w:t>23.</w:t>
      </w:r>
      <w:r>
        <w:tab/>
        <w:t>Deleted by No. 55 of 2004 s. 128.]</w:t>
      </w:r>
    </w:p>
    <w:p>
      <w:pPr>
        <w:pStyle w:val="Heading2"/>
      </w:pPr>
      <w:bookmarkStart w:id="45" w:name="_Toc401152166"/>
      <w:r>
        <w:rPr>
          <w:rStyle w:val="CharPartNo"/>
        </w:rPr>
        <w:t>Part III</w:t>
      </w:r>
      <w:r>
        <w:rPr>
          <w:rStyle w:val="CharDivNo"/>
        </w:rPr>
        <w:t> </w:t>
      </w:r>
      <w:r>
        <w:t>—</w:t>
      </w:r>
      <w:r>
        <w:rPr>
          <w:rStyle w:val="CharDivText"/>
        </w:rPr>
        <w:t xml:space="preserve"> </w:t>
      </w:r>
      <w:r>
        <w:rPr>
          <w:rStyle w:val="CharPartText"/>
        </w:rPr>
        <w:t>Powers and procedure for dealing with matters</w:t>
      </w:r>
      <w:bookmarkEnd w:id="45"/>
    </w:p>
    <w:p>
      <w:pPr>
        <w:pStyle w:val="Footnoteheading"/>
        <w:spacing w:before="80"/>
      </w:pPr>
      <w:r>
        <w:tab/>
        <w:t>[Heading inserted by No. 5 of 2008 s. 20.]</w:t>
      </w:r>
    </w:p>
    <w:p>
      <w:pPr>
        <w:pStyle w:val="Heading5"/>
        <w:spacing w:before="190"/>
      </w:pPr>
      <w:bookmarkStart w:id="46" w:name="_Toc401152167"/>
      <w:r>
        <w:rPr>
          <w:rStyle w:val="CharSectno"/>
        </w:rPr>
        <w:t>24</w:t>
      </w:r>
      <w:r>
        <w:t>.</w:t>
      </w:r>
      <w:r>
        <w:tab/>
        <w:t>Term used: matter</w:t>
      </w:r>
      <w:bookmarkEnd w:id="46"/>
    </w:p>
    <w:p>
      <w:pPr>
        <w:pStyle w:val="Subsection"/>
        <w:spacing w:before="120"/>
      </w:pPr>
      <w:r>
        <w:tab/>
      </w:r>
      <w:r>
        <w:tab/>
        <w:t>In this Part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spacing w:before="100"/>
        <w:ind w:left="890" w:hanging="890"/>
      </w:pPr>
      <w:r>
        <w:tab/>
        <w:t>[Section 24 inserted by No. 5 of 2008 s. 20.]</w:t>
      </w:r>
    </w:p>
    <w:p>
      <w:pPr>
        <w:pStyle w:val="Heading5"/>
        <w:spacing w:before="200"/>
      </w:pPr>
      <w:bookmarkStart w:id="47" w:name="_Toc401152168"/>
      <w:r>
        <w:rPr>
          <w:rStyle w:val="CharSectno"/>
        </w:rPr>
        <w:t>25A</w:t>
      </w:r>
      <w:r>
        <w:t>.</w:t>
      </w:r>
      <w:r>
        <w:tab/>
        <w:t xml:space="preserve">Resolution of matter using </w:t>
      </w:r>
      <w:r>
        <w:rPr>
          <w:i/>
          <w:iCs/>
        </w:rPr>
        <w:t>Small Business Development Corporation Act 1983</w:t>
      </w:r>
      <w:r>
        <w:t xml:space="preserve"> s. 15C or 15E, request for</w:t>
      </w:r>
      <w:bookmarkEnd w:id="47"/>
    </w:p>
    <w:p>
      <w:pPr>
        <w:pStyle w:val="Subsection"/>
        <w:spacing w:before="120"/>
      </w:pPr>
      <w:r>
        <w:tab/>
      </w:r>
      <w:r>
        <w:tab/>
        <w:t>A person who may, under this Act, make an application, referral or submission to the Tribunal may request the Small Business Commissioner —</w:t>
      </w:r>
    </w:p>
    <w:p>
      <w:pPr>
        <w:pStyle w:val="Indenta"/>
        <w:spacing w:before="60"/>
      </w:pPr>
      <w:r>
        <w:tab/>
        <w:t>(a)</w:t>
      </w:r>
      <w:r>
        <w:tab/>
        <w:t xml:space="preserve">to provide assistance to attempt to resolve the matter under the </w:t>
      </w:r>
      <w:r>
        <w:rPr>
          <w:i/>
          <w:iCs/>
        </w:rPr>
        <w:t>Small Business Development Corporation Act 1983</w:t>
      </w:r>
      <w:r>
        <w:t xml:space="preserve"> section 15C; or</w:t>
      </w:r>
    </w:p>
    <w:p>
      <w:pPr>
        <w:pStyle w:val="Indenta"/>
        <w:spacing w:before="60"/>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spacing w:before="80"/>
        <w:ind w:left="890" w:hanging="890"/>
      </w:pPr>
      <w:r>
        <w:tab/>
        <w:t>[Section 25A inserted by No. 20 of 2011 s. 32.]</w:t>
      </w:r>
    </w:p>
    <w:p>
      <w:pPr>
        <w:pStyle w:val="Heading5"/>
        <w:spacing w:before="190"/>
      </w:pPr>
      <w:bookmarkStart w:id="48" w:name="_Toc401152169"/>
      <w:r>
        <w:rPr>
          <w:rStyle w:val="CharSectno"/>
        </w:rPr>
        <w:t>25B</w:t>
      </w:r>
      <w:r>
        <w:t>.</w:t>
      </w:r>
      <w:r>
        <w:tab/>
        <w:t>Confidential information may be disclosed to Commissioner</w:t>
      </w:r>
      <w:bookmarkEnd w:id="48"/>
    </w:p>
    <w:p>
      <w:pPr>
        <w:pStyle w:val="Subsection"/>
        <w:spacing w:before="120"/>
      </w:pPr>
      <w:r>
        <w:tab/>
        <w:t>(1)</w:t>
      </w:r>
      <w:r>
        <w:tab/>
        <w:t>In this section —</w:t>
      </w:r>
    </w:p>
    <w:p>
      <w:pPr>
        <w:pStyle w:val="Defstart"/>
      </w:pPr>
      <w:r>
        <w:tab/>
      </w:r>
      <w:r>
        <w:rPr>
          <w:rStyle w:val="CharDefText"/>
        </w:rPr>
        <w:t>confidential information</w:t>
      </w:r>
      <w:r>
        <w:t>, in relation to a matter, means information given to a person who acts under section 11(3) in the matter.</w:t>
      </w:r>
    </w:p>
    <w:p>
      <w:pPr>
        <w:pStyle w:val="Subsection"/>
        <w:spacing w:before="120"/>
      </w:pPr>
      <w:r>
        <w:tab/>
        <w:t>(2)</w:t>
      </w:r>
      <w:r>
        <w:tab/>
        <w:t>A person who has confidential information in relation to a matter that is the subject of a request under section 25A may disclose the information if the Small Business Commissioner so requires.</w:t>
      </w:r>
    </w:p>
    <w:p>
      <w:pPr>
        <w:pStyle w:val="Footnotesection"/>
        <w:spacing w:before="80"/>
        <w:ind w:left="890" w:hanging="890"/>
      </w:pPr>
      <w:r>
        <w:tab/>
        <w:t>[Section 25B inserted by No. 20 of 2011 s. 32.]</w:t>
      </w:r>
    </w:p>
    <w:p>
      <w:pPr>
        <w:pStyle w:val="Heading5"/>
      </w:pPr>
      <w:bookmarkStart w:id="49" w:name="_Toc401152170"/>
      <w:r>
        <w:rPr>
          <w:rStyle w:val="CharSectno"/>
        </w:rPr>
        <w:t>25C</w:t>
      </w:r>
      <w:r>
        <w:t>.</w:t>
      </w:r>
      <w:r>
        <w:tab/>
        <w:t>Commissioner to issue certificate if matter not resolved etc.</w:t>
      </w:r>
      <w:bookmarkEnd w:id="49"/>
    </w:p>
    <w:p>
      <w:pPr>
        <w:pStyle w:val="Subsection"/>
        <w:spacing w:before="150"/>
      </w:pPr>
      <w:r>
        <w:tab/>
        <w:t>(1)</w:t>
      </w:r>
      <w:r>
        <w:tab/>
        <w:t>The Small Business Commissioner must, on the request of a person who may, under this Act, make an application, referral or submission to the Tribunal, issue a certificate to the person if the Commissioner is satisfied that —</w:t>
      </w:r>
    </w:p>
    <w:p>
      <w:pPr>
        <w:pStyle w:val="Indenta"/>
        <w:spacing w:before="60"/>
      </w:pPr>
      <w:r>
        <w:tab/>
        <w:t>(a)</w:t>
      </w:r>
      <w:r>
        <w:tab/>
        <w:t>the matter is unlikely to be resolved with the assistance of alternative dispute resolution; or</w:t>
      </w:r>
    </w:p>
    <w:p>
      <w:pPr>
        <w:pStyle w:val="Indenta"/>
        <w:spacing w:before="60"/>
      </w:pPr>
      <w:r>
        <w:tab/>
        <w:t>(b)</w:t>
      </w:r>
      <w:r>
        <w:tab/>
        <w:t>it would not be reasonable in the circumstances to commence an alternative dispute resolution proceeding in respect of the matter; or</w:t>
      </w:r>
    </w:p>
    <w:p>
      <w:pPr>
        <w:pStyle w:val="Indenta"/>
        <w:spacing w:before="60"/>
      </w:pPr>
      <w:r>
        <w:tab/>
        <w:t>(c)</w:t>
      </w:r>
      <w:r>
        <w:tab/>
        <w:t>alternative dispute resolution has failed to resolve the matter.</w:t>
      </w:r>
    </w:p>
    <w:p>
      <w:pPr>
        <w:pStyle w:val="Subsection"/>
        <w:spacing w:before="150"/>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spacing w:before="100"/>
        <w:ind w:left="890" w:hanging="890"/>
      </w:pPr>
      <w:r>
        <w:tab/>
        <w:t>[Section 25C inserted by No. 20 of 2011 s. 32.]</w:t>
      </w:r>
    </w:p>
    <w:p>
      <w:pPr>
        <w:pStyle w:val="Heading5"/>
      </w:pPr>
      <w:bookmarkStart w:id="50" w:name="_Toc401152171"/>
      <w:r>
        <w:rPr>
          <w:rStyle w:val="CharSectno"/>
        </w:rPr>
        <w:t>25D</w:t>
      </w:r>
      <w:r>
        <w:t>.</w:t>
      </w:r>
      <w:r>
        <w:tab/>
        <w:t>Application to SAT restricted in certain circumstances</w:t>
      </w:r>
      <w:bookmarkEnd w:id="50"/>
    </w:p>
    <w:p>
      <w:pPr>
        <w:pStyle w:val="Subsection"/>
        <w:spacing w:before="150"/>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spacing w:before="150"/>
      </w:pPr>
      <w:r>
        <w:tab/>
        <w:t>(2)</w:t>
      </w:r>
      <w:r>
        <w:tab/>
        <w:t>Subsection (1) does not apply in respect of a matter prescribed by the regulations for the purposes of this section.</w:t>
      </w:r>
    </w:p>
    <w:p>
      <w:pPr>
        <w:pStyle w:val="Subsection"/>
        <w:spacing w:before="150"/>
      </w:pPr>
      <w:r>
        <w:tab/>
        <w:t>(3)</w:t>
      </w:r>
      <w:r>
        <w:tab/>
        <w:t>Nothing in this section prevents a person from making a request to the Small Business Commissioner under section 25A.</w:t>
      </w:r>
    </w:p>
    <w:p>
      <w:pPr>
        <w:pStyle w:val="Footnotesection"/>
        <w:spacing w:before="100"/>
        <w:ind w:left="890" w:hanging="890"/>
      </w:pPr>
      <w:r>
        <w:tab/>
        <w:t>[Section 25D inserted by No. 20 of 2011 s. 32.]</w:t>
      </w:r>
    </w:p>
    <w:p>
      <w:pPr>
        <w:pStyle w:val="Heading5"/>
      </w:pPr>
      <w:bookmarkStart w:id="51" w:name="_Toc401152172"/>
      <w:r>
        <w:rPr>
          <w:rStyle w:val="CharSectno"/>
        </w:rPr>
        <w:t>25E</w:t>
      </w:r>
      <w:r>
        <w:t>.</w:t>
      </w:r>
      <w:r>
        <w:tab/>
        <w:t>Commissioner may intervene in SAT proceeding</w:t>
      </w:r>
      <w:bookmarkEnd w:id="51"/>
    </w:p>
    <w:p>
      <w:pPr>
        <w:pStyle w:val="Subsection"/>
        <w:spacing w:before="150"/>
      </w:pPr>
      <w:r>
        <w:tab/>
      </w:r>
      <w:r>
        <w:tab/>
        <w:t>The Small Business Commissioner may intervene at any time in a proceeding of the Tribunal in relation to a matter.</w:t>
      </w:r>
    </w:p>
    <w:p>
      <w:pPr>
        <w:pStyle w:val="Footnotesection"/>
        <w:spacing w:before="100"/>
        <w:ind w:left="890" w:hanging="890"/>
      </w:pPr>
      <w:r>
        <w:tab/>
        <w:t>[Section 25E inserted by No. 20 of 2011 s. 32.]</w:t>
      </w:r>
    </w:p>
    <w:p>
      <w:pPr>
        <w:pStyle w:val="Heading5"/>
      </w:pPr>
      <w:bookmarkStart w:id="52" w:name="_Toc401152173"/>
      <w:r>
        <w:rPr>
          <w:rStyle w:val="CharSectno"/>
        </w:rPr>
        <w:t>25</w:t>
      </w:r>
      <w:r>
        <w:t>.</w:t>
      </w:r>
      <w:r>
        <w:tab/>
      </w:r>
      <w:r>
        <w:rPr>
          <w:i/>
          <w:iCs/>
        </w:rPr>
        <w:t>State Administrative Tribunal Act 2004</w:t>
      </w:r>
      <w:r>
        <w:rPr>
          <w:iCs/>
        </w:rPr>
        <w:t>, relationship of this Part to</w:t>
      </w:r>
      <w:bookmarkEnd w:id="52"/>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53" w:name="_Toc401152174"/>
      <w:r>
        <w:rPr>
          <w:rStyle w:val="CharSectno"/>
        </w:rPr>
        <w:t>26</w:t>
      </w:r>
      <w:r>
        <w:rPr>
          <w:snapToGrid w:val="0"/>
        </w:rPr>
        <w:t>.</w:t>
      </w:r>
      <w:r>
        <w:rPr>
          <w:snapToGrid w:val="0"/>
        </w:rPr>
        <w:tab/>
        <w:t>SAT’s powers to make orders</w:t>
      </w:r>
      <w:bookmarkEnd w:id="53"/>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 or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spacing w:before="140"/>
        <w:ind w:left="890" w:hanging="890"/>
      </w:pPr>
      <w:r>
        <w:tab/>
        <w:t>[Section 26 amended by No. 48 of 1990 s. 20; No. 66 of 1998 s. 11; No. 55 of 2004 s. 129; No. 5 of 2008 s. 21; No. 20 of 2011 s. 33; No. 59 of 2011 s. 22.]</w:t>
      </w:r>
    </w:p>
    <w:p>
      <w:pPr>
        <w:pStyle w:val="Heading5"/>
        <w:spacing w:before="280"/>
        <w:rPr>
          <w:snapToGrid w:val="0"/>
        </w:rPr>
      </w:pPr>
      <w:bookmarkStart w:id="54" w:name="_Toc401152175"/>
      <w:r>
        <w:rPr>
          <w:rStyle w:val="CharSectno"/>
        </w:rPr>
        <w:t>27</w:t>
      </w:r>
      <w:r>
        <w:rPr>
          <w:snapToGrid w:val="0"/>
        </w:rPr>
        <w:t>.</w:t>
      </w:r>
      <w:r>
        <w:rPr>
          <w:snapToGrid w:val="0"/>
        </w:rPr>
        <w:tab/>
        <w:t>Both court and SAT having jurisdiction, procedure etc. in case of</w:t>
      </w:r>
      <w:bookmarkEnd w:id="54"/>
    </w:p>
    <w:p>
      <w:pPr>
        <w:pStyle w:val="Subsection"/>
        <w:spacing w:before="180"/>
      </w:pPr>
      <w:r>
        <w:tab/>
        <w:t>(1)</w:t>
      </w:r>
      <w:r>
        <w:tab/>
        <w:t>If both a court and the Tribunal have jurisdiction to determine a matter, proceedings to determine the matter may be instituted either —</w:t>
      </w:r>
    </w:p>
    <w:p>
      <w:pPr>
        <w:pStyle w:val="Indenta"/>
        <w:spacing w:before="100"/>
      </w:pPr>
      <w:r>
        <w:tab/>
        <w:t>(a)</w:t>
      </w:r>
      <w:r>
        <w:tab/>
        <w:t>before the court; or</w:t>
      </w:r>
    </w:p>
    <w:p>
      <w:pPr>
        <w:pStyle w:val="Indenta"/>
        <w:spacing w:before="100"/>
      </w:pPr>
      <w:r>
        <w:tab/>
        <w:t>(b)</w:t>
      </w:r>
      <w:r>
        <w:tab/>
        <w:t>before the Tribunal,</w:t>
      </w:r>
    </w:p>
    <w:p>
      <w:pPr>
        <w:pStyle w:val="Subsection"/>
        <w:spacing w:before="180"/>
      </w:pPr>
      <w:r>
        <w:tab/>
      </w:r>
      <w:r>
        <w:tab/>
        <w:t>but not both.</w:t>
      </w:r>
    </w:p>
    <w:p>
      <w:pPr>
        <w:pStyle w:val="Subsection"/>
        <w:spacing w:before="180"/>
      </w:pPr>
      <w:r>
        <w:tab/>
        <w:t>(2)</w:t>
      </w:r>
      <w:r>
        <w:tab/>
        <w:t>If a matter is before a court, the court may order it to be transferred to the Tribunal if —</w:t>
      </w:r>
    </w:p>
    <w:p>
      <w:pPr>
        <w:pStyle w:val="Indenta"/>
        <w:spacing w:before="100"/>
      </w:pPr>
      <w:r>
        <w:tab/>
        <w:t>(a)</w:t>
      </w:r>
      <w:r>
        <w:tab/>
        <w:t>all parties to the matter so agree; or</w:t>
      </w:r>
    </w:p>
    <w:p>
      <w:pPr>
        <w:pStyle w:val="Indenta"/>
        <w:spacing w:before="100"/>
      </w:pPr>
      <w:r>
        <w:tab/>
        <w:t>(b)</w:t>
      </w:r>
      <w:r>
        <w:tab/>
        <w:t>the court, on its own initiative or on the application of a party, decides it is in the interests of justice to do so.</w:t>
      </w:r>
    </w:p>
    <w:p>
      <w:pPr>
        <w:pStyle w:val="Subsection"/>
        <w:spacing w:before="180"/>
      </w:pPr>
      <w:r>
        <w:tab/>
        <w:t>(3)</w:t>
      </w:r>
      <w:r>
        <w:tab/>
        <w:t>If a matter is before the Tribunal and is one that a court also has jurisdiction to determine, the Tribunal may order it to be transferred to the court if —</w:t>
      </w:r>
    </w:p>
    <w:p>
      <w:pPr>
        <w:pStyle w:val="Indenta"/>
        <w:spacing w:before="100"/>
      </w:pPr>
      <w:r>
        <w:tab/>
        <w:t>(a)</w:t>
      </w:r>
      <w:r>
        <w:tab/>
        <w:t>all parties to the matter so agree; or</w:t>
      </w:r>
    </w:p>
    <w:p>
      <w:pPr>
        <w:pStyle w:val="Indenta"/>
        <w:spacing w:before="100"/>
      </w:pPr>
      <w:r>
        <w:tab/>
        <w:t>(b)</w:t>
      </w:r>
      <w:r>
        <w:tab/>
        <w:t>the Tribunal, on its own initiative or on the application of a party, decides it is in the interests of justice to do so.</w:t>
      </w:r>
    </w:p>
    <w:p>
      <w:pPr>
        <w:pStyle w:val="Subsection"/>
        <w:spacing w:before="180"/>
      </w:pPr>
      <w:r>
        <w:tab/>
        <w:t>(4)</w:t>
      </w:r>
      <w:r>
        <w:tab/>
        <w:t>Where —</w:t>
      </w:r>
    </w:p>
    <w:p>
      <w:pPr>
        <w:pStyle w:val="Indenta"/>
        <w:spacing w:before="100"/>
      </w:pPr>
      <w:r>
        <w:tab/>
        <w:t>(a)</w:t>
      </w:r>
      <w:r>
        <w:tab/>
        <w:t>an unconscionable conduct application or misleading or deceptive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This subsection applies if —</w:t>
      </w:r>
    </w:p>
    <w:p>
      <w:pPr>
        <w:pStyle w:val="Indenta"/>
      </w:pPr>
      <w:r>
        <w:tab/>
        <w:t>(a)</w:t>
      </w:r>
      <w:r>
        <w:tab/>
        <w:t>an application referred to in subsection (4), or a part of such an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Where —</w:t>
      </w:r>
    </w:p>
    <w:p>
      <w:pPr>
        <w:pStyle w:val="Indenta"/>
      </w:pPr>
      <w:r>
        <w:tab/>
        <w:t>(a)</w:t>
      </w:r>
      <w:r>
        <w:tab/>
        <w:t>an application referred to in subsection (4)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This subsection applies if —</w:t>
      </w:r>
    </w:p>
    <w:p>
      <w:pPr>
        <w:pStyle w:val="Indenta"/>
      </w:pPr>
      <w:r>
        <w:tab/>
        <w:t>(a)</w:t>
      </w:r>
      <w:r>
        <w:tab/>
        <w:t>the proceedings referred to in subsection (6) are, or the part of those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 No. 59 of 2011 s. 23.]</w:t>
      </w:r>
    </w:p>
    <w:p>
      <w:pPr>
        <w:pStyle w:val="Heading2"/>
      </w:pPr>
      <w:bookmarkStart w:id="55" w:name="_Toc401152176"/>
      <w:r>
        <w:rPr>
          <w:rStyle w:val="CharPartNo"/>
        </w:rPr>
        <w:t>Part IV</w:t>
      </w:r>
      <w:r>
        <w:rPr>
          <w:rStyle w:val="CharDivNo"/>
        </w:rPr>
        <w:t> </w:t>
      </w:r>
      <w:r>
        <w:t>—</w:t>
      </w:r>
      <w:r>
        <w:rPr>
          <w:rStyle w:val="CharDivText"/>
        </w:rPr>
        <w:t> </w:t>
      </w:r>
      <w:r>
        <w:rPr>
          <w:rStyle w:val="CharPartText"/>
        </w:rPr>
        <w:t>Miscellaneous</w:t>
      </w:r>
      <w:bookmarkEnd w:id="55"/>
    </w:p>
    <w:p>
      <w:pPr>
        <w:pStyle w:val="Heading5"/>
        <w:spacing w:before="240"/>
        <w:rPr>
          <w:snapToGrid w:val="0"/>
        </w:rPr>
      </w:pPr>
      <w:bookmarkStart w:id="56" w:name="_Toc401152177"/>
      <w:r>
        <w:rPr>
          <w:rStyle w:val="CharSectno"/>
        </w:rPr>
        <w:t>28</w:t>
      </w:r>
      <w:r>
        <w:rPr>
          <w:snapToGrid w:val="0"/>
        </w:rPr>
        <w:t>.</w:t>
      </w:r>
      <w:r>
        <w:rPr>
          <w:snapToGrid w:val="0"/>
        </w:rPr>
        <w:tab/>
        <w:t>Protection from liability for some persons</w:t>
      </w:r>
      <w:bookmarkEnd w:id="56"/>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Heading5"/>
      </w:pPr>
      <w:bookmarkStart w:id="57" w:name="_Toc401152178"/>
      <w:r>
        <w:rPr>
          <w:rStyle w:val="CharSectno"/>
        </w:rPr>
        <w:t>29</w:t>
      </w:r>
      <w:r>
        <w:t>.</w:t>
      </w:r>
      <w:r>
        <w:tab/>
        <w:t>Transitional provisions (Sch. 1)</w:t>
      </w:r>
      <w:bookmarkEnd w:id="57"/>
    </w:p>
    <w:p>
      <w:pPr>
        <w:pStyle w:val="Subsection"/>
      </w:pPr>
      <w:r>
        <w:tab/>
      </w:r>
      <w:r>
        <w:tab/>
        <w:t>Schedule 1 sets out transitional provisions.</w:t>
      </w:r>
    </w:p>
    <w:p>
      <w:pPr>
        <w:pStyle w:val="Footnotesection"/>
      </w:pPr>
      <w:r>
        <w:tab/>
        <w:t>[Section 29 inserted by No. 59 of 2011 s. 24.]</w:t>
      </w:r>
    </w:p>
    <w:p>
      <w:pPr>
        <w:pStyle w:val="Heading5"/>
      </w:pPr>
      <w:bookmarkStart w:id="58" w:name="_Toc401152179"/>
      <w:r>
        <w:rPr>
          <w:rStyle w:val="CharSectno"/>
        </w:rPr>
        <w:t>30A</w:t>
      </w:r>
      <w:r>
        <w:t>.</w:t>
      </w:r>
      <w:r>
        <w:tab/>
        <w:t>Small Business Commissioner, functions of</w:t>
      </w:r>
      <w:bookmarkEnd w:id="58"/>
    </w:p>
    <w:p>
      <w:pPr>
        <w:pStyle w:val="Subsection"/>
      </w:pPr>
      <w:r>
        <w:tab/>
      </w:r>
      <w:r>
        <w:tab/>
        <w:t>The Small Business Commissioner has the following functions under this Act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59" w:name="_Toc401152180"/>
      <w:r>
        <w:rPr>
          <w:rStyle w:val="CharSectno"/>
        </w:rPr>
        <w:t>30</w:t>
      </w:r>
      <w:r>
        <w:rPr>
          <w:snapToGrid w:val="0"/>
        </w:rPr>
        <w:t>.</w:t>
      </w:r>
      <w:r>
        <w:rPr>
          <w:snapToGrid w:val="0"/>
        </w:rPr>
        <w:tab/>
        <w:t>Regulations</w:t>
      </w:r>
      <w:bookmarkEnd w:id="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subsection (1) prescribing standard trading hours for the purposes of section 12(1)(c) may prescribe those standard trading hours generally or in relation to —</w:t>
      </w:r>
    </w:p>
    <w:p>
      <w:pPr>
        <w:pStyle w:val="Indenta"/>
        <w:rPr>
          <w:snapToGrid w:val="0"/>
        </w:rPr>
      </w:pPr>
      <w:r>
        <w:rPr>
          <w:snapToGrid w:val="0"/>
        </w:rPr>
        <w:tab/>
        <w:t>(a)</w:t>
      </w:r>
      <w:r>
        <w:rPr>
          <w:snapToGrid w:val="0"/>
        </w:rPr>
        <w:tab/>
        <w:t>a specified class or classes of retail shop; or</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 12.]</w:t>
      </w:r>
    </w:p>
    <w:p>
      <w:pPr>
        <w:pStyle w:val="Heading5"/>
        <w:spacing w:before="240"/>
        <w:rPr>
          <w:snapToGrid w:val="0"/>
        </w:rPr>
      </w:pPr>
      <w:bookmarkStart w:id="60" w:name="_Toc401152181"/>
      <w:r>
        <w:rPr>
          <w:rStyle w:val="CharSectno"/>
        </w:rPr>
        <w:t>31</w:t>
      </w:r>
      <w:r>
        <w:rPr>
          <w:snapToGrid w:val="0"/>
        </w:rPr>
        <w:t>.</w:t>
      </w:r>
      <w:r>
        <w:rPr>
          <w:snapToGrid w:val="0"/>
        </w:rPr>
        <w:tab/>
        <w:t>Review of Act</w:t>
      </w:r>
      <w:bookmarkEnd w:id="60"/>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Tenancy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 13.]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1" w:name="_Toc401152182"/>
      <w:r>
        <w:rPr>
          <w:rStyle w:val="CharSchNo"/>
        </w:rPr>
        <w:t>Schedule 1</w:t>
      </w:r>
      <w:r>
        <w:t> — </w:t>
      </w:r>
      <w:r>
        <w:rPr>
          <w:rStyle w:val="CharSchText"/>
        </w:rPr>
        <w:t>Transitional provisions</w:t>
      </w:r>
      <w:bookmarkEnd w:id="61"/>
    </w:p>
    <w:p>
      <w:pPr>
        <w:pStyle w:val="yShoulderClause"/>
      </w:pPr>
      <w:r>
        <w:t>[s. 29]</w:t>
      </w:r>
    </w:p>
    <w:p>
      <w:pPr>
        <w:pStyle w:val="yFootnoteheading"/>
      </w:pPr>
      <w:r>
        <w:tab/>
        <w:t>[Heading inserted by No. 59 of 2011 s. 25.]</w:t>
      </w:r>
    </w:p>
    <w:p>
      <w:pPr>
        <w:pStyle w:val="yHeading3"/>
      </w:pPr>
      <w:bookmarkStart w:id="62" w:name="_Toc401152183"/>
      <w:r>
        <w:rPr>
          <w:rStyle w:val="CharSDivNo"/>
        </w:rPr>
        <w:t>Division 1</w:t>
      </w:r>
      <w:r>
        <w:rPr>
          <w:b w:val="0"/>
        </w:rPr>
        <w:t> — </w:t>
      </w:r>
      <w:r>
        <w:rPr>
          <w:rStyle w:val="CharSDivText"/>
        </w:rPr>
        <w:t>Preliminary</w:t>
      </w:r>
      <w:bookmarkEnd w:id="62"/>
    </w:p>
    <w:p>
      <w:pPr>
        <w:pStyle w:val="yFootnoteheading"/>
      </w:pPr>
      <w:r>
        <w:tab/>
        <w:t>[Heading inserted by No. 59 of 2011 s. 25.]</w:t>
      </w:r>
    </w:p>
    <w:p>
      <w:pPr>
        <w:pStyle w:val="yHeading5"/>
      </w:pPr>
      <w:bookmarkStart w:id="63" w:name="_Toc401152184"/>
      <w:r>
        <w:rPr>
          <w:rStyle w:val="CharSClsNo"/>
        </w:rPr>
        <w:t>1</w:t>
      </w:r>
      <w:r>
        <w:t>.</w:t>
      </w:r>
      <w:r>
        <w:rPr>
          <w:b w:val="0"/>
        </w:rPr>
        <w:tab/>
      </w:r>
      <w:r>
        <w:rPr>
          <w:i/>
          <w:iCs/>
        </w:rPr>
        <w:t>Interpretation Act 1984</w:t>
      </w:r>
      <w:r>
        <w:t xml:space="preserve"> not affected</w:t>
      </w:r>
      <w:bookmarkEnd w:id="63"/>
    </w:p>
    <w:p>
      <w:pPr>
        <w:pStyle w:val="ySubsection"/>
      </w:pPr>
      <w:r>
        <w:tab/>
      </w:r>
      <w:r>
        <w:tab/>
        <w:t xml:space="preserve">This Schedule does not affect the operation of the </w:t>
      </w:r>
      <w:r>
        <w:rPr>
          <w:i/>
          <w:iCs/>
        </w:rPr>
        <w:t>Interpretation Act 1984</w:t>
      </w:r>
      <w:r>
        <w:t xml:space="preserve"> Part V.</w:t>
      </w:r>
    </w:p>
    <w:p>
      <w:pPr>
        <w:pStyle w:val="yFootnotesection"/>
      </w:pPr>
      <w:r>
        <w:tab/>
        <w:t>[Clause 1 inserted by No. 59 of 2011 s. 25.]</w:t>
      </w:r>
    </w:p>
    <w:p>
      <w:pPr>
        <w:pStyle w:val="yHeading5"/>
      </w:pPr>
      <w:bookmarkStart w:id="64" w:name="_Toc401152185"/>
      <w:r>
        <w:rPr>
          <w:rStyle w:val="CharSClsNo"/>
        </w:rPr>
        <w:t>2</w:t>
      </w:r>
      <w:r>
        <w:t>.</w:t>
      </w:r>
      <w:r>
        <w:rPr>
          <w:b w:val="0"/>
        </w:rPr>
        <w:tab/>
      </w:r>
      <w:r>
        <w:t>Transitional regulations</w:t>
      </w:r>
      <w:bookmarkEnd w:id="64"/>
    </w:p>
    <w:p>
      <w:pPr>
        <w:pStyle w:val="ySubsection"/>
      </w:pPr>
      <w:r>
        <w:tab/>
        <w:t>(1)</w:t>
      </w:r>
      <w:r>
        <w:tab/>
        <w:t>Regulations may prescribe all matters that are required or necessary or convenient to be prescribed for dealing with any issue or matter of a savings or transitional nature —</w:t>
      </w:r>
    </w:p>
    <w:p>
      <w:pPr>
        <w:pStyle w:val="yIndenta"/>
      </w:pPr>
      <w:r>
        <w:tab/>
        <w:t>(a)</w:t>
      </w:r>
      <w:r>
        <w:tab/>
        <w:t xml:space="preserve">that arises as a result of the amendment of this Act by another Act (an </w:t>
      </w:r>
      <w:r>
        <w:rPr>
          <w:rStyle w:val="CharDefText"/>
        </w:rPr>
        <w:t>amending Act</w:t>
      </w:r>
      <w:r>
        <w:t>); and</w:t>
      </w:r>
    </w:p>
    <w:p>
      <w:pPr>
        <w:pStyle w:val="yIndenta"/>
      </w:pPr>
      <w:r>
        <w:tab/>
        <w:t>(b)</w:t>
      </w:r>
      <w:r>
        <w:tab/>
        <w:t>for which there is no sufficient provision in this Act or the amending Act.</w:t>
      </w:r>
    </w:p>
    <w:p>
      <w:pPr>
        <w:pStyle w:val="ySubsection"/>
      </w:pPr>
      <w:r>
        <w:tab/>
        <w:t>(2)</w:t>
      </w:r>
      <w:r>
        <w:tab/>
        <w:t>Regulations made under this clause may provide that specified provisions of this Act do not apply, or apply with modifications specified in the regulations, to or in relation to any matter.</w:t>
      </w:r>
    </w:p>
    <w:p>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ySubsection"/>
      </w:pPr>
      <w:r>
        <w:tab/>
        <w:t>(4)</w:t>
      </w:r>
      <w:r>
        <w:tab/>
        <w:t>If the regulations contain a provision referred to in subclause (3), the provision does not operate so as —</w:t>
      </w:r>
    </w:p>
    <w:p>
      <w:pPr>
        <w:pStyle w:val="yIndenta"/>
      </w:pPr>
      <w:r>
        <w:tab/>
        <w:t>(a)</w:t>
      </w:r>
      <w:r>
        <w:tab/>
        <w:t>to affect in a manner prejudicial to any person (other than the State), the rights of that person existing before the regulations commenced; or</w:t>
      </w:r>
    </w:p>
    <w:p>
      <w:pPr>
        <w:pStyle w:val="yIndenta"/>
      </w:pPr>
      <w:r>
        <w:tab/>
        <w:t>(b)</w:t>
      </w:r>
      <w:r>
        <w:tab/>
        <w:t>to impose liabilities on any person (other than the State) in respect of anything done or omitted to be done before the regulations commenced.</w:t>
      </w:r>
    </w:p>
    <w:p>
      <w:pPr>
        <w:pStyle w:val="yFootnotesection"/>
      </w:pPr>
      <w:r>
        <w:tab/>
        <w:t>[Clause 2 inserted by No. 59 of 2011 s. 25.]</w:t>
      </w:r>
    </w:p>
    <w:p>
      <w:pPr>
        <w:pStyle w:val="yHeading3"/>
      </w:pPr>
      <w:bookmarkStart w:id="65" w:name="_Toc401152186"/>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65"/>
    </w:p>
    <w:p>
      <w:pPr>
        <w:pStyle w:val="yFootnoteheading"/>
      </w:pPr>
      <w:r>
        <w:tab/>
        <w:t>[Heading inserted by No. 59 of 2011 s. 25.]</w:t>
      </w:r>
    </w:p>
    <w:p>
      <w:pPr>
        <w:pStyle w:val="yHeading5"/>
      </w:pPr>
      <w:bookmarkStart w:id="66" w:name="_Toc401152187"/>
      <w:r>
        <w:rPr>
          <w:rStyle w:val="CharSClsNo"/>
        </w:rPr>
        <w:t>3</w:t>
      </w:r>
      <w:r>
        <w:t>.</w:t>
      </w:r>
      <w:r>
        <w:tab/>
        <w:t>Terms used</w:t>
      </w:r>
      <w:bookmarkEnd w:id="66"/>
    </w:p>
    <w:p>
      <w:pPr>
        <w:pStyle w:val="ySubsection"/>
      </w:pPr>
      <w:r>
        <w:tab/>
      </w:r>
      <w:r>
        <w:tab/>
        <w:t>In this Division —</w:t>
      </w:r>
    </w:p>
    <w:p>
      <w:pPr>
        <w:pStyle w:val="yDefstart"/>
      </w:pPr>
      <w:r>
        <w:tab/>
      </w:r>
      <w:r>
        <w:rPr>
          <w:rStyle w:val="CharDefText"/>
        </w:rPr>
        <w:t>2011 amending Act</w:t>
      </w:r>
      <w:r>
        <w:t xml:space="preserve"> means the </w:t>
      </w:r>
      <w:r>
        <w:rPr>
          <w:i/>
          <w:iCs/>
        </w:rPr>
        <w:t>Commercial Tenancy (Retail Shops) Agreements Amendment Act 2011</w:t>
      </w:r>
      <w:r>
        <w:t>;</w:t>
      </w:r>
    </w:p>
    <w:p>
      <w:pPr>
        <w:pStyle w:val="yDefstart"/>
      </w:pPr>
      <w:r>
        <w:tab/>
      </w:r>
      <w:r>
        <w:rPr>
          <w:rStyle w:val="CharDefText"/>
        </w:rPr>
        <w:t>commencement day</w:t>
      </w:r>
      <w:r>
        <w:t>, in relation to a provision of this Act referred to in clause 4, means the day on which —</w:t>
      </w:r>
    </w:p>
    <w:p>
      <w:pPr>
        <w:pStyle w:val="yDefpara"/>
      </w:pPr>
      <w:r>
        <w:tab/>
        <w:t>(a)</w:t>
      </w:r>
      <w:r>
        <w:tab/>
        <w:t>the provision of the 2011 amending Act that inserted the provision referred to in clause 4 came into operation; or</w:t>
      </w:r>
    </w:p>
    <w:p>
      <w:pPr>
        <w:pStyle w:val="yDefpara"/>
      </w:pPr>
      <w:r>
        <w:tab/>
        <w:t>(b)</w:t>
      </w:r>
      <w:r>
        <w:tab/>
        <w:t>the provision of the 2011 amending Act that amended the provision referred to in clause 4 came into operation;</w:t>
      </w:r>
    </w:p>
    <w:p>
      <w:pPr>
        <w:pStyle w:val="yDefstart"/>
      </w:pPr>
      <w:r>
        <w:tab/>
      </w:r>
      <w:r>
        <w:rPr>
          <w:rStyle w:val="CharDefText"/>
        </w:rPr>
        <w:t>existing lease</w:t>
      </w:r>
      <w:r>
        <w:t xml:space="preserve"> means a lease that —</w:t>
      </w:r>
    </w:p>
    <w:p>
      <w:pPr>
        <w:pStyle w:val="yDefpara"/>
      </w:pPr>
      <w:r>
        <w:tab/>
        <w:t>(a)</w:t>
      </w:r>
      <w:r>
        <w:tab/>
        <w:t>immediately before the commencement of the 2011 amending Act section 5, was not a retail shop lease within the meaning of this Act as in force at that time; and</w:t>
      </w:r>
    </w:p>
    <w:p>
      <w:pPr>
        <w:pStyle w:val="yDefpara"/>
      </w:pPr>
      <w:r>
        <w:tab/>
        <w:t>(b)</w:t>
      </w:r>
      <w:r>
        <w:tab/>
        <w:t>was entered into —</w:t>
      </w:r>
    </w:p>
    <w:p>
      <w:pPr>
        <w:pStyle w:val="yDefsubpara"/>
      </w:pPr>
      <w:r>
        <w:tab/>
        <w:t>(i)</w:t>
      </w:r>
      <w:r>
        <w:tab/>
        <w:t>before the commencement of the 2011 amending Act section 5; or</w:t>
      </w:r>
    </w:p>
    <w:p>
      <w:pPr>
        <w:pStyle w:val="yDefsubpara"/>
      </w:pPr>
      <w:r>
        <w:tab/>
        <w:t>(ii)</w:t>
      </w:r>
      <w:r>
        <w:tab/>
        <w:t>pursuant to an option granted or agreement made before the commencement of the 2011 amending Act section 5;</w:t>
      </w:r>
    </w:p>
    <w:p>
      <w:pPr>
        <w:pStyle w:val="yDefstart"/>
      </w:pPr>
      <w:r>
        <w:tab/>
      </w:r>
      <w:r>
        <w:rPr>
          <w:rStyle w:val="CharDefText"/>
        </w:rPr>
        <w:t>existing retail shop lease</w:t>
      </w:r>
      <w:r>
        <w:t>, in relation to a provision of this Act referred to in clause 4, means a retail shop lease that was entered into —</w:t>
      </w:r>
    </w:p>
    <w:p>
      <w:pPr>
        <w:pStyle w:val="yDefpara"/>
      </w:pPr>
      <w:r>
        <w:tab/>
        <w:t>(a)</w:t>
      </w:r>
      <w:r>
        <w:tab/>
        <w:t>before the commencement day; or</w:t>
      </w:r>
    </w:p>
    <w:p>
      <w:pPr>
        <w:pStyle w:val="yDefpara"/>
      </w:pPr>
      <w:r>
        <w:tab/>
        <w:t>(b)</w:t>
      </w:r>
      <w:r>
        <w:tab/>
        <w:t>pursuant to an option granted, whether directly or by operation of section 13, or agreement made before the commencement day.</w:t>
      </w:r>
    </w:p>
    <w:p>
      <w:pPr>
        <w:pStyle w:val="yFootnotesection"/>
      </w:pPr>
      <w:r>
        <w:tab/>
        <w:t>[Clause 3 inserted by No. 59 of 2011 s. 25.]</w:t>
      </w:r>
    </w:p>
    <w:p>
      <w:pPr>
        <w:pStyle w:val="yHeading5"/>
      </w:pPr>
      <w:bookmarkStart w:id="67" w:name="_Toc401152188"/>
      <w:r>
        <w:rPr>
          <w:rStyle w:val="CharSClsNo"/>
        </w:rPr>
        <w:t>4</w:t>
      </w:r>
      <w:r>
        <w:t>.</w:t>
      </w:r>
      <w:r>
        <w:rPr>
          <w:b w:val="0"/>
        </w:rPr>
        <w:tab/>
      </w:r>
      <w:r>
        <w:t>Application of 1985 Act to existing retail shop lease</w:t>
      </w:r>
      <w:bookmarkEnd w:id="67"/>
    </w:p>
    <w:p>
      <w:pPr>
        <w:pStyle w:val="ySubsection"/>
      </w:pPr>
      <w:r>
        <w:tab/>
      </w:r>
      <w:r>
        <w:tab/>
        <w:t>Despite the amendments effected by the 2011 amending Act —</w:t>
      </w:r>
    </w:p>
    <w:p>
      <w:pPr>
        <w:pStyle w:val="yDefpara"/>
      </w:pPr>
      <w:r>
        <w:tab/>
        <w:t>(a)</w:t>
      </w:r>
      <w:r>
        <w:tab/>
        <w:t>the following provisions do not apply to, or in relation to, an existing retail shop lease —</w:t>
      </w:r>
    </w:p>
    <w:p>
      <w:pPr>
        <w:pStyle w:val="yDefsubpara"/>
      </w:pPr>
      <w:r>
        <w:tab/>
        <w:t>(i)</w:t>
      </w:r>
      <w:r>
        <w:tab/>
        <w:t>section 12(3A) of this Act as inserted by section 10(4) of the 2011 amending Act;</w:t>
      </w:r>
    </w:p>
    <w:p>
      <w:pPr>
        <w:pStyle w:val="yDefsubpara"/>
      </w:pPr>
      <w:r>
        <w:tab/>
        <w:t>(ii)</w:t>
      </w:r>
      <w:r>
        <w:tab/>
        <w:t>sections 14A and 14C of this Act, as inserted by section 14 of the 2011 amending Act; and</w:t>
      </w:r>
    </w:p>
    <w:p>
      <w:pPr>
        <w:pStyle w:val="Indenta"/>
      </w:pPr>
      <w:r>
        <w:tab/>
      </w:r>
      <w:r>
        <w:tab/>
        <w:t>and</w:t>
      </w:r>
    </w:p>
    <w:p>
      <w:pPr>
        <w:pStyle w:val="yDefpara"/>
      </w:pPr>
      <w:r>
        <w:tab/>
        <w:t>(b)</w:t>
      </w:r>
      <w:r>
        <w:tab/>
        <w:t>the following provisions continue to apply to, and in relation to, an existing retail shop lease —</w:t>
      </w:r>
    </w:p>
    <w:p>
      <w:pPr>
        <w:pStyle w:val="yDefsubpara"/>
      </w:pPr>
      <w:r>
        <w:tab/>
        <w:t>(i)</w:t>
      </w:r>
      <w:r>
        <w:tab/>
        <w:t>section 6 of this Act, as in force immediately before being amended by section 7 of the 2011 amending Act; and</w:t>
      </w:r>
    </w:p>
    <w:p>
      <w:pPr>
        <w:pStyle w:val="yDefsubpara"/>
      </w:pPr>
      <w:r>
        <w:tab/>
        <w:t>(ii)</w:t>
      </w:r>
      <w:r>
        <w:tab/>
        <w:t>section 13 of this Act, as in force immediately before being amended by section 11 of the 2011 amending Act.</w:t>
      </w:r>
    </w:p>
    <w:p>
      <w:pPr>
        <w:pStyle w:val="yFootnotesection"/>
      </w:pPr>
      <w:r>
        <w:tab/>
        <w:t>[Clause 4 inserted by No. 59 of 2011 s. 25.]</w:t>
      </w:r>
    </w:p>
    <w:p>
      <w:pPr>
        <w:pStyle w:val="yHeading5"/>
      </w:pPr>
      <w:bookmarkStart w:id="68" w:name="_Toc401152189"/>
      <w:r>
        <w:rPr>
          <w:rStyle w:val="CharSClsNo"/>
        </w:rPr>
        <w:t>5</w:t>
      </w:r>
      <w:r>
        <w:t>.</w:t>
      </w:r>
      <w:r>
        <w:rPr>
          <w:b w:val="0"/>
        </w:rPr>
        <w:tab/>
      </w:r>
      <w:r>
        <w:rPr>
          <w:bCs/>
        </w:rPr>
        <w:t>1985 Act does not apply to existing lease that becomes retail shop lease on 1 Jan 2013</w:t>
      </w:r>
      <w:bookmarkEnd w:id="68"/>
    </w:p>
    <w:p>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yFootnotesection"/>
      </w:pPr>
      <w:r>
        <w:tab/>
        <w:t>[Clause 5 inserted by No. 59 of 2011 s. 25.]</w:t>
      </w:r>
    </w:p>
    <w:p>
      <w:pPr>
        <w:pStyle w:val="yHeading5"/>
      </w:pPr>
      <w:bookmarkStart w:id="69" w:name="_Toc401152190"/>
      <w:r>
        <w:rPr>
          <w:rStyle w:val="CharSClsNo"/>
        </w:rPr>
        <w:t>6</w:t>
      </w:r>
      <w:r>
        <w:t>.</w:t>
      </w:r>
      <w:r>
        <w:rPr>
          <w:b w:val="0"/>
        </w:rPr>
        <w:tab/>
      </w:r>
      <w:r>
        <w:rPr>
          <w:bCs/>
        </w:rPr>
        <w:t>No contracting out</w:t>
      </w:r>
      <w:bookmarkEnd w:id="69"/>
    </w:p>
    <w:p>
      <w:pPr>
        <w:pStyle w:val="ySubsection"/>
      </w:pPr>
      <w:r>
        <w:tab/>
      </w:r>
      <w:r>
        <w:tab/>
        <w:t>This Division applies despite an agreement to the contrary between the parties to a retail shop lease whether or not the agreement is contained in the retail shop lease.</w:t>
      </w:r>
    </w:p>
    <w:p>
      <w:pPr>
        <w:pStyle w:val="yFootnotesection"/>
      </w:pPr>
      <w:r>
        <w:tab/>
        <w:t>[Clause 6 inserted by No. 59 of 2011 s. 25.]</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70" w:name="_Toc401152191"/>
      <w:r>
        <w:t>Notes</w:t>
      </w:r>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1" w:name="_Toc401152192"/>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Pr>
          <w:p>
            <w:pPr>
              <w:pStyle w:val="nTable"/>
              <w:spacing w:before="60" w:after="60"/>
              <w:ind w:right="113"/>
              <w:rPr>
                <w:sz w:val="19"/>
              </w:rPr>
            </w:pPr>
            <w:r>
              <w:rPr>
                <w:i/>
                <w:sz w:val="19"/>
              </w:rPr>
              <w:t>Commercial Tenancy (Retail Shops) Agreements Act 1985</w:t>
            </w:r>
          </w:p>
        </w:tc>
        <w:tc>
          <w:tcPr>
            <w:tcW w:w="1134" w:type="dxa"/>
          </w:tcPr>
          <w:p>
            <w:pPr>
              <w:pStyle w:val="nTable"/>
              <w:spacing w:before="60" w:after="60"/>
              <w:rPr>
                <w:sz w:val="19"/>
              </w:rPr>
            </w:pPr>
            <w:r>
              <w:rPr>
                <w:sz w:val="19"/>
              </w:rPr>
              <w:t>43 of 1985</w:t>
            </w:r>
          </w:p>
        </w:tc>
        <w:tc>
          <w:tcPr>
            <w:tcW w:w="1134" w:type="dxa"/>
          </w:tcPr>
          <w:p>
            <w:pPr>
              <w:pStyle w:val="nTable"/>
              <w:spacing w:before="60" w:after="60"/>
              <w:rPr>
                <w:sz w:val="19"/>
              </w:rPr>
            </w:pPr>
            <w:r>
              <w:rPr>
                <w:sz w:val="19"/>
              </w:rPr>
              <w:t>13 May 1985</w:t>
            </w:r>
          </w:p>
        </w:tc>
        <w:tc>
          <w:tcPr>
            <w:tcW w:w="2551" w:type="dxa"/>
          </w:tcPr>
          <w:p>
            <w:pPr>
              <w:pStyle w:val="nTable"/>
              <w:spacing w:before="60" w:after="6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before="60" w:after="60"/>
              <w:ind w:right="113"/>
              <w:rPr>
                <w:sz w:val="19"/>
              </w:rPr>
            </w:pPr>
            <w:r>
              <w:rPr>
                <w:i/>
                <w:sz w:val="19"/>
              </w:rPr>
              <w:t>Commercial Tenancy (Retail Shops) Agreements Amendment Act (No. 2) 1985</w:t>
            </w:r>
          </w:p>
        </w:tc>
        <w:tc>
          <w:tcPr>
            <w:tcW w:w="1134" w:type="dxa"/>
          </w:tcPr>
          <w:p>
            <w:pPr>
              <w:pStyle w:val="nTable"/>
              <w:spacing w:before="60" w:after="60"/>
              <w:rPr>
                <w:sz w:val="19"/>
              </w:rPr>
            </w:pPr>
            <w:r>
              <w:rPr>
                <w:sz w:val="19"/>
              </w:rPr>
              <w:t>49 of 1985</w:t>
            </w:r>
          </w:p>
        </w:tc>
        <w:tc>
          <w:tcPr>
            <w:tcW w:w="1134" w:type="dxa"/>
          </w:tcPr>
          <w:p>
            <w:pPr>
              <w:pStyle w:val="nTable"/>
              <w:spacing w:before="60" w:after="60"/>
              <w:rPr>
                <w:sz w:val="19"/>
              </w:rPr>
            </w:pPr>
            <w:r>
              <w:rPr>
                <w:sz w:val="19"/>
              </w:rPr>
              <w:t>28 Oct 1985</w:t>
            </w:r>
          </w:p>
        </w:tc>
        <w:tc>
          <w:tcPr>
            <w:tcW w:w="2551" w:type="dxa"/>
          </w:tcPr>
          <w:p>
            <w:pPr>
              <w:pStyle w:val="nTable"/>
              <w:spacing w:before="60" w:after="60"/>
              <w:rPr>
                <w:sz w:val="19"/>
              </w:rPr>
            </w:pPr>
            <w:r>
              <w:rPr>
                <w:sz w:val="19"/>
              </w:rPr>
              <w:t>1 Sep 1985 (see s. 2)</w:t>
            </w:r>
          </w:p>
        </w:tc>
      </w:tr>
      <w:tr>
        <w:trPr>
          <w:cantSplit/>
        </w:trPr>
        <w:tc>
          <w:tcPr>
            <w:tcW w:w="2268" w:type="dxa"/>
          </w:tcPr>
          <w:p>
            <w:pPr>
              <w:pStyle w:val="nTable"/>
              <w:spacing w:before="60" w:after="6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before="60" w:after="60"/>
              <w:rPr>
                <w:sz w:val="19"/>
              </w:rPr>
            </w:pPr>
            <w:r>
              <w:rPr>
                <w:sz w:val="19"/>
              </w:rPr>
              <w:t>48 of 1990</w:t>
            </w:r>
          </w:p>
        </w:tc>
        <w:tc>
          <w:tcPr>
            <w:tcW w:w="1134" w:type="dxa"/>
          </w:tcPr>
          <w:p>
            <w:pPr>
              <w:pStyle w:val="nTable"/>
              <w:spacing w:before="60" w:after="60"/>
              <w:rPr>
                <w:sz w:val="19"/>
              </w:rPr>
            </w:pPr>
            <w:r>
              <w:rPr>
                <w:sz w:val="19"/>
              </w:rPr>
              <w:t>30 Nov 1990</w:t>
            </w:r>
          </w:p>
        </w:tc>
        <w:tc>
          <w:tcPr>
            <w:tcW w:w="2551" w:type="dxa"/>
          </w:tcPr>
          <w:p>
            <w:pPr>
              <w:pStyle w:val="nTable"/>
              <w:spacing w:before="60" w:after="60"/>
              <w:rPr>
                <w:sz w:val="19"/>
              </w:rPr>
            </w:pPr>
            <w:r>
              <w:rPr>
                <w:sz w:val="19"/>
              </w:rPr>
              <w:t>30 Nov 1990 (see s. 2)</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before="60" w:after="60"/>
              <w:ind w:right="113"/>
              <w:rPr>
                <w:sz w:val="19"/>
              </w:rPr>
            </w:pPr>
            <w:r>
              <w:rPr>
                <w:i/>
                <w:sz w:val="19"/>
              </w:rPr>
              <w:t xml:space="preserve">Acts Amendment (Franchise Fees) Act 1997 </w:t>
            </w:r>
            <w:r>
              <w:rPr>
                <w:sz w:val="19"/>
              </w:rPr>
              <w:t>Pt. 3</w:t>
            </w:r>
          </w:p>
        </w:tc>
        <w:tc>
          <w:tcPr>
            <w:tcW w:w="1134" w:type="dxa"/>
          </w:tcPr>
          <w:p>
            <w:pPr>
              <w:pStyle w:val="nTable"/>
              <w:spacing w:before="60" w:after="60"/>
              <w:rPr>
                <w:sz w:val="19"/>
              </w:rPr>
            </w:pPr>
            <w:r>
              <w:rPr>
                <w:sz w:val="19"/>
              </w:rPr>
              <w:t>56 of 1997</w:t>
            </w:r>
          </w:p>
        </w:tc>
        <w:tc>
          <w:tcPr>
            <w:tcW w:w="1134" w:type="dxa"/>
          </w:tcPr>
          <w:p>
            <w:pPr>
              <w:pStyle w:val="nTable"/>
              <w:spacing w:before="60" w:after="60"/>
              <w:rPr>
                <w:sz w:val="19"/>
              </w:rPr>
            </w:pPr>
            <w:r>
              <w:rPr>
                <w:sz w:val="19"/>
              </w:rPr>
              <w:t>12 Dec 1997</w:t>
            </w:r>
          </w:p>
        </w:tc>
        <w:tc>
          <w:tcPr>
            <w:tcW w:w="2551" w:type="dxa"/>
          </w:tcPr>
          <w:p>
            <w:pPr>
              <w:pStyle w:val="nTable"/>
              <w:spacing w:before="60" w:after="6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60" w:after="60"/>
              <w:ind w:right="113"/>
              <w:rPr>
                <w:sz w:val="19"/>
              </w:rPr>
            </w:pPr>
            <w:r>
              <w:rPr>
                <w:i/>
                <w:sz w:val="19"/>
              </w:rPr>
              <w:t>Lotteries Commission Amendment Act 1998</w:t>
            </w:r>
            <w:r>
              <w:rPr>
                <w:sz w:val="19"/>
              </w:rPr>
              <w:t xml:space="preserve"> s. 23</w:t>
            </w:r>
          </w:p>
        </w:tc>
        <w:tc>
          <w:tcPr>
            <w:tcW w:w="1134" w:type="dxa"/>
          </w:tcPr>
          <w:p>
            <w:pPr>
              <w:pStyle w:val="nTable"/>
              <w:spacing w:before="60" w:after="60"/>
              <w:rPr>
                <w:sz w:val="19"/>
              </w:rPr>
            </w:pPr>
            <w:r>
              <w:rPr>
                <w:sz w:val="19"/>
              </w:rPr>
              <w:t>26 of 1998</w:t>
            </w:r>
          </w:p>
        </w:tc>
        <w:tc>
          <w:tcPr>
            <w:tcW w:w="1134" w:type="dxa"/>
          </w:tcPr>
          <w:p>
            <w:pPr>
              <w:pStyle w:val="nTable"/>
              <w:spacing w:before="60" w:after="60"/>
              <w:rPr>
                <w:sz w:val="19"/>
              </w:rPr>
            </w:pPr>
            <w:r>
              <w:rPr>
                <w:sz w:val="19"/>
              </w:rPr>
              <w:t>30 Jun 1998</w:t>
            </w:r>
          </w:p>
        </w:tc>
        <w:tc>
          <w:tcPr>
            <w:tcW w:w="2551" w:type="dxa"/>
          </w:tcPr>
          <w:p>
            <w:pPr>
              <w:pStyle w:val="nTable"/>
              <w:spacing w:before="60" w:after="6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before="60" w:after="6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before="60" w:after="60"/>
              <w:rPr>
                <w:sz w:val="19"/>
              </w:rPr>
            </w:pPr>
            <w:r>
              <w:rPr>
                <w:sz w:val="19"/>
              </w:rPr>
              <w:t>66 of 1998</w:t>
            </w:r>
          </w:p>
        </w:tc>
        <w:tc>
          <w:tcPr>
            <w:tcW w:w="1134" w:type="dxa"/>
          </w:tcPr>
          <w:p>
            <w:pPr>
              <w:pStyle w:val="nTable"/>
              <w:spacing w:before="60" w:after="60"/>
              <w:rPr>
                <w:sz w:val="19"/>
              </w:rPr>
            </w:pPr>
            <w:r>
              <w:rPr>
                <w:sz w:val="19"/>
              </w:rPr>
              <w:t>15 Jan 1999</w:t>
            </w:r>
          </w:p>
        </w:tc>
        <w:tc>
          <w:tcPr>
            <w:tcW w:w="2551" w:type="dxa"/>
          </w:tcPr>
          <w:p>
            <w:pPr>
              <w:pStyle w:val="nTable"/>
              <w:spacing w:before="60" w:after="6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before="60" w:after="60"/>
              <w:ind w:right="113"/>
              <w:rPr>
                <w:sz w:val="19"/>
              </w:rPr>
            </w:pPr>
            <w:r>
              <w:rPr>
                <w:i/>
                <w:sz w:val="19"/>
              </w:rPr>
              <w:t>Acts Amendment and Repeal (Financial Sector Reform) Act 1999</w:t>
            </w:r>
            <w:r>
              <w:rPr>
                <w:sz w:val="19"/>
              </w:rPr>
              <w:t xml:space="preserve"> s. 65</w:t>
            </w:r>
          </w:p>
        </w:tc>
        <w:tc>
          <w:tcPr>
            <w:tcW w:w="1134" w:type="dxa"/>
          </w:tcPr>
          <w:p>
            <w:pPr>
              <w:pStyle w:val="nTable"/>
              <w:spacing w:before="60" w:after="60"/>
              <w:rPr>
                <w:sz w:val="19"/>
              </w:rPr>
            </w:pPr>
            <w:r>
              <w:rPr>
                <w:sz w:val="19"/>
              </w:rPr>
              <w:t>26 of 1999</w:t>
            </w:r>
          </w:p>
        </w:tc>
        <w:tc>
          <w:tcPr>
            <w:tcW w:w="1134" w:type="dxa"/>
          </w:tcPr>
          <w:p>
            <w:pPr>
              <w:pStyle w:val="nTable"/>
              <w:spacing w:before="60" w:after="60"/>
              <w:rPr>
                <w:sz w:val="19"/>
              </w:rPr>
            </w:pPr>
            <w:r>
              <w:rPr>
                <w:sz w:val="19"/>
              </w:rPr>
              <w:t>29 Jun 1999</w:t>
            </w:r>
          </w:p>
        </w:tc>
        <w:tc>
          <w:tcPr>
            <w:tcW w:w="2551" w:type="dxa"/>
          </w:tcPr>
          <w:p>
            <w:pPr>
              <w:pStyle w:val="nTable"/>
              <w:spacing w:before="60" w:after="6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before="60" w:after="60"/>
              <w:ind w:right="113"/>
              <w:rPr>
                <w:i/>
                <w:sz w:val="19"/>
              </w:rPr>
            </w:pPr>
            <w:r>
              <w:rPr>
                <w:i/>
                <w:sz w:val="19"/>
              </w:rPr>
              <w:t xml:space="preserve">Corporations (Consequential Amendments) Act 2001 </w:t>
            </w:r>
            <w:r>
              <w:rPr>
                <w:sz w:val="19"/>
              </w:rPr>
              <w:t>Pt. 12 and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before="60" w:after="60"/>
              <w:rPr>
                <w:sz w:val="19"/>
              </w:rPr>
            </w:pPr>
            <w:r>
              <w:rPr>
                <w:sz w:val="19"/>
              </w:rPr>
              <w:t>45 of 2002</w:t>
            </w:r>
          </w:p>
        </w:tc>
        <w:tc>
          <w:tcPr>
            <w:tcW w:w="1134" w:type="dxa"/>
          </w:tcPr>
          <w:p>
            <w:pPr>
              <w:pStyle w:val="nTable"/>
              <w:spacing w:before="60" w:after="60"/>
              <w:rPr>
                <w:sz w:val="19"/>
              </w:rPr>
            </w:pPr>
            <w:r>
              <w:rPr>
                <w:sz w:val="19"/>
              </w:rPr>
              <w:t>20 Mar 2003</w:t>
            </w:r>
          </w:p>
        </w:tc>
        <w:tc>
          <w:tcPr>
            <w:tcW w:w="2551" w:type="dxa"/>
          </w:tcPr>
          <w:p>
            <w:pPr>
              <w:pStyle w:val="nTable"/>
              <w:spacing w:before="60" w:after="6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60" w:after="6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before="60" w:after="60"/>
              <w:rPr>
                <w:sz w:val="19"/>
              </w:rPr>
            </w:pPr>
            <w:r>
              <w:rPr>
                <w:sz w:val="19"/>
              </w:rPr>
              <w:t>28 of 2003</w:t>
            </w:r>
          </w:p>
        </w:tc>
        <w:tc>
          <w:tcPr>
            <w:tcW w:w="1134"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60" w:after="6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5, 6</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60" w:after="60"/>
              <w:ind w:right="113"/>
              <w:rPr>
                <w:i/>
                <w:snapToGrid w:val="0"/>
                <w:sz w:val="19"/>
              </w:rPr>
            </w:pPr>
            <w:r>
              <w:rPr>
                <w:i/>
                <w:snapToGrid w:val="0"/>
                <w:sz w:val="19"/>
              </w:rPr>
              <w:t xml:space="preserve">Planning and Development (Consequential and Transitional Provisions) Act 2005 </w:t>
            </w:r>
            <w:r>
              <w:rPr>
                <w:snapToGrid w:val="0"/>
                <w:sz w:val="19"/>
              </w:rPr>
              <w:t>s. 15</w:t>
            </w:r>
          </w:p>
        </w:tc>
        <w:tc>
          <w:tcPr>
            <w:tcW w:w="1134" w:type="dxa"/>
          </w:tcPr>
          <w:p>
            <w:pPr>
              <w:pStyle w:val="nTable"/>
              <w:spacing w:before="60" w:after="60"/>
              <w:rPr>
                <w:sz w:val="19"/>
              </w:rPr>
            </w:pPr>
            <w:r>
              <w:rPr>
                <w:snapToGrid w:val="0"/>
                <w:sz w:val="19"/>
              </w:rPr>
              <w:t>38 of 2005</w:t>
            </w:r>
          </w:p>
        </w:tc>
        <w:tc>
          <w:tcPr>
            <w:tcW w:w="1134" w:type="dxa"/>
          </w:tcPr>
          <w:p>
            <w:pPr>
              <w:pStyle w:val="nTable"/>
              <w:spacing w:before="60" w:after="60"/>
              <w:rPr>
                <w:sz w:val="19"/>
              </w:rPr>
            </w:pPr>
            <w:r>
              <w:rPr>
                <w:sz w:val="19"/>
              </w:rPr>
              <w:t>12 Dec 2005</w:t>
            </w:r>
          </w:p>
        </w:tc>
        <w:tc>
          <w:tcPr>
            <w:tcW w:w="2551" w:type="dxa"/>
          </w:tcPr>
          <w:p>
            <w:pPr>
              <w:pStyle w:val="nTable"/>
              <w:spacing w:before="60" w:after="6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60" w:after="60"/>
              <w:ind w:right="113"/>
              <w:rPr>
                <w:i/>
                <w:snapToGrid w:val="0"/>
                <w:sz w:val="19"/>
              </w:rPr>
            </w:pPr>
            <w:r>
              <w:rPr>
                <w:i/>
                <w:snapToGrid w:val="0"/>
                <w:sz w:val="19"/>
              </w:rPr>
              <w:t>Retail Shops and Fair Trading Legislation Amendment Act 2006</w:t>
            </w:r>
            <w:r>
              <w:rPr>
                <w:snapToGrid w:val="0"/>
                <w:sz w:val="19"/>
              </w:rPr>
              <w:t> Pt. 3</w:t>
            </w:r>
          </w:p>
        </w:tc>
        <w:tc>
          <w:tcPr>
            <w:tcW w:w="1134" w:type="dxa"/>
          </w:tcPr>
          <w:p>
            <w:pPr>
              <w:pStyle w:val="nTable"/>
              <w:spacing w:before="60" w:after="60"/>
              <w:rPr>
                <w:snapToGrid w:val="0"/>
                <w:sz w:val="19"/>
              </w:rPr>
            </w:pPr>
            <w:r>
              <w:rPr>
                <w:snapToGrid w:val="0"/>
                <w:sz w:val="19"/>
              </w:rPr>
              <w:t>47 of 2006</w:t>
            </w:r>
          </w:p>
        </w:tc>
        <w:tc>
          <w:tcPr>
            <w:tcW w:w="1134" w:type="dxa"/>
          </w:tcPr>
          <w:p>
            <w:pPr>
              <w:pStyle w:val="nTable"/>
              <w:spacing w:before="60" w:after="60"/>
              <w:rPr>
                <w:sz w:val="19"/>
              </w:rPr>
            </w:pPr>
            <w:r>
              <w:rPr>
                <w:snapToGrid w:val="0"/>
                <w:sz w:val="19"/>
              </w:rPr>
              <w:t>4 Oct 2006</w:t>
            </w:r>
          </w:p>
        </w:tc>
        <w:tc>
          <w:tcPr>
            <w:tcW w:w="2551" w:type="dxa"/>
          </w:tcPr>
          <w:p>
            <w:pPr>
              <w:pStyle w:val="nTable"/>
              <w:spacing w:before="60" w:after="6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before="60" w:after="6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Pr>
          <w:p>
            <w:pPr>
              <w:pStyle w:val="nTable"/>
              <w:spacing w:before="60" w:after="60"/>
              <w:ind w:right="113"/>
              <w:rPr>
                <w:sz w:val="19"/>
              </w:rPr>
            </w:pPr>
            <w:r>
              <w:rPr>
                <w:i/>
                <w:iCs/>
                <w:sz w:val="19"/>
              </w:rPr>
              <w:t>Acts Amendment (Justice) Act 2008</w:t>
            </w:r>
            <w:r>
              <w:rPr>
                <w:sz w:val="19"/>
              </w:rPr>
              <w:t xml:space="preserve"> Pt. 4</w:t>
            </w:r>
          </w:p>
        </w:tc>
        <w:tc>
          <w:tcPr>
            <w:tcW w:w="1134" w:type="dxa"/>
          </w:tcPr>
          <w:p>
            <w:pPr>
              <w:pStyle w:val="nTable"/>
              <w:spacing w:before="60" w:after="60"/>
              <w:rPr>
                <w:sz w:val="19"/>
              </w:rPr>
            </w:pPr>
            <w:r>
              <w:rPr>
                <w:sz w:val="19"/>
              </w:rPr>
              <w:t>5 of 2008</w:t>
            </w:r>
          </w:p>
        </w:tc>
        <w:tc>
          <w:tcPr>
            <w:tcW w:w="1134"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before="60" w:after="60"/>
              <w:ind w:right="113"/>
              <w:rPr>
                <w:iCs/>
                <w:sz w:val="19"/>
              </w:rPr>
            </w:pPr>
            <w:r>
              <w:rPr>
                <w:i/>
                <w:iCs/>
                <w:sz w:val="19"/>
              </w:rPr>
              <w:t>Small Business and Retail Shop Legislation Amendment Act 2011</w:t>
            </w:r>
            <w:r>
              <w:rPr>
                <w:iCs/>
                <w:sz w:val="19"/>
              </w:rPr>
              <w:t xml:space="preserve"> Pt. 3</w:t>
            </w:r>
          </w:p>
        </w:tc>
        <w:tc>
          <w:tcPr>
            <w:tcW w:w="1134" w:type="dxa"/>
          </w:tcPr>
          <w:p>
            <w:pPr>
              <w:pStyle w:val="nTable"/>
              <w:spacing w:before="60" w:after="60"/>
              <w:rPr>
                <w:sz w:val="19"/>
              </w:rPr>
            </w:pPr>
            <w:r>
              <w:rPr>
                <w:sz w:val="19"/>
              </w:rPr>
              <w:t>20 of 2011</w:t>
            </w:r>
          </w:p>
        </w:tc>
        <w:tc>
          <w:tcPr>
            <w:tcW w:w="1134" w:type="dxa"/>
          </w:tcPr>
          <w:p>
            <w:pPr>
              <w:pStyle w:val="nTable"/>
              <w:spacing w:before="60" w:after="60"/>
              <w:rPr>
                <w:sz w:val="19"/>
              </w:rPr>
            </w:pPr>
            <w:r>
              <w:rPr>
                <w:sz w:val="19"/>
              </w:rPr>
              <w:t>11 Jul 2011</w:t>
            </w:r>
          </w:p>
        </w:tc>
        <w:tc>
          <w:tcPr>
            <w:tcW w:w="2551" w:type="dxa"/>
          </w:tcPr>
          <w:p>
            <w:pPr>
              <w:pStyle w:val="nTable"/>
              <w:spacing w:before="60" w:after="60"/>
              <w:rPr>
                <w:snapToGrid w:val="0"/>
                <w:sz w:val="19"/>
              </w:rPr>
            </w:pPr>
            <w:r>
              <w:rPr>
                <w:snapToGrid w:val="0"/>
                <w:sz w:val="19"/>
              </w:rPr>
              <w:t xml:space="preserve">24 Mar 2012 (see s. 2(b) and </w:t>
            </w:r>
            <w:r>
              <w:rPr>
                <w:i/>
                <w:iCs/>
                <w:snapToGrid w:val="0"/>
                <w:sz w:val="19"/>
              </w:rPr>
              <w:t xml:space="preserve">Gazette </w:t>
            </w:r>
            <w:r>
              <w:rPr>
                <w:iCs/>
                <w:snapToGrid w:val="0"/>
                <w:sz w:val="19"/>
              </w:rPr>
              <w:t>23</w:t>
            </w:r>
            <w:r>
              <w:rPr>
                <w:snapToGrid w:val="0"/>
                <w:sz w:val="19"/>
              </w:rPr>
              <w:t> Mar 2012 p. 1363)</w:t>
            </w:r>
          </w:p>
        </w:tc>
      </w:tr>
      <w:tr>
        <w:trPr>
          <w:cantSplit/>
        </w:trPr>
        <w:tc>
          <w:tcPr>
            <w:tcW w:w="2268" w:type="dxa"/>
            <w:shd w:val="clear" w:color="auto" w:fill="auto"/>
          </w:tcPr>
          <w:p>
            <w:pPr>
              <w:pStyle w:val="nTable"/>
              <w:spacing w:before="60" w:after="60"/>
              <w:ind w:right="113"/>
              <w:rPr>
                <w:i/>
                <w:iCs/>
                <w:sz w:val="19"/>
              </w:rPr>
            </w:pPr>
            <w:r>
              <w:rPr>
                <w:i/>
                <w:snapToGrid w:val="0"/>
                <w:sz w:val="19"/>
                <w:szCs w:val="19"/>
              </w:rPr>
              <w:t>Commercial Tenancy (Retail Shops) Agreements Amendment Act 2011</w:t>
            </w:r>
          </w:p>
        </w:tc>
        <w:tc>
          <w:tcPr>
            <w:tcW w:w="1134" w:type="dxa"/>
            <w:shd w:val="clear" w:color="auto" w:fill="auto"/>
          </w:tcPr>
          <w:p>
            <w:pPr>
              <w:pStyle w:val="nTable"/>
              <w:spacing w:before="60" w:after="60"/>
              <w:rPr>
                <w:sz w:val="19"/>
              </w:rPr>
            </w:pPr>
            <w:r>
              <w:rPr>
                <w:snapToGrid w:val="0"/>
                <w:sz w:val="19"/>
                <w:szCs w:val="19"/>
              </w:rPr>
              <w:t>59 of 2011</w:t>
            </w:r>
          </w:p>
        </w:tc>
        <w:tc>
          <w:tcPr>
            <w:tcW w:w="1134" w:type="dxa"/>
            <w:shd w:val="clear" w:color="auto" w:fill="auto"/>
          </w:tcPr>
          <w:p>
            <w:pPr>
              <w:pStyle w:val="nTable"/>
              <w:spacing w:before="60" w:after="60"/>
              <w:rPr>
                <w:sz w:val="19"/>
              </w:rPr>
            </w:pPr>
            <w:r>
              <w:rPr>
                <w:snapToGrid w:val="0"/>
                <w:sz w:val="19"/>
                <w:szCs w:val="19"/>
              </w:rPr>
              <w:t>14 Dec 2011</w:t>
            </w:r>
          </w:p>
        </w:tc>
        <w:tc>
          <w:tcPr>
            <w:tcW w:w="2551" w:type="dxa"/>
            <w:shd w:val="clear" w:color="auto" w:fill="auto"/>
          </w:tcPr>
          <w:p>
            <w:pPr>
              <w:pStyle w:val="nTable"/>
              <w:spacing w:before="60" w:after="60"/>
              <w:rPr>
                <w:snapToGrid w:val="0"/>
                <w:sz w:val="19"/>
              </w:rPr>
            </w:pPr>
            <w:r>
              <w:rPr>
                <w:snapToGrid w:val="0"/>
                <w:sz w:val="19"/>
                <w:szCs w:val="19"/>
              </w:rPr>
              <w:t>s. 1 and 2: 14 Dec 2011 (see s. 2(a));</w:t>
            </w:r>
            <w:r>
              <w:rPr>
                <w:snapToGrid w:val="0"/>
                <w:sz w:val="19"/>
                <w:szCs w:val="19"/>
              </w:rPr>
              <w:br/>
              <w:t xml:space="preserve">Act other than s. 1 and 2: 1 Jan 2013 (see s. 2(b) and </w:t>
            </w:r>
            <w:r>
              <w:rPr>
                <w:i/>
                <w:snapToGrid w:val="0"/>
                <w:sz w:val="19"/>
                <w:szCs w:val="19"/>
              </w:rPr>
              <w:t>Gazette</w:t>
            </w:r>
            <w:r>
              <w:rPr>
                <w:snapToGrid w:val="0"/>
                <w:sz w:val="19"/>
                <w:szCs w:val="19"/>
              </w:rPr>
              <w:t xml:space="preserve"> 30 Nov 2012 p. 5773)</w:t>
            </w:r>
          </w:p>
        </w:tc>
      </w:tr>
      <w:tr>
        <w:trPr>
          <w:cantSplit/>
        </w:trPr>
        <w:tc>
          <w:tcPr>
            <w:tcW w:w="7087" w:type="dxa"/>
            <w:gridSpan w:val="4"/>
            <w:shd w:val="clear" w:color="auto" w:fill="auto"/>
          </w:tcPr>
          <w:p>
            <w:pPr>
              <w:pStyle w:val="nTable"/>
              <w:spacing w:before="60" w:after="60"/>
              <w:rPr>
                <w:snapToGrid w:val="0"/>
                <w:spacing w:val="-2"/>
                <w:sz w:val="19"/>
                <w:szCs w:val="19"/>
              </w:rPr>
            </w:pPr>
            <w:r>
              <w:rPr>
                <w:b/>
                <w:bCs/>
                <w:sz w:val="19"/>
              </w:rPr>
              <w:t xml:space="preserve">Reprint 4:  The </w:t>
            </w:r>
            <w:r>
              <w:rPr>
                <w:b/>
                <w:bCs/>
                <w:i/>
                <w:sz w:val="19"/>
              </w:rPr>
              <w:t xml:space="preserve">Commercial Tenancy (Retail Shops) Agreements </w:t>
            </w:r>
            <w:r>
              <w:rPr>
                <w:b/>
                <w:bCs/>
                <w:sz w:val="19"/>
              </w:rPr>
              <w:t>as at 18 Jan 2013</w:t>
            </w:r>
            <w:r>
              <w:rPr>
                <w:sz w:val="19"/>
              </w:rPr>
              <w:t xml:space="preserve"> (includes amendments listed above)</w:t>
            </w:r>
          </w:p>
        </w:tc>
      </w:tr>
      <w:tr>
        <w:trPr>
          <w:cantSplit/>
        </w:trPr>
        <w:tc>
          <w:tcPr>
            <w:tcW w:w="2268" w:type="dxa"/>
            <w:tcBorders>
              <w:bottom w:val="single" w:sz="2" w:space="0" w:color="auto"/>
            </w:tcBorders>
            <w:shd w:val="clear" w:color="auto" w:fill="auto"/>
          </w:tcPr>
          <w:p>
            <w:pPr>
              <w:pStyle w:val="nTable"/>
              <w:spacing w:before="60" w:after="60"/>
              <w:ind w:right="113"/>
              <w:rPr>
                <w:i/>
                <w:iCs/>
                <w:sz w:val="19"/>
              </w:rPr>
            </w:pPr>
            <w:r>
              <w:rPr>
                <w:i/>
                <w:snapToGrid w:val="0"/>
                <w:sz w:val="19"/>
                <w:szCs w:val="19"/>
              </w:rPr>
              <w:t>Statutes (Repeals and Minor Amendments) Act 2014</w:t>
            </w:r>
            <w:r>
              <w:rPr>
                <w:snapToGrid w:val="0"/>
                <w:sz w:val="19"/>
                <w:szCs w:val="19"/>
              </w:rPr>
              <w:t xml:space="preserve"> s. 14</w:t>
            </w:r>
          </w:p>
        </w:tc>
        <w:tc>
          <w:tcPr>
            <w:tcW w:w="1134" w:type="dxa"/>
            <w:tcBorders>
              <w:bottom w:val="single" w:sz="2" w:space="0" w:color="auto"/>
            </w:tcBorders>
            <w:shd w:val="clear" w:color="auto" w:fill="auto"/>
          </w:tcPr>
          <w:p>
            <w:pPr>
              <w:pStyle w:val="nTable"/>
              <w:spacing w:before="60" w:after="60"/>
              <w:rPr>
                <w:sz w:val="19"/>
              </w:rPr>
            </w:pPr>
            <w:r>
              <w:rPr>
                <w:snapToGrid w:val="0"/>
                <w:sz w:val="19"/>
                <w:szCs w:val="19"/>
              </w:rPr>
              <w:t>17 of 2014</w:t>
            </w:r>
          </w:p>
        </w:tc>
        <w:tc>
          <w:tcPr>
            <w:tcW w:w="1134" w:type="dxa"/>
            <w:tcBorders>
              <w:bottom w:val="single" w:sz="2" w:space="0" w:color="auto"/>
            </w:tcBorders>
            <w:shd w:val="clear" w:color="auto" w:fill="auto"/>
          </w:tcPr>
          <w:p>
            <w:pPr>
              <w:pStyle w:val="nTable"/>
              <w:spacing w:before="60" w:after="60"/>
              <w:rPr>
                <w:sz w:val="19"/>
              </w:rPr>
            </w:pPr>
            <w:r>
              <w:rPr>
                <w:snapToGrid w:val="0"/>
                <w:sz w:val="19"/>
                <w:szCs w:val="19"/>
              </w:rPr>
              <w:t>2 Jul 2014</w:t>
            </w:r>
          </w:p>
        </w:tc>
        <w:tc>
          <w:tcPr>
            <w:tcW w:w="2551" w:type="dxa"/>
            <w:tcBorders>
              <w:bottom w:val="single" w:sz="2" w:space="0" w:color="auto"/>
            </w:tcBorders>
            <w:shd w:val="clear" w:color="auto" w:fill="auto"/>
          </w:tcPr>
          <w:p>
            <w:pPr>
              <w:pStyle w:val="nTable"/>
              <w:spacing w:before="60" w:after="60"/>
              <w:rPr>
                <w:snapToGrid w:val="0"/>
                <w:sz w:val="19"/>
              </w:rPr>
            </w:pPr>
            <w:r>
              <w:rPr>
                <w:snapToGrid w:val="0"/>
                <w:sz w:val="19"/>
                <w:szCs w:val="19"/>
              </w:rPr>
              <w:t xml:space="preserve">6 Sep 2014 (see s. 2(b) and </w:t>
            </w:r>
            <w:r>
              <w:rPr>
                <w:i/>
                <w:snapToGrid w:val="0"/>
                <w:sz w:val="19"/>
                <w:szCs w:val="19"/>
              </w:rPr>
              <w:t>Gazette</w:t>
            </w:r>
            <w:r>
              <w:rPr>
                <w:snapToGrid w:val="0"/>
                <w:sz w:val="19"/>
                <w:szCs w:val="19"/>
              </w:rPr>
              <w:t xml:space="preserve"> 5 Sep 2014 p. 3213)</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 w:name="_Toc401152193"/>
      <w:r>
        <w:t>Provisions that have not come into operation</w:t>
      </w:r>
      <w:bookmarkEnd w:id="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sz w:val="19"/>
                <w:vertAlign w:val="superscript"/>
              </w:rPr>
            </w:pPr>
            <w:r>
              <w:rPr>
                <w:i/>
                <w:snapToGrid w:val="0"/>
              </w:rPr>
              <w:t xml:space="preserve">Consumer Protection Legislation Amendment Act 2014 </w:t>
            </w:r>
            <w:r>
              <w:rPr>
                <w:snapToGrid w:val="0"/>
              </w:rPr>
              <w:t>Pt. 2 </w:t>
            </w:r>
            <w:r>
              <w:rPr>
                <w:snapToGrid w:val="0"/>
                <w:vertAlign w:val="superscript"/>
              </w:rPr>
              <w:t>7</w:t>
            </w:r>
          </w:p>
        </w:tc>
        <w:tc>
          <w:tcPr>
            <w:tcW w:w="1134" w:type="dxa"/>
            <w:tcBorders>
              <w:top w:val="single" w:sz="8" w:space="0" w:color="auto"/>
              <w:bottom w:val="single" w:sz="8" w:space="0" w:color="auto"/>
            </w:tcBorders>
          </w:tcPr>
          <w:p>
            <w:pPr>
              <w:pStyle w:val="nTable"/>
              <w:spacing w:before="60" w:after="60"/>
              <w:rPr>
                <w:sz w:val="19"/>
              </w:rPr>
            </w:pPr>
            <w:r>
              <w:rPr>
                <w:sz w:val="19"/>
              </w:rPr>
              <w:t>23 of 2014</w:t>
            </w:r>
          </w:p>
        </w:tc>
        <w:tc>
          <w:tcPr>
            <w:tcW w:w="1134" w:type="dxa"/>
            <w:tcBorders>
              <w:top w:val="single" w:sz="8" w:space="0" w:color="auto"/>
              <w:bottom w:val="single" w:sz="8" w:space="0" w:color="auto"/>
            </w:tcBorders>
          </w:tcPr>
          <w:p>
            <w:pPr>
              <w:pStyle w:val="nTable"/>
              <w:spacing w:before="60" w:after="60"/>
              <w:rPr>
                <w:sz w:val="19"/>
              </w:rPr>
            </w:pPr>
            <w:r>
              <w:rPr>
                <w:sz w:val="19"/>
              </w:rPr>
              <w:t>9 Oct 2014</w:t>
            </w:r>
          </w:p>
        </w:tc>
        <w:tc>
          <w:tcPr>
            <w:tcW w:w="2551" w:type="dxa"/>
            <w:tcBorders>
              <w:top w:val="single" w:sz="8" w:space="0" w:color="auto"/>
              <w:bottom w:val="single" w:sz="8" w:space="0" w:color="auto"/>
            </w:tcBorders>
          </w:tcPr>
          <w:p>
            <w:pPr>
              <w:pStyle w:val="nTable"/>
              <w:spacing w:before="60" w:after="60"/>
              <w:rPr>
                <w:sz w:val="19"/>
              </w:rPr>
            </w:pPr>
            <w:r>
              <w:rPr>
                <w:sz w:val="19"/>
              </w:rPr>
              <w:t>To be proclaimed (see s. 2(b))</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w:t>
      </w:r>
    </w:p>
    <w:p>
      <w:pPr>
        <w:pStyle w:val="BlankOpen"/>
        <w:rPr>
          <w:snapToGrid w:val="0"/>
        </w:rPr>
      </w:pPr>
    </w:p>
    <w:p>
      <w:pPr>
        <w:pStyle w:val="nzHeading5"/>
        <w:rPr>
          <w:snapToGrid w:val="0"/>
        </w:rPr>
      </w:pPr>
      <w:r>
        <w:rPr>
          <w:snapToGrid w:val="0"/>
        </w:rPr>
        <w:t>22.</w:t>
      </w:r>
      <w:r>
        <w:rPr>
          <w:snapToGrid w:val="0"/>
        </w:rPr>
        <w:tab/>
        <w:t>Saving and transitional</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i/>
          <w:snapToGrid w:val="0"/>
        </w:rPr>
        <w:t>retail shop lease</w:t>
      </w:r>
      <w:r>
        <w:rPr>
          <w:snapToGrid w:val="0"/>
        </w:rPr>
        <w:t xml:space="preserve"> has the same meaning as it has in the principal Act.</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BlankOpen"/>
        <w:rPr>
          <w:snapToGrid w:val="0"/>
        </w:rPr>
      </w:pP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In this section —</w:t>
      </w:r>
    </w:p>
    <w:p>
      <w:pPr>
        <w:pStyle w:val="nzDefstart"/>
      </w:pPr>
      <w:r>
        <w:tab/>
      </w:r>
      <w:r>
        <w:rPr>
          <w:rStyle w:val="CharDefText"/>
        </w:rPr>
        <w:t>existing lease</w:t>
      </w:r>
      <w:r>
        <w:t xml:space="preserve"> in relation to a provision of this Act means a retail shop lease entered into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keepNext/>
      </w:pPr>
      <w:r>
        <w:tab/>
      </w:r>
      <w:r>
        <w:rPr>
          <w:rStyle w:val="CharDefText"/>
        </w:rPr>
        <w:t>new lease</w:t>
      </w:r>
      <w:r>
        <w:t xml:space="preserve"> in relation to a provision of this Act means a retail shop lease entered into on or after the coming into operation of that provision and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keepLines/>
      </w:pPr>
      <w:r>
        <w:tab/>
        <w:t>(b)</w:t>
      </w:r>
      <w:r>
        <w:tab/>
        <w:t>does not include a retail shop lease so entered into pursuant to an option granted in a retail shop lease entered into before the coming into operation of that provision;</w:t>
      </w:r>
    </w:p>
    <w:p>
      <w:pPr>
        <w:pStyle w:val="nzDefstart"/>
      </w:pPr>
      <w:r>
        <w:tab/>
      </w:r>
      <w:bookmarkStart w:id="73" w:name="endcomma"/>
      <w:bookmarkEnd w:id="73"/>
      <w:r>
        <w:rPr>
          <w:rStyle w:val="CharDefText"/>
        </w:rPr>
        <w:t>retail shop lease</w:t>
      </w:r>
      <w:r>
        <w:t xml:space="preserve"> </w:t>
      </w:r>
      <w:bookmarkStart w:id="74" w:name="comma"/>
      <w:bookmarkEnd w:id="74"/>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Each of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BlankClose"/>
        <w:rPr>
          <w:snapToGrid w:val="0"/>
        </w:rPr>
      </w:pPr>
    </w:p>
    <w:p>
      <w:pPr>
        <w:pStyle w:val="nSubsection"/>
      </w:pPr>
      <w:r>
        <w:rPr>
          <w:vertAlign w:val="superscript"/>
        </w:rPr>
        <w:t>4</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 xml:space="preserve">The </w:t>
      </w:r>
      <w:r>
        <w:rPr>
          <w:i/>
        </w:rPr>
        <w:t>State Administrative Tribunal Regulations 2004</w:t>
      </w:r>
      <w:r>
        <w:t xml:space="preserve"> r. 29 is a transitional provision.</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2 had not come into operation.  It reads as follows:</w:t>
      </w:r>
    </w:p>
    <w:p>
      <w:pPr>
        <w:pStyle w:val="BlankClose"/>
      </w:pPr>
    </w:p>
    <w:p>
      <w:pPr>
        <w:pStyle w:val="nzHeading2"/>
      </w:pPr>
      <w:bookmarkStart w:id="75" w:name="_Toc370214158"/>
      <w:bookmarkStart w:id="76" w:name="_Toc370214316"/>
      <w:bookmarkStart w:id="77" w:name="_Toc370214474"/>
      <w:bookmarkStart w:id="78" w:name="_Toc370214632"/>
      <w:bookmarkStart w:id="79" w:name="_Toc370214790"/>
      <w:bookmarkStart w:id="80" w:name="_Toc370215614"/>
      <w:bookmarkStart w:id="81" w:name="_Toc370296469"/>
      <w:bookmarkStart w:id="82" w:name="_Toc370296627"/>
      <w:bookmarkStart w:id="83" w:name="_Toc370301772"/>
      <w:bookmarkStart w:id="84" w:name="_Toc370306195"/>
      <w:bookmarkStart w:id="85" w:name="_Toc399494736"/>
      <w:bookmarkStart w:id="86" w:name="_Toc401136808"/>
      <w:bookmarkStart w:id="87" w:name="_Toc401137468"/>
      <w:r>
        <w:rPr>
          <w:rStyle w:val="CharPartNo"/>
        </w:rPr>
        <w:t>Part 2</w:t>
      </w:r>
      <w:r>
        <w:rPr>
          <w:rStyle w:val="CharDivNo"/>
        </w:rPr>
        <w:t> </w:t>
      </w:r>
      <w:r>
        <w:t>—</w:t>
      </w:r>
      <w:r>
        <w:rPr>
          <w:rStyle w:val="CharDivText"/>
        </w:rPr>
        <w:t> </w:t>
      </w:r>
      <w:r>
        <w:rPr>
          <w:rStyle w:val="CharPartText"/>
          <w:i/>
        </w:rPr>
        <w:t>Commercial Tenancy (Retail Shops) Agreements Act 1985</w:t>
      </w:r>
      <w:r>
        <w:rPr>
          <w:rStyle w:val="CharPartText"/>
        </w:rPr>
        <w:t> amended</w:t>
      </w:r>
      <w:bookmarkEnd w:id="75"/>
      <w:bookmarkEnd w:id="76"/>
      <w:bookmarkEnd w:id="77"/>
      <w:bookmarkEnd w:id="78"/>
      <w:bookmarkEnd w:id="79"/>
      <w:bookmarkEnd w:id="80"/>
      <w:bookmarkEnd w:id="81"/>
      <w:bookmarkEnd w:id="82"/>
      <w:bookmarkEnd w:id="83"/>
      <w:bookmarkEnd w:id="84"/>
      <w:bookmarkEnd w:id="85"/>
      <w:bookmarkEnd w:id="86"/>
      <w:bookmarkEnd w:id="87"/>
    </w:p>
    <w:p>
      <w:pPr>
        <w:pStyle w:val="nzHeading5"/>
      </w:pPr>
      <w:bookmarkStart w:id="88" w:name="_Toc401136809"/>
      <w:bookmarkStart w:id="89" w:name="_Toc401137469"/>
      <w:r>
        <w:rPr>
          <w:rStyle w:val="CharSectno"/>
        </w:rPr>
        <w:t>3</w:t>
      </w:r>
      <w:r>
        <w:t>.</w:t>
      </w:r>
      <w:r>
        <w:tab/>
        <w:t>Act amended</w:t>
      </w:r>
      <w:bookmarkEnd w:id="88"/>
      <w:bookmarkEnd w:id="89"/>
    </w:p>
    <w:p>
      <w:pPr>
        <w:pStyle w:val="nzSubsection"/>
      </w:pPr>
      <w:r>
        <w:tab/>
      </w:r>
      <w:r>
        <w:tab/>
        <w:t xml:space="preserve">This Part amends the </w:t>
      </w:r>
      <w:r>
        <w:rPr>
          <w:i/>
        </w:rPr>
        <w:t>Commercial Tenancy (Retail Shops) Agreements Act 1985</w:t>
      </w:r>
      <w:r>
        <w:t>.</w:t>
      </w:r>
    </w:p>
    <w:p>
      <w:pPr>
        <w:pStyle w:val="nzHeading5"/>
      </w:pPr>
      <w:bookmarkStart w:id="90" w:name="_Toc401136810"/>
      <w:bookmarkStart w:id="91" w:name="_Toc401137470"/>
      <w:r>
        <w:rPr>
          <w:rStyle w:val="CharSectno"/>
        </w:rPr>
        <w:t>4</w:t>
      </w:r>
      <w:r>
        <w:t>.</w:t>
      </w:r>
      <w:r>
        <w:tab/>
        <w:t>Section 9 amended</w:t>
      </w:r>
      <w:bookmarkEnd w:id="90"/>
      <w:bookmarkEnd w:id="91"/>
    </w:p>
    <w:p>
      <w:pPr>
        <w:pStyle w:val="nzSubsection"/>
      </w:pPr>
      <w:r>
        <w:tab/>
      </w:r>
      <w:r>
        <w:tab/>
        <w:t>In section 9(2)(c) delete “drawing up of or the obtaining of necessary consents to the lease,” and insert:</w:t>
      </w:r>
    </w:p>
    <w:p>
      <w:pPr>
        <w:pStyle w:val="BlankOpen"/>
      </w:pPr>
    </w:p>
    <w:p>
      <w:pPr>
        <w:pStyle w:val="nzSubsection"/>
      </w:pPr>
      <w:r>
        <w:tab/>
      </w:r>
      <w:r>
        <w:tab/>
        <w:t>negotiation, preparation or execution of, or obtaining the necessary consents to,</w:t>
      </w:r>
    </w:p>
    <w:p>
      <w:pPr>
        <w:pStyle w:val="BlankClose"/>
      </w:pPr>
    </w:p>
    <w:p>
      <w:pPr>
        <w:pStyle w:val="BlankOpen"/>
        <w:rPr>
          <w:snapToGrid w:val="0"/>
        </w:rPr>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92" w:name="_Toc401152194"/>
      <w:r>
        <w:rPr>
          <w:sz w:val="28"/>
        </w:rPr>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 w:name="DefinedTerms"/>
      <w:bookmarkEnd w:id="93"/>
      <w:r>
        <w:t>2011 amending Act</w:t>
      </w:r>
      <w:r>
        <w:tab/>
        <w:t>Sch. 1 cl. 3</w:t>
      </w:r>
    </w:p>
    <w:p>
      <w:pPr>
        <w:pStyle w:val="DefinedTerms"/>
      </w:pPr>
      <w:r>
        <w:t>accountant</w:t>
      </w:r>
      <w:r>
        <w:tab/>
        <w:t>3(1)</w:t>
      </w:r>
    </w:p>
    <w:p>
      <w:pPr>
        <w:pStyle w:val="DefinedTerms"/>
      </w:pPr>
      <w:r>
        <w:t>accounting year</w:t>
      </w:r>
      <w:r>
        <w:tab/>
        <w:t>3(1)</w:t>
      </w:r>
    </w:p>
    <w:p>
      <w:pPr>
        <w:pStyle w:val="DefinedTerms"/>
      </w:pPr>
      <w:r>
        <w:t>alternative shop</w:t>
      </w:r>
      <w:r>
        <w:tab/>
        <w:t>14A(2)(b)</w:t>
      </w:r>
    </w:p>
    <w:p>
      <w:pPr>
        <w:pStyle w:val="DefinedTerms"/>
      </w:pPr>
      <w:r>
        <w:t>amending Act</w:t>
      </w:r>
      <w:r>
        <w:tab/>
        <w:t>Sch. 1 cl. 2(1)(a)</w:t>
      </w:r>
    </w:p>
    <w:p>
      <w:pPr>
        <w:pStyle w:val="DefinedTerms"/>
      </w:pPr>
      <w:r>
        <w:t>applicable industry code</w:t>
      </w:r>
      <w:r>
        <w:tab/>
        <w:t>15A</w:t>
      </w:r>
    </w:p>
    <w:p>
      <w:pPr>
        <w:pStyle w:val="DefinedTerms"/>
      </w:pPr>
      <w:r>
        <w:t>assignor</w:t>
      </w:r>
      <w:r>
        <w:tab/>
        <w:t>10(5)</w:t>
      </w:r>
    </w:p>
    <w:p>
      <w:pPr>
        <w:pStyle w:val="DefinedTerms"/>
      </w:pPr>
      <w:r>
        <w:t>bank</w:t>
      </w:r>
      <w:r>
        <w:tab/>
        <w:t>12A(7)</w:t>
      </w:r>
    </w:p>
    <w:p>
      <w:pPr>
        <w:pStyle w:val="DefinedTerms"/>
      </w:pPr>
      <w:r>
        <w:t>building</w:t>
      </w:r>
      <w:r>
        <w:tab/>
        <w:t>3(1)</w:t>
      </w:r>
    </w:p>
    <w:p>
      <w:pPr>
        <w:pStyle w:val="DefinedTerms"/>
      </w:pPr>
      <w:r>
        <w:t>business</w:t>
      </w:r>
      <w:r>
        <w:tab/>
        <w:t>3(1)</w:t>
      </w:r>
    </w:p>
    <w:p>
      <w:pPr>
        <w:pStyle w:val="DefinedTerms"/>
      </w:pPr>
      <w:r>
        <w:t>commencement</w:t>
      </w:r>
      <w:r>
        <w:tab/>
        <w:t>15A</w:t>
      </w:r>
    </w:p>
    <w:p>
      <w:pPr>
        <w:pStyle w:val="DefinedTerms"/>
      </w:pPr>
      <w:r>
        <w:t>commencement day</w:t>
      </w:r>
      <w:r>
        <w:tab/>
        <w:t>Sch. 1 cl. 3</w:t>
      </w:r>
    </w:p>
    <w:p>
      <w:pPr>
        <w:pStyle w:val="DefinedTerms"/>
      </w:pPr>
      <w:r>
        <w:t>common area</w:t>
      </w:r>
      <w:r>
        <w:tab/>
        <w:t>3(1)</w:t>
      </w:r>
    </w:p>
    <w:p>
      <w:pPr>
        <w:pStyle w:val="DefinedTerms"/>
      </w:pPr>
      <w:r>
        <w:t>confidential information</w:t>
      </w:r>
      <w:r>
        <w:tab/>
        <w:t>25B(1)</w:t>
      </w:r>
    </w:p>
    <w:p>
      <w:pPr>
        <w:pStyle w:val="DefinedTerms"/>
      </w:pPr>
      <w:r>
        <w:t>current term</w:t>
      </w:r>
      <w:r>
        <w:tab/>
        <w:t>13(1)(a)</w:t>
      </w:r>
    </w:p>
    <w:p>
      <w:pPr>
        <w:pStyle w:val="DefinedTerms"/>
      </w:pPr>
      <w:r>
        <w:t>existing lease</w:t>
      </w:r>
      <w:r>
        <w:tab/>
        <w:t>Sch. 1 cl. 3</w:t>
      </w:r>
    </w:p>
    <w:p>
      <w:pPr>
        <w:pStyle w:val="DefinedTerms"/>
      </w:pPr>
      <w:r>
        <w:t>existing retail shop lease</w:t>
      </w:r>
      <w:r>
        <w:tab/>
        <w:t>Sch. 1 cl. 3</w:t>
      </w:r>
    </w:p>
    <w:p>
      <w:pPr>
        <w:pStyle w:val="DefinedTerms"/>
      </w:pPr>
      <w:r>
        <w:t>fit out costs</w:t>
      </w:r>
      <w:r>
        <w:tab/>
        <w:t>15A</w:t>
      </w:r>
    </w:p>
    <w:p>
      <w:pPr>
        <w:pStyle w:val="DefinedTerms"/>
      </w:pPr>
      <w:r>
        <w:t>former tenant</w:t>
      </w:r>
      <w:r>
        <w:tab/>
        <w:t>12A(7)</w:t>
      </w:r>
    </w:p>
    <w:p>
      <w:pPr>
        <w:pStyle w:val="DefinedTerms"/>
      </w:pPr>
      <w:r>
        <w:t>goodwill</w:t>
      </w:r>
      <w:r>
        <w:tab/>
        <w:t>3(1)</w:t>
      </w:r>
    </w:p>
    <w:p>
      <w:pPr>
        <w:pStyle w:val="DefinedTerms"/>
      </w:pPr>
      <w:r>
        <w:t>group of premises</w:t>
      </w:r>
      <w:r>
        <w:tab/>
        <w:t>3(1), 12(3)</w:t>
      </w:r>
    </w:p>
    <w:p>
      <w:pPr>
        <w:pStyle w:val="DefinedTerms"/>
      </w:pPr>
      <w:r>
        <w:t>guarantor</w:t>
      </w:r>
      <w:r>
        <w:tab/>
        <w:t>10(5)</w:t>
      </w:r>
    </w:p>
    <w:p>
      <w:pPr>
        <w:pStyle w:val="DefinedTerms"/>
      </w:pPr>
      <w:r>
        <w:t>head lease</w:t>
      </w:r>
      <w:r>
        <w:tab/>
        <w:t>13(2)(b)</w:t>
      </w:r>
    </w:p>
    <w:p>
      <w:pPr>
        <w:pStyle w:val="DefinedTerms"/>
      </w:pPr>
      <w:r>
        <w:t>incoming tenant</w:t>
      </w:r>
      <w:r>
        <w:tab/>
        <w:t>6(5), 6A(5)</w:t>
      </w:r>
    </w:p>
    <w:p>
      <w:pPr>
        <w:pStyle w:val="DefinedTerms"/>
      </w:pPr>
      <w:r>
        <w:t>industry code</w:t>
      </w:r>
      <w:r>
        <w:tab/>
        <w:t>15A</w:t>
      </w:r>
    </w:p>
    <w:p>
      <w:pPr>
        <w:pStyle w:val="DefinedTerms"/>
      </w:pPr>
      <w:r>
        <w:t>key</w:t>
      </w:r>
      <w:r>
        <w:noBreakHyphen/>
        <w:t>money</w:t>
      </w:r>
      <w:r>
        <w:tab/>
        <w:t>3(1)</w:t>
      </w:r>
    </w:p>
    <w:p>
      <w:pPr>
        <w:pStyle w:val="DefinedTerms"/>
      </w:pPr>
      <w:r>
        <w:t>land tax</w:t>
      </w:r>
      <w:r>
        <w:tab/>
        <w:t>12(3)</w:t>
      </w:r>
    </w:p>
    <w:p>
      <w:pPr>
        <w:pStyle w:val="DefinedTerms"/>
      </w:pPr>
      <w:r>
        <w:t>landlord</w:t>
      </w:r>
      <w:r>
        <w:tab/>
        <w:t>3(1)</w:t>
      </w:r>
    </w:p>
    <w:p>
      <w:pPr>
        <w:pStyle w:val="DefinedTerms"/>
      </w:pPr>
      <w:r>
        <w:t>lease</w:t>
      </w:r>
      <w:r>
        <w:tab/>
        <w:t>3(1)</w:t>
      </w:r>
    </w:p>
    <w:p>
      <w:pPr>
        <w:pStyle w:val="DefinedTerms"/>
      </w:pPr>
      <w:r>
        <w:t>lettable area</w:t>
      </w:r>
      <w:r>
        <w:tab/>
        <w:t>3(1)</w:t>
      </w:r>
    </w:p>
    <w:p>
      <w:pPr>
        <w:pStyle w:val="DefinedTerms"/>
      </w:pPr>
      <w:r>
        <w:t>management fees</w:t>
      </w:r>
      <w:r>
        <w:tab/>
        <w:t>3(1)</w:t>
      </w:r>
    </w:p>
    <w:p>
      <w:pPr>
        <w:pStyle w:val="DefinedTerms"/>
      </w:pPr>
      <w:r>
        <w:t>matter</w:t>
      </w:r>
      <w:r>
        <w:tab/>
        <w:t>24</w:t>
      </w:r>
    </w:p>
    <w:p>
      <w:pPr>
        <w:pStyle w:val="DefinedTerms"/>
      </w:pPr>
      <w:r>
        <w:t>metropolitan region improvement tax</w:t>
      </w:r>
      <w:r>
        <w:tab/>
        <w:t>12(3)</w:t>
      </w:r>
    </w:p>
    <w:p>
      <w:pPr>
        <w:pStyle w:val="DefinedTerms"/>
      </w:pPr>
      <w:r>
        <w:t>misleading or deceptive conduct</w:t>
      </w:r>
      <w:r>
        <w:tab/>
        <w:t>16A</w:t>
      </w:r>
    </w:p>
    <w:p>
      <w:pPr>
        <w:pStyle w:val="DefinedTerms"/>
      </w:pPr>
      <w:r>
        <w:t>misleading or deceptive conduct application</w:t>
      </w:r>
      <w:r>
        <w:tab/>
        <w:t>3(1)</w:t>
      </w:r>
    </w:p>
    <w:p>
      <w:pPr>
        <w:pStyle w:val="DefinedTerms"/>
      </w:pPr>
      <w:r>
        <w:t>moneys payable under the lease</w:t>
      </w:r>
      <w:r>
        <w:tab/>
        <w:t>10(5)</w:t>
      </w:r>
    </w:p>
    <w:p>
      <w:pPr>
        <w:pStyle w:val="DefinedTerms"/>
      </w:pPr>
      <w:r>
        <w:t>notional land tax</w:t>
      </w:r>
      <w:r>
        <w:tab/>
        <w:t>12(3)</w:t>
      </w:r>
    </w:p>
    <w:p>
      <w:pPr>
        <w:pStyle w:val="DefinedTerms"/>
      </w:pPr>
      <w:r>
        <w:t>operating expenses</w:t>
      </w:r>
      <w:r>
        <w:tab/>
        <w:t>12(3)</w:t>
      </w:r>
    </w:p>
    <w:p>
      <w:pPr>
        <w:pStyle w:val="DefinedTerms"/>
      </w:pPr>
      <w:r>
        <w:t>operating expenses statement</w:t>
      </w:r>
      <w:r>
        <w:tab/>
        <w:t>12(1)(d)(ii)</w:t>
      </w:r>
    </w:p>
    <w:p>
      <w:pPr>
        <w:pStyle w:val="DefinedTerms"/>
      </w:pPr>
      <w:r>
        <w:t>option term</w:t>
      </w:r>
      <w:r>
        <w:tab/>
        <w:t>13(1)(b)</w:t>
      </w:r>
    </w:p>
    <w:p>
      <w:pPr>
        <w:pStyle w:val="DefinedTerms"/>
      </w:pPr>
      <w:r>
        <w:t>outgoing tenant</w:t>
      </w:r>
      <w:r>
        <w:tab/>
        <w:t>6(5), 6A(5)</w:t>
      </w:r>
    </w:p>
    <w:p>
      <w:pPr>
        <w:pStyle w:val="DefinedTerms"/>
      </w:pPr>
      <w:r>
        <w:t>referable</w:t>
      </w:r>
      <w:r>
        <w:tab/>
        <w:t>12(3)</w:t>
      </w:r>
    </w:p>
    <w:p>
      <w:pPr>
        <w:pStyle w:val="DefinedTerms"/>
      </w:pPr>
      <w:r>
        <w:t>relevant day</w:t>
      </w:r>
      <w:r>
        <w:tab/>
        <w:t>4(3), 15B(2A), 16B(2)</w:t>
      </w:r>
    </w:p>
    <w:p>
      <w:pPr>
        <w:pStyle w:val="DefinedTerms"/>
      </w:pPr>
      <w:r>
        <w:t>relevant proportion</w:t>
      </w:r>
      <w:r>
        <w:tab/>
        <w:t>12(3)</w:t>
      </w:r>
    </w:p>
    <w:p>
      <w:pPr>
        <w:pStyle w:val="DefinedTerms"/>
      </w:pPr>
      <w:r>
        <w:t>relocation notice</w:t>
      </w:r>
      <w:r>
        <w:tab/>
        <w:t>14A(2)(a)</w:t>
      </w:r>
    </w:p>
    <w:p>
      <w:pPr>
        <w:pStyle w:val="DefinedTerms"/>
      </w:pPr>
      <w:r>
        <w:t>retail business</w:t>
      </w:r>
      <w:r>
        <w:tab/>
        <w:t>3(1)</w:t>
      </w:r>
    </w:p>
    <w:p>
      <w:pPr>
        <w:pStyle w:val="DefinedTerms"/>
      </w:pPr>
      <w:r>
        <w:t>retail shop</w:t>
      </w:r>
      <w:r>
        <w:tab/>
        <w:t>3(1)</w:t>
      </w:r>
    </w:p>
    <w:p>
      <w:pPr>
        <w:pStyle w:val="DefinedTerms"/>
      </w:pPr>
      <w:r>
        <w:t>retail shop lease</w:t>
      </w:r>
      <w:r>
        <w:tab/>
        <w:t>3(1)</w:t>
      </w:r>
    </w:p>
    <w:p>
      <w:pPr>
        <w:pStyle w:val="DefinedTerms"/>
      </w:pPr>
      <w:r>
        <w:t>retail shopping centre</w:t>
      </w:r>
      <w:r>
        <w:tab/>
        <w:t>3(1)</w:t>
      </w:r>
    </w:p>
    <w:p>
      <w:pPr>
        <w:pStyle w:val="DefinedTerms"/>
      </w:pPr>
      <w:r>
        <w:t>Small Business Commissioner</w:t>
      </w:r>
      <w:r>
        <w:tab/>
        <w:t>3(1)</w:t>
      </w:r>
    </w:p>
    <w:p>
      <w:pPr>
        <w:pStyle w:val="DefinedTerms"/>
      </w:pPr>
      <w:r>
        <w:t>specified</w:t>
      </w:r>
      <w:r>
        <w:tab/>
        <w:t>15F(7), 16D(7)</w:t>
      </w:r>
    </w:p>
    <w:p>
      <w:pPr>
        <w:pStyle w:val="DefinedTerms"/>
      </w:pPr>
      <w:r>
        <w:t>specified business</w:t>
      </w:r>
      <w:r>
        <w:tab/>
        <w:t>3(1)</w:t>
      </w:r>
    </w:p>
    <w:p>
      <w:pPr>
        <w:pStyle w:val="DefinedTerms"/>
      </w:pPr>
      <w:r>
        <w:t>standard trading hours</w:t>
      </w:r>
      <w:r>
        <w:tab/>
        <w:t>12(3)</w:t>
      </w:r>
    </w:p>
    <w:p>
      <w:pPr>
        <w:pStyle w:val="DefinedTerms"/>
      </w:pPr>
      <w:r>
        <w:t>strata titles levy</w:t>
      </w:r>
      <w:r>
        <w:tab/>
        <w:t>12(3)</w:t>
      </w:r>
    </w:p>
    <w:p>
      <w:pPr>
        <w:pStyle w:val="DefinedTerms"/>
      </w:pPr>
      <w:r>
        <w:t>tenant</w:t>
      </w:r>
      <w:r>
        <w:tab/>
        <w:t>3(1)</w:t>
      </w:r>
    </w:p>
    <w:p>
      <w:pPr>
        <w:pStyle w:val="DefinedTerms"/>
      </w:pPr>
      <w:r>
        <w:t>total lettable area</w:t>
      </w:r>
      <w:r>
        <w:tab/>
        <w:t>12(3)</w:t>
      </w:r>
    </w:p>
    <w:p>
      <w:pPr>
        <w:pStyle w:val="DefinedTerms"/>
      </w:pPr>
      <w:r>
        <w:t>Tribunal</w:t>
      </w:r>
      <w:r>
        <w:tab/>
        <w:t>3(1)</w:t>
      </w:r>
    </w:p>
    <w:p>
      <w:pPr>
        <w:pStyle w:val="DefinedTerms"/>
      </w:pPr>
      <w:r>
        <w:t>turnover</w:t>
      </w:r>
      <w:r>
        <w:tab/>
        <w:t>7(4)</w:t>
      </w:r>
    </w:p>
    <w:p>
      <w:pPr>
        <w:pStyle w:val="DefinedTerms"/>
      </w:pPr>
      <w:r>
        <w:t>unconscionable conduct application</w:t>
      </w:r>
      <w:r>
        <w:tab/>
        <w:t>3(1)</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Act 1985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2"/>
  </w:num>
  <w:num w:numId="15">
    <w:abstractNumId w:val="14"/>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437"/>
    <w:docVar w:name="WAFER_20140115094800" w:val="RemoveTocBookmarks,RemoveUnusedBookmarks,RemoveLanguageTags,UsedStyles,ResetPageSize,UpdateArrangement"/>
    <w:docVar w:name="WAFER_20140115094800_GUID" w:val="4a5bdff4-eefb-4fde-b57b-63cb0c5cb4c3"/>
    <w:docVar w:name="WAFER_20140115094810" w:val="RemoveTocBookmarks,RunningHeaders"/>
    <w:docVar w:name="WAFER_20140115094810_GUID" w:val="35b771ea-003c-4208-9eec-01ad8ed5949f"/>
    <w:docVar w:name="WAFER_20140704161335" w:val="RemoveTocBookmarks,RemoveUnusedBookmarks,RemoveLanguageTags,UsedStyles,ResetPageSize,UpdateArrangement"/>
    <w:docVar w:name="WAFER_20140704161335_GUID" w:val="b56c142f-41bb-4121-a0b6-788f08b19dcb"/>
    <w:docVar w:name="WAFER_20141015123437" w:val="RemoveTocBookmarks,RemoveUnusedBookmarks,RemoveLanguageTags,UsedStyles,ResetPageSize,UpdateArrangement"/>
    <w:docVar w:name="WAFER_20141015123437_GUID" w:val="72fd1142-ddf5-4709-8f16-9634da670f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21330</Words>
  <Characters>98546</Characters>
  <Application>Microsoft Office Word</Application>
  <DocSecurity>0</DocSecurity>
  <Lines>2663</Lines>
  <Paragraphs>1331</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118545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1985 - 04-d0-00</dc:title>
  <dc:subject/>
  <dc:creator/>
  <cp:keywords/>
  <dc:description/>
  <cp:lastModifiedBy>svcMRProcess</cp:lastModifiedBy>
  <cp:revision>4</cp:revision>
  <cp:lastPrinted>2013-01-23T03:41:00Z</cp:lastPrinted>
  <dcterms:created xsi:type="dcterms:W3CDTF">2018-08-21T16:23:00Z</dcterms:created>
  <dcterms:modified xsi:type="dcterms:W3CDTF">2018-08-21T16:23:00Z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149</vt:i4>
  </property>
  <property fmtid="{D5CDD505-2E9C-101B-9397-08002B2CF9AE}" pid="6" name="AsAtDate">
    <vt:lpwstr>09 Oct 2014</vt:lpwstr>
  </property>
  <property fmtid="{D5CDD505-2E9C-101B-9397-08002B2CF9AE}" pid="7" name="Suffix">
    <vt:lpwstr>04-d0-00</vt:lpwstr>
  </property>
  <property fmtid="{D5CDD505-2E9C-101B-9397-08002B2CF9AE}" pid="8" name="ReprintNo">
    <vt:lpwstr>4</vt:lpwstr>
  </property>
  <property fmtid="{D5CDD505-2E9C-101B-9397-08002B2CF9AE}" pid="9" name="ReprintedAsAt">
    <vt:filetime>2013-01-17T16:00:00Z</vt:filetime>
  </property>
</Properties>
</file>