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Petroleum Products Pricing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Products Pricing Act 1983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rPr>
          <w:b w:val="0"/>
          <w:sz w:val="24"/>
        </w:rP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rPr>
          <w:b w:val="0"/>
          <w:sz w:val="24"/>
        </w:rPr>
        <w:fldChar w:fldCharType="separate"/>
      </w:r>
      <w:r>
        <w:rPr>
          <w:noProof/>
        </w:rP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_Toc401155629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_Toc401155630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_Toc401155631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to other Acts, etc.</w:t>
      </w:r>
      <w:r>
        <w:tab/>
      </w:r>
      <w:r>
        <w:fldChar w:fldCharType="begin"/>
      </w:r>
      <w:r>
        <w:instrText xml:space="preserve"> PAGEREF _Toc401155632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 — Administration</w:t>
      </w:r>
    </w:p>
    <w:p>
      <w:pPr>
        <w:pStyle w:val="TOC8"/>
        <w:rPr>
          <w:rFonts w:asciiTheme="minorHAnsi" w:eastAsiaTheme="minorEastAsia" w:hAnsiTheme="minorHAnsi" w:cstheme="minorBidi"/>
          <w:szCs w:val="22"/>
        </w:rPr>
      </w:pPr>
      <w:r>
        <w:t>5.</w:t>
      </w:r>
      <w:r>
        <w:tab/>
        <w:t>Commissioner</w:t>
      </w:r>
      <w:r>
        <w:tab/>
      </w:r>
      <w:r>
        <w:fldChar w:fldCharType="begin"/>
      </w:r>
      <w:r>
        <w:instrText xml:space="preserve"> PAGEREF _Toc401155634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 and purposes</w:t>
      </w:r>
      <w:r>
        <w:tab/>
      </w:r>
      <w:r>
        <w:fldChar w:fldCharType="begin"/>
      </w:r>
      <w:r>
        <w:instrText xml:space="preserve"> PAGEREF _Toc401155635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administration, and the powers and duties of the Commissioner</w:t>
      </w:r>
      <w:r>
        <w:tab/>
      </w:r>
      <w:r>
        <w:fldChar w:fldCharType="begin"/>
      </w:r>
      <w:r>
        <w:instrText xml:space="preserve"> PAGEREF _Toc401155636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Prices advisory committees</w:t>
      </w:r>
      <w:r>
        <w:tab/>
      </w:r>
      <w:r>
        <w:fldChar w:fldCharType="begin"/>
      </w:r>
      <w:r>
        <w:instrText xml:space="preserve"> PAGEREF _Toc401155637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of office of members of committees</w:t>
      </w:r>
      <w:r>
        <w:tab/>
      </w:r>
      <w:r>
        <w:fldChar w:fldCharType="begin"/>
      </w:r>
      <w:r>
        <w:instrText xml:space="preserve"> PAGEREF _Toc401155638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III — Regulation of prices and rates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Declaration of goods and services</w:t>
      </w:r>
    </w:p>
    <w:p>
      <w:pPr>
        <w:pStyle w:val="TOC8"/>
        <w:rPr>
          <w:rFonts w:asciiTheme="minorHAnsi" w:eastAsiaTheme="minorEastAsia" w:hAnsiTheme="minorHAnsi" w:cstheme="minorBidi"/>
          <w:szCs w:val="22"/>
        </w:rPr>
      </w:pPr>
      <w:r>
        <w:t>10</w:t>
      </w:r>
      <w:r>
        <w:rPr>
          <w:snapToGrid w:val="0"/>
        </w:rPr>
        <w:t>.</w:t>
      </w:r>
      <w:r>
        <w:rPr>
          <w:snapToGrid w:val="0"/>
        </w:rPr>
        <w:tab/>
        <w:t>Declaration of goods and services</w:t>
      </w:r>
      <w:r>
        <w:tab/>
      </w:r>
      <w:r>
        <w:fldChar w:fldCharType="begin"/>
      </w:r>
      <w:r>
        <w:instrText xml:space="preserve"> PAGEREF _Toc401155641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when increase in price or rate of declared goods or declared service proposed</w:t>
      </w:r>
      <w:r>
        <w:tab/>
      </w:r>
      <w:r>
        <w:fldChar w:fldCharType="begin"/>
      </w:r>
      <w:r>
        <w:instrText xml:space="preserve"> PAGEREF _Toc401155642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Determination of maximum prices and rates for goods and services</w:t>
      </w:r>
    </w:p>
    <w:p>
      <w:pPr>
        <w:pStyle w:val="TOC8"/>
        <w:rPr>
          <w:rFonts w:asciiTheme="minorHAnsi" w:eastAsiaTheme="minorEastAsia" w:hAnsiTheme="minorHAnsi" w:cstheme="minorBidi"/>
          <w:szCs w:val="22"/>
        </w:rPr>
      </w:pPr>
      <w:r>
        <w:t>12</w:t>
      </w:r>
      <w:r>
        <w:rPr>
          <w:snapToGrid w:val="0"/>
        </w:rPr>
        <w:t>.</w:t>
      </w:r>
      <w:r>
        <w:rPr>
          <w:snapToGrid w:val="0"/>
        </w:rPr>
        <w:tab/>
        <w:t>Determination of maximum prices and rates</w:t>
      </w:r>
      <w:r>
        <w:tab/>
      </w:r>
      <w:r>
        <w:fldChar w:fldCharType="begin"/>
      </w:r>
      <w:r>
        <w:instrText xml:space="preserve"> PAGEREF _Toc401155644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of Minister to suspend order</w:t>
      </w:r>
      <w:r>
        <w:tab/>
      </w:r>
      <w:r>
        <w:fldChar w:fldCharType="begin"/>
      </w:r>
      <w:r>
        <w:instrText xml:space="preserve"> PAGEREF _Toc401155645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Enforcement of maximum prices and rates</w:t>
      </w:r>
    </w:p>
    <w:p>
      <w:pPr>
        <w:pStyle w:val="TOC8"/>
        <w:rPr>
          <w:rFonts w:asciiTheme="minorHAnsi" w:eastAsiaTheme="minorEastAsia" w:hAnsiTheme="minorHAnsi" w:cstheme="minorBidi"/>
          <w:szCs w:val="22"/>
        </w:rPr>
      </w:pPr>
      <w:r>
        <w:t>14</w:t>
      </w:r>
      <w:r>
        <w:rPr>
          <w:snapToGrid w:val="0"/>
        </w:rPr>
        <w:t>.</w:t>
      </w:r>
      <w:r>
        <w:rPr>
          <w:snapToGrid w:val="0"/>
        </w:rPr>
        <w:tab/>
        <w:t>Offence to sell goods at price higher than maximum price or supply service at rate higher than maximum rate</w:t>
      </w:r>
      <w:r>
        <w:tab/>
      </w:r>
      <w:r>
        <w:fldChar w:fldCharType="begin"/>
      </w:r>
      <w:r>
        <w:instrText xml:space="preserve"> PAGEREF _Toc401155647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Delivery of goods less in quantity than, or of inferior quality to, those sold</w:t>
      </w:r>
      <w:r>
        <w:tab/>
      </w:r>
      <w:r>
        <w:fldChar w:fldCharType="begin"/>
      </w:r>
      <w:r>
        <w:instrText xml:space="preserve"> PAGEREF _Toc401155648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Alterations in mode of packing or recipe or formula</w:t>
      </w:r>
      <w:r>
        <w:tab/>
      </w:r>
      <w:r>
        <w:fldChar w:fldCharType="begin"/>
      </w:r>
      <w:r>
        <w:instrText xml:space="preserve"> PAGEREF _Toc401155649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Price or rate of controlled goods or service to be specified separately</w:t>
      </w:r>
      <w:r>
        <w:tab/>
      </w:r>
      <w:r>
        <w:fldChar w:fldCharType="begin"/>
      </w:r>
      <w:r>
        <w:instrText xml:space="preserve"> PAGEREF _Toc401155650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Commissioner to prohibit certain transactions</w:t>
      </w:r>
      <w:r>
        <w:tab/>
      </w:r>
      <w:r>
        <w:fldChar w:fldCharType="begin"/>
      </w:r>
      <w:r>
        <w:instrText xml:space="preserve"> PAGEREF _Toc401155651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Refusal to sell goods at fixed price</w:t>
      </w:r>
      <w:r>
        <w:tab/>
      </w:r>
      <w:r>
        <w:fldChar w:fldCharType="begin"/>
      </w:r>
      <w:r>
        <w:instrText xml:space="preserve"> PAGEREF _Toc401155652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Refusal to supply service at fixed rate</w:t>
      </w:r>
      <w:r>
        <w:tab/>
      </w:r>
      <w:r>
        <w:fldChar w:fldCharType="begin"/>
      </w:r>
      <w:r>
        <w:instrText xml:space="preserve"> PAGEREF _Toc401155653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Refusal to sell or supply unless other goods or services are also purchased</w:t>
      </w:r>
      <w:r>
        <w:tab/>
      </w:r>
      <w:r>
        <w:fldChar w:fldCharType="begin"/>
      </w:r>
      <w:r>
        <w:instrText xml:space="preserve"> PAGEREF _Toc401155654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t>
      </w:r>
      <w:r>
        <w:t>Offer</w:t>
      </w:r>
      <w:r>
        <w:rPr>
          <w:snapToGrid w:val="0"/>
        </w:rPr>
        <w:t>” includes notification of price or rate</w:t>
      </w:r>
      <w:r>
        <w:tab/>
      </w:r>
      <w:r>
        <w:fldChar w:fldCharType="begin"/>
      </w:r>
      <w:r>
        <w:instrText xml:space="preserve"> PAGEREF _Toc401155655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IIIA — Special provisions about motor fuel</w:t>
      </w:r>
    </w:p>
    <w:p>
      <w:pPr>
        <w:pStyle w:val="TOC4"/>
        <w:tabs>
          <w:tab w:val="right" w:leader="dot" w:pos="7086"/>
        </w:tabs>
        <w:rPr>
          <w:rFonts w:asciiTheme="minorHAnsi" w:eastAsiaTheme="minorEastAsia" w:hAnsiTheme="minorHAnsi" w:cstheme="minorBidi"/>
          <w:b w:val="0"/>
          <w:szCs w:val="22"/>
        </w:rPr>
      </w:pPr>
      <w:r>
        <w:t>Division 1 — Before retail sale</w:t>
      </w:r>
    </w:p>
    <w:p>
      <w:pPr>
        <w:pStyle w:val="TOC8"/>
        <w:rPr>
          <w:rFonts w:asciiTheme="minorHAnsi" w:eastAsiaTheme="minorEastAsia" w:hAnsiTheme="minorHAnsi" w:cstheme="minorBidi"/>
          <w:szCs w:val="22"/>
        </w:rPr>
      </w:pPr>
      <w:r>
        <w:t>22A.</w:t>
      </w:r>
      <w:r>
        <w:tab/>
        <w:t>Definitions</w:t>
      </w:r>
      <w:r>
        <w:tab/>
      </w:r>
      <w:r>
        <w:fldChar w:fldCharType="begin"/>
      </w:r>
      <w:r>
        <w:instrText xml:space="preserve"> PAGEREF _Toc401155658 \h </w:instrText>
      </w:r>
      <w:r>
        <w:fldChar w:fldCharType="separate"/>
      </w:r>
      <w:r>
        <w:t>29</w:t>
      </w:r>
      <w:r>
        <w:fldChar w:fldCharType="end"/>
      </w:r>
    </w:p>
    <w:p>
      <w:pPr>
        <w:pStyle w:val="TOC8"/>
        <w:rPr>
          <w:rFonts w:asciiTheme="minorHAnsi" w:eastAsiaTheme="minorEastAsia" w:hAnsiTheme="minorHAnsi" w:cstheme="minorBidi"/>
          <w:szCs w:val="22"/>
        </w:rPr>
      </w:pPr>
      <w:r>
        <w:t>22B.</w:t>
      </w:r>
      <w:r>
        <w:tab/>
        <w:t>Price at terminal to be displayed and Commissioner to be notified of changes</w:t>
      </w:r>
      <w:r>
        <w:tab/>
      </w:r>
      <w:r>
        <w:fldChar w:fldCharType="begin"/>
      </w:r>
      <w:r>
        <w:instrText xml:space="preserve"> PAGEREF _Toc401155659 \h </w:instrText>
      </w:r>
      <w:r>
        <w:fldChar w:fldCharType="separate"/>
      </w:r>
      <w:r>
        <w:t>30</w:t>
      </w:r>
      <w:r>
        <w:fldChar w:fldCharType="end"/>
      </w:r>
    </w:p>
    <w:p>
      <w:pPr>
        <w:pStyle w:val="TOC8"/>
        <w:rPr>
          <w:rFonts w:asciiTheme="minorHAnsi" w:eastAsiaTheme="minorEastAsia" w:hAnsiTheme="minorHAnsi" w:cstheme="minorBidi"/>
          <w:szCs w:val="22"/>
        </w:rPr>
      </w:pPr>
      <w:r>
        <w:t>22C.</w:t>
      </w:r>
      <w:r>
        <w:tab/>
        <w:t>Previous month’s average price to be displayed</w:t>
      </w:r>
      <w:r>
        <w:tab/>
      </w:r>
      <w:r>
        <w:fldChar w:fldCharType="begin"/>
      </w:r>
      <w:r>
        <w:instrText xml:space="preserve"> PAGEREF _Toc401155660 \h </w:instrText>
      </w:r>
      <w:r>
        <w:fldChar w:fldCharType="separate"/>
      </w:r>
      <w:r>
        <w:t>30</w:t>
      </w:r>
      <w:r>
        <w:fldChar w:fldCharType="end"/>
      </w:r>
    </w:p>
    <w:p>
      <w:pPr>
        <w:pStyle w:val="TOC8"/>
        <w:rPr>
          <w:rFonts w:asciiTheme="minorHAnsi" w:eastAsiaTheme="minorEastAsia" w:hAnsiTheme="minorHAnsi" w:cstheme="minorBidi"/>
          <w:szCs w:val="22"/>
        </w:rPr>
      </w:pPr>
      <w:r>
        <w:t>22D.</w:t>
      </w:r>
      <w:r>
        <w:tab/>
        <w:t>Maximum price to be displayed</w:t>
      </w:r>
      <w:r>
        <w:tab/>
      </w:r>
      <w:r>
        <w:fldChar w:fldCharType="begin"/>
      </w:r>
      <w:r>
        <w:instrText xml:space="preserve"> PAGEREF _Toc401155661 \h </w:instrText>
      </w:r>
      <w:r>
        <w:fldChar w:fldCharType="separate"/>
      </w:r>
      <w:r>
        <w:t>31</w:t>
      </w:r>
      <w:r>
        <w:fldChar w:fldCharType="end"/>
      </w:r>
    </w:p>
    <w:p>
      <w:pPr>
        <w:pStyle w:val="TOC8"/>
        <w:rPr>
          <w:rFonts w:asciiTheme="minorHAnsi" w:eastAsiaTheme="minorEastAsia" w:hAnsiTheme="minorHAnsi" w:cstheme="minorBidi"/>
          <w:szCs w:val="22"/>
        </w:rPr>
      </w:pPr>
      <w:r>
        <w:t>22E.</w:t>
      </w:r>
      <w:r>
        <w:tab/>
        <w:t>Price to be compared to maximum price fixed</w:t>
      </w:r>
      <w:r>
        <w:tab/>
      </w:r>
      <w:r>
        <w:fldChar w:fldCharType="begin"/>
      </w:r>
      <w:r>
        <w:instrText xml:space="preserve"> PAGEREF _Toc401155662 \h </w:instrText>
      </w:r>
      <w:r>
        <w:fldChar w:fldCharType="separate"/>
      </w:r>
      <w:r>
        <w:t>31</w:t>
      </w:r>
      <w:r>
        <w:fldChar w:fldCharType="end"/>
      </w:r>
    </w:p>
    <w:p>
      <w:pPr>
        <w:pStyle w:val="TOC8"/>
        <w:rPr>
          <w:rFonts w:asciiTheme="minorHAnsi" w:eastAsiaTheme="minorEastAsia" w:hAnsiTheme="minorHAnsi" w:cstheme="minorBidi"/>
          <w:szCs w:val="22"/>
        </w:rPr>
      </w:pPr>
      <w:r>
        <w:t>22F.</w:t>
      </w:r>
      <w:r>
        <w:tab/>
        <w:t>Information that supplier is to provide</w:t>
      </w:r>
      <w:r>
        <w:tab/>
      </w:r>
      <w:r>
        <w:fldChar w:fldCharType="begin"/>
      </w:r>
      <w:r>
        <w:instrText xml:space="preserve"> PAGEREF _Toc401155663 \h </w:instrText>
      </w:r>
      <w:r>
        <w:fldChar w:fldCharType="separate"/>
      </w:r>
      <w:r>
        <w:t>32</w:t>
      </w:r>
      <w:r>
        <w:fldChar w:fldCharType="end"/>
      </w:r>
    </w:p>
    <w:p>
      <w:pPr>
        <w:pStyle w:val="TOC8"/>
        <w:rPr>
          <w:rFonts w:asciiTheme="minorHAnsi" w:eastAsiaTheme="minorEastAsia" w:hAnsiTheme="minorHAnsi" w:cstheme="minorBidi"/>
          <w:szCs w:val="22"/>
        </w:rPr>
      </w:pPr>
      <w:r>
        <w:t>22G.</w:t>
      </w:r>
      <w:r>
        <w:tab/>
        <w:t>Obligation to supply from declared terminal</w:t>
      </w:r>
      <w:r>
        <w:tab/>
      </w:r>
      <w:r>
        <w:fldChar w:fldCharType="begin"/>
      </w:r>
      <w:r>
        <w:instrText xml:space="preserve"> PAGEREF _Toc401155664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2 — Retail sale</w:t>
      </w:r>
    </w:p>
    <w:p>
      <w:pPr>
        <w:pStyle w:val="TOC8"/>
        <w:rPr>
          <w:rFonts w:asciiTheme="minorHAnsi" w:eastAsiaTheme="minorEastAsia" w:hAnsiTheme="minorHAnsi" w:cstheme="minorBidi"/>
          <w:szCs w:val="22"/>
        </w:rPr>
      </w:pPr>
      <w:r>
        <w:t>22H.</w:t>
      </w:r>
      <w:r>
        <w:tab/>
        <w:t>Definitions</w:t>
      </w:r>
      <w:r>
        <w:tab/>
      </w:r>
      <w:r>
        <w:fldChar w:fldCharType="begin"/>
      </w:r>
      <w:r>
        <w:instrText xml:space="preserve"> PAGEREF _Toc401155666 \h </w:instrText>
      </w:r>
      <w:r>
        <w:fldChar w:fldCharType="separate"/>
      </w:r>
      <w:r>
        <w:t>34</w:t>
      </w:r>
      <w:r>
        <w:fldChar w:fldCharType="end"/>
      </w:r>
    </w:p>
    <w:p>
      <w:pPr>
        <w:pStyle w:val="TOC8"/>
        <w:rPr>
          <w:rFonts w:asciiTheme="minorHAnsi" w:eastAsiaTheme="minorEastAsia" w:hAnsiTheme="minorHAnsi" w:cstheme="minorBidi"/>
          <w:szCs w:val="22"/>
        </w:rPr>
      </w:pPr>
      <w:r>
        <w:t>22I.</w:t>
      </w:r>
      <w:r>
        <w:tab/>
        <w:t>Regulations to require retailers to display prices</w:t>
      </w:r>
      <w:r>
        <w:tab/>
      </w:r>
      <w:r>
        <w:fldChar w:fldCharType="begin"/>
      </w:r>
      <w:r>
        <w:instrText xml:space="preserve"> PAGEREF _Toc401155667 \h </w:instrText>
      </w:r>
      <w:r>
        <w:fldChar w:fldCharType="separate"/>
      </w:r>
      <w:r>
        <w:t>34</w:t>
      </w:r>
      <w:r>
        <w:fldChar w:fldCharType="end"/>
      </w:r>
    </w:p>
    <w:p>
      <w:pPr>
        <w:pStyle w:val="TOC8"/>
        <w:rPr>
          <w:rFonts w:asciiTheme="minorHAnsi" w:eastAsiaTheme="minorEastAsia" w:hAnsiTheme="minorHAnsi" w:cstheme="minorBidi"/>
          <w:szCs w:val="22"/>
        </w:rPr>
      </w:pPr>
      <w:r>
        <w:t>22J.</w:t>
      </w:r>
      <w:r>
        <w:tab/>
        <w:t>Regulations requiring notification of, and restricting change of, price</w:t>
      </w:r>
      <w:r>
        <w:tab/>
      </w:r>
      <w:r>
        <w:fldChar w:fldCharType="begin"/>
      </w:r>
      <w:r>
        <w:instrText xml:space="preserve"> PAGEREF _Toc401155668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IV — Obtaining information</w:t>
      </w:r>
    </w:p>
    <w:p>
      <w:pPr>
        <w:pStyle w:val="TOC8"/>
        <w:rPr>
          <w:rFonts w:asciiTheme="minorHAnsi" w:eastAsiaTheme="minorEastAsia" w:hAnsiTheme="minorHAnsi" w:cstheme="minorBidi"/>
          <w:szCs w:val="22"/>
        </w:rPr>
      </w:pPr>
      <w:r>
        <w:t>23</w:t>
      </w:r>
      <w:r>
        <w:rPr>
          <w:snapToGrid w:val="0"/>
        </w:rPr>
        <w:t>.</w:t>
      </w:r>
      <w:r>
        <w:rPr>
          <w:snapToGrid w:val="0"/>
        </w:rPr>
        <w:tab/>
        <w:t>Power of Commissioner to inquire, investigate, and obtain information</w:t>
      </w:r>
      <w:r>
        <w:tab/>
      </w:r>
      <w:r>
        <w:fldChar w:fldCharType="begin"/>
      </w:r>
      <w:r>
        <w:instrText xml:space="preserve"> PAGEREF _Toc401155670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Sufficient notice to be given to enable questions, etc. to be answered</w:t>
      </w:r>
      <w:r>
        <w:tab/>
      </w:r>
      <w:r>
        <w:fldChar w:fldCharType="begin"/>
      </w:r>
      <w:r>
        <w:instrText xml:space="preserve"> PAGEREF _Toc401155671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Failure to supply information</w:t>
      </w:r>
      <w:r>
        <w:tab/>
      </w:r>
      <w:r>
        <w:fldChar w:fldCharType="begin"/>
      </w:r>
      <w:r>
        <w:instrText xml:space="preserve"> PAGEREF _Toc401155672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Obstructing Commissioner</w:t>
      </w:r>
      <w:r>
        <w:tab/>
      </w:r>
      <w:r>
        <w:fldChar w:fldCharType="begin"/>
      </w:r>
      <w:r>
        <w:instrText xml:space="preserve"> PAGEREF _Toc401155673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of Commissioner to require returns</w:t>
      </w:r>
      <w:r>
        <w:tab/>
      </w:r>
      <w:r>
        <w:fldChar w:fldCharType="begin"/>
      </w:r>
      <w:r>
        <w:instrText xml:space="preserve"> PAGEREF _Toc401155674 \h </w:instrText>
      </w:r>
      <w:r>
        <w:fldChar w:fldCharType="separate"/>
      </w:r>
      <w:r>
        <w:t>39</w:t>
      </w:r>
      <w:r>
        <w:fldChar w:fldCharType="end"/>
      </w:r>
    </w:p>
    <w:p>
      <w:pPr>
        <w:pStyle w:val="TOC8"/>
        <w:rPr>
          <w:rFonts w:asciiTheme="minorHAnsi" w:eastAsiaTheme="minorEastAsia" w:hAnsiTheme="minorHAnsi" w:cstheme="minorBidi"/>
          <w:szCs w:val="22"/>
        </w:rPr>
      </w:pPr>
      <w:r>
        <w:t>27A.</w:t>
      </w:r>
      <w:r>
        <w:tab/>
        <w:t>Further powers of Commissioner to obtain information</w:t>
      </w:r>
      <w:r>
        <w:tab/>
      </w:r>
      <w:r>
        <w:fldChar w:fldCharType="begin"/>
      </w:r>
      <w:r>
        <w:instrText xml:space="preserve"> PAGEREF _Toc401155675 \h </w:instrText>
      </w:r>
      <w:r>
        <w:fldChar w:fldCharType="separate"/>
      </w:r>
      <w:r>
        <w:t>41</w:t>
      </w:r>
      <w:r>
        <w:fldChar w:fldCharType="end"/>
      </w:r>
    </w:p>
    <w:p>
      <w:pPr>
        <w:pStyle w:val="TOC8"/>
        <w:rPr>
          <w:rFonts w:asciiTheme="minorHAnsi" w:eastAsiaTheme="minorEastAsia" w:hAnsiTheme="minorHAnsi" w:cstheme="minorBidi"/>
          <w:szCs w:val="22"/>
        </w:rPr>
      </w:pPr>
      <w:r>
        <w:t>27B.</w:t>
      </w:r>
      <w:r>
        <w:tab/>
        <w:t>Publication by Commissioner of information</w:t>
      </w:r>
      <w:r>
        <w:tab/>
      </w:r>
      <w:r>
        <w:fldChar w:fldCharType="begin"/>
      </w:r>
      <w:r>
        <w:instrText xml:space="preserve"> PAGEREF _Toc401155676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w:t>
      </w:r>
      <w:r>
        <w:t>Commissioner</w:t>
      </w:r>
      <w:r>
        <w:rPr>
          <w:snapToGrid w:val="0"/>
        </w:rPr>
        <w:t>” includes other officers</w:t>
      </w:r>
      <w:r>
        <w:tab/>
      </w:r>
      <w:r>
        <w:fldChar w:fldCharType="begin"/>
      </w:r>
      <w:r>
        <w:instrText xml:space="preserve"> PAGEREF _Toc401155677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 — Offences and penalties</w:t>
      </w:r>
    </w:p>
    <w:p>
      <w:pPr>
        <w:pStyle w:val="TOC4"/>
        <w:tabs>
          <w:tab w:val="right" w:leader="dot" w:pos="7086"/>
        </w:tabs>
        <w:rPr>
          <w:rFonts w:asciiTheme="minorHAnsi" w:eastAsiaTheme="minorEastAsia" w:hAnsiTheme="minorHAnsi" w:cstheme="minorBidi"/>
          <w:b w:val="0"/>
          <w:szCs w:val="22"/>
        </w:rPr>
      </w:pPr>
      <w:r>
        <w:t>Division 1</w:t>
      </w:r>
      <w:r>
        <w:rPr>
          <w:b w:val="0"/>
        </w:rPr>
        <w:t> — </w:t>
      </w:r>
      <w:r>
        <w:t>General provisions</w:t>
      </w:r>
    </w:p>
    <w:p>
      <w:pPr>
        <w:pStyle w:val="TOC8"/>
        <w:rPr>
          <w:rFonts w:asciiTheme="minorHAnsi" w:eastAsiaTheme="minorEastAsia" w:hAnsiTheme="minorHAnsi" w:cstheme="minorBidi"/>
          <w:szCs w:val="22"/>
        </w:rPr>
      </w:pPr>
      <w:r>
        <w:t>29</w:t>
      </w:r>
      <w:r>
        <w:rPr>
          <w:snapToGrid w:val="0"/>
        </w:rPr>
        <w:t>.</w:t>
      </w:r>
      <w:r>
        <w:rPr>
          <w:snapToGrid w:val="0"/>
        </w:rPr>
        <w:tab/>
        <w:t>Liability of officers etc., of body corporate</w:t>
      </w:r>
      <w:r>
        <w:tab/>
      </w:r>
      <w:r>
        <w:fldChar w:fldCharType="begin"/>
      </w:r>
      <w:r>
        <w:instrText xml:space="preserve"> PAGEREF _Toc401155680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Court may order refund of amount paid in excess of maximum price or rate</w:t>
      </w:r>
      <w:r>
        <w:tab/>
      </w:r>
      <w:r>
        <w:fldChar w:fldCharType="begin"/>
      </w:r>
      <w:r>
        <w:instrText xml:space="preserve"> PAGEREF _Toc401155681 \h </w:instrText>
      </w:r>
      <w:r>
        <w:fldChar w:fldCharType="separate"/>
      </w:r>
      <w:r>
        <w:t>43</w:t>
      </w:r>
      <w:r>
        <w:fldChar w:fldCharType="end"/>
      </w:r>
    </w:p>
    <w:p>
      <w:pPr>
        <w:pStyle w:val="TOC8"/>
        <w:rPr>
          <w:rFonts w:asciiTheme="minorHAnsi" w:eastAsiaTheme="minorEastAsia" w:hAnsiTheme="minorHAnsi" w:cstheme="minorBidi"/>
          <w:szCs w:val="22"/>
        </w:rPr>
      </w:pPr>
      <w:r>
        <w:t>31.</w:t>
      </w:r>
      <w:r>
        <w:tab/>
        <w:t>Limitation period for prosecutions</w:t>
      </w:r>
      <w:r>
        <w:tab/>
      </w:r>
      <w:r>
        <w:fldChar w:fldCharType="begin"/>
      </w:r>
      <w:r>
        <w:instrText xml:space="preserve"> PAGEREF _Toc401155682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31A.</w:t>
      </w:r>
      <w:r>
        <w:tab/>
        <w:t>Infringement notices</w:t>
      </w:r>
      <w:r>
        <w:tab/>
      </w:r>
      <w:r>
        <w:fldChar w:fldCharType="begin"/>
      </w:r>
      <w:r>
        <w:instrText xml:space="preserve"> PAGEREF _Toc401155684 \h </w:instrText>
      </w:r>
      <w:r>
        <w:fldChar w:fldCharType="separate"/>
      </w:r>
      <w:r>
        <w:t>44</w:t>
      </w:r>
      <w:r>
        <w:fldChar w:fldCharType="end"/>
      </w:r>
    </w:p>
    <w:p>
      <w:pPr>
        <w:pStyle w:val="TOC8"/>
        <w:rPr>
          <w:rFonts w:asciiTheme="minorHAnsi" w:eastAsiaTheme="minorEastAsia" w:hAnsiTheme="minorHAnsi" w:cstheme="minorBidi"/>
          <w:szCs w:val="22"/>
        </w:rPr>
      </w:pPr>
      <w:r>
        <w:t>31B.</w:t>
      </w:r>
      <w:r>
        <w:tab/>
        <w:t>Giving of notice</w:t>
      </w:r>
      <w:r>
        <w:tab/>
      </w:r>
      <w:r>
        <w:fldChar w:fldCharType="begin"/>
      </w:r>
      <w:r>
        <w:instrText xml:space="preserve"> PAGEREF _Toc401155685 \h </w:instrText>
      </w:r>
      <w:r>
        <w:fldChar w:fldCharType="separate"/>
      </w:r>
      <w:r>
        <w:t>44</w:t>
      </w:r>
      <w:r>
        <w:fldChar w:fldCharType="end"/>
      </w:r>
    </w:p>
    <w:p>
      <w:pPr>
        <w:pStyle w:val="TOC8"/>
        <w:rPr>
          <w:rFonts w:asciiTheme="minorHAnsi" w:eastAsiaTheme="minorEastAsia" w:hAnsiTheme="minorHAnsi" w:cstheme="minorBidi"/>
          <w:szCs w:val="22"/>
        </w:rPr>
      </w:pPr>
      <w:r>
        <w:t>31C.</w:t>
      </w:r>
      <w:r>
        <w:tab/>
        <w:t>Content of notice</w:t>
      </w:r>
      <w:r>
        <w:tab/>
      </w:r>
      <w:r>
        <w:fldChar w:fldCharType="begin"/>
      </w:r>
      <w:r>
        <w:instrText xml:space="preserve"> PAGEREF _Toc401155686 \h </w:instrText>
      </w:r>
      <w:r>
        <w:fldChar w:fldCharType="separate"/>
      </w:r>
      <w:r>
        <w:t>45</w:t>
      </w:r>
      <w:r>
        <w:fldChar w:fldCharType="end"/>
      </w:r>
    </w:p>
    <w:p>
      <w:pPr>
        <w:pStyle w:val="TOC8"/>
        <w:rPr>
          <w:rFonts w:asciiTheme="minorHAnsi" w:eastAsiaTheme="minorEastAsia" w:hAnsiTheme="minorHAnsi" w:cstheme="minorBidi"/>
          <w:szCs w:val="22"/>
        </w:rPr>
      </w:pPr>
      <w:r>
        <w:t>31D.</w:t>
      </w:r>
      <w:r>
        <w:tab/>
        <w:t>Extension of time</w:t>
      </w:r>
      <w:r>
        <w:tab/>
      </w:r>
      <w:r>
        <w:fldChar w:fldCharType="begin"/>
      </w:r>
      <w:r>
        <w:instrText xml:space="preserve"> PAGEREF _Toc401155687 \h </w:instrText>
      </w:r>
      <w:r>
        <w:fldChar w:fldCharType="separate"/>
      </w:r>
      <w:r>
        <w:t>45</w:t>
      </w:r>
      <w:r>
        <w:fldChar w:fldCharType="end"/>
      </w:r>
    </w:p>
    <w:p>
      <w:pPr>
        <w:pStyle w:val="TOC8"/>
        <w:rPr>
          <w:rFonts w:asciiTheme="minorHAnsi" w:eastAsiaTheme="minorEastAsia" w:hAnsiTheme="minorHAnsi" w:cstheme="minorBidi"/>
          <w:szCs w:val="22"/>
        </w:rPr>
      </w:pPr>
      <w:r>
        <w:t>31E.</w:t>
      </w:r>
      <w:r>
        <w:tab/>
        <w:t>Withdrawal of notice</w:t>
      </w:r>
      <w:r>
        <w:tab/>
      </w:r>
      <w:r>
        <w:fldChar w:fldCharType="begin"/>
      </w:r>
      <w:r>
        <w:instrText xml:space="preserve"> PAGEREF _Toc401155688 \h </w:instrText>
      </w:r>
      <w:r>
        <w:fldChar w:fldCharType="separate"/>
      </w:r>
      <w:r>
        <w:t>45</w:t>
      </w:r>
      <w:r>
        <w:fldChar w:fldCharType="end"/>
      </w:r>
    </w:p>
    <w:p>
      <w:pPr>
        <w:pStyle w:val="TOC8"/>
        <w:rPr>
          <w:rFonts w:asciiTheme="minorHAnsi" w:eastAsiaTheme="minorEastAsia" w:hAnsiTheme="minorHAnsi" w:cstheme="minorBidi"/>
          <w:szCs w:val="22"/>
        </w:rPr>
      </w:pPr>
      <w:r>
        <w:t>31F.</w:t>
      </w:r>
      <w:r>
        <w:tab/>
        <w:t>Benefit of paying modified penalty</w:t>
      </w:r>
      <w:r>
        <w:tab/>
      </w:r>
      <w:r>
        <w:fldChar w:fldCharType="begin"/>
      </w:r>
      <w:r>
        <w:instrText xml:space="preserve"> PAGEREF _Toc401155689 \h </w:instrText>
      </w:r>
      <w:r>
        <w:fldChar w:fldCharType="separate"/>
      </w:r>
      <w:r>
        <w:t>46</w:t>
      </w:r>
      <w:r>
        <w:fldChar w:fldCharType="end"/>
      </w:r>
    </w:p>
    <w:p>
      <w:pPr>
        <w:pStyle w:val="TOC8"/>
        <w:rPr>
          <w:rFonts w:asciiTheme="minorHAnsi" w:eastAsiaTheme="minorEastAsia" w:hAnsiTheme="minorHAnsi" w:cstheme="minorBidi"/>
          <w:szCs w:val="22"/>
        </w:rPr>
      </w:pPr>
      <w:r>
        <w:t>31G.</w:t>
      </w:r>
      <w:r>
        <w:tab/>
        <w:t>Application of penalties collected</w:t>
      </w:r>
      <w:r>
        <w:tab/>
      </w:r>
      <w:r>
        <w:fldChar w:fldCharType="begin"/>
      </w:r>
      <w:r>
        <w:instrText xml:space="preserve"> PAGEREF _Toc401155690 \h </w:instrText>
      </w:r>
      <w:r>
        <w:fldChar w:fldCharType="separate"/>
      </w:r>
      <w:r>
        <w:t>46</w:t>
      </w:r>
      <w:r>
        <w:fldChar w:fldCharType="end"/>
      </w:r>
    </w:p>
    <w:p>
      <w:pPr>
        <w:pStyle w:val="TOC8"/>
        <w:rPr>
          <w:rFonts w:asciiTheme="minorHAnsi" w:eastAsiaTheme="minorEastAsia" w:hAnsiTheme="minorHAnsi" w:cstheme="minorBidi"/>
          <w:szCs w:val="22"/>
        </w:rPr>
      </w:pPr>
      <w:r>
        <w:t>31H.</w:t>
      </w:r>
      <w:r>
        <w:tab/>
        <w:t>Appointment of authorised persons</w:t>
      </w:r>
      <w:r>
        <w:tab/>
      </w:r>
      <w:r>
        <w:fldChar w:fldCharType="begin"/>
      </w:r>
      <w:r>
        <w:instrText xml:space="preserve"> PAGEREF _Toc401155691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VI — Miscellaneous</w:t>
      </w:r>
    </w:p>
    <w:p>
      <w:pPr>
        <w:pStyle w:val="TOC8"/>
        <w:rPr>
          <w:rFonts w:asciiTheme="minorHAnsi" w:eastAsiaTheme="minorEastAsia" w:hAnsiTheme="minorHAnsi" w:cstheme="minorBidi"/>
          <w:szCs w:val="22"/>
        </w:rPr>
      </w:pPr>
      <w:r>
        <w:t>32</w:t>
      </w:r>
      <w:r>
        <w:rPr>
          <w:snapToGrid w:val="0"/>
        </w:rPr>
        <w:t>.</w:t>
      </w:r>
      <w:r>
        <w:rPr>
          <w:snapToGrid w:val="0"/>
        </w:rPr>
        <w:tab/>
        <w:t>Application of orders and notices</w:t>
      </w:r>
      <w:r>
        <w:tab/>
      </w:r>
      <w:r>
        <w:fldChar w:fldCharType="begin"/>
      </w:r>
      <w:r>
        <w:instrText xml:space="preserve"> PAGEREF _Toc401155693 \h </w:instrText>
      </w:r>
      <w:r>
        <w:fldChar w:fldCharType="separate"/>
      </w:r>
      <w:r>
        <w:t>48</w:t>
      </w:r>
      <w:r>
        <w:fldChar w:fldCharType="end"/>
      </w:r>
    </w:p>
    <w:p>
      <w:pPr>
        <w:pStyle w:val="TOC8"/>
        <w:rPr>
          <w:rFonts w:asciiTheme="minorHAnsi" w:eastAsiaTheme="minorEastAsia" w:hAnsiTheme="minorHAnsi" w:cstheme="minorBidi"/>
          <w:szCs w:val="22"/>
        </w:rPr>
      </w:pPr>
      <w:r>
        <w:t>32A.</w:t>
      </w:r>
      <w:r>
        <w:tab/>
        <w:t>Delegation by Commissioner</w:t>
      </w:r>
      <w:r>
        <w:tab/>
      </w:r>
      <w:r>
        <w:fldChar w:fldCharType="begin"/>
      </w:r>
      <w:r>
        <w:instrText xml:space="preserve"> PAGEREF _Toc401155694 \h </w:instrText>
      </w:r>
      <w:r>
        <w:fldChar w:fldCharType="separate"/>
      </w:r>
      <w:r>
        <w:t>48</w:t>
      </w:r>
      <w:r>
        <w:fldChar w:fldCharType="end"/>
      </w:r>
    </w:p>
    <w:p>
      <w:pPr>
        <w:pStyle w:val="TOC8"/>
        <w:rPr>
          <w:rFonts w:asciiTheme="minorHAnsi" w:eastAsiaTheme="minorEastAsia" w:hAnsiTheme="minorHAnsi" w:cstheme="minorBidi"/>
          <w:szCs w:val="22"/>
        </w:rPr>
      </w:pPr>
      <w:r>
        <w:t>32B.</w:t>
      </w:r>
      <w:r>
        <w:tab/>
        <w:t>Protection from liability for wrongdoing</w:t>
      </w:r>
      <w:r>
        <w:tab/>
      </w:r>
      <w:r>
        <w:fldChar w:fldCharType="begin"/>
      </w:r>
      <w:r>
        <w:instrText xml:space="preserve"> PAGEREF _Toc401155695 \h </w:instrText>
      </w:r>
      <w:r>
        <w:fldChar w:fldCharType="separate"/>
      </w:r>
      <w:r>
        <w:t>49</w:t>
      </w:r>
      <w:r>
        <w:fldChar w:fldCharType="end"/>
      </w:r>
    </w:p>
    <w:p>
      <w:pPr>
        <w:pStyle w:val="TOC8"/>
        <w:rPr>
          <w:rFonts w:asciiTheme="minorHAnsi" w:eastAsiaTheme="minorEastAsia" w:hAnsiTheme="minorHAnsi" w:cstheme="minorBidi"/>
          <w:szCs w:val="22"/>
        </w:rPr>
      </w:pPr>
      <w:r>
        <w:t>32C</w:t>
      </w:r>
      <w:r>
        <w:rPr>
          <w:snapToGrid w:val="0"/>
        </w:rPr>
        <w:t>.</w:t>
      </w:r>
      <w:r>
        <w:rPr>
          <w:snapToGrid w:val="0"/>
        </w:rPr>
        <w:tab/>
      </w:r>
      <w:r>
        <w:t>Judicial</w:t>
      </w:r>
      <w:r>
        <w:rPr>
          <w:snapToGrid w:val="0"/>
        </w:rPr>
        <w:t xml:space="preserve"> notice</w:t>
      </w:r>
      <w:r>
        <w:tab/>
      </w:r>
      <w:r>
        <w:fldChar w:fldCharType="begin"/>
      </w:r>
      <w:r>
        <w:instrText xml:space="preserve"> PAGEREF _Toc401155696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Secrecy</w:t>
      </w:r>
      <w:r>
        <w:tab/>
      </w:r>
      <w:r>
        <w:fldChar w:fldCharType="begin"/>
      </w:r>
      <w:r>
        <w:instrText xml:space="preserve"> PAGEREF _Toc401155697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_Toc401155698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Schedule 1 — Certain exclusions from definition of “petroleum product”</w:t>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_Toc401155701 \h </w:instrText>
      </w:r>
      <w:r>
        <w:fldChar w:fldCharType="separate"/>
      </w:r>
      <w:r>
        <w:t>59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_Toc401155702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080" w:after="1200"/>
      </w:pPr>
      <w:r>
        <w:t xml:space="preserve">Petroleum Products Pricing Act 1983 </w:t>
      </w:r>
    </w:p>
    <w:p>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1" w:name="_Toc401155399"/>
      <w:bookmarkStart w:id="2" w:name="_Toc401155628"/>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401155629"/>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4" w:name="_Toc40115563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5" w:name="_Toc401155631"/>
      <w:r>
        <w:rPr>
          <w:rStyle w:val="CharSectno"/>
        </w:rPr>
        <w:t>3</w:t>
      </w:r>
      <w:r>
        <w:rPr>
          <w:snapToGrid w:val="0"/>
        </w:rPr>
        <w:t>.</w:t>
      </w:r>
      <w:r>
        <w:rPr>
          <w:snapToGrid w:val="0"/>
        </w:rPr>
        <w:tab/>
        <w:t>Definitions</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5;</w:t>
      </w:r>
    </w:p>
    <w:p>
      <w:pPr>
        <w:pStyle w:val="Defstart"/>
      </w:pPr>
      <w:r>
        <w:rPr>
          <w:b/>
        </w:rPr>
        <w:tab/>
      </w:r>
      <w:r>
        <w:rPr>
          <w:rStyle w:val="CharDefText"/>
        </w:rPr>
        <w:t>committee</w:t>
      </w:r>
      <w:r>
        <w:t xml:space="preserve"> means prices advisory committee established under section 8;</w:t>
      </w:r>
    </w:p>
    <w:p>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pPr>
        <w:pStyle w:val="Defstart"/>
      </w:pPr>
      <w:r>
        <w:rPr>
          <w:b/>
        </w:rPr>
        <w:tab/>
      </w:r>
      <w:r>
        <w:rPr>
          <w:rStyle w:val="CharDefText"/>
        </w:rPr>
        <w:t>declared petroleum product</w:t>
      </w:r>
      <w:r>
        <w:t xml:space="preserve"> means petroleum product for the time being declared under section 10;</w:t>
      </w:r>
    </w:p>
    <w:p>
      <w:pPr>
        <w:pStyle w:val="Defstart"/>
      </w:pPr>
      <w:r>
        <w:rPr>
          <w:b/>
        </w:rPr>
        <w:tab/>
      </w:r>
      <w:r>
        <w:rPr>
          <w:rStyle w:val="CharDefText"/>
        </w:rPr>
        <w:t>declared petroleum service</w:t>
      </w:r>
      <w:r>
        <w:t xml:space="preserve"> means petroleum service for the time being declared under section 10;</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dispensing equipment</w:t>
      </w:r>
      <w:r>
        <w:t xml:space="preserve"> has the meaning given by section 3 of the </w:t>
      </w:r>
      <w:r>
        <w:rPr>
          <w:i/>
        </w:rPr>
        <w:t>Petroleum Retailers Rights and Liabilities Act 1982</w:t>
      </w:r>
      <w:r>
        <w:t>;</w:t>
      </w:r>
    </w:p>
    <w:p>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pPr>
        <w:pStyle w:val="Defstart"/>
        <w:spacing w:before="65"/>
      </w:pPr>
      <w:r>
        <w:rPr>
          <w:b/>
        </w:rPr>
        <w:tab/>
      </w:r>
      <w:r>
        <w:rPr>
          <w:rStyle w:val="CharDefText"/>
        </w:rPr>
        <w:t>franchise agreement</w:t>
      </w:r>
      <w:r>
        <w:t xml:space="preserve"> has the meaning given by section 3 of the </w:t>
      </w:r>
      <w:r>
        <w:rPr>
          <w:i/>
        </w:rPr>
        <w:t>Petroleum Retail Marketing Franchise Act 1980</w:t>
      </w:r>
      <w:r>
        <w:rPr>
          <w:iCs/>
          <w:vertAlign w:val="superscript"/>
        </w:rPr>
        <w:t> 5</w:t>
      </w:r>
      <w:r>
        <w:t xml:space="preserve"> of the Commonwealth;</w:t>
      </w:r>
    </w:p>
    <w:p>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r>
        <w:rPr>
          <w:rStyle w:val="CharDefText"/>
        </w:rPr>
        <w:t>LPG</w:t>
      </w:r>
      <w:r>
        <w:t xml:space="preserve"> means liquefied petroleum gas;</w:t>
      </w:r>
    </w:p>
    <w:p>
      <w:pPr>
        <w:pStyle w:val="Defstart"/>
        <w:spacing w:before="65"/>
      </w:pPr>
      <w:r>
        <w:rPr>
          <w:b/>
        </w:rPr>
        <w:tab/>
      </w:r>
      <w:r>
        <w:rPr>
          <w:rStyle w:val="CharDefText"/>
        </w:rPr>
        <w:t>motor fuel</w:t>
      </w:r>
      <w:r>
        <w:t xml:space="preserve"> means petrol, LPG, or diesel fuel intended for use in propelling motor vehicles;</w:t>
      </w:r>
    </w:p>
    <w:p>
      <w:pPr>
        <w:pStyle w:val="Defstart"/>
        <w:spacing w:before="65"/>
      </w:pPr>
      <w:r>
        <w:rPr>
          <w:b/>
        </w:rPr>
        <w:tab/>
      </w:r>
      <w:r>
        <w:rPr>
          <w:rStyle w:val="CharDefText"/>
        </w:rPr>
        <w:t>motor vehicle</w:t>
      </w:r>
      <w:r>
        <w:t xml:space="preserve"> has the meaning given by section 5 of the </w:t>
      </w:r>
      <w:r>
        <w:rPr>
          <w:i/>
        </w:rPr>
        <w:t>Road Traffic Act 1974</w:t>
      </w:r>
      <w:r>
        <w:t>;</w:t>
      </w:r>
    </w:p>
    <w:p>
      <w:pPr>
        <w:pStyle w:val="Defstart"/>
        <w:spacing w:before="65"/>
      </w:pPr>
      <w:r>
        <w:rPr>
          <w:b/>
        </w:rPr>
        <w:tab/>
      </w:r>
      <w:r>
        <w:rPr>
          <w:rStyle w:val="CharDefText"/>
        </w:rPr>
        <w:t>order</w:t>
      </w:r>
      <w:r>
        <w:t xml:space="preserve"> means order made under section 12;</w:t>
      </w:r>
    </w:p>
    <w:p>
      <w:pPr>
        <w:pStyle w:val="Defstart"/>
        <w:spacing w:before="65"/>
      </w:pPr>
      <w:r>
        <w:rPr>
          <w:b/>
        </w:rPr>
        <w:tab/>
      </w:r>
      <w:r>
        <w:rPr>
          <w:rStyle w:val="CharDefText"/>
        </w:rPr>
        <w:t>paragraph</w:t>
      </w:r>
      <w:r>
        <w:t xml:space="preserve"> means paragraph of the section or subsection in which the term appears;</w:t>
      </w:r>
    </w:p>
    <w:p>
      <w:pPr>
        <w:pStyle w:val="Defstart"/>
        <w:spacing w:before="65"/>
      </w:pPr>
      <w:r>
        <w:rPr>
          <w:b/>
        </w:rPr>
        <w:tab/>
      </w:r>
      <w:r>
        <w:rPr>
          <w:rStyle w:val="CharDefText"/>
        </w:rPr>
        <w:t>Part</w:t>
      </w:r>
      <w:r>
        <w:t xml:space="preserve"> means Part of this Act;</w:t>
      </w:r>
    </w:p>
    <w:p>
      <w:pPr>
        <w:pStyle w:val="Defstart"/>
        <w:spacing w:before="65"/>
      </w:pPr>
      <w:r>
        <w:tab/>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rStyle w:val="CharDefText"/>
        </w:rPr>
        <w:t>petroleum product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t>and it includes LPG (whether motor fuel or not, and whether or not the LPG is petroleum);</w:t>
      </w:r>
    </w:p>
    <w:p>
      <w:pPr>
        <w:pStyle w:val="Defstart"/>
      </w:pPr>
      <w:r>
        <w:rPr>
          <w:b/>
        </w:rPr>
        <w:tab/>
      </w:r>
      <w:r>
        <w:rPr>
          <w:rStyle w:val="CharDefText"/>
        </w:rPr>
        <w:t>petroleum service</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pPr>
        <w:pStyle w:val="Defstart"/>
      </w:pPr>
      <w:r>
        <w:rPr>
          <w:b/>
        </w:rPr>
        <w:tab/>
      </w:r>
      <w:r>
        <w:rPr>
          <w:rStyle w:val="CharDefText"/>
        </w:rPr>
        <w:t>section</w:t>
      </w:r>
      <w:r>
        <w:t xml:space="preserve"> means section of this Act;</w:t>
      </w:r>
    </w:p>
    <w:p>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r>
        <w:rPr>
          <w:rStyle w:val="CharDefText"/>
        </w:rPr>
        <w:t>subsection</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No. 28 of 2006 s. 114.] </w:t>
      </w:r>
    </w:p>
    <w:p>
      <w:pPr>
        <w:pStyle w:val="Heading5"/>
        <w:rPr>
          <w:snapToGrid w:val="0"/>
        </w:rPr>
      </w:pPr>
      <w:bookmarkStart w:id="6" w:name="_Toc401155632"/>
      <w:r>
        <w:rPr>
          <w:rStyle w:val="CharSectno"/>
        </w:rPr>
        <w:t>4</w:t>
      </w:r>
      <w:r>
        <w:rPr>
          <w:snapToGrid w:val="0"/>
        </w:rPr>
        <w:t>.</w:t>
      </w:r>
      <w:r>
        <w:rPr>
          <w:snapToGrid w:val="0"/>
        </w:rPr>
        <w:tab/>
        <w:t>Relationship to other Acts, etc.</w:t>
      </w:r>
      <w:bookmarkEnd w:id="6"/>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7" w:name="_Toc401155404"/>
      <w:bookmarkStart w:id="8" w:name="_Toc401155633"/>
      <w:r>
        <w:rPr>
          <w:rStyle w:val="CharPartNo"/>
        </w:rPr>
        <w:t>Part II</w:t>
      </w:r>
      <w:r>
        <w:rPr>
          <w:rStyle w:val="CharDivNo"/>
        </w:rPr>
        <w:t> </w:t>
      </w:r>
      <w:r>
        <w:t>—</w:t>
      </w:r>
      <w:r>
        <w:rPr>
          <w:rStyle w:val="CharDivText"/>
        </w:rPr>
        <w:t> </w:t>
      </w:r>
      <w:r>
        <w:rPr>
          <w:rStyle w:val="CharPartText"/>
        </w:rPr>
        <w:t>Administration</w:t>
      </w:r>
      <w:bookmarkEnd w:id="7"/>
      <w:bookmarkEnd w:id="8"/>
      <w:r>
        <w:rPr>
          <w:rStyle w:val="CharPartText"/>
        </w:rPr>
        <w:t xml:space="preserve"> </w:t>
      </w:r>
    </w:p>
    <w:p>
      <w:pPr>
        <w:pStyle w:val="Heading5"/>
      </w:pPr>
      <w:bookmarkStart w:id="9" w:name="_Toc401155634"/>
      <w:r>
        <w:rPr>
          <w:rStyle w:val="CharSectno"/>
        </w:rPr>
        <w:t>5</w:t>
      </w:r>
      <w:r>
        <w:t>.</w:t>
      </w:r>
      <w:r>
        <w:tab/>
        <w:t>Commissioner</w:t>
      </w:r>
      <w:bookmarkEnd w:id="9"/>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 inserted by No. 28 of 2006 s. 115.]</w:t>
      </w:r>
    </w:p>
    <w:p>
      <w:pPr>
        <w:pStyle w:val="Heading5"/>
        <w:rPr>
          <w:snapToGrid w:val="0"/>
        </w:rPr>
      </w:pPr>
      <w:bookmarkStart w:id="10" w:name="_Toc401155635"/>
      <w:r>
        <w:rPr>
          <w:rStyle w:val="CharSectno"/>
        </w:rPr>
        <w:t>6</w:t>
      </w:r>
      <w:r>
        <w:rPr>
          <w:snapToGrid w:val="0"/>
        </w:rPr>
        <w:t>.</w:t>
      </w:r>
      <w:r>
        <w:rPr>
          <w:snapToGrid w:val="0"/>
        </w:rPr>
        <w:tab/>
        <w:t>Object and purposes</w:t>
      </w:r>
      <w:bookmarkEnd w:id="10"/>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11" w:name="_Toc401155636"/>
      <w:r>
        <w:rPr>
          <w:rStyle w:val="CharSectno"/>
        </w:rPr>
        <w:t>7</w:t>
      </w:r>
      <w:r>
        <w:rPr>
          <w:snapToGrid w:val="0"/>
        </w:rPr>
        <w:t>.</w:t>
      </w:r>
      <w:r>
        <w:rPr>
          <w:snapToGrid w:val="0"/>
        </w:rPr>
        <w:tab/>
        <w:t>General administration, and the powers and duties of the Commissioner</w:t>
      </w:r>
      <w:bookmarkEnd w:id="11"/>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by No. 72 of 1983 s. 8 and 15; No. 98 of 1985 s. 3; No. 73 of 2000 s. 5; No. 28 of 2006 s. 116.] </w:t>
      </w:r>
    </w:p>
    <w:p>
      <w:pPr>
        <w:pStyle w:val="Heading5"/>
        <w:spacing w:before="240"/>
        <w:rPr>
          <w:snapToGrid w:val="0"/>
        </w:rPr>
      </w:pPr>
      <w:bookmarkStart w:id="12" w:name="_Toc401155637"/>
      <w:r>
        <w:rPr>
          <w:rStyle w:val="CharSectno"/>
        </w:rPr>
        <w:t>8</w:t>
      </w:r>
      <w:r>
        <w:rPr>
          <w:snapToGrid w:val="0"/>
        </w:rPr>
        <w:t>.</w:t>
      </w:r>
      <w:r>
        <w:rPr>
          <w:snapToGrid w:val="0"/>
        </w:rPr>
        <w:tab/>
        <w:t>Prices advisory committees</w:t>
      </w:r>
      <w:bookmarkEnd w:id="12"/>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consumer representative</w:t>
      </w:r>
      <w:r>
        <w:t xml:space="preserve"> means a person appointed to a committee to represent consumers of petroleum products or users of petroleum services;</w:t>
      </w:r>
    </w:p>
    <w:p>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13" w:name="_Toc401155638"/>
      <w:r>
        <w:rPr>
          <w:rStyle w:val="CharSectno"/>
        </w:rPr>
        <w:t>9</w:t>
      </w:r>
      <w:r>
        <w:rPr>
          <w:snapToGrid w:val="0"/>
        </w:rPr>
        <w:t>.</w:t>
      </w:r>
      <w:r>
        <w:rPr>
          <w:snapToGrid w:val="0"/>
        </w:rPr>
        <w:tab/>
        <w:t>Terms of office of members of committees</w:t>
      </w:r>
      <w:bookmarkEnd w:id="13"/>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dies or otherwise becomes permanently incapable of performing his duties as such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Footnotesection"/>
      </w:pPr>
      <w:r>
        <w:tab/>
        <w:t>[Section 9 amended by No. 18 of 2009 s. 66.]</w:t>
      </w:r>
    </w:p>
    <w:p>
      <w:pPr>
        <w:pStyle w:val="Heading2"/>
      </w:pPr>
      <w:bookmarkStart w:id="14" w:name="_Toc401155410"/>
      <w:bookmarkStart w:id="15" w:name="_Toc401155639"/>
      <w:r>
        <w:rPr>
          <w:rStyle w:val="CharPartNo"/>
        </w:rPr>
        <w:t>Part III</w:t>
      </w:r>
      <w:r>
        <w:t> — </w:t>
      </w:r>
      <w:r>
        <w:rPr>
          <w:rStyle w:val="CharPartText"/>
        </w:rPr>
        <w:t>Regulation of prices and rates</w:t>
      </w:r>
      <w:bookmarkEnd w:id="14"/>
      <w:bookmarkEnd w:id="15"/>
      <w:r>
        <w:rPr>
          <w:rStyle w:val="CharPartText"/>
        </w:rPr>
        <w:t xml:space="preserve"> </w:t>
      </w:r>
    </w:p>
    <w:p>
      <w:pPr>
        <w:pStyle w:val="Heading3"/>
        <w:rPr>
          <w:snapToGrid w:val="0"/>
        </w:rPr>
      </w:pPr>
      <w:bookmarkStart w:id="16" w:name="_Toc401155411"/>
      <w:bookmarkStart w:id="17" w:name="_Toc401155640"/>
      <w:r>
        <w:rPr>
          <w:rStyle w:val="CharDivNo"/>
        </w:rPr>
        <w:t>Division 1</w:t>
      </w:r>
      <w:r>
        <w:rPr>
          <w:snapToGrid w:val="0"/>
        </w:rPr>
        <w:t> — </w:t>
      </w:r>
      <w:r>
        <w:rPr>
          <w:rStyle w:val="CharDivText"/>
        </w:rPr>
        <w:t>Declaration of goods and services</w:t>
      </w:r>
      <w:bookmarkEnd w:id="16"/>
      <w:bookmarkEnd w:id="17"/>
      <w:r>
        <w:rPr>
          <w:rStyle w:val="CharDivText"/>
        </w:rPr>
        <w:t xml:space="preserve"> </w:t>
      </w:r>
    </w:p>
    <w:p>
      <w:pPr>
        <w:pStyle w:val="Heading5"/>
        <w:rPr>
          <w:snapToGrid w:val="0"/>
        </w:rPr>
      </w:pPr>
      <w:bookmarkStart w:id="18" w:name="_Toc401155641"/>
      <w:r>
        <w:rPr>
          <w:rStyle w:val="CharSectno"/>
        </w:rPr>
        <w:t>10</w:t>
      </w:r>
      <w:r>
        <w:rPr>
          <w:snapToGrid w:val="0"/>
        </w:rPr>
        <w:t>.</w:t>
      </w:r>
      <w:r>
        <w:rPr>
          <w:snapToGrid w:val="0"/>
        </w:rPr>
        <w:tab/>
        <w:t>Declaration of goods and services</w:t>
      </w:r>
      <w:bookmarkEnd w:id="18"/>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19" w:name="_Toc401155642"/>
      <w:r>
        <w:rPr>
          <w:rStyle w:val="CharSectno"/>
        </w:rPr>
        <w:t>11</w:t>
      </w:r>
      <w:r>
        <w:rPr>
          <w:snapToGrid w:val="0"/>
        </w:rPr>
        <w:t>.</w:t>
      </w:r>
      <w:r>
        <w:rPr>
          <w:snapToGrid w:val="0"/>
        </w:rPr>
        <w:tab/>
        <w:t>Procedure when increase in price or rate of declared goods or declared service proposed</w:t>
      </w:r>
      <w:bookmarkEnd w:id="19"/>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r>
        <w:rPr>
          <w:rStyle w:val="CharDefText"/>
        </w:rPr>
        <w:t>working day</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20" w:name="_Toc401155414"/>
      <w:bookmarkStart w:id="21" w:name="_Toc401155643"/>
      <w:r>
        <w:rPr>
          <w:rStyle w:val="CharDivNo"/>
        </w:rPr>
        <w:t>Division 2</w:t>
      </w:r>
      <w:r>
        <w:rPr>
          <w:snapToGrid w:val="0"/>
        </w:rPr>
        <w:t> — </w:t>
      </w:r>
      <w:r>
        <w:rPr>
          <w:rStyle w:val="CharDivText"/>
        </w:rPr>
        <w:t>Determination of maximum prices and rates for goods and services</w:t>
      </w:r>
      <w:bookmarkEnd w:id="20"/>
      <w:bookmarkEnd w:id="21"/>
    </w:p>
    <w:p>
      <w:pPr>
        <w:pStyle w:val="Heading5"/>
        <w:rPr>
          <w:snapToGrid w:val="0"/>
        </w:rPr>
      </w:pPr>
      <w:bookmarkStart w:id="22" w:name="_Toc401155644"/>
      <w:r>
        <w:rPr>
          <w:rStyle w:val="CharSectno"/>
        </w:rPr>
        <w:t>12</w:t>
      </w:r>
      <w:r>
        <w:rPr>
          <w:snapToGrid w:val="0"/>
        </w:rPr>
        <w:t>.</w:t>
      </w:r>
      <w:r>
        <w:rPr>
          <w:snapToGrid w:val="0"/>
        </w:rPr>
        <w:tab/>
        <w:t>Determination of maximum prices and rates</w:t>
      </w:r>
      <w:bookmarkEnd w:id="22"/>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23" w:name="_Toc401155645"/>
      <w:r>
        <w:rPr>
          <w:rStyle w:val="CharSectno"/>
        </w:rPr>
        <w:t>13</w:t>
      </w:r>
      <w:r>
        <w:rPr>
          <w:snapToGrid w:val="0"/>
        </w:rPr>
        <w:t>.</w:t>
      </w:r>
      <w:r>
        <w:rPr>
          <w:snapToGrid w:val="0"/>
        </w:rPr>
        <w:tab/>
        <w:t>Power of Minister to suspend order</w:t>
      </w:r>
      <w:bookmarkEnd w:id="23"/>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24" w:name="_Toc401155417"/>
      <w:bookmarkStart w:id="25" w:name="_Toc401155646"/>
      <w:r>
        <w:rPr>
          <w:rStyle w:val="CharDivNo"/>
        </w:rPr>
        <w:t>Division 3</w:t>
      </w:r>
      <w:r>
        <w:rPr>
          <w:snapToGrid w:val="0"/>
        </w:rPr>
        <w:t> — </w:t>
      </w:r>
      <w:r>
        <w:rPr>
          <w:rStyle w:val="CharDivText"/>
        </w:rPr>
        <w:t>Enforcement of maximum prices and rates</w:t>
      </w:r>
      <w:bookmarkEnd w:id="24"/>
      <w:bookmarkEnd w:id="25"/>
      <w:r>
        <w:rPr>
          <w:rStyle w:val="CharDivText"/>
        </w:rPr>
        <w:t xml:space="preserve"> </w:t>
      </w:r>
    </w:p>
    <w:p>
      <w:pPr>
        <w:pStyle w:val="Heading5"/>
        <w:rPr>
          <w:snapToGrid w:val="0"/>
        </w:rPr>
      </w:pPr>
      <w:bookmarkStart w:id="26" w:name="_Toc401155647"/>
      <w:r>
        <w:rPr>
          <w:rStyle w:val="CharSectno"/>
        </w:rPr>
        <w:t>14</w:t>
      </w:r>
      <w:r>
        <w:rPr>
          <w:snapToGrid w:val="0"/>
        </w:rPr>
        <w:t>.</w:t>
      </w:r>
      <w:r>
        <w:rPr>
          <w:snapToGrid w:val="0"/>
        </w:rPr>
        <w:tab/>
        <w:t>Offence to sell goods at price higher than maximum price or supply service at rate higher than maximum rate</w:t>
      </w:r>
      <w:bookmarkEnd w:id="26"/>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by No. 72 of 1983 s. 15; No. 73 of 2000 s. 14(1); No. 11 of 2001 s. 21(1).] </w:t>
      </w:r>
    </w:p>
    <w:p>
      <w:pPr>
        <w:pStyle w:val="Heading5"/>
        <w:rPr>
          <w:snapToGrid w:val="0"/>
        </w:rPr>
      </w:pPr>
      <w:bookmarkStart w:id="27" w:name="_Toc401155648"/>
      <w:r>
        <w:rPr>
          <w:rStyle w:val="CharSectno"/>
        </w:rPr>
        <w:t>15</w:t>
      </w:r>
      <w:r>
        <w:rPr>
          <w:snapToGrid w:val="0"/>
        </w:rPr>
        <w:t>.</w:t>
      </w:r>
      <w:r>
        <w:rPr>
          <w:snapToGrid w:val="0"/>
        </w:rPr>
        <w:tab/>
        <w:t>Delivery of goods less in quantity than, or of inferior quality to, those sold</w:t>
      </w:r>
      <w:bookmarkEnd w:id="27"/>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28" w:name="_Toc401155649"/>
      <w:r>
        <w:rPr>
          <w:rStyle w:val="CharSectno"/>
        </w:rPr>
        <w:t>16</w:t>
      </w:r>
      <w:r>
        <w:rPr>
          <w:snapToGrid w:val="0"/>
        </w:rPr>
        <w:t>.</w:t>
      </w:r>
      <w:r>
        <w:rPr>
          <w:snapToGrid w:val="0"/>
        </w:rPr>
        <w:tab/>
        <w:t>Alterations in mode of packing or recipe or formula</w:t>
      </w:r>
      <w:bookmarkEnd w:id="28"/>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by No. 72 of 1983 s. 12 and 15; No. 73 of 2000 s. 14(1); No. 11 of 2001 s. 21(1); No. 84 of 2004 s. 82.] </w:t>
      </w:r>
    </w:p>
    <w:p>
      <w:pPr>
        <w:pStyle w:val="Heading5"/>
        <w:rPr>
          <w:snapToGrid w:val="0"/>
        </w:rPr>
      </w:pPr>
      <w:bookmarkStart w:id="29" w:name="_Toc401155650"/>
      <w:r>
        <w:rPr>
          <w:rStyle w:val="CharSectno"/>
        </w:rPr>
        <w:t>17</w:t>
      </w:r>
      <w:r>
        <w:rPr>
          <w:snapToGrid w:val="0"/>
        </w:rPr>
        <w:t>.</w:t>
      </w:r>
      <w:r>
        <w:rPr>
          <w:snapToGrid w:val="0"/>
        </w:rPr>
        <w:tab/>
        <w:t>Price or rate of controlled goods or service to be specified separately</w:t>
      </w:r>
      <w:bookmarkEnd w:id="2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30" w:name="_Toc401155651"/>
      <w:r>
        <w:rPr>
          <w:rStyle w:val="CharSectno"/>
        </w:rPr>
        <w:t>18</w:t>
      </w:r>
      <w:r>
        <w:rPr>
          <w:snapToGrid w:val="0"/>
        </w:rPr>
        <w:t>.</w:t>
      </w:r>
      <w:r>
        <w:rPr>
          <w:snapToGrid w:val="0"/>
        </w:rPr>
        <w:tab/>
        <w:t>Power of Commissioner to prohibit certain transactions</w:t>
      </w:r>
      <w:bookmarkEnd w:id="30"/>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by No. 72 of 1983 s. 15; No. 73 of 2000 s. 14(1); No. 11 of 2001 s. 21(1).]</w:t>
      </w:r>
    </w:p>
    <w:p>
      <w:pPr>
        <w:pStyle w:val="Heading5"/>
        <w:rPr>
          <w:snapToGrid w:val="0"/>
        </w:rPr>
      </w:pPr>
      <w:bookmarkStart w:id="31" w:name="_Toc401155652"/>
      <w:r>
        <w:rPr>
          <w:rStyle w:val="CharSectno"/>
        </w:rPr>
        <w:t>19</w:t>
      </w:r>
      <w:r>
        <w:rPr>
          <w:snapToGrid w:val="0"/>
        </w:rPr>
        <w:t>.</w:t>
      </w:r>
      <w:r>
        <w:rPr>
          <w:snapToGrid w:val="0"/>
        </w:rPr>
        <w:tab/>
        <w:t>Refusal to sell goods at fixed price</w:t>
      </w:r>
      <w:bookmarkEnd w:id="31"/>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32" w:name="_Toc401155653"/>
      <w:r>
        <w:rPr>
          <w:rStyle w:val="CharSectno"/>
        </w:rPr>
        <w:t>20</w:t>
      </w:r>
      <w:r>
        <w:rPr>
          <w:snapToGrid w:val="0"/>
        </w:rPr>
        <w:t>.</w:t>
      </w:r>
      <w:r>
        <w:rPr>
          <w:snapToGrid w:val="0"/>
        </w:rPr>
        <w:tab/>
        <w:t>Refusal to supply service at fixed rate</w:t>
      </w:r>
      <w:bookmarkEnd w:id="32"/>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33" w:name="_Toc401155654"/>
      <w:r>
        <w:rPr>
          <w:rStyle w:val="CharSectno"/>
        </w:rPr>
        <w:t>21</w:t>
      </w:r>
      <w:r>
        <w:rPr>
          <w:snapToGrid w:val="0"/>
        </w:rPr>
        <w:t>.</w:t>
      </w:r>
      <w:r>
        <w:rPr>
          <w:snapToGrid w:val="0"/>
        </w:rPr>
        <w:tab/>
        <w:t>Refusal to sell or supply unless other goods or services are also purchased</w:t>
      </w:r>
      <w:bookmarkEnd w:id="3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34" w:name="_Toc401155655"/>
      <w:r>
        <w:rPr>
          <w:rStyle w:val="CharSectno"/>
        </w:rPr>
        <w:t>22</w:t>
      </w:r>
      <w:r>
        <w:rPr>
          <w:snapToGrid w:val="0"/>
        </w:rPr>
        <w:t>.</w:t>
      </w:r>
      <w:r>
        <w:rPr>
          <w:snapToGrid w:val="0"/>
        </w:rPr>
        <w:tab/>
        <w:t>“</w:t>
      </w:r>
      <w:r>
        <w:t>Offer</w:t>
      </w:r>
      <w:r>
        <w:rPr>
          <w:snapToGrid w:val="0"/>
        </w:rPr>
        <w:t>” includes notification of price or rate</w:t>
      </w:r>
      <w:bookmarkEnd w:id="34"/>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35" w:name="_Toc401155427"/>
      <w:bookmarkStart w:id="36" w:name="_Toc401155656"/>
      <w:r>
        <w:rPr>
          <w:rStyle w:val="CharPartNo"/>
        </w:rPr>
        <w:t>Part IIIA</w:t>
      </w:r>
      <w:r>
        <w:t> — </w:t>
      </w:r>
      <w:r>
        <w:rPr>
          <w:rStyle w:val="CharPartText"/>
        </w:rPr>
        <w:t>Special provisions about motor fuel</w:t>
      </w:r>
      <w:bookmarkEnd w:id="35"/>
      <w:bookmarkEnd w:id="36"/>
      <w:r>
        <w:rPr>
          <w:rStyle w:val="CharPartText"/>
        </w:rPr>
        <w:t> </w:t>
      </w:r>
    </w:p>
    <w:p>
      <w:pPr>
        <w:pStyle w:val="Footnoteheading"/>
        <w:ind w:left="890"/>
      </w:pPr>
      <w:r>
        <w:tab/>
        <w:t>[Heading inserted by No. 73 of 2000 s. 8.]</w:t>
      </w:r>
    </w:p>
    <w:p>
      <w:pPr>
        <w:pStyle w:val="Heading3"/>
      </w:pPr>
      <w:bookmarkStart w:id="37" w:name="_Toc401155428"/>
      <w:bookmarkStart w:id="38" w:name="_Toc401155657"/>
      <w:r>
        <w:rPr>
          <w:rStyle w:val="CharDivNo"/>
        </w:rPr>
        <w:t>Division 1</w:t>
      </w:r>
      <w:r>
        <w:t> — </w:t>
      </w:r>
      <w:r>
        <w:rPr>
          <w:rStyle w:val="CharDivText"/>
        </w:rPr>
        <w:t>Before retail sale</w:t>
      </w:r>
      <w:bookmarkEnd w:id="37"/>
      <w:bookmarkEnd w:id="38"/>
      <w:r>
        <w:rPr>
          <w:rStyle w:val="CharDivText"/>
        </w:rPr>
        <w:t> </w:t>
      </w:r>
    </w:p>
    <w:p>
      <w:pPr>
        <w:pStyle w:val="Footnoteheading"/>
        <w:ind w:left="890"/>
      </w:pPr>
      <w:r>
        <w:tab/>
        <w:t>[Heading inserted by No. 73 of 2000 s. 8.]</w:t>
      </w:r>
    </w:p>
    <w:p>
      <w:pPr>
        <w:pStyle w:val="Heading5"/>
      </w:pPr>
      <w:bookmarkStart w:id="39" w:name="_Toc401155658"/>
      <w:r>
        <w:rPr>
          <w:rStyle w:val="CharSectno"/>
        </w:rPr>
        <w:t>22A</w:t>
      </w:r>
      <w:r>
        <w:t>.</w:t>
      </w:r>
      <w:r>
        <w:tab/>
        <w:t>Definitions</w:t>
      </w:r>
      <w:bookmarkEnd w:id="39"/>
    </w:p>
    <w:p>
      <w:pPr>
        <w:pStyle w:val="Subsection"/>
      </w:pPr>
      <w:r>
        <w:tab/>
        <w:t>(1)</w:t>
      </w:r>
      <w:r>
        <w:tab/>
        <w:t xml:space="preserve">In this Division — </w:t>
      </w:r>
    </w:p>
    <w:p>
      <w:pPr>
        <w:pStyle w:val="Defstart"/>
      </w:pPr>
      <w:r>
        <w:tab/>
      </w:r>
      <w:r>
        <w:rPr>
          <w:rStyle w:val="CharDefText"/>
        </w:rPr>
        <w:t>declared terminal</w:t>
      </w:r>
      <w:r>
        <w:t xml:space="preserve"> means a terminal designated under subsection (2) as a declared terminal for the purposes of this Division;</w:t>
      </w:r>
    </w:p>
    <w:p>
      <w:pPr>
        <w:pStyle w:val="Defstart"/>
      </w:pPr>
      <w:r>
        <w:tab/>
      </w:r>
      <w:r>
        <w:rPr>
          <w:rStyle w:val="CharDefText"/>
        </w:rPr>
        <w:t>displayed price</w:t>
      </w:r>
      <w:r>
        <w:t xml:space="preserve"> means the price displayed under section 22B;</w:t>
      </w:r>
    </w:p>
    <w:p>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pPr>
        <w:pStyle w:val="Defstart"/>
      </w:pPr>
      <w:r>
        <w:tab/>
      </w:r>
      <w:r>
        <w:rPr>
          <w:rStyle w:val="CharDefText"/>
        </w:rPr>
        <w:t>offer</w:t>
      </w:r>
      <w:r>
        <w:t xml:space="preserve"> has, in addition to its ordinary meaning, the meaning given by subsection (3);</w:t>
      </w:r>
    </w:p>
    <w:p>
      <w:pPr>
        <w:pStyle w:val="Defstart"/>
      </w:pPr>
      <w:r>
        <w:tab/>
      </w:r>
      <w:r>
        <w:rPr>
          <w:rStyle w:val="CharDefText"/>
        </w:rPr>
        <w:t>supplier</w:t>
      </w:r>
      <w:r>
        <w:t xml:space="preserve"> means a person who supplies motor fuel to a reseller;</w:t>
      </w:r>
    </w:p>
    <w:p>
      <w:pPr>
        <w:pStyle w:val="Defstart"/>
      </w:pPr>
      <w:r>
        <w:tab/>
      </w:r>
      <w:r>
        <w:rPr>
          <w:rStyle w:val="CharDefText"/>
        </w:rPr>
        <w:t>terminal</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w:t>
      </w:r>
    </w:p>
    <w:p>
      <w:pPr>
        <w:pStyle w:val="Heading5"/>
      </w:pPr>
      <w:bookmarkStart w:id="40" w:name="_Toc401155659"/>
      <w:r>
        <w:rPr>
          <w:rStyle w:val="CharSectno"/>
        </w:rPr>
        <w:t>22B</w:t>
      </w:r>
      <w:r>
        <w:t>.</w:t>
      </w:r>
      <w:r>
        <w:tab/>
        <w:t>Price at terminal to be displayed and Commissioner to be notified of changes</w:t>
      </w:r>
      <w:bookmarkEnd w:id="40"/>
    </w:p>
    <w:p>
      <w:pPr>
        <w:pStyle w:val="Subsection"/>
      </w:pPr>
      <w:r>
        <w:tab/>
        <w:t>(1)</w:t>
      </w:r>
      <w:r>
        <w:tab/>
        <w:t xml:space="preserve">A supplier of motor fuel from a declared terminal is required to display at the place of sale, so as to be clearly legible to anyone to whom motor fuel of the kind concerned is to be supplied, the price that would apply if it were to make a wholesale sale of motor fuel to a reseller who — </w:t>
      </w:r>
    </w:p>
    <w:p>
      <w:pPr>
        <w:pStyle w:val="Indenta"/>
      </w:pPr>
      <w:r>
        <w:tab/>
        <w:t>(a)</w:t>
      </w:r>
      <w:r>
        <w:tab/>
        <w:t>was not the subject of any agreement or arrangement affecting price; and</w:t>
      </w:r>
    </w:p>
    <w:p>
      <w:pPr>
        <w:pStyle w:val="Indenta"/>
      </w:pPr>
      <w:r>
        <w:tab/>
        <w:t>(b)</w:t>
      </w:r>
      <w:r>
        <w:tab/>
        <w:t>took delivery of the motor fuel at the terminal from which it was supplied.</w:t>
      </w:r>
    </w:p>
    <w:p>
      <w:pPr>
        <w:pStyle w:val="Subsection"/>
      </w:pPr>
      <w:r>
        <w:tab/>
        <w:t>(2)</w:t>
      </w:r>
      <w:r>
        <w:tab/>
        <w:t>Subsection (1) requires a price to be displayed for each kind of motor fuel supplied or offered to be supplied from the terminal.</w:t>
      </w:r>
    </w:p>
    <w:p>
      <w:pPr>
        <w:pStyle w:val="Subsection"/>
      </w:pPr>
      <w:r>
        <w:tab/>
        <w:t>(3)</w:t>
      </w:r>
      <w:r>
        <w:tab/>
        <w:t>Whenever a price that subsection (1) requires to be displayed is changed, the supplier is required to notify the Commissioner, in accordance with the regulations, of the price change.</w:t>
      </w:r>
    </w:p>
    <w:p>
      <w:pPr>
        <w:pStyle w:val="Penstart"/>
      </w:pPr>
      <w:r>
        <w:tab/>
        <w:t>Penalty: $20 000.</w:t>
      </w:r>
    </w:p>
    <w:p>
      <w:pPr>
        <w:pStyle w:val="Footnotesection"/>
      </w:pPr>
      <w:r>
        <w:tab/>
        <w:t>[Section 22B inserted by No. 73 of 2000 s. 8; amended by No. 11 of 2001 s. 21(1).]</w:t>
      </w:r>
    </w:p>
    <w:p>
      <w:pPr>
        <w:pStyle w:val="Heading5"/>
      </w:pPr>
      <w:bookmarkStart w:id="41" w:name="_Toc401155660"/>
      <w:r>
        <w:rPr>
          <w:rStyle w:val="CharSectno"/>
        </w:rPr>
        <w:t>22C</w:t>
      </w:r>
      <w:r>
        <w:t>.</w:t>
      </w:r>
      <w:r>
        <w:tab/>
        <w:t>Previous month’s average price to be displayed</w:t>
      </w:r>
      <w:bookmarkEnd w:id="41"/>
    </w:p>
    <w:p>
      <w:pPr>
        <w:pStyle w:val="Subsection"/>
      </w:pPr>
      <w:r>
        <w:tab/>
        <w:t>(1)</w:t>
      </w:r>
      <w:r>
        <w:tab/>
        <w: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t>
      </w:r>
    </w:p>
    <w:p>
      <w:pPr>
        <w:pStyle w:val="Subsection"/>
      </w:pPr>
      <w:r>
        <w:tab/>
        <w:t>(2)</w:t>
      </w:r>
      <w:r>
        <w:tab/>
        <w:t xml:space="preserve">In subsection (1) — </w:t>
      </w:r>
    </w:p>
    <w:p>
      <w:pPr>
        <w:pStyle w:val="Defstart"/>
        <w:rPr>
          <w:b/>
        </w:rPr>
      </w:pPr>
      <w:r>
        <w:tab/>
      </w:r>
      <w:r>
        <w:rPr>
          <w:rStyle w:val="CharDefText"/>
        </w:rPr>
        <w:t>calendar month</w:t>
      </w:r>
      <w:r>
        <w:t xml:space="preserve"> means January, February, or any of the 10  other named months of the calendar year;</w:t>
      </w:r>
      <w:r>
        <w:rPr>
          <w:b/>
        </w:rPr>
        <w:t xml:space="preserve"> </w:t>
      </w:r>
    </w:p>
    <w:p>
      <w:pPr>
        <w:pStyle w:val="Defstart"/>
      </w:pPr>
      <w:r>
        <w:rPr>
          <w:b/>
        </w:rPr>
        <w:tab/>
      </w:r>
      <w:r>
        <w:rPr>
          <w:rStyle w:val="CharDefText"/>
        </w:rPr>
        <w:t>previous month</w:t>
      </w:r>
      <w:r>
        <w:t xml:space="preserve"> means, unless the regulations provide otherwise, the most recent calendar month that has been expired for at least 7 days.</w:t>
      </w:r>
    </w:p>
    <w:p>
      <w:pPr>
        <w:pStyle w:val="Subsection"/>
      </w:pPr>
      <w:r>
        <w:tab/>
        <w:t>(3)</w:t>
      </w:r>
      <w:r>
        <w:tab/>
        <w:t>The price that this section requires to be displayed is to be displayed as near as practicable to the price displayed under section 22B.</w:t>
      </w:r>
    </w:p>
    <w:p>
      <w:pPr>
        <w:pStyle w:val="Penstart"/>
      </w:pPr>
      <w:r>
        <w:tab/>
        <w:t>Penalty: $20 000.</w:t>
      </w:r>
    </w:p>
    <w:p>
      <w:pPr>
        <w:pStyle w:val="Footnotesection"/>
      </w:pPr>
      <w:r>
        <w:tab/>
        <w:t>[Section 22C inserted by No. 73 of 2000 s. 8; amended by No. 11 of 2001 s. 21(1).]</w:t>
      </w:r>
    </w:p>
    <w:p>
      <w:pPr>
        <w:pStyle w:val="Heading5"/>
      </w:pPr>
      <w:bookmarkStart w:id="42" w:name="_Toc401155661"/>
      <w:r>
        <w:rPr>
          <w:rStyle w:val="CharSectno"/>
        </w:rPr>
        <w:t>22D</w:t>
      </w:r>
      <w:r>
        <w:t>.</w:t>
      </w:r>
      <w:r>
        <w:tab/>
        <w:t>Maximum price to be displayed</w:t>
      </w:r>
      <w:bookmarkEnd w:id="42"/>
    </w:p>
    <w:p>
      <w:pPr>
        <w:pStyle w:val="Subsection"/>
      </w:pPr>
      <w:r>
        <w:tab/>
      </w:r>
      <w:r>
        <w:tab/>
        <w: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t>
      </w:r>
    </w:p>
    <w:p>
      <w:pPr>
        <w:pStyle w:val="Penstart"/>
      </w:pPr>
      <w:r>
        <w:tab/>
        <w:t>Penalty: $20 000.</w:t>
      </w:r>
    </w:p>
    <w:p>
      <w:pPr>
        <w:pStyle w:val="Footnotesection"/>
      </w:pPr>
      <w:r>
        <w:tab/>
        <w:t>[Section 22D inserted by No. 73 of 2000 s. 8; amended by No. 11 of 2001 s. 21(1).]</w:t>
      </w:r>
    </w:p>
    <w:p>
      <w:pPr>
        <w:pStyle w:val="Heading5"/>
      </w:pPr>
      <w:bookmarkStart w:id="43" w:name="_Toc401155662"/>
      <w:r>
        <w:rPr>
          <w:rStyle w:val="CharSectno"/>
        </w:rPr>
        <w:t>22E</w:t>
      </w:r>
      <w:r>
        <w:t>.</w:t>
      </w:r>
      <w:r>
        <w:tab/>
        <w:t>Price to be compared to maximum price fixed</w:t>
      </w:r>
      <w:bookmarkEnd w:id="43"/>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pPr>
        <w:pStyle w:val="Indenta"/>
      </w:pPr>
      <w:r>
        <w:tab/>
        <w:t>(c)</w:t>
      </w:r>
      <w:r>
        <w:tab/>
        <w:t>the displayed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displayed price;</w:t>
      </w:r>
    </w:p>
    <w:p>
      <w:pPr>
        <w:pStyle w:val="Indenta"/>
      </w:pPr>
      <w:r>
        <w:tab/>
        <w:t>(b)</w:t>
      </w:r>
      <w:r>
        <w:tab/>
        <w:t>the maximum price fixed by the order; and</w:t>
      </w:r>
    </w:p>
    <w:p>
      <w:pPr>
        <w:pStyle w:val="Indenta"/>
      </w:pPr>
      <w:r>
        <w:tab/>
        <w:t>(c)</w:t>
      </w:r>
      <w:r>
        <w:tab/>
        <w:t>if the displayed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displayed price for any motor fuel is such that subsection (2)(c) would require the supplier to give details of the displayed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p>
    <w:p>
      <w:pPr>
        <w:pStyle w:val="Heading5"/>
        <w:spacing w:before="180"/>
      </w:pPr>
      <w:bookmarkStart w:id="44" w:name="_Toc401155663"/>
      <w:r>
        <w:rPr>
          <w:rStyle w:val="CharSectno"/>
        </w:rPr>
        <w:t>22F</w:t>
      </w:r>
      <w:r>
        <w:t>.</w:t>
      </w:r>
      <w:r>
        <w:tab/>
        <w:t>Information that supplier is to provide</w:t>
      </w:r>
      <w:bookmarkEnd w:id="44"/>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45" w:name="_Toc401155664"/>
      <w:r>
        <w:rPr>
          <w:rStyle w:val="CharSectno"/>
        </w:rPr>
        <w:t>22G</w:t>
      </w:r>
      <w:r>
        <w:t>.</w:t>
      </w:r>
      <w:r>
        <w:tab/>
        <w:t>Obligation to supply from declared terminal</w:t>
      </w:r>
      <w:bookmarkEnd w:id="45"/>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46" w:name="_Toc401155436"/>
      <w:bookmarkStart w:id="47" w:name="_Toc401155665"/>
      <w:r>
        <w:rPr>
          <w:rStyle w:val="CharDivNo"/>
        </w:rPr>
        <w:t>Division 2</w:t>
      </w:r>
      <w:r>
        <w:t xml:space="preserve"> — </w:t>
      </w:r>
      <w:r>
        <w:rPr>
          <w:rStyle w:val="CharDivText"/>
        </w:rPr>
        <w:t>Retail sale</w:t>
      </w:r>
      <w:bookmarkEnd w:id="46"/>
      <w:bookmarkEnd w:id="47"/>
      <w:r>
        <w:t xml:space="preserve"> </w:t>
      </w:r>
    </w:p>
    <w:p>
      <w:pPr>
        <w:pStyle w:val="Footnoteheading"/>
        <w:ind w:left="890"/>
      </w:pPr>
      <w:r>
        <w:tab/>
        <w:t>[Heading inserted by No. 73 of 2000 s. 8.]</w:t>
      </w:r>
    </w:p>
    <w:p>
      <w:pPr>
        <w:pStyle w:val="Heading5"/>
      </w:pPr>
      <w:bookmarkStart w:id="48" w:name="_Toc401155666"/>
      <w:r>
        <w:rPr>
          <w:rStyle w:val="CharSectno"/>
        </w:rPr>
        <w:t>22H</w:t>
      </w:r>
      <w:r>
        <w:t>.</w:t>
      </w:r>
      <w:r>
        <w:tab/>
        <w:t>Definitions</w:t>
      </w:r>
      <w:bookmarkEnd w:id="48"/>
    </w:p>
    <w:p>
      <w:pPr>
        <w:pStyle w:val="Subsection"/>
      </w:pPr>
      <w:r>
        <w:tab/>
      </w:r>
      <w:r>
        <w:tab/>
        <w:t xml:space="preserve">In this Division — </w:t>
      </w:r>
    </w:p>
    <w:p>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rStyle w:val="CharDefText"/>
        </w:rPr>
        <w:t>standard retail price</w:t>
      </w:r>
      <w: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49" w:name="_Toc401155667"/>
      <w:r>
        <w:rPr>
          <w:rStyle w:val="CharSectno"/>
        </w:rPr>
        <w:t>22I</w:t>
      </w:r>
      <w:r>
        <w:t>.</w:t>
      </w:r>
      <w:r>
        <w:tab/>
        <w:t>Regulations to require retailers to display prices</w:t>
      </w:r>
      <w:bookmarkEnd w:id="49"/>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50" w:name="_Toc401155668"/>
      <w:r>
        <w:rPr>
          <w:rStyle w:val="CharSectno"/>
        </w:rPr>
        <w:t>22J</w:t>
      </w:r>
      <w:r>
        <w:t>.</w:t>
      </w:r>
      <w:r>
        <w:tab/>
        <w:t>Regulations requiring notification of, and restricting change of, price</w:t>
      </w:r>
      <w:bookmarkEnd w:id="50"/>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51" w:name="_Toc401155440"/>
      <w:bookmarkStart w:id="52" w:name="_Toc401155669"/>
      <w:r>
        <w:rPr>
          <w:rStyle w:val="CharPartNo"/>
        </w:rPr>
        <w:t>Part IV</w:t>
      </w:r>
      <w:r>
        <w:rPr>
          <w:rStyle w:val="CharDivNo"/>
        </w:rPr>
        <w:t> </w:t>
      </w:r>
      <w:r>
        <w:t>—</w:t>
      </w:r>
      <w:r>
        <w:rPr>
          <w:rStyle w:val="CharDivText"/>
        </w:rPr>
        <w:t> </w:t>
      </w:r>
      <w:r>
        <w:rPr>
          <w:rStyle w:val="CharPartText"/>
        </w:rPr>
        <w:t>Obtaining information</w:t>
      </w:r>
      <w:bookmarkEnd w:id="51"/>
      <w:bookmarkEnd w:id="52"/>
      <w:r>
        <w:rPr>
          <w:rStyle w:val="CharPartText"/>
        </w:rPr>
        <w:t xml:space="preserve"> </w:t>
      </w:r>
    </w:p>
    <w:p>
      <w:pPr>
        <w:pStyle w:val="Heading5"/>
        <w:rPr>
          <w:snapToGrid w:val="0"/>
        </w:rPr>
      </w:pPr>
      <w:bookmarkStart w:id="53" w:name="_Toc401155670"/>
      <w:r>
        <w:rPr>
          <w:rStyle w:val="CharSectno"/>
        </w:rPr>
        <w:t>23</w:t>
      </w:r>
      <w:r>
        <w:rPr>
          <w:snapToGrid w:val="0"/>
        </w:rPr>
        <w:t>.</w:t>
      </w:r>
      <w:r>
        <w:rPr>
          <w:snapToGrid w:val="0"/>
        </w:rPr>
        <w:tab/>
        <w:t>Power of Commissioner to inquire, investigate, and obtain information</w:t>
      </w:r>
      <w:bookmarkEnd w:id="53"/>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by No. 72 of 1983 s. 15; No. 59 of 2004 s. 141; No. 24 of 2005 s. 63; No. 28 of 2006 s. 117.] </w:t>
      </w:r>
    </w:p>
    <w:p>
      <w:pPr>
        <w:pStyle w:val="Heading5"/>
        <w:spacing w:before="240"/>
        <w:rPr>
          <w:snapToGrid w:val="0"/>
        </w:rPr>
      </w:pPr>
      <w:bookmarkStart w:id="54" w:name="_Toc401155671"/>
      <w:r>
        <w:rPr>
          <w:rStyle w:val="CharSectno"/>
        </w:rPr>
        <w:t>24</w:t>
      </w:r>
      <w:r>
        <w:rPr>
          <w:snapToGrid w:val="0"/>
        </w:rPr>
        <w:t>.</w:t>
      </w:r>
      <w:r>
        <w:rPr>
          <w:snapToGrid w:val="0"/>
        </w:rPr>
        <w:tab/>
        <w:t>Sufficient notice to be given to enable questions, etc. to be answered</w:t>
      </w:r>
      <w:bookmarkEnd w:id="54"/>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by No. 28 of 2006 s. 118.]</w:t>
      </w:r>
    </w:p>
    <w:p>
      <w:pPr>
        <w:pStyle w:val="Heading5"/>
        <w:rPr>
          <w:snapToGrid w:val="0"/>
        </w:rPr>
      </w:pPr>
      <w:bookmarkStart w:id="55" w:name="_Toc401155672"/>
      <w:r>
        <w:rPr>
          <w:rStyle w:val="CharSectno"/>
        </w:rPr>
        <w:t>25</w:t>
      </w:r>
      <w:r>
        <w:rPr>
          <w:snapToGrid w:val="0"/>
        </w:rPr>
        <w:t>.</w:t>
      </w:r>
      <w:r>
        <w:rPr>
          <w:snapToGrid w:val="0"/>
        </w:rPr>
        <w:tab/>
        <w:t>Failure to supply information</w:t>
      </w:r>
      <w:bookmarkEnd w:id="55"/>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56" w:name="_Toc401155673"/>
      <w:r>
        <w:rPr>
          <w:rStyle w:val="CharSectno"/>
        </w:rPr>
        <w:t>26</w:t>
      </w:r>
      <w:r>
        <w:rPr>
          <w:snapToGrid w:val="0"/>
        </w:rPr>
        <w:t>.</w:t>
      </w:r>
      <w:r>
        <w:rPr>
          <w:snapToGrid w:val="0"/>
        </w:rPr>
        <w:tab/>
        <w:t>Obstructing Commissioner</w:t>
      </w:r>
      <w:bookmarkEnd w:id="56"/>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by No. 73 of 2000 s. 14(2); No. 11 of 2001 s. 21(2); No. 28 of 2006 s. 119.]</w:t>
      </w:r>
    </w:p>
    <w:p>
      <w:pPr>
        <w:pStyle w:val="Heading5"/>
        <w:rPr>
          <w:snapToGrid w:val="0"/>
        </w:rPr>
      </w:pPr>
      <w:bookmarkStart w:id="57" w:name="_Toc401155674"/>
      <w:r>
        <w:rPr>
          <w:rStyle w:val="CharSectno"/>
        </w:rPr>
        <w:t>27</w:t>
      </w:r>
      <w:r>
        <w:rPr>
          <w:snapToGrid w:val="0"/>
        </w:rPr>
        <w:t>.</w:t>
      </w:r>
      <w:r>
        <w:rPr>
          <w:snapToGrid w:val="0"/>
        </w:rPr>
        <w:tab/>
        <w:t>Power of Commissioner to require returns</w:t>
      </w:r>
      <w:bookmarkEnd w:id="57"/>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58" w:name="_Toc401155675"/>
      <w:r>
        <w:rPr>
          <w:rStyle w:val="CharSectno"/>
        </w:rPr>
        <w:t>27A</w:t>
      </w:r>
      <w:r>
        <w:t>.</w:t>
      </w:r>
      <w:r>
        <w:tab/>
        <w:t>Further powers of Commissioner to obtain information</w:t>
      </w:r>
      <w:bookmarkEnd w:id="58"/>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 No. 28 of 2006 s. 120.]</w:t>
      </w:r>
    </w:p>
    <w:p>
      <w:pPr>
        <w:pStyle w:val="Heading5"/>
      </w:pPr>
      <w:bookmarkStart w:id="59" w:name="_Toc401155676"/>
      <w:r>
        <w:rPr>
          <w:rStyle w:val="CharSectno"/>
        </w:rPr>
        <w:t>27B</w:t>
      </w:r>
      <w:r>
        <w:t>.</w:t>
      </w:r>
      <w:r>
        <w:tab/>
        <w:t>Publication by Commissioner of information</w:t>
      </w:r>
      <w:bookmarkEnd w:id="59"/>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by No. 73 of 2000 s. 10; amended by No. 28 of 2006 s. 121.]</w:t>
      </w:r>
    </w:p>
    <w:p>
      <w:pPr>
        <w:pStyle w:val="Heading5"/>
        <w:rPr>
          <w:snapToGrid w:val="0"/>
        </w:rPr>
      </w:pPr>
      <w:bookmarkStart w:id="60" w:name="_Toc401155677"/>
      <w:r>
        <w:rPr>
          <w:rStyle w:val="CharSectno"/>
        </w:rPr>
        <w:t>28</w:t>
      </w:r>
      <w:r>
        <w:rPr>
          <w:snapToGrid w:val="0"/>
        </w:rPr>
        <w:t>.</w:t>
      </w:r>
      <w:r>
        <w:rPr>
          <w:snapToGrid w:val="0"/>
        </w:rPr>
        <w:tab/>
        <w:t>“</w:t>
      </w:r>
      <w:r>
        <w:t>Commissioner</w:t>
      </w:r>
      <w:r>
        <w:rPr>
          <w:snapToGrid w:val="0"/>
        </w:rPr>
        <w:t>” includes other officers</w:t>
      </w:r>
      <w:bookmarkEnd w:id="60"/>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by No. 1 of 1985 s. 28; No. 57 of 1997 s. 93; No. 28 of 2006 s. 122.] </w:t>
      </w:r>
    </w:p>
    <w:p>
      <w:pPr>
        <w:pStyle w:val="Heading2"/>
      </w:pPr>
      <w:bookmarkStart w:id="61" w:name="_Toc401155449"/>
      <w:bookmarkStart w:id="62" w:name="_Toc401155678"/>
      <w:r>
        <w:rPr>
          <w:rStyle w:val="CharPartNo"/>
        </w:rPr>
        <w:t>Part V</w:t>
      </w:r>
      <w:r>
        <w:t> — </w:t>
      </w:r>
      <w:r>
        <w:rPr>
          <w:rStyle w:val="CharPartText"/>
        </w:rPr>
        <w:t>Offences and penalties</w:t>
      </w:r>
      <w:bookmarkEnd w:id="61"/>
      <w:bookmarkEnd w:id="62"/>
      <w:r>
        <w:rPr>
          <w:rStyle w:val="CharPartText"/>
        </w:rPr>
        <w:t xml:space="preserve"> </w:t>
      </w:r>
    </w:p>
    <w:p>
      <w:pPr>
        <w:pStyle w:val="Heading3"/>
        <w:spacing w:before="200"/>
        <w:rPr>
          <w:b w:val="0"/>
        </w:rPr>
      </w:pPr>
      <w:bookmarkStart w:id="63" w:name="_Toc401155450"/>
      <w:bookmarkStart w:id="64" w:name="_Toc401155679"/>
      <w:r>
        <w:rPr>
          <w:rStyle w:val="CharDivNo"/>
        </w:rPr>
        <w:t>Division 1</w:t>
      </w:r>
      <w:r>
        <w:rPr>
          <w:b w:val="0"/>
        </w:rPr>
        <w:t> — </w:t>
      </w:r>
      <w:r>
        <w:rPr>
          <w:rStyle w:val="CharDivText"/>
        </w:rPr>
        <w:t>General provisions</w:t>
      </w:r>
      <w:bookmarkEnd w:id="63"/>
      <w:bookmarkEnd w:id="64"/>
      <w:r>
        <w:rPr>
          <w:b w:val="0"/>
        </w:rPr>
        <w:t> </w:t>
      </w:r>
    </w:p>
    <w:p>
      <w:pPr>
        <w:pStyle w:val="Footnoteheading"/>
        <w:ind w:left="890"/>
      </w:pPr>
      <w:r>
        <w:tab/>
        <w:t>[Heading inserted by No. 73 of 2000 s. 11(1).]</w:t>
      </w:r>
    </w:p>
    <w:p>
      <w:pPr>
        <w:pStyle w:val="Heading5"/>
        <w:spacing w:before="180"/>
        <w:rPr>
          <w:snapToGrid w:val="0"/>
        </w:rPr>
      </w:pPr>
      <w:bookmarkStart w:id="65" w:name="_Toc401155680"/>
      <w:r>
        <w:rPr>
          <w:rStyle w:val="CharSectno"/>
        </w:rPr>
        <w:t>29</w:t>
      </w:r>
      <w:r>
        <w:rPr>
          <w:snapToGrid w:val="0"/>
        </w:rPr>
        <w:t>.</w:t>
      </w:r>
      <w:r>
        <w:rPr>
          <w:snapToGrid w:val="0"/>
        </w:rPr>
        <w:tab/>
        <w:t>Liability of officers etc., of body corporate</w:t>
      </w:r>
      <w:bookmarkEnd w:id="65"/>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by No. 28 of 2006 s. 123.]</w:t>
      </w:r>
    </w:p>
    <w:p>
      <w:pPr>
        <w:pStyle w:val="Heading5"/>
        <w:rPr>
          <w:snapToGrid w:val="0"/>
        </w:rPr>
      </w:pPr>
      <w:bookmarkStart w:id="66" w:name="_Toc401155681"/>
      <w:r>
        <w:rPr>
          <w:rStyle w:val="CharSectno"/>
        </w:rPr>
        <w:t>30</w:t>
      </w:r>
      <w:r>
        <w:rPr>
          <w:snapToGrid w:val="0"/>
        </w:rPr>
        <w:t>.</w:t>
      </w:r>
      <w:r>
        <w:rPr>
          <w:snapToGrid w:val="0"/>
        </w:rPr>
        <w:tab/>
        <w:t>Court may order refund of amount paid in excess of maximum price or rate</w:t>
      </w:r>
      <w:bookmarkEnd w:id="66"/>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67" w:name="_Toc401155682"/>
      <w:r>
        <w:rPr>
          <w:rStyle w:val="CharSectno"/>
        </w:rPr>
        <w:t>31</w:t>
      </w:r>
      <w:r>
        <w:t>.</w:t>
      </w:r>
      <w:r>
        <w:tab/>
        <w:t>Limitation period for prosecutions</w:t>
      </w:r>
      <w:bookmarkEnd w:id="67"/>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by No. 84 of 2004 s. 80; amended by No. 28 of 2006 s. 124.] </w:t>
      </w:r>
    </w:p>
    <w:p>
      <w:pPr>
        <w:pStyle w:val="Heading3"/>
      </w:pPr>
      <w:bookmarkStart w:id="68" w:name="_Toc401155454"/>
      <w:bookmarkStart w:id="69" w:name="_Toc401155683"/>
      <w:r>
        <w:rPr>
          <w:rStyle w:val="CharDivNo"/>
        </w:rPr>
        <w:t>Division 2</w:t>
      </w:r>
      <w:r>
        <w:t> — </w:t>
      </w:r>
      <w:r>
        <w:rPr>
          <w:rStyle w:val="CharDivText"/>
        </w:rPr>
        <w:t>Infringement notices</w:t>
      </w:r>
      <w:bookmarkEnd w:id="68"/>
      <w:bookmarkEnd w:id="69"/>
      <w:r>
        <w:t> </w:t>
      </w:r>
    </w:p>
    <w:p>
      <w:pPr>
        <w:pStyle w:val="Footnoteheading"/>
        <w:ind w:left="890"/>
      </w:pPr>
      <w:r>
        <w:tab/>
        <w:t>[Heading inserted by No. 73 of 2000 s. 11(2).]</w:t>
      </w:r>
    </w:p>
    <w:p>
      <w:pPr>
        <w:pStyle w:val="Heading5"/>
      </w:pPr>
      <w:bookmarkStart w:id="70" w:name="_Toc401155684"/>
      <w:r>
        <w:rPr>
          <w:rStyle w:val="CharSectno"/>
        </w:rPr>
        <w:t>31A</w:t>
      </w:r>
      <w:r>
        <w:t>.</w:t>
      </w:r>
      <w:r>
        <w:tab/>
        <w:t>Infringement notices</w:t>
      </w:r>
      <w:bookmarkEnd w:id="70"/>
    </w:p>
    <w:p>
      <w:pPr>
        <w:pStyle w:val="Subsection"/>
      </w:pPr>
      <w:r>
        <w:tab/>
      </w:r>
      <w:r>
        <w:tab/>
        <w:t>In this Division —</w:t>
      </w:r>
    </w:p>
    <w:p>
      <w:pPr>
        <w:pStyle w:val="Defstart"/>
      </w:pPr>
      <w:r>
        <w:tab/>
      </w:r>
      <w:r>
        <w:rPr>
          <w:rStyle w:val="CharDefText"/>
        </w:rPr>
        <w:t>authorised person</w:t>
      </w:r>
      <w:r>
        <w:t xml:space="preserve"> in section 31B, 31C, 31D or 31E means a person appointed under section 31H by the Commissioner to be an authorised person for the purposes of the section in which the term is used;</w:t>
      </w:r>
    </w:p>
    <w:p>
      <w:pPr>
        <w:pStyle w:val="Defstart"/>
      </w:pPr>
      <w:r>
        <w:tab/>
      </w:r>
      <w:r>
        <w:rPr>
          <w:rStyle w:val="CharDefText"/>
        </w:rPr>
        <w:t>prescribed</w:t>
      </w:r>
      <w:r>
        <w:t xml:space="preserve"> means prescribed by regulations.</w:t>
      </w:r>
    </w:p>
    <w:p>
      <w:pPr>
        <w:pStyle w:val="Footnotesection"/>
      </w:pPr>
      <w:r>
        <w:tab/>
        <w:t>[Section 31A inserted by No. 73 of 2000 s. 11(2).]</w:t>
      </w:r>
    </w:p>
    <w:p>
      <w:pPr>
        <w:pStyle w:val="Heading5"/>
      </w:pPr>
      <w:bookmarkStart w:id="71" w:name="_Toc401155685"/>
      <w:r>
        <w:rPr>
          <w:rStyle w:val="CharSectno"/>
        </w:rPr>
        <w:t>31B</w:t>
      </w:r>
      <w:r>
        <w:t>.</w:t>
      </w:r>
      <w:r>
        <w:tab/>
        <w:t>Giving of notice</w:t>
      </w:r>
      <w:bookmarkEnd w:id="71"/>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(2)</w:t>
      </w:r>
      <w:r>
        <w:tab/>
        <w:t>An offence under section 15, 16, 19, or 20 cannot be prescribed under this section.</w:t>
      </w:r>
    </w:p>
    <w:p>
      <w:pPr>
        <w:pStyle w:val="Footnotesection"/>
      </w:pPr>
      <w:r>
        <w:tab/>
        <w:t>[Section 31B inserted by No. 73 of 2000 s. 11(2).]</w:t>
      </w:r>
    </w:p>
    <w:p>
      <w:pPr>
        <w:pStyle w:val="Heading5"/>
      </w:pPr>
      <w:bookmarkStart w:id="72" w:name="_Toc401155686"/>
      <w:r>
        <w:rPr>
          <w:rStyle w:val="CharSectno"/>
        </w:rPr>
        <w:t>31C</w:t>
      </w:r>
      <w:r>
        <w:t>.</w:t>
      </w:r>
      <w:r>
        <w:tab/>
        <w:t>Content of notice</w:t>
      </w:r>
      <w:bookmarkEnd w:id="72"/>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73" w:name="_Toc401155687"/>
      <w:r>
        <w:rPr>
          <w:rStyle w:val="CharSectno"/>
        </w:rPr>
        <w:t>31D</w:t>
      </w:r>
      <w:r>
        <w:t>.</w:t>
      </w:r>
      <w:r>
        <w:tab/>
        <w:t>Extension of time</w:t>
      </w:r>
      <w:bookmarkEnd w:id="73"/>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74" w:name="_Toc401155688"/>
      <w:r>
        <w:rPr>
          <w:rStyle w:val="CharSectno"/>
        </w:rPr>
        <w:t>31E</w:t>
      </w:r>
      <w:r>
        <w:t>.</w:t>
      </w:r>
      <w:r>
        <w:tab/>
        <w:t>Withdrawal of notice</w:t>
      </w:r>
      <w:bookmarkEnd w:id="74"/>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31E inserted by No. 73 of 2000 s. 11(2).]</w:t>
      </w:r>
    </w:p>
    <w:p>
      <w:pPr>
        <w:pStyle w:val="Heading5"/>
      </w:pPr>
      <w:bookmarkStart w:id="75" w:name="_Toc401155689"/>
      <w:r>
        <w:rPr>
          <w:rStyle w:val="CharSectno"/>
        </w:rPr>
        <w:t>31F</w:t>
      </w:r>
      <w:r>
        <w:t>.</w:t>
      </w:r>
      <w:r>
        <w:tab/>
        <w:t>Benefit of paying modified penalty</w:t>
      </w:r>
      <w:bookmarkEnd w:id="7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76" w:name="_Toc401155690"/>
      <w:r>
        <w:rPr>
          <w:rStyle w:val="CharSectno"/>
        </w:rPr>
        <w:t>31G</w:t>
      </w:r>
      <w:r>
        <w:t>.</w:t>
      </w:r>
      <w:r>
        <w:tab/>
        <w:t>Application of penalties collected</w:t>
      </w:r>
      <w:bookmarkEnd w:id="76"/>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77" w:name="_Toc401155691"/>
      <w:r>
        <w:rPr>
          <w:rStyle w:val="CharSectno"/>
        </w:rPr>
        <w:t>31H</w:t>
      </w:r>
      <w:r>
        <w:t>.</w:t>
      </w:r>
      <w:r>
        <w:tab/>
        <w:t>Appointment of authorised persons</w:t>
      </w:r>
      <w:bookmarkEnd w:id="77"/>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rStyle w:val="CharDefText"/>
        </w:rPr>
        <w:t>officer</w:t>
      </w:r>
      <w:r>
        <w:t xml:space="preserve"> means an officer of the Department.</w:t>
      </w:r>
    </w:p>
    <w:p>
      <w:pPr>
        <w:pStyle w:val="Footnotesection"/>
      </w:pPr>
      <w:r>
        <w:tab/>
        <w:t>[Section 31H inserted by No. 73 of 2000 s. 11(2); amended by No. 28 of 2006 s. 125.]</w:t>
      </w:r>
    </w:p>
    <w:p>
      <w:pPr>
        <w:pStyle w:val="Heading2"/>
      </w:pPr>
      <w:bookmarkStart w:id="78" w:name="_Toc401155463"/>
      <w:bookmarkStart w:id="79" w:name="_Toc401155692"/>
      <w:r>
        <w:rPr>
          <w:rStyle w:val="CharPartNo"/>
        </w:rPr>
        <w:t>Part VI</w:t>
      </w:r>
      <w:r>
        <w:rPr>
          <w:rStyle w:val="CharDivNo"/>
        </w:rPr>
        <w:t> </w:t>
      </w:r>
      <w:r>
        <w:t>—</w:t>
      </w:r>
      <w:r>
        <w:rPr>
          <w:rStyle w:val="CharDivText"/>
        </w:rPr>
        <w:t> </w:t>
      </w:r>
      <w:r>
        <w:rPr>
          <w:rStyle w:val="CharPartText"/>
        </w:rPr>
        <w:t>Miscellaneous</w:t>
      </w:r>
      <w:bookmarkEnd w:id="78"/>
      <w:bookmarkEnd w:id="79"/>
      <w:r>
        <w:rPr>
          <w:rStyle w:val="CharPartText"/>
        </w:rPr>
        <w:t xml:space="preserve"> </w:t>
      </w:r>
    </w:p>
    <w:p>
      <w:pPr>
        <w:pStyle w:val="Heading5"/>
        <w:spacing w:before="240"/>
        <w:rPr>
          <w:snapToGrid w:val="0"/>
        </w:rPr>
      </w:pPr>
      <w:bookmarkStart w:id="80" w:name="_Toc401155693"/>
      <w:r>
        <w:rPr>
          <w:rStyle w:val="CharSectno"/>
        </w:rPr>
        <w:t>32</w:t>
      </w:r>
      <w:r>
        <w:rPr>
          <w:snapToGrid w:val="0"/>
        </w:rPr>
        <w:t>.</w:t>
      </w:r>
      <w:r>
        <w:rPr>
          <w:snapToGrid w:val="0"/>
        </w:rPr>
        <w:tab/>
        <w:t>Application of orders and notices</w:t>
      </w:r>
      <w:bookmarkEnd w:id="80"/>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spacing w:before="240"/>
      </w:pPr>
      <w:bookmarkStart w:id="81" w:name="_Toc401155694"/>
      <w:r>
        <w:rPr>
          <w:rStyle w:val="CharSectno"/>
        </w:rPr>
        <w:t>32A</w:t>
      </w:r>
      <w:r>
        <w:t>.</w:t>
      </w:r>
      <w:r>
        <w:tab/>
        <w:t>Delegation by Commissioner</w:t>
      </w:r>
      <w:bookmarkEnd w:id="81"/>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32A inserted by No. 28 of 2006 s. 126.]</w:t>
      </w:r>
    </w:p>
    <w:p>
      <w:pPr>
        <w:pStyle w:val="Heading5"/>
      </w:pPr>
      <w:bookmarkStart w:id="82" w:name="_Toc401155695"/>
      <w:r>
        <w:rPr>
          <w:rStyle w:val="CharSectno"/>
        </w:rPr>
        <w:t>32B</w:t>
      </w:r>
      <w:r>
        <w:t>.</w:t>
      </w:r>
      <w:r>
        <w:tab/>
        <w:t>Protection from liability for wrongdoing</w:t>
      </w:r>
      <w:bookmarkEnd w:id="82"/>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r>
        <w:tab/>
        <w:t>[Section 32B inserted by No. 28 of 2006 s. 126.]</w:t>
      </w:r>
    </w:p>
    <w:p>
      <w:pPr>
        <w:pStyle w:val="Heading5"/>
        <w:rPr>
          <w:snapToGrid w:val="0"/>
        </w:rPr>
      </w:pPr>
      <w:bookmarkStart w:id="83" w:name="_Toc401155696"/>
      <w:r>
        <w:rPr>
          <w:rStyle w:val="CharSectno"/>
        </w:rPr>
        <w:t>32C</w:t>
      </w:r>
      <w:r>
        <w:rPr>
          <w:snapToGrid w:val="0"/>
        </w:rPr>
        <w:t>.</w:t>
      </w:r>
      <w:r>
        <w:rPr>
          <w:snapToGrid w:val="0"/>
        </w:rPr>
        <w:tab/>
      </w:r>
      <w:r>
        <w:t>Judicial</w:t>
      </w:r>
      <w:r>
        <w:rPr>
          <w:snapToGrid w:val="0"/>
        </w:rPr>
        <w:t xml:space="preserve"> notice</w:t>
      </w:r>
      <w:bookmarkEnd w:id="83"/>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by No. 28 of 2006 s. 126.]</w:t>
      </w:r>
    </w:p>
    <w:p>
      <w:pPr>
        <w:pStyle w:val="Heading5"/>
        <w:rPr>
          <w:snapToGrid w:val="0"/>
        </w:rPr>
      </w:pPr>
      <w:bookmarkStart w:id="84" w:name="_Toc401155697"/>
      <w:r>
        <w:rPr>
          <w:rStyle w:val="CharSectno"/>
        </w:rPr>
        <w:t>33</w:t>
      </w:r>
      <w:r>
        <w:rPr>
          <w:snapToGrid w:val="0"/>
        </w:rPr>
        <w:t>.</w:t>
      </w:r>
      <w:r>
        <w:rPr>
          <w:snapToGrid w:val="0"/>
        </w:rPr>
        <w:tab/>
        <w:t>Secrecy</w:t>
      </w:r>
      <w:bookmarkEnd w:id="84"/>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 No. 28 of 2006 s. 127.]</w:t>
      </w:r>
    </w:p>
    <w:p>
      <w:pPr>
        <w:pStyle w:val="Heading5"/>
        <w:spacing w:before="240"/>
        <w:rPr>
          <w:snapToGrid w:val="0"/>
        </w:rPr>
      </w:pPr>
      <w:bookmarkStart w:id="85" w:name="_Toc401155698"/>
      <w:r>
        <w:rPr>
          <w:rStyle w:val="CharSectno"/>
        </w:rPr>
        <w:t>34</w:t>
      </w:r>
      <w:r>
        <w:rPr>
          <w:snapToGrid w:val="0"/>
        </w:rPr>
        <w:t>.</w:t>
      </w:r>
      <w:r>
        <w:rPr>
          <w:snapToGrid w:val="0"/>
        </w:rPr>
        <w:tab/>
        <w:t>Regulations</w:t>
      </w:r>
      <w:bookmarkEnd w:id="85"/>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Deleted by No. 72 of 1983 s. 14.]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6" w:name="_Toc401155470"/>
      <w:bookmarkStart w:id="87" w:name="_Toc401155699"/>
      <w:r>
        <w:rPr>
          <w:rStyle w:val="CharSchNo"/>
        </w:rPr>
        <w:t>Schedule 1</w:t>
      </w:r>
      <w:r>
        <w:t xml:space="preserve"> — </w:t>
      </w:r>
      <w:r>
        <w:rPr>
          <w:rStyle w:val="CharSchText"/>
        </w:rPr>
        <w:t>Certain exclusions from definition of “petroleum product”</w:t>
      </w:r>
      <w:bookmarkEnd w:id="86"/>
      <w:bookmarkEnd w:id="87"/>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smartTag w:uri="urn:schemas-microsoft-com:office:smarttags" w:element="place">
        <w:r>
          <w:t>Lake</w:t>
        </w:r>
      </w:smartTag>
      <w:r>
        <w:t xml:space="preserv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smartTag w:uri="urn:schemas-microsoft-com:office:smarttags" w:element="City">
        <w:smartTag w:uri="urn:schemas-microsoft-com:office:smarttags" w:element="place">
          <w:r>
            <w:t>Sulphur</w:t>
          </w:r>
        </w:smartTag>
      </w:smartTag>
      <w:r>
        <w:t xml:space="preserve"> compounds</w:t>
      </w:r>
    </w:p>
    <w:p>
      <w:pPr>
        <w:pStyle w:val="yMiscellaneousBody"/>
        <w:spacing w:before="0"/>
      </w:pPr>
      <w:smartTag w:uri="urn:schemas-microsoft-com:office:smarttags" w:element="City">
        <w:smartTag w:uri="urn:schemas-microsoft-com:office:smarttags" w:element="place">
          <w:r>
            <w:t>Sulphur</w:t>
          </w:r>
        </w:smartTag>
      </w:smartTag>
      <w:r>
        <w:t xml:space="preserve">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by No. 73 of 2000 s. 12.]</w:t>
      </w:r>
    </w:p>
    <w:p>
      <w:pPr>
        <w:rPr>
          <w:rStyle w:val="CharDivText"/>
        </w:rPr>
        <w:sectPr>
          <w:headerReference w:type="even" r:id="rId25"/>
          <w:headerReference w:type="default" r:id="rId26"/>
          <w:headerReference w:type="first" r:id="rId27"/>
          <w:pgSz w:w="11906" w:h="16838" w:code="9"/>
          <w:pgMar w:top="2381" w:right="2410" w:bottom="3544" w:left="2410" w:header="720" w:footer="3380" w:gutter="0"/>
          <w:cols w:space="720"/>
          <w:noEndnote/>
          <w:docGrid w:linePitch="326"/>
        </w:sectPr>
      </w:pPr>
    </w:p>
    <w:p>
      <w:pPr>
        <w:pStyle w:val="nHeading2"/>
      </w:pPr>
      <w:bookmarkStart w:id="88" w:name="_Toc401155471"/>
      <w:bookmarkStart w:id="89" w:name="_Toc401155700"/>
      <w:r>
        <w:t>Notes</w:t>
      </w:r>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Act 1983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0" w:name="_Toc401155701"/>
      <w:r>
        <w:rPr>
          <w:snapToGrid w:val="0"/>
        </w:rPr>
        <w:t>Compilation table</w:t>
      </w:r>
      <w:bookmarkEnd w:id="90"/>
    </w:p>
    <w:tbl>
      <w:tblPr>
        <w:tblW w:w="0" w:type="auto"/>
        <w:tblInd w:w="71" w:type="dxa"/>
        <w:tblLayout w:type="fixed"/>
        <w:tblCellMar>
          <w:left w:w="57" w:type="dxa"/>
          <w:right w:w="57" w:type="dxa"/>
        </w:tblCellMar>
        <w:tblLook w:val="0000" w:firstRow="0" w:lastRow="0" w:firstColumn="0" w:lastColumn="0" w:noHBand="0" w:noVBand="0"/>
      </w:tblPr>
      <w:tblGrid>
        <w:gridCol w:w="12"/>
        <w:gridCol w:w="2242"/>
        <w:gridCol w:w="26"/>
        <w:gridCol w:w="1108"/>
        <w:gridCol w:w="26"/>
        <w:gridCol w:w="1108"/>
        <w:gridCol w:w="26"/>
        <w:gridCol w:w="2551"/>
      </w:tblGrid>
      <w:tr>
        <w:trPr>
          <w:gridBefore w:val="1"/>
          <w:wBefore w:w="12"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2" w:type="dxa"/>
          <w:cantSplit/>
        </w:trPr>
        <w:tc>
          <w:tcPr>
            <w:tcW w:w="2268" w:type="dxa"/>
            <w:gridSpan w:val="2"/>
          </w:tcPr>
          <w:p>
            <w:pPr>
              <w:pStyle w:val="nTable"/>
              <w:spacing w:after="40"/>
              <w:ind w:right="113"/>
              <w:rPr>
                <w:sz w:val="19"/>
                <w:vertAlign w:val="superscript"/>
              </w:rPr>
            </w:pPr>
            <w:r>
              <w:rPr>
                <w:i/>
                <w:sz w:val="19"/>
              </w:rPr>
              <w:t>Prevention of Excessive Prices Act 1983</w:t>
            </w:r>
            <w:r>
              <w:rPr>
                <w:i/>
                <w:sz w:val="19"/>
                <w:vertAlign w:val="superscript"/>
              </w:rPr>
              <w:t> </w:t>
            </w:r>
            <w:r>
              <w:rPr>
                <w:sz w:val="19"/>
                <w:vertAlign w:val="superscript"/>
              </w:rPr>
              <w:t>2</w:t>
            </w:r>
          </w:p>
        </w:tc>
        <w:tc>
          <w:tcPr>
            <w:tcW w:w="1134" w:type="dxa"/>
            <w:gridSpan w:val="2"/>
          </w:tcPr>
          <w:p>
            <w:pPr>
              <w:pStyle w:val="nTable"/>
              <w:spacing w:after="40"/>
              <w:rPr>
                <w:sz w:val="19"/>
              </w:rPr>
            </w:pPr>
            <w:r>
              <w:rPr>
                <w:sz w:val="19"/>
              </w:rPr>
              <w:t>1 of 1983</w:t>
            </w:r>
          </w:p>
        </w:tc>
        <w:tc>
          <w:tcPr>
            <w:tcW w:w="1134" w:type="dxa"/>
            <w:gridSpan w:val="2"/>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gridBefore w:val="1"/>
          <w:wBefore w:w="12" w:type="dxa"/>
          <w:cantSplit/>
        </w:trPr>
        <w:tc>
          <w:tcPr>
            <w:tcW w:w="2268" w:type="dxa"/>
            <w:gridSpan w:val="2"/>
          </w:tcPr>
          <w:p>
            <w:pPr>
              <w:pStyle w:val="nTable"/>
              <w:spacing w:after="40"/>
              <w:ind w:right="113"/>
              <w:rPr>
                <w:sz w:val="19"/>
              </w:rPr>
            </w:pPr>
            <w:r>
              <w:rPr>
                <w:i/>
                <w:sz w:val="19"/>
              </w:rPr>
              <w:t xml:space="preserve">Acts Amendment (Prevention of Excessive Prices) Act (No. 2) 1983 </w:t>
            </w:r>
            <w:r>
              <w:rPr>
                <w:sz w:val="19"/>
              </w:rPr>
              <w:t>Pt. III</w:t>
            </w:r>
          </w:p>
        </w:tc>
        <w:tc>
          <w:tcPr>
            <w:tcW w:w="1134" w:type="dxa"/>
            <w:gridSpan w:val="2"/>
          </w:tcPr>
          <w:p>
            <w:pPr>
              <w:pStyle w:val="nTable"/>
              <w:spacing w:after="40"/>
              <w:rPr>
                <w:sz w:val="19"/>
              </w:rPr>
            </w:pPr>
            <w:r>
              <w:rPr>
                <w:sz w:val="19"/>
              </w:rPr>
              <w:t>72 of 1983</w:t>
            </w:r>
          </w:p>
        </w:tc>
        <w:tc>
          <w:tcPr>
            <w:tcW w:w="1134" w:type="dxa"/>
            <w:gridSpan w:val="2"/>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2(b))</w:t>
            </w:r>
          </w:p>
        </w:tc>
      </w:tr>
      <w:tr>
        <w:trPr>
          <w:gridBefore w:val="1"/>
          <w:wBefore w:w="12" w:type="dxa"/>
          <w:cantSplit/>
        </w:trPr>
        <w:tc>
          <w:tcPr>
            <w:tcW w:w="2268" w:type="dxa"/>
            <w:gridSpan w:val="2"/>
          </w:tcPr>
          <w:p>
            <w:pPr>
              <w:pStyle w:val="nTable"/>
              <w:spacing w:after="40"/>
              <w:ind w:right="113"/>
              <w:rPr>
                <w:sz w:val="19"/>
              </w:rPr>
            </w:pPr>
            <w:r>
              <w:rPr>
                <w:i/>
                <w:sz w:val="19"/>
              </w:rPr>
              <w:t xml:space="preserve">Acts Amendment (Consumer Affairs) Act 1985 </w:t>
            </w:r>
            <w:r>
              <w:rPr>
                <w:sz w:val="19"/>
              </w:rPr>
              <w:t>Pt. VI</w:t>
            </w:r>
          </w:p>
        </w:tc>
        <w:tc>
          <w:tcPr>
            <w:tcW w:w="1134" w:type="dxa"/>
            <w:gridSpan w:val="2"/>
          </w:tcPr>
          <w:p>
            <w:pPr>
              <w:pStyle w:val="nTable"/>
              <w:spacing w:after="40"/>
              <w:rPr>
                <w:sz w:val="19"/>
              </w:rPr>
            </w:pPr>
            <w:r>
              <w:rPr>
                <w:sz w:val="19"/>
              </w:rPr>
              <w:t>1 of 1985</w:t>
            </w:r>
          </w:p>
        </w:tc>
        <w:tc>
          <w:tcPr>
            <w:tcW w:w="1134" w:type="dxa"/>
            <w:gridSpan w:val="2"/>
          </w:tcPr>
          <w:p>
            <w:pPr>
              <w:pStyle w:val="nTable"/>
              <w:spacing w:after="40"/>
              <w:rPr>
                <w:sz w:val="19"/>
              </w:rPr>
            </w:pPr>
            <w:r>
              <w:rPr>
                <w:sz w:val="19"/>
              </w:rPr>
              <w:t>8 Mar 1985</w:t>
            </w:r>
          </w:p>
        </w:tc>
        <w:tc>
          <w:tcPr>
            <w:tcW w:w="2551" w:type="dxa"/>
          </w:tcPr>
          <w:p>
            <w:pPr>
              <w:pStyle w:val="nTable"/>
              <w:spacing w:after="40"/>
              <w:rPr>
                <w:sz w:val="19"/>
              </w:rPr>
            </w:pPr>
            <w:r>
              <w:rPr>
                <w:sz w:val="19"/>
              </w:rPr>
              <w:t>8 Mar 1985 (see s. 2(3))</w:t>
            </w:r>
          </w:p>
        </w:tc>
      </w:tr>
      <w:tr>
        <w:trPr>
          <w:gridBefore w:val="1"/>
          <w:wBefore w:w="12" w:type="dxa"/>
          <w:cantSplit/>
        </w:trPr>
        <w:tc>
          <w:tcPr>
            <w:tcW w:w="226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2"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2" w:type="dxa"/>
          <w:cantSplit/>
        </w:trPr>
        <w:tc>
          <w:tcPr>
            <w:tcW w:w="2268" w:type="dxa"/>
            <w:gridSpan w:val="2"/>
          </w:tcPr>
          <w:p>
            <w:pPr>
              <w:pStyle w:val="nTable"/>
              <w:spacing w:after="40"/>
              <w:ind w:right="113"/>
              <w:rPr>
                <w:sz w:val="19"/>
              </w:rPr>
            </w:pPr>
            <w:r>
              <w:rPr>
                <w:i/>
                <w:sz w:val="19"/>
              </w:rPr>
              <w:t xml:space="preserve">Industrial Relations Legislation Amendment and Repeal Act 1995 </w:t>
            </w:r>
            <w:r>
              <w:rPr>
                <w:sz w:val="19"/>
              </w:rPr>
              <w:t>s. 69(2)</w:t>
            </w:r>
          </w:p>
        </w:tc>
        <w:tc>
          <w:tcPr>
            <w:tcW w:w="1134" w:type="dxa"/>
            <w:gridSpan w:val="2"/>
          </w:tcPr>
          <w:p>
            <w:pPr>
              <w:pStyle w:val="nTable"/>
              <w:spacing w:after="40"/>
              <w:rPr>
                <w:sz w:val="19"/>
              </w:rPr>
            </w:pPr>
            <w:r>
              <w:rPr>
                <w:sz w:val="19"/>
              </w:rPr>
              <w:t>79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Before w:val="1"/>
          <w:wBefore w:w="12"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Before w:val="1"/>
          <w:wBefore w:w="12"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93</w:t>
            </w:r>
          </w:p>
        </w:tc>
        <w:tc>
          <w:tcPr>
            <w:tcW w:w="1134" w:type="dxa"/>
            <w:gridSpan w:val="2"/>
          </w:tcPr>
          <w:p>
            <w:pPr>
              <w:pStyle w:val="nTable"/>
              <w:keepNext/>
              <w:keepLines/>
              <w:spacing w:after="40"/>
              <w:rPr>
                <w:sz w:val="19"/>
              </w:rPr>
            </w:pPr>
            <w:r>
              <w:rPr>
                <w:sz w:val="19"/>
              </w:rPr>
              <w:t>57 of 1997</w:t>
            </w:r>
          </w:p>
        </w:tc>
        <w:tc>
          <w:tcPr>
            <w:tcW w:w="1134" w:type="dxa"/>
            <w:gridSpan w:val="2"/>
          </w:tcPr>
          <w:p>
            <w:pPr>
              <w:pStyle w:val="nTable"/>
              <w:keepNext/>
              <w:keepLines/>
              <w:spacing w:after="40"/>
              <w:rPr>
                <w:sz w:val="19"/>
              </w:rPr>
            </w:pPr>
            <w:r>
              <w:rPr>
                <w:sz w:val="19"/>
              </w:rPr>
              <w:t>15 Dec 1997</w:t>
            </w:r>
          </w:p>
        </w:tc>
        <w:tc>
          <w:tcPr>
            <w:tcW w:w="2551" w:type="dxa"/>
          </w:tcPr>
          <w:p>
            <w:pPr>
              <w:pStyle w:val="nTable"/>
              <w:keepNext/>
              <w:keepLines/>
              <w:spacing w:after="40"/>
              <w:rPr>
                <w:sz w:val="19"/>
              </w:rPr>
            </w:pPr>
            <w:r>
              <w:rPr>
                <w:sz w:val="19"/>
              </w:rPr>
              <w:t>15 Dec 1997 (see s. 2(1))</w:t>
            </w:r>
          </w:p>
        </w:tc>
      </w:tr>
      <w:tr>
        <w:trPr>
          <w:gridBefore w:val="1"/>
          <w:wBefore w:w="12" w:type="dxa"/>
          <w:cantSplit/>
        </w:trPr>
        <w:tc>
          <w:tcPr>
            <w:tcW w:w="2268" w:type="dxa"/>
            <w:gridSpan w:val="2"/>
          </w:tcPr>
          <w:p>
            <w:pPr>
              <w:pStyle w:val="nTable"/>
              <w:spacing w:after="40"/>
              <w:ind w:right="113"/>
              <w:rPr>
                <w:i/>
                <w:sz w:val="19"/>
              </w:rPr>
            </w:pPr>
            <w:r>
              <w:rPr>
                <w:i/>
                <w:sz w:val="19"/>
              </w:rPr>
              <w:t>Petroleum Products Pricing Amendment Act 2000</w:t>
            </w:r>
          </w:p>
        </w:tc>
        <w:tc>
          <w:tcPr>
            <w:tcW w:w="1134" w:type="dxa"/>
            <w:gridSpan w:val="2"/>
          </w:tcPr>
          <w:p>
            <w:pPr>
              <w:pStyle w:val="nTable"/>
              <w:spacing w:after="40"/>
              <w:rPr>
                <w:sz w:val="19"/>
              </w:rPr>
            </w:pPr>
            <w:r>
              <w:rPr>
                <w:sz w:val="19"/>
              </w:rPr>
              <w:t>73 of 2000</w:t>
            </w:r>
          </w:p>
        </w:tc>
        <w:tc>
          <w:tcPr>
            <w:tcW w:w="1134" w:type="dxa"/>
            <w:gridSpan w:val="2"/>
          </w:tcPr>
          <w:p>
            <w:pPr>
              <w:pStyle w:val="nTable"/>
              <w:spacing w:after="40"/>
              <w:rPr>
                <w:sz w:val="19"/>
              </w:rPr>
            </w:pPr>
            <w:r>
              <w:rPr>
                <w:sz w:val="19"/>
              </w:rPr>
              <w:t>4 Dec 2000</w:t>
            </w:r>
          </w:p>
        </w:tc>
        <w:tc>
          <w:tcPr>
            <w:tcW w:w="2551" w:type="dxa"/>
          </w:tcPr>
          <w:p>
            <w:pPr>
              <w:pStyle w:val="nTable"/>
              <w:spacing w:after="40"/>
              <w:rPr>
                <w:sz w:val="19"/>
              </w:rPr>
            </w:pPr>
            <w:r>
              <w:rPr>
                <w:sz w:val="19"/>
              </w:rPr>
              <w:t>1 Jan 2001</w:t>
            </w:r>
          </w:p>
        </w:tc>
      </w:tr>
      <w:tr>
        <w:trPr>
          <w:gridBefore w:val="1"/>
          <w:wBefore w:w="12" w:type="dxa"/>
          <w:cantSplit/>
        </w:trPr>
        <w:tc>
          <w:tcPr>
            <w:tcW w:w="2268" w:type="dxa"/>
            <w:gridSpan w:val="2"/>
          </w:tcPr>
          <w:p>
            <w:pPr>
              <w:pStyle w:val="nTable"/>
              <w:spacing w:after="40"/>
              <w:ind w:right="113"/>
              <w:rPr>
                <w:sz w:val="19"/>
              </w:rPr>
            </w:pPr>
            <w:r>
              <w:rPr>
                <w:i/>
                <w:sz w:val="19"/>
              </w:rPr>
              <w:t>Petroleum Legislation Amendment Act 2001</w:t>
            </w:r>
            <w:r>
              <w:rPr>
                <w:sz w:val="19"/>
              </w:rPr>
              <w:t xml:space="preserve"> Pt. 3</w:t>
            </w:r>
          </w:p>
        </w:tc>
        <w:tc>
          <w:tcPr>
            <w:tcW w:w="1134" w:type="dxa"/>
            <w:gridSpan w:val="2"/>
          </w:tcPr>
          <w:p>
            <w:pPr>
              <w:pStyle w:val="nTable"/>
              <w:keepNext/>
              <w:keepLines/>
              <w:spacing w:after="40"/>
              <w:rPr>
                <w:sz w:val="19"/>
              </w:rPr>
            </w:pPr>
            <w:r>
              <w:rPr>
                <w:sz w:val="19"/>
              </w:rPr>
              <w:t>11 of 2001</w:t>
            </w:r>
          </w:p>
        </w:tc>
        <w:tc>
          <w:tcPr>
            <w:tcW w:w="1134" w:type="dxa"/>
            <w:gridSpan w:val="2"/>
          </w:tcPr>
          <w:p>
            <w:pPr>
              <w:pStyle w:val="nTable"/>
              <w:keepNext/>
              <w:keepLines/>
              <w:spacing w:after="40"/>
              <w:rPr>
                <w:sz w:val="19"/>
              </w:rPr>
            </w:pPr>
            <w:r>
              <w:rPr>
                <w:sz w:val="19"/>
              </w:rPr>
              <w:t>13 Jul 2001</w:t>
            </w:r>
          </w:p>
        </w:tc>
        <w:tc>
          <w:tcPr>
            <w:tcW w:w="2551" w:type="dxa"/>
          </w:tcPr>
          <w:p>
            <w:pPr>
              <w:pStyle w:val="nTable"/>
              <w:keepNext/>
              <w:keepLines/>
              <w:spacing w:after="40"/>
              <w:rPr>
                <w:sz w:val="19"/>
                <w:vertAlign w:val="superscript"/>
              </w:rPr>
            </w:pPr>
            <w:r>
              <w:rPr>
                <w:sz w:val="19"/>
              </w:rPr>
              <w:t xml:space="preserve">s. 20: 24 Aug 2001 (see s. 2(2) and </w:t>
            </w:r>
            <w:r>
              <w:rPr>
                <w:i/>
                <w:sz w:val="19"/>
              </w:rPr>
              <w:t>Gazette</w:t>
            </w:r>
            <w:r>
              <w:rPr>
                <w:sz w:val="19"/>
              </w:rPr>
              <w:t xml:space="preserve"> 23 Aug 2001 p. 4377);</w:t>
            </w:r>
            <w:r>
              <w:rPr>
                <w:sz w:val="19"/>
              </w:rPr>
              <w:br/>
              <w:t xml:space="preserve">balance: 1 Jan 2002 (see s. 2(1) and </w:t>
            </w:r>
            <w:r>
              <w:rPr>
                <w:i/>
                <w:sz w:val="19"/>
              </w:rPr>
              <w:t>Gazette</w:t>
            </w:r>
            <w:r>
              <w:rPr>
                <w:sz w:val="19"/>
              </w:rPr>
              <w:t xml:space="preserve"> 31 Dec 2001 p. 6761)</w:t>
            </w:r>
          </w:p>
        </w:tc>
      </w:tr>
      <w:tr>
        <w:trPr>
          <w:gridBefore w:val="1"/>
          <w:wBefore w:w="12" w:type="dxa"/>
          <w:cantSplit/>
        </w:trPr>
        <w:tc>
          <w:tcPr>
            <w:tcW w:w="7087" w:type="dxa"/>
            <w:gridSpan w:val="7"/>
          </w:tcPr>
          <w:p>
            <w:pPr>
              <w:pStyle w:val="nTable"/>
              <w:spacing w:after="40"/>
              <w:rPr>
                <w:sz w:val="19"/>
              </w:rPr>
            </w:pPr>
            <w:r>
              <w:rPr>
                <w:b/>
                <w:sz w:val="19"/>
              </w:rPr>
              <w:t xml:space="preserve">Reprint of the </w:t>
            </w:r>
            <w:r>
              <w:rPr>
                <w:b/>
                <w:i/>
                <w:sz w:val="19"/>
              </w:rPr>
              <w:t>Petroleum Products Pricing Act 1983</w:t>
            </w:r>
            <w:r>
              <w:rPr>
                <w:b/>
                <w:sz w:val="19"/>
              </w:rPr>
              <w:t xml:space="preserve"> as at 11 Jan 2002</w:t>
            </w:r>
            <w:r>
              <w:rPr>
                <w:b/>
                <w:sz w:val="19"/>
              </w:rPr>
              <w:br/>
            </w:r>
            <w:r>
              <w:rPr>
                <w:sz w:val="19"/>
              </w:rPr>
              <w:t xml:space="preserve">(includes amendments listed above)  (correction in </w:t>
            </w:r>
            <w:r>
              <w:rPr>
                <w:i/>
                <w:sz w:val="19"/>
              </w:rPr>
              <w:t>Gazette</w:t>
            </w:r>
            <w:r>
              <w:rPr>
                <w:sz w:val="19"/>
              </w:rPr>
              <w:t xml:space="preserve"> 20 Sep 2002 p. 4693)</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snapToGrid w:val="0"/>
                <w:sz w:val="19"/>
              </w:rPr>
            </w:pPr>
            <w:r>
              <w:rPr>
                <w:i/>
                <w:snapToGrid w:val="0"/>
                <w:sz w:val="19"/>
              </w:rPr>
              <w:t>Courts Legislation Amendment and Repeal Act 2004</w:t>
            </w:r>
            <w:r>
              <w:rPr>
                <w:snapToGrid w:val="0"/>
                <w:sz w:val="19"/>
              </w:rPr>
              <w:t xml:space="preserve"> s. 141</w:t>
            </w:r>
          </w:p>
        </w:tc>
        <w:tc>
          <w:tcPr>
            <w:tcW w:w="1134" w:type="dxa"/>
            <w:gridSpan w:val="2"/>
            <w:tcBorders>
              <w:top w:val="nil"/>
              <w:bottom w:val="nil"/>
            </w:tcBorders>
          </w:tcPr>
          <w:p>
            <w:pPr>
              <w:pStyle w:val="nTable"/>
              <w:spacing w:after="40"/>
              <w:rPr>
                <w:snapToGrid w:val="0"/>
                <w:sz w:val="19"/>
              </w:rPr>
            </w:pPr>
            <w:r>
              <w:rPr>
                <w:snapToGrid w:val="0"/>
                <w:sz w:val="19"/>
              </w:rPr>
              <w:t>59 of 2004</w:t>
            </w:r>
          </w:p>
        </w:tc>
        <w:tc>
          <w:tcPr>
            <w:tcW w:w="1134" w:type="dxa"/>
            <w:gridSpan w:val="2"/>
            <w:tcBorders>
              <w:top w:val="nil"/>
              <w:bottom w:val="nil"/>
            </w:tcBorders>
          </w:tcPr>
          <w:p>
            <w:pPr>
              <w:pStyle w:val="nTable"/>
              <w:spacing w:after="40"/>
              <w:rPr>
                <w:snapToGrid w:val="0"/>
                <w:sz w:val="19"/>
              </w:rPr>
            </w:pPr>
            <w:r>
              <w:rPr>
                <w:sz w:val="19"/>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gridSpan w:val="2"/>
            <w:tcBorders>
              <w:top w:val="nil"/>
              <w:bottom w:val="nil"/>
            </w:tcBorders>
          </w:tcPr>
          <w:p>
            <w:pPr>
              <w:pStyle w:val="nTable"/>
              <w:spacing w:after="40"/>
              <w:rPr>
                <w:snapToGrid w:val="0"/>
                <w:sz w:val="19"/>
              </w:rPr>
            </w:pPr>
            <w:r>
              <w:rPr>
                <w:snapToGrid w:val="0"/>
                <w:sz w:val="19"/>
              </w:rPr>
              <w:t>84 of 2004</w:t>
            </w:r>
          </w:p>
        </w:tc>
        <w:tc>
          <w:tcPr>
            <w:tcW w:w="1134" w:type="dxa"/>
            <w:gridSpan w:val="2"/>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sz w:val="19"/>
              </w:rPr>
            </w:pPr>
            <w:r>
              <w:rPr>
                <w:i/>
                <w:sz w:val="19"/>
              </w:rPr>
              <w:t>Oaths, Affidavits and Statutory Declarations (Consequential Provisions) Act 2005</w:t>
            </w:r>
            <w:r>
              <w:rPr>
                <w:sz w:val="19"/>
              </w:rPr>
              <w:t xml:space="preserve"> s. 63</w:t>
            </w:r>
          </w:p>
        </w:tc>
        <w:tc>
          <w:tcPr>
            <w:tcW w:w="1134" w:type="dxa"/>
            <w:gridSpan w:val="2"/>
            <w:tcBorders>
              <w:top w:val="nil"/>
              <w:bottom w:val="nil"/>
            </w:tcBorders>
          </w:tcPr>
          <w:p>
            <w:pPr>
              <w:pStyle w:val="nTable"/>
              <w:spacing w:after="40"/>
              <w:rPr>
                <w:snapToGrid w:val="0"/>
                <w:sz w:val="19"/>
              </w:rPr>
            </w:pPr>
            <w:r>
              <w:rPr>
                <w:sz w:val="19"/>
              </w:rPr>
              <w:t>24 of 2005</w:t>
            </w:r>
          </w:p>
        </w:tc>
        <w:tc>
          <w:tcPr>
            <w:tcW w:w="1134" w:type="dxa"/>
            <w:gridSpan w:val="2"/>
            <w:tcBorders>
              <w:top w:val="nil"/>
              <w:bottom w:val="nil"/>
            </w:tcBorders>
          </w:tcPr>
          <w:p>
            <w:pPr>
              <w:pStyle w:val="nTable"/>
              <w:spacing w:after="40"/>
              <w:rPr>
                <w:sz w:val="19"/>
              </w:rPr>
            </w:pPr>
            <w:r>
              <w:rPr>
                <w:sz w:val="19"/>
              </w:rPr>
              <w:t>2 Dec 2005</w:t>
            </w:r>
          </w:p>
        </w:tc>
        <w:tc>
          <w:tcPr>
            <w:tcW w:w="2551" w:type="dxa"/>
            <w:tcBorders>
              <w:top w:val="nil"/>
              <w:bottom w:val="nil"/>
            </w:tcBorders>
          </w:tcPr>
          <w:p>
            <w:pPr>
              <w:pStyle w:val="nTable"/>
              <w:spacing w:after="40"/>
              <w:rPr>
                <w:snapToGrid w:val="0"/>
                <w:sz w:val="19"/>
              </w:rPr>
            </w:pPr>
            <w:r>
              <w:rPr>
                <w:sz w:val="19"/>
              </w:rPr>
              <w:t xml:space="preserve">1 Jan 2006 (see s. 2(1) and </w:t>
            </w:r>
            <w:r>
              <w:rPr>
                <w:i/>
                <w:sz w:val="19"/>
              </w:rPr>
              <w:t>Gazette</w:t>
            </w:r>
            <w:r>
              <w:rPr>
                <w:sz w:val="19"/>
              </w:rPr>
              <w:t xml:space="preserve"> 23 Dec 2005 p. 6244)</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sz w:val="19"/>
              </w:rPr>
            </w:pPr>
            <w:r>
              <w:rPr>
                <w:i/>
                <w:snapToGrid w:val="0"/>
                <w:sz w:val="19"/>
              </w:rPr>
              <w:t xml:space="preserve">Machinery of Government (Miscellaneous Amendments) Act 2006 </w:t>
            </w:r>
            <w:r>
              <w:rPr>
                <w:snapToGrid w:val="0"/>
                <w:sz w:val="19"/>
              </w:rPr>
              <w:t xml:space="preserve">Pt. 4 Div. 17 </w:t>
            </w:r>
            <w:r>
              <w:rPr>
                <w:snapToGrid w:val="0"/>
                <w:sz w:val="19"/>
                <w:vertAlign w:val="superscript"/>
              </w:rPr>
              <w:t>3</w:t>
            </w:r>
          </w:p>
        </w:tc>
        <w:tc>
          <w:tcPr>
            <w:tcW w:w="1134" w:type="dxa"/>
            <w:gridSpan w:val="2"/>
            <w:tcBorders>
              <w:top w:val="nil"/>
              <w:bottom w:val="nil"/>
            </w:tcBorders>
          </w:tcPr>
          <w:p>
            <w:pPr>
              <w:pStyle w:val="nTable"/>
              <w:spacing w:after="40"/>
              <w:rPr>
                <w:snapToGrid w:val="0"/>
                <w:sz w:val="19"/>
              </w:rPr>
            </w:pPr>
            <w:r>
              <w:rPr>
                <w:snapToGrid w:val="0"/>
                <w:sz w:val="19"/>
              </w:rPr>
              <w:t>28 of 2006</w:t>
            </w:r>
          </w:p>
        </w:tc>
        <w:tc>
          <w:tcPr>
            <w:tcW w:w="1134" w:type="dxa"/>
            <w:gridSpan w:val="2"/>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blPrEx>
          <w:tblBorders>
            <w:top w:val="single" w:sz="4" w:space="0" w:color="auto"/>
            <w:bottom w:val="single" w:sz="4" w:space="0" w:color="auto"/>
            <w:insideH w:val="single" w:sz="4" w:space="0" w:color="auto"/>
          </w:tblBorders>
        </w:tblPrEx>
        <w:trPr>
          <w:gridBefore w:val="1"/>
          <w:wBefore w:w="12" w:type="dxa"/>
          <w:cantSplit/>
        </w:trPr>
        <w:tc>
          <w:tcPr>
            <w:tcW w:w="7087" w:type="dxa"/>
            <w:gridSpan w:val="7"/>
            <w:tcBorders>
              <w:top w:val="nil"/>
              <w:bottom w:val="nil"/>
            </w:tcBorders>
          </w:tcPr>
          <w:p>
            <w:pPr>
              <w:pStyle w:val="nTable"/>
              <w:spacing w:after="40"/>
              <w:rPr>
                <w:snapToGrid w:val="0"/>
                <w:sz w:val="19"/>
              </w:rPr>
            </w:pPr>
            <w:r>
              <w:rPr>
                <w:b/>
                <w:sz w:val="19"/>
              </w:rPr>
              <w:t xml:space="preserve">Reprint 2:  The </w:t>
            </w:r>
            <w:r>
              <w:rPr>
                <w:b/>
                <w:i/>
                <w:sz w:val="19"/>
              </w:rPr>
              <w:t>Petroleum Products Pricing Act 1983</w:t>
            </w:r>
            <w:r>
              <w:rPr>
                <w:b/>
                <w:sz w:val="19"/>
              </w:rPr>
              <w:t xml:space="preserve"> as at 13 Oct 2006</w:t>
            </w:r>
            <w:r>
              <w:rPr>
                <w:b/>
                <w:sz w:val="19"/>
              </w:rPr>
              <w:br/>
            </w:r>
            <w:r>
              <w:rPr>
                <w:sz w:val="19"/>
              </w:rPr>
              <w:t xml:space="preserve">(includes amendments listed above) </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sz w:val="19"/>
              </w:rPr>
            </w:pPr>
            <w:r>
              <w:rPr>
                <w:i/>
                <w:snapToGrid w:val="0"/>
                <w:sz w:val="19"/>
              </w:rPr>
              <w:t xml:space="preserve">Financial Legislation Amendment and Repeal Act 2006 </w:t>
            </w:r>
            <w:r>
              <w:rPr>
                <w:snapToGrid w:val="0"/>
                <w:sz w:val="19"/>
              </w:rPr>
              <w:t>s. 17</w:t>
            </w:r>
            <w:r>
              <w:rPr>
                <w:snapToGrid w:val="0"/>
                <w:sz w:val="19"/>
                <w:vertAlign w:val="superscript"/>
              </w:rPr>
              <w:t> 4</w:t>
            </w:r>
          </w:p>
        </w:tc>
        <w:tc>
          <w:tcPr>
            <w:tcW w:w="1134" w:type="dxa"/>
            <w:gridSpan w:val="2"/>
            <w:tcBorders>
              <w:top w:val="nil"/>
              <w:bottom w:val="nil"/>
            </w:tcBorders>
          </w:tcPr>
          <w:p>
            <w:pPr>
              <w:pStyle w:val="nTable"/>
              <w:spacing w:after="40"/>
              <w:rPr>
                <w:snapToGrid w:val="0"/>
                <w:sz w:val="19"/>
              </w:rPr>
            </w:pPr>
            <w:r>
              <w:rPr>
                <w:snapToGrid w:val="0"/>
                <w:sz w:val="19"/>
              </w:rPr>
              <w:t xml:space="preserve">77 of 2006 </w:t>
            </w:r>
          </w:p>
        </w:tc>
        <w:tc>
          <w:tcPr>
            <w:tcW w:w="1134" w:type="dxa"/>
            <w:gridSpan w:val="2"/>
            <w:tcBorders>
              <w:top w:val="nil"/>
              <w:bottom w:val="nil"/>
            </w:tcBorders>
          </w:tcPr>
          <w:p>
            <w:pPr>
              <w:pStyle w:val="nTable"/>
              <w:spacing w:after="40"/>
              <w:rPr>
                <w:sz w:val="19"/>
              </w:rPr>
            </w:pPr>
            <w:r>
              <w:rPr>
                <w:snapToGrid w:val="0"/>
                <w:sz w:val="19"/>
              </w:rPr>
              <w:t>21 Dec 2006</w:t>
            </w:r>
          </w:p>
        </w:tc>
        <w:tc>
          <w:tcPr>
            <w:tcW w:w="2551" w:type="dxa"/>
            <w:tcBorders>
              <w:top w:val="nil"/>
              <w:bottom w:val="nil"/>
            </w:tcBorders>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r>
        <w:tblPrEx>
          <w:tblCellMar>
            <w:left w:w="56" w:type="dxa"/>
            <w:right w:w="56" w:type="dxa"/>
          </w:tblCellMar>
        </w:tblPrEx>
        <w:trPr>
          <w:cantSplit/>
        </w:trPr>
        <w:tc>
          <w:tcPr>
            <w:tcW w:w="2254"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66</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77" w:type="dxa"/>
            <w:gridSpan w:val="2"/>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91" w:name="_Toc401155702"/>
      <w:r>
        <w:t>Provisions that have not come into operation</w:t>
      </w:r>
      <w:bookmarkEnd w:id="91"/>
    </w:p>
    <w:tbl>
      <w:tblPr>
        <w:tblW w:w="7156"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34"/>
        <w:gridCol w:w="1134"/>
        <w:gridCol w:w="2551"/>
        <w:gridCol w:w="64"/>
      </w:tblGrid>
      <w:tr>
        <w:tc>
          <w:tcPr>
            <w:tcW w:w="2268" w:type="dxa"/>
            <w:tcBorders>
              <w:bottom w:val="single" w:sz="4" w:space="0" w:color="auto"/>
            </w:tcBorders>
          </w:tcPr>
          <w:p>
            <w:pPr>
              <w:pStyle w:val="nTable"/>
              <w:keepNext/>
              <w:keepLines/>
              <w:spacing w:after="40"/>
              <w:rPr>
                <w:b/>
                <w:snapToGrid w:val="0"/>
                <w:sz w:val="19"/>
              </w:rPr>
            </w:pPr>
            <w:r>
              <w:rPr>
                <w:b/>
                <w:snapToGrid w:val="0"/>
                <w:sz w:val="19"/>
              </w:rPr>
              <w:t>Short title</w:t>
            </w:r>
          </w:p>
        </w:tc>
        <w:tc>
          <w:tcPr>
            <w:tcW w:w="1134" w:type="dxa"/>
            <w:tcBorders>
              <w:bottom w:val="single" w:sz="4" w:space="0" w:color="auto"/>
            </w:tcBorders>
          </w:tcPr>
          <w:p>
            <w:pPr>
              <w:pStyle w:val="nTable"/>
              <w:keepNext/>
              <w:keepLines/>
              <w:spacing w:after="40"/>
              <w:rPr>
                <w:b/>
                <w:snapToGrid w:val="0"/>
                <w:sz w:val="19"/>
              </w:rPr>
            </w:pPr>
            <w:r>
              <w:rPr>
                <w:b/>
                <w:snapToGrid w:val="0"/>
                <w:sz w:val="19"/>
              </w:rPr>
              <w:t>Number and year</w:t>
            </w:r>
          </w:p>
        </w:tc>
        <w:tc>
          <w:tcPr>
            <w:tcW w:w="1134" w:type="dxa"/>
            <w:tcBorders>
              <w:bottom w:val="single" w:sz="4" w:space="0" w:color="auto"/>
            </w:tcBorders>
          </w:tcPr>
          <w:p>
            <w:pPr>
              <w:pStyle w:val="nTable"/>
              <w:keepNext/>
              <w:keepLines/>
              <w:spacing w:after="40"/>
              <w:rPr>
                <w:b/>
                <w:snapToGrid w:val="0"/>
                <w:sz w:val="19"/>
              </w:rPr>
            </w:pPr>
            <w:r>
              <w:rPr>
                <w:b/>
                <w:snapToGrid w:val="0"/>
                <w:sz w:val="19"/>
              </w:rPr>
              <w:t>Assent</w:t>
            </w:r>
          </w:p>
        </w:tc>
        <w:tc>
          <w:tcPr>
            <w:tcW w:w="2615" w:type="dxa"/>
            <w:gridSpan w:val="2"/>
            <w:tcBorders>
              <w:bottom w:val="single" w:sz="4" w:space="0" w:color="auto"/>
            </w:tcBorders>
          </w:tcPr>
          <w:p>
            <w:pPr>
              <w:pStyle w:val="nTable"/>
              <w:keepNext/>
              <w:keepLines/>
              <w:spacing w:after="40"/>
              <w:rPr>
                <w:b/>
                <w:snapToGrid w:val="0"/>
                <w:sz w:val="19"/>
              </w:rPr>
            </w:pPr>
            <w:r>
              <w:rPr>
                <w:b/>
                <w:snapToGrid w:val="0"/>
                <w:sz w:val="19"/>
              </w:rPr>
              <w:t>Commencement</w:t>
            </w:r>
          </w:p>
        </w:tc>
      </w:tr>
      <w:tr>
        <w:tc>
          <w:tcPr>
            <w:tcW w:w="2268" w:type="dxa"/>
            <w:tcBorders>
              <w:top w:val="single" w:sz="4" w:space="0" w:color="auto"/>
              <w:bottom w:val="nil"/>
            </w:tcBorders>
          </w:tcPr>
          <w:p>
            <w:pPr>
              <w:pStyle w:val="nTable"/>
              <w:keepNext/>
              <w:keepLines/>
              <w:spacing w:after="40"/>
              <w:rPr>
                <w:snapToGrid w:val="0"/>
                <w:sz w:val="19"/>
                <w:vertAlign w:val="superscript"/>
              </w:rPr>
            </w:pPr>
            <w:r>
              <w:rPr>
                <w:i/>
                <w:snapToGrid w:val="0"/>
                <w:sz w:val="19"/>
              </w:rPr>
              <w:t xml:space="preserve">Road Traffic Legislation Amendment Act 2012 </w:t>
            </w:r>
            <w:r>
              <w:rPr>
                <w:snapToGrid w:val="0"/>
                <w:sz w:val="19"/>
              </w:rPr>
              <w:t>Pt. 4 Div. 40</w:t>
            </w:r>
            <w:r>
              <w:rPr>
                <w:snapToGrid w:val="0"/>
                <w:sz w:val="19"/>
                <w:vertAlign w:val="superscript"/>
              </w:rPr>
              <w:t> 6</w:t>
            </w:r>
          </w:p>
        </w:tc>
        <w:tc>
          <w:tcPr>
            <w:tcW w:w="1134" w:type="dxa"/>
            <w:tcBorders>
              <w:top w:val="single" w:sz="4" w:space="0" w:color="auto"/>
              <w:bottom w:val="nil"/>
            </w:tcBorders>
          </w:tcPr>
          <w:p>
            <w:pPr>
              <w:pStyle w:val="nTable"/>
              <w:keepNext/>
              <w:keepLines/>
              <w:spacing w:after="40"/>
              <w:rPr>
                <w:snapToGrid w:val="0"/>
                <w:sz w:val="19"/>
              </w:rPr>
            </w:pPr>
            <w:r>
              <w:rPr>
                <w:snapToGrid w:val="0"/>
                <w:sz w:val="19"/>
              </w:rPr>
              <w:t>8 of 2012</w:t>
            </w:r>
          </w:p>
        </w:tc>
        <w:tc>
          <w:tcPr>
            <w:tcW w:w="1134" w:type="dxa"/>
            <w:tcBorders>
              <w:top w:val="single" w:sz="4" w:space="0" w:color="auto"/>
              <w:bottom w:val="nil"/>
            </w:tcBorders>
          </w:tcPr>
          <w:p>
            <w:pPr>
              <w:pStyle w:val="nTable"/>
              <w:keepNext/>
              <w:keepLines/>
              <w:spacing w:after="40"/>
              <w:rPr>
                <w:snapToGrid w:val="0"/>
                <w:sz w:val="19"/>
              </w:rPr>
            </w:pPr>
            <w:r>
              <w:rPr>
                <w:sz w:val="19"/>
              </w:rPr>
              <w:t>21 May 2012</w:t>
            </w:r>
          </w:p>
        </w:tc>
        <w:tc>
          <w:tcPr>
            <w:tcW w:w="2615" w:type="dxa"/>
            <w:gridSpan w:val="2"/>
            <w:tcBorders>
              <w:top w:val="single" w:sz="4" w:space="0" w:color="auto"/>
              <w:bottom w:val="nil"/>
            </w:tcBorders>
          </w:tcPr>
          <w:p>
            <w:pPr>
              <w:pStyle w:val="nTable"/>
              <w:keepNext/>
              <w:keepLines/>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blPrEx>
          <w:tblCellMar>
            <w:left w:w="56" w:type="dxa"/>
            <w:right w:w="56" w:type="dxa"/>
          </w:tblCellMar>
        </w:tblPrEx>
        <w:trPr>
          <w:gridAfter w:val="1"/>
          <w:wAfter w:w="64" w:type="dxa"/>
          <w:cantSplit/>
        </w:trPr>
        <w:tc>
          <w:tcPr>
            <w:tcW w:w="2273" w:type="dxa"/>
            <w:tcBorders>
              <w:top w:val="nil"/>
              <w:bottom w:val="single" w:sz="4" w:space="0" w:color="auto"/>
            </w:tcBorders>
          </w:tcPr>
          <w:p>
            <w:pPr>
              <w:pStyle w:val="nTable"/>
              <w:spacing w:before="60" w:after="60"/>
              <w:ind w:right="113"/>
              <w:rPr>
                <w:sz w:val="19"/>
                <w:szCs w:val="19"/>
                <w:vertAlign w:val="superscript"/>
              </w:rPr>
            </w:pPr>
            <w:r>
              <w:rPr>
                <w:i/>
                <w:snapToGrid w:val="0"/>
                <w:sz w:val="19"/>
                <w:szCs w:val="19"/>
              </w:rPr>
              <w:t xml:space="preserve">Consumer Protection Legislation Amendment Act 2014 </w:t>
            </w:r>
            <w:r>
              <w:rPr>
                <w:snapToGrid w:val="0"/>
                <w:sz w:val="19"/>
                <w:szCs w:val="19"/>
              </w:rPr>
              <w:t>Pt. 9 </w:t>
            </w:r>
            <w:r>
              <w:rPr>
                <w:snapToGrid w:val="0"/>
                <w:sz w:val="19"/>
                <w:szCs w:val="19"/>
                <w:vertAlign w:val="superscript"/>
              </w:rPr>
              <w:t>7</w:t>
            </w:r>
          </w:p>
        </w:tc>
        <w:tc>
          <w:tcPr>
            <w:tcW w:w="1134" w:type="dxa"/>
            <w:tcBorders>
              <w:top w:val="nil"/>
              <w:bottom w:val="single" w:sz="4" w:space="0" w:color="auto"/>
            </w:tcBorders>
          </w:tcPr>
          <w:p>
            <w:pPr>
              <w:pStyle w:val="nTable"/>
              <w:spacing w:before="60" w:after="60"/>
              <w:rPr>
                <w:sz w:val="19"/>
                <w:szCs w:val="19"/>
              </w:rPr>
            </w:pPr>
            <w:r>
              <w:rPr>
                <w:sz w:val="19"/>
                <w:szCs w:val="19"/>
              </w:rPr>
              <w:t>23 of 2014</w:t>
            </w:r>
          </w:p>
        </w:tc>
        <w:tc>
          <w:tcPr>
            <w:tcW w:w="1134" w:type="dxa"/>
            <w:tcBorders>
              <w:top w:val="nil"/>
              <w:bottom w:val="single" w:sz="4" w:space="0" w:color="auto"/>
            </w:tcBorders>
          </w:tcPr>
          <w:p>
            <w:pPr>
              <w:pStyle w:val="nTable"/>
              <w:spacing w:before="60" w:after="60"/>
              <w:rPr>
                <w:sz w:val="19"/>
                <w:szCs w:val="19"/>
              </w:rPr>
            </w:pPr>
            <w:r>
              <w:rPr>
                <w:sz w:val="19"/>
                <w:szCs w:val="19"/>
              </w:rPr>
              <w:t>9 Oct 2014</w:t>
            </w:r>
          </w:p>
        </w:tc>
        <w:tc>
          <w:tcPr>
            <w:tcW w:w="2551" w:type="dxa"/>
            <w:tcBorders>
              <w:top w:val="nil"/>
              <w:bottom w:val="single" w:sz="4" w:space="0" w:color="auto"/>
            </w:tcBorders>
          </w:tcPr>
          <w:p>
            <w:pPr>
              <w:pStyle w:val="nTable"/>
              <w:spacing w:before="60" w:after="60"/>
              <w:rPr>
                <w:sz w:val="19"/>
                <w:szCs w:val="19"/>
              </w:rPr>
            </w:pPr>
            <w:r>
              <w:rPr>
                <w:sz w:val="19"/>
                <w:szCs w:val="19"/>
              </w:rPr>
              <w:t>To be proclaimed (see s. 2(b))</w:t>
            </w:r>
          </w:p>
        </w:tc>
      </w:tr>
    </w:tbl>
    <w:p>
      <w:pPr>
        <w:pStyle w:val="nSubsection"/>
        <w:spacing w:before="160"/>
      </w:pPr>
      <w:r>
        <w:rPr>
          <w:vertAlign w:val="superscript"/>
        </w:rPr>
        <w:t>2</w:t>
      </w:r>
      <w:r>
        <w:tab/>
        <w:t xml:space="preserve">Now known as the </w:t>
      </w:r>
      <w:r>
        <w:rPr>
          <w:i/>
        </w:rPr>
        <w:t>Petroleum Products Pricing Act 1983</w:t>
      </w:r>
      <w:r>
        <w:t>; short title changed (see note under s. 1).</w:t>
      </w:r>
    </w:p>
    <w:p>
      <w:pPr>
        <w:pStyle w:val="nSubsection"/>
        <w:keepNext/>
      </w:pPr>
      <w:r>
        <w:rPr>
          <w:vertAlign w:val="superscript"/>
        </w:rPr>
        <w:t>3</w:t>
      </w:r>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pPr>
      <w:r>
        <w:rPr>
          <w:vertAlign w:val="superscript"/>
        </w:rPr>
        <w:t>4</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pPr>
        <w:pStyle w:val="nSubsection"/>
      </w:pPr>
      <w:r>
        <w:rPr>
          <w:vertAlign w:val="superscript"/>
        </w:rPr>
        <w:t>5</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pStyle w:val="nSubsection"/>
        <w:keepNext/>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40 had not come into operation.  It reads as follows:</w:t>
      </w:r>
    </w:p>
    <w:p>
      <w:pPr>
        <w:pStyle w:val="BlankOpen"/>
        <w:rPr>
          <w:snapToGrid w:val="0"/>
        </w:rPr>
      </w:pPr>
    </w:p>
    <w:p>
      <w:pPr>
        <w:pStyle w:val="nzHeading3"/>
      </w:pPr>
      <w:r>
        <w:rPr>
          <w:rStyle w:val="CharDivNo"/>
        </w:rPr>
        <w:t>Division 40</w:t>
      </w:r>
      <w:r>
        <w:t> — </w:t>
      </w:r>
      <w:r>
        <w:rPr>
          <w:rStyle w:val="CharDivText"/>
          <w:i/>
          <w:iCs/>
        </w:rPr>
        <w:t>Petroleum Products Pricing Act 1983</w:t>
      </w:r>
      <w:r>
        <w:rPr>
          <w:rStyle w:val="CharDivText"/>
        </w:rPr>
        <w:t xml:space="preserve"> amended</w:t>
      </w:r>
    </w:p>
    <w:p>
      <w:pPr>
        <w:pStyle w:val="nzHeading5"/>
        <w:rPr>
          <w:snapToGrid w:val="0"/>
        </w:rPr>
      </w:pPr>
      <w:r>
        <w:rPr>
          <w:rStyle w:val="CharSectno"/>
        </w:rPr>
        <w:t>158</w:t>
      </w:r>
      <w:r>
        <w:rPr>
          <w:snapToGrid w:val="0"/>
        </w:rPr>
        <w:t>.</w:t>
      </w:r>
      <w:r>
        <w:rPr>
          <w:snapToGrid w:val="0"/>
        </w:rPr>
        <w:tab/>
        <w:t>Act amended</w:t>
      </w:r>
    </w:p>
    <w:p>
      <w:pPr>
        <w:pStyle w:val="nzSubsection"/>
      </w:pPr>
      <w:r>
        <w:tab/>
      </w:r>
      <w:r>
        <w:tab/>
        <w:t xml:space="preserve">This Division amends the </w:t>
      </w:r>
      <w:r>
        <w:rPr>
          <w:i/>
        </w:rPr>
        <w:t>Petroleum Products Pricing Act 1983</w:t>
      </w:r>
      <w:r>
        <w:t>.</w:t>
      </w:r>
    </w:p>
    <w:p>
      <w:pPr>
        <w:pStyle w:val="nzHeading5"/>
      </w:pPr>
      <w:r>
        <w:rPr>
          <w:rStyle w:val="CharSectno"/>
        </w:rPr>
        <w:t>159</w:t>
      </w:r>
      <w:r>
        <w:t>.</w:t>
      </w:r>
      <w:r>
        <w:tab/>
        <w:t>Section 3 amended</w:t>
      </w:r>
    </w:p>
    <w:p>
      <w:pPr>
        <w:pStyle w:val="nzSubsection"/>
      </w:pPr>
      <w:r>
        <w:tab/>
      </w:r>
      <w:r>
        <w:tab/>
        <w:t xml:space="preserve">In section 3(1) in the definition of </w:t>
      </w:r>
      <w:r>
        <w:rPr>
          <w:b/>
          <w:bCs/>
          <w:i/>
          <w:iCs/>
        </w:rPr>
        <w:t>motor vehicle</w:t>
      </w:r>
      <w:r>
        <w:t xml:space="preserve"> delete “section 5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4;</w:t>
      </w:r>
    </w:p>
    <w:p>
      <w:pPr>
        <w:pStyle w:val="BlankClose"/>
      </w:pP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9 had not come into operation.  It reads as follows:</w:t>
      </w:r>
    </w:p>
    <w:p>
      <w:pPr>
        <w:pStyle w:val="BlankClose"/>
      </w:pPr>
    </w:p>
    <w:p>
      <w:pPr>
        <w:pStyle w:val="nzHeading2"/>
      </w:pPr>
      <w:bookmarkStart w:id="92" w:name="_Toc370214242"/>
      <w:bookmarkStart w:id="93" w:name="_Toc370214400"/>
      <w:bookmarkStart w:id="94" w:name="_Toc370214558"/>
      <w:bookmarkStart w:id="95" w:name="_Toc370214716"/>
      <w:bookmarkStart w:id="96" w:name="_Toc370214874"/>
      <w:bookmarkStart w:id="97" w:name="_Toc370215698"/>
      <w:bookmarkStart w:id="98" w:name="_Toc370296553"/>
      <w:bookmarkStart w:id="99" w:name="_Toc370296711"/>
      <w:bookmarkStart w:id="100" w:name="_Toc370301856"/>
      <w:bookmarkStart w:id="101" w:name="_Toc370306279"/>
      <w:bookmarkStart w:id="102" w:name="_Toc399494820"/>
      <w:bookmarkStart w:id="103" w:name="_Toc401136892"/>
      <w:bookmarkStart w:id="104" w:name="_Toc401137552"/>
      <w:r>
        <w:rPr>
          <w:rStyle w:val="CharPartNo"/>
        </w:rPr>
        <w:t>Part 9</w:t>
      </w:r>
      <w:r>
        <w:rPr>
          <w:rStyle w:val="CharDivNo"/>
        </w:rPr>
        <w:t> </w:t>
      </w:r>
      <w:r>
        <w:t>—</w:t>
      </w:r>
      <w:r>
        <w:rPr>
          <w:rStyle w:val="CharDivText"/>
        </w:rPr>
        <w:t> </w:t>
      </w:r>
      <w:r>
        <w:rPr>
          <w:rStyle w:val="CharPartText"/>
          <w:i/>
        </w:rPr>
        <w:t>Petroleum Products Pricing Act 1983</w:t>
      </w:r>
      <w:r>
        <w:rPr>
          <w:rStyle w:val="CharPartText"/>
        </w:rPr>
        <w:t> amended</w:t>
      </w:r>
      <w:bookmarkEnd w:id="92"/>
      <w:bookmarkEnd w:id="93"/>
      <w:bookmarkEnd w:id="94"/>
      <w:bookmarkEnd w:id="95"/>
      <w:bookmarkEnd w:id="96"/>
      <w:bookmarkEnd w:id="97"/>
      <w:bookmarkEnd w:id="98"/>
      <w:bookmarkEnd w:id="99"/>
      <w:bookmarkEnd w:id="100"/>
      <w:bookmarkEnd w:id="101"/>
      <w:bookmarkEnd w:id="102"/>
      <w:bookmarkEnd w:id="103"/>
      <w:bookmarkEnd w:id="104"/>
    </w:p>
    <w:p>
      <w:pPr>
        <w:pStyle w:val="nzHeading5"/>
      </w:pPr>
      <w:bookmarkStart w:id="105" w:name="_Toc401136893"/>
      <w:bookmarkStart w:id="106" w:name="_Toc401137553"/>
      <w:r>
        <w:rPr>
          <w:rStyle w:val="CharSectno"/>
        </w:rPr>
        <w:t>63</w:t>
      </w:r>
      <w:r>
        <w:t>.</w:t>
      </w:r>
      <w:r>
        <w:tab/>
        <w:t>Act amended</w:t>
      </w:r>
      <w:bookmarkEnd w:id="105"/>
      <w:bookmarkEnd w:id="106"/>
    </w:p>
    <w:p>
      <w:pPr>
        <w:pStyle w:val="nzSubsection"/>
      </w:pPr>
      <w:r>
        <w:tab/>
      </w:r>
      <w:r>
        <w:tab/>
        <w:t xml:space="preserve">This Part amends the </w:t>
      </w:r>
      <w:r>
        <w:rPr>
          <w:i/>
        </w:rPr>
        <w:t>Petroleum Products Pricing Act 1983</w:t>
      </w:r>
      <w:r>
        <w:t>.</w:t>
      </w:r>
    </w:p>
    <w:p>
      <w:pPr>
        <w:pStyle w:val="nzHeading5"/>
      </w:pPr>
      <w:bookmarkStart w:id="107" w:name="_Toc401136894"/>
      <w:bookmarkStart w:id="108" w:name="_Toc401137554"/>
      <w:r>
        <w:rPr>
          <w:rStyle w:val="CharSectno"/>
        </w:rPr>
        <w:t>64</w:t>
      </w:r>
      <w:r>
        <w:t>.</w:t>
      </w:r>
      <w:r>
        <w:tab/>
        <w:t>Section 22A amended</w:t>
      </w:r>
      <w:bookmarkEnd w:id="107"/>
      <w:bookmarkEnd w:id="108"/>
    </w:p>
    <w:p>
      <w:pPr>
        <w:pStyle w:val="nzSubsection"/>
      </w:pPr>
      <w:r>
        <w:tab/>
        <w:t>(1)</w:t>
      </w:r>
      <w:r>
        <w:tab/>
        <w:t xml:space="preserve">In section 22A(1) delete the definition of </w:t>
      </w:r>
      <w:r>
        <w:rPr>
          <w:b/>
          <w:i/>
        </w:rPr>
        <w:t>displayed price</w:t>
      </w:r>
      <w:r>
        <w:t>.</w:t>
      </w:r>
    </w:p>
    <w:p>
      <w:pPr>
        <w:pStyle w:val="nzSubsection"/>
      </w:pPr>
      <w:r>
        <w:tab/>
        <w:t>(2)</w:t>
      </w:r>
      <w:r>
        <w:tab/>
        <w:t>In section 22A(1) insert in alphabetical order:</w:t>
      </w:r>
    </w:p>
    <w:p>
      <w:pPr>
        <w:pStyle w:val="BlankOpen"/>
      </w:pPr>
    </w:p>
    <w:p>
      <w:pPr>
        <w:pStyle w:val="nzDefstart"/>
      </w:pPr>
      <w:r>
        <w:tab/>
      </w:r>
      <w:r>
        <w:rPr>
          <w:rStyle w:val="CharDefText"/>
        </w:rPr>
        <w:t>relevant price</w:t>
      </w:r>
      <w:r>
        <w:t xml:space="preserve">, for a kind of motor fuel, means the price for that kind of motor fuel that would apply if a supplier of the motor fuel from a declared terminal were to make a wholesale sale of the motor fuel to a reseller who — </w:t>
      </w:r>
    </w:p>
    <w:p>
      <w:pPr>
        <w:pStyle w:val="nzDefpara"/>
      </w:pPr>
      <w:r>
        <w:tab/>
        <w:t>(a)</w:t>
      </w:r>
      <w:r>
        <w:tab/>
        <w:t>was not the subject of any agreement or arrangement affecting price; and</w:t>
      </w:r>
    </w:p>
    <w:p>
      <w:pPr>
        <w:pStyle w:val="nzDefpara"/>
      </w:pPr>
      <w:r>
        <w:tab/>
        <w:t>(b)</w:t>
      </w:r>
      <w:r>
        <w:tab/>
        <w:t>took delivery of the motor fuel at the terminal from which it was supplied;</w:t>
      </w:r>
    </w:p>
    <w:p>
      <w:pPr>
        <w:pStyle w:val="BlankClose"/>
      </w:pPr>
    </w:p>
    <w:p>
      <w:pPr>
        <w:pStyle w:val="nzHeading5"/>
      </w:pPr>
      <w:bookmarkStart w:id="109" w:name="_Toc401136895"/>
      <w:bookmarkStart w:id="110" w:name="_Toc401137555"/>
      <w:r>
        <w:rPr>
          <w:rStyle w:val="CharSectno"/>
        </w:rPr>
        <w:t>65</w:t>
      </w:r>
      <w:r>
        <w:t>.</w:t>
      </w:r>
      <w:r>
        <w:tab/>
        <w:t>Section 22B replaced</w:t>
      </w:r>
      <w:bookmarkEnd w:id="109"/>
      <w:bookmarkEnd w:id="110"/>
    </w:p>
    <w:p>
      <w:pPr>
        <w:pStyle w:val="nzSubsection"/>
      </w:pPr>
      <w:r>
        <w:tab/>
      </w:r>
      <w:r>
        <w:tab/>
        <w:t>Delete section 22B and insert:</w:t>
      </w:r>
    </w:p>
    <w:p>
      <w:pPr>
        <w:pStyle w:val="BlankOpen"/>
      </w:pPr>
    </w:p>
    <w:p>
      <w:pPr>
        <w:pStyle w:val="nzHeading5"/>
      </w:pPr>
      <w:bookmarkStart w:id="111" w:name="_Toc401136896"/>
      <w:bookmarkStart w:id="112" w:name="_Toc401137556"/>
      <w:r>
        <w:t>22B.</w:t>
      </w:r>
      <w:r>
        <w:tab/>
        <w:t>Commissioner to be notified of proposed price changes</w:t>
      </w:r>
      <w:bookmarkEnd w:id="111"/>
      <w:bookmarkEnd w:id="112"/>
    </w:p>
    <w:p>
      <w:pPr>
        <w:pStyle w:val="nzSubsection"/>
      </w:pPr>
      <w:r>
        <w:tab/>
      </w:r>
      <w:r>
        <w:tab/>
        <w:t xml:space="preserve">Whenever the relevant price for a kind of motor fuel supplied from a declared terminal is proposed to be changed, the supplier of the motor fuel is required to notify the Commissioner of the proposed price change — </w:t>
      </w:r>
    </w:p>
    <w:p>
      <w:pPr>
        <w:pStyle w:val="nzIndenta"/>
      </w:pPr>
      <w:r>
        <w:tab/>
        <w:t>(a)</w:t>
      </w:r>
      <w:r>
        <w:tab/>
        <w:t>before the proposed price change has effect; and</w:t>
      </w:r>
    </w:p>
    <w:p>
      <w:pPr>
        <w:pStyle w:val="nzIndenta"/>
      </w:pPr>
      <w:r>
        <w:tab/>
        <w:t>(b)</w:t>
      </w:r>
      <w:r>
        <w:tab/>
        <w:t>in accordance with the provisions of any regulations that apply to that notification.</w:t>
      </w:r>
    </w:p>
    <w:p>
      <w:pPr>
        <w:pStyle w:val="nzPenstart"/>
      </w:pPr>
      <w:r>
        <w:tab/>
        <w:t>Penalty: a fine of $20 000.</w:t>
      </w:r>
    </w:p>
    <w:p>
      <w:pPr>
        <w:pStyle w:val="BlankClose"/>
      </w:pPr>
    </w:p>
    <w:p>
      <w:pPr>
        <w:pStyle w:val="nzHeading5"/>
      </w:pPr>
      <w:bookmarkStart w:id="113" w:name="_Toc401136897"/>
      <w:bookmarkStart w:id="114" w:name="_Toc401137557"/>
      <w:r>
        <w:rPr>
          <w:rStyle w:val="CharSectno"/>
        </w:rPr>
        <w:t>66</w:t>
      </w:r>
      <w:r>
        <w:t>.</w:t>
      </w:r>
      <w:r>
        <w:tab/>
        <w:t>Sections 22C and 22D deleted</w:t>
      </w:r>
      <w:bookmarkEnd w:id="113"/>
      <w:bookmarkEnd w:id="114"/>
    </w:p>
    <w:p>
      <w:pPr>
        <w:pStyle w:val="nzSubsection"/>
      </w:pPr>
      <w:r>
        <w:tab/>
      </w:r>
      <w:r>
        <w:tab/>
        <w:t>Delete sections 22C and 22D.</w:t>
      </w:r>
    </w:p>
    <w:p>
      <w:pPr>
        <w:pStyle w:val="nzHeading5"/>
      </w:pPr>
      <w:bookmarkStart w:id="115" w:name="_Toc401136898"/>
      <w:bookmarkStart w:id="116" w:name="_Toc401137558"/>
      <w:r>
        <w:rPr>
          <w:rStyle w:val="CharSectno"/>
        </w:rPr>
        <w:t>67</w:t>
      </w:r>
      <w:r>
        <w:t>.</w:t>
      </w:r>
      <w:r>
        <w:tab/>
        <w:t>Section 22E amended</w:t>
      </w:r>
      <w:bookmarkEnd w:id="115"/>
      <w:bookmarkEnd w:id="116"/>
    </w:p>
    <w:p>
      <w:pPr>
        <w:pStyle w:val="nzSubsection"/>
      </w:pPr>
      <w:r>
        <w:tab/>
      </w:r>
      <w:r>
        <w:tab/>
        <w:t>In section 22E(1)(c), (2)(a) and (c) and (4) delete “displayed” (each occurrence) and insert:</w:t>
      </w:r>
    </w:p>
    <w:p>
      <w:pPr>
        <w:pStyle w:val="BlankOpen"/>
      </w:pPr>
    </w:p>
    <w:p>
      <w:pPr>
        <w:pStyle w:val="nzSubsection"/>
      </w:pPr>
      <w:r>
        <w:tab/>
      </w:r>
      <w:r>
        <w:tab/>
        <w:t>relevant</w:t>
      </w:r>
    </w:p>
    <w:p>
      <w:pPr>
        <w:pStyle w:val="BlankClose"/>
      </w:pPr>
    </w:p>
    <w:p>
      <w:pPr>
        <w:pStyle w:val="BlankClose"/>
      </w:pPr>
    </w:p>
    <w:p>
      <w:pPr>
        <w:rPr>
          <w:sz w:val="20"/>
        </w:rPr>
      </w:pPr>
    </w:p>
    <w:p>
      <w:pPr>
        <w:rPr>
          <w:sz w:val="20"/>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rPr>
          <w:sz w:val="28"/>
        </w:rPr>
      </w:pPr>
      <w:bookmarkStart w:id="117" w:name="_Toc401155474"/>
      <w:bookmarkStart w:id="118" w:name="_Toc401155703"/>
      <w:r>
        <w:rPr>
          <w:sz w:val="28"/>
        </w:rPr>
        <w:t>Defined terms</w:t>
      </w:r>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119" w:name="DefinedTerms"/>
      <w:bookmarkEnd w:id="119"/>
      <w:r>
        <w:t>authorised person</w:t>
      </w:r>
      <w:r>
        <w:tab/>
        <w:t>31A</w:t>
      </w:r>
    </w:p>
    <w:p>
      <w:pPr>
        <w:pStyle w:val="DefinedTerms"/>
      </w:pPr>
      <w:r>
        <w:t>calendar month</w:t>
      </w:r>
      <w:r>
        <w:tab/>
        <w:t>22C(2)</w:t>
      </w:r>
    </w:p>
    <w:p>
      <w:pPr>
        <w:pStyle w:val="DefinedTerms"/>
      </w:pPr>
      <w:r>
        <w:t>Commissioner</w:t>
      </w:r>
      <w:r>
        <w:tab/>
        <w:t>3(1)</w:t>
      </w:r>
    </w:p>
    <w:p>
      <w:pPr>
        <w:pStyle w:val="DefinedTerms"/>
      </w:pPr>
      <w:r>
        <w:t>committee</w:t>
      </w:r>
      <w:r>
        <w:tab/>
        <w:t>3(1)</w:t>
      </w:r>
    </w:p>
    <w:p>
      <w:pPr>
        <w:pStyle w:val="DefinedTerms"/>
      </w:pPr>
      <w:r>
        <w:t>consumer representative</w:t>
      </w:r>
      <w:r>
        <w:tab/>
        <w:t>8(7)</w:t>
      </w:r>
    </w:p>
    <w:p>
      <w:pPr>
        <w:pStyle w:val="DefinedTerms"/>
      </w:pPr>
      <w:r>
        <w:t>controlled petroleum product</w:t>
      </w:r>
      <w:r>
        <w:tab/>
        <w:t>3(1)</w:t>
      </w:r>
    </w:p>
    <w:p>
      <w:pPr>
        <w:pStyle w:val="DefinedTerms"/>
      </w:pPr>
      <w:r>
        <w:t>controlled petroleum service</w:t>
      </w:r>
      <w:r>
        <w:tab/>
        <w:t>3(1)</w:t>
      </w:r>
    </w:p>
    <w:p>
      <w:pPr>
        <w:pStyle w:val="DefinedTerms"/>
      </w:pPr>
      <w:r>
        <w:t>date of fixation</w:t>
      </w:r>
      <w:r>
        <w:tab/>
        <w:t>16(4)</w:t>
      </w:r>
    </w:p>
    <w:p>
      <w:pPr>
        <w:pStyle w:val="DefinedTerms"/>
      </w:pPr>
      <w:r>
        <w:t>declared petroleum product</w:t>
      </w:r>
      <w:r>
        <w:tab/>
        <w:t>3(1)</w:t>
      </w:r>
    </w:p>
    <w:p>
      <w:pPr>
        <w:pStyle w:val="DefinedTerms"/>
      </w:pPr>
      <w:r>
        <w:t>declared petroleum service</w:t>
      </w:r>
      <w:r>
        <w:tab/>
        <w:t>3(1)</w:t>
      </w:r>
    </w:p>
    <w:p>
      <w:pPr>
        <w:pStyle w:val="DefinedTerms"/>
      </w:pPr>
      <w:r>
        <w:t>declared terminal</w:t>
      </w:r>
      <w:r>
        <w:tab/>
        <w:t>22A(1)</w:t>
      </w:r>
    </w:p>
    <w:p>
      <w:pPr>
        <w:pStyle w:val="DefinedTerms"/>
      </w:pPr>
      <w:r>
        <w:t>Department</w:t>
      </w:r>
      <w:r>
        <w:tab/>
        <w:t>3(1)</w:t>
      </w:r>
    </w:p>
    <w:p>
      <w:pPr>
        <w:pStyle w:val="DefinedTerms"/>
      </w:pPr>
      <w:r>
        <w:t>dispensing equipment</w:t>
      </w:r>
      <w:r>
        <w:tab/>
        <w:t>3(1)</w:t>
      </w:r>
    </w:p>
    <w:p>
      <w:pPr>
        <w:pStyle w:val="DefinedTerms"/>
      </w:pPr>
      <w:r>
        <w:t>displayed price</w:t>
      </w:r>
      <w:r>
        <w:tab/>
        <w:t>22A(1)</w:t>
      </w:r>
    </w:p>
    <w:p>
      <w:pPr>
        <w:pStyle w:val="DefinedTerms"/>
      </w:pPr>
      <w:r>
        <w:t>documents</w:t>
      </w:r>
      <w:r>
        <w:tab/>
        <w:t>3(1)</w:t>
      </w:r>
    </w:p>
    <w:p>
      <w:pPr>
        <w:pStyle w:val="DefinedTerms"/>
      </w:pPr>
      <w:r>
        <w:t>executive officer</w:t>
      </w:r>
      <w:r>
        <w:tab/>
        <w:t>5(3)</w:t>
      </w:r>
    </w:p>
    <w:p>
      <w:pPr>
        <w:pStyle w:val="DefinedTerms"/>
      </w:pPr>
      <w:r>
        <w:t>franchise agreement</w:t>
      </w:r>
      <w:r>
        <w:tab/>
        <w:t>3(1)</w:t>
      </w:r>
    </w:p>
    <w:p>
      <w:pPr>
        <w:pStyle w:val="DefinedTerms"/>
      </w:pPr>
      <w:r>
        <w:t>kind of motor fuel</w:t>
      </w:r>
      <w:r>
        <w:tab/>
        <w:t>22A(1), 22H</w:t>
      </w:r>
    </w:p>
    <w:p>
      <w:pPr>
        <w:pStyle w:val="DefinedTerms"/>
      </w:pPr>
      <w:r>
        <w:t>landed cost</w:t>
      </w:r>
      <w:r>
        <w:tab/>
        <w:t>3(1)</w:t>
      </w:r>
    </w:p>
    <w:p>
      <w:pPr>
        <w:pStyle w:val="DefinedTerms"/>
      </w:pPr>
      <w:r>
        <w:t>LPG</w:t>
      </w:r>
      <w:r>
        <w:tab/>
        <w:t>3(1)</w:t>
      </w:r>
    </w:p>
    <w:p>
      <w:pPr>
        <w:pStyle w:val="DefinedTerms"/>
      </w:pPr>
      <w:r>
        <w:t>motor fuel</w:t>
      </w:r>
      <w:r>
        <w:tab/>
        <w:t>3(1)</w:t>
      </w:r>
    </w:p>
    <w:p>
      <w:pPr>
        <w:pStyle w:val="DefinedTerms"/>
      </w:pPr>
      <w:r>
        <w:t>motor vehicle</w:t>
      </w:r>
      <w:r>
        <w:tab/>
        <w:t>3(1)</w:t>
      </w:r>
    </w:p>
    <w:p>
      <w:pPr>
        <w:pStyle w:val="DefinedTerms"/>
      </w:pPr>
      <w:r>
        <w:t>offer</w:t>
      </w:r>
      <w:r>
        <w:tab/>
        <w:t>22A(1)</w:t>
      </w:r>
    </w:p>
    <w:p>
      <w:pPr>
        <w:pStyle w:val="DefinedTerms"/>
      </w:pPr>
      <w:r>
        <w:t>officer</w:t>
      </w:r>
      <w:r>
        <w:tab/>
        <w:t>31H(3)</w:t>
      </w:r>
    </w:p>
    <w:p>
      <w:pPr>
        <w:pStyle w:val="DefinedTerms"/>
      </w:pPr>
      <w:r>
        <w:t>order</w:t>
      </w:r>
      <w:r>
        <w:tab/>
        <w:t>3(1)</w:t>
      </w:r>
    </w:p>
    <w:p>
      <w:pPr>
        <w:pStyle w:val="DefinedTerms"/>
      </w:pPr>
      <w:r>
        <w:t>paragraph</w:t>
      </w:r>
      <w:r>
        <w:tab/>
        <w:t>3(1)</w:t>
      </w:r>
    </w:p>
    <w:p>
      <w:pPr>
        <w:pStyle w:val="DefinedTerms"/>
      </w:pPr>
      <w:r>
        <w:t>Part</w:t>
      </w:r>
      <w:r>
        <w:tab/>
        <w:t>3(1)</w:t>
      </w:r>
    </w:p>
    <w:p>
      <w:pPr>
        <w:pStyle w:val="DefinedTerms"/>
      </w:pPr>
      <w:r>
        <w:t>petroleum</w:t>
      </w:r>
      <w:r>
        <w:tab/>
        <w:t>3(1)</w:t>
      </w:r>
    </w:p>
    <w:p>
      <w:pPr>
        <w:pStyle w:val="DefinedTerms"/>
      </w:pPr>
      <w:r>
        <w:t>petroleum product</w:t>
      </w:r>
      <w:r>
        <w:tab/>
        <w:t>3(1)</w:t>
      </w:r>
    </w:p>
    <w:p>
      <w:pPr>
        <w:pStyle w:val="DefinedTerms"/>
      </w:pPr>
      <w:r>
        <w:t>petroleum service</w:t>
      </w:r>
      <w:r>
        <w:tab/>
        <w:t>3(1)</w:t>
      </w:r>
    </w:p>
    <w:p>
      <w:pPr>
        <w:pStyle w:val="DefinedTerms"/>
      </w:pPr>
      <w:r>
        <w:t>prescribed</w:t>
      </w:r>
      <w:r>
        <w:tab/>
        <w:t>31A</w:t>
      </w:r>
    </w:p>
    <w:p>
      <w:pPr>
        <w:pStyle w:val="DefinedTerms"/>
      </w:pPr>
      <w:r>
        <w:t>previous month</w:t>
      </w:r>
      <w:r>
        <w:tab/>
        <w:t>22C(2)</w:t>
      </w:r>
    </w:p>
    <w:p>
      <w:pPr>
        <w:pStyle w:val="DefinedTerms"/>
      </w:pPr>
      <w:r>
        <w:t>price</w:t>
      </w:r>
      <w:r>
        <w:tab/>
        <w:t>3(1)</w:t>
      </w:r>
    </w:p>
    <w:p>
      <w:pPr>
        <w:pStyle w:val="DefinedTerms"/>
      </w:pPr>
      <w:r>
        <w:t>rate</w:t>
      </w:r>
      <w:r>
        <w:tab/>
        <w:t>3(1)</w:t>
      </w:r>
    </w:p>
    <w:p>
      <w:pPr>
        <w:pStyle w:val="DefinedTerms"/>
      </w:pPr>
      <w:r>
        <w:t>relevant supply</w:t>
      </w:r>
      <w:r>
        <w:tab/>
        <w:t>22E(1)</w:t>
      </w:r>
    </w:p>
    <w:p>
      <w:pPr>
        <w:pStyle w:val="DefinedTerms"/>
      </w:pPr>
      <w:r>
        <w:t>section</w:t>
      </w:r>
      <w:r>
        <w:tab/>
        <w:t>3(1)</w:t>
      </w:r>
    </w:p>
    <w:p>
      <w:pPr>
        <w:pStyle w:val="DefinedTerms"/>
      </w:pPr>
      <w:r>
        <w:t>services</w:t>
      </w:r>
      <w:r>
        <w:tab/>
        <w:t>3(1)</w:t>
      </w:r>
    </w:p>
    <w:p>
      <w:pPr>
        <w:pStyle w:val="DefinedTerms"/>
      </w:pPr>
      <w:r>
        <w:t>standard retail price</w:t>
      </w:r>
      <w:r>
        <w:tab/>
        <w:t>22H</w:t>
      </w:r>
    </w:p>
    <w:p>
      <w:pPr>
        <w:pStyle w:val="DefinedTerms"/>
      </w:pPr>
      <w:r>
        <w:t>subsection</w:t>
      </w:r>
      <w:r>
        <w:tab/>
        <w:t>3(1)</w:t>
      </w:r>
    </w:p>
    <w:p>
      <w:pPr>
        <w:pStyle w:val="DefinedTerms"/>
      </w:pPr>
      <w:r>
        <w:t>supplier</w:t>
      </w:r>
      <w:r>
        <w:tab/>
        <w:t>22A(1)</w:t>
      </w:r>
    </w:p>
    <w:p>
      <w:pPr>
        <w:pStyle w:val="DefinedTerms"/>
      </w:pPr>
      <w:r>
        <w:t>terminal</w:t>
      </w:r>
      <w:r>
        <w:tab/>
        <w:t>22A(1)</w:t>
      </w:r>
    </w:p>
    <w:p>
      <w:pPr>
        <w:pStyle w:val="DefinedTerms"/>
      </w:pPr>
      <w:r>
        <w:t>the aggrieved person</w:t>
      </w:r>
      <w:r>
        <w:tab/>
        <w:t>22G(2)</w:t>
      </w:r>
    </w:p>
    <w:p>
      <w:pPr>
        <w:pStyle w:val="DefinedTerms"/>
      </w:pPr>
      <w:r>
        <w:t>the impost rate</w:t>
      </w:r>
      <w:r>
        <w:tab/>
        <w:t>12(4a)</w:t>
      </w:r>
    </w:p>
    <w:p>
      <w:pPr>
        <w:pStyle w:val="DefinedTerms"/>
      </w:pPr>
      <w:r>
        <w:t>the new impost</w:t>
      </w:r>
      <w:r>
        <w:tab/>
        <w:t>12(4a)</w:t>
      </w:r>
    </w:p>
    <w:p>
      <w:pPr>
        <w:pStyle w:val="DefinedTerms"/>
      </w:pPr>
      <w:r>
        <w:t>the vendor</w:t>
      </w:r>
      <w:r>
        <w:tab/>
        <w:t>18(1)</w:t>
      </w:r>
    </w:p>
    <w:p>
      <w:pPr>
        <w:pStyle w:val="DefinedTerms"/>
      </w:pPr>
      <w:r>
        <w:t>trade representative</w:t>
      </w:r>
      <w:r>
        <w:tab/>
        <w:t>8(7)</w:t>
      </w:r>
    </w:p>
    <w:p>
      <w:pPr>
        <w:pStyle w:val="DefinedTerms"/>
      </w:pPr>
      <w:r>
        <w:t>working day</w:t>
      </w:r>
      <w:r>
        <w:tab/>
        <w:t>11(3)</w:t>
      </w:r>
    </w:p>
    <w:p>
      <w:pPr>
        <w:pStyle w:val="DefinedTerms"/>
        <w:sectPr>
          <w:headerReference w:type="even" r:id="rId31"/>
          <w:headerReference w:type="default" r:id="rId32"/>
          <w:footerReference w:type="even" r:id="rId33"/>
          <w:footerReference w:type="default" r:id="rId34"/>
          <w:headerReference w:type="first" r:id="rId35"/>
          <w:footerReference w:type="first" r:id="rId36"/>
          <w:pgSz w:w="11906" w:h="16838" w:code="9"/>
          <w:pgMar w:top="2381" w:right="2409" w:bottom="3543" w:left="2409" w:header="720" w:footer="3380" w:gutter="0"/>
          <w:cols w:space="720"/>
          <w:noEndnote/>
          <w:docGrid w:linePitch="326"/>
        </w:sectPr>
      </w:pPr>
    </w:p>
    <w:p>
      <w:pPr>
        <w:rPr>
          <w:sz w:val="20"/>
        </w:rPr>
      </w:pPr>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Products Pricing Act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253"/>
    <w:docVar w:name="WAFER_20140110160817" w:val="RemoveTocBookmarks,RemoveUnusedBookmarks,RemoveLanguageTags,UsedStyles,ResetPageSize,UpdateArrangement"/>
    <w:docVar w:name="WAFER_20140110160817_GUID" w:val="5931abab-7cbc-41f5-b806-daba4926eaf5"/>
    <w:docVar w:name="WAFER_20140110161022" w:val="RemoveTocBookmarks,RunningHeaders"/>
    <w:docVar w:name="WAFER_20140110161022_GUID" w:val="a6619bb9-4a35-4f74-bed3-b46fa010fe2e"/>
    <w:docVar w:name="WAFER_20141015123253" w:val="RemoveTocBookmarks,RemoveUnusedBookmarks,RemoveLanguageTags,UsedStyles,ResetPageSize,UpdateArrangement"/>
    <w:docVar w:name="WAFER_20141015123253_GUID" w:val="6cae16d4-10f1-47c6-81ce-0582613ffa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16260</Words>
  <Characters>79029</Characters>
  <Application>Microsoft Office Word</Application>
  <DocSecurity>0</DocSecurity>
  <Lines>2324</Lines>
  <Paragraphs>1401</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93888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1983 - 02-e0-00</dc:title>
  <dc:subject/>
  <dc:creator/>
  <cp:keywords/>
  <dc:description/>
  <cp:lastModifiedBy>svcMRProcess</cp:lastModifiedBy>
  <cp:revision>4</cp:revision>
  <cp:lastPrinted>2006-10-12T07:03:00Z</cp:lastPrinted>
  <dcterms:created xsi:type="dcterms:W3CDTF">2018-09-06T07:37:00Z</dcterms:created>
  <dcterms:modified xsi:type="dcterms:W3CDTF">2018-09-06T07:37:00Z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598</vt:i4>
  </property>
  <property fmtid="{D5CDD505-2E9C-101B-9397-08002B2CF9AE}" pid="6" name="AsAtDate">
    <vt:lpwstr>09 Oct 2014</vt:lpwstr>
  </property>
  <property fmtid="{D5CDD505-2E9C-101B-9397-08002B2CF9AE}" pid="7" name="Suffix">
    <vt:lpwstr>02-e0-00</vt:lpwstr>
  </property>
</Properties>
</file>