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Warehousemen’s Liens Act 1952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Warehousemen’s Liens Act 1952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_Toc422304852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_Toc422304853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warehouseman</w:t>
      </w:r>
      <w:r>
        <w:tab/>
      </w:r>
      <w:r>
        <w:fldChar w:fldCharType="begin"/>
      </w:r>
      <w:r>
        <w:instrText xml:space="preserve"> PAGEREF _Toc422304854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Declaration of warehouseman’s lien</w:t>
      </w:r>
      <w:r>
        <w:tab/>
      </w:r>
      <w:r>
        <w:fldChar w:fldCharType="begin"/>
      </w:r>
      <w:r>
        <w:instrText xml:space="preserve"> PAGEREF _Toc422304855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covered by lien</w:t>
      </w:r>
      <w:r>
        <w:tab/>
      </w:r>
      <w:r>
        <w:fldChar w:fldCharType="begin"/>
      </w:r>
      <w:r>
        <w:instrText xml:space="preserve"> PAGEREF _Toc422304856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Warehouseman to give notice of lien to people with interest in goods</w:t>
      </w:r>
      <w:r>
        <w:tab/>
      </w:r>
      <w:r>
        <w:fldChar w:fldCharType="begin"/>
      </w:r>
      <w:r>
        <w:instrText xml:space="preserve"> PAGEREF _Toc422304857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sell goods</w:t>
      </w:r>
      <w:r>
        <w:tab/>
      </w:r>
      <w:r>
        <w:fldChar w:fldCharType="begin"/>
      </w:r>
      <w:r>
        <w:instrText xml:space="preserve"> PAGEREF _Toc422304858 \h </w:instrText>
      </w:r>
      <w:r>
        <w:fldChar w:fldCharType="separate"/>
      </w:r>
      <w:r>
        <w:t>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Satisfying lien before sale, consequences of</w:t>
      </w:r>
      <w:r>
        <w:tab/>
      </w:r>
      <w:r>
        <w:fldChar w:fldCharType="begin"/>
      </w:r>
      <w:r>
        <w:instrText xml:space="preserve"> PAGEREF _Toc422304859 \h </w:instrText>
      </w:r>
      <w:r>
        <w:fldChar w:fldCharType="separate"/>
      </w:r>
      <w:r>
        <w:t>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Notices, giving of etc.</w:t>
      </w:r>
      <w:r>
        <w:tab/>
      </w:r>
      <w:r>
        <w:fldChar w:fldCharType="begin"/>
      </w:r>
      <w:r>
        <w:instrText xml:space="preserve"> PAGEREF _Toc422304860 \h </w:instrText>
      </w:r>
      <w:r>
        <w:fldChar w:fldCharType="separate"/>
      </w:r>
      <w:r>
        <w:t>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Disposition of proceeds of sale</w:t>
      </w:r>
      <w:r>
        <w:tab/>
      </w:r>
      <w:r>
        <w:fldChar w:fldCharType="begin"/>
      </w:r>
      <w:r>
        <w:instrText xml:space="preserve"> PAGEREF _Toc422304861 \h </w:instrText>
      </w:r>
      <w:r>
        <w:fldChar w:fldCharType="separate"/>
      </w:r>
      <w:r>
        <w:t>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Act</w:t>
      </w:r>
      <w:r>
        <w:tab/>
      </w:r>
      <w:r>
        <w:fldChar w:fldCharType="begin"/>
      </w:r>
      <w:r>
        <w:instrText xml:space="preserve"> PAGEREF _Toc422304862 \h </w:instrText>
      </w:r>
      <w:r>
        <w:fldChar w:fldCharType="separate"/>
      </w:r>
      <w:r>
        <w:t>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_Toc422304863 \h </w:instrText>
      </w:r>
      <w:r>
        <w:fldChar w:fldCharType="separate"/>
      </w:r>
      <w:r>
        <w:t>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liens, rights etc. not to be affected by Act</w:t>
      </w:r>
      <w:r>
        <w:tab/>
      </w:r>
      <w:r>
        <w:fldChar w:fldCharType="begin"/>
      </w:r>
      <w:r>
        <w:instrText xml:space="preserve"> PAGEREF _Toc422304864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_Toc422304866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Warehousemen’s Liens Act 1952 </w:t>
      </w:r>
    </w:p>
    <w:p>
      <w:pPr>
        <w:pStyle w:val="LongTitle"/>
        <w:spacing w:after="480"/>
        <w:rPr>
          <w:snapToGrid w:val="0"/>
        </w:rPr>
      </w:pPr>
      <w:r>
        <w:rPr>
          <w:snapToGrid w:val="0"/>
        </w:rPr>
        <w:t xml:space="preserve">An Act to amend the law relating to the warehousing of goods. </w:t>
      </w:r>
    </w:p>
    <w:p>
      <w:pPr>
        <w:pStyle w:val="Heading5"/>
        <w:rPr>
          <w:snapToGrid w:val="0"/>
        </w:rPr>
      </w:pPr>
      <w:bookmarkStart w:id="3" w:name="_Toc401836444"/>
      <w:bookmarkStart w:id="4" w:name="_Toc42230485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pPr>
        <w:pStyle w:val="Heading5"/>
        <w:rPr>
          <w:snapToGrid w:val="0"/>
        </w:rPr>
      </w:pPr>
      <w:bookmarkStart w:id="5" w:name="_Toc401836445"/>
      <w:bookmarkStart w:id="6" w:name="_Toc42230485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7" w:name="_Toc401836446"/>
      <w:bookmarkStart w:id="8" w:name="_Toc422304854"/>
      <w:r>
        <w:rPr>
          <w:rStyle w:val="CharSectno"/>
        </w:rPr>
        <w:t>3</w:t>
      </w:r>
      <w:r>
        <w:rPr>
          <w:snapToGrid w:val="0"/>
        </w:rPr>
        <w:t>.</w:t>
      </w:r>
      <w:r>
        <w:rPr>
          <w:snapToGrid w:val="0"/>
        </w:rPr>
        <w:tab/>
        <w:t>Term used: warehouseman</w:t>
      </w:r>
      <w:bookmarkEnd w:id="7"/>
      <w:bookmarkEnd w:id="8"/>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warehouseman</w:t>
      </w:r>
      <w:r>
        <w:t xml:space="preserve"> means a person lawfully engaged in the business of storing goods as a bailee for hire or reward.</w:t>
      </w:r>
    </w:p>
    <w:p>
      <w:pPr>
        <w:pStyle w:val="Heading5"/>
        <w:rPr>
          <w:snapToGrid w:val="0"/>
        </w:rPr>
      </w:pPr>
      <w:bookmarkStart w:id="9" w:name="_Toc401836447"/>
      <w:bookmarkStart w:id="10" w:name="_Toc422304855"/>
      <w:r>
        <w:rPr>
          <w:rStyle w:val="CharSectno"/>
        </w:rPr>
        <w:t>4</w:t>
      </w:r>
      <w:r>
        <w:rPr>
          <w:snapToGrid w:val="0"/>
        </w:rPr>
        <w:t>.</w:t>
      </w:r>
      <w:r>
        <w:rPr>
          <w:snapToGrid w:val="0"/>
        </w:rPr>
        <w:tab/>
        <w:t>Declaration of warehouseman’s lien</w:t>
      </w:r>
      <w:bookmarkEnd w:id="9"/>
      <w:bookmarkEnd w:id="10"/>
      <w:r>
        <w:rPr>
          <w:snapToGrid w:val="0"/>
        </w:rPr>
        <w:t xml:space="preserve"> </w:t>
      </w:r>
    </w:p>
    <w:p>
      <w:pPr>
        <w:pStyle w:val="Subsection"/>
        <w:rPr>
          <w:snapToGrid w:val="0"/>
        </w:rPr>
      </w:pPr>
      <w:r>
        <w:tab/>
        <w:t>(1)</w:t>
      </w:r>
      <w:r>
        <w:tab/>
        <w:t>Subject to</w:t>
      </w:r>
      <w:r>
        <w:rPr>
          <w:snapToGrid w:val="0"/>
        </w:rPr>
        <w:t xml:space="preserve"> the provisions of section 6, a warehouseman shall have a lien on goods deposited with him </w:t>
      </w:r>
      <w:r>
        <w:t>for storage in priority to all other claims on the goods.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arising under subsection (1).</w:t>
      </w:r>
    </w:p>
    <w:p>
      <w:pPr>
        <w:pStyle w:val="Footnotesection"/>
      </w:pPr>
      <w:r>
        <w:tab/>
        <w:t xml:space="preserve">[Section 4 amended by No. 42 of 2011 s. 27.] </w:t>
      </w:r>
    </w:p>
    <w:p>
      <w:pPr>
        <w:pStyle w:val="Heading5"/>
        <w:rPr>
          <w:snapToGrid w:val="0"/>
        </w:rPr>
      </w:pPr>
      <w:bookmarkStart w:id="11" w:name="_Toc401836448"/>
      <w:bookmarkStart w:id="12" w:name="_Toc422304856"/>
      <w:r>
        <w:rPr>
          <w:rStyle w:val="CharSectno"/>
        </w:rPr>
        <w:t>5</w:t>
      </w:r>
      <w:r>
        <w:rPr>
          <w:snapToGrid w:val="0"/>
        </w:rPr>
        <w:t>.</w:t>
      </w:r>
      <w:r>
        <w:rPr>
          <w:snapToGrid w:val="0"/>
        </w:rPr>
        <w:tab/>
        <w:t>Charges covered by lien</w:t>
      </w:r>
      <w:bookmarkEnd w:id="11"/>
      <w:bookmarkEnd w:id="12"/>
      <w:r>
        <w:rPr>
          <w:snapToGrid w:val="0"/>
        </w:rPr>
        <w:t xml:space="preserve"> </w:t>
      </w:r>
    </w:p>
    <w:p>
      <w:pPr>
        <w:pStyle w:val="Subsection"/>
        <w:spacing w:before="120"/>
        <w:rPr>
          <w:snapToGrid w:val="0"/>
        </w:rPr>
      </w:pPr>
      <w:r>
        <w:rPr>
          <w:snapToGrid w:val="0"/>
        </w:rPr>
        <w:tab/>
      </w:r>
      <w:r>
        <w:rPr>
          <w:snapToGrid w:val="0"/>
        </w:rPr>
        <w:tab/>
        <w:t>The lien shall be for the amount of the warehouseman’s charges, namely — </w:t>
      </w:r>
    </w:p>
    <w:p>
      <w:pPr>
        <w:pStyle w:val="Indenta"/>
        <w:rPr>
          <w:snapToGrid w:val="0"/>
        </w:rPr>
      </w:pPr>
      <w:r>
        <w:rPr>
          <w:snapToGrid w:val="0"/>
        </w:rPr>
        <w:tab/>
        <w:t>(a)</w:t>
      </w:r>
      <w:r>
        <w:rPr>
          <w:snapToGrid w:val="0"/>
        </w:rPr>
        <w:tab/>
        <w:t>lawful charges for storage and preservation of the goods; and</w:t>
      </w:r>
    </w:p>
    <w:p>
      <w:pPr>
        <w:pStyle w:val="Indenta"/>
        <w:rPr>
          <w:snapToGrid w:val="0"/>
        </w:rPr>
      </w:pPr>
      <w:r>
        <w:rPr>
          <w:snapToGrid w:val="0"/>
        </w:rPr>
        <w:tab/>
        <w:t>(b)</w:t>
      </w:r>
      <w:r>
        <w:rPr>
          <w:snapToGrid w:val="0"/>
        </w:rPr>
        <w:tab/>
        <w:t>lawful claims for insurance, transportation, labour, weighing, packing, coopering, and other expenses in relation to the goods; and</w:t>
      </w:r>
    </w:p>
    <w:p>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pPr>
        <w:pStyle w:val="Heading5"/>
        <w:rPr>
          <w:snapToGrid w:val="0"/>
        </w:rPr>
      </w:pPr>
      <w:bookmarkStart w:id="13" w:name="_Toc401836449"/>
      <w:bookmarkStart w:id="14" w:name="_Toc422304857"/>
      <w:r>
        <w:rPr>
          <w:rStyle w:val="CharSectno"/>
        </w:rPr>
        <w:t>6</w:t>
      </w:r>
      <w:r>
        <w:rPr>
          <w:snapToGrid w:val="0"/>
        </w:rPr>
        <w:t>.</w:t>
      </w:r>
      <w:r>
        <w:rPr>
          <w:snapToGrid w:val="0"/>
        </w:rPr>
        <w:tab/>
        <w:t>Warehouseman to give notice of lien to people with interest in goods</w:t>
      </w:r>
      <w:bookmarkEnd w:id="13"/>
      <w:bookmarkEnd w:id="14"/>
    </w:p>
    <w:p>
      <w:pPr>
        <w:pStyle w:val="Subsection"/>
      </w:pPr>
      <w:r>
        <w:tab/>
        <w:t>(1)</w:t>
      </w:r>
      <w:r>
        <w:tab/>
        <w:t xml:space="preserve">The warehouseman must, within 3 months after the date of the deposit of goods with the warehouseman, give notice of the lien on the goods to a person if — </w:t>
      </w:r>
    </w:p>
    <w:p>
      <w:pPr>
        <w:pStyle w:val="Indenta"/>
      </w:pPr>
      <w:r>
        <w:tab/>
        <w:t>(a)</w:t>
      </w:r>
      <w:r>
        <w:tab/>
        <w:t xml:space="preserve">the goods are of, or greater than, the value prescribed under the </w:t>
      </w:r>
      <w:r>
        <w:rPr>
          <w:i/>
        </w:rPr>
        <w:t>Criminal and Found Property Disposal Act 2006</w:t>
      </w:r>
      <w:r>
        <w:t xml:space="preserve"> section 33(1)(a); and</w:t>
      </w:r>
    </w:p>
    <w:p>
      <w:pPr>
        <w:pStyle w:val="Indenta"/>
      </w:pPr>
      <w:r>
        <w:tab/>
        <w:t>(b)</w:t>
      </w:r>
      <w:r>
        <w:tab/>
        <w:t xml:space="preserve">one of the following applies — </w:t>
      </w:r>
    </w:p>
    <w:p>
      <w:pPr>
        <w:pStyle w:val="Indenti"/>
      </w:pPr>
      <w:r>
        <w:tab/>
        <w:t>(i)</w:t>
      </w:r>
      <w:r>
        <w:tab/>
        <w:t xml:space="preserve">the person has an interest in the goods in relation to which a registration was made under the </w:t>
      </w:r>
      <w:r>
        <w:rPr>
          <w:i/>
          <w:iCs/>
        </w:rPr>
        <w:t xml:space="preserve">Personal Property Securities Act 2009 </w:t>
      </w:r>
      <w:r>
        <w:t>(Commonwealth) before the deposit of the goods and the registration is in effect;</w:t>
      </w:r>
    </w:p>
    <w:p>
      <w:pPr>
        <w:pStyle w:val="Indenti"/>
      </w:pPr>
      <w:r>
        <w:tab/>
        <w:t>(ii)</w:t>
      </w:r>
      <w:r>
        <w:tab/>
        <w:t>the person has an interest in the goods that the warehouseman is aware of at any time before the expiration of 2 months after the deposit of the goods.</w:t>
      </w:r>
    </w:p>
    <w:p>
      <w:pPr>
        <w:pStyle w:val="Subsection"/>
        <w:spacing w:before="180"/>
        <w:rPr>
          <w:snapToGrid w:val="0"/>
        </w:rPr>
      </w:pPr>
      <w:r>
        <w:rPr>
          <w:snapToGrid w:val="0"/>
        </w:rPr>
        <w:tab/>
        <w:t>(2)</w:t>
      </w:r>
      <w:r>
        <w:rPr>
          <w:snapToGrid w:val="0"/>
        </w:rPr>
        <w:tab/>
        <w:t>The notice shall be in the prescribed form and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 statement that a lien under this Act is claimed by the warehouseman in respect of the goods; and</w:t>
      </w:r>
    </w:p>
    <w:p>
      <w:pPr>
        <w:pStyle w:val="Indenta"/>
        <w:rPr>
          <w:snapToGrid w:val="0"/>
        </w:rPr>
      </w:pPr>
      <w:r>
        <w:rPr>
          <w:snapToGrid w:val="0"/>
        </w:rPr>
        <w:tab/>
        <w:t>(d)</w:t>
      </w:r>
      <w:r>
        <w:rPr>
          <w:snapToGrid w:val="0"/>
        </w:rPr>
        <w:tab/>
        <w:t>such other particulars as are prescribed.</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pPr>
        <w:pStyle w:val="Footnotesection"/>
      </w:pPr>
      <w:r>
        <w:tab/>
        <w:t xml:space="preserve">[Section 6 amended by No. 42 of 2011 s. 28.] </w:t>
      </w:r>
    </w:p>
    <w:p>
      <w:pPr>
        <w:pStyle w:val="Heading5"/>
        <w:spacing w:before="240"/>
        <w:rPr>
          <w:snapToGrid w:val="0"/>
        </w:rPr>
      </w:pPr>
      <w:bookmarkStart w:id="15" w:name="_Toc401836450"/>
      <w:bookmarkStart w:id="16" w:name="_Toc422304858"/>
      <w:r>
        <w:rPr>
          <w:rStyle w:val="CharSectno"/>
        </w:rPr>
        <w:t>7</w:t>
      </w:r>
      <w:r>
        <w:rPr>
          <w:snapToGrid w:val="0"/>
        </w:rPr>
        <w:t>.</w:t>
      </w:r>
      <w:r>
        <w:rPr>
          <w:snapToGrid w:val="0"/>
        </w:rPr>
        <w:tab/>
        <w:t>Power to sell goods</w:t>
      </w:r>
      <w:bookmarkEnd w:id="15"/>
      <w:bookmarkEnd w:id="16"/>
      <w:r>
        <w:rPr>
          <w:snapToGrid w:val="0"/>
        </w:rPr>
        <w:t xml:space="preserve"> </w:t>
      </w:r>
    </w:p>
    <w:p>
      <w:pPr>
        <w:pStyle w:val="Subsection"/>
        <w:spacing w:before="180"/>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pPr>
        <w:pStyle w:val="Subsection"/>
        <w:spacing w:before="180"/>
        <w:rPr>
          <w:snapToGrid w:val="0"/>
        </w:rPr>
      </w:pPr>
      <w:r>
        <w:rPr>
          <w:snapToGrid w:val="0"/>
        </w:rPr>
        <w:tab/>
        <w:t>(2)</w:t>
      </w:r>
      <w:r>
        <w:rPr>
          <w:snapToGrid w:val="0"/>
        </w:rPr>
        <w:tab/>
        <w:t>The warehouseman shall give written notice of his intention to sell — </w:t>
      </w:r>
    </w:p>
    <w:p>
      <w:pPr>
        <w:pStyle w:val="Indenta"/>
        <w:rPr>
          <w:snapToGrid w:val="0"/>
        </w:rPr>
      </w:pPr>
      <w:r>
        <w:rPr>
          <w:snapToGrid w:val="0"/>
        </w:rPr>
        <w:tab/>
        <w:t>(a)</w:t>
      </w:r>
      <w:r>
        <w:rPr>
          <w:snapToGrid w:val="0"/>
        </w:rPr>
        <w:tab/>
        <w:t>to the person liable as debtor for the charges for which the lien exists; and</w:t>
      </w:r>
    </w:p>
    <w:p>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to any other person of whose interest in the goods the warehouseman has knowledge.</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The notice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an itemized statement of the warehouseman’s charges showing the sum due at the time of the notice; and</w:t>
      </w:r>
    </w:p>
    <w:p>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pPr>
        <w:pStyle w:val="Subsection"/>
        <w:spacing w:before="180"/>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pPr>
        <w:pStyle w:val="Subsection"/>
        <w:spacing w:before="180"/>
        <w:rPr>
          <w:snapToGrid w:val="0"/>
        </w:rPr>
      </w:pPr>
      <w:r>
        <w:rPr>
          <w:snapToGrid w:val="0"/>
        </w:rPr>
        <w:tab/>
        <w:t>(5B)</w:t>
      </w:r>
      <w:r>
        <w:rPr>
          <w:snapToGrid w:val="0"/>
        </w:rPr>
        <w:tab/>
        <w:t>The sale shall, subject to the provisions of section 8, be held not less than 14 days from the date of the first publication of the advertisement.</w:t>
      </w:r>
    </w:p>
    <w:p>
      <w:pPr>
        <w:pStyle w:val="Subsection"/>
        <w:spacing w:before="180"/>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pPr>
        <w:pStyle w:val="Subsection"/>
        <w:spacing w:before="180"/>
        <w:rPr>
          <w:snapToGrid w:val="0"/>
        </w:rPr>
      </w:pPr>
      <w:r>
        <w:rPr>
          <w:snapToGrid w:val="0"/>
        </w:rPr>
        <w:tab/>
        <w:t>(7A)</w:t>
      </w:r>
      <w:r>
        <w:rPr>
          <w:snapToGrid w:val="0"/>
        </w:rPr>
        <w:tab/>
        <w:t>The Magistrates Court at the place nearest to the premises of the warehouseman may, on application made at any time after the service of the notice, by a person having an interest in the goods, make an order staying further proceedings under this section for such period and on such terms as it deems just.</w:t>
      </w:r>
    </w:p>
    <w:p>
      <w:pPr>
        <w:pStyle w:val="Subsection"/>
        <w:spacing w:before="180"/>
        <w:rPr>
          <w:snapToGrid w:val="0"/>
        </w:rPr>
      </w:pPr>
      <w:r>
        <w:rPr>
          <w:snapToGrid w:val="0"/>
        </w:rPr>
        <w:tab/>
        <w:t>(7B)</w:t>
      </w:r>
      <w:r>
        <w:rPr>
          <w:snapToGrid w:val="0"/>
        </w:rPr>
        <w:tab/>
        <w:t>The Magistrates Court may exercise the power conferred by subsection (7A), whatever the value of the goods or the interest may be.</w:t>
      </w:r>
    </w:p>
    <w:p>
      <w:pPr>
        <w:pStyle w:val="Subsection"/>
        <w:spacing w:before="180"/>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pPr>
        <w:pStyle w:val="Footnotesection"/>
      </w:pPr>
      <w:r>
        <w:tab/>
        <w:t xml:space="preserve">[Section 7 amended by No. 15 of 1954 s. 2; No. 14 of 1996 s. 4; No. 59 of 2004 s. 141; No. 19 of 2010 s. 51; No. 42 of 2011 s. 29; No. 12 of 2014 s. 4.] </w:t>
      </w:r>
    </w:p>
    <w:p>
      <w:pPr>
        <w:pStyle w:val="Heading5"/>
        <w:spacing w:before="240"/>
        <w:rPr>
          <w:snapToGrid w:val="0"/>
        </w:rPr>
      </w:pPr>
      <w:bookmarkStart w:id="17" w:name="_Toc401836451"/>
      <w:bookmarkStart w:id="18" w:name="_Toc422304859"/>
      <w:r>
        <w:rPr>
          <w:rStyle w:val="CharSectno"/>
        </w:rPr>
        <w:t>8</w:t>
      </w:r>
      <w:r>
        <w:rPr>
          <w:snapToGrid w:val="0"/>
        </w:rPr>
        <w:t>.</w:t>
      </w:r>
      <w:r>
        <w:rPr>
          <w:snapToGrid w:val="0"/>
        </w:rPr>
        <w:tab/>
        <w:t>Satisfying lien before sale, consequences of</w:t>
      </w:r>
      <w:bookmarkEnd w:id="17"/>
      <w:bookmarkEnd w:id="18"/>
    </w:p>
    <w:p>
      <w:pPr>
        <w:pStyle w:val="Subsection"/>
        <w:spacing w:before="180"/>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pPr>
        <w:pStyle w:val="Subsection"/>
        <w:rPr>
          <w:snapToGrid w:val="0"/>
        </w:rPr>
      </w:pPr>
      <w:r>
        <w:rPr>
          <w:snapToGrid w:val="0"/>
        </w:rPr>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pPr>
        <w:pStyle w:val="Footnotesection"/>
      </w:pPr>
      <w:r>
        <w:tab/>
        <w:t>[Section 8 amended by No. 113 of 1965 s. 8(1); No. 19 of 2010 s. 51.]</w:t>
      </w:r>
    </w:p>
    <w:p>
      <w:pPr>
        <w:pStyle w:val="Heading5"/>
        <w:rPr>
          <w:snapToGrid w:val="0"/>
        </w:rPr>
      </w:pPr>
      <w:bookmarkStart w:id="19" w:name="_Toc401836452"/>
      <w:bookmarkStart w:id="20" w:name="_Toc422304860"/>
      <w:r>
        <w:rPr>
          <w:rStyle w:val="CharSectno"/>
        </w:rPr>
        <w:t>9</w:t>
      </w:r>
      <w:r>
        <w:rPr>
          <w:snapToGrid w:val="0"/>
        </w:rPr>
        <w:t>.</w:t>
      </w:r>
      <w:r>
        <w:rPr>
          <w:snapToGrid w:val="0"/>
        </w:rPr>
        <w:tab/>
        <w:t>Notices, giving of etc.</w:t>
      </w:r>
      <w:bookmarkEnd w:id="19"/>
      <w:bookmarkEnd w:id="20"/>
    </w:p>
    <w:p>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pPr>
        <w:pStyle w:val="Subsection"/>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pPr>
        <w:pStyle w:val="Subsection"/>
        <w:spacing w:before="120"/>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pPr>
        <w:pStyle w:val="Subsection"/>
        <w:spacing w:before="120"/>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pPr>
        <w:pStyle w:val="Footnotesection"/>
      </w:pPr>
      <w:r>
        <w:tab/>
        <w:t xml:space="preserve">[Section 9 amended by No. 19 of 2010 s. 51.] </w:t>
      </w:r>
    </w:p>
    <w:p>
      <w:pPr>
        <w:pStyle w:val="Heading5"/>
        <w:spacing w:before="180"/>
        <w:rPr>
          <w:snapToGrid w:val="0"/>
        </w:rPr>
      </w:pPr>
      <w:bookmarkStart w:id="21" w:name="_Toc401836453"/>
      <w:bookmarkStart w:id="22" w:name="_Toc422304861"/>
      <w:r>
        <w:rPr>
          <w:rStyle w:val="CharSectno"/>
        </w:rPr>
        <w:t>10</w:t>
      </w:r>
      <w:r>
        <w:rPr>
          <w:snapToGrid w:val="0"/>
        </w:rPr>
        <w:t>.</w:t>
      </w:r>
      <w:r>
        <w:rPr>
          <w:snapToGrid w:val="0"/>
        </w:rPr>
        <w:tab/>
        <w:t>Disposition of proceeds of sale</w:t>
      </w:r>
      <w:bookmarkEnd w:id="21"/>
      <w:bookmarkEnd w:id="22"/>
      <w:r>
        <w:rPr>
          <w:snapToGrid w:val="0"/>
        </w:rPr>
        <w:t xml:space="preserve"> </w:t>
      </w:r>
    </w:p>
    <w:p>
      <w:pPr>
        <w:pStyle w:val="Subsection"/>
        <w:spacing w:before="120"/>
        <w:rPr>
          <w:snapToGrid w:val="0"/>
        </w:rPr>
      </w:pPr>
      <w:r>
        <w:rPr>
          <w:snapToGrid w:val="0"/>
        </w:rPr>
        <w:tab/>
        <w:t>(1A)</w:t>
      </w:r>
      <w:r>
        <w:rPr>
          <w:snapToGrid w:val="0"/>
        </w:rPr>
        <w:tab/>
        <w:t xml:space="preserve">From the proceeds of the sale the warehouseman shall satisfy his lien, and, subject to the provisions of subsections (2A), (2B) </w:t>
      </w:r>
      <w:r>
        <w:rPr>
          <w:snapToGrid w:val="0"/>
          <w:spacing w:val="-2"/>
        </w:rPr>
        <w:t>and (3), shall, not less than 10 nor more than 14 days after the sale, pay the surplus, if any, to the person or persons entitled to it.</w:t>
      </w:r>
    </w:p>
    <w:p>
      <w:pPr>
        <w:pStyle w:val="Subsection"/>
        <w:spacing w:before="120"/>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pPr>
        <w:pStyle w:val="Subsection"/>
        <w:spacing w:before="120"/>
        <w:rPr>
          <w:snapToGrid w:val="0"/>
        </w:rPr>
      </w:pPr>
      <w:r>
        <w:rPr>
          <w:snapToGrid w:val="0"/>
        </w:rPr>
        <w:tab/>
        <w:t>(2A)</w:t>
      </w:r>
      <w:r>
        <w:rPr>
          <w:snapToGrid w:val="0"/>
        </w:rPr>
        <w:tab/>
        <w:t xml:space="preserve">Where there are conflicting claims to a surplus or the rights of a claimant to it are uncertain, the warehouseman shall within 14 days after the sale pay the surplus, whatever the amount of it may be, into the </w:t>
      </w:r>
      <w:smartTag w:uri="urn:schemas-microsoft-com:office:smarttags" w:element="Street">
        <w:smartTag w:uri="urn:schemas-microsoft-com:office:smarttags" w:element="address">
          <w:r>
            <w:rPr>
              <w:snapToGrid w:val="0"/>
            </w:rPr>
            <w:t>Magistrates Court</w:t>
          </w:r>
        </w:smartTag>
      </w:smartTag>
      <w:r>
        <w:rPr>
          <w:snapToGrid w:val="0"/>
        </w:rPr>
        <w:t xml:space="preserve"> at the place nearest to the premises of the warehouseman.</w:t>
      </w:r>
    </w:p>
    <w:p>
      <w:pPr>
        <w:pStyle w:val="Subsection"/>
        <w:spacing w:before="140"/>
        <w:rPr>
          <w:snapToGrid w:val="0"/>
        </w:rPr>
      </w:pPr>
      <w:r>
        <w:rPr>
          <w:snapToGrid w:val="0"/>
        </w:rPr>
        <w:tab/>
        <w:t>(2B)</w:t>
      </w:r>
      <w:r>
        <w:rPr>
          <w:snapToGrid w:val="0"/>
        </w:rPr>
        <w:tab/>
        <w:t>Money so paid into the court may, upon the order of the court made in open court or in chambers, be applied as the court thinks fit.</w:t>
      </w:r>
    </w:p>
    <w:p>
      <w:pPr>
        <w:pStyle w:val="Subsection"/>
        <w:spacing w:before="140"/>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pPr>
        <w:pStyle w:val="Subsection"/>
        <w:spacing w:before="140"/>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pPr>
        <w:pStyle w:val="Subsection"/>
        <w:spacing w:before="140"/>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pPr>
        <w:pStyle w:val="Subsection"/>
        <w:spacing w:before="140"/>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pPr>
        <w:pStyle w:val="Subsection"/>
        <w:spacing w:before="140"/>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pPr>
        <w:pStyle w:val="Subsection"/>
        <w:spacing w:before="140"/>
        <w:rPr>
          <w:snapToGrid w:val="0"/>
        </w:rPr>
      </w:pPr>
      <w:r>
        <w:rPr>
          <w:snapToGrid w:val="0"/>
        </w:rPr>
        <w:tab/>
        <w:t>(6)</w:t>
      </w:r>
      <w:r>
        <w:rPr>
          <w:snapToGrid w:val="0"/>
        </w:rPr>
        <w:tab/>
        <w:t xml:space="preserve">A warehouseman who fails to pay money into the </w:t>
      </w:r>
      <w:smartTag w:uri="urn:schemas-microsoft-com:office:smarttags" w:element="Street">
        <w:smartTag w:uri="urn:schemas-microsoft-com:office:smarttags" w:element="address">
          <w:r>
            <w:rPr>
              <w:snapToGrid w:val="0"/>
            </w:rPr>
            <w:t>Magistrates Court</w:t>
          </w:r>
        </w:smartTag>
      </w:smartTag>
      <w:r>
        <w:rPr>
          <w:snapToGrid w:val="0"/>
        </w:rPr>
        <w:t xml:space="preserve"> or to the Treasurer as required by this section commits an offence.</w:t>
      </w:r>
    </w:p>
    <w:p>
      <w:pPr>
        <w:pStyle w:val="Penstart"/>
        <w:rPr>
          <w:snapToGrid w:val="0"/>
        </w:rPr>
      </w:pPr>
      <w:r>
        <w:rPr>
          <w:snapToGrid w:val="0"/>
        </w:rPr>
        <w:tab/>
        <w:t>Penalty: $4 for every day during which the default continues.</w:t>
      </w:r>
    </w:p>
    <w:p>
      <w:pPr>
        <w:pStyle w:val="Footnotesection"/>
        <w:ind w:left="890" w:hanging="890"/>
      </w:pPr>
      <w:r>
        <w:tab/>
        <w:t xml:space="preserve">[Section 10 amended by No. 113 of 1965 s. 8(1); No. 6 of 1993 s. 16(1); No. 49 of 1996 s. 64; No. 59 of 2004 s. 141; No. 77 of 2006 s. 4; No. 19 of 2010 s. 51.] </w:t>
      </w:r>
    </w:p>
    <w:p>
      <w:pPr>
        <w:pStyle w:val="Heading5"/>
        <w:rPr>
          <w:snapToGrid w:val="0"/>
        </w:rPr>
      </w:pPr>
      <w:bookmarkStart w:id="23" w:name="_Toc401836454"/>
      <w:bookmarkStart w:id="24" w:name="_Toc422304862"/>
      <w:r>
        <w:rPr>
          <w:rStyle w:val="CharSectno"/>
        </w:rPr>
        <w:t>11</w:t>
      </w:r>
      <w:r>
        <w:rPr>
          <w:snapToGrid w:val="0"/>
        </w:rPr>
        <w:t>.</w:t>
      </w:r>
      <w:r>
        <w:rPr>
          <w:snapToGrid w:val="0"/>
        </w:rPr>
        <w:tab/>
        <w:t>Application of Act</w:t>
      </w:r>
      <w:bookmarkEnd w:id="23"/>
      <w:bookmarkEnd w:id="24"/>
      <w:r>
        <w:rPr>
          <w:snapToGrid w:val="0"/>
        </w:rPr>
        <w:t xml:space="preserve"> </w:t>
      </w:r>
    </w:p>
    <w:p>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pPr>
        <w:pStyle w:val="Ednotesubsection"/>
      </w:pPr>
      <w:r>
        <w:tab/>
        <w:t>[(2)</w:t>
      </w:r>
      <w:r>
        <w:tab/>
        <w:t>Omitted under the Reprints Act 1984 s. 7(4)(g).]</w:t>
      </w:r>
    </w:p>
    <w:p>
      <w:pPr>
        <w:pStyle w:val="Heading5"/>
        <w:rPr>
          <w:snapToGrid w:val="0"/>
        </w:rPr>
      </w:pPr>
      <w:bookmarkStart w:id="25" w:name="_Toc401836455"/>
      <w:bookmarkStart w:id="26" w:name="_Toc422304863"/>
      <w:r>
        <w:rPr>
          <w:rStyle w:val="CharSectno"/>
        </w:rPr>
        <w:t>12</w:t>
      </w:r>
      <w:r>
        <w:rPr>
          <w:snapToGrid w:val="0"/>
        </w:rPr>
        <w:t>.</w:t>
      </w:r>
      <w:r>
        <w:rPr>
          <w:snapToGrid w:val="0"/>
        </w:rPr>
        <w:tab/>
        <w:t>Regulations</w:t>
      </w:r>
      <w:bookmarkEnd w:id="25"/>
      <w:bookmarkEnd w:id="26"/>
      <w:r>
        <w:rPr>
          <w:snapToGrid w:val="0"/>
        </w:rPr>
        <w:t xml:space="preserve"> </w:t>
      </w:r>
    </w:p>
    <w:p>
      <w:pPr>
        <w:pStyle w:val="Subsection"/>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 and</w:t>
      </w:r>
    </w:p>
    <w:p>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 and</w:t>
      </w:r>
    </w:p>
    <w:p>
      <w:pPr>
        <w:pStyle w:val="Indenta"/>
        <w:rPr>
          <w:snapToGrid w:val="0"/>
        </w:rPr>
      </w:pPr>
      <w:r>
        <w:rPr>
          <w:snapToGrid w:val="0"/>
        </w:rPr>
        <w:tab/>
        <w:t>(c)</w:t>
      </w:r>
      <w:r>
        <w:rPr>
          <w:snapToGrid w:val="0"/>
        </w:rPr>
        <w:tab/>
        <w:t>prescribing the form of and the particulars to be contained in notices given by the warehouseman under section 6; and</w:t>
      </w:r>
    </w:p>
    <w:p>
      <w:pPr>
        <w:pStyle w:val="Indenta"/>
        <w:rPr>
          <w:snapToGrid w:val="0"/>
        </w:rPr>
      </w:pPr>
      <w:r>
        <w:rPr>
          <w:snapToGrid w:val="0"/>
        </w:rPr>
        <w:tab/>
        <w:t>(d)</w:t>
      </w:r>
      <w:r>
        <w:rPr>
          <w:snapToGrid w:val="0"/>
        </w:rPr>
        <w:tab/>
        <w:t>prescribing a mode of sale under section 7, other than sale by public auction, in the case of goods of any particular kind; and</w:t>
      </w:r>
    </w:p>
    <w:p>
      <w:pPr>
        <w:pStyle w:val="Indenta"/>
        <w:rPr>
          <w:snapToGrid w:val="0"/>
        </w:rPr>
      </w:pPr>
      <w:r>
        <w:rPr>
          <w:snapToGrid w:val="0"/>
        </w:rPr>
        <w:tab/>
        <w:t>(e)</w:t>
      </w:r>
      <w:r>
        <w:rPr>
          <w:snapToGrid w:val="0"/>
        </w:rPr>
        <w:tab/>
        <w:t xml:space="preserve">prescribing the manner of verification of and the particulars to be contained in statements of account furnished to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Treasurer under this Act; and</w:t>
      </w:r>
    </w:p>
    <w:p>
      <w:pPr>
        <w:pStyle w:val="Indenta"/>
        <w:rPr>
          <w:snapToGrid w:val="0"/>
        </w:rPr>
      </w:pPr>
      <w:r>
        <w:rPr>
          <w:snapToGrid w:val="0"/>
        </w:rPr>
        <w:tab/>
        <w:t>(f)</w:t>
      </w:r>
      <w:r>
        <w:rPr>
          <w:snapToGrid w:val="0"/>
        </w:rPr>
        <w:tab/>
        <w:t>prescribing penalties, not exceeding $20, for breaches of the regulations; and</w:t>
      </w:r>
    </w:p>
    <w:p>
      <w:pPr>
        <w:pStyle w:val="Indenta"/>
        <w:keepNext/>
        <w:rPr>
          <w:snapToGrid w:val="0"/>
        </w:rPr>
      </w:pPr>
      <w:r>
        <w:rPr>
          <w:snapToGrid w:val="0"/>
        </w:rPr>
        <w:tab/>
        <w:t>(g)</w:t>
      </w:r>
      <w:r>
        <w:rPr>
          <w:snapToGrid w:val="0"/>
        </w:rPr>
        <w:tab/>
        <w:t>generally, prescribing anything authorised to be prescribed or necessary or expedient to be prescribed for carrying this Act into</w:t>
      </w:r>
      <w:r>
        <w:t xml:space="preserve"> effect other than in respect of the fees to be paid in respect of or in connection with any matter in the jurisdiction of the Magistrates Court under this Act.</w:t>
      </w:r>
    </w:p>
    <w:p>
      <w:pPr>
        <w:pStyle w:val="Footnotesection"/>
      </w:pPr>
      <w:r>
        <w:tab/>
        <w:t>[Section 12 amended by No. 113 of 1965 s. 8(1); No. 59 of 2004 s. 141; No. 12 of 2014 s. 5.]</w:t>
      </w:r>
    </w:p>
    <w:p>
      <w:pPr>
        <w:pStyle w:val="Ednotesection"/>
      </w:pPr>
      <w:r>
        <w:t>[</w:t>
      </w:r>
      <w:r>
        <w:rPr>
          <w:b/>
        </w:rPr>
        <w:t>13.</w:t>
      </w:r>
      <w:r>
        <w:tab/>
        <w:t>Deleted by No. 12 of 2014 s. 6.]</w:t>
      </w:r>
    </w:p>
    <w:p>
      <w:pPr>
        <w:pStyle w:val="Heading5"/>
        <w:rPr>
          <w:snapToGrid w:val="0"/>
        </w:rPr>
      </w:pPr>
      <w:bookmarkStart w:id="27" w:name="_Toc401836456"/>
      <w:bookmarkStart w:id="28" w:name="_Toc422304864"/>
      <w:r>
        <w:rPr>
          <w:rStyle w:val="CharSectno"/>
        </w:rPr>
        <w:t>14</w:t>
      </w:r>
      <w:r>
        <w:rPr>
          <w:snapToGrid w:val="0"/>
        </w:rPr>
        <w:t>.</w:t>
      </w:r>
      <w:r>
        <w:rPr>
          <w:snapToGrid w:val="0"/>
        </w:rPr>
        <w:tab/>
        <w:t>Certain liens, rights etc. not to be affected by Act</w:t>
      </w:r>
      <w:bookmarkEnd w:id="27"/>
      <w:bookmarkEnd w:id="28"/>
      <w:r>
        <w:rPr>
          <w:snapToGrid w:val="0"/>
        </w:rPr>
        <w:t xml:space="preserve"> </w:t>
      </w:r>
    </w:p>
    <w:p>
      <w:pPr>
        <w:pStyle w:val="Subsection"/>
        <w:rPr>
          <w:snapToGrid w:val="0"/>
        </w:rPr>
      </w:pPr>
      <w:r>
        <w:rPr>
          <w:snapToGrid w:val="0"/>
        </w:rPr>
        <w:tab/>
      </w:r>
      <w:r>
        <w:rPr>
          <w:snapToGrid w:val="0"/>
        </w:rPr>
        <w:tab/>
        <w:t>This Act does not affect — </w:t>
      </w:r>
    </w:p>
    <w:p>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pPr>
        <w:pStyle w:val="Indenta"/>
        <w:rPr>
          <w:snapToGrid w:val="0"/>
        </w:rPr>
      </w:pPr>
      <w:r>
        <w:rPr>
          <w:snapToGrid w:val="0"/>
        </w:rPr>
        <w:tab/>
        <w:t>(b)</w:t>
      </w:r>
      <w:r>
        <w:rPr>
          <w:snapToGrid w:val="0"/>
        </w:rPr>
        <w:tab/>
        <w:t>the enforcement of the lien or the exercise of the power or right.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Indenta"/>
        <w:rPr>
          <w:snapToGrid w:val="0"/>
        </w:rPr>
      </w:pP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29" w:name="_Toc401836457"/>
      <w:bookmarkStart w:id="30" w:name="_Toc422304850"/>
      <w:bookmarkStart w:id="31" w:name="_Toc422304865"/>
      <w:r>
        <w:t>Notes</w:t>
      </w:r>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Warehousemen’s Liens Act 1952</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rPr>
          <w:snapToGrid w:val="0"/>
        </w:rPr>
      </w:pPr>
      <w:bookmarkStart w:id="32" w:name="_Toc401836458"/>
      <w:bookmarkStart w:id="33" w:name="_Toc422304866"/>
      <w:r>
        <w:rPr>
          <w:snapToGrid w:val="0"/>
        </w:rP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79"/>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9" w:type="dxa"/>
            <w:tcBorders>
              <w:top w:val="single" w:sz="8" w:space="0" w:color="auto"/>
              <w:bottom w:val="single" w:sz="8" w:space="0" w:color="auto"/>
            </w:tcBorders>
          </w:tcPr>
          <w:p>
            <w:pPr>
              <w:pStyle w:val="nTable"/>
              <w:spacing w:after="40"/>
              <w:rPr>
                <w:b/>
              </w:rPr>
            </w:pPr>
            <w:r>
              <w:rPr>
                <w:b/>
              </w:rPr>
              <w:t>Assent</w:t>
            </w:r>
          </w:p>
        </w:tc>
        <w:tc>
          <w:tcPr>
            <w:tcW w:w="2579"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Warehousemen’s Liens Act 1952</w:t>
            </w:r>
          </w:p>
        </w:tc>
        <w:tc>
          <w:tcPr>
            <w:tcW w:w="1139" w:type="dxa"/>
            <w:tcBorders>
              <w:top w:val="single" w:sz="8" w:space="0" w:color="auto"/>
            </w:tcBorders>
          </w:tcPr>
          <w:p>
            <w:pPr>
              <w:pStyle w:val="nTable"/>
              <w:spacing w:after="40"/>
            </w:pPr>
            <w:r>
              <w:t>26 of 1952 (1 Eliz. II No. 26)</w:t>
            </w:r>
          </w:p>
        </w:tc>
        <w:tc>
          <w:tcPr>
            <w:tcW w:w="1139" w:type="dxa"/>
            <w:tcBorders>
              <w:top w:val="single" w:sz="8" w:space="0" w:color="auto"/>
            </w:tcBorders>
          </w:tcPr>
          <w:p>
            <w:pPr>
              <w:pStyle w:val="nTable"/>
              <w:spacing w:after="40"/>
            </w:pPr>
            <w:r>
              <w:t>28 Nov 1952</w:t>
            </w:r>
          </w:p>
        </w:tc>
        <w:tc>
          <w:tcPr>
            <w:tcW w:w="2579" w:type="dxa"/>
            <w:tcBorders>
              <w:top w:val="single" w:sz="8" w:space="0" w:color="auto"/>
            </w:tcBorders>
          </w:tcPr>
          <w:p>
            <w:pPr>
              <w:pStyle w:val="nTable"/>
              <w:spacing w:after="40"/>
            </w:pPr>
            <w:r>
              <w:t xml:space="preserve">20 Feb 1953 (see s. 2 and </w:t>
            </w:r>
            <w:r>
              <w:rPr>
                <w:i/>
              </w:rPr>
              <w:t>Gazette</w:t>
            </w:r>
            <w:r>
              <w:t xml:space="preserve"> 20 Feb 1953 p. 365)</w:t>
            </w:r>
          </w:p>
        </w:tc>
      </w:tr>
      <w:tr>
        <w:trPr>
          <w:cantSplit/>
        </w:trPr>
        <w:tc>
          <w:tcPr>
            <w:tcW w:w="2268" w:type="dxa"/>
          </w:tcPr>
          <w:p>
            <w:pPr>
              <w:pStyle w:val="nTable"/>
              <w:spacing w:after="40"/>
              <w:ind w:right="113"/>
            </w:pPr>
            <w:r>
              <w:rPr>
                <w:i/>
              </w:rPr>
              <w:t>Warehousemen’s Liens Act Amendment Act 1954</w:t>
            </w:r>
          </w:p>
        </w:tc>
        <w:tc>
          <w:tcPr>
            <w:tcW w:w="1139" w:type="dxa"/>
          </w:tcPr>
          <w:p>
            <w:pPr>
              <w:pStyle w:val="nTable"/>
              <w:spacing w:after="40"/>
            </w:pPr>
            <w:r>
              <w:t>15 of 1954 (3 Eliz. II No. 15)</w:t>
            </w:r>
          </w:p>
        </w:tc>
        <w:tc>
          <w:tcPr>
            <w:tcW w:w="1139" w:type="dxa"/>
          </w:tcPr>
          <w:p>
            <w:pPr>
              <w:pStyle w:val="nTable"/>
              <w:spacing w:after="40"/>
            </w:pPr>
            <w:r>
              <w:t>22 Sep 1954</w:t>
            </w:r>
          </w:p>
        </w:tc>
        <w:tc>
          <w:tcPr>
            <w:tcW w:w="2579" w:type="dxa"/>
          </w:tcPr>
          <w:p>
            <w:pPr>
              <w:pStyle w:val="nTable"/>
              <w:spacing w:after="40"/>
            </w:pPr>
            <w:r>
              <w:t>22 Sep 1954</w:t>
            </w:r>
          </w:p>
        </w:tc>
      </w:tr>
      <w:tr>
        <w:trPr>
          <w:cantSplit/>
        </w:trPr>
        <w:tc>
          <w:tcPr>
            <w:tcW w:w="2268" w:type="dxa"/>
          </w:tcPr>
          <w:p>
            <w:pPr>
              <w:pStyle w:val="nTable"/>
              <w:spacing w:after="40"/>
              <w:ind w:right="113"/>
            </w:pPr>
            <w:r>
              <w:rPr>
                <w:i/>
              </w:rPr>
              <w:t>Decimal Currency Act 1965</w:t>
            </w:r>
          </w:p>
        </w:tc>
        <w:tc>
          <w:tcPr>
            <w:tcW w:w="1139" w:type="dxa"/>
          </w:tcPr>
          <w:p>
            <w:pPr>
              <w:pStyle w:val="nTable"/>
              <w:spacing w:after="40"/>
            </w:pPr>
            <w:r>
              <w:t>113 of 1965</w:t>
            </w:r>
          </w:p>
        </w:tc>
        <w:tc>
          <w:tcPr>
            <w:tcW w:w="1139" w:type="dxa"/>
          </w:tcPr>
          <w:p>
            <w:pPr>
              <w:pStyle w:val="nTable"/>
              <w:spacing w:after="40"/>
            </w:pPr>
            <w:r>
              <w:t>21 Dec 1965</w:t>
            </w:r>
          </w:p>
        </w:tc>
        <w:tc>
          <w:tcPr>
            <w:tcW w:w="2579" w:type="dxa"/>
          </w:tcPr>
          <w:p>
            <w:pPr>
              <w:pStyle w:val="nTable"/>
              <w:spacing w:after="40"/>
            </w:pPr>
            <w:r>
              <w:t>Act other than s. 4-9: 21 Dec 1965 (see s. 2(1));</w:t>
            </w:r>
            <w:r>
              <w:br/>
              <w:t>s. 4</w:t>
            </w:r>
            <w:r>
              <w:noBreakHyphen/>
              <w:t>9: 14 Feb 1966 (see s. 2(2))</w:t>
            </w:r>
          </w:p>
        </w:tc>
      </w:tr>
      <w:tr>
        <w:trPr>
          <w:cantSplit/>
        </w:trPr>
        <w:tc>
          <w:tcPr>
            <w:tcW w:w="2268" w:type="dxa"/>
          </w:tcPr>
          <w:p>
            <w:pPr>
              <w:pStyle w:val="nTable"/>
              <w:spacing w:after="40"/>
              <w:ind w:right="113"/>
            </w:pPr>
            <w:r>
              <w:rPr>
                <w:i/>
              </w:rPr>
              <w:t xml:space="preserve">Financial Administration Legislation Amendment Act 1993 </w:t>
            </w:r>
            <w:r>
              <w:t>s. 16(1)</w:t>
            </w:r>
          </w:p>
        </w:tc>
        <w:tc>
          <w:tcPr>
            <w:tcW w:w="1139" w:type="dxa"/>
          </w:tcPr>
          <w:p>
            <w:pPr>
              <w:pStyle w:val="nTable"/>
              <w:spacing w:after="40"/>
            </w:pPr>
            <w:r>
              <w:t>6 of 1993</w:t>
            </w:r>
          </w:p>
        </w:tc>
        <w:tc>
          <w:tcPr>
            <w:tcW w:w="1139" w:type="dxa"/>
          </w:tcPr>
          <w:p>
            <w:pPr>
              <w:pStyle w:val="nTable"/>
              <w:spacing w:after="40"/>
            </w:pPr>
            <w:r>
              <w:t>27 Aug 1993</w:t>
            </w:r>
          </w:p>
        </w:tc>
        <w:tc>
          <w:tcPr>
            <w:tcW w:w="2579" w:type="dxa"/>
          </w:tcPr>
          <w:p>
            <w:pPr>
              <w:pStyle w:val="nTable"/>
              <w:spacing w:after="40"/>
            </w:pPr>
            <w:r>
              <w:t>1 Jul 1993 (see s. 2(1))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9" w:type="dxa"/>
          </w:tcPr>
          <w:p>
            <w:pPr>
              <w:pStyle w:val="nTable"/>
              <w:spacing w:after="40"/>
            </w:pPr>
            <w:r>
              <w:t>14 of 1996</w:t>
            </w:r>
          </w:p>
        </w:tc>
        <w:tc>
          <w:tcPr>
            <w:tcW w:w="1139" w:type="dxa"/>
          </w:tcPr>
          <w:p>
            <w:pPr>
              <w:pStyle w:val="nTable"/>
              <w:spacing w:after="40"/>
            </w:pPr>
            <w:r>
              <w:t>28 Jun 1996</w:t>
            </w:r>
          </w:p>
        </w:tc>
        <w:tc>
          <w:tcPr>
            <w:tcW w:w="2579" w:type="dxa"/>
          </w:tcPr>
          <w:p>
            <w:pPr>
              <w:pStyle w:val="nTable"/>
              <w:spacing w:after="40"/>
            </w:pPr>
            <w:r>
              <w:t>1 Jul 1996 (see s. 2)</w:t>
            </w:r>
          </w:p>
        </w:tc>
      </w:tr>
      <w:tr>
        <w:trPr>
          <w:cantSplit/>
        </w:trPr>
        <w:tc>
          <w:tcPr>
            <w:tcW w:w="2268" w:type="dxa"/>
          </w:tcPr>
          <w:p>
            <w:pPr>
              <w:pStyle w:val="nTable"/>
              <w:spacing w:after="40"/>
              <w:ind w:right="113"/>
            </w:pPr>
            <w:r>
              <w:rPr>
                <w:i/>
              </w:rPr>
              <w:t xml:space="preserve">Financial Legislation Amendment Act 1996 </w:t>
            </w:r>
            <w:r>
              <w:t>s. 64</w:t>
            </w:r>
          </w:p>
        </w:tc>
        <w:tc>
          <w:tcPr>
            <w:tcW w:w="1139" w:type="dxa"/>
          </w:tcPr>
          <w:p>
            <w:pPr>
              <w:pStyle w:val="nTable"/>
              <w:spacing w:after="40"/>
            </w:pPr>
            <w:r>
              <w:t>49 of 1996</w:t>
            </w:r>
          </w:p>
        </w:tc>
        <w:tc>
          <w:tcPr>
            <w:tcW w:w="1139" w:type="dxa"/>
          </w:tcPr>
          <w:p>
            <w:pPr>
              <w:pStyle w:val="nTable"/>
              <w:spacing w:after="40"/>
            </w:pPr>
            <w:r>
              <w:t>25 Oct 1996</w:t>
            </w:r>
          </w:p>
        </w:tc>
        <w:tc>
          <w:tcPr>
            <w:tcW w:w="2579" w:type="dxa"/>
          </w:tcPr>
          <w:p>
            <w:pPr>
              <w:pStyle w:val="nTable"/>
              <w:spacing w:after="40"/>
            </w:pPr>
            <w:r>
              <w:t>25 Oct 1996 (see s. 2(1))</w:t>
            </w:r>
          </w:p>
        </w:tc>
      </w:tr>
      <w:tr>
        <w:trPr>
          <w:cantSplit/>
        </w:trPr>
        <w:tc>
          <w:tcPr>
            <w:tcW w:w="7125" w:type="dxa"/>
            <w:gridSpan w:val="4"/>
          </w:tcPr>
          <w:p>
            <w:pPr>
              <w:pStyle w:val="nTable"/>
              <w:spacing w:after="40"/>
            </w:pPr>
            <w:r>
              <w:rPr>
                <w:b/>
              </w:rPr>
              <w:t xml:space="preserve">Reprint of the </w:t>
            </w:r>
            <w:r>
              <w:rPr>
                <w:b/>
                <w:i/>
              </w:rPr>
              <w:t>Warehousemen’s Liens Act 1952</w:t>
            </w:r>
            <w:r>
              <w:rPr>
                <w:b/>
              </w:rPr>
              <w:t xml:space="preserve"> as at 2 Aug 2002</w:t>
            </w:r>
            <w:r>
              <w:rPr>
                <w:b/>
              </w:rPr>
              <w:br/>
            </w:r>
            <w:r>
              <w:t>(includes amendments listed above)</w:t>
            </w:r>
          </w:p>
        </w:tc>
      </w:tr>
      <w:tr>
        <w:trPr>
          <w:cantSplit/>
        </w:trPr>
        <w:tc>
          <w:tcPr>
            <w:tcW w:w="2268" w:type="dxa"/>
          </w:tcPr>
          <w:p>
            <w:pPr>
              <w:pStyle w:val="nTable"/>
              <w:spacing w:after="40"/>
              <w:ind w:right="113"/>
            </w:pPr>
            <w:r>
              <w:rPr>
                <w:i/>
                <w:snapToGrid w:val="0"/>
              </w:rPr>
              <w:t>Courts Legislation Amendment and Repeal Act 2004</w:t>
            </w:r>
            <w:r>
              <w:rPr>
                <w:snapToGrid w:val="0"/>
              </w:rPr>
              <w:t xml:space="preserve"> s. 141</w:t>
            </w:r>
          </w:p>
        </w:tc>
        <w:tc>
          <w:tcPr>
            <w:tcW w:w="1139" w:type="dxa"/>
          </w:tcPr>
          <w:p>
            <w:pPr>
              <w:pStyle w:val="nTable"/>
              <w:spacing w:after="40"/>
            </w:pPr>
            <w:r>
              <w:rPr>
                <w:snapToGrid w:val="0"/>
              </w:rPr>
              <w:t>59 of 2004</w:t>
            </w:r>
          </w:p>
        </w:tc>
        <w:tc>
          <w:tcPr>
            <w:tcW w:w="1139" w:type="dxa"/>
          </w:tcPr>
          <w:p>
            <w:pPr>
              <w:pStyle w:val="nTable"/>
              <w:spacing w:after="40"/>
            </w:pPr>
            <w:r>
              <w:t>23 Nov 2004</w:t>
            </w:r>
          </w:p>
        </w:tc>
        <w:tc>
          <w:tcPr>
            <w:tcW w:w="2579"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rPr>
              <w:t>Financial Legislation Amendment and Repeal Act 2006</w:t>
            </w:r>
            <w:r>
              <w:rPr>
                <w:iCs/>
              </w:rPr>
              <w:t xml:space="preserve"> s. 4</w:t>
            </w:r>
          </w:p>
        </w:tc>
        <w:tc>
          <w:tcPr>
            <w:tcW w:w="1139" w:type="dxa"/>
          </w:tcPr>
          <w:p>
            <w:pPr>
              <w:pStyle w:val="nTable"/>
              <w:spacing w:after="40"/>
              <w:rPr>
                <w:snapToGrid w:val="0"/>
              </w:rPr>
            </w:pPr>
            <w:r>
              <w:t>77 of 2006</w:t>
            </w:r>
          </w:p>
        </w:tc>
        <w:tc>
          <w:tcPr>
            <w:tcW w:w="1139" w:type="dxa"/>
          </w:tcPr>
          <w:p>
            <w:pPr>
              <w:pStyle w:val="nTable"/>
              <w:spacing w:after="40"/>
            </w:pPr>
            <w:r>
              <w:t>21 Dec 2006</w:t>
            </w:r>
          </w:p>
        </w:tc>
        <w:tc>
          <w:tcPr>
            <w:tcW w:w="2579" w:type="dxa"/>
          </w:tcPr>
          <w:p>
            <w:pPr>
              <w:pStyle w:val="nTable"/>
              <w:spacing w:after="40"/>
              <w:rPr>
                <w:snapToGrid w:val="0"/>
              </w:rPr>
            </w:pPr>
            <w:r>
              <w:t xml:space="preserve">1 Feb 2007 (see s. 2(1) and </w:t>
            </w:r>
            <w:r>
              <w:rPr>
                <w:i/>
                <w:iCs/>
              </w:rPr>
              <w:t>Gazette</w:t>
            </w:r>
            <w: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tcPr>
          <w:p>
            <w:pPr>
              <w:pStyle w:val="nTable"/>
              <w:spacing w:after="40"/>
              <w:rPr>
                <w:snapToGrid w:val="0"/>
              </w:rPr>
            </w:pPr>
            <w:r>
              <w:rPr>
                <w:snapToGrid w:val="0"/>
              </w:rPr>
              <w:t>19 of 2010</w:t>
            </w:r>
          </w:p>
        </w:tc>
        <w:tc>
          <w:tcPr>
            <w:tcW w:w="1139" w:type="dxa"/>
          </w:tcPr>
          <w:p>
            <w:pPr>
              <w:pStyle w:val="nTable"/>
              <w:spacing w:after="40"/>
              <w:rPr>
                <w:snapToGrid w:val="0"/>
              </w:rPr>
            </w:pPr>
            <w:r>
              <w:rPr>
                <w:snapToGrid w:val="0"/>
              </w:rPr>
              <w:t>28 Jun 2010</w:t>
            </w:r>
          </w:p>
        </w:tc>
        <w:tc>
          <w:tcPr>
            <w:tcW w:w="2579"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125" w:type="dxa"/>
            <w:gridSpan w:val="4"/>
          </w:tcPr>
          <w:p>
            <w:pPr>
              <w:pStyle w:val="nTable"/>
              <w:spacing w:after="40"/>
              <w:rPr>
                <w:snapToGrid w:val="0"/>
              </w:rPr>
            </w:pPr>
            <w:r>
              <w:rPr>
                <w:b/>
              </w:rPr>
              <w:t xml:space="preserve">Reprint 2: The </w:t>
            </w:r>
            <w:r>
              <w:rPr>
                <w:b/>
                <w:i/>
              </w:rPr>
              <w:t>Warehousemen’s Liens Act 1952</w:t>
            </w:r>
            <w:r>
              <w:rPr>
                <w:b/>
              </w:rPr>
              <w:t xml:space="preserve"> as at 3 </w:t>
            </w:r>
            <w:r>
              <w:rPr>
                <w:b/>
                <w:bCs/>
              </w:rPr>
              <w:t>Dec</w:t>
            </w:r>
            <w:r>
              <w:rPr>
                <w:b/>
              </w:rPr>
              <w:t> 2010</w:t>
            </w:r>
            <w:r>
              <w:rPr>
                <w:b/>
              </w:rPr>
              <w:br/>
            </w:r>
            <w:r>
              <w:t>(includes amendments listed above)</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3 Div. 6</w:t>
            </w:r>
          </w:p>
        </w:tc>
        <w:tc>
          <w:tcPr>
            <w:tcW w:w="1139" w:type="dxa"/>
          </w:tcPr>
          <w:p>
            <w:pPr>
              <w:pStyle w:val="nTable"/>
              <w:spacing w:after="40"/>
              <w:rPr>
                <w:snapToGrid w:val="0"/>
              </w:rPr>
            </w:pPr>
            <w:r>
              <w:rPr>
                <w:snapToGrid w:val="0"/>
              </w:rPr>
              <w:t>42 of 2011</w:t>
            </w:r>
          </w:p>
        </w:tc>
        <w:tc>
          <w:tcPr>
            <w:tcW w:w="1139" w:type="dxa"/>
          </w:tcPr>
          <w:p>
            <w:pPr>
              <w:pStyle w:val="nTable"/>
              <w:spacing w:after="40"/>
              <w:rPr>
                <w:snapToGrid w:val="0"/>
              </w:rPr>
            </w:pPr>
            <w:r>
              <w:t>4 Oct 2011</w:t>
            </w:r>
          </w:p>
        </w:tc>
        <w:tc>
          <w:tcPr>
            <w:tcW w:w="2579"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Borders>
              <w:bottom w:val="single" w:sz="4" w:space="0" w:color="auto"/>
            </w:tcBorders>
          </w:tcPr>
          <w:p>
            <w:pPr>
              <w:pStyle w:val="nTable"/>
              <w:spacing w:after="40"/>
              <w:ind w:right="113"/>
              <w:rPr>
                <w:i/>
                <w:snapToGrid w:val="0"/>
              </w:rPr>
            </w:pPr>
            <w:r>
              <w:rPr>
                <w:i/>
                <w:snapToGrid w:val="0"/>
              </w:rPr>
              <w:t>Warehousemen’s Liens Amendment Act 2014</w:t>
            </w:r>
          </w:p>
        </w:tc>
        <w:tc>
          <w:tcPr>
            <w:tcW w:w="1139" w:type="dxa"/>
            <w:tcBorders>
              <w:bottom w:val="single" w:sz="4" w:space="0" w:color="auto"/>
            </w:tcBorders>
          </w:tcPr>
          <w:p>
            <w:pPr>
              <w:pStyle w:val="nTable"/>
              <w:spacing w:after="40"/>
              <w:rPr>
                <w:snapToGrid w:val="0"/>
              </w:rPr>
            </w:pPr>
            <w:r>
              <w:rPr>
                <w:snapToGrid w:val="0"/>
                <w:lang w:val="en-US"/>
              </w:rPr>
              <w:t>12 of 2014</w:t>
            </w:r>
          </w:p>
        </w:tc>
        <w:tc>
          <w:tcPr>
            <w:tcW w:w="1139" w:type="dxa"/>
            <w:tcBorders>
              <w:bottom w:val="single" w:sz="4" w:space="0" w:color="auto"/>
            </w:tcBorders>
          </w:tcPr>
          <w:p>
            <w:pPr>
              <w:pStyle w:val="nTable"/>
              <w:spacing w:after="40"/>
            </w:pPr>
            <w:r>
              <w:rPr>
                <w:snapToGrid w:val="0"/>
                <w:lang w:val="en-US"/>
              </w:rPr>
              <w:t>24 Jun 2014</w:t>
            </w:r>
          </w:p>
        </w:tc>
        <w:tc>
          <w:tcPr>
            <w:tcW w:w="2579" w:type="dxa"/>
            <w:tcBorders>
              <w:bottom w:val="single" w:sz="4" w:space="0" w:color="auto"/>
            </w:tcBorders>
          </w:tcPr>
          <w:p>
            <w:pPr>
              <w:pStyle w:val="nTable"/>
              <w:spacing w:after="40"/>
              <w:rPr>
                <w:snapToGrid w:val="0"/>
              </w:rPr>
            </w:pPr>
            <w:r>
              <w:rPr>
                <w:snapToGrid w:val="0"/>
              </w:rPr>
              <w:t>s. 1 and 2: 24 Jun 2014 (see s. 2(a));</w:t>
            </w:r>
            <w:r>
              <w:rPr>
                <w:snapToGrid w:val="0"/>
              </w:rPr>
              <w:br/>
              <w:t xml:space="preserve">Act other than s. 1 and 2: 25 Oct 2014 (see s. 2(b) and </w:t>
            </w:r>
            <w:r>
              <w:rPr>
                <w:i/>
                <w:snapToGrid w:val="0"/>
              </w:rPr>
              <w:t>Gazette</w:t>
            </w:r>
            <w:r>
              <w:rPr>
                <w:snapToGrid w:val="0"/>
              </w:rPr>
              <w:t xml:space="preserve"> 24 Oct 2014 p. 4120)</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43</w:t>
            </w:r>
          </w:p>
        </w:tc>
        <w:tc>
          <w:tcPr>
            <w:tcW w:w="1139" w:type="dxa"/>
          </w:tcPr>
          <w:p>
            <w:pPr>
              <w:pStyle w:val="nTable"/>
              <w:spacing w:after="40"/>
              <w:rPr>
                <w:snapToGrid w:val="0"/>
              </w:rPr>
            </w:pPr>
            <w:r>
              <w:rPr>
                <w:snapToGrid w:val="0"/>
              </w:rPr>
              <w:t>17 of 2014</w:t>
            </w:r>
          </w:p>
        </w:tc>
        <w:tc>
          <w:tcPr>
            <w:tcW w:w="1139" w:type="dxa"/>
          </w:tcPr>
          <w:p>
            <w:pPr>
              <w:pStyle w:val="nTable"/>
              <w:spacing w:after="40"/>
            </w:pPr>
            <w:r>
              <w:t>2 Jul 2014</w:t>
            </w:r>
          </w:p>
        </w:tc>
        <w:tc>
          <w:tcPr>
            <w:tcW w:w="2579"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
      <w:pPr>
        <w:pStyle w:val="nSubsection"/>
        <w:spacing w:before="40"/>
      </w:pPr>
      <w:r>
        <w:rPr>
          <w:vertAlign w:val="superscript"/>
        </w:rPr>
        <w:t>2</w:t>
      </w:r>
      <w:r>
        <w:tab/>
        <w:t xml:space="preserve">Marginal notes in the </w:t>
      </w:r>
      <w:r>
        <w:rPr>
          <w:i/>
        </w:rPr>
        <w:t>Warehousemen’s Liens Act 1952</w:t>
      </w:r>
      <w:r>
        <w:t xml:space="preserve"> referring to legislation of other jurisdictions have been omitted from this compilation.</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35" w:name="_Toc422304867"/>
      <w:r>
        <w:rPr>
          <w:sz w:val="28"/>
        </w:rPr>
        <w:t>Defined terms</w:t>
      </w:r>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warehouseman</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Oct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Oct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7114232"/>
    <w:docVar w:name="WAFER_20140204100750" w:val="RemoveTocBookmarks,RemoveUnusedBookmarks,RemoveLanguageTags,UsedStyles,ResetPageSize,UpdateArrangement"/>
    <w:docVar w:name="WAFER_20140204100750_GUID" w:val="d38c307b-ecca-41d4-8362-bc31c6dc8f49"/>
    <w:docVar w:name="WAFER_20140204104624" w:val="RemoveTocBookmarks,RunningHeaders"/>
    <w:docVar w:name="WAFER_20140204104624_GUID" w:val="d2123c03-169b-42cd-be2d-b66187264e76"/>
    <w:docVar w:name="WAFER_20140630154512" w:val="RemoveTocBookmarks,RemoveUnusedBookmarks,RemoveLanguageTags,UsedStyles,ResetPageSize,UpdateArrangement"/>
    <w:docVar w:name="WAFER_20140630154512_GUID" w:val="432fa32c-638b-4f52-925c-a2a48f11beb9"/>
    <w:docVar w:name="WAFER_20141023140114" w:val="RemoveTocBookmarks,RunningHeaders"/>
    <w:docVar w:name="WAFER_20141023140114_GUID" w:val="06f88e98-11a1-44ac-baa4-5ece51641545"/>
    <w:docVar w:name="WAFER_20150617114232" w:val="ResetPageSize,UpdateArrangement,UpdateNTable"/>
    <w:docVar w:name="WAFER_20150617114232_GUID" w:val="5a745245-1dc1-4817-85e5-ef945ebff8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3412</Words>
  <Characters>15187</Characters>
  <Application>Microsoft Office Word</Application>
  <DocSecurity>0</DocSecurity>
  <Lines>460</Lines>
  <Paragraphs>229</Paragraphs>
  <ScaleCrop>false</ScaleCrop>
  <HeadingPairs>
    <vt:vector size="2" baseType="variant">
      <vt:variant>
        <vt:lpstr>Title</vt:lpstr>
      </vt:variant>
      <vt:variant>
        <vt:i4>1</vt:i4>
      </vt:variant>
    </vt:vector>
  </HeadingPairs>
  <TitlesOfParts>
    <vt:vector size="1" baseType="lpstr">
      <vt:lpstr>Warehousemen's Liens Act 1952</vt:lpstr>
    </vt:vector>
  </TitlesOfParts>
  <Company>Ministry of Justice</Company>
  <LinksUpToDate>false</LinksUpToDate>
  <CharactersWithSpaces>18370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1952 - 02-g0-01</dc:title>
  <dc:subject/>
  <dc:creator>Clare Dias</dc:creator>
  <cp:keywords/>
  <cp:lastModifiedBy>svcMRProcess</cp:lastModifiedBy>
  <cp:revision>4</cp:revision>
  <cp:lastPrinted>2010-12-08T05:16:00Z</cp:lastPrinted>
  <dcterms:created xsi:type="dcterms:W3CDTF">2015-06-17T03:46:00Z</dcterms:created>
  <dcterms:modified xsi:type="dcterms:W3CDTF">2015-06-17T03:46:00Z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20141025</vt:lpwstr>
  </property>
  <property fmtid="{D5CDD505-2E9C-101B-9397-08002B2CF9AE}" pid="4" name="DocumentType">
    <vt:lpwstr>Act</vt:lpwstr>
  </property>
  <property fmtid="{D5CDD505-2E9C-101B-9397-08002B2CF9AE}" pid="5" name="OwlsUID">
    <vt:i4>862</vt:i4>
  </property>
  <property fmtid="{D5CDD505-2E9C-101B-9397-08002B2CF9AE}" pid="6" name="ReprintedAsAt">
    <vt:filetime>2010-12-02T16:00:00Z</vt:filetime>
  </property>
  <property fmtid="{D5CDD505-2E9C-101B-9397-08002B2CF9AE}" pid="7" name="ReprintNo">
    <vt:lpwstr>2</vt:lpwstr>
  </property>
  <property fmtid="{D5CDD505-2E9C-101B-9397-08002B2CF9AE}" pid="8" name="ThisVersion">
    <vt:lpwstr>02-a0-01</vt:lpwstr>
  </property>
  <property fmtid="{D5CDD505-2E9C-101B-9397-08002B2CF9AE}" pid="9" name="AsAtDate">
    <vt:lpwstr>25 Oct 2014</vt:lpwstr>
  </property>
  <property fmtid="{D5CDD505-2E9C-101B-9397-08002B2CF9AE}" pid="10" name="Suffix">
    <vt:lpwstr>02-g0-01</vt:lpwstr>
  </property>
</Properties>
</file>