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Gaming and Wagering Commission Act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_Toc402969347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_Toc402969348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_Toc402969349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II — The Commission</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Administration</w:t>
      </w:r>
    </w:p>
    <w:p>
      <w:pPr>
        <w:pStyle w:val="TOC8"/>
        <w:rPr>
          <w:rFonts w:asciiTheme="minorHAnsi" w:eastAsiaTheme="minorEastAsia" w:hAnsiTheme="minorHAnsi" w:cstheme="minorBidi"/>
          <w:szCs w:val="22"/>
        </w:rPr>
      </w:pPr>
      <w:r>
        <w:t>4</w:t>
      </w:r>
      <w:r>
        <w:rPr>
          <w:snapToGrid w:val="0"/>
        </w:rPr>
        <w:t>.</w:t>
      </w:r>
      <w:r>
        <w:rPr>
          <w:snapToGrid w:val="0"/>
        </w:rPr>
        <w:tab/>
        <w:t>Gaming and Wagering Commission established</w:t>
      </w:r>
      <w:r>
        <w:tab/>
      </w:r>
      <w:r>
        <w:fldChar w:fldCharType="begin"/>
      </w:r>
      <w:r>
        <w:instrText xml:space="preserve"> PAGEREF _Toc402969352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Trading name or symbol, use of by Commission</w:t>
      </w:r>
      <w:r>
        <w:tab/>
      </w:r>
      <w:r>
        <w:fldChar w:fldCharType="begin"/>
      </w:r>
      <w:r>
        <w:instrText xml:space="preserve"> PAGEREF _Toc402969353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Minister and Commission, relationship between</w:t>
      </w:r>
      <w:r>
        <w:tab/>
      </w:r>
      <w:r>
        <w:fldChar w:fldCharType="begin"/>
      </w:r>
      <w:r>
        <w:instrText xml:space="preserve"> PAGEREF _Toc402969354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Duties and powers</w:t>
      </w:r>
    </w:p>
    <w:p>
      <w:pPr>
        <w:pStyle w:val="TOC8"/>
        <w:rPr>
          <w:rFonts w:asciiTheme="minorHAnsi" w:eastAsiaTheme="minorEastAsia" w:hAnsiTheme="minorHAnsi" w:cstheme="minorBidi"/>
          <w:szCs w:val="22"/>
        </w:rPr>
      </w:pPr>
      <w:r>
        <w:t>7</w:t>
      </w:r>
      <w:r>
        <w:rPr>
          <w:snapToGrid w:val="0"/>
        </w:rPr>
        <w:t>.</w:t>
      </w:r>
      <w:r>
        <w:rPr>
          <w:snapToGrid w:val="0"/>
        </w:rPr>
        <w:tab/>
        <w:t>Duties of Commission</w:t>
      </w:r>
      <w:r>
        <w:tab/>
      </w:r>
      <w:r>
        <w:fldChar w:fldCharType="begin"/>
      </w:r>
      <w:r>
        <w:instrText xml:space="preserve"> PAGEREF _Toc402969356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Powers of Commission</w:t>
      </w:r>
      <w:r>
        <w:tab/>
      </w:r>
      <w:r>
        <w:fldChar w:fldCharType="begin"/>
      </w:r>
      <w:r>
        <w:instrText xml:space="preserve"> PAGEREF _Toc402969357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Finance</w:t>
      </w:r>
    </w:p>
    <w:p>
      <w:pPr>
        <w:pStyle w:val="TOC8"/>
        <w:rPr>
          <w:rFonts w:asciiTheme="minorHAnsi" w:eastAsiaTheme="minorEastAsia" w:hAnsiTheme="minorHAnsi" w:cstheme="minorBidi"/>
          <w:szCs w:val="22"/>
        </w:rPr>
      </w:pPr>
      <w:r>
        <w:t>9</w:t>
      </w:r>
      <w:r>
        <w:rPr>
          <w:snapToGrid w:val="0"/>
        </w:rPr>
        <w:t>.</w:t>
      </w:r>
      <w:r>
        <w:rPr>
          <w:snapToGrid w:val="0"/>
        </w:rPr>
        <w:tab/>
        <w:t>Funds of Commission; financial provisions</w:t>
      </w:r>
      <w:r>
        <w:tab/>
      </w:r>
      <w:r>
        <w:fldChar w:fldCharType="begin"/>
      </w:r>
      <w:r>
        <w:instrText xml:space="preserve"> PAGEREF _Toc402969359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r>
        <w:tab/>
      </w:r>
      <w:r>
        <w:fldChar w:fldCharType="begin"/>
      </w:r>
      <w:r>
        <w:instrText xml:space="preserve"> PAGEREF _Toc402969360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Some dealings by Commission need Treasurer’s approval</w:t>
      </w:r>
      <w:r>
        <w:tab/>
      </w:r>
      <w:r>
        <w:fldChar w:fldCharType="begin"/>
      </w:r>
      <w:r>
        <w:instrText xml:space="preserve"> PAGEREF _Toc402969361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Membership, co</w:t>
      </w:r>
      <w:r>
        <w:noBreakHyphen/>
        <w:t>option, consultation and committees</w:t>
      </w:r>
    </w:p>
    <w:p>
      <w:pPr>
        <w:pStyle w:val="TOC8"/>
        <w:rPr>
          <w:rFonts w:asciiTheme="minorHAnsi" w:eastAsiaTheme="minorEastAsia" w:hAnsiTheme="minorHAnsi" w:cstheme="minorBidi"/>
          <w:szCs w:val="22"/>
        </w:rPr>
      </w:pPr>
      <w:r>
        <w:t>12</w:t>
      </w:r>
      <w:r>
        <w:rPr>
          <w:snapToGrid w:val="0"/>
        </w:rPr>
        <w:t>.</w:t>
      </w:r>
      <w:r>
        <w:rPr>
          <w:snapToGrid w:val="0"/>
        </w:rPr>
        <w:tab/>
        <w:t>Members of Commission, attendance at meetings etc.</w:t>
      </w:r>
      <w:r>
        <w:tab/>
      </w:r>
      <w:r>
        <w:fldChar w:fldCharType="begin"/>
      </w:r>
      <w:r>
        <w:instrText xml:space="preserve"> PAGEREF _Toc402969363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Remuneration of members; effect of service with Commission on public servants</w:t>
      </w:r>
      <w:r>
        <w:tab/>
      </w:r>
      <w:r>
        <w:fldChar w:fldCharType="begin"/>
      </w:r>
      <w:r>
        <w:instrText xml:space="preserve"> PAGEREF _Toc402969364 \h </w:instrText>
      </w:r>
      <w:r>
        <w:fldChar w:fldCharType="separate"/>
      </w:r>
      <w:r>
        <w:t>21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w:t>
      </w:r>
      <w:r>
        <w:rPr>
          <w:snapToGrid w:val="0"/>
        </w:rPr>
        <w:noBreakHyphen/>
        <w:t>option, consultation etc., Commission’s powers as to</w:t>
      </w:r>
      <w:r>
        <w:tab/>
      </w:r>
      <w:r>
        <w:fldChar w:fldCharType="begin"/>
      </w:r>
      <w:r>
        <w:instrText xml:space="preserve"> PAGEREF _Toc402969365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Committees, appointment of etc.</w:t>
      </w:r>
      <w:r>
        <w:tab/>
      </w:r>
      <w:r>
        <w:fldChar w:fldCharType="begin"/>
      </w:r>
      <w:r>
        <w:instrText xml:space="preserve"> PAGEREF _Toc402969366 \h </w:instrText>
      </w:r>
      <w:r>
        <w:fldChar w:fldCharType="separate"/>
      </w:r>
      <w:r>
        <w:t>23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Delegation powers</w:t>
      </w:r>
      <w:r>
        <w:tab/>
      </w:r>
      <w:r>
        <w:fldChar w:fldCharType="begin"/>
      </w:r>
      <w:r>
        <w:instrText xml:space="preserve"> PAGEREF _Toc402969367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Proceedings</w:t>
      </w:r>
    </w:p>
    <w:p>
      <w:pPr>
        <w:pStyle w:val="TOC8"/>
        <w:rPr>
          <w:rFonts w:asciiTheme="minorHAnsi" w:eastAsiaTheme="minorEastAsia" w:hAnsiTheme="minorHAnsi" w:cstheme="minorBidi"/>
          <w:szCs w:val="22"/>
        </w:rPr>
      </w:pPr>
      <w:r>
        <w:t>17</w:t>
      </w:r>
      <w:r>
        <w:rPr>
          <w:snapToGrid w:val="0"/>
        </w:rPr>
        <w:t>.</w:t>
      </w:r>
      <w:r>
        <w:rPr>
          <w:snapToGrid w:val="0"/>
        </w:rPr>
        <w:tab/>
        <w:t>Proceedings, meetings, declaring interests etc.</w:t>
      </w:r>
      <w:r>
        <w:tab/>
      </w:r>
      <w:r>
        <w:fldChar w:fldCharType="begin"/>
      </w:r>
      <w:r>
        <w:instrText xml:space="preserve"> PAGEREF _Toc402969369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Staff, etc.</w:t>
      </w:r>
    </w:p>
    <w:p>
      <w:pPr>
        <w:pStyle w:val="TOC8"/>
        <w:rPr>
          <w:rFonts w:asciiTheme="minorHAnsi" w:eastAsiaTheme="minorEastAsia" w:hAnsiTheme="minorHAnsi" w:cstheme="minorBidi"/>
          <w:szCs w:val="22"/>
        </w:rPr>
      </w:pPr>
      <w:r>
        <w:t>18</w:t>
      </w:r>
      <w:r>
        <w:rPr>
          <w:snapToGrid w:val="0"/>
        </w:rPr>
        <w:t>.</w:t>
      </w:r>
      <w:r>
        <w:rPr>
          <w:snapToGrid w:val="0"/>
        </w:rPr>
        <w:tab/>
        <w:t>Staff, contractors etc.; Commission may ask Commissioner of Police to inquire etc. into various matters</w:t>
      </w:r>
      <w:r>
        <w:tab/>
      </w:r>
      <w:r>
        <w:fldChar w:fldCharType="begin"/>
      </w:r>
      <w:r>
        <w:instrText xml:space="preserve"> PAGEREF _Toc402969371 \h </w:instrText>
      </w:r>
      <w:r>
        <w:fldChar w:fldCharType="separate"/>
      </w:r>
      <w:r>
        <w:t>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Government departments, statutory bodies etc. to assist Commission</w:t>
      </w:r>
      <w:r>
        <w:tab/>
      </w:r>
      <w:r>
        <w:fldChar w:fldCharType="begin"/>
      </w:r>
      <w:r>
        <w:instrText xml:space="preserve"> PAGEREF _Toc402969372 \h </w:instrText>
      </w:r>
      <w:r>
        <w:fldChar w:fldCharType="separate"/>
      </w:r>
      <w:r>
        <w:t>28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Reports, effect of and privilege attached to; official information, disclosure of etc.</w:t>
      </w:r>
      <w:r>
        <w:tab/>
      </w:r>
      <w:r>
        <w:fldChar w:fldCharType="begin"/>
      </w:r>
      <w:r>
        <w:instrText xml:space="preserve"> PAGEREF _Toc402969373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20A.</w:t>
      </w:r>
      <w:r>
        <w:tab/>
        <w:t>Certain information provided by police to be kept confidential</w:t>
      </w:r>
      <w:r>
        <w:tab/>
      </w:r>
      <w:r>
        <w:fldChar w:fldCharType="begin"/>
      </w:r>
      <w:r>
        <w:instrText xml:space="preserve"> PAGEREF _Toc402969375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Part III — Enforcement</w:t>
      </w:r>
    </w:p>
    <w:p>
      <w:pPr>
        <w:pStyle w:val="TOC8"/>
        <w:rPr>
          <w:rFonts w:asciiTheme="minorHAnsi" w:eastAsiaTheme="minorEastAsia" w:hAnsiTheme="minorHAnsi" w:cstheme="minorBidi"/>
          <w:szCs w:val="22"/>
        </w:rPr>
      </w:pPr>
      <w:r>
        <w:t>21</w:t>
      </w:r>
      <w:r>
        <w:rPr>
          <w:snapToGrid w:val="0"/>
        </w:rPr>
        <w:t>.</w:t>
      </w:r>
      <w:r>
        <w:rPr>
          <w:snapToGrid w:val="0"/>
        </w:rPr>
        <w:tab/>
        <w:t>Authorised officers, appointment and duties of and reports by</w:t>
      </w:r>
      <w:r>
        <w:tab/>
      </w:r>
      <w:r>
        <w:fldChar w:fldCharType="begin"/>
      </w:r>
      <w:r>
        <w:instrText xml:space="preserve"> PAGEREF _Toc402969377 \h </w:instrText>
      </w:r>
      <w:r>
        <w:fldChar w:fldCharType="separate"/>
      </w:r>
      <w:r>
        <w:t>33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Permitted gaming and social gambling, powers to scrutinize etc.</w:t>
      </w:r>
      <w:r>
        <w:tab/>
      </w:r>
      <w:r>
        <w:fldChar w:fldCharType="begin"/>
      </w:r>
      <w:r>
        <w:instrText xml:space="preserve"> PAGEREF _Toc402969378 \h </w:instrText>
      </w:r>
      <w:r>
        <w:fldChar w:fldCharType="separate"/>
      </w:r>
      <w:r>
        <w:t>34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Other police powers not limited by this Act</w:t>
      </w:r>
      <w:r>
        <w:tab/>
      </w:r>
      <w:r>
        <w:fldChar w:fldCharType="begin"/>
      </w:r>
      <w:r>
        <w:instrText xml:space="preserve"> PAGEREF _Toc402969379 \h </w:instrText>
      </w:r>
      <w:r>
        <w:fldChar w:fldCharType="separate"/>
      </w:r>
      <w:r>
        <w:t>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Commissioner of Police, directions by to police officers</w:t>
      </w:r>
      <w:r>
        <w:tab/>
      </w:r>
      <w:r>
        <w:fldChar w:fldCharType="begin"/>
      </w:r>
      <w:r>
        <w:instrText xml:space="preserve"> PAGEREF _Toc402969380 \h </w:instrText>
      </w:r>
      <w:r>
        <w:fldChar w:fldCharType="separate"/>
      </w:r>
      <w:r>
        <w:t>35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Entry to premises, arrest etc., warrant authorising</w:t>
      </w:r>
      <w:r>
        <w:tab/>
      </w:r>
      <w:r>
        <w:fldChar w:fldCharType="begin"/>
      </w:r>
      <w:r>
        <w:instrText xml:space="preserve"> PAGEREF _Toc402969381 \h </w:instrText>
      </w:r>
      <w:r>
        <w:fldChar w:fldCharType="separate"/>
      </w:r>
      <w:r>
        <w:t>36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Evidence, information etc., powers to seize, obtain etc.</w:t>
      </w:r>
      <w:r>
        <w:tab/>
      </w:r>
      <w:r>
        <w:fldChar w:fldCharType="begin"/>
      </w:r>
      <w:r>
        <w:instrText xml:space="preserve"> PAGEREF _Toc402969382 \h </w:instrText>
      </w:r>
      <w:r>
        <w:fldChar w:fldCharType="separate"/>
      </w:r>
      <w:r>
        <w:t>37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Information, production of books, accounts etc., powers to require</w:t>
      </w:r>
      <w:r>
        <w:tab/>
      </w:r>
      <w:r>
        <w:fldChar w:fldCharType="begin"/>
      </w:r>
      <w:r>
        <w:instrText xml:space="preserve"> PAGEREF _Toc402969383 \h </w:instrText>
      </w:r>
      <w:r>
        <w:fldChar w:fldCharType="separate"/>
      </w:r>
      <w:r>
        <w:t>38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Recovering moneys payable to Commission</w:t>
      </w:r>
      <w:r>
        <w:tab/>
      </w:r>
      <w:r>
        <w:fldChar w:fldCharType="begin"/>
      </w:r>
      <w:r>
        <w:instrText xml:space="preserve"> PAGEREF _Toc402969384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Hindering etc. Commission etc. and false etc. answers, offences as to</w:t>
      </w:r>
      <w:r>
        <w:tab/>
      </w:r>
      <w:r>
        <w:fldChar w:fldCharType="begin"/>
      </w:r>
      <w:r>
        <w:instrText xml:space="preserve"> PAGEREF _Toc402969385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Incriminating information to be provided but is not admissible</w:t>
      </w:r>
      <w:r>
        <w:tab/>
      </w:r>
      <w:r>
        <w:fldChar w:fldCharType="begin"/>
      </w:r>
      <w:r>
        <w:instrText xml:space="preserve"> PAGEREF _Toc402969386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Seizure without warrant</w:t>
      </w:r>
      <w:r>
        <w:tab/>
      </w:r>
      <w:r>
        <w:fldChar w:fldCharType="begin"/>
      </w:r>
      <w:r>
        <w:instrText xml:space="preserve"> PAGEREF _Toc402969387 \h </w:instrText>
      </w:r>
      <w:r>
        <w:fldChar w:fldCharType="separate"/>
      </w:r>
      <w:r>
        <w:t>43</w:t>
      </w:r>
      <w:r>
        <w:fldChar w:fldCharType="end"/>
      </w:r>
    </w:p>
    <w:p>
      <w:pPr>
        <w:pStyle w:val="TOC8"/>
        <w:rPr>
          <w:rFonts w:asciiTheme="minorHAnsi" w:eastAsiaTheme="minorEastAsia" w:hAnsiTheme="minorHAnsi" w:cstheme="minorBidi"/>
          <w:szCs w:val="22"/>
        </w:rPr>
      </w:pPr>
      <w:r>
        <w:t>31A.</w:t>
      </w:r>
      <w:r>
        <w:tab/>
        <w:t>Powers to assist seizing things</w:t>
      </w:r>
      <w:r>
        <w:tab/>
      </w:r>
      <w:r>
        <w:fldChar w:fldCharType="begin"/>
      </w:r>
      <w:r>
        <w:instrText xml:space="preserve"> PAGEREF _Toc402969388 \h </w:instrText>
      </w:r>
      <w:r>
        <w:fldChar w:fldCharType="separate"/>
      </w:r>
      <w:r>
        <w:t>43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Certain seized things to be forfeited to Crown</w:t>
      </w:r>
      <w:r>
        <w:tab/>
      </w:r>
      <w:r>
        <w:fldChar w:fldCharType="begin"/>
      </w:r>
      <w:r>
        <w:instrText xml:space="preserve"> PAGEREF _Toc402969389 \h </w:instrText>
      </w:r>
      <w:r>
        <w:fldChar w:fldCharType="separate"/>
      </w:r>
      <w:r>
        <w:t>43</w:t>
      </w:r>
      <w:r>
        <w:fldChar w:fldCharType="end"/>
      </w:r>
    </w:p>
    <w:p>
      <w:pPr>
        <w:pStyle w:val="TOC8"/>
        <w:rPr>
          <w:rFonts w:asciiTheme="minorHAnsi" w:eastAsiaTheme="minorEastAsia" w:hAnsiTheme="minorHAnsi" w:cstheme="minorBidi"/>
          <w:szCs w:val="22"/>
        </w:rPr>
      </w:pPr>
      <w:r>
        <w:t>32A.</w:t>
      </w:r>
      <w:r>
        <w:tab/>
        <w:t>Disposing of seized or forfeited things</w:t>
      </w:r>
      <w:r>
        <w:tab/>
      </w:r>
      <w:r>
        <w:fldChar w:fldCharType="begin"/>
      </w:r>
      <w:r>
        <w:instrText xml:space="preserve"> PAGEREF _Toc402969390 \h </w:instrText>
      </w:r>
      <w:r>
        <w:fldChar w:fldCharType="separate"/>
      </w:r>
      <w:r>
        <w:t>44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Prosecuting offences</w:t>
      </w:r>
      <w:r>
        <w:tab/>
      </w:r>
      <w:r>
        <w:fldChar w:fldCharType="begin"/>
      </w:r>
      <w:r>
        <w:instrText xml:space="preserve"> PAGEREF _Toc402969391 \h </w:instrText>
      </w:r>
      <w:r>
        <w:fldChar w:fldCharType="separate"/>
      </w:r>
      <w:r>
        <w:t>44</w:t>
      </w:r>
      <w:r>
        <w:fldChar w:fldCharType="end"/>
      </w:r>
    </w:p>
    <w:p>
      <w:pPr>
        <w:pStyle w:val="TOC8"/>
        <w:rPr>
          <w:rFonts w:asciiTheme="minorHAnsi" w:eastAsiaTheme="minorEastAsia" w:hAnsiTheme="minorHAnsi" w:cstheme="minorBidi"/>
          <w:szCs w:val="22"/>
        </w:rPr>
      </w:pPr>
      <w:r>
        <w:t>34</w:t>
      </w:r>
      <w:r>
        <w:rPr>
          <w:bCs/>
        </w:rPr>
        <w:t>.</w:t>
      </w:r>
      <w:r>
        <w:rPr>
          <w:bCs/>
        </w:rPr>
        <w:tab/>
        <w:t>Offences to be dealt with by magistrate</w:t>
      </w:r>
      <w:r>
        <w:tab/>
      </w:r>
      <w:r>
        <w:fldChar w:fldCharType="begin"/>
      </w:r>
      <w:r>
        <w:instrText xml:space="preserve"> PAGEREF _Toc402969392 \h </w:instrText>
      </w:r>
      <w:r>
        <w:fldChar w:fldCharType="separate"/>
      </w:r>
      <w:r>
        <w:t>45</w:t>
      </w:r>
      <w:r>
        <w:fldChar w:fldCharType="end"/>
      </w:r>
    </w:p>
    <w:p>
      <w:pPr>
        <w:pStyle w:val="TOC8"/>
        <w:rPr>
          <w:rFonts w:asciiTheme="minorHAnsi" w:eastAsiaTheme="minorEastAsia" w:hAnsiTheme="minorHAnsi" w:cstheme="minorBidi"/>
          <w:szCs w:val="22"/>
        </w:rPr>
      </w:pPr>
      <w:r>
        <w:t>35.</w:t>
      </w:r>
      <w:r>
        <w:tab/>
        <w:t>General penalty</w:t>
      </w:r>
      <w:r>
        <w:tab/>
      </w:r>
      <w:r>
        <w:fldChar w:fldCharType="begin"/>
      </w:r>
      <w:r>
        <w:instrText xml:space="preserve"> PAGEREF _Toc402969393 \h </w:instrText>
      </w:r>
      <w:r>
        <w:fldChar w:fldCharType="separate"/>
      </w:r>
      <w:r>
        <w:t>45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Infringement notices</w:t>
      </w:r>
      <w:r>
        <w:tab/>
      </w:r>
      <w:r>
        <w:fldChar w:fldCharType="begin"/>
      </w:r>
      <w:r>
        <w:instrText xml:space="preserve"> PAGEREF _Toc402969394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Criminal liability of directors etc.</w:t>
      </w:r>
      <w:r>
        <w:tab/>
      </w:r>
      <w:r>
        <w:fldChar w:fldCharType="begin"/>
      </w:r>
      <w:r>
        <w:instrText xml:space="preserve"> PAGEREF _Toc402969395 \h </w:instrText>
      </w:r>
      <w:r>
        <w:fldChar w:fldCharType="separate"/>
      </w:r>
      <w:r>
        <w:t>47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Service of notices</w:t>
      </w:r>
      <w:r>
        <w:tab/>
      </w:r>
      <w:r>
        <w:fldChar w:fldCharType="begin"/>
      </w:r>
      <w:r>
        <w:instrText xml:space="preserve"> PAGEREF _Toc402969396 \h </w:instrText>
      </w:r>
      <w:r>
        <w:fldChar w:fldCharType="separate"/>
      </w:r>
      <w:r>
        <w:t>47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 for charges of offences</w:t>
      </w:r>
      <w:r>
        <w:tab/>
      </w:r>
      <w:r>
        <w:fldChar w:fldCharType="begin"/>
      </w:r>
      <w:r>
        <w:instrText xml:space="preserve"> PAGEREF _Toc402969397 \h </w:instrText>
      </w:r>
      <w:r>
        <w:fldChar w:fldCharType="separate"/>
      </w:r>
      <w:r>
        <w:t>48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Evidentiary provisions for charges involving common gaming houses</w:t>
      </w:r>
      <w:r>
        <w:tab/>
      </w:r>
      <w:r>
        <w:fldChar w:fldCharType="begin"/>
      </w:r>
      <w:r>
        <w:instrText xml:space="preserve"> PAGEREF _Toc402969398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Part IV — Common gaming houses, unlawful gaming, cheating etc.</w:t>
      </w:r>
    </w:p>
    <w:p>
      <w:pPr>
        <w:pStyle w:val="TOC8"/>
        <w:rPr>
          <w:rFonts w:asciiTheme="minorHAnsi" w:eastAsiaTheme="minorEastAsia" w:hAnsiTheme="minorHAnsi" w:cstheme="minorBidi"/>
          <w:szCs w:val="22"/>
        </w:rPr>
      </w:pPr>
      <w:r>
        <w:t>40A.</w:t>
      </w:r>
      <w:r>
        <w:tab/>
        <w:t>Part does not apply to gambling under other written laws</w:t>
      </w:r>
      <w:r>
        <w:tab/>
      </w:r>
      <w:r>
        <w:fldChar w:fldCharType="begin"/>
      </w:r>
      <w:r>
        <w:instrText xml:space="preserve"> PAGEREF _Toc402969400 \h </w:instrText>
      </w:r>
      <w:r>
        <w:fldChar w:fldCharType="separate"/>
      </w:r>
      <w:r>
        <w:t>56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Common gaming house, meaning of and offences as to</w:t>
      </w:r>
      <w:r>
        <w:tab/>
      </w:r>
      <w:r>
        <w:fldChar w:fldCharType="begin"/>
      </w:r>
      <w:r>
        <w:instrText xml:space="preserve"> PAGEREF _Toc402969401 \h </w:instrText>
      </w:r>
      <w:r>
        <w:fldChar w:fldCharType="separate"/>
      </w:r>
      <w:r>
        <w:t>56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Prohibited gaming and unlawful games defined and offences as to</w:t>
      </w:r>
      <w:r>
        <w:tab/>
      </w:r>
      <w:r>
        <w:fldChar w:fldCharType="begin"/>
      </w:r>
      <w:r>
        <w:instrText xml:space="preserve"> PAGEREF _Toc402969402 \h </w:instrText>
      </w:r>
      <w:r>
        <w:fldChar w:fldCharType="separate"/>
      </w:r>
      <w:r>
        <w:t>58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Defence of restricted access not available to charge of s. 41 or 42 offence</w:t>
      </w:r>
      <w:r>
        <w:tab/>
      </w:r>
      <w:r>
        <w:fldChar w:fldCharType="begin"/>
      </w:r>
      <w:r>
        <w:instrText xml:space="preserve"> PAGEREF _Toc402969403 \h </w:instrText>
      </w:r>
      <w:r>
        <w:fldChar w:fldCharType="separate"/>
      </w:r>
      <w:r>
        <w:t>60</w:t>
      </w:r>
      <w:r>
        <w:fldChar w:fldCharType="end"/>
      </w:r>
    </w:p>
    <w:p>
      <w:pPr>
        <w:pStyle w:val="TOC8"/>
        <w:rPr>
          <w:rFonts w:asciiTheme="minorHAnsi" w:eastAsiaTheme="minorEastAsia" w:hAnsiTheme="minorHAnsi" w:cstheme="minorBidi"/>
          <w:szCs w:val="22"/>
        </w:rPr>
      </w:pPr>
      <w:r>
        <w:t>43A.</w:t>
      </w:r>
      <w:r>
        <w:tab/>
        <w:t xml:space="preserve">Advertising </w:t>
      </w:r>
      <w:r>
        <w:rPr>
          <w:snapToGrid w:val="0"/>
        </w:rPr>
        <w:t>unlawful</w:t>
      </w:r>
      <w:r>
        <w:t xml:space="preserve"> gambling</w:t>
      </w:r>
      <w:r>
        <w:tab/>
      </w:r>
      <w:r>
        <w:fldChar w:fldCharType="begin"/>
      </w:r>
      <w:r>
        <w:instrText xml:space="preserve"> PAGEREF _Toc402969404 \h </w:instrText>
      </w:r>
      <w:r>
        <w:fldChar w:fldCharType="separate"/>
      </w:r>
      <w:r>
        <w:t>60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Cheating in games etc. to obtain prize etc., offence</w:t>
      </w:r>
      <w:r>
        <w:tab/>
      </w:r>
      <w:r>
        <w:fldChar w:fldCharType="begin"/>
      </w:r>
      <w:r>
        <w:instrText xml:space="preserve"> PAGEREF _Toc402969405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Permitted gaming, offences as to</w:t>
      </w:r>
      <w:r>
        <w:tab/>
      </w:r>
      <w:r>
        <w:fldChar w:fldCharType="begin"/>
      </w:r>
      <w:r>
        <w:instrText xml:space="preserve"> PAGEREF _Toc402969406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rPr>
      </w:pPr>
      <w:r>
        <w:t>Part V — Permitted gambling</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46</w:t>
      </w:r>
      <w:r>
        <w:rPr>
          <w:snapToGrid w:val="0"/>
        </w:rPr>
        <w:t>.</w:t>
      </w:r>
      <w:r>
        <w:rPr>
          <w:snapToGrid w:val="0"/>
        </w:rPr>
        <w:tab/>
        <w:t>Permitted gaming defined</w:t>
      </w:r>
      <w:r>
        <w:tab/>
      </w:r>
      <w:r>
        <w:fldChar w:fldCharType="begin"/>
      </w:r>
      <w:r>
        <w:instrText xml:space="preserve"> PAGEREF _Toc402969409 \h </w:instrText>
      </w:r>
      <w:r>
        <w:fldChar w:fldCharType="separate"/>
      </w:r>
      <w:r>
        <w:t>65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Gaming permits, types, issue and effect of</w:t>
      </w:r>
      <w:r>
        <w:tab/>
      </w:r>
      <w:r>
        <w:fldChar w:fldCharType="begin"/>
      </w:r>
      <w:r>
        <w:instrText xml:space="preserve"> PAGEREF _Toc402969410 \h </w:instrText>
      </w:r>
      <w:r>
        <w:fldChar w:fldCharType="separate"/>
      </w:r>
      <w:r>
        <w:t>66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Issue of permit on direction by Minister</w:t>
      </w:r>
      <w:r>
        <w:tab/>
      </w:r>
      <w:r>
        <w:fldChar w:fldCharType="begin"/>
      </w:r>
      <w:r>
        <w:instrText xml:space="preserve"> PAGEREF _Toc402969411 \h </w:instrText>
      </w:r>
      <w:r>
        <w:fldChar w:fldCharType="separate"/>
      </w:r>
      <w:r>
        <w:t>67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Applications for issue or renewal of permit, matters that may be considered when deciding</w:t>
      </w:r>
      <w:r>
        <w:tab/>
      </w:r>
      <w:r>
        <w:fldChar w:fldCharType="begin"/>
      </w:r>
      <w:r>
        <w:instrText xml:space="preserve"> PAGEREF _Toc402969412 \h </w:instrText>
      </w:r>
      <w:r>
        <w:fldChar w:fldCharType="separate"/>
      </w:r>
      <w:r>
        <w:t>68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Register of approvals, permit holders etc., Commission to keep and allow inspection of etc.</w:t>
      </w:r>
      <w:r>
        <w:tab/>
      </w:r>
      <w:r>
        <w:fldChar w:fldCharType="begin"/>
      </w:r>
      <w:r>
        <w:instrText xml:space="preserve"> PAGEREF _Toc402969413 \h </w:instrText>
      </w:r>
      <w:r>
        <w:fldChar w:fldCharType="separate"/>
      </w:r>
      <w:r>
        <w:t>70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Persons eligible to hold gaming permits, approval of</w:t>
      </w:r>
      <w:r>
        <w:tab/>
      </w:r>
      <w:r>
        <w:fldChar w:fldCharType="begin"/>
      </w:r>
      <w:r>
        <w:instrText xml:space="preserve"> PAGEREF _Toc402969414 \h </w:instrText>
      </w:r>
      <w:r>
        <w:fldChar w:fldCharType="separate"/>
      </w:r>
      <w:r>
        <w:t>71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Applications for gaming permits</w:t>
      </w:r>
      <w:r>
        <w:tab/>
      </w:r>
      <w:r>
        <w:fldChar w:fldCharType="begin"/>
      </w:r>
      <w:r>
        <w:instrText xml:space="preserve"> PAGEREF _Toc402969415 \h </w:instrText>
      </w:r>
      <w:r>
        <w:fldChar w:fldCharType="separate"/>
      </w:r>
      <w:r>
        <w:t>73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Fees and charges for gaming permits</w:t>
      </w:r>
      <w:r>
        <w:tab/>
      </w:r>
      <w:r>
        <w:fldChar w:fldCharType="begin"/>
      </w:r>
      <w:r>
        <w:instrText xml:space="preserve"> PAGEREF _Toc402969416 \h </w:instrText>
      </w:r>
      <w:r>
        <w:fldChar w:fldCharType="separate"/>
      </w:r>
      <w:r>
        <w:t>74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Charging people to take part in permitted gaming</w:t>
      </w:r>
      <w:r>
        <w:tab/>
      </w:r>
      <w:r>
        <w:fldChar w:fldCharType="begin"/>
      </w:r>
      <w:r>
        <w:instrText xml:space="preserve"> PAGEREF _Toc402969417 \h </w:instrText>
      </w:r>
      <w:r>
        <w:fldChar w:fldCharType="separate"/>
      </w:r>
      <w:r>
        <w:t>75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Approving premises for gaming</w:t>
      </w:r>
      <w:r>
        <w:tab/>
      </w:r>
      <w:r>
        <w:fldChar w:fldCharType="begin"/>
      </w:r>
      <w:r>
        <w:instrText xml:space="preserve"> PAGEREF _Toc402969418 \h </w:instrText>
      </w:r>
      <w:r>
        <w:fldChar w:fldCharType="separate"/>
      </w:r>
      <w:r>
        <w:t>77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Renewing approvals, permits and certificates</w:t>
      </w:r>
      <w:r>
        <w:tab/>
      </w:r>
      <w:r>
        <w:fldChar w:fldCharType="begin"/>
      </w:r>
      <w:r>
        <w:instrText xml:space="preserve"> PAGEREF _Toc402969419 \h </w:instrText>
      </w:r>
      <w:r>
        <w:fldChar w:fldCharType="separate"/>
      </w:r>
      <w:r>
        <w:t>80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Reports by permit holders, when required, content of etc.</w:t>
      </w:r>
      <w:r>
        <w:tab/>
      </w:r>
      <w:r>
        <w:fldChar w:fldCharType="begin"/>
      </w:r>
      <w:r>
        <w:instrText xml:space="preserve"> PAGEREF _Toc402969420 \h </w:instrText>
      </w:r>
      <w:r>
        <w:fldChar w:fldCharType="separate"/>
      </w:r>
      <w:r>
        <w:t>81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Gaming permit may regulate use of proceeds from permitted gaming etc.</w:t>
      </w:r>
      <w:r>
        <w:tab/>
      </w:r>
      <w:r>
        <w:fldChar w:fldCharType="begin"/>
      </w:r>
      <w:r>
        <w:instrText xml:space="preserve"> PAGEREF _Toc402969421 \h </w:instrText>
      </w:r>
      <w:r>
        <w:fldChar w:fldCharType="separate"/>
      </w:r>
      <w:r>
        <w:t>82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Approvals etc. may require security to be given</w:t>
      </w:r>
      <w:r>
        <w:tab/>
      </w:r>
      <w:r>
        <w:fldChar w:fldCharType="begin"/>
      </w:r>
      <w:r>
        <w:instrText xml:space="preserve"> PAGEREF _Toc402969422 \h </w:instrText>
      </w:r>
      <w:r>
        <w:fldChar w:fldCharType="separate"/>
      </w:r>
      <w:r>
        <w:t>84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Revoking and amending permits and certain approvals</w:t>
      </w:r>
      <w:r>
        <w:tab/>
      </w:r>
      <w:r>
        <w:fldChar w:fldCharType="begin"/>
      </w:r>
      <w:r>
        <w:instrText xml:space="preserve"> PAGEREF _Toc402969423 \h </w:instrText>
      </w:r>
      <w:r>
        <w:fldChar w:fldCharType="separate"/>
      </w:r>
      <w:r>
        <w:t>85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Revocation or amendment of current approval etc., Commission to report to Minister; appeals to Minister</w:t>
      </w:r>
      <w:r>
        <w:tab/>
      </w:r>
      <w:r>
        <w:fldChar w:fldCharType="begin"/>
      </w:r>
      <w:r>
        <w:instrText xml:space="preserve"> PAGEREF _Toc402969424 \h </w:instrText>
      </w:r>
      <w:r>
        <w:fldChar w:fldCharType="separate"/>
      </w:r>
      <w:r>
        <w:t>87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credit to be given to person for permitted gaming; cheques for permitted gaming</w:t>
      </w:r>
      <w:r>
        <w:tab/>
      </w:r>
      <w:r>
        <w:fldChar w:fldCharType="begin"/>
      </w:r>
      <w:r>
        <w:instrText xml:space="preserve"> PAGEREF _Toc402969425 \h </w:instrText>
      </w:r>
      <w:r>
        <w:fldChar w:fldCharType="separate"/>
      </w:r>
      <w:r>
        <w:t>88</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Social gambling</w:t>
      </w:r>
    </w:p>
    <w:p>
      <w:pPr>
        <w:pStyle w:val="TOC8"/>
        <w:rPr>
          <w:rFonts w:asciiTheme="minorHAnsi" w:eastAsiaTheme="minorEastAsia" w:hAnsiTheme="minorHAnsi" w:cstheme="minorBidi"/>
          <w:szCs w:val="22"/>
        </w:rPr>
      </w:pPr>
      <w:r>
        <w:t>64</w:t>
      </w:r>
      <w:r>
        <w:rPr>
          <w:snapToGrid w:val="0"/>
        </w:rPr>
        <w:t>.</w:t>
      </w:r>
      <w:r>
        <w:rPr>
          <w:snapToGrid w:val="0"/>
        </w:rPr>
        <w:tab/>
        <w:t>Social gambling defined</w:t>
      </w:r>
      <w:r>
        <w:tab/>
      </w:r>
      <w:r>
        <w:fldChar w:fldCharType="begin"/>
      </w:r>
      <w:r>
        <w:instrText xml:space="preserve"> PAGEREF _Toc402969427 \h </w:instrText>
      </w:r>
      <w:r>
        <w:fldChar w:fldCharType="separate"/>
      </w:r>
      <w:r>
        <w:t>89</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Permitted two</w:t>
      </w:r>
      <w:r>
        <w:noBreakHyphen/>
        <w:t>up</w:t>
      </w:r>
    </w:p>
    <w:p>
      <w:pPr>
        <w:pStyle w:val="TOC8"/>
        <w:rPr>
          <w:rFonts w:asciiTheme="minorHAnsi" w:eastAsiaTheme="minorEastAsia" w:hAnsiTheme="minorHAnsi" w:cstheme="minorBidi"/>
          <w:szCs w:val="22"/>
        </w:rPr>
      </w:pPr>
      <w:r>
        <w:t>80</w:t>
      </w:r>
      <w:r>
        <w:rPr>
          <w:snapToGrid w:val="0"/>
        </w:rPr>
        <w:t>.</w:t>
      </w:r>
      <w:r>
        <w:rPr>
          <w:snapToGrid w:val="0"/>
        </w:rPr>
        <w:tab/>
        <w:t>Two</w:t>
      </w:r>
      <w:r>
        <w:rPr>
          <w:snapToGrid w:val="0"/>
        </w:rPr>
        <w:noBreakHyphen/>
        <w:t>up at country race meetings</w:t>
      </w:r>
      <w:r>
        <w:tab/>
      </w:r>
      <w:r>
        <w:fldChar w:fldCharType="begin"/>
      </w:r>
      <w:r>
        <w:instrText xml:space="preserve"> PAGEREF _Toc402969429 \h </w:instrText>
      </w:r>
      <w:r>
        <w:fldChar w:fldCharType="separate"/>
      </w:r>
      <w:r>
        <w:t>92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Two</w:t>
      </w:r>
      <w:r>
        <w:rPr>
          <w:snapToGrid w:val="0"/>
        </w:rPr>
        <w:noBreakHyphen/>
        <w:t>up at other places</w:t>
      </w:r>
      <w:r>
        <w:tab/>
      </w:r>
      <w:r>
        <w:fldChar w:fldCharType="begin"/>
      </w:r>
      <w:r>
        <w:instrText xml:space="preserve"> PAGEREF _Toc402969430 \h </w:instrText>
      </w:r>
      <w:r>
        <w:fldChar w:fldCharType="separate"/>
      </w:r>
      <w:r>
        <w:t>94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Conditions deemed in certain permits</w:t>
      </w:r>
      <w:r>
        <w:tab/>
      </w:r>
      <w:r>
        <w:fldChar w:fldCharType="begin"/>
      </w:r>
      <w:r>
        <w:instrText xml:space="preserve"> PAGEREF _Toc402969431 \h </w:instrText>
      </w:r>
      <w:r>
        <w:fldChar w:fldCharType="separate"/>
      </w:r>
      <w:r>
        <w:t>96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Regulations for this Division</w:t>
      </w:r>
      <w:r>
        <w:tab/>
      </w:r>
      <w:r>
        <w:fldChar w:fldCharType="begin"/>
      </w:r>
      <w:r>
        <w:instrText xml:space="preserve"> PAGEREF _Toc402969432 \h </w:instrText>
      </w:r>
      <w:r>
        <w:fldChar w:fldCharType="separate"/>
      </w:r>
      <w:r>
        <w:t>96</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Gaming machines and other gaming equipment and its operation</w:t>
      </w:r>
    </w:p>
    <w:p>
      <w:pPr>
        <w:pStyle w:val="TOC8"/>
        <w:rPr>
          <w:rFonts w:asciiTheme="minorHAnsi" w:eastAsiaTheme="minorEastAsia" w:hAnsiTheme="minorHAnsi" w:cstheme="minorBidi"/>
          <w:szCs w:val="22"/>
        </w:rPr>
      </w:pPr>
      <w:r>
        <w:t>84</w:t>
      </w:r>
      <w:r>
        <w:rPr>
          <w:snapToGrid w:val="0"/>
        </w:rPr>
        <w:t>.</w:t>
      </w:r>
      <w:r>
        <w:rPr>
          <w:snapToGrid w:val="0"/>
        </w:rPr>
        <w:tab/>
        <w:t>Terms used</w:t>
      </w:r>
      <w:r>
        <w:tab/>
      </w:r>
      <w:r>
        <w:fldChar w:fldCharType="begin"/>
      </w:r>
      <w:r>
        <w:instrText xml:space="preserve"> PAGEREF _Toc402969434 \h </w:instrText>
      </w:r>
      <w:r>
        <w:fldChar w:fldCharType="separate"/>
      </w:r>
      <w:r>
        <w:t>97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Unlawful gaming machines etc., use and possession of prohibited</w:t>
      </w:r>
      <w:r>
        <w:tab/>
      </w:r>
      <w:r>
        <w:fldChar w:fldCharType="begin"/>
      </w:r>
      <w:r>
        <w:instrText xml:space="preserve"> PAGEREF _Toc402969435 \h </w:instrText>
      </w:r>
      <w:r>
        <w:fldChar w:fldCharType="separate"/>
      </w:r>
      <w:r>
        <w:t>99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Use of unlawful cash or tokens in gaming machines</w:t>
      </w:r>
      <w:r>
        <w:tab/>
      </w:r>
      <w:r>
        <w:fldChar w:fldCharType="begin"/>
      </w:r>
      <w:r>
        <w:instrText xml:space="preserve"> PAGEREF _Toc402969436 \h </w:instrText>
      </w:r>
      <w:r>
        <w:fldChar w:fldCharType="separate"/>
      </w:r>
      <w:r>
        <w:t>101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Records about gaming equipment, powers to require keeping of</w:t>
      </w:r>
      <w:r>
        <w:tab/>
      </w:r>
      <w:r>
        <w:fldChar w:fldCharType="begin"/>
      </w:r>
      <w:r>
        <w:instrText xml:space="preserve"> PAGEREF _Toc402969437 \h </w:instrText>
      </w:r>
      <w:r>
        <w:fldChar w:fldCharType="separate"/>
      </w:r>
      <w:r>
        <w:t>102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Prescribed gaming equipment, regulations about, certificates for sellers etc. of</w:t>
      </w:r>
      <w:r>
        <w:tab/>
      </w:r>
      <w:r>
        <w:fldChar w:fldCharType="begin"/>
      </w:r>
      <w:r>
        <w:instrText xml:space="preserve"> PAGEREF _Toc402969438 \h </w:instrText>
      </w:r>
      <w:r>
        <w:fldChar w:fldCharType="separate"/>
      </w:r>
      <w:r>
        <w:t>102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Prescribed gaming equipment, sale etc. of</w:t>
      </w:r>
      <w:r>
        <w:tab/>
      </w:r>
      <w:r>
        <w:fldChar w:fldCharType="begin"/>
      </w:r>
      <w:r>
        <w:instrText xml:space="preserve"> PAGEREF _Toc402969439 \h </w:instrText>
      </w:r>
      <w:r>
        <w:fldChar w:fldCharType="separate"/>
      </w:r>
      <w:r>
        <w:t>105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of s. 88 and 89 to concessionaires</w:t>
      </w:r>
      <w:r>
        <w:tab/>
      </w:r>
      <w:r>
        <w:fldChar w:fldCharType="begin"/>
      </w:r>
      <w:r>
        <w:instrText xml:space="preserve"> PAGEREF _Toc402969440 \h </w:instrText>
      </w:r>
      <w:r>
        <w:fldChar w:fldCharType="separate"/>
      </w:r>
      <w:r>
        <w:t>106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Permitted gaming, restrictions on certain people in relation to</w:t>
      </w:r>
      <w:r>
        <w:tab/>
      </w:r>
      <w:r>
        <w:fldChar w:fldCharType="begin"/>
      </w:r>
      <w:r>
        <w:instrText xml:space="preserve"> PAGEREF _Toc402969441 \h </w:instrText>
      </w:r>
      <w:r>
        <w:fldChar w:fldCharType="separate"/>
      </w:r>
      <w:r>
        <w:t>106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Certificates for s. 91</w:t>
      </w:r>
      <w:r>
        <w:tab/>
      </w:r>
      <w:r>
        <w:fldChar w:fldCharType="begin"/>
      </w:r>
      <w:r>
        <w:instrText xml:space="preserve"> PAGEREF _Toc402969442 \h </w:instrText>
      </w:r>
      <w:r>
        <w:fldChar w:fldCharType="separate"/>
      </w:r>
      <w:r>
        <w:t>108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Offences in relation to s. 91</w:t>
      </w:r>
      <w:r>
        <w:tab/>
      </w:r>
      <w:r>
        <w:fldChar w:fldCharType="begin"/>
      </w:r>
      <w:r>
        <w:instrText xml:space="preserve"> PAGEREF _Toc402969443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Permitted bingo</w:t>
      </w:r>
    </w:p>
    <w:p>
      <w:pPr>
        <w:pStyle w:val="TOC8"/>
        <w:rPr>
          <w:rFonts w:asciiTheme="minorHAnsi" w:eastAsiaTheme="minorEastAsia" w:hAnsiTheme="minorHAnsi" w:cstheme="minorBidi"/>
          <w:szCs w:val="22"/>
        </w:rPr>
      </w:pPr>
      <w:r>
        <w:t>94</w:t>
      </w:r>
      <w:r>
        <w:rPr>
          <w:snapToGrid w:val="0"/>
        </w:rPr>
        <w:t>.</w:t>
      </w:r>
      <w:r>
        <w:rPr>
          <w:snapToGrid w:val="0"/>
        </w:rPr>
        <w:tab/>
        <w:t>Terms used</w:t>
      </w:r>
      <w:r>
        <w:tab/>
      </w:r>
      <w:r>
        <w:fldChar w:fldCharType="begin"/>
      </w:r>
      <w:r>
        <w:instrText xml:space="preserve"> PAGEREF _Toc402969445 \h </w:instrText>
      </w:r>
      <w:r>
        <w:fldChar w:fldCharType="separate"/>
      </w:r>
      <w:r>
        <w:t>110</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Permits to conduct bingo; who may play permitted bingo</w:t>
      </w:r>
      <w:r>
        <w:tab/>
      </w:r>
      <w:r>
        <w:fldChar w:fldCharType="begin"/>
      </w:r>
      <w:r>
        <w:instrText xml:space="preserve"> PAGEREF _Toc402969446 \h </w:instrText>
      </w:r>
      <w:r>
        <w:fldChar w:fldCharType="separate"/>
      </w:r>
      <w:r>
        <w:t>111</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Multiple bingo</w:t>
      </w:r>
      <w:r>
        <w:tab/>
      </w:r>
      <w:r>
        <w:fldChar w:fldCharType="begin"/>
      </w:r>
      <w:r>
        <w:instrText xml:space="preserve"> PAGEREF _Toc402969447 \h </w:instrText>
      </w:r>
      <w:r>
        <w:fldChar w:fldCharType="separate"/>
      </w:r>
      <w:r>
        <w:t>112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Simultaneous bingo</w:t>
      </w:r>
      <w:r>
        <w:tab/>
      </w:r>
      <w:r>
        <w:fldChar w:fldCharType="begin"/>
      </w:r>
      <w:r>
        <w:instrText xml:space="preserve"> PAGEREF _Toc402969448 \h </w:instrText>
      </w:r>
      <w:r>
        <w:fldChar w:fldCharType="separate"/>
      </w:r>
      <w:r>
        <w:t>114</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Conduct of bingo</w:t>
      </w:r>
      <w:r>
        <w:tab/>
      </w:r>
      <w:r>
        <w:fldChar w:fldCharType="begin"/>
      </w:r>
      <w:r>
        <w:instrText xml:space="preserve"> PAGEREF _Toc402969449 \h </w:instrText>
      </w:r>
      <w:r>
        <w:fldChar w:fldCharType="separate"/>
      </w:r>
      <w:r>
        <w:t>115</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Recovering moneys payable to Commission for bingo</w:t>
      </w:r>
      <w:r>
        <w:tab/>
      </w:r>
      <w:r>
        <w:fldChar w:fldCharType="begin"/>
      </w:r>
      <w:r>
        <w:instrText xml:space="preserve"> PAGEREF _Toc402969450 \h </w:instrText>
      </w:r>
      <w:r>
        <w:fldChar w:fldCharType="separate"/>
      </w:r>
      <w:r>
        <w:t>115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Regulations as to bingo</w:t>
      </w:r>
      <w:r>
        <w:tab/>
      </w:r>
      <w:r>
        <w:fldChar w:fldCharType="begin"/>
      </w:r>
      <w:r>
        <w:instrText xml:space="preserve"> PAGEREF _Toc402969451 \h </w:instrText>
      </w:r>
      <w:r>
        <w:fldChar w:fldCharType="separate"/>
      </w:r>
      <w:r>
        <w:t>116</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Lotteries, and amusements with prizes etc.</w:t>
      </w:r>
    </w:p>
    <w:p>
      <w:pPr>
        <w:pStyle w:val="TOC8"/>
        <w:rPr>
          <w:rFonts w:asciiTheme="minorHAnsi" w:eastAsiaTheme="minorEastAsia" w:hAnsiTheme="minorHAnsi" w:cstheme="minorBidi"/>
          <w:szCs w:val="22"/>
        </w:rPr>
      </w:pPr>
      <w:r>
        <w:t>101</w:t>
      </w:r>
      <w:r>
        <w:rPr>
          <w:snapToGrid w:val="0"/>
        </w:rPr>
        <w:t>.</w:t>
      </w:r>
      <w:r>
        <w:rPr>
          <w:snapToGrid w:val="0"/>
        </w:rPr>
        <w:tab/>
        <w:t>Terms used</w:t>
      </w:r>
      <w:r>
        <w:tab/>
      </w:r>
      <w:r>
        <w:fldChar w:fldCharType="begin"/>
      </w:r>
      <w:r>
        <w:instrText xml:space="preserve"> PAGEREF _Toc402969453 \h </w:instrText>
      </w:r>
      <w:r>
        <w:fldChar w:fldCharType="separate"/>
      </w:r>
      <w:r>
        <w:t>118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Certain lotteries unlawful</w:t>
      </w:r>
      <w:r>
        <w:tab/>
      </w:r>
      <w:r>
        <w:fldChar w:fldCharType="begin"/>
      </w:r>
      <w:r>
        <w:instrText xml:space="preserve"> PAGEREF _Toc402969454 \h </w:instrText>
      </w:r>
      <w:r>
        <w:fldChar w:fldCharType="separate"/>
      </w:r>
      <w:r>
        <w:t>119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Permitted lotteries (deemed)</w:t>
      </w:r>
      <w:r>
        <w:tab/>
      </w:r>
      <w:r>
        <w:fldChar w:fldCharType="begin"/>
      </w:r>
      <w:r>
        <w:instrText xml:space="preserve"> PAGEREF _Toc402969455 \h </w:instrText>
      </w:r>
      <w:r>
        <w:fldChar w:fldCharType="separate"/>
      </w:r>
      <w:r>
        <w:t>120</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Permits for lotteries; duties of holders of permit for standard lottery</w:t>
      </w:r>
      <w:r>
        <w:tab/>
      </w:r>
      <w:r>
        <w:fldChar w:fldCharType="begin"/>
      </w:r>
      <w:r>
        <w:instrText xml:space="preserve"> PAGEREF _Toc402969456 \h </w:instrText>
      </w:r>
      <w:r>
        <w:fldChar w:fldCharType="separate"/>
      </w:r>
      <w:r>
        <w:t>121</w:t>
      </w:r>
      <w:r>
        <w:fldChar w:fldCharType="end"/>
      </w:r>
    </w:p>
    <w:p>
      <w:pPr>
        <w:pStyle w:val="TOC8"/>
        <w:rPr>
          <w:rFonts w:asciiTheme="minorHAnsi" w:eastAsiaTheme="minorEastAsia" w:hAnsiTheme="minorHAnsi" w:cstheme="minorBidi"/>
          <w:szCs w:val="22"/>
        </w:rPr>
      </w:pPr>
      <w:r>
        <w:t>104A.</w:t>
      </w:r>
      <w:r>
        <w:tab/>
        <w:t>Commission not liable for unpaid lottery prizes</w:t>
      </w:r>
      <w:r>
        <w:tab/>
      </w:r>
      <w:r>
        <w:fldChar w:fldCharType="begin"/>
      </w:r>
      <w:r>
        <w:instrText xml:space="preserve"> PAGEREF _Toc402969457 \h </w:instrText>
      </w:r>
      <w:r>
        <w:fldChar w:fldCharType="separate"/>
      </w:r>
      <w:r>
        <w:t>124</w:t>
      </w:r>
      <w:r>
        <w:fldChar w:fldCharType="end"/>
      </w:r>
    </w:p>
    <w:p>
      <w:pPr>
        <w:pStyle w:val="TOC8"/>
        <w:rPr>
          <w:rFonts w:asciiTheme="minorHAnsi" w:eastAsiaTheme="minorEastAsia" w:hAnsiTheme="minorHAnsi" w:cstheme="minorBidi"/>
          <w:szCs w:val="22"/>
        </w:rPr>
      </w:pPr>
      <w:r>
        <w:t>104B.</w:t>
      </w:r>
      <w:r>
        <w:tab/>
        <w:t>Licensing of suppliers of lottery tickets</w:t>
      </w:r>
      <w:r>
        <w:tab/>
      </w:r>
      <w:r>
        <w:fldChar w:fldCharType="begin"/>
      </w:r>
      <w:r>
        <w:instrText xml:space="preserve"> PAGEREF _Toc402969458 \h </w:instrText>
      </w:r>
      <w:r>
        <w:fldChar w:fldCharType="separate"/>
      </w:r>
      <w:r>
        <w:t>125</w:t>
      </w:r>
      <w:r>
        <w:fldChar w:fldCharType="end"/>
      </w:r>
    </w:p>
    <w:p>
      <w:pPr>
        <w:pStyle w:val="TOC8"/>
        <w:rPr>
          <w:rFonts w:asciiTheme="minorHAnsi" w:eastAsiaTheme="minorEastAsia" w:hAnsiTheme="minorHAnsi" w:cstheme="minorBidi"/>
          <w:szCs w:val="22"/>
        </w:rPr>
      </w:pPr>
      <w:r>
        <w:t>104C.</w:t>
      </w:r>
      <w:r>
        <w:tab/>
        <w:t>Licences of licensed suppliers, cancelling etc.</w:t>
      </w:r>
      <w:r>
        <w:tab/>
      </w:r>
      <w:r>
        <w:fldChar w:fldCharType="begin"/>
      </w:r>
      <w:r>
        <w:instrText xml:space="preserve"> PAGEREF _Toc402969459 \h </w:instrText>
      </w:r>
      <w:r>
        <w:fldChar w:fldCharType="separate"/>
      </w:r>
      <w:r>
        <w:t>126</w:t>
      </w:r>
      <w:r>
        <w:fldChar w:fldCharType="end"/>
      </w:r>
    </w:p>
    <w:p>
      <w:pPr>
        <w:pStyle w:val="TOC8"/>
        <w:rPr>
          <w:rFonts w:asciiTheme="minorHAnsi" w:eastAsiaTheme="minorEastAsia" w:hAnsiTheme="minorHAnsi" w:cstheme="minorBidi"/>
          <w:szCs w:val="22"/>
        </w:rPr>
      </w:pPr>
      <w:r>
        <w:t>104D.</w:t>
      </w:r>
      <w:r>
        <w:tab/>
        <w:t>Refusal or cancellation of supplier’s licence, Commission to report to Minister; appeals to Minister</w:t>
      </w:r>
      <w:r>
        <w:tab/>
      </w:r>
      <w:r>
        <w:fldChar w:fldCharType="begin"/>
      </w:r>
      <w:r>
        <w:instrText xml:space="preserve"> PAGEREF _Toc402969460 \h </w:instrText>
      </w:r>
      <w:r>
        <w:fldChar w:fldCharType="separate"/>
      </w:r>
      <w:r>
        <w:t>128</w:t>
      </w:r>
      <w:r>
        <w:fldChar w:fldCharType="end"/>
      </w:r>
    </w:p>
    <w:p>
      <w:pPr>
        <w:pStyle w:val="TOC8"/>
        <w:rPr>
          <w:rFonts w:asciiTheme="minorHAnsi" w:eastAsiaTheme="minorEastAsia" w:hAnsiTheme="minorHAnsi" w:cstheme="minorBidi"/>
          <w:szCs w:val="22"/>
        </w:rPr>
      </w:pPr>
      <w:r>
        <w:t>104E.</w:t>
      </w:r>
      <w:r>
        <w:tab/>
        <w:t>Suppliers to give Commission tickets if licence cancelled etc.</w:t>
      </w:r>
      <w:r>
        <w:tab/>
      </w:r>
      <w:r>
        <w:fldChar w:fldCharType="begin"/>
      </w:r>
      <w:r>
        <w:instrText xml:space="preserve"> PAGEREF _Toc402969461 \h </w:instrText>
      </w:r>
      <w:r>
        <w:fldChar w:fldCharType="separate"/>
      </w:r>
      <w:r>
        <w:t>128</w:t>
      </w:r>
      <w:r>
        <w:fldChar w:fldCharType="end"/>
      </w:r>
    </w:p>
    <w:p>
      <w:pPr>
        <w:pStyle w:val="TOC8"/>
        <w:rPr>
          <w:rFonts w:asciiTheme="minorHAnsi" w:eastAsiaTheme="minorEastAsia" w:hAnsiTheme="minorHAnsi" w:cstheme="minorBidi"/>
          <w:szCs w:val="22"/>
        </w:rPr>
      </w:pPr>
      <w:r>
        <w:t>104F.</w:t>
      </w:r>
      <w:r>
        <w:tab/>
        <w:t>Licensed suppliers to lodge returns and pay continuing lotteries levy</w:t>
      </w:r>
      <w:r>
        <w:tab/>
      </w:r>
      <w:r>
        <w:fldChar w:fldCharType="begin"/>
      </w:r>
      <w:r>
        <w:instrText xml:space="preserve"> PAGEREF _Toc402969462 \h </w:instrText>
      </w:r>
      <w:r>
        <w:fldChar w:fldCharType="separate"/>
      </w:r>
      <w:r>
        <w:t>130</w:t>
      </w:r>
      <w:r>
        <w:fldChar w:fldCharType="end"/>
      </w:r>
    </w:p>
    <w:p>
      <w:pPr>
        <w:pStyle w:val="TOC8"/>
        <w:rPr>
          <w:rFonts w:asciiTheme="minorHAnsi" w:eastAsiaTheme="minorEastAsia" w:hAnsiTheme="minorHAnsi" w:cstheme="minorBidi"/>
          <w:szCs w:val="22"/>
        </w:rPr>
      </w:pPr>
      <w:r>
        <w:t>104G.</w:t>
      </w:r>
      <w:r>
        <w:tab/>
        <w:t>Continuing lotteries levy, application of</w:t>
      </w:r>
      <w:r>
        <w:tab/>
      </w:r>
      <w:r>
        <w:fldChar w:fldCharType="begin"/>
      </w:r>
      <w:r>
        <w:instrText xml:space="preserve"> PAGEREF _Toc402969463 \h </w:instrText>
      </w:r>
      <w:r>
        <w:fldChar w:fldCharType="separate"/>
      </w:r>
      <w:r>
        <w:t>131</w:t>
      </w:r>
      <w:r>
        <w:fldChar w:fldCharType="end"/>
      </w:r>
    </w:p>
    <w:p>
      <w:pPr>
        <w:pStyle w:val="TOC8"/>
        <w:rPr>
          <w:rFonts w:asciiTheme="minorHAnsi" w:eastAsiaTheme="minorEastAsia" w:hAnsiTheme="minorHAnsi" w:cstheme="minorBidi"/>
          <w:szCs w:val="22"/>
        </w:rPr>
      </w:pPr>
      <w:r>
        <w:t>104H.</w:t>
      </w:r>
      <w:r>
        <w:tab/>
        <w:t>Exemption from levy</w:t>
      </w:r>
      <w:r>
        <w:tab/>
      </w:r>
      <w:r>
        <w:fldChar w:fldCharType="begin"/>
      </w:r>
      <w:r>
        <w:instrText xml:space="preserve"> PAGEREF _Toc402969464 \h </w:instrText>
      </w:r>
      <w:r>
        <w:fldChar w:fldCharType="separate"/>
      </w:r>
      <w:r>
        <w:t>132</w:t>
      </w:r>
      <w:r>
        <w:fldChar w:fldCharType="end"/>
      </w:r>
    </w:p>
    <w:p>
      <w:pPr>
        <w:pStyle w:val="TOC8"/>
        <w:rPr>
          <w:rFonts w:asciiTheme="minorHAnsi" w:eastAsiaTheme="minorEastAsia" w:hAnsiTheme="minorHAnsi" w:cstheme="minorBidi"/>
          <w:szCs w:val="22"/>
        </w:rPr>
      </w:pPr>
      <w:r>
        <w:t>104I.</w:t>
      </w:r>
      <w:r>
        <w:tab/>
        <w:t>Refund of levy</w:t>
      </w:r>
      <w:r>
        <w:tab/>
      </w:r>
      <w:r>
        <w:fldChar w:fldCharType="begin"/>
      </w:r>
      <w:r>
        <w:instrText xml:space="preserve"> PAGEREF _Toc402969465 \h </w:instrText>
      </w:r>
      <w:r>
        <w:fldChar w:fldCharType="separate"/>
      </w:r>
      <w:r>
        <w:t>132</w:t>
      </w:r>
      <w:r>
        <w:fldChar w:fldCharType="end"/>
      </w:r>
    </w:p>
    <w:p>
      <w:pPr>
        <w:pStyle w:val="TOC8"/>
        <w:rPr>
          <w:rFonts w:asciiTheme="minorHAnsi" w:eastAsiaTheme="minorEastAsia" w:hAnsiTheme="minorHAnsi" w:cstheme="minorBidi"/>
          <w:szCs w:val="22"/>
        </w:rPr>
      </w:pPr>
      <w:r>
        <w:t>104J.</w:t>
      </w:r>
      <w:r>
        <w:tab/>
        <w:t>Tickets, protecting and accounting for; estimating levy for lost etc. tickets</w:t>
      </w:r>
      <w:r>
        <w:tab/>
      </w:r>
      <w:r>
        <w:fldChar w:fldCharType="begin"/>
      </w:r>
      <w:r>
        <w:instrText xml:space="preserve"> PAGEREF _Toc402969466 \h </w:instrText>
      </w:r>
      <w:r>
        <w:fldChar w:fldCharType="separate"/>
      </w:r>
      <w:r>
        <w:t>133</w:t>
      </w:r>
      <w:r>
        <w:fldChar w:fldCharType="end"/>
      </w:r>
    </w:p>
    <w:p>
      <w:pPr>
        <w:pStyle w:val="TOC8"/>
        <w:rPr>
          <w:rFonts w:asciiTheme="minorHAnsi" w:eastAsiaTheme="minorEastAsia" w:hAnsiTheme="minorHAnsi" w:cstheme="minorBidi"/>
          <w:szCs w:val="22"/>
        </w:rPr>
      </w:pPr>
      <w:r>
        <w:t>104K.</w:t>
      </w:r>
      <w:r>
        <w:tab/>
        <w:t>Tickets may be given to Commission for destruction</w:t>
      </w:r>
      <w:r>
        <w:tab/>
      </w:r>
      <w:r>
        <w:fldChar w:fldCharType="begin"/>
      </w:r>
      <w:r>
        <w:instrText xml:space="preserve"> PAGEREF _Toc402969467 \h </w:instrText>
      </w:r>
      <w:r>
        <w:fldChar w:fldCharType="separate"/>
      </w:r>
      <w:r>
        <w:t>134</w:t>
      </w:r>
      <w:r>
        <w:fldChar w:fldCharType="end"/>
      </w:r>
    </w:p>
    <w:p>
      <w:pPr>
        <w:pStyle w:val="TOC8"/>
        <w:rPr>
          <w:rFonts w:asciiTheme="minorHAnsi" w:eastAsiaTheme="minorEastAsia" w:hAnsiTheme="minorHAnsi" w:cstheme="minorBidi"/>
          <w:szCs w:val="22"/>
        </w:rPr>
      </w:pPr>
      <w:r>
        <w:t>104L.</w:t>
      </w:r>
      <w:r>
        <w:tab/>
        <w:t>Offences by licensed suppliers</w:t>
      </w:r>
      <w:r>
        <w:tab/>
      </w:r>
      <w:r>
        <w:fldChar w:fldCharType="begin"/>
      </w:r>
      <w:r>
        <w:instrText xml:space="preserve"> PAGEREF _Toc402969468 \h </w:instrText>
      </w:r>
      <w:r>
        <w:fldChar w:fldCharType="separate"/>
      </w:r>
      <w:r>
        <w:t>134</w:t>
      </w:r>
      <w:r>
        <w:fldChar w:fldCharType="end"/>
      </w:r>
    </w:p>
    <w:p>
      <w:pPr>
        <w:pStyle w:val="TOC8"/>
        <w:rPr>
          <w:rFonts w:asciiTheme="minorHAnsi" w:eastAsiaTheme="minorEastAsia" w:hAnsiTheme="minorHAnsi" w:cstheme="minorBidi"/>
          <w:szCs w:val="22"/>
        </w:rPr>
      </w:pPr>
      <w:r>
        <w:t>104M.</w:t>
      </w:r>
      <w:r>
        <w:tab/>
        <w:t>Offences involving continuing lottery tickets</w:t>
      </w:r>
      <w:r>
        <w:tab/>
      </w:r>
      <w:r>
        <w:fldChar w:fldCharType="begin"/>
      </w:r>
      <w:r>
        <w:instrText xml:space="preserve"> PAGEREF _Toc402969469 \h </w:instrText>
      </w:r>
      <w:r>
        <w:fldChar w:fldCharType="separate"/>
      </w:r>
      <w:r>
        <w:t>136</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Continuing lotteries, use of vending machines to sell tickets for</w:t>
      </w:r>
      <w:r>
        <w:tab/>
      </w:r>
      <w:r>
        <w:fldChar w:fldCharType="begin"/>
      </w:r>
      <w:r>
        <w:instrText xml:space="preserve"> PAGEREF _Toc402969470 \h </w:instrText>
      </w:r>
      <w:r>
        <w:fldChar w:fldCharType="separate"/>
      </w:r>
      <w:r>
        <w:t>136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Offences involving lotteries</w:t>
      </w:r>
      <w:r>
        <w:tab/>
      </w:r>
      <w:r>
        <w:fldChar w:fldCharType="begin"/>
      </w:r>
      <w:r>
        <w:instrText xml:space="preserve"> PAGEREF _Toc402969471 \h </w:instrText>
      </w:r>
      <w:r>
        <w:fldChar w:fldCharType="separate"/>
      </w:r>
      <w:r>
        <w:t>137</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Amusements with prizes, which are permitted</w:t>
      </w:r>
      <w:r>
        <w:tab/>
      </w:r>
      <w:r>
        <w:fldChar w:fldCharType="begin"/>
      </w:r>
      <w:r>
        <w:instrText xml:space="preserve"> PAGEREF _Toc402969472 \h </w:instrText>
      </w:r>
      <w:r>
        <w:fldChar w:fldCharType="separate"/>
      </w:r>
      <w:r>
        <w:t>138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Some fund raising activities deemed permitted amusement with prizes</w:t>
      </w:r>
      <w:r>
        <w:tab/>
      </w:r>
      <w:r>
        <w:fldChar w:fldCharType="begin"/>
      </w:r>
      <w:r>
        <w:instrText xml:space="preserve"> PAGEREF _Toc402969473 \h </w:instrText>
      </w:r>
      <w:r>
        <w:fldChar w:fldCharType="separate"/>
      </w:r>
      <w:r>
        <w:t>140</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Regulations for this Division</w:t>
      </w:r>
      <w:r>
        <w:tab/>
      </w:r>
      <w:r>
        <w:fldChar w:fldCharType="begin"/>
      </w:r>
      <w:r>
        <w:instrText xml:space="preserve"> PAGEREF _Toc402969474 \h </w:instrText>
      </w:r>
      <w:r>
        <w:fldChar w:fldCharType="separate"/>
      </w:r>
      <w:r>
        <w:t>141</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Unclaimed winnings</w:t>
      </w:r>
    </w:p>
    <w:p>
      <w:pPr>
        <w:pStyle w:val="TOC8"/>
        <w:rPr>
          <w:rFonts w:asciiTheme="minorHAnsi" w:eastAsiaTheme="minorEastAsia" w:hAnsiTheme="minorHAnsi" w:cstheme="minorBidi"/>
          <w:szCs w:val="22"/>
        </w:rPr>
      </w:pPr>
      <w:r>
        <w:t>109A.</w:t>
      </w:r>
      <w:r>
        <w:tab/>
        <w:t>Terms used</w:t>
      </w:r>
      <w:r>
        <w:tab/>
      </w:r>
      <w:r>
        <w:fldChar w:fldCharType="begin"/>
      </w:r>
      <w:r>
        <w:instrText xml:space="preserve"> PAGEREF _Toc402969476 \h </w:instrText>
      </w:r>
      <w:r>
        <w:fldChar w:fldCharType="separate"/>
      </w:r>
      <w:r>
        <w:t>142</w:t>
      </w:r>
      <w:r>
        <w:fldChar w:fldCharType="end"/>
      </w:r>
    </w:p>
    <w:p>
      <w:pPr>
        <w:pStyle w:val="TOC8"/>
        <w:rPr>
          <w:rFonts w:asciiTheme="minorHAnsi" w:eastAsiaTheme="minorEastAsia" w:hAnsiTheme="minorHAnsi" w:cstheme="minorBidi"/>
          <w:szCs w:val="22"/>
        </w:rPr>
      </w:pPr>
      <w:r>
        <w:t>109B.</w:t>
      </w:r>
      <w:r>
        <w:tab/>
        <w:t>Unclaimed winnings, Commission to be notified of etc.</w:t>
      </w:r>
      <w:r>
        <w:tab/>
      </w:r>
      <w:r>
        <w:fldChar w:fldCharType="begin"/>
      </w:r>
      <w:r>
        <w:instrText xml:space="preserve"> PAGEREF _Toc402969477 \h </w:instrText>
      </w:r>
      <w:r>
        <w:fldChar w:fldCharType="separate"/>
      </w:r>
      <w:r>
        <w:t>142</w:t>
      </w:r>
      <w:r>
        <w:fldChar w:fldCharType="end"/>
      </w:r>
    </w:p>
    <w:p>
      <w:pPr>
        <w:pStyle w:val="TOC8"/>
        <w:rPr>
          <w:rFonts w:asciiTheme="minorHAnsi" w:eastAsiaTheme="minorEastAsia" w:hAnsiTheme="minorHAnsi" w:cstheme="minorBidi"/>
          <w:szCs w:val="22"/>
        </w:rPr>
      </w:pPr>
      <w:r>
        <w:t>109C.</w:t>
      </w:r>
      <w:r>
        <w:tab/>
        <w:t>Gaming Community Trust Account</w:t>
      </w:r>
      <w:r>
        <w:tab/>
      </w:r>
      <w:r>
        <w:fldChar w:fldCharType="begin"/>
      </w:r>
      <w:r>
        <w:instrText xml:space="preserve"> PAGEREF _Toc402969478 \h </w:instrText>
      </w:r>
      <w:r>
        <w:fldChar w:fldCharType="separate"/>
      </w:r>
      <w:r>
        <w:t>144</w:t>
      </w:r>
      <w:r>
        <w:fldChar w:fldCharType="end"/>
      </w:r>
    </w:p>
    <w:p>
      <w:pPr>
        <w:pStyle w:val="TOC8"/>
        <w:rPr>
          <w:rFonts w:asciiTheme="minorHAnsi" w:eastAsiaTheme="minorEastAsia" w:hAnsiTheme="minorHAnsi" w:cstheme="minorBidi"/>
          <w:szCs w:val="22"/>
        </w:rPr>
      </w:pPr>
      <w:r>
        <w:t>109D.</w:t>
      </w:r>
      <w:r>
        <w:tab/>
        <w:t>Gaming Community Trust</w:t>
      </w:r>
      <w:r>
        <w:tab/>
      </w:r>
      <w:r>
        <w:fldChar w:fldCharType="begin"/>
      </w:r>
      <w:r>
        <w:instrText xml:space="preserve"> PAGEREF _Toc402969479 \h </w:instrText>
      </w:r>
      <w:r>
        <w:fldChar w:fldCharType="separate"/>
      </w:r>
      <w:r>
        <w:t>144</w:t>
      </w:r>
      <w:r>
        <w:fldChar w:fldCharType="end"/>
      </w:r>
    </w:p>
    <w:p>
      <w:pPr>
        <w:pStyle w:val="TOC2"/>
        <w:tabs>
          <w:tab w:val="right" w:leader="dot" w:pos="7086"/>
        </w:tabs>
        <w:rPr>
          <w:rFonts w:asciiTheme="minorHAnsi" w:eastAsiaTheme="minorEastAsia" w:hAnsiTheme="minorHAnsi" w:cstheme="minorBidi"/>
          <w:b w:val="0"/>
          <w:sz w:val="22"/>
          <w:szCs w:val="22"/>
        </w:rPr>
      </w:pPr>
      <w:r>
        <w:t>Part VA — Supervision of RWWA</w:t>
      </w:r>
    </w:p>
    <w:p>
      <w:pPr>
        <w:pStyle w:val="TOC8"/>
        <w:rPr>
          <w:rFonts w:asciiTheme="minorHAnsi" w:eastAsiaTheme="minorEastAsia" w:hAnsiTheme="minorHAnsi" w:cstheme="minorBidi"/>
          <w:szCs w:val="22"/>
        </w:rPr>
      </w:pPr>
      <w:r>
        <w:t>109E.</w:t>
      </w:r>
      <w:r>
        <w:tab/>
        <w:t>Gambling operations of RWWA, meaning of</w:t>
      </w:r>
      <w:r>
        <w:tab/>
      </w:r>
      <w:r>
        <w:fldChar w:fldCharType="begin"/>
      </w:r>
      <w:r>
        <w:instrText xml:space="preserve"> PAGEREF _Toc402969481 \h </w:instrText>
      </w:r>
      <w:r>
        <w:fldChar w:fldCharType="separate"/>
      </w:r>
      <w:r>
        <w:t>146</w:t>
      </w:r>
      <w:r>
        <w:fldChar w:fldCharType="end"/>
      </w:r>
    </w:p>
    <w:p>
      <w:pPr>
        <w:pStyle w:val="TOC8"/>
        <w:rPr>
          <w:rFonts w:asciiTheme="minorHAnsi" w:eastAsiaTheme="minorEastAsia" w:hAnsiTheme="minorHAnsi" w:cstheme="minorBidi"/>
          <w:szCs w:val="22"/>
        </w:rPr>
      </w:pPr>
      <w:r>
        <w:t>109F.</w:t>
      </w:r>
      <w:r>
        <w:tab/>
        <w:t>Supervision of RWWA by Commission etc.</w:t>
      </w:r>
      <w:r>
        <w:tab/>
      </w:r>
      <w:r>
        <w:fldChar w:fldCharType="begin"/>
      </w:r>
      <w:r>
        <w:instrText xml:space="preserve"> PAGEREF _Toc402969482 \h </w:instrText>
      </w:r>
      <w:r>
        <w:fldChar w:fldCharType="separate"/>
      </w:r>
      <w:r>
        <w:t>146</w:t>
      </w:r>
      <w:r>
        <w:fldChar w:fldCharType="end"/>
      </w:r>
    </w:p>
    <w:p>
      <w:pPr>
        <w:pStyle w:val="TOC8"/>
        <w:rPr>
          <w:rFonts w:asciiTheme="minorHAnsi" w:eastAsiaTheme="minorEastAsia" w:hAnsiTheme="minorHAnsi" w:cstheme="minorBidi"/>
          <w:szCs w:val="22"/>
        </w:rPr>
      </w:pPr>
      <w:r>
        <w:t>109G.</w:t>
      </w:r>
      <w:r>
        <w:tab/>
        <w:t>Directions to RWWA, Commission may give</w:t>
      </w:r>
      <w:r>
        <w:tab/>
      </w:r>
      <w:r>
        <w:fldChar w:fldCharType="begin"/>
      </w:r>
      <w:r>
        <w:instrText xml:space="preserve"> PAGEREF _Toc402969483 \h </w:instrText>
      </w:r>
      <w:r>
        <w:fldChar w:fldCharType="separate"/>
      </w:r>
      <w:r>
        <w:t>147</w:t>
      </w:r>
      <w:r>
        <w:fldChar w:fldCharType="end"/>
      </w:r>
    </w:p>
    <w:p>
      <w:pPr>
        <w:pStyle w:val="TOC8"/>
        <w:rPr>
          <w:rFonts w:asciiTheme="minorHAnsi" w:eastAsiaTheme="minorEastAsia" w:hAnsiTheme="minorHAnsi" w:cstheme="minorBidi"/>
          <w:szCs w:val="22"/>
        </w:rPr>
      </w:pPr>
      <w:r>
        <w:t>109H.</w:t>
      </w:r>
      <w:r>
        <w:tab/>
        <w:t>RWWA must comply with directions</w:t>
      </w:r>
      <w:r>
        <w:tab/>
      </w:r>
      <w:r>
        <w:fldChar w:fldCharType="begin"/>
      </w:r>
      <w:r>
        <w:instrText xml:space="preserve"> PAGEREF _Toc402969484 \h </w:instrText>
      </w:r>
      <w:r>
        <w:fldChar w:fldCharType="separate"/>
      </w:r>
      <w:r>
        <w:t>147</w:t>
      </w:r>
      <w:r>
        <w:fldChar w:fldCharType="end"/>
      </w:r>
    </w:p>
    <w:p>
      <w:pPr>
        <w:pStyle w:val="TOC8"/>
        <w:rPr>
          <w:rFonts w:asciiTheme="minorHAnsi" w:eastAsiaTheme="minorEastAsia" w:hAnsiTheme="minorHAnsi" w:cstheme="minorBidi"/>
          <w:szCs w:val="22"/>
        </w:rPr>
      </w:pPr>
      <w:r>
        <w:t>109I.</w:t>
      </w:r>
      <w:r>
        <w:tab/>
        <w:t>Complaints about RWWA, Commission’s functions as to</w:t>
      </w:r>
      <w:r>
        <w:tab/>
      </w:r>
      <w:r>
        <w:fldChar w:fldCharType="begin"/>
      </w:r>
      <w:r>
        <w:instrText xml:space="preserve"> PAGEREF _Toc402969485 \h </w:instrText>
      </w:r>
      <w:r>
        <w:fldChar w:fldCharType="separate"/>
      </w:r>
      <w:r>
        <w:t>148</w:t>
      </w:r>
      <w:r>
        <w:fldChar w:fldCharType="end"/>
      </w:r>
    </w:p>
    <w:p>
      <w:pPr>
        <w:pStyle w:val="TOC8"/>
        <w:rPr>
          <w:rFonts w:asciiTheme="minorHAnsi" w:eastAsiaTheme="minorEastAsia" w:hAnsiTheme="minorHAnsi" w:cstheme="minorBidi"/>
          <w:szCs w:val="22"/>
        </w:rPr>
      </w:pPr>
      <w:r>
        <w:t>109J.</w:t>
      </w:r>
      <w:r>
        <w:tab/>
        <w:t>Reports on and inquiries into RWWA</w:t>
      </w:r>
      <w:r>
        <w:tab/>
      </w:r>
      <w:r>
        <w:fldChar w:fldCharType="begin"/>
      </w:r>
      <w:r>
        <w:instrText xml:space="preserve"> PAGEREF _Toc402969486 \h </w:instrText>
      </w:r>
      <w:r>
        <w:fldChar w:fldCharType="separate"/>
      </w:r>
      <w:r>
        <w:t>148</w:t>
      </w:r>
      <w:r>
        <w:fldChar w:fldCharType="end"/>
      </w:r>
    </w:p>
    <w:p>
      <w:pPr>
        <w:pStyle w:val="TOC8"/>
        <w:rPr>
          <w:rFonts w:asciiTheme="minorHAnsi" w:eastAsiaTheme="minorEastAsia" w:hAnsiTheme="minorHAnsi" w:cstheme="minorBidi"/>
          <w:szCs w:val="22"/>
        </w:rPr>
      </w:pPr>
      <w:r>
        <w:t>109K.</w:t>
      </w:r>
      <w:r>
        <w:tab/>
        <w:t>Report or inquiry under s. 109J, Minister’s powers following</w:t>
      </w:r>
      <w:r>
        <w:tab/>
      </w:r>
      <w:r>
        <w:fldChar w:fldCharType="begin"/>
      </w:r>
      <w:r>
        <w:instrText xml:space="preserve"> PAGEREF _Toc402969487 \h </w:instrText>
      </w:r>
      <w:r>
        <w:fldChar w:fldCharType="separate"/>
      </w:r>
      <w:r>
        <w:t>150</w:t>
      </w:r>
      <w:r>
        <w:fldChar w:fldCharType="end"/>
      </w:r>
    </w:p>
    <w:p>
      <w:pPr>
        <w:pStyle w:val="TOC2"/>
        <w:tabs>
          <w:tab w:val="right" w:leader="dot" w:pos="7086"/>
        </w:tabs>
        <w:rPr>
          <w:rFonts w:asciiTheme="minorHAnsi" w:eastAsiaTheme="minorEastAsia" w:hAnsiTheme="minorHAnsi" w:cstheme="minorBidi"/>
          <w:b w:val="0"/>
          <w:sz w:val="22"/>
          <w:szCs w:val="22"/>
        </w:rPr>
      </w:pPr>
      <w:r>
        <w:t>Part VI — Ancillary</w:t>
      </w:r>
    </w:p>
    <w:p>
      <w:pPr>
        <w:pStyle w:val="TOC8"/>
        <w:rPr>
          <w:rFonts w:asciiTheme="minorHAnsi" w:eastAsiaTheme="minorEastAsia" w:hAnsiTheme="minorHAnsi" w:cstheme="minorBidi"/>
          <w:szCs w:val="22"/>
        </w:rPr>
      </w:pPr>
      <w:r>
        <w:t>110</w:t>
      </w:r>
      <w:r>
        <w:rPr>
          <w:snapToGrid w:val="0"/>
        </w:rPr>
        <w:t>.</w:t>
      </w:r>
      <w:r>
        <w:rPr>
          <w:snapToGrid w:val="0"/>
        </w:rPr>
        <w:tab/>
        <w:t>Gambling on premises licensed for retail sale of liquor</w:t>
      </w:r>
      <w:r>
        <w:tab/>
      </w:r>
      <w:r>
        <w:fldChar w:fldCharType="begin"/>
      </w:r>
      <w:r>
        <w:instrText xml:space="preserve"> PAGEREF _Toc402969489 \h </w:instrText>
      </w:r>
      <w:r>
        <w:fldChar w:fldCharType="separate"/>
      </w:r>
      <w:r>
        <w:t>152</w:t>
      </w:r>
      <w:r>
        <w:fldChar w:fldCharType="end"/>
      </w:r>
    </w:p>
    <w:p>
      <w:pPr>
        <w:pStyle w:val="TOC8"/>
        <w:rPr>
          <w:rFonts w:asciiTheme="minorHAnsi" w:eastAsiaTheme="minorEastAsia" w:hAnsiTheme="minorHAnsi" w:cstheme="minorBidi"/>
          <w:szCs w:val="22"/>
        </w:rPr>
      </w:pPr>
      <w:r>
        <w:t>110A.</w:t>
      </w:r>
      <w:r>
        <w:tab/>
        <w:t>Sports Wagering Account</w:t>
      </w:r>
      <w:r>
        <w:tab/>
      </w:r>
      <w:r>
        <w:fldChar w:fldCharType="begin"/>
      </w:r>
      <w:r>
        <w:instrText xml:space="preserve"> PAGEREF _Toc402969490 \h </w:instrText>
      </w:r>
      <w:r>
        <w:fldChar w:fldCharType="separate"/>
      </w:r>
      <w:r>
        <w:t>153</w:t>
      </w:r>
      <w:r>
        <w:fldChar w:fldCharType="end"/>
      </w:r>
    </w:p>
    <w:p>
      <w:pPr>
        <w:pStyle w:val="TOC8"/>
        <w:rPr>
          <w:rFonts w:asciiTheme="minorHAnsi" w:eastAsiaTheme="minorEastAsia" w:hAnsiTheme="minorHAnsi" w:cstheme="minorBidi"/>
          <w:szCs w:val="22"/>
        </w:rPr>
      </w:pPr>
      <w:r>
        <w:t>110B.</w:t>
      </w:r>
      <w:r>
        <w:tab/>
        <w:t>Racing Bets Levy Account</w:t>
      </w:r>
      <w:r>
        <w:tab/>
      </w:r>
      <w:r>
        <w:fldChar w:fldCharType="begin"/>
      </w:r>
      <w:r>
        <w:instrText xml:space="preserve"> PAGEREF _Toc402969491 \h </w:instrText>
      </w:r>
      <w:r>
        <w:fldChar w:fldCharType="separate"/>
      </w:r>
      <w:r>
        <w:t>154</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Burswood Casino Agreement cl. 22, when Commission may decide questions as to</w:t>
      </w:r>
      <w:r>
        <w:tab/>
      </w:r>
      <w:r>
        <w:fldChar w:fldCharType="begin"/>
      </w:r>
      <w:r>
        <w:instrText xml:space="preserve"> PAGEREF _Toc402969492 \h </w:instrText>
      </w:r>
      <w:r>
        <w:fldChar w:fldCharType="separate"/>
      </w:r>
      <w:r>
        <w:t>155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 xml:space="preserve">Transitional provisions as to </w:t>
      </w:r>
      <w:r>
        <w:rPr>
          <w:i/>
          <w:snapToGrid w:val="0"/>
        </w:rPr>
        <w:t>Casino Control Act 1984</w:t>
      </w:r>
      <w:r>
        <w:tab/>
      </w:r>
      <w:r>
        <w:fldChar w:fldCharType="begin"/>
      </w:r>
      <w:r>
        <w:instrText xml:space="preserve"> PAGEREF _Toc402969493 \h </w:instrText>
      </w:r>
      <w:r>
        <w:fldChar w:fldCharType="separate"/>
      </w:r>
      <w:r>
        <w:t>155</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Regulations</w:t>
      </w:r>
      <w:r>
        <w:tab/>
      </w:r>
      <w:r>
        <w:fldChar w:fldCharType="begin"/>
      </w:r>
      <w:r>
        <w:instrText xml:space="preserve"> PAGEREF _Toc402969494 \h </w:instrText>
      </w:r>
      <w:r>
        <w:fldChar w:fldCharType="separate"/>
      </w:r>
      <w:r>
        <w:t>156</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_Toc402969496 \h </w:instrText>
      </w:r>
      <w:r>
        <w:fldChar w:fldCharType="separate"/>
      </w:r>
      <w:r>
        <w:t>158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_Toc402969497 \h </w:instrText>
      </w:r>
      <w:r>
        <w:fldChar w:fldCharType="separate"/>
      </w:r>
      <w:r>
        <w:t>161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t>Western Australia</w:t>
      </w:r>
    </w:p>
    <w:p>
      <w:pPr>
        <w:pStyle w:val="NameofActReg"/>
      </w:pPr>
      <w:r>
        <w:t>Gaming and Wagering Commission Act 1987</w:t>
      </w:r>
    </w:p>
    <w:p>
      <w:pPr>
        <w:pStyle w:val="LongTitle"/>
        <w:spacing w:before="360"/>
        <w:rPr>
          <w:snapToGrid w:val="0"/>
        </w:rPr>
      </w:pPr>
      <w:r>
        <w:rPr>
          <w:snapToGrid w:val="0"/>
        </w:rPr>
        <w:t xml:space="preserve">An Act to constitute the Gaming and Wagering Commission of </w:t>
      </w:r>
      <w:smartTag w:uri="urn:schemas-microsoft-com:office:smarttags" w:element="place">
        <w:smartTag w:uri="urn:schemas-microsoft-com:office:smarttags" w:element="State">
          <w:r>
            <w:rPr>
              <w:snapToGrid w:val="0"/>
            </w:rPr>
            <w:t>Western Australia</w:t>
          </w:r>
        </w:smartTag>
      </w:smartTag>
      <w:r>
        <w:rPr>
          <w:snapToGrid w:val="0"/>
        </w:rPr>
        <w:t>, to consolidate and amend the law relating to gaming and wagering, and for related purposes.</w:t>
      </w:r>
    </w:p>
    <w:p>
      <w:pPr>
        <w:pStyle w:val="Footnotelongtitle"/>
      </w:pPr>
      <w:r>
        <w:tab/>
        <w:t>[Long title amended by No. 35 of 2003 s. 121.]</w:t>
      </w:r>
    </w:p>
    <w:p>
      <w:pPr>
        <w:pStyle w:val="Heading2"/>
      </w:pPr>
      <w:bookmarkStart w:id="1" w:name="_Toc402969346"/>
      <w:r>
        <w:rPr>
          <w:rStyle w:val="CharPartNo"/>
        </w:rPr>
        <w:t>Part I</w:t>
      </w:r>
      <w:r>
        <w:rPr>
          <w:rStyle w:val="CharDivNo"/>
        </w:rPr>
        <w:t> </w:t>
      </w:r>
      <w:r>
        <w:t>—</w:t>
      </w:r>
      <w:r>
        <w:rPr>
          <w:rStyle w:val="CharDivText"/>
        </w:rPr>
        <w:t> </w:t>
      </w:r>
      <w:r>
        <w:rPr>
          <w:rStyle w:val="CharPartText"/>
        </w:rPr>
        <w:t>Preliminary</w:t>
      </w:r>
      <w:bookmarkEnd w:id="1"/>
    </w:p>
    <w:p>
      <w:pPr>
        <w:pStyle w:val="Heading5"/>
        <w:rPr>
          <w:snapToGrid w:val="0"/>
        </w:rPr>
      </w:pPr>
      <w:bookmarkStart w:id="2" w:name="_Toc402969347"/>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3" w:name="_Toc402969348"/>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 w:name="_Toc402969349"/>
      <w:r>
        <w:rPr>
          <w:rStyle w:val="CharSectno"/>
        </w:rPr>
        <w:t>3</w:t>
      </w:r>
      <w:r>
        <w:rPr>
          <w:snapToGrid w:val="0"/>
        </w:rPr>
        <w:t>.</w:t>
      </w:r>
      <w:r>
        <w:rPr>
          <w:snapToGrid w:val="0"/>
        </w:rPr>
        <w:tab/>
        <w:t>Terms used</w:t>
      </w:r>
      <w:bookmarkEnd w:id="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w:t>
      </w:r>
    </w:p>
    <w:p>
      <w:pPr>
        <w:pStyle w:val="Defpara"/>
      </w:pPr>
      <w:r>
        <w:tab/>
        <w:t>(a)</w:t>
      </w:r>
      <w:r>
        <w:tab/>
        <w:t>a member of the Commission; or</w:t>
      </w:r>
    </w:p>
    <w:p>
      <w:pPr>
        <w:pStyle w:val="Defpara"/>
      </w:pPr>
      <w:r>
        <w:tab/>
        <w:t>(b)</w:t>
      </w:r>
      <w:r>
        <w:tab/>
        <w:t xml:space="preserve">the Chief Casino Officer, a government inspector or any other person appointed for the purposes of section 9(1) of the </w:t>
      </w:r>
      <w:r>
        <w:rPr>
          <w:i/>
        </w:rPr>
        <w:t>Casino Control Act 1984</w:t>
      </w:r>
      <w:r>
        <w:t>; or</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xml:space="preserve">, in relation to the interpretation of the term </w:t>
      </w:r>
      <w:r>
        <w:rPr>
          <w:b/>
          <w:i/>
        </w:rPr>
        <w:t>common gaming house</w:t>
      </w:r>
      <w:r>
        <w:t>,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 and</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 and</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any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keepNext/>
      </w:pPr>
      <w:r>
        <w:rPr>
          <w:b/>
        </w:rPr>
        <w:tab/>
      </w:r>
      <w:r>
        <w:rPr>
          <w:rStyle w:val="CharDefText"/>
        </w:rPr>
        <w:t>token</w:t>
      </w:r>
      <w:r>
        <w:t xml:space="preserve"> means a gaming chip or other substitute for money which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up gaming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w:t>
      </w:r>
    </w:p>
    <w:p>
      <w:pPr>
        <w:pStyle w:val="Defpara"/>
      </w:pPr>
      <w:r>
        <w:tab/>
        <w:t>(a)</w:t>
      </w:r>
      <w:r>
        <w:tab/>
        <w:t>on some question to be decided; or</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For the purposes of this Act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For removal of doubt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[Section 3 amended by No. 16 of 1990 s. 33; No. 14 of 1996 s. 4; No. 24 of 1998 s. 33; No. 6 of 2000 s. 9; No. 35 of 2003 s. 123, 166 and 167.]</w:t>
      </w:r>
    </w:p>
    <w:p>
      <w:pPr>
        <w:pStyle w:val="Heading2"/>
      </w:pPr>
      <w:bookmarkStart w:id="5" w:name="_Toc402969350"/>
      <w:r>
        <w:rPr>
          <w:rStyle w:val="CharPartNo"/>
        </w:rPr>
        <w:t>Part II</w:t>
      </w:r>
      <w:r>
        <w:t> — </w:t>
      </w:r>
      <w:r>
        <w:rPr>
          <w:rStyle w:val="CharPartText"/>
        </w:rPr>
        <w:t>The Commission</w:t>
      </w:r>
      <w:bookmarkEnd w:id="5"/>
    </w:p>
    <w:p>
      <w:pPr>
        <w:pStyle w:val="Heading3"/>
      </w:pPr>
      <w:bookmarkStart w:id="6" w:name="_Toc402969351"/>
      <w:r>
        <w:rPr>
          <w:rStyle w:val="CharDivNo"/>
        </w:rPr>
        <w:t>Division 1</w:t>
      </w:r>
      <w:r>
        <w:rPr>
          <w:snapToGrid w:val="0"/>
        </w:rPr>
        <w:t> — </w:t>
      </w:r>
      <w:r>
        <w:rPr>
          <w:rStyle w:val="CharDivText"/>
        </w:rPr>
        <w:t>Administration</w:t>
      </w:r>
      <w:bookmarkEnd w:id="6"/>
    </w:p>
    <w:p>
      <w:pPr>
        <w:pStyle w:val="Heading5"/>
        <w:rPr>
          <w:snapToGrid w:val="0"/>
        </w:rPr>
      </w:pPr>
      <w:bookmarkStart w:id="7" w:name="_Toc402969352"/>
      <w:r>
        <w:rPr>
          <w:rStyle w:val="CharSectno"/>
        </w:rPr>
        <w:t>4</w:t>
      </w:r>
      <w:r>
        <w:rPr>
          <w:snapToGrid w:val="0"/>
        </w:rPr>
        <w:t>.</w:t>
      </w:r>
      <w:r>
        <w:rPr>
          <w:snapToGrid w:val="0"/>
        </w:rPr>
        <w:tab/>
        <w:t>Gaming and Wagering Commission established</w:t>
      </w:r>
      <w:bookmarkEnd w:id="7"/>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w:t>
      </w:r>
    </w:p>
    <w:p>
      <w:pPr>
        <w:pStyle w:val="Indenta"/>
        <w:spacing w:before="70"/>
        <w:rPr>
          <w:snapToGrid w:val="0"/>
        </w:rPr>
      </w:pPr>
      <w:r>
        <w:rPr>
          <w:snapToGrid w:val="0"/>
        </w:rPr>
        <w:tab/>
        <w:t>(a)</w:t>
      </w:r>
      <w:r>
        <w:rPr>
          <w:snapToGrid w:val="0"/>
        </w:rPr>
        <w:tab/>
        <w:t>is a corporate body which under its corporate name —</w:t>
      </w:r>
    </w:p>
    <w:p>
      <w:pPr>
        <w:pStyle w:val="Indenti"/>
        <w:spacing w:before="70"/>
        <w:rPr>
          <w:snapToGrid w:val="0"/>
        </w:rPr>
      </w:pPr>
      <w:r>
        <w:rPr>
          <w:snapToGrid w:val="0"/>
        </w:rPr>
        <w:tab/>
        <w:t>(i)</w:t>
      </w:r>
      <w:r>
        <w:rPr>
          <w:snapToGrid w:val="0"/>
        </w:rPr>
        <w:tab/>
        <w:t>has perpetual succession; and</w:t>
      </w:r>
    </w:p>
    <w:p>
      <w:pPr>
        <w:pStyle w:val="Indenti"/>
        <w:spacing w:before="70"/>
        <w:rPr>
          <w:snapToGrid w:val="0"/>
        </w:rPr>
      </w:pPr>
      <w:r>
        <w:rPr>
          <w:snapToGrid w:val="0"/>
        </w:rPr>
        <w:tab/>
        <w:t>(ii)</w:t>
      </w:r>
      <w:r>
        <w:rPr>
          <w:snapToGrid w:val="0"/>
        </w:rPr>
        <w:tab/>
        <w:t>is capable, subject to this Act, of doing and suffering all that bodies corporate may lawfully do or suffer;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may have a common seal, which shall —</w:t>
      </w:r>
    </w:p>
    <w:p>
      <w:pPr>
        <w:pStyle w:val="Indenti"/>
        <w:spacing w:before="70"/>
        <w:rPr>
          <w:snapToGrid w:val="0"/>
        </w:rPr>
      </w:pPr>
      <w:r>
        <w:rPr>
          <w:snapToGrid w:val="0"/>
        </w:rPr>
        <w:tab/>
        <w:t>(i)</w:t>
      </w:r>
      <w:r>
        <w:rPr>
          <w:snapToGrid w:val="0"/>
        </w:rPr>
        <w:tab/>
        <w:t>be kept in such custody as the Commission directs; and</w:t>
      </w:r>
    </w:p>
    <w:p>
      <w:pPr>
        <w:pStyle w:val="Indenti"/>
        <w:spacing w:before="70"/>
        <w:rPr>
          <w:snapToGrid w:val="0"/>
        </w:rPr>
      </w:pPr>
      <w:r>
        <w:rPr>
          <w:snapToGrid w:val="0"/>
        </w:rPr>
        <w:tab/>
        <w:t>(ii)</w:t>
      </w:r>
      <w:r>
        <w:rPr>
          <w:snapToGrid w:val="0"/>
        </w:rPr>
        <w:tab/>
        <w:t>be used only as authorised by the Commission;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8" w:name="_Toc402969353"/>
      <w:r>
        <w:rPr>
          <w:rStyle w:val="CharSectno"/>
        </w:rPr>
        <w:t>5</w:t>
      </w:r>
      <w:r>
        <w:rPr>
          <w:snapToGrid w:val="0"/>
        </w:rPr>
        <w:t>.</w:t>
      </w:r>
      <w:r>
        <w:rPr>
          <w:snapToGrid w:val="0"/>
        </w:rPr>
        <w:tab/>
        <w:t>Trading name or symbol, use of by Commission</w:t>
      </w:r>
      <w:bookmarkEnd w:id="8"/>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9" w:name="_Toc402969354"/>
      <w:r>
        <w:rPr>
          <w:rStyle w:val="CharSectno"/>
        </w:rPr>
        <w:t>6</w:t>
      </w:r>
      <w:r>
        <w:rPr>
          <w:snapToGrid w:val="0"/>
        </w:rPr>
        <w:t>.</w:t>
      </w:r>
      <w:r>
        <w:rPr>
          <w:snapToGrid w:val="0"/>
        </w:rPr>
        <w:tab/>
        <w:t>Minister and Commission, relationship between</w:t>
      </w:r>
      <w:bookmarkEnd w:id="9"/>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[Section 6 amended by No. 16 of 1990 s. 33; No. 35 of 2003 s. 125 and 166.]</w:t>
      </w:r>
    </w:p>
    <w:p>
      <w:pPr>
        <w:pStyle w:val="Heading3"/>
      </w:pPr>
      <w:bookmarkStart w:id="10" w:name="_Toc402969355"/>
      <w:r>
        <w:rPr>
          <w:rStyle w:val="CharDivNo"/>
        </w:rPr>
        <w:t>Division 2</w:t>
      </w:r>
      <w:r>
        <w:rPr>
          <w:snapToGrid w:val="0"/>
        </w:rPr>
        <w:t> — </w:t>
      </w:r>
      <w:r>
        <w:rPr>
          <w:rStyle w:val="CharDivText"/>
        </w:rPr>
        <w:t>Duties and powers</w:t>
      </w:r>
      <w:bookmarkEnd w:id="10"/>
    </w:p>
    <w:p>
      <w:pPr>
        <w:pStyle w:val="Heading5"/>
        <w:rPr>
          <w:snapToGrid w:val="0"/>
        </w:rPr>
      </w:pPr>
      <w:bookmarkStart w:id="11" w:name="_Toc402969356"/>
      <w:r>
        <w:rPr>
          <w:rStyle w:val="CharSectno"/>
        </w:rPr>
        <w:t>7</w:t>
      </w:r>
      <w:r>
        <w:rPr>
          <w:snapToGrid w:val="0"/>
        </w:rPr>
        <w:t>.</w:t>
      </w:r>
      <w:r>
        <w:rPr>
          <w:snapToGrid w:val="0"/>
        </w:rPr>
        <w:tab/>
        <w:t>Duties of Commission</w:t>
      </w:r>
      <w:bookmarkEnd w:id="11"/>
    </w:p>
    <w:p>
      <w:pPr>
        <w:pStyle w:val="Subsection"/>
        <w:rPr>
          <w:snapToGrid w:val="0"/>
        </w:rPr>
      </w:pPr>
      <w:r>
        <w:rPr>
          <w:snapToGrid w:val="0"/>
        </w:rPr>
        <w:tab/>
        <w:t>(1)</w:t>
      </w:r>
      <w:r>
        <w:rPr>
          <w:snapToGrid w:val="0"/>
        </w:rPr>
        <w:tab/>
        <w:t>It shall be the duty of the Commission —</w:t>
      </w:r>
    </w:p>
    <w:p>
      <w:pPr>
        <w:pStyle w:val="Indenta"/>
        <w:rPr>
          <w:snapToGrid w:val="0"/>
        </w:rPr>
      </w:pPr>
      <w:r>
        <w:rPr>
          <w:snapToGrid w:val="0"/>
        </w:rPr>
        <w:tab/>
        <w:t>(a)</w:t>
      </w:r>
      <w:r>
        <w:rPr>
          <w:snapToGrid w:val="0"/>
        </w:rPr>
        <w:tab/>
        <w:t>to administer the law relating to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r>
      <w:r>
        <w:tab/>
        <w:t>and</w:t>
      </w:r>
    </w:p>
    <w:p>
      <w:pPr>
        <w:pStyle w:val="Indenta"/>
        <w:keepNext/>
      </w:pPr>
      <w:r>
        <w:tab/>
        <w:t>(b)</w:t>
      </w:r>
      <w:r>
        <w:tab/>
        <w:t>to keep under review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r>
      <w:r>
        <w:tab/>
        <w:t>and</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 and</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 and</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 and</w:t>
      </w:r>
    </w:p>
    <w:p>
      <w:pPr>
        <w:pStyle w:val="Indenta"/>
      </w:pPr>
      <w:r>
        <w:tab/>
        <w:t>(da)</w:t>
      </w:r>
      <w:r>
        <w:tab/>
        <w:t>to perform the functions of the Commission prescribed by or under the RWWA Act and to administer all matters relating to those functions; and</w:t>
      </w:r>
    </w:p>
    <w:p>
      <w:pPr>
        <w:pStyle w:val="Indenta"/>
      </w:pPr>
      <w:r>
        <w:tab/>
        <w:t>(e)</w:t>
      </w:r>
      <w:r>
        <w:tab/>
        <w:t>to cause licences, permits, approvals, authorisations and certificates, as appropriate, to be issued in relation to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r>
      <w:r>
        <w:tab/>
        <w:t>and</w:t>
      </w:r>
    </w:p>
    <w:p>
      <w:pPr>
        <w:pStyle w:val="Indenta"/>
      </w:pPr>
      <w:r>
        <w:tab/>
        <w:t>(ea)</w:t>
      </w:r>
      <w:r>
        <w:tab/>
        <w:t>to administer a scheme for the collection and verification of the payments of bookmakers’ betting levy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 and</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 and</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 and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12" w:name="_Toc402969357"/>
      <w:r>
        <w:rPr>
          <w:rStyle w:val="CharSectno"/>
        </w:rPr>
        <w:t>8</w:t>
      </w:r>
      <w:r>
        <w:rPr>
          <w:snapToGrid w:val="0"/>
        </w:rPr>
        <w:t>.</w:t>
      </w:r>
      <w:r>
        <w:rPr>
          <w:snapToGrid w:val="0"/>
        </w:rPr>
        <w:tab/>
        <w:t>Powers of Commission</w:t>
      </w:r>
      <w:bookmarkEnd w:id="12"/>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formulate and impose prohibitions or conditions to be applicable to, or in relation to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r>
      <w:r>
        <w:tab/>
        <w:t>and</w:t>
      </w:r>
    </w:p>
    <w:p>
      <w:pPr>
        <w:pStyle w:val="Indenta"/>
      </w:pPr>
      <w:r>
        <w:tab/>
        <w:t>(d)</w:t>
      </w:r>
      <w:r>
        <w:tab/>
        <w:t>grant or issue and amend or revoke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r>
      <w:r>
        <w:tab/>
        <w:t>and</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 No. 8 of 2009 s. 63.]</w:t>
      </w:r>
    </w:p>
    <w:p>
      <w:pPr>
        <w:pStyle w:val="Heading3"/>
        <w:spacing w:before="220"/>
      </w:pPr>
      <w:bookmarkStart w:id="13" w:name="_Toc402969358"/>
      <w:r>
        <w:rPr>
          <w:rStyle w:val="CharDivNo"/>
        </w:rPr>
        <w:t>Division 3</w:t>
      </w:r>
      <w:r>
        <w:rPr>
          <w:snapToGrid w:val="0"/>
        </w:rPr>
        <w:t> — </w:t>
      </w:r>
      <w:r>
        <w:rPr>
          <w:rStyle w:val="CharDivText"/>
        </w:rPr>
        <w:t>Finance</w:t>
      </w:r>
      <w:bookmarkEnd w:id="13"/>
    </w:p>
    <w:p>
      <w:pPr>
        <w:pStyle w:val="Heading5"/>
        <w:rPr>
          <w:snapToGrid w:val="0"/>
        </w:rPr>
      </w:pPr>
      <w:bookmarkStart w:id="14" w:name="_Toc402969359"/>
      <w:r>
        <w:rPr>
          <w:rStyle w:val="CharSectno"/>
        </w:rPr>
        <w:t>9</w:t>
      </w:r>
      <w:r>
        <w:rPr>
          <w:snapToGrid w:val="0"/>
        </w:rPr>
        <w:t>.</w:t>
      </w:r>
      <w:r>
        <w:rPr>
          <w:snapToGrid w:val="0"/>
        </w:rPr>
        <w:tab/>
        <w:t>Funds of Commission; financial provisions</w:t>
      </w:r>
      <w:bookmarkEnd w:id="14"/>
    </w:p>
    <w:p>
      <w:pPr>
        <w:pStyle w:val="Subsection"/>
        <w:rPr>
          <w:snapToGrid w:val="0"/>
        </w:rPr>
      </w:pPr>
      <w:r>
        <w:rPr>
          <w:snapToGrid w:val="0"/>
        </w:rPr>
        <w:tab/>
        <w:t>(1)</w:t>
      </w:r>
      <w:r>
        <w:rPr>
          <w:snapToGrid w:val="0"/>
        </w:rPr>
        <w:tab/>
        <w:t>The funds available to the Commission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keepNext/>
        <w:spacing w:before="120"/>
      </w:pPr>
      <w:r>
        <w:tab/>
        <w:t>(2)</w:t>
      </w:r>
      <w:r>
        <w:tab/>
        <w:t>An account called the Gaming and Wagering Commission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r>
      <w:r>
        <w:tab/>
        <w:t>to which, subject to subsection (2a), the moneys received by the Commission are to be credited.</w:t>
      </w:r>
    </w:p>
    <w:p>
      <w:pPr>
        <w:pStyle w:val="Subsection"/>
      </w:pPr>
      <w:r>
        <w:tab/>
        <w:t>(2a)</w:t>
      </w:r>
      <w:r>
        <w:tab/>
        <w:t>The credit of moneys under subsection (2) is subject to the payment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spacing w:before="60"/>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w:t>
      </w:r>
    </w:p>
    <w:p>
      <w:pPr>
        <w:pStyle w:val="Indenta"/>
        <w:spacing w:before="60"/>
        <w:rPr>
          <w:snapToGrid w:val="0"/>
        </w:rPr>
      </w:pPr>
      <w:r>
        <w:rPr>
          <w:snapToGrid w:val="0"/>
        </w:rPr>
        <w:tab/>
        <w:t>(a)</w:t>
      </w:r>
      <w:r>
        <w:rPr>
          <w:snapToGrid w:val="0"/>
        </w:rPr>
        <w:tab/>
        <w:t>be controlled by the Commission; and</w:t>
      </w:r>
    </w:p>
    <w:p>
      <w:pPr>
        <w:pStyle w:val="Indenta"/>
        <w:spacing w:before="60"/>
        <w:rPr>
          <w:snapToGrid w:val="0"/>
        </w:rPr>
      </w:pPr>
      <w:r>
        <w:rPr>
          <w:snapToGrid w:val="0"/>
        </w:rPr>
        <w:tab/>
        <w:t>(b)</w:t>
      </w:r>
      <w:r>
        <w:rPr>
          <w:snapToGrid w:val="0"/>
        </w:rPr>
        <w:tab/>
        <w:t>be operated in such manner as the Treasurer approves from time to time; and</w:t>
      </w:r>
    </w:p>
    <w:p>
      <w:pPr>
        <w:pStyle w:val="Indenta"/>
        <w:spacing w:before="60"/>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w:t>
      </w:r>
    </w:p>
    <w:p>
      <w:pPr>
        <w:pStyle w:val="Indenta"/>
        <w:spacing w:before="60"/>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 and</w:t>
      </w:r>
    </w:p>
    <w:p>
      <w:pPr>
        <w:pStyle w:val="Indenta"/>
        <w:spacing w:before="60"/>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[Section 9 amended by No. 6 of 1993 s. 11 and 15; No. 49 of 1996 s. 55 and 64; No. 24 of 1998 s. 34(1) and (2); No. 35 of 2003 s. 128 and 166; No. 28 of 2006 s. 402; No. 77 of 2006 s. 4 and Sch. 1 cl. 71(1).]</w:t>
      </w:r>
    </w:p>
    <w:p>
      <w:pPr>
        <w:pStyle w:val="Heading5"/>
        <w:rPr>
          <w:snapToGrid w:val="0"/>
        </w:rPr>
      </w:pPr>
      <w:bookmarkStart w:id="15" w:name="_Toc402969360"/>
      <w:r>
        <w:rPr>
          <w:rStyle w:val="CharSectno"/>
        </w:rP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bookmarkEnd w:id="1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 amended by No. 77 of 2006 Sch. 1 cl. 71(2).]</w:t>
      </w:r>
    </w:p>
    <w:p>
      <w:pPr>
        <w:pStyle w:val="Heading5"/>
        <w:rPr>
          <w:snapToGrid w:val="0"/>
        </w:rPr>
      </w:pPr>
      <w:bookmarkStart w:id="16" w:name="_Toc402969361"/>
      <w:r>
        <w:rPr>
          <w:rStyle w:val="CharSectno"/>
        </w:rPr>
        <w:t>11</w:t>
      </w:r>
      <w:r>
        <w:rPr>
          <w:snapToGrid w:val="0"/>
        </w:rPr>
        <w:t>.</w:t>
      </w:r>
      <w:r>
        <w:rPr>
          <w:snapToGrid w:val="0"/>
        </w:rPr>
        <w:tab/>
        <w:t>Some dealings by Commission need Treasurer’s approval</w:t>
      </w:r>
      <w:bookmarkEnd w:id="16"/>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pPr>
      <w:bookmarkStart w:id="17" w:name="_Toc402969362"/>
      <w:r>
        <w:rPr>
          <w:rStyle w:val="CharDivNo"/>
        </w:rPr>
        <w:t>Division 4</w:t>
      </w:r>
      <w:r>
        <w:rPr>
          <w:snapToGrid w:val="0"/>
        </w:rPr>
        <w:t> — </w:t>
      </w:r>
      <w:r>
        <w:rPr>
          <w:rStyle w:val="CharDivText"/>
        </w:rPr>
        <w:t>Membership, co</w:t>
      </w:r>
      <w:r>
        <w:rPr>
          <w:rStyle w:val="CharDivText"/>
        </w:rPr>
        <w:noBreakHyphen/>
        <w:t>option, consultation and committees</w:t>
      </w:r>
      <w:bookmarkEnd w:id="17"/>
    </w:p>
    <w:p>
      <w:pPr>
        <w:pStyle w:val="Heading5"/>
        <w:rPr>
          <w:snapToGrid w:val="0"/>
        </w:rPr>
      </w:pPr>
      <w:bookmarkStart w:id="18" w:name="_Toc402969363"/>
      <w:r>
        <w:rPr>
          <w:rStyle w:val="CharSectno"/>
        </w:rPr>
        <w:t>12</w:t>
      </w:r>
      <w:r>
        <w:rPr>
          <w:snapToGrid w:val="0"/>
        </w:rPr>
        <w:t>.</w:t>
      </w:r>
      <w:r>
        <w:rPr>
          <w:snapToGrid w:val="0"/>
        </w:rPr>
        <w:tab/>
        <w:t>Members of Commission, attendance at meetings etc.</w:t>
      </w:r>
      <w:bookmarkEnd w:id="18"/>
    </w:p>
    <w:p>
      <w:pPr>
        <w:pStyle w:val="Subsection"/>
      </w:pPr>
      <w:r>
        <w:tab/>
        <w:t>(1)</w:t>
      </w:r>
      <w:r>
        <w:tab/>
        <w:t>The membership of the Commission shall comprise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 or</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[Section 12 amended by No. 16 of 1990 s. 33; No. 24 of 1998 s. 35; No. 10 of 2001 s. 85; No. 35 of 2003 s. 129 and 168.]</w:t>
      </w:r>
    </w:p>
    <w:p>
      <w:pPr>
        <w:pStyle w:val="Heading5"/>
        <w:rPr>
          <w:snapToGrid w:val="0"/>
        </w:rPr>
      </w:pPr>
      <w:bookmarkStart w:id="19" w:name="_Toc402969364"/>
      <w:r>
        <w:rPr>
          <w:rStyle w:val="CharSectno"/>
        </w:rPr>
        <w:t>13</w:t>
      </w:r>
      <w:r>
        <w:rPr>
          <w:snapToGrid w:val="0"/>
        </w:rPr>
        <w:t>.</w:t>
      </w:r>
      <w:r>
        <w:rPr>
          <w:snapToGrid w:val="0"/>
        </w:rPr>
        <w:tab/>
        <w:t>Remuneration of members; effect of service with Commission on public servants</w:t>
      </w:r>
      <w:bookmarkEnd w:id="19"/>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[Section 13 amended by No. 32 of 1994 s. 19; No. 24 of 1998 s. 36; No. 39 of 2010 s. 89.]</w:t>
      </w:r>
    </w:p>
    <w:p>
      <w:pPr>
        <w:pStyle w:val="Heading5"/>
        <w:rPr>
          <w:snapToGrid w:val="0"/>
        </w:rPr>
      </w:pPr>
      <w:bookmarkStart w:id="20" w:name="_Toc402969365"/>
      <w:r>
        <w:rPr>
          <w:rStyle w:val="CharSectno"/>
        </w:rPr>
        <w:t>14</w:t>
      </w:r>
      <w:r>
        <w:rPr>
          <w:snapToGrid w:val="0"/>
        </w:rPr>
        <w:t>.</w:t>
      </w:r>
      <w:r>
        <w:rPr>
          <w:snapToGrid w:val="0"/>
        </w:rPr>
        <w:tab/>
        <w:t>Co</w:t>
      </w:r>
      <w:r>
        <w:rPr>
          <w:snapToGrid w:val="0"/>
        </w:rPr>
        <w:noBreakHyphen/>
        <w:t>option, consultation etc., Commission’s powers as to</w:t>
      </w:r>
      <w:bookmarkEnd w:id="20"/>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21" w:name="_Toc402969366"/>
      <w:r>
        <w:rPr>
          <w:rStyle w:val="CharSectno"/>
        </w:rPr>
        <w:t>15</w:t>
      </w:r>
      <w:r>
        <w:rPr>
          <w:snapToGrid w:val="0"/>
        </w:rPr>
        <w:t>.</w:t>
      </w:r>
      <w:r>
        <w:rPr>
          <w:snapToGrid w:val="0"/>
        </w:rPr>
        <w:tab/>
        <w:t>Committees, appointment of etc.</w:t>
      </w:r>
      <w:bookmarkEnd w:id="21"/>
    </w:p>
    <w:p>
      <w:pPr>
        <w:pStyle w:val="Subsection"/>
        <w:spacing w:before="130"/>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spacing w:before="130"/>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spacing w:before="130"/>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spacing w:before="130"/>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spacing w:before="80"/>
        <w:ind w:left="890" w:hanging="890"/>
      </w:pPr>
      <w:r>
        <w:tab/>
        <w:t>[Section 15 amended by No. 35 of 2003 s. 130.]</w:t>
      </w:r>
    </w:p>
    <w:p>
      <w:pPr>
        <w:pStyle w:val="Heading5"/>
        <w:spacing w:before="200"/>
        <w:rPr>
          <w:snapToGrid w:val="0"/>
        </w:rPr>
      </w:pPr>
      <w:bookmarkStart w:id="22" w:name="_Toc402969367"/>
      <w:r>
        <w:rPr>
          <w:rStyle w:val="CharSectno"/>
        </w:rPr>
        <w:t>16</w:t>
      </w:r>
      <w:r>
        <w:rPr>
          <w:snapToGrid w:val="0"/>
        </w:rPr>
        <w:t>.</w:t>
      </w:r>
      <w:r>
        <w:rPr>
          <w:snapToGrid w:val="0"/>
        </w:rPr>
        <w:tab/>
        <w:t>Delegation powers</w:t>
      </w:r>
      <w:bookmarkEnd w:id="22"/>
    </w:p>
    <w:p>
      <w:pPr>
        <w:pStyle w:val="Subsection"/>
        <w:spacing w:before="140"/>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w:t>
      </w:r>
    </w:p>
    <w:p>
      <w:pPr>
        <w:pStyle w:val="Indenta"/>
        <w:spacing w:before="60"/>
        <w:rPr>
          <w:snapToGrid w:val="0"/>
        </w:rPr>
      </w:pPr>
      <w:r>
        <w:rPr>
          <w:snapToGrid w:val="0"/>
        </w:rPr>
        <w:tab/>
        <w:t>(a)</w:t>
      </w:r>
      <w:r>
        <w:rPr>
          <w:snapToGrid w:val="0"/>
        </w:rPr>
        <w:tab/>
        <w:t>a member or a committee of the Commission; or</w:t>
      </w:r>
    </w:p>
    <w:p>
      <w:pPr>
        <w:pStyle w:val="Indenta"/>
        <w:spacing w:before="60"/>
        <w:rPr>
          <w:snapToGrid w:val="0"/>
        </w:rPr>
      </w:pPr>
      <w:r>
        <w:rPr>
          <w:snapToGrid w:val="0"/>
        </w:rPr>
        <w:tab/>
        <w:t>(b)</w:t>
      </w:r>
      <w:r>
        <w:rPr>
          <w:snapToGrid w:val="0"/>
        </w:rPr>
        <w:tab/>
        <w:t>the Chief Casino Officer, or a government inspector; or</w:t>
      </w:r>
    </w:p>
    <w:p>
      <w:pPr>
        <w:pStyle w:val="Indenta"/>
        <w:spacing w:before="60"/>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spacing w:before="120"/>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government inspector</w:t>
      </w:r>
      <w:r>
        <w:t xml:space="preserve"> and </w:t>
      </w:r>
      <w:r>
        <w:rPr>
          <w:rStyle w:val="CharDefText"/>
        </w:rPr>
        <w:t>Chief Casino Officer</w:t>
      </w:r>
      <w:r>
        <w:t xml:space="preserve"> have the meanings given in the </w:t>
      </w:r>
      <w:r>
        <w:rPr>
          <w:i/>
        </w:rPr>
        <w:t>Casino Control Act 1984</w:t>
      </w:r>
      <w:r>
        <w:t>.</w:t>
      </w:r>
    </w:p>
    <w:p>
      <w:pPr>
        <w:pStyle w:val="Footnotesection"/>
      </w:pPr>
      <w:r>
        <w:tab/>
        <w:t>[Section 16 amended by No. 24 of 1998 s. 37; No. 35 of 2003 s. 131.]</w:t>
      </w:r>
    </w:p>
    <w:p>
      <w:pPr>
        <w:pStyle w:val="Heading3"/>
      </w:pPr>
      <w:bookmarkStart w:id="23" w:name="_Toc402969368"/>
      <w:r>
        <w:rPr>
          <w:rStyle w:val="CharDivNo"/>
        </w:rPr>
        <w:t>Division 5</w:t>
      </w:r>
      <w:r>
        <w:rPr>
          <w:snapToGrid w:val="0"/>
        </w:rPr>
        <w:t> — </w:t>
      </w:r>
      <w:r>
        <w:rPr>
          <w:rStyle w:val="CharDivText"/>
        </w:rPr>
        <w:t>Proceedings</w:t>
      </w:r>
      <w:bookmarkEnd w:id="23"/>
    </w:p>
    <w:p>
      <w:pPr>
        <w:pStyle w:val="Heading5"/>
        <w:rPr>
          <w:snapToGrid w:val="0"/>
        </w:rPr>
      </w:pPr>
      <w:bookmarkStart w:id="24" w:name="_Toc402969369"/>
      <w:r>
        <w:rPr>
          <w:rStyle w:val="CharSectno"/>
        </w:rPr>
        <w:t>17</w:t>
      </w:r>
      <w:r>
        <w:rPr>
          <w:snapToGrid w:val="0"/>
        </w:rPr>
        <w:t>.</w:t>
      </w:r>
      <w:r>
        <w:rPr>
          <w:snapToGrid w:val="0"/>
        </w:rPr>
        <w:tab/>
        <w:t>Proceedings, meetings, declaring interests etc.</w:t>
      </w:r>
      <w:bookmarkEnd w:id="24"/>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pPr>
      <w:bookmarkStart w:id="25" w:name="_Toc402969370"/>
      <w:r>
        <w:rPr>
          <w:rStyle w:val="CharDivNo"/>
        </w:rPr>
        <w:t>Division 6</w:t>
      </w:r>
      <w:r>
        <w:rPr>
          <w:snapToGrid w:val="0"/>
        </w:rPr>
        <w:t> — </w:t>
      </w:r>
      <w:r>
        <w:rPr>
          <w:rStyle w:val="CharDivText"/>
        </w:rPr>
        <w:t>Staff, etc.</w:t>
      </w:r>
      <w:bookmarkEnd w:id="25"/>
    </w:p>
    <w:p>
      <w:pPr>
        <w:pStyle w:val="Heading5"/>
        <w:rPr>
          <w:snapToGrid w:val="0"/>
        </w:rPr>
      </w:pPr>
      <w:bookmarkStart w:id="26" w:name="_Toc402969371"/>
      <w:r>
        <w:rPr>
          <w:rStyle w:val="CharSectno"/>
        </w:rPr>
        <w:t>18</w:t>
      </w:r>
      <w:r>
        <w:rPr>
          <w:snapToGrid w:val="0"/>
        </w:rPr>
        <w:t>.</w:t>
      </w:r>
      <w:r>
        <w:rPr>
          <w:snapToGrid w:val="0"/>
        </w:rPr>
        <w:tab/>
        <w:t xml:space="preserve">Staff, contractors etc.; Commission may ask Commissioner of </w:t>
      </w:r>
      <w:smartTag w:uri="urn:schemas-microsoft-com:office:smarttags" w:element="place">
        <w:r>
          <w:rPr>
            <w:snapToGrid w:val="0"/>
          </w:rPr>
          <w:t>Po</w:t>
        </w:r>
      </w:smartTag>
      <w:r>
        <w:rPr>
          <w:snapToGrid w:val="0"/>
        </w:rPr>
        <w:t>lice to inquire etc. into various matters</w:t>
      </w:r>
      <w:bookmarkEnd w:id="26"/>
    </w:p>
    <w:p>
      <w:pPr>
        <w:pStyle w:val="Subsection"/>
      </w:pPr>
      <w:r>
        <w:tab/>
        <w:t>(1)</w:t>
      </w:r>
      <w:r>
        <w:tab/>
        <w:t>The Commission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The Commission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In subsections (1) and (1a)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w:t>
      </w:r>
    </w:p>
    <w:p>
      <w:pPr>
        <w:pStyle w:val="Indenta"/>
        <w:spacing w:before="76"/>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 and</w:t>
      </w:r>
    </w:p>
    <w:p>
      <w:pPr>
        <w:pStyle w:val="Indenta"/>
        <w:spacing w:before="76"/>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 and</w:t>
      </w:r>
    </w:p>
    <w:p>
      <w:pPr>
        <w:pStyle w:val="Indenta"/>
        <w:keepNext/>
        <w:keepLines/>
        <w:spacing w:before="76"/>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 and</w:t>
      </w:r>
    </w:p>
    <w:p>
      <w:pPr>
        <w:pStyle w:val="Indenta"/>
        <w:spacing w:before="76"/>
      </w:pPr>
      <w:r>
        <w:tab/>
        <w:t>(ca)</w:t>
      </w:r>
      <w:r>
        <w:tab/>
        <w:t>the suitability of —</w:t>
      </w:r>
    </w:p>
    <w:p>
      <w:pPr>
        <w:pStyle w:val="Indenti"/>
        <w:spacing w:before="76"/>
      </w:pPr>
      <w:r>
        <w:tab/>
        <w:t>(i)</w:t>
      </w:r>
      <w:r>
        <w:tab/>
        <w:t xml:space="preserve">such a person to conduct, or to be concerned in the conduct of, wagering under the </w:t>
      </w:r>
      <w:r>
        <w:rPr>
          <w:i/>
        </w:rPr>
        <w:t>Betting Control Act 1954</w:t>
      </w:r>
      <w:r>
        <w:t xml:space="preserve"> or the RWWA Act; or</w:t>
      </w:r>
    </w:p>
    <w:p>
      <w:pPr>
        <w:pStyle w:val="Indenti"/>
        <w:spacing w:before="76"/>
      </w:pPr>
      <w:r>
        <w:tab/>
        <w:t>(ii)</w:t>
      </w:r>
      <w:r>
        <w:tab/>
        <w:t>any individual appointed on behalf of such a person, whether as a nominee or otherwise; or</w:t>
      </w:r>
    </w:p>
    <w:p>
      <w:pPr>
        <w:pStyle w:val="Indenti"/>
        <w:spacing w:before="76"/>
      </w:pPr>
      <w:r>
        <w:tab/>
        <w:t>(iii)</w:t>
      </w:r>
      <w:r>
        <w:tab/>
        <w:t>a person for whom another acts, whether as a nominee or otherwise;</w:t>
      </w:r>
    </w:p>
    <w:p>
      <w:pPr>
        <w:pStyle w:val="Indenta"/>
        <w:spacing w:before="76"/>
      </w:pPr>
      <w:r>
        <w:tab/>
      </w:r>
      <w:r>
        <w:tab/>
        <w:t>and</w:t>
      </w:r>
    </w:p>
    <w:p>
      <w:pPr>
        <w:pStyle w:val="Indenta"/>
        <w:spacing w:before="76"/>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 and</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 and</w:t>
      </w:r>
    </w:p>
    <w:p>
      <w:pPr>
        <w:pStyle w:val="Indenta"/>
        <w:rPr>
          <w:snapToGrid w:val="0"/>
        </w:rPr>
      </w:pPr>
      <w:r>
        <w:rPr>
          <w:snapToGrid w:val="0"/>
        </w:rPr>
        <w:tab/>
        <w:t>(e)</w:t>
      </w:r>
      <w:r>
        <w:rPr>
          <w:snapToGrid w:val="0"/>
        </w:rPr>
        <w:tab/>
        <w:t>any matter concerning a licensed casino; and</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[Section 18 amended by No. 32 of 1994 s. 19; No. 24 of 1998 s. 38; No. 35 of 2003 s. 132 and 166.]</w:t>
      </w:r>
    </w:p>
    <w:p>
      <w:pPr>
        <w:pStyle w:val="Heading5"/>
        <w:spacing w:before="160"/>
        <w:rPr>
          <w:snapToGrid w:val="0"/>
        </w:rPr>
      </w:pPr>
      <w:bookmarkStart w:id="27" w:name="_Toc402969372"/>
      <w:r>
        <w:rPr>
          <w:rStyle w:val="CharSectno"/>
        </w:rPr>
        <w:t>19</w:t>
      </w:r>
      <w:r>
        <w:rPr>
          <w:snapToGrid w:val="0"/>
        </w:rPr>
        <w:t>.</w:t>
      </w:r>
      <w:r>
        <w:rPr>
          <w:snapToGrid w:val="0"/>
        </w:rPr>
        <w:tab/>
        <w:t>Government departments, statutory bodies etc. to assist Commission</w:t>
      </w:r>
      <w:bookmarkEnd w:id="27"/>
    </w:p>
    <w:p>
      <w:pPr>
        <w:pStyle w:val="Subsection"/>
        <w:spacing w:before="100"/>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spacing w:before="100"/>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spacing w:before="100"/>
        <w:ind w:left="890" w:hanging="890"/>
      </w:pPr>
      <w:r>
        <w:tab/>
        <w:t>[Section 19 amended by No. 32 of 1994 s. 19; No. 14 of 1996 s. 4; No. 35 of 2003 s. 133.]</w:t>
      </w:r>
    </w:p>
    <w:p>
      <w:pPr>
        <w:pStyle w:val="Heading5"/>
        <w:spacing w:before="180"/>
        <w:rPr>
          <w:snapToGrid w:val="0"/>
        </w:rPr>
      </w:pPr>
      <w:bookmarkStart w:id="28" w:name="_Toc402969373"/>
      <w:r>
        <w:rPr>
          <w:rStyle w:val="CharSectno"/>
        </w:rPr>
        <w:t>20</w:t>
      </w:r>
      <w:r>
        <w:rPr>
          <w:snapToGrid w:val="0"/>
        </w:rPr>
        <w:t>.</w:t>
      </w:r>
      <w:r>
        <w:rPr>
          <w:snapToGrid w:val="0"/>
        </w:rPr>
        <w:tab/>
        <w:t>Reports, effect of and privilege attached to; official information, disclosure of etc.</w:t>
      </w:r>
      <w:bookmarkEnd w:id="28"/>
    </w:p>
    <w:p>
      <w:pPr>
        <w:pStyle w:val="Subsection"/>
        <w:spacing w:before="120"/>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spacing w:before="120"/>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spacing w:before="100"/>
        <w:rPr>
          <w:snapToGrid w:val="0"/>
        </w:rPr>
      </w:pPr>
      <w:r>
        <w:rPr>
          <w:snapToGrid w:val="0"/>
        </w:rPr>
        <w:tab/>
      </w:r>
      <w:r>
        <w:rPr>
          <w:snapToGrid w:val="0"/>
        </w:rPr>
        <w:tab/>
        <w:t>unless the Commission or a judge otherwise directs.</w:t>
      </w:r>
    </w:p>
    <w:p>
      <w:pPr>
        <w:pStyle w:val="Subsection"/>
        <w:spacing w:before="120"/>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spacing w:before="100"/>
        <w:ind w:left="890" w:hanging="890"/>
      </w:pPr>
      <w:r>
        <w:tab/>
        <w:t>[Section 20 amended by No. 35 of 2003 s. 134 and 166; No. 50 of 2003 s. 66(2).]</w:t>
      </w:r>
    </w:p>
    <w:p>
      <w:pPr>
        <w:pStyle w:val="Heading3"/>
      </w:pPr>
      <w:bookmarkStart w:id="29" w:name="_Toc402969374"/>
      <w:r>
        <w:rPr>
          <w:rStyle w:val="CharDivNo"/>
        </w:rPr>
        <w:t>Division 7</w:t>
      </w:r>
      <w:r>
        <w:t> — </w:t>
      </w:r>
      <w:r>
        <w:rPr>
          <w:rStyle w:val="CharDivText"/>
        </w:rPr>
        <w:t>Confidential police information</w:t>
      </w:r>
      <w:bookmarkEnd w:id="29"/>
    </w:p>
    <w:p>
      <w:pPr>
        <w:pStyle w:val="Footnoteheading"/>
      </w:pPr>
      <w:r>
        <w:tab/>
        <w:t>[Heading inserted by No. 73 of 2006 s. 113.]</w:t>
      </w:r>
    </w:p>
    <w:p>
      <w:pPr>
        <w:pStyle w:val="Heading5"/>
      </w:pPr>
      <w:bookmarkStart w:id="30" w:name="_Toc402969375"/>
      <w:r>
        <w:rPr>
          <w:rStyle w:val="CharSectno"/>
        </w:rPr>
        <w:t>20A</w:t>
      </w:r>
      <w:r>
        <w:t>.</w:t>
      </w:r>
      <w:r>
        <w:tab/>
        <w:t>Certain information provided by police to be kept confidential</w:t>
      </w:r>
      <w:bookmarkEnd w:id="30"/>
    </w:p>
    <w:p>
      <w:pPr>
        <w:pStyle w:val="Subsection"/>
      </w:pPr>
      <w:r>
        <w:tab/>
        <w:t>(1)</w:t>
      </w:r>
      <w:r>
        <w:tab/>
        <w:t xml:space="preserve">In this </w:t>
      </w:r>
      <w:r>
        <w:rPr>
          <w:snapToGrid w:val="0"/>
        </w:rPr>
        <w:t>section</w:t>
      </w:r>
      <w:r>
        <w:t> —</w:t>
      </w:r>
    </w:p>
    <w:p>
      <w:pPr>
        <w:pStyle w:val="Defstart"/>
        <w:spacing w:before="70"/>
      </w:pPr>
      <w:r>
        <w:rPr>
          <w:b/>
        </w:rPr>
        <w:tab/>
      </w:r>
      <w:r>
        <w:rPr>
          <w:rStyle w:val="CharDefText"/>
        </w:rPr>
        <w:t>confidential police information</w:t>
      </w:r>
      <w:r>
        <w:t xml:space="preserve"> means any information or document classified as confidential under subsection (2);</w:t>
      </w:r>
    </w:p>
    <w:p>
      <w:pPr>
        <w:pStyle w:val="Defstart"/>
        <w:spacing w:before="70"/>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w:t>
      </w:r>
      <w:r>
        <w:rPr>
          <w:snapToGrid w:val="0"/>
        </w:rPr>
        <w:t>purposes</w:t>
      </w:r>
      <w:r>
        <w:t xml:space="preserve"> of this section, the Commissioner of Police may classify as confidential any information or document that is —</w:t>
      </w:r>
    </w:p>
    <w:p>
      <w:pPr>
        <w:pStyle w:val="Indenta"/>
        <w:spacing w:before="60"/>
      </w:pPr>
      <w:r>
        <w:tab/>
        <w:t>(a)</w:t>
      </w:r>
      <w:r>
        <w:tab/>
        <w:t>provided by the Commissioner of Police to the Commission as a report, or part of a report, under section 18(4); or</w:t>
      </w:r>
    </w:p>
    <w:p>
      <w:pPr>
        <w:pStyle w:val="Indenta"/>
        <w:spacing w:before="60"/>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iCs/>
          <w:color w:val="000000"/>
          <w:szCs w:val="22"/>
        </w:rPr>
        <w:t>Corruption and Crime Commission Act 2003</w:t>
      </w:r>
      <w:r>
        <w:rPr>
          <w:color w:val="000000"/>
          <w:szCs w:val="22"/>
        </w:rPr>
        <w:t xml:space="preserve">, the Parliamentary Inspector of the Corruption and Crime Commission appointed under the </w:t>
      </w:r>
      <w:r>
        <w:rPr>
          <w:i/>
          <w:iCs/>
          <w:color w:val="000000"/>
          <w:szCs w:val="22"/>
        </w:rPr>
        <w:t>Corruption and Crime Commission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keepNext/>
        <w:spacing w:before="100"/>
      </w:pPr>
      <w:r>
        <w:tab/>
        <w:t>(4)</w:t>
      </w:r>
      <w:r>
        <w:tab/>
      </w:r>
      <w:r>
        <w:rPr>
          <w:snapToGrid w:val="0"/>
        </w:rPr>
        <w:t>If</w:t>
      </w:r>
      <w:r>
        <w:t> —</w:t>
      </w:r>
    </w:p>
    <w:p>
      <w:pPr>
        <w:pStyle w:val="Indenta"/>
        <w:keepNext/>
        <w:spacing w:before="100"/>
      </w:pPr>
      <w:r>
        <w:tab/>
        <w:t>(a)</w:t>
      </w:r>
      <w:r>
        <w:tab/>
        <w:t>the Commission —</w:t>
      </w:r>
    </w:p>
    <w:p>
      <w:pPr>
        <w:pStyle w:val="Indenti"/>
        <w:spacing w:before="100"/>
      </w:pPr>
      <w:r>
        <w:tab/>
        <w:t>(i)</w:t>
      </w:r>
      <w:r>
        <w:tab/>
        <w:t>refuses to grant or issue or renew; or</w:t>
      </w:r>
    </w:p>
    <w:p>
      <w:pPr>
        <w:pStyle w:val="Indenti"/>
        <w:spacing w:before="100"/>
      </w:pPr>
      <w:r>
        <w:tab/>
        <w:t>(ii)</w:t>
      </w:r>
      <w:r>
        <w:tab/>
        <w:t>amends, suspends, cancels or revokes,</w:t>
      </w:r>
    </w:p>
    <w:p>
      <w:pPr>
        <w:pStyle w:val="Indenta"/>
        <w:spacing w:before="100"/>
      </w:pPr>
      <w:r>
        <w:tab/>
      </w:r>
      <w:r>
        <w:tab/>
        <w:t>any permit, approval, certificate, licence or authorisation under a relevant Act; and</w:t>
      </w:r>
    </w:p>
    <w:p>
      <w:pPr>
        <w:pStyle w:val="Indenta"/>
        <w:spacing w:before="100"/>
      </w:pPr>
      <w:r>
        <w:tab/>
        <w:t>(b)</w:t>
      </w:r>
      <w:r>
        <w:tab/>
        <w:t>the decision to do so is made solely or partly on the basis of confidential police information provided to the Commission,</w:t>
      </w:r>
    </w:p>
    <w:p>
      <w:pPr>
        <w:pStyle w:val="Subsection"/>
        <w:spacing w:before="140"/>
      </w:pPr>
      <w:r>
        <w:tab/>
      </w:r>
      <w:r>
        <w:tab/>
        <w:t>the Commission is not required to give any reasons for the decision other than that the decision is made in the public interest.</w:t>
      </w:r>
    </w:p>
    <w:p>
      <w:pPr>
        <w:pStyle w:val="Subsection"/>
        <w:spacing w:before="140"/>
      </w:pPr>
      <w:r>
        <w:tab/>
        <w:t>(5)</w:t>
      </w:r>
      <w:r>
        <w:tab/>
        <w:t>In any proceedings (other than proceedings for an offence) before a court under a relevant Act, the court —</w:t>
      </w:r>
    </w:p>
    <w:p>
      <w:pPr>
        <w:pStyle w:val="Indenta"/>
        <w:spacing w:before="100"/>
      </w:pPr>
      <w:r>
        <w:tab/>
        <w:t>(a)</w:t>
      </w:r>
      <w:r>
        <w:tab/>
        <w:t>must, on the application of the Commissioner of Police, take all reasonable steps to maintain the confidentiality of confidential police information, including steps —</w:t>
      </w:r>
    </w:p>
    <w:p>
      <w:pPr>
        <w:pStyle w:val="Indenti"/>
        <w:spacing w:before="60"/>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spacing w:before="60"/>
      </w:pPr>
      <w:r>
        <w:tab/>
        <w:t>(ii)</w:t>
      </w:r>
      <w:r>
        <w:tab/>
        <w:t>to prohibit the publication of evidence about confidential police information;</w:t>
      </w:r>
    </w:p>
    <w:p>
      <w:pPr>
        <w:pStyle w:val="Indenta"/>
        <w:spacing w:before="100"/>
      </w:pPr>
      <w:r>
        <w:tab/>
      </w:r>
      <w:r>
        <w:tab/>
        <w:t>and</w:t>
      </w:r>
    </w:p>
    <w:p>
      <w:pPr>
        <w:pStyle w:val="Indenta"/>
        <w:spacing w:before="100"/>
      </w:pPr>
      <w:r>
        <w:tab/>
        <w:t>(b)</w:t>
      </w:r>
      <w:r>
        <w:tab/>
        <w:t>may take evidence consisting of or relating to confidential police information by way of an affidavit of a member of the Police Force of or above the rank of Superintendent.</w:t>
      </w:r>
    </w:p>
    <w:p>
      <w:pPr>
        <w:pStyle w:val="Subsection"/>
        <w:spacing w:before="140"/>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by No. 73 of 2006 s. 113.]</w:t>
      </w:r>
    </w:p>
    <w:p>
      <w:pPr>
        <w:pStyle w:val="Heading2"/>
      </w:pPr>
      <w:bookmarkStart w:id="31" w:name="_Toc402969376"/>
      <w:r>
        <w:rPr>
          <w:rStyle w:val="CharPartNo"/>
        </w:rPr>
        <w:t>Part III</w:t>
      </w:r>
      <w:r>
        <w:rPr>
          <w:rStyle w:val="CharDivNo"/>
        </w:rPr>
        <w:t> </w:t>
      </w:r>
      <w:r>
        <w:t>—</w:t>
      </w:r>
      <w:r>
        <w:rPr>
          <w:rStyle w:val="CharDivText"/>
        </w:rPr>
        <w:t> </w:t>
      </w:r>
      <w:r>
        <w:rPr>
          <w:rStyle w:val="CharPartText"/>
        </w:rPr>
        <w:t>Enforcement</w:t>
      </w:r>
      <w:bookmarkEnd w:id="31"/>
    </w:p>
    <w:p>
      <w:pPr>
        <w:pStyle w:val="Heading5"/>
        <w:rPr>
          <w:snapToGrid w:val="0"/>
        </w:rPr>
      </w:pPr>
      <w:bookmarkStart w:id="32" w:name="_Toc402969377"/>
      <w:r>
        <w:rPr>
          <w:rStyle w:val="CharSectno"/>
        </w:rPr>
        <w:t>21</w:t>
      </w:r>
      <w:r>
        <w:rPr>
          <w:snapToGrid w:val="0"/>
        </w:rPr>
        <w:t>.</w:t>
      </w:r>
      <w:r>
        <w:rPr>
          <w:snapToGrid w:val="0"/>
        </w:rPr>
        <w:tab/>
        <w:t>Authorised officers, appointment and duties of and reports by</w:t>
      </w:r>
      <w:bookmarkEnd w:id="32"/>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w:t>
      </w:r>
    </w:p>
    <w:p>
      <w:pPr>
        <w:pStyle w:val="Indenta"/>
        <w:spacing w:before="100"/>
        <w:rPr>
          <w:snapToGrid w:val="0"/>
        </w:rPr>
      </w:pPr>
      <w:r>
        <w:rPr>
          <w:snapToGrid w:val="0"/>
        </w:rPr>
        <w:tab/>
        <w:t>(a)</w:t>
      </w:r>
      <w:r>
        <w:rPr>
          <w:snapToGrid w:val="0"/>
        </w:rPr>
        <w:tab/>
        <w:t>to report to the Commission on the conduct, nature, extent and standard of any gaming, and as to the facilities provided, at approved premises and elsewhere; and</w:t>
      </w:r>
    </w:p>
    <w:p>
      <w:pPr>
        <w:pStyle w:val="Indenta"/>
        <w:spacing w:before="10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 and</w:t>
      </w:r>
    </w:p>
    <w:p>
      <w:pPr>
        <w:pStyle w:val="Indenta"/>
        <w:spacing w:before="10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00"/>
        <w:rPr>
          <w:snapToGrid w:val="0"/>
        </w:rPr>
      </w:pPr>
      <w:r>
        <w:rPr>
          <w:snapToGrid w:val="0"/>
        </w:rPr>
        <w:tab/>
        <w:t>(d)</w:t>
      </w:r>
      <w:r>
        <w:rPr>
          <w:snapToGrid w:val="0"/>
        </w:rPr>
        <w:tab/>
        <w:t>otherwise, to assist and advise the Commission whenever so required by the Commission.</w:t>
      </w:r>
    </w:p>
    <w:p>
      <w:pPr>
        <w:pStyle w:val="Subsection"/>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w:t>
      </w:r>
    </w:p>
    <w:p>
      <w:pPr>
        <w:pStyle w:val="Indenta"/>
        <w:widowControl w:val="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[Section 21 amended by No. 14 of 1996 s. 4; No. 35 of 2003 s. 135.]</w:t>
      </w:r>
    </w:p>
    <w:p>
      <w:pPr>
        <w:pStyle w:val="Heading5"/>
        <w:spacing w:before="260"/>
        <w:rPr>
          <w:snapToGrid w:val="0"/>
        </w:rPr>
      </w:pPr>
      <w:bookmarkStart w:id="33" w:name="_Toc402969378"/>
      <w:r>
        <w:rPr>
          <w:rStyle w:val="CharSectno"/>
        </w:rPr>
        <w:t>22</w:t>
      </w:r>
      <w:r>
        <w:rPr>
          <w:snapToGrid w:val="0"/>
        </w:rPr>
        <w:t>.</w:t>
      </w:r>
      <w:r>
        <w:rPr>
          <w:snapToGrid w:val="0"/>
        </w:rPr>
        <w:tab/>
        <w:t>Permitted gaming and social gambling, powers to scrutinize etc.</w:t>
      </w:r>
      <w:bookmarkEnd w:id="33"/>
    </w:p>
    <w:p>
      <w:pPr>
        <w:pStyle w:val="Subsection"/>
        <w:rPr>
          <w:snapToGrid w:val="0"/>
        </w:rPr>
      </w:pPr>
      <w:r>
        <w:rPr>
          <w:snapToGrid w:val="0"/>
        </w:rPr>
        <w:tab/>
        <w:t>(1)</w:t>
      </w:r>
      <w:r>
        <w:rPr>
          <w:snapToGrid w:val="0"/>
        </w:rPr>
        <w:tab/>
        <w:t>An authorised officer or a member of the Police Force is entitled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w:t>
      </w:r>
    </w:p>
    <w:p>
      <w:pPr>
        <w:pStyle w:val="Indenta"/>
        <w:spacing w:before="60"/>
        <w:rPr>
          <w:snapToGrid w:val="0"/>
        </w:rPr>
      </w:pPr>
      <w:r>
        <w:rPr>
          <w:snapToGrid w:val="0"/>
        </w:rPr>
        <w:tab/>
        <w:t>(a)</w:t>
      </w:r>
      <w:r>
        <w:rPr>
          <w:snapToGrid w:val="0"/>
        </w:rPr>
        <w:tab/>
        <w:t>approved premises; or</w:t>
      </w:r>
    </w:p>
    <w:p>
      <w:pPr>
        <w:pStyle w:val="Indenta"/>
        <w:spacing w:before="60"/>
        <w:rPr>
          <w:snapToGrid w:val="0"/>
        </w:rPr>
      </w:pPr>
      <w:r>
        <w:rPr>
          <w:snapToGrid w:val="0"/>
        </w:rPr>
        <w:tab/>
        <w:t>(b)</w:t>
      </w:r>
      <w:r>
        <w:rPr>
          <w:snapToGrid w:val="0"/>
        </w:rPr>
        <w:tab/>
        <w:t>subject to the consent of the occupier, any premises in relation to which the approval of the Commission is sought.</w:t>
      </w:r>
    </w:p>
    <w:p>
      <w:pPr>
        <w:pStyle w:val="Subsection"/>
        <w:spacing w:before="120"/>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spacing w:before="120"/>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spacing w:before="120"/>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spacing w:before="60"/>
        <w:rPr>
          <w:snapToGrid w:val="0"/>
        </w:rPr>
      </w:pPr>
      <w:r>
        <w:rPr>
          <w:snapToGrid w:val="0"/>
        </w:rPr>
        <w:tab/>
        <w:t>Penalty: $5 000, or imprisonment for 1 year, or both.</w:t>
      </w:r>
    </w:p>
    <w:p>
      <w:pPr>
        <w:pStyle w:val="Footnotesection"/>
        <w:spacing w:before="80"/>
        <w:ind w:left="890" w:hanging="890"/>
      </w:pPr>
      <w:r>
        <w:tab/>
        <w:t>[Section 22 amended by No. 24 of 1998 s. 39; No. 35 of 2003 s. 136 and 166.]</w:t>
      </w:r>
    </w:p>
    <w:p>
      <w:pPr>
        <w:pStyle w:val="Heading5"/>
        <w:spacing w:before="180"/>
        <w:rPr>
          <w:snapToGrid w:val="0"/>
        </w:rPr>
      </w:pPr>
      <w:bookmarkStart w:id="34" w:name="_Toc402969379"/>
      <w:r>
        <w:rPr>
          <w:rStyle w:val="CharSectno"/>
        </w:rPr>
        <w:t>23</w:t>
      </w:r>
      <w:r>
        <w:rPr>
          <w:snapToGrid w:val="0"/>
        </w:rPr>
        <w:t>.</w:t>
      </w:r>
      <w:r>
        <w:rPr>
          <w:snapToGrid w:val="0"/>
        </w:rPr>
        <w:tab/>
        <w:t>Other police powers not limited by this Act</w:t>
      </w:r>
      <w:bookmarkEnd w:id="34"/>
    </w:p>
    <w:p>
      <w:pPr>
        <w:pStyle w:val="Subsection"/>
        <w:spacing w:before="120"/>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spacing w:before="180"/>
        <w:rPr>
          <w:snapToGrid w:val="0"/>
        </w:rPr>
      </w:pPr>
      <w:bookmarkStart w:id="35" w:name="_Toc402969380"/>
      <w:r>
        <w:rPr>
          <w:rStyle w:val="CharSectno"/>
        </w:rPr>
        <w:t>24</w:t>
      </w:r>
      <w:r>
        <w:rPr>
          <w:snapToGrid w:val="0"/>
        </w:rPr>
        <w:t>.</w:t>
      </w:r>
      <w:r>
        <w:rPr>
          <w:snapToGrid w:val="0"/>
        </w:rPr>
        <w:tab/>
        <w:t xml:space="preserve">Commissioner of </w:t>
      </w:r>
      <w:smartTag w:uri="urn:schemas-microsoft-com:office:smarttags" w:element="place">
        <w:r>
          <w:rPr>
            <w:snapToGrid w:val="0"/>
          </w:rPr>
          <w:t>Po</w:t>
        </w:r>
      </w:smartTag>
      <w:r>
        <w:rPr>
          <w:snapToGrid w:val="0"/>
        </w:rPr>
        <w:t>lice, directions by to police officers</w:t>
      </w:r>
      <w:bookmarkEnd w:id="35"/>
    </w:p>
    <w:p>
      <w:pPr>
        <w:pStyle w:val="Subsection"/>
        <w:spacing w:before="120"/>
        <w:rPr>
          <w:snapToGrid w:val="0"/>
        </w:rPr>
      </w:pPr>
      <w:r>
        <w:rPr>
          <w:snapToGrid w:val="0"/>
        </w:rPr>
        <w:tab/>
      </w:r>
      <w:r>
        <w:rPr>
          <w:snapToGrid w:val="0"/>
        </w:rPr>
        <w:tab/>
        <w:t>The Commissioner of Police shall issue all such orders, and give all such directions, to members of the Police Force as may, in his opinion, be necessary or expedient to —</w:t>
      </w:r>
    </w:p>
    <w:p>
      <w:pPr>
        <w:pStyle w:val="Indenta"/>
        <w:spacing w:before="50"/>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 and</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 and</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36" w:name="_Toc402969381"/>
      <w:r>
        <w:rPr>
          <w:rStyle w:val="CharSectno"/>
        </w:rPr>
        <w:t>25</w:t>
      </w:r>
      <w:r>
        <w:rPr>
          <w:snapToGrid w:val="0"/>
        </w:rPr>
        <w:t>.</w:t>
      </w:r>
      <w:r>
        <w:rPr>
          <w:snapToGrid w:val="0"/>
        </w:rPr>
        <w:tab/>
        <w:t>Entry to premises, arrest etc., warrant authorising</w:t>
      </w:r>
      <w:bookmarkEnd w:id="36"/>
    </w:p>
    <w:p>
      <w:pPr>
        <w:pStyle w:val="Subsection"/>
        <w:rPr>
          <w:snapToGrid w:val="0"/>
        </w:rPr>
      </w:pPr>
      <w:r>
        <w:rPr>
          <w:snapToGrid w:val="0"/>
        </w:rPr>
        <w:tab/>
        <w:t>(1)</w:t>
      </w:r>
      <w:r>
        <w:rPr>
          <w:snapToGrid w:val="0"/>
        </w:rPr>
        <w:tab/>
        <w:t>Where a justice is satisfied, upon an application supported by evidence on oath, that there is reason to suspect that —</w:t>
      </w:r>
    </w:p>
    <w:p>
      <w:pPr>
        <w:pStyle w:val="Indenta"/>
        <w:rPr>
          <w:snapToGrid w:val="0"/>
        </w:rPr>
      </w:pPr>
      <w:r>
        <w:rPr>
          <w:snapToGrid w:val="0"/>
        </w:rPr>
        <w:tab/>
        <w:t>(a)</w:t>
      </w:r>
      <w:r>
        <w:rPr>
          <w:snapToGrid w:val="0"/>
        </w:rPr>
        <w:tab/>
        <w:t>any premises are, have been or are about to be opened, kept or used as a common gaming house; or</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w:t>
      </w:r>
    </w:p>
    <w:p>
      <w:pPr>
        <w:pStyle w:val="Indenta"/>
        <w:rPr>
          <w:snapToGrid w:val="0"/>
        </w:rPr>
      </w:pPr>
      <w:r>
        <w:rPr>
          <w:snapToGrid w:val="0"/>
        </w:rPr>
        <w:tab/>
        <w:t>(a)</w:t>
      </w:r>
      <w:r>
        <w:rPr>
          <w:snapToGrid w:val="0"/>
        </w:rPr>
        <w:tab/>
        <w:t>to arrest any person found on the premises to which the warrant relates; and</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25 amended by No. 35 of 2003 s. 166; No. 84 of 2004 s. 80.]</w:t>
      </w:r>
    </w:p>
    <w:p>
      <w:pPr>
        <w:pStyle w:val="Heading5"/>
        <w:rPr>
          <w:snapToGrid w:val="0"/>
        </w:rPr>
      </w:pPr>
      <w:bookmarkStart w:id="37" w:name="_Toc402969382"/>
      <w:r>
        <w:rPr>
          <w:rStyle w:val="CharSectno"/>
        </w:rPr>
        <w:t>26</w:t>
      </w:r>
      <w:r>
        <w:rPr>
          <w:snapToGrid w:val="0"/>
        </w:rPr>
        <w:t>.</w:t>
      </w:r>
      <w:r>
        <w:rPr>
          <w:snapToGrid w:val="0"/>
        </w:rPr>
        <w:tab/>
        <w:t>Evidence, information etc., powers to seize, obtain etc.</w:t>
      </w:r>
      <w:bookmarkEnd w:id="37"/>
    </w:p>
    <w:p>
      <w:pPr>
        <w:pStyle w:val="Subsection"/>
        <w:rPr>
          <w:snapToGrid w:val="0"/>
        </w:rPr>
      </w:pPr>
      <w:r>
        <w:rPr>
          <w:snapToGrid w:val="0"/>
        </w:rPr>
        <w:tab/>
        <w:t>(1)</w:t>
      </w:r>
      <w:r>
        <w:rPr>
          <w:snapToGrid w:val="0"/>
        </w:rPr>
        <w:tab/>
        <w:t>The Commission, an authorised officer or a member of the Police Force may for the purposes of this Act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38" w:name="_Toc402969383"/>
      <w:r>
        <w:rPr>
          <w:rStyle w:val="CharSectno"/>
        </w:rPr>
        <w:t>27</w:t>
      </w:r>
      <w:r>
        <w:rPr>
          <w:snapToGrid w:val="0"/>
        </w:rPr>
        <w:t>.</w:t>
      </w:r>
      <w:r>
        <w:rPr>
          <w:snapToGrid w:val="0"/>
        </w:rPr>
        <w:tab/>
        <w:t>Information, production of books, accounts etc., powers to require</w:t>
      </w:r>
      <w:bookmarkEnd w:id="38"/>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 and</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 and</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In connection with any pending application for a permit the Commission may at any time require accounts to be furnished by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spacing w:before="140"/>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39" w:name="_Toc402969384"/>
      <w:r>
        <w:rPr>
          <w:rStyle w:val="CharSectno"/>
        </w:rPr>
        <w:t>28</w:t>
      </w:r>
      <w:r>
        <w:rPr>
          <w:snapToGrid w:val="0"/>
        </w:rPr>
        <w:t>.</w:t>
      </w:r>
      <w:r>
        <w:rPr>
          <w:snapToGrid w:val="0"/>
        </w:rPr>
        <w:tab/>
        <w:t>Recovering moneys payable to Commission</w:t>
      </w:r>
      <w:bookmarkEnd w:id="39"/>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40" w:name="_Toc402969385"/>
      <w:r>
        <w:rPr>
          <w:rStyle w:val="CharSectno"/>
        </w:rPr>
        <w:t>29</w:t>
      </w:r>
      <w:r>
        <w:rPr>
          <w:snapToGrid w:val="0"/>
        </w:rPr>
        <w:t>.</w:t>
      </w:r>
      <w:r>
        <w:rPr>
          <w:snapToGrid w:val="0"/>
        </w:rPr>
        <w:tab/>
        <w:t>Hindering etc. Commission etc. and false etc. answers, offences as to</w:t>
      </w:r>
      <w:bookmarkEnd w:id="40"/>
    </w:p>
    <w:p>
      <w:pPr>
        <w:pStyle w:val="Subsection"/>
        <w:keepNext/>
        <w:keepLines/>
        <w:rPr>
          <w:snapToGrid w:val="0"/>
        </w:rPr>
      </w:pPr>
      <w:r>
        <w:rPr>
          <w:snapToGrid w:val="0"/>
        </w:rPr>
        <w:tab/>
        <w:t>(1)</w:t>
      </w:r>
      <w:r>
        <w:rPr>
          <w:snapToGrid w:val="0"/>
        </w:rPr>
        <w:tab/>
        <w:t>A person —</w:t>
      </w:r>
    </w:p>
    <w:p>
      <w:pPr>
        <w:pStyle w:val="Indenta"/>
        <w:rPr>
          <w:snapToGrid w:val="0"/>
        </w:rPr>
      </w:pPr>
      <w:r>
        <w:rPr>
          <w:snapToGrid w:val="0"/>
        </w:rPr>
        <w:tab/>
        <w:t>(a)</w:t>
      </w:r>
      <w:r>
        <w:rPr>
          <w:snapToGrid w:val="0"/>
        </w:rPr>
        <w:tab/>
        <w:t>who without lawful excuse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 or</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41" w:name="_Toc402969386"/>
      <w:r>
        <w:rPr>
          <w:rStyle w:val="CharSectno"/>
        </w:rPr>
        <w:t>30</w:t>
      </w:r>
      <w:r>
        <w:rPr>
          <w:snapToGrid w:val="0"/>
        </w:rPr>
        <w:t>.</w:t>
      </w:r>
      <w:r>
        <w:rPr>
          <w:snapToGrid w:val="0"/>
        </w:rPr>
        <w:tab/>
        <w:t>Incriminating information to be provided but is not admissible</w:t>
      </w:r>
      <w:bookmarkEnd w:id="41"/>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r>
        <w:tab/>
        <w:t>[Section 30 amended by No. 35 of 2003 s. 166.]</w:t>
      </w:r>
    </w:p>
    <w:p>
      <w:pPr>
        <w:pStyle w:val="Heading5"/>
        <w:rPr>
          <w:snapToGrid w:val="0"/>
        </w:rPr>
      </w:pPr>
      <w:bookmarkStart w:id="42" w:name="_Toc402969387"/>
      <w:r>
        <w:rPr>
          <w:rStyle w:val="CharSectno"/>
        </w:rPr>
        <w:t>31</w:t>
      </w:r>
      <w:r>
        <w:rPr>
          <w:snapToGrid w:val="0"/>
        </w:rPr>
        <w:t>.</w:t>
      </w:r>
      <w:r>
        <w:rPr>
          <w:snapToGrid w:val="0"/>
        </w:rPr>
        <w:tab/>
        <w:t>Seizure without warrant</w:t>
      </w:r>
      <w:bookmarkEnd w:id="42"/>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r>
        <w:tab/>
        <w:t>[Section 31 amended by No. 35 of 2003 s. 166; No. 59 of 2006 s. 48.]</w:t>
      </w:r>
    </w:p>
    <w:p>
      <w:pPr>
        <w:pStyle w:val="Heading5"/>
      </w:pPr>
      <w:bookmarkStart w:id="43" w:name="_Toc402969388"/>
      <w:r>
        <w:rPr>
          <w:rStyle w:val="CharSectno"/>
        </w:rPr>
        <w:t>31A</w:t>
      </w:r>
      <w:r>
        <w:t>.</w:t>
      </w:r>
      <w:r>
        <w:tab/>
        <w:t>Powers to assist seizing things</w:t>
      </w:r>
      <w:bookmarkEnd w:id="43"/>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[Section 31A inserted by No. 59 of 2006 s. 49.]</w:t>
      </w:r>
    </w:p>
    <w:p>
      <w:pPr>
        <w:pStyle w:val="Heading5"/>
        <w:rPr>
          <w:snapToGrid w:val="0"/>
        </w:rPr>
      </w:pPr>
      <w:bookmarkStart w:id="44" w:name="_Toc402969389"/>
      <w:r>
        <w:rPr>
          <w:rStyle w:val="CharSectno"/>
        </w:rPr>
        <w:t>32</w:t>
      </w:r>
      <w:r>
        <w:rPr>
          <w:snapToGrid w:val="0"/>
        </w:rPr>
        <w:t>.</w:t>
      </w:r>
      <w:r>
        <w:rPr>
          <w:snapToGrid w:val="0"/>
        </w:rPr>
        <w:tab/>
        <w:t>Certain seized things to be forfeited to Crown</w:t>
      </w:r>
      <w:bookmarkEnd w:id="44"/>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45" w:name="_Toc402969390"/>
      <w:r>
        <w:rPr>
          <w:rStyle w:val="CharSectno"/>
        </w:rPr>
        <w:t>32A</w:t>
      </w:r>
      <w:r>
        <w:t>.</w:t>
      </w:r>
      <w:r>
        <w:tab/>
        <w:t>Disposing of seized or forfeited things</w:t>
      </w:r>
      <w:bookmarkEnd w:id="45"/>
    </w:p>
    <w:p>
      <w:pPr>
        <w:pStyle w:val="Subsection"/>
        <w:spacing w:before="140"/>
      </w:pPr>
      <w:r>
        <w:tab/>
        <w:t>(1)</w:t>
      </w:r>
      <w:r>
        <w:tab/>
        <w:t>In this section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4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40"/>
      </w:pPr>
      <w:r>
        <w:tab/>
        <w:t>(3)</w:t>
      </w:r>
      <w:r>
        <w:tab/>
        <w:t xml:space="preserve">For the purposes of the </w:t>
      </w:r>
      <w:r>
        <w:rPr>
          <w:i/>
          <w:iCs/>
        </w:rPr>
        <w:t>Criminal and Found Property Disposal Act 2006</w:t>
      </w:r>
      <w:r>
        <w:t> —</w:t>
      </w:r>
    </w:p>
    <w:p>
      <w:pPr>
        <w:pStyle w:val="Indenta"/>
        <w:spacing w:before="60"/>
      </w:pPr>
      <w:r>
        <w:tab/>
        <w:t>(a)</w:t>
      </w:r>
      <w:r>
        <w:tab/>
        <w:t>the Commission is a prescribed agency;</w:t>
      </w:r>
    </w:p>
    <w:p>
      <w:pPr>
        <w:pStyle w:val="Indenta"/>
        <w:spacing w:before="60"/>
      </w:pPr>
      <w:r>
        <w:tab/>
        <w:t>(b)</w:t>
      </w:r>
      <w:r>
        <w:tab/>
        <w:t>the chief executive officer of the Department is the chief officer of the Commission.</w:t>
      </w:r>
    </w:p>
    <w:p>
      <w:pPr>
        <w:pStyle w:val="Footnotesection"/>
        <w:spacing w:before="100"/>
        <w:ind w:left="890" w:hanging="890"/>
      </w:pPr>
      <w:r>
        <w:tab/>
        <w:t>[Section 32A inserted by No. 59 of 2006 s. 51.]</w:t>
      </w:r>
    </w:p>
    <w:p>
      <w:pPr>
        <w:pStyle w:val="Heading5"/>
        <w:spacing w:before="200"/>
        <w:rPr>
          <w:snapToGrid w:val="0"/>
        </w:rPr>
      </w:pPr>
      <w:bookmarkStart w:id="46" w:name="_Toc402969391"/>
      <w:r>
        <w:rPr>
          <w:rStyle w:val="CharSectno"/>
        </w:rPr>
        <w:t>33</w:t>
      </w:r>
      <w:r>
        <w:rPr>
          <w:snapToGrid w:val="0"/>
        </w:rPr>
        <w:t>.</w:t>
      </w:r>
      <w:r>
        <w:rPr>
          <w:snapToGrid w:val="0"/>
        </w:rPr>
        <w:tab/>
        <w:t>Prosecuting offences</w:t>
      </w:r>
      <w:bookmarkEnd w:id="46"/>
    </w:p>
    <w:p>
      <w:pPr>
        <w:pStyle w:val="Subsection"/>
        <w:spacing w:before="14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4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4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4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w:t>
      </w:r>
    </w:p>
    <w:p>
      <w:pPr>
        <w:pStyle w:val="Indenta"/>
        <w:spacing w:before="60"/>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rPr>
          <w:bCs/>
        </w:rPr>
      </w:pPr>
      <w:bookmarkStart w:id="47" w:name="_Toc402969392"/>
      <w:r>
        <w:rPr>
          <w:rStyle w:val="CharSectno"/>
        </w:rPr>
        <w:t>34</w:t>
      </w:r>
      <w:r>
        <w:rPr>
          <w:bCs/>
        </w:rPr>
        <w:t>.</w:t>
      </w:r>
      <w:r>
        <w:rPr>
          <w:bCs/>
        </w:rPr>
        <w:tab/>
        <w:t>Offences to be dealt with by magistrate</w:t>
      </w:r>
      <w:bookmarkEnd w:id="47"/>
    </w:p>
    <w:p>
      <w:pPr>
        <w:pStyle w:val="Subsection"/>
      </w:pPr>
      <w:r>
        <w:tab/>
      </w:r>
      <w:r>
        <w:tab/>
        <w:t>A court of summary jurisdiction dealing with an offence under this Act is to be constituted by a magistrate.</w:t>
      </w:r>
    </w:p>
    <w:p>
      <w:pPr>
        <w:pStyle w:val="Footnotesection"/>
      </w:pPr>
      <w:r>
        <w:tab/>
        <w:t>[Section 34 inserted by No. 59 of 2004 s. 141.]</w:t>
      </w:r>
    </w:p>
    <w:p>
      <w:pPr>
        <w:pStyle w:val="Heading5"/>
      </w:pPr>
      <w:bookmarkStart w:id="48" w:name="_Toc402969393"/>
      <w:r>
        <w:rPr>
          <w:rStyle w:val="CharSectno"/>
        </w:rPr>
        <w:t>35</w:t>
      </w:r>
      <w:r>
        <w:t>.</w:t>
      </w:r>
      <w:r>
        <w:tab/>
        <w:t>General penalty</w:t>
      </w:r>
      <w:bookmarkEnd w:id="48"/>
    </w:p>
    <w:p>
      <w:pPr>
        <w:pStyle w:val="Subsection"/>
        <w:rPr>
          <w:snapToGrid w:val="0"/>
        </w:rPr>
      </w:pPr>
      <w:r>
        <w:tab/>
      </w:r>
      <w:r>
        <w:tab/>
        <w:t>The penalty for an offence under this Act for which no penalty is specifically provided is a fine of $1 000.</w:t>
      </w:r>
    </w:p>
    <w:p>
      <w:pPr>
        <w:pStyle w:val="Footnotesection"/>
      </w:pPr>
      <w:r>
        <w:tab/>
        <w:t>[Section 35 inserted by No. 50 of 2003 s. 66(3).]</w:t>
      </w:r>
    </w:p>
    <w:p>
      <w:pPr>
        <w:pStyle w:val="Heading5"/>
        <w:rPr>
          <w:snapToGrid w:val="0"/>
        </w:rPr>
      </w:pPr>
      <w:bookmarkStart w:id="49" w:name="_Toc402969394"/>
      <w:r>
        <w:rPr>
          <w:rStyle w:val="CharSectno"/>
        </w:rPr>
        <w:t>36</w:t>
      </w:r>
      <w:r>
        <w:rPr>
          <w:snapToGrid w:val="0"/>
        </w:rPr>
        <w:t>.</w:t>
      </w:r>
      <w:r>
        <w:rPr>
          <w:snapToGrid w:val="0"/>
        </w:rPr>
        <w:tab/>
        <w:t>Infringement notices</w:t>
      </w:r>
      <w:bookmarkEnd w:id="49"/>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w:t>
      </w:r>
    </w:p>
    <w:p>
      <w:pPr>
        <w:pStyle w:val="Indenta"/>
        <w:rPr>
          <w:snapToGrid w:val="0"/>
        </w:rPr>
      </w:pPr>
      <w:r>
        <w:rPr>
          <w:snapToGrid w:val="0"/>
        </w:rPr>
        <w:tab/>
        <w:t>(a)</w:t>
      </w:r>
      <w:r>
        <w:rPr>
          <w:snapToGrid w:val="0"/>
        </w:rPr>
        <w:tab/>
        <w:t>the place where the offence occurs; and</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r>
        <w:tab/>
        <w:t>[Section 36 amended by No. 84 of 2004 s. 80.]</w:t>
      </w:r>
    </w:p>
    <w:p>
      <w:pPr>
        <w:pStyle w:val="Heading5"/>
        <w:rPr>
          <w:snapToGrid w:val="0"/>
        </w:rPr>
      </w:pPr>
      <w:bookmarkStart w:id="50" w:name="_Toc402969395"/>
      <w:r>
        <w:rPr>
          <w:rStyle w:val="CharSectno"/>
        </w:rPr>
        <w:t>37</w:t>
      </w:r>
      <w:r>
        <w:rPr>
          <w:snapToGrid w:val="0"/>
        </w:rPr>
        <w:t>.</w:t>
      </w:r>
      <w:r>
        <w:rPr>
          <w:snapToGrid w:val="0"/>
        </w:rPr>
        <w:tab/>
        <w:t>Criminal liability of directors etc.</w:t>
      </w:r>
      <w:bookmarkEnd w:id="50"/>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51" w:name="_Toc402969396"/>
      <w:r>
        <w:rPr>
          <w:rStyle w:val="CharSectno"/>
        </w:rPr>
        <w:t>38</w:t>
      </w:r>
      <w:r>
        <w:rPr>
          <w:snapToGrid w:val="0"/>
        </w:rPr>
        <w:t>.</w:t>
      </w:r>
      <w:r>
        <w:rPr>
          <w:snapToGrid w:val="0"/>
        </w:rPr>
        <w:tab/>
        <w:t>Service of notices</w:t>
      </w:r>
      <w:bookmarkEnd w:id="51"/>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w:t>
      </w:r>
    </w:p>
    <w:p>
      <w:pPr>
        <w:pStyle w:val="Heading5"/>
        <w:rPr>
          <w:snapToGrid w:val="0"/>
        </w:rPr>
      </w:pPr>
      <w:bookmarkStart w:id="52" w:name="_Toc402969397"/>
      <w:r>
        <w:rPr>
          <w:rStyle w:val="CharSectno"/>
        </w:rPr>
        <w:t>39</w:t>
      </w:r>
      <w:r>
        <w:rPr>
          <w:snapToGrid w:val="0"/>
        </w:rPr>
        <w:t>.</w:t>
      </w:r>
      <w:r>
        <w:rPr>
          <w:snapToGrid w:val="0"/>
        </w:rPr>
        <w:tab/>
        <w:t>Evidentiary provisions for charges of offences</w:t>
      </w:r>
      <w:bookmarkEnd w:id="52"/>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a document signed by a member of the Commission stating that at the time or during the period stated in the document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 or</w:t>
      </w:r>
    </w:p>
    <w:p>
      <w:pPr>
        <w:pStyle w:val="Indenti"/>
        <w:rPr>
          <w:snapToGrid w:val="0"/>
        </w:rPr>
      </w:pPr>
      <w:r>
        <w:rPr>
          <w:snapToGrid w:val="0"/>
        </w:rPr>
        <w:tab/>
        <w:t>(iii)</w:t>
      </w:r>
      <w:r>
        <w:rPr>
          <w:snapToGrid w:val="0"/>
        </w:rPr>
        <w:tab/>
        <w:t>a specified game is of a kind essentially similar to a game of another specified kind; or</w:t>
      </w:r>
    </w:p>
    <w:p>
      <w:pPr>
        <w:pStyle w:val="Indenti"/>
        <w:rPr>
          <w:snapToGrid w:val="0"/>
        </w:rPr>
      </w:pPr>
      <w:r>
        <w:rPr>
          <w:snapToGrid w:val="0"/>
        </w:rPr>
        <w:tab/>
        <w:t>(iiia)</w:t>
      </w:r>
      <w:r>
        <w:rPr>
          <w:snapToGrid w:val="0"/>
        </w:rPr>
        <w:tab/>
        <w:t xml:space="preserve">a specified game is a game that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 is a variation or derivative of such a game; or</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 and</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 and</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 and</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 and</w:t>
      </w:r>
    </w:p>
    <w:p>
      <w:pPr>
        <w:pStyle w:val="Indenta"/>
        <w:spacing w:before="90"/>
        <w:rPr>
          <w:snapToGrid w:val="0"/>
        </w:rPr>
      </w:pPr>
      <w:r>
        <w:rPr>
          <w:snapToGrid w:val="0"/>
        </w:rPr>
        <w:tab/>
        <w:t>(d)</w:t>
      </w:r>
      <w:r>
        <w:rPr>
          <w:snapToGrid w:val="0"/>
        </w:rPr>
        <w:tab/>
        <w:t>the playing of a game of chance or participation in any activity which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 or</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w:t>
      </w:r>
    </w:p>
    <w:p>
      <w:pPr>
        <w:pStyle w:val="Indenti"/>
        <w:rPr>
          <w:snapToGrid w:val="0"/>
        </w:rPr>
      </w:pPr>
      <w:r>
        <w:rPr>
          <w:snapToGrid w:val="0"/>
        </w:rPr>
        <w:tab/>
        <w:t>(i)</w:t>
      </w:r>
      <w:r>
        <w:rPr>
          <w:snapToGrid w:val="0"/>
        </w:rPr>
        <w:tab/>
      </w:r>
      <w:r>
        <w:t>gambling</w:t>
      </w:r>
      <w:r>
        <w:rPr>
          <w:snapToGrid w:val="0"/>
        </w:rPr>
        <w:t xml:space="preserve"> in; or</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w:t>
      </w:r>
    </w:p>
    <w:p>
      <w:pPr>
        <w:pStyle w:val="Indenta"/>
        <w:rPr>
          <w:snapToGrid w:val="0"/>
        </w:rPr>
      </w:pPr>
      <w:r>
        <w:rPr>
          <w:snapToGrid w:val="0"/>
        </w:rPr>
        <w:tab/>
        <w:t>(a)</w:t>
      </w:r>
      <w:r>
        <w:rPr>
          <w:snapToGrid w:val="0"/>
        </w:rPr>
        <w:tab/>
        <w:t>taking part in the conduct of the game; or</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[Section 39 amended by No. 16 of 1990 s. 33; No. 24 of 1998 s. 46; No. 35 of 2003 s. 140, 166 and 167; No. 84 of 2004 s. 80.]</w:t>
      </w:r>
    </w:p>
    <w:p>
      <w:pPr>
        <w:pStyle w:val="Heading5"/>
        <w:rPr>
          <w:snapToGrid w:val="0"/>
        </w:rPr>
      </w:pPr>
      <w:bookmarkStart w:id="53" w:name="_Toc402969398"/>
      <w:r>
        <w:rPr>
          <w:rStyle w:val="CharSectno"/>
        </w:rPr>
        <w:t>40</w:t>
      </w:r>
      <w:r>
        <w:rPr>
          <w:snapToGrid w:val="0"/>
        </w:rPr>
        <w:t>.</w:t>
      </w:r>
      <w:r>
        <w:rPr>
          <w:snapToGrid w:val="0"/>
        </w:rPr>
        <w:tab/>
        <w:t>Evidentiary provisions for charges involving common gaming houses</w:t>
      </w:r>
      <w:bookmarkEnd w:id="53"/>
    </w:p>
    <w:p>
      <w:pPr>
        <w:pStyle w:val="Subsection"/>
        <w:rPr>
          <w:snapToGrid w:val="0"/>
        </w:rPr>
      </w:pPr>
      <w:r>
        <w:rPr>
          <w:snapToGrid w:val="0"/>
        </w:rPr>
        <w:tab/>
        <w:t>(1)</w:t>
      </w:r>
      <w:r>
        <w:rPr>
          <w:snapToGrid w:val="0"/>
        </w:rPr>
        <w:tab/>
        <w:t>Where a person is charged with an offence in relation to any premises alleged to be a common gaming house —</w:t>
      </w:r>
    </w:p>
    <w:p>
      <w:pPr>
        <w:pStyle w:val="Indenta"/>
        <w:spacing w:before="70"/>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spacing w:before="70"/>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spacing w:before="70"/>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w:t>
      </w:r>
    </w:p>
    <w:p>
      <w:pPr>
        <w:pStyle w:val="Indenti"/>
        <w:spacing w:before="70"/>
        <w:rPr>
          <w:snapToGrid w:val="0"/>
        </w:rPr>
      </w:pPr>
      <w:r>
        <w:rPr>
          <w:snapToGrid w:val="0"/>
        </w:rPr>
        <w:tab/>
        <w:t>(i)</w:t>
      </w:r>
      <w:r>
        <w:rPr>
          <w:snapToGrid w:val="0"/>
        </w:rPr>
        <w:tab/>
        <w:t>the game is an unlawful game; or</w:t>
      </w:r>
    </w:p>
    <w:p>
      <w:pPr>
        <w:pStyle w:val="Indenti"/>
        <w:spacing w:before="70"/>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 or</w:t>
      </w:r>
    </w:p>
    <w:p>
      <w:pPr>
        <w:pStyle w:val="Indenti"/>
        <w:spacing w:before="70"/>
        <w:rPr>
          <w:snapToGrid w:val="0"/>
        </w:rPr>
      </w:pPr>
      <w:r>
        <w:rPr>
          <w:snapToGrid w:val="0"/>
        </w:rPr>
        <w:tab/>
        <w:t>(iii)</w:t>
      </w:r>
      <w:r>
        <w:rPr>
          <w:snapToGrid w:val="0"/>
        </w:rPr>
        <w:tab/>
        <w:t>the nature of the game is such that the chances in the game are not equally favourable to all players; or</w:t>
      </w:r>
    </w:p>
    <w:p>
      <w:pPr>
        <w:pStyle w:val="Indenti"/>
        <w:spacing w:before="70"/>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 or</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 or</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 or</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54" w:name="_Toc402969399"/>
      <w:r>
        <w:rPr>
          <w:rStyle w:val="CharPartNo"/>
        </w:rPr>
        <w:t>Part IV</w:t>
      </w:r>
      <w:r>
        <w:rPr>
          <w:rStyle w:val="CharDivNo"/>
        </w:rPr>
        <w:t> </w:t>
      </w:r>
      <w:r>
        <w:t>—</w:t>
      </w:r>
      <w:r>
        <w:rPr>
          <w:rStyle w:val="CharDivText"/>
        </w:rPr>
        <w:t> </w:t>
      </w:r>
      <w:r>
        <w:rPr>
          <w:rStyle w:val="CharPartText"/>
        </w:rPr>
        <w:t>Common gaming houses, unlawful gaming, cheating etc.</w:t>
      </w:r>
      <w:bookmarkEnd w:id="54"/>
    </w:p>
    <w:p>
      <w:pPr>
        <w:pStyle w:val="Heading5"/>
      </w:pPr>
      <w:bookmarkStart w:id="55" w:name="_Toc402969400"/>
      <w:r>
        <w:rPr>
          <w:rStyle w:val="CharSectno"/>
        </w:rPr>
        <w:t>40A</w:t>
      </w:r>
      <w:r>
        <w:t>.</w:t>
      </w:r>
      <w:r>
        <w:tab/>
        <w:t>Part does not apply to gambling under other written laws</w:t>
      </w:r>
      <w:bookmarkEnd w:id="55"/>
    </w:p>
    <w:p>
      <w:pPr>
        <w:pStyle w:val="Subsection"/>
      </w:pPr>
      <w:r>
        <w:tab/>
      </w:r>
      <w:r>
        <w:tab/>
        <w:t>In this Part —</w:t>
      </w:r>
    </w:p>
    <w:p>
      <w:pPr>
        <w:pStyle w:val="Defstart"/>
      </w:pPr>
      <w:r>
        <w:rPr>
          <w:b/>
        </w:rPr>
        <w:tab/>
      </w:r>
      <w:r>
        <w:rPr>
          <w:rStyle w:val="CharDefText"/>
        </w:rPr>
        <w:t>gambling</w:t>
      </w:r>
      <w:r>
        <w:t xml:space="preserve"> and </w:t>
      </w:r>
      <w:r>
        <w:rPr>
          <w:rStyle w:val="CharDefText"/>
        </w:rPr>
        <w:t>wagering</w:t>
      </w:r>
      <w:r>
        <w:t>, except in relation to section 44, do not include gambling under and in accordance with —</w:t>
      </w:r>
    </w:p>
    <w:p>
      <w:pPr>
        <w:pStyle w:val="Defpara"/>
      </w:pPr>
      <w:r>
        <w:tab/>
        <w:t>(a)</w:t>
      </w:r>
      <w:r>
        <w:tab/>
        <w:t xml:space="preserve">the </w:t>
      </w:r>
      <w:r>
        <w:rPr>
          <w:i/>
        </w:rPr>
        <w:t>Betting Control Act 1954</w:t>
      </w:r>
      <w:r>
        <w:t>; or</w:t>
      </w:r>
    </w:p>
    <w:p>
      <w:pPr>
        <w:pStyle w:val="Defpara"/>
      </w:pPr>
      <w:r>
        <w:tab/>
        <w:t>(b)</w:t>
      </w:r>
      <w:r>
        <w:tab/>
        <w:t xml:space="preserve">the </w:t>
      </w:r>
      <w:r>
        <w:rPr>
          <w:i/>
        </w:rPr>
        <w:t>Lotteries Commission Act 1990</w:t>
      </w:r>
      <w:r>
        <w:t>; or</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56" w:name="_Toc402969401"/>
      <w:r>
        <w:rPr>
          <w:rStyle w:val="CharSectno"/>
        </w:rPr>
        <w:t>41</w:t>
      </w:r>
      <w:r>
        <w:rPr>
          <w:snapToGrid w:val="0"/>
        </w:rPr>
        <w:t>.</w:t>
      </w:r>
      <w:r>
        <w:rPr>
          <w:snapToGrid w:val="0"/>
        </w:rPr>
        <w:tab/>
        <w:t>Common gaming house, meaning of and offences as to</w:t>
      </w:r>
      <w:bookmarkEnd w:id="56"/>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w:t>
      </w:r>
    </w:p>
    <w:p>
      <w:pPr>
        <w:pStyle w:val="Indenta"/>
        <w:rPr>
          <w:snapToGrid w:val="0"/>
        </w:rPr>
      </w:pPr>
      <w:r>
        <w:rPr>
          <w:snapToGrid w:val="0"/>
        </w:rPr>
        <w:tab/>
        <w:t>(a)</w:t>
      </w:r>
      <w:r>
        <w:rPr>
          <w:snapToGrid w:val="0"/>
        </w:rPr>
        <w:tab/>
        <w:t>a person concerned in the conduct of the</w:t>
      </w:r>
      <w:r>
        <w:t xml:space="preserve"> gambling</w:t>
      </w:r>
      <w:r>
        <w:rPr>
          <w:snapToGrid w:val="0"/>
        </w:rPr>
        <w:t>; and</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w:t>
      </w:r>
    </w:p>
    <w:p>
      <w:pPr>
        <w:pStyle w:val="Indenta"/>
        <w:rPr>
          <w:snapToGrid w:val="0"/>
        </w:rPr>
      </w:pPr>
      <w:r>
        <w:rPr>
          <w:snapToGrid w:val="0"/>
        </w:rPr>
        <w:tab/>
        <w:t>(a)</w:t>
      </w:r>
      <w:r>
        <w:rPr>
          <w:snapToGrid w:val="0"/>
        </w:rPr>
        <w:tab/>
        <w:t>causes, procures or attempts to procure any other person to commit an offence of a kind referred to in that subsection; or</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w:t>
      </w:r>
    </w:p>
    <w:p>
      <w:pPr>
        <w:pStyle w:val="Indenti"/>
        <w:rPr>
          <w:snapToGrid w:val="0"/>
        </w:rPr>
      </w:pPr>
      <w:r>
        <w:rPr>
          <w:snapToGrid w:val="0"/>
        </w:rPr>
        <w:tab/>
        <w:t>(i)</w:t>
      </w:r>
      <w:r>
        <w:rPr>
          <w:snapToGrid w:val="0"/>
        </w:rPr>
        <w:tab/>
        <w:t>providing, servicing, operating or using any gaming equipment or instrument of gaming; or</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57" w:name="_Toc402969402"/>
      <w:r>
        <w:rPr>
          <w:rStyle w:val="CharSectno"/>
        </w:rPr>
        <w:t>42</w:t>
      </w:r>
      <w:r>
        <w:rPr>
          <w:snapToGrid w:val="0"/>
        </w:rPr>
        <w:t>.</w:t>
      </w:r>
      <w:r>
        <w:rPr>
          <w:snapToGrid w:val="0"/>
        </w:rPr>
        <w:tab/>
        <w:t>Prohibited gaming and unlawful games defined and offences as to</w:t>
      </w:r>
      <w:bookmarkEnd w:id="57"/>
    </w:p>
    <w:p>
      <w:pPr>
        <w:pStyle w:val="Subsection"/>
        <w:rPr>
          <w:snapToGrid w:val="0"/>
        </w:rPr>
      </w:pPr>
      <w:r>
        <w:rPr>
          <w:snapToGrid w:val="0"/>
        </w:rPr>
        <w:tab/>
        <w:t>(1)</w:t>
      </w:r>
      <w:r>
        <w:rPr>
          <w:snapToGrid w:val="0"/>
        </w:rPr>
        <w:tab/>
        <w:t>Subject to subsection (3), the conduct of gaming by means of or the playing of —</w:t>
      </w:r>
    </w:p>
    <w:p>
      <w:pPr>
        <w:pStyle w:val="Indenta"/>
        <w:spacing w:before="60"/>
        <w:rPr>
          <w:snapToGrid w:val="0"/>
        </w:rPr>
      </w:pPr>
      <w:r>
        <w:rPr>
          <w:snapToGrid w:val="0"/>
        </w:rPr>
        <w:tab/>
        <w:t>(a)</w:t>
      </w:r>
      <w:r>
        <w:rPr>
          <w:snapToGrid w:val="0"/>
        </w:rPr>
        <w:tab/>
        <w:t>thimblerig; or</w:t>
      </w:r>
    </w:p>
    <w:p>
      <w:pPr>
        <w:pStyle w:val="Indenta"/>
        <w:spacing w:before="60"/>
        <w:rPr>
          <w:snapToGrid w:val="0"/>
        </w:rPr>
      </w:pPr>
      <w:r>
        <w:rPr>
          <w:snapToGrid w:val="0"/>
        </w:rPr>
        <w:tab/>
        <w:t>(b)</w:t>
      </w:r>
      <w:r>
        <w:rPr>
          <w:snapToGrid w:val="0"/>
        </w:rPr>
        <w:tab/>
        <w:t>two</w:t>
      </w:r>
      <w:r>
        <w:rPr>
          <w:snapToGrid w:val="0"/>
        </w:rPr>
        <w:noBreakHyphen/>
        <w:t>up, other than permitted two</w:t>
      </w:r>
      <w:r>
        <w:rPr>
          <w:snapToGrid w:val="0"/>
        </w:rPr>
        <w:noBreakHyphen/>
        <w:t>up; or</w:t>
      </w:r>
    </w:p>
    <w:p>
      <w:pPr>
        <w:pStyle w:val="Indenta"/>
        <w:spacing w:before="60"/>
        <w:rPr>
          <w:snapToGrid w:val="0"/>
        </w:rPr>
      </w:pPr>
      <w:r>
        <w:rPr>
          <w:snapToGrid w:val="0"/>
        </w:rPr>
        <w:tab/>
        <w:t>(c)</w:t>
      </w:r>
      <w:r>
        <w:rPr>
          <w:snapToGrid w:val="0"/>
        </w:rPr>
        <w:tab/>
        <w:t>a game of a kind to which section 46(2)(a) refers or the playing of which would contravene the prohibitions referred to in section 46(2)(b), other than at Burswood Casino; or</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 or</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spacing w:before="100"/>
        <w:rPr>
          <w:snapToGrid w:val="0"/>
        </w:rPr>
      </w:pPr>
      <w:r>
        <w:rPr>
          <w:snapToGrid w:val="0"/>
        </w:rPr>
        <w:tab/>
      </w:r>
      <w:r>
        <w:rPr>
          <w:snapToGrid w:val="0"/>
        </w:rPr>
        <w:tab/>
        <w:t>is prohibited.</w:t>
      </w:r>
    </w:p>
    <w:p>
      <w:pPr>
        <w:pStyle w:val="Subsection"/>
        <w:spacing w:before="100"/>
        <w:rPr>
          <w:snapToGrid w:val="0"/>
        </w:rPr>
      </w:pPr>
      <w:r>
        <w:rPr>
          <w:snapToGrid w:val="0"/>
        </w:rPr>
        <w:tab/>
        <w:t>(2)</w:t>
      </w:r>
      <w:r>
        <w:rPr>
          <w:snapToGrid w:val="0"/>
        </w:rPr>
        <w:tab/>
        <w:t>Any game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spacing w:before="100"/>
        <w:rPr>
          <w:snapToGrid w:val="0"/>
        </w:rPr>
      </w:pPr>
      <w:r>
        <w:rPr>
          <w:snapToGrid w:val="0"/>
        </w:rPr>
        <w:tab/>
      </w:r>
      <w:r>
        <w:rPr>
          <w:snapToGrid w:val="0"/>
        </w:rPr>
        <w:tab/>
        <w:t>is for the purposes of this Act or any other law deemed to be an unlawful game.</w:t>
      </w:r>
    </w:p>
    <w:p>
      <w:pPr>
        <w:pStyle w:val="Subsection"/>
        <w:spacing w:before="100"/>
        <w:rPr>
          <w:snapToGrid w:val="0"/>
        </w:rPr>
      </w:pPr>
      <w:r>
        <w:rPr>
          <w:snapToGrid w:val="0"/>
        </w:rPr>
        <w:tab/>
        <w:t>(3)</w:t>
      </w:r>
      <w:r>
        <w:rPr>
          <w:snapToGrid w:val="0"/>
        </w:rPr>
        <w:tab/>
        <w:t>The prohibition declared in subsection (1) shall not have effect in relation to the playing of —</w:t>
      </w:r>
    </w:p>
    <w:p>
      <w:pPr>
        <w:pStyle w:val="Indenta"/>
        <w:rPr>
          <w:snapToGrid w:val="0"/>
        </w:rPr>
      </w:pPr>
      <w:r>
        <w:rPr>
          <w:snapToGrid w:val="0"/>
        </w:rPr>
        <w:tab/>
        <w:t>(a)</w:t>
      </w:r>
      <w:r>
        <w:rPr>
          <w:snapToGrid w:val="0"/>
        </w:rPr>
        <w:tab/>
        <w:t>games with prizes being games of chance and skill combined in which skill is the predominant factor where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spacing w:before="60"/>
        <w:rPr>
          <w:snapToGrid w:val="0"/>
        </w:rPr>
      </w:pPr>
      <w:r>
        <w:rPr>
          <w:snapToGrid w:val="0"/>
        </w:rPr>
        <w:tab/>
        <w:t>(c)</w:t>
      </w:r>
      <w:r>
        <w:rPr>
          <w:snapToGrid w:val="0"/>
        </w:rPr>
        <w:tab/>
        <w:t>any other game, otherwise than in a common gaming house, if the game —</w:t>
      </w:r>
    </w:p>
    <w:p>
      <w:pPr>
        <w:pStyle w:val="Indenti"/>
        <w:spacing w:before="60"/>
        <w:rPr>
          <w:snapToGrid w:val="0"/>
        </w:rPr>
      </w:pPr>
      <w:r>
        <w:rPr>
          <w:snapToGrid w:val="0"/>
        </w:rPr>
        <w:tab/>
        <w:t>(i)</w:t>
      </w:r>
      <w:r>
        <w:rPr>
          <w:snapToGrid w:val="0"/>
        </w:rPr>
        <w:tab/>
        <w:t>is of a kind specified; and</w:t>
      </w:r>
    </w:p>
    <w:p>
      <w:pPr>
        <w:pStyle w:val="Indenti"/>
        <w:spacing w:before="60"/>
        <w:rPr>
          <w:snapToGrid w:val="0"/>
        </w:rPr>
      </w:pPr>
      <w:r>
        <w:rPr>
          <w:snapToGrid w:val="0"/>
        </w:rPr>
        <w:tab/>
        <w:t>(ii)</w:t>
      </w:r>
      <w:r>
        <w:rPr>
          <w:snapToGrid w:val="0"/>
        </w:rPr>
        <w:tab/>
        <w:t>is played in the circumstances specified; and</w:t>
      </w:r>
    </w:p>
    <w:p>
      <w:pPr>
        <w:pStyle w:val="Indenti"/>
        <w:spacing w:before="60"/>
        <w:rPr>
          <w:snapToGrid w:val="0"/>
        </w:rPr>
      </w:pPr>
      <w:r>
        <w:rPr>
          <w:snapToGrid w:val="0"/>
        </w:rPr>
        <w:tab/>
        <w:t>(iii)</w:t>
      </w:r>
      <w:r>
        <w:rPr>
          <w:snapToGrid w:val="0"/>
        </w:rPr>
        <w:tab/>
        <w:t>is so played as to comply with such conditions (if any) as may be prescribed,</w:t>
      </w:r>
    </w:p>
    <w:p>
      <w:pPr>
        <w:pStyle w:val="Indenta"/>
        <w:spacing w:before="60"/>
        <w:rPr>
          <w:snapToGrid w:val="0"/>
        </w:rPr>
      </w:pPr>
      <w:r>
        <w:rPr>
          <w:snapToGrid w:val="0"/>
        </w:rPr>
        <w:tab/>
      </w:r>
      <w:r>
        <w:rPr>
          <w:snapToGrid w:val="0"/>
        </w:rPr>
        <w:tab/>
        <w:t>by regulations made for the purposes of this subsection.</w:t>
      </w:r>
    </w:p>
    <w:p>
      <w:pPr>
        <w:pStyle w:val="Subsection"/>
        <w:spacing w:before="100"/>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spacing w:before="100"/>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spacing w:before="200"/>
        <w:rPr>
          <w:snapToGrid w:val="0"/>
        </w:rPr>
      </w:pPr>
      <w:bookmarkStart w:id="58" w:name="_Toc402969403"/>
      <w:r>
        <w:rPr>
          <w:rStyle w:val="CharSectno"/>
        </w:rPr>
        <w:t>43</w:t>
      </w:r>
      <w:r>
        <w:rPr>
          <w:snapToGrid w:val="0"/>
        </w:rPr>
        <w:t>.</w:t>
      </w:r>
      <w:r>
        <w:rPr>
          <w:snapToGrid w:val="0"/>
        </w:rPr>
        <w:tab/>
        <w:t>Defence of restricted access not available to charge of s. 41 or 42 offence</w:t>
      </w:r>
      <w:bookmarkEnd w:id="58"/>
    </w:p>
    <w:p>
      <w:pPr>
        <w:pStyle w:val="Subsection"/>
        <w:spacing w:before="100"/>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r>
        <w:tab/>
        <w:t>[Section 43 amended by No. 84 of 2004 s. 80.]</w:t>
      </w:r>
    </w:p>
    <w:p>
      <w:pPr>
        <w:pStyle w:val="Heading5"/>
        <w:spacing w:before="200"/>
      </w:pPr>
      <w:bookmarkStart w:id="59" w:name="_Toc402969404"/>
      <w:r>
        <w:rPr>
          <w:rStyle w:val="CharSectno"/>
        </w:rPr>
        <w:t>43A</w:t>
      </w:r>
      <w:r>
        <w:t>.</w:t>
      </w:r>
      <w:r>
        <w:tab/>
        <w:t xml:space="preserve">Advertising </w:t>
      </w:r>
      <w:r>
        <w:rPr>
          <w:snapToGrid w:val="0"/>
        </w:rPr>
        <w:t>unlawful</w:t>
      </w:r>
      <w:r>
        <w:t xml:space="preserve"> gambling</w:t>
      </w:r>
      <w:bookmarkEnd w:id="59"/>
    </w:p>
    <w:p>
      <w:pPr>
        <w:pStyle w:val="Subsection"/>
        <w:spacing w:before="100"/>
      </w:pPr>
      <w:r>
        <w:tab/>
        <w:t>(1)</w:t>
      </w:r>
      <w:r>
        <w:tab/>
        <w:t>In this section —</w:t>
      </w:r>
    </w:p>
    <w:p>
      <w:pPr>
        <w:pStyle w:val="Defstart"/>
      </w:pPr>
      <w:r>
        <w:rPr>
          <w:b/>
        </w:rPr>
        <w:tab/>
      </w:r>
      <w:r>
        <w:rPr>
          <w:rStyle w:val="CharDefText"/>
        </w:rPr>
        <w:t>prohibited advertisement</w:t>
      </w:r>
      <w:r>
        <w:t xml:space="preserve"> means any form of advertisement that conveys, or is likely to be understood as conveying —</w:t>
      </w:r>
    </w:p>
    <w:p>
      <w:pPr>
        <w:pStyle w:val="Defpara"/>
      </w:pPr>
      <w:r>
        <w:tab/>
        <w:t>(a)</w:t>
      </w:r>
      <w:r>
        <w:tab/>
        <w:t>the existence of a common gaming house (as defined in section 41(1)); or</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A person who broadcasts, prints, publishes or distributes, or has in his or her possession for the purpose of publication or distribution, an advertisement that conveys, or is likely to be understood as conveying, the existence of a person (in this State or elsewhere) other than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races or sporting events; or</w:t>
      </w:r>
    </w:p>
    <w:p>
      <w:pPr>
        <w:pStyle w:val="Indenta"/>
        <w:keepNext/>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In subsection (3)(c)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 No. 29 of 2009 s. 19.]</w:t>
      </w:r>
    </w:p>
    <w:p>
      <w:pPr>
        <w:pStyle w:val="Heading5"/>
        <w:rPr>
          <w:snapToGrid w:val="0"/>
        </w:rPr>
      </w:pPr>
      <w:bookmarkStart w:id="60" w:name="_Toc402969405"/>
      <w:r>
        <w:rPr>
          <w:rStyle w:val="CharSectno"/>
        </w:rPr>
        <w:t>44</w:t>
      </w:r>
      <w:r>
        <w:rPr>
          <w:snapToGrid w:val="0"/>
        </w:rPr>
        <w:t>.</w:t>
      </w:r>
      <w:r>
        <w:rPr>
          <w:snapToGrid w:val="0"/>
        </w:rPr>
        <w:tab/>
        <w:t>Cheating in games etc. to obtain prize etc., offence</w:t>
      </w:r>
      <w:bookmarkEnd w:id="60"/>
    </w:p>
    <w:p>
      <w:pPr>
        <w:pStyle w:val="Subsection"/>
        <w:rPr>
          <w:snapToGrid w:val="0"/>
        </w:rPr>
      </w:pPr>
      <w:r>
        <w:rPr>
          <w:snapToGrid w:val="0"/>
        </w:rPr>
        <w:tab/>
        <w:t>(1)</w:t>
      </w:r>
      <w:r>
        <w:rPr>
          <w:snapToGrid w:val="0"/>
        </w:rPr>
        <w:tab/>
        <w:t>Any person who by deceit or any fraudulent means in or in relation to a game, lottery, sport, race, exercise or other contest or pastime —</w:t>
      </w:r>
    </w:p>
    <w:p>
      <w:pPr>
        <w:pStyle w:val="Indenta"/>
        <w:rPr>
          <w:snapToGrid w:val="0"/>
        </w:rPr>
      </w:pPr>
      <w:r>
        <w:rPr>
          <w:snapToGrid w:val="0"/>
        </w:rPr>
        <w:tab/>
        <w:t>(a)</w:t>
      </w:r>
      <w:r>
        <w:rPr>
          <w:snapToGrid w:val="0"/>
        </w:rPr>
        <w:tab/>
        <w:t>obtains or attempts to obtain any prize, or any money, property or benefit; or</w:t>
      </w:r>
    </w:p>
    <w:p>
      <w:pPr>
        <w:pStyle w:val="Indenta"/>
        <w:rPr>
          <w:snapToGrid w:val="0"/>
        </w:rPr>
      </w:pPr>
      <w:r>
        <w:rPr>
          <w:snapToGrid w:val="0"/>
        </w:rPr>
        <w:tab/>
        <w:t>(b)</w:t>
      </w:r>
      <w:r>
        <w:rPr>
          <w:snapToGrid w:val="0"/>
        </w:rPr>
        <w:tab/>
        <w:t>gains or attempts to gain a benefit, pecuniary or otherwise, for any person; or</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w:t>
      </w:r>
    </w:p>
    <w:p>
      <w:pPr>
        <w:pStyle w:val="Indenti"/>
        <w:rPr>
          <w:snapToGrid w:val="0"/>
        </w:rPr>
      </w:pPr>
      <w:r>
        <w:rPr>
          <w:snapToGrid w:val="0"/>
        </w:rPr>
        <w:tab/>
        <w:t>(i)</w:t>
      </w:r>
      <w:r>
        <w:rPr>
          <w:snapToGrid w:val="0"/>
        </w:rPr>
        <w:tab/>
        <w:t>to deliver property to any person; or</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to omit to do any act which he is lawfully entitled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w:t>
      </w:r>
    </w:p>
    <w:p>
      <w:pPr>
        <w:pStyle w:val="Indenta"/>
        <w:rPr>
          <w:snapToGrid w:val="0"/>
        </w:rPr>
      </w:pPr>
      <w:r>
        <w:rPr>
          <w:snapToGrid w:val="0"/>
        </w:rPr>
        <w:tab/>
        <w:t>(a)</w:t>
      </w:r>
      <w:r>
        <w:rPr>
          <w:snapToGrid w:val="0"/>
        </w:rPr>
        <w:tab/>
        <w:t>as to the manner of play or the rules applicable; or</w:t>
      </w:r>
    </w:p>
    <w:p>
      <w:pPr>
        <w:pStyle w:val="Indenta"/>
        <w:rPr>
          <w:snapToGrid w:val="0"/>
        </w:rPr>
      </w:pPr>
      <w:r>
        <w:rPr>
          <w:snapToGrid w:val="0"/>
        </w:rPr>
        <w:tab/>
        <w:t>(b)</w:t>
      </w:r>
      <w:r>
        <w:rPr>
          <w:snapToGrid w:val="0"/>
        </w:rPr>
        <w:tab/>
        <w:t>in regard to any player, or any gaming equipment, instrument of gaming, entrant or participant; or</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61" w:name="_Toc402969406"/>
      <w:r>
        <w:rPr>
          <w:rStyle w:val="CharSectno"/>
        </w:rPr>
        <w:t>45</w:t>
      </w:r>
      <w:r>
        <w:rPr>
          <w:snapToGrid w:val="0"/>
        </w:rPr>
        <w:t>.</w:t>
      </w:r>
      <w:r>
        <w:rPr>
          <w:snapToGrid w:val="0"/>
        </w:rPr>
        <w:tab/>
        <w:t>Permitted gaming, offences as to</w:t>
      </w:r>
      <w:bookmarkEnd w:id="61"/>
    </w:p>
    <w:p>
      <w:pPr>
        <w:pStyle w:val="Subsection"/>
        <w:keepNext/>
        <w:rPr>
          <w:snapToGrid w:val="0"/>
        </w:rPr>
      </w:pPr>
      <w:r>
        <w:rPr>
          <w:snapToGrid w:val="0"/>
        </w:rPr>
        <w:tab/>
        <w:t>(1)</w:t>
      </w:r>
      <w:r>
        <w:rPr>
          <w:snapToGrid w:val="0"/>
        </w:rPr>
        <w:tab/>
        <w:t>A person who, with intent to defraud —</w:t>
      </w:r>
    </w:p>
    <w:p>
      <w:pPr>
        <w:pStyle w:val="Indenta"/>
        <w:rPr>
          <w:snapToGrid w:val="0"/>
        </w:rPr>
      </w:pPr>
      <w:r>
        <w:rPr>
          <w:snapToGrid w:val="0"/>
        </w:rPr>
        <w:tab/>
        <w:t>(a)</w:t>
      </w:r>
      <w:r>
        <w:rPr>
          <w:snapToGrid w:val="0"/>
        </w:rPr>
        <w:tab/>
        <w:t>alters or falsifies any ticket, coupon, token or books; or</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[Section 45 amended by No. 16 of 1990 s. 33; No. 24 of 1998 s. 49; No. 35 of 2003 s. 147; No. 50 of 2003 s. 66(4).]</w:t>
      </w:r>
    </w:p>
    <w:p>
      <w:pPr>
        <w:pStyle w:val="Heading2"/>
      </w:pPr>
      <w:bookmarkStart w:id="62" w:name="_Toc402969407"/>
      <w:r>
        <w:rPr>
          <w:rStyle w:val="CharPartNo"/>
        </w:rPr>
        <w:t>Part V</w:t>
      </w:r>
      <w:r>
        <w:t> — </w:t>
      </w:r>
      <w:r>
        <w:rPr>
          <w:rStyle w:val="CharPartText"/>
        </w:rPr>
        <w:t>Permitted gambling</w:t>
      </w:r>
      <w:bookmarkEnd w:id="62"/>
    </w:p>
    <w:p>
      <w:pPr>
        <w:pStyle w:val="Footnoteheading"/>
        <w:tabs>
          <w:tab w:val="left" w:pos="910"/>
        </w:tabs>
        <w:spacing w:before="80"/>
      </w:pPr>
      <w:r>
        <w:tab/>
        <w:t>[Heading amended by No. 35 of 2003 s. 148(1).]</w:t>
      </w:r>
    </w:p>
    <w:p>
      <w:pPr>
        <w:pStyle w:val="Heading3"/>
        <w:spacing w:before="220"/>
        <w:rPr>
          <w:snapToGrid w:val="0"/>
        </w:rPr>
      </w:pPr>
      <w:bookmarkStart w:id="63" w:name="_Toc402969408"/>
      <w:r>
        <w:rPr>
          <w:rStyle w:val="CharDivNo"/>
        </w:rPr>
        <w:t>Division 1</w:t>
      </w:r>
      <w:r>
        <w:rPr>
          <w:snapToGrid w:val="0"/>
        </w:rPr>
        <w:t> — </w:t>
      </w:r>
      <w:r>
        <w:rPr>
          <w:rStyle w:val="CharDivText"/>
        </w:rPr>
        <w:t>Gaming generally</w:t>
      </w:r>
      <w:bookmarkEnd w:id="63"/>
    </w:p>
    <w:p>
      <w:pPr>
        <w:pStyle w:val="Footnoteheading"/>
        <w:tabs>
          <w:tab w:val="left" w:pos="910"/>
        </w:tabs>
        <w:spacing w:before="80"/>
      </w:pPr>
      <w:r>
        <w:tab/>
        <w:t>[Heading amended by No. 35 of 2003 s. 148(2).]</w:t>
      </w:r>
    </w:p>
    <w:p>
      <w:pPr>
        <w:pStyle w:val="Heading5"/>
        <w:rPr>
          <w:snapToGrid w:val="0"/>
        </w:rPr>
      </w:pPr>
      <w:bookmarkStart w:id="64" w:name="_Toc402969409"/>
      <w:r>
        <w:rPr>
          <w:rStyle w:val="CharSectno"/>
        </w:rPr>
        <w:t>46</w:t>
      </w:r>
      <w:r>
        <w:rPr>
          <w:snapToGrid w:val="0"/>
        </w:rPr>
        <w:t>.</w:t>
      </w:r>
      <w:r>
        <w:rPr>
          <w:snapToGrid w:val="0"/>
        </w:rPr>
        <w:tab/>
        <w:t>Permitted gaming defined</w:t>
      </w:r>
      <w:bookmarkEnd w:id="64"/>
    </w:p>
    <w:p>
      <w:pPr>
        <w:pStyle w:val="Subsection"/>
        <w:rPr>
          <w:snapToGrid w:val="0"/>
        </w:rPr>
      </w:pPr>
      <w:r>
        <w:rPr>
          <w:snapToGrid w:val="0"/>
        </w:rPr>
        <w:tab/>
        <w:t>(1)</w:t>
      </w:r>
      <w:r>
        <w:rPr>
          <w:snapToGrid w:val="0"/>
        </w:rPr>
        <w:tab/>
        <w:t>Gaming may be lawfully conducted, and lawfully participated in, where —</w:t>
      </w:r>
    </w:p>
    <w:p>
      <w:pPr>
        <w:pStyle w:val="Indenta"/>
        <w:rPr>
          <w:snapToGrid w:val="0"/>
        </w:rPr>
      </w:pPr>
      <w:r>
        <w:rPr>
          <w:snapToGrid w:val="0"/>
        </w:rPr>
        <w:tab/>
        <w:t>(a)</w:t>
      </w:r>
      <w:r>
        <w:rPr>
          <w:snapToGrid w:val="0"/>
        </w:rPr>
        <w:tab/>
        <w:t>it occurs on a day and at a time authorised by a relevant gaming permit; and</w:t>
      </w:r>
    </w:p>
    <w:p>
      <w:pPr>
        <w:pStyle w:val="Indenta"/>
        <w:rPr>
          <w:snapToGrid w:val="0"/>
        </w:rPr>
      </w:pPr>
      <w:r>
        <w:rPr>
          <w:snapToGrid w:val="0"/>
        </w:rPr>
        <w:tab/>
        <w:t>(b)</w:t>
      </w:r>
      <w:r>
        <w:rPr>
          <w:snapToGrid w:val="0"/>
        </w:rPr>
        <w:tab/>
        <w:t>it takes place at premises authorised by the permit to be used for permitted gaming of that kind; and</w:t>
      </w:r>
    </w:p>
    <w:p>
      <w:pPr>
        <w:pStyle w:val="Indenta"/>
        <w:rPr>
          <w:snapToGrid w:val="0"/>
        </w:rPr>
      </w:pPr>
      <w:r>
        <w:rPr>
          <w:snapToGrid w:val="0"/>
        </w:rPr>
        <w:tab/>
        <w:t>(c)</w:t>
      </w:r>
      <w:r>
        <w:rPr>
          <w:snapToGrid w:val="0"/>
        </w:rPr>
        <w:tab/>
        <w:t>it is of a kind authorised by the permit; and</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pPr>
      <w:r>
        <w:tab/>
        <w:t>(2A)</w:t>
      </w:r>
      <w:r>
        <w:tab/>
        <w:t>Gaming that is prescribed for the purposes of this subsection may be lawfully conducted and lawfully participated in.</w:t>
      </w:r>
    </w:p>
    <w:p>
      <w:pPr>
        <w:pStyle w:val="Subsection"/>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 No. 25 of 2011 s. 8.]</w:t>
      </w:r>
    </w:p>
    <w:p>
      <w:pPr>
        <w:pStyle w:val="Heading5"/>
        <w:rPr>
          <w:snapToGrid w:val="0"/>
        </w:rPr>
      </w:pPr>
      <w:bookmarkStart w:id="65" w:name="_Toc402969410"/>
      <w:r>
        <w:rPr>
          <w:rStyle w:val="CharSectno"/>
        </w:rPr>
        <w:t>47</w:t>
      </w:r>
      <w:r>
        <w:rPr>
          <w:snapToGrid w:val="0"/>
        </w:rPr>
        <w:t>.</w:t>
      </w:r>
      <w:r>
        <w:rPr>
          <w:snapToGrid w:val="0"/>
        </w:rPr>
        <w:tab/>
        <w:t>Gaming permits, types, issue and effect of</w:t>
      </w:r>
      <w:bookmarkEnd w:id="65"/>
    </w:p>
    <w:p>
      <w:pPr>
        <w:pStyle w:val="Subsection"/>
        <w:rPr>
          <w:snapToGrid w:val="0"/>
        </w:rPr>
      </w:pPr>
      <w:r>
        <w:rPr>
          <w:snapToGrid w:val="0"/>
        </w:rPr>
        <w:tab/>
        <w:t>(1)</w:t>
      </w:r>
      <w:r>
        <w:rPr>
          <w:snapToGrid w:val="0"/>
        </w:rPr>
        <w:tab/>
        <w:t>A gaming permit may be —</w:t>
      </w:r>
    </w:p>
    <w:p>
      <w:pPr>
        <w:pStyle w:val="Indenta"/>
        <w:spacing w:before="70"/>
        <w:rPr>
          <w:snapToGrid w:val="0"/>
        </w:rPr>
      </w:pPr>
      <w:r>
        <w:rPr>
          <w:snapToGrid w:val="0"/>
        </w:rPr>
        <w:tab/>
        <w:t>(a)</w:t>
      </w:r>
      <w:r>
        <w:rPr>
          <w:snapToGrid w:val="0"/>
        </w:rPr>
        <w:tab/>
        <w:t>a function permit, having effect —</w:t>
      </w:r>
    </w:p>
    <w:p>
      <w:pPr>
        <w:pStyle w:val="Indenti"/>
        <w:spacing w:before="70"/>
        <w:rPr>
          <w:snapToGrid w:val="0"/>
        </w:rPr>
      </w:pPr>
      <w:r>
        <w:rPr>
          <w:snapToGrid w:val="0"/>
        </w:rPr>
        <w:tab/>
        <w:t>(i)</w:t>
      </w:r>
      <w:r>
        <w:rPr>
          <w:snapToGrid w:val="0"/>
        </w:rPr>
        <w:tab/>
        <w:t>for the period, not being a period in excess of 7 days; or</w:t>
      </w:r>
    </w:p>
    <w:p>
      <w:pPr>
        <w:pStyle w:val="Indenti"/>
        <w:spacing w:before="70"/>
        <w:rPr>
          <w:snapToGrid w:val="0"/>
        </w:rPr>
      </w:pPr>
      <w:r>
        <w:rPr>
          <w:snapToGrid w:val="0"/>
        </w:rPr>
        <w:tab/>
        <w:t>(ii)</w:t>
      </w:r>
      <w:r>
        <w:rPr>
          <w:snapToGrid w:val="0"/>
        </w:rPr>
        <w:tab/>
        <w:t>during the function; and</w:t>
      </w:r>
    </w:p>
    <w:p>
      <w:pPr>
        <w:pStyle w:val="Indenti"/>
        <w:spacing w:before="70"/>
        <w:rPr>
          <w:snapToGrid w:val="0"/>
        </w:rPr>
      </w:pPr>
      <w:r>
        <w:rPr>
          <w:snapToGrid w:val="0"/>
        </w:rPr>
        <w:tab/>
        <w:t>(iii)</w:t>
      </w:r>
      <w:r>
        <w:rPr>
          <w:snapToGrid w:val="0"/>
        </w:rPr>
        <w:tab/>
        <w:t>in respect of the premises,</w:t>
      </w:r>
    </w:p>
    <w:p>
      <w:pPr>
        <w:pStyle w:val="Indenta"/>
        <w:spacing w:before="70"/>
        <w:rPr>
          <w:snapToGrid w:val="0"/>
        </w:rPr>
      </w:pPr>
      <w:r>
        <w:rPr>
          <w:snapToGrid w:val="0"/>
        </w:rPr>
        <w:tab/>
      </w:r>
      <w:r>
        <w:rPr>
          <w:snapToGrid w:val="0"/>
        </w:rPr>
        <w:tab/>
        <w:t>therein specified, subject to any conditions imposed; or</w:t>
      </w:r>
    </w:p>
    <w:p>
      <w:pPr>
        <w:pStyle w:val="Indenta"/>
        <w:spacing w:before="70"/>
        <w:rPr>
          <w:snapToGrid w:val="0"/>
        </w:rPr>
      </w:pPr>
      <w:r>
        <w:rPr>
          <w:snapToGrid w:val="0"/>
        </w:rPr>
        <w:tab/>
        <w:t>(b)</w:t>
      </w:r>
      <w:r>
        <w:rPr>
          <w:snapToGrid w:val="0"/>
        </w:rPr>
        <w:tab/>
        <w:t>a permit of a continuing nature, having effect —</w:t>
      </w:r>
    </w:p>
    <w:p>
      <w:pPr>
        <w:pStyle w:val="Indenti"/>
        <w:spacing w:before="70"/>
        <w:rPr>
          <w:snapToGrid w:val="0"/>
        </w:rPr>
      </w:pPr>
      <w:r>
        <w:rPr>
          <w:snapToGrid w:val="0"/>
        </w:rPr>
        <w:tab/>
        <w:t>(i)</w:t>
      </w:r>
      <w:r>
        <w:rPr>
          <w:snapToGrid w:val="0"/>
        </w:rPr>
        <w:tab/>
        <w:t>for the period, being a period not exceeding 12 months, therein specified; and</w:t>
      </w:r>
    </w:p>
    <w:p>
      <w:pPr>
        <w:pStyle w:val="Indenti"/>
        <w:spacing w:before="70"/>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66" w:name="_Toc402969411"/>
      <w:r>
        <w:rPr>
          <w:rStyle w:val="CharSectno"/>
        </w:rPr>
        <w:t>48</w:t>
      </w:r>
      <w:r>
        <w:rPr>
          <w:snapToGrid w:val="0"/>
        </w:rPr>
        <w:t>.</w:t>
      </w:r>
      <w:r>
        <w:rPr>
          <w:snapToGrid w:val="0"/>
        </w:rPr>
        <w:tab/>
        <w:t>Issue of permit on direction by Minister</w:t>
      </w:r>
      <w:bookmarkEnd w:id="66"/>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 and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[Section 48 amended by No. 16 of 1990 s. 33; No. 35 of 2003 s. 167.]</w:t>
      </w:r>
    </w:p>
    <w:p>
      <w:pPr>
        <w:pStyle w:val="Heading5"/>
        <w:rPr>
          <w:snapToGrid w:val="0"/>
        </w:rPr>
      </w:pPr>
      <w:bookmarkStart w:id="67" w:name="_Toc402969412"/>
      <w:r>
        <w:rPr>
          <w:rStyle w:val="CharSectno"/>
        </w:rPr>
        <w:t>49</w:t>
      </w:r>
      <w:r>
        <w:rPr>
          <w:snapToGrid w:val="0"/>
        </w:rPr>
        <w:t>.</w:t>
      </w:r>
      <w:r>
        <w:rPr>
          <w:snapToGrid w:val="0"/>
        </w:rPr>
        <w:tab/>
        <w:t>Applications for issue or renewal of permit, matters that may be considered when deciding</w:t>
      </w:r>
      <w:bookmarkEnd w:id="67"/>
    </w:p>
    <w:p>
      <w:pPr>
        <w:pStyle w:val="Subsection"/>
        <w:rPr>
          <w:snapToGrid w:val="0"/>
        </w:rPr>
      </w:pPr>
      <w:r>
        <w:rPr>
          <w:snapToGrid w:val="0"/>
        </w:rPr>
        <w:tab/>
        <w:t>(1)</w:t>
      </w:r>
      <w:r>
        <w:rPr>
          <w:snapToGrid w:val="0"/>
        </w:rPr>
        <w:tab/>
        <w:t>In determining any application for the issue or renewal of a gaming permit regard may be had to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 and</w:t>
      </w:r>
    </w:p>
    <w:p>
      <w:pPr>
        <w:pStyle w:val="Indenta"/>
        <w:rPr>
          <w:snapToGrid w:val="0"/>
        </w:rPr>
      </w:pPr>
      <w:r>
        <w:rPr>
          <w:snapToGrid w:val="0"/>
        </w:rPr>
        <w:tab/>
        <w:t>(b)</w:t>
      </w:r>
      <w:r>
        <w:rPr>
          <w:snapToGrid w:val="0"/>
        </w:rPr>
        <w:tab/>
        <w:t>any arrangement or circumstances whereby the benefit arising from the holding of the permit may accrue to any other person; and</w:t>
      </w:r>
    </w:p>
    <w:p>
      <w:pPr>
        <w:pStyle w:val="Indenta"/>
        <w:rPr>
          <w:snapToGrid w:val="0"/>
        </w:rPr>
      </w:pPr>
      <w:r>
        <w:rPr>
          <w:snapToGrid w:val="0"/>
        </w:rPr>
        <w:tab/>
        <w:t>(c)</w:t>
      </w:r>
      <w:r>
        <w:rPr>
          <w:snapToGrid w:val="0"/>
        </w:rPr>
        <w:tab/>
        <w:t>the need for persons having relevant experience to be in attendance at, and where appropriate to conduct, the gaming; and</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 and</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w:t>
      </w:r>
    </w:p>
    <w:p>
      <w:pPr>
        <w:pStyle w:val="Indenta"/>
        <w:rPr>
          <w:snapToGrid w:val="0"/>
        </w:rPr>
      </w:pPr>
      <w:r>
        <w:rPr>
          <w:snapToGrid w:val="0"/>
        </w:rPr>
        <w:tab/>
        <w:t>(a)</w:t>
      </w:r>
      <w:r>
        <w:rPr>
          <w:snapToGrid w:val="0"/>
        </w:rPr>
        <w:tab/>
        <w:t>any matters to which subsection (1) refers; and</w:t>
      </w:r>
    </w:p>
    <w:p>
      <w:pPr>
        <w:pStyle w:val="Indenta"/>
        <w:rPr>
          <w:snapToGrid w:val="0"/>
        </w:rPr>
      </w:pPr>
      <w:r>
        <w:rPr>
          <w:snapToGrid w:val="0"/>
        </w:rPr>
        <w:tab/>
        <w:t>(b)</w:t>
      </w:r>
      <w:r>
        <w:rPr>
          <w:snapToGrid w:val="0"/>
        </w:rPr>
        <w:tab/>
        <w:t>the manner in which —</w:t>
      </w:r>
    </w:p>
    <w:p>
      <w:pPr>
        <w:pStyle w:val="Indenti"/>
        <w:rPr>
          <w:snapToGrid w:val="0"/>
        </w:rPr>
      </w:pPr>
      <w:r>
        <w:rPr>
          <w:snapToGrid w:val="0"/>
        </w:rPr>
        <w:tab/>
        <w:t>(i)</w:t>
      </w:r>
      <w:r>
        <w:rPr>
          <w:snapToGrid w:val="0"/>
        </w:rPr>
        <w:tab/>
        <w:t>gaming has been conducted; and</w:t>
      </w:r>
    </w:p>
    <w:p>
      <w:pPr>
        <w:pStyle w:val="Indenti"/>
        <w:rPr>
          <w:snapToGrid w:val="0"/>
        </w:rPr>
      </w:pPr>
      <w:r>
        <w:rPr>
          <w:snapToGrid w:val="0"/>
        </w:rPr>
        <w:tab/>
        <w:t>(ii)</w:t>
      </w:r>
      <w:r>
        <w:rPr>
          <w:snapToGrid w:val="0"/>
        </w:rPr>
        <w:tab/>
        <w:t>the premises have been maintained; and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 and</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68" w:name="_Toc402969413"/>
      <w:r>
        <w:rPr>
          <w:rStyle w:val="CharSectno"/>
        </w:rPr>
        <w:t>50</w:t>
      </w:r>
      <w:r>
        <w:rPr>
          <w:snapToGrid w:val="0"/>
        </w:rPr>
        <w:t>.</w:t>
      </w:r>
      <w:r>
        <w:rPr>
          <w:snapToGrid w:val="0"/>
        </w:rPr>
        <w:tab/>
        <w:t>Register of approvals, permit holders etc., Commission to keep and allow inspection of etc.</w:t>
      </w:r>
      <w:bookmarkEnd w:id="68"/>
    </w:p>
    <w:p>
      <w:pPr>
        <w:pStyle w:val="Subsection"/>
        <w:rPr>
          <w:snapToGrid w:val="0"/>
        </w:rPr>
      </w:pPr>
      <w:r>
        <w:rPr>
          <w:snapToGrid w:val="0"/>
        </w:rPr>
        <w:tab/>
        <w:t>(1)</w:t>
      </w:r>
      <w:r>
        <w:rPr>
          <w:snapToGrid w:val="0"/>
        </w:rPr>
        <w:tab/>
        <w:t>The Commission shall maintain a register showing, in accordance with such manner as may be prescribed, particulars of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w:t>
      </w:r>
    </w:p>
    <w:p>
      <w:pPr>
        <w:pStyle w:val="Indenti"/>
        <w:rPr>
          <w:snapToGrid w:val="0"/>
        </w:rPr>
      </w:pPr>
      <w:r>
        <w:rPr>
          <w:snapToGrid w:val="0"/>
        </w:rPr>
        <w:tab/>
        <w:t>(i)</w:t>
      </w:r>
      <w:r>
        <w:rPr>
          <w:snapToGrid w:val="0"/>
        </w:rPr>
        <w:tab/>
        <w:t>generally, in relation to function permits; or</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[Section 50 amended by No. 16 of 1990 s. 33.]</w:t>
      </w:r>
    </w:p>
    <w:p>
      <w:pPr>
        <w:pStyle w:val="Heading5"/>
        <w:rPr>
          <w:snapToGrid w:val="0"/>
        </w:rPr>
      </w:pPr>
      <w:bookmarkStart w:id="69" w:name="_Toc402969414"/>
      <w:r>
        <w:rPr>
          <w:rStyle w:val="CharSectno"/>
        </w:rPr>
        <w:t>51</w:t>
      </w:r>
      <w:r>
        <w:rPr>
          <w:snapToGrid w:val="0"/>
        </w:rPr>
        <w:t>.</w:t>
      </w:r>
      <w:r>
        <w:rPr>
          <w:snapToGrid w:val="0"/>
        </w:rPr>
        <w:tab/>
        <w:t>Persons eligible to hold gaming permits, approval of</w:t>
      </w:r>
      <w:bookmarkEnd w:id="69"/>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 and</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w:t>
      </w:r>
    </w:p>
    <w:p>
      <w:pPr>
        <w:pStyle w:val="Indenti"/>
        <w:rPr>
          <w:snapToGrid w:val="0"/>
        </w:rPr>
      </w:pPr>
      <w:r>
        <w:rPr>
          <w:snapToGrid w:val="0"/>
        </w:rPr>
        <w:tab/>
        <w:t>(i)</w:t>
      </w:r>
      <w:r>
        <w:rPr>
          <w:snapToGrid w:val="0"/>
        </w:rPr>
        <w:tab/>
        <w:t>the name of that person and of any body for which he is the nominee permit holder; and</w:t>
      </w:r>
    </w:p>
    <w:p>
      <w:pPr>
        <w:pStyle w:val="Indenti"/>
        <w:rPr>
          <w:snapToGrid w:val="0"/>
        </w:rPr>
      </w:pPr>
      <w:r>
        <w:rPr>
          <w:snapToGrid w:val="0"/>
        </w:rPr>
        <w:tab/>
        <w:t>(ii)</w:t>
      </w:r>
      <w:r>
        <w:rPr>
          <w:snapToGrid w:val="0"/>
        </w:rPr>
        <w:tab/>
        <w:t>the date of the issue, and the duration, of the permit and where it is a function permit, the nature of the function; and</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spacing w:before="120"/>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200"/>
        <w:rPr>
          <w:snapToGrid w:val="0"/>
        </w:rPr>
      </w:pPr>
      <w:bookmarkStart w:id="70" w:name="_Toc402969415"/>
      <w:r>
        <w:rPr>
          <w:rStyle w:val="CharSectno"/>
        </w:rPr>
        <w:t>52</w:t>
      </w:r>
      <w:r>
        <w:rPr>
          <w:snapToGrid w:val="0"/>
        </w:rPr>
        <w:t>.</w:t>
      </w:r>
      <w:r>
        <w:rPr>
          <w:snapToGrid w:val="0"/>
        </w:rPr>
        <w:tab/>
        <w:t>Applications for gaming permits</w:t>
      </w:r>
      <w:bookmarkEnd w:id="70"/>
    </w:p>
    <w:p>
      <w:pPr>
        <w:pStyle w:val="Subsection"/>
        <w:spacing w:before="140"/>
        <w:rPr>
          <w:snapToGrid w:val="0"/>
        </w:rPr>
      </w:pPr>
      <w:r>
        <w:rPr>
          <w:snapToGrid w:val="0"/>
        </w:rPr>
        <w:tab/>
      </w:r>
      <w:r>
        <w:rPr>
          <w:snapToGrid w:val="0"/>
        </w:rPr>
        <w:tab/>
        <w:t>An application for the issue of a permit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w:t>
      </w:r>
    </w:p>
    <w:p>
      <w:pPr>
        <w:pStyle w:val="Indenti"/>
        <w:rPr>
          <w:snapToGrid w:val="0"/>
        </w:rPr>
      </w:pPr>
      <w:r>
        <w:rPr>
          <w:snapToGrid w:val="0"/>
        </w:rPr>
        <w:tab/>
        <w:t>(i)</w:t>
      </w:r>
      <w:r>
        <w:rPr>
          <w:snapToGrid w:val="0"/>
        </w:rPr>
        <w:tab/>
        <w:t>the applicant is a person entered in the register as eligible to hold a permit of that kind; and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60"/>
        <w:ind w:left="890" w:hanging="890"/>
      </w:pPr>
      <w:r>
        <w:tab/>
        <w:t>[Section 52 amended by No. 35 of 2003 s. 167; No. 59 of 2004 s. 141.]</w:t>
      </w:r>
    </w:p>
    <w:p>
      <w:pPr>
        <w:pStyle w:val="Heading5"/>
        <w:rPr>
          <w:snapToGrid w:val="0"/>
        </w:rPr>
      </w:pPr>
      <w:bookmarkStart w:id="71" w:name="_Toc402969416"/>
      <w:r>
        <w:rPr>
          <w:rStyle w:val="CharSectno"/>
        </w:rPr>
        <w:t>53</w:t>
      </w:r>
      <w:r>
        <w:rPr>
          <w:snapToGrid w:val="0"/>
        </w:rPr>
        <w:t>.</w:t>
      </w:r>
      <w:r>
        <w:rPr>
          <w:snapToGrid w:val="0"/>
        </w:rPr>
        <w:tab/>
        <w:t>Fees and charges for gaming permits</w:t>
      </w:r>
      <w:bookmarkEnd w:id="71"/>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w:t>
      </w:r>
    </w:p>
    <w:p>
      <w:pPr>
        <w:pStyle w:val="Indenta"/>
        <w:spacing w:before="140"/>
        <w:rPr>
          <w:snapToGrid w:val="0"/>
        </w:rPr>
      </w:pPr>
      <w:r>
        <w:rPr>
          <w:snapToGrid w:val="0"/>
        </w:rPr>
        <w:tab/>
        <w:t>(a)</w:t>
      </w:r>
      <w:r>
        <w:rPr>
          <w:snapToGrid w:val="0"/>
        </w:rPr>
        <w:tab/>
        <w:t>for an application fee to be payable on the issue of the permit or grant of the approval; and</w:t>
      </w:r>
    </w:p>
    <w:p>
      <w:pPr>
        <w:pStyle w:val="Indenta"/>
        <w:spacing w:before="140"/>
        <w:rPr>
          <w:snapToGrid w:val="0"/>
        </w:rPr>
      </w:pPr>
      <w:r>
        <w:rPr>
          <w:snapToGrid w:val="0"/>
        </w:rPr>
        <w:tab/>
        <w:t>(b)</w:t>
      </w:r>
      <w:r>
        <w:rPr>
          <w:snapToGrid w:val="0"/>
        </w:rPr>
        <w:tab/>
        <w:t>for periodic, percentage or other payments to be made related to the volume or value of the gaming conducted or to be conducted or to its frequency; and</w:t>
      </w:r>
    </w:p>
    <w:p>
      <w:pPr>
        <w:pStyle w:val="Indenta"/>
        <w:spacing w:before="140"/>
        <w:rPr>
          <w:snapToGrid w:val="0"/>
        </w:rPr>
      </w:pPr>
      <w:r>
        <w:rPr>
          <w:snapToGrid w:val="0"/>
        </w:rPr>
        <w:tab/>
        <w:t>(c)</w:t>
      </w:r>
      <w:r>
        <w:rPr>
          <w:snapToGrid w:val="0"/>
        </w:rPr>
        <w:tab/>
        <w:t>for the giving of security, by means of a deposit or otherwise, for payments due or to become due; and</w:t>
      </w:r>
    </w:p>
    <w:p>
      <w:pPr>
        <w:pStyle w:val="Indenta"/>
        <w:spacing w:before="14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14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spacing w:before="160"/>
        <w:ind w:left="890" w:hanging="890"/>
      </w:pPr>
      <w:r>
        <w:tab/>
        <w:t>[Section 53 amended by No. 35 of 2003 s. 167.]</w:t>
      </w:r>
    </w:p>
    <w:p>
      <w:pPr>
        <w:pStyle w:val="Heading5"/>
        <w:rPr>
          <w:snapToGrid w:val="0"/>
        </w:rPr>
      </w:pPr>
      <w:bookmarkStart w:id="72" w:name="_Toc402969417"/>
      <w:r>
        <w:rPr>
          <w:rStyle w:val="CharSectno"/>
        </w:rPr>
        <w:t>54</w:t>
      </w:r>
      <w:r>
        <w:rPr>
          <w:snapToGrid w:val="0"/>
        </w:rPr>
        <w:t>.</w:t>
      </w:r>
      <w:r>
        <w:rPr>
          <w:snapToGrid w:val="0"/>
        </w:rPr>
        <w:tab/>
        <w:t>Charging people to take part in permitted gaming</w:t>
      </w:r>
      <w:bookmarkEnd w:id="72"/>
    </w:p>
    <w:p>
      <w:pPr>
        <w:pStyle w:val="Subsection"/>
        <w:rPr>
          <w:snapToGrid w:val="0"/>
        </w:rPr>
      </w:pPr>
      <w:r>
        <w:rPr>
          <w:snapToGrid w:val="0"/>
        </w:rPr>
        <w:tab/>
        <w:t>(1)</w:t>
      </w:r>
      <w:r>
        <w:rPr>
          <w:snapToGrid w:val="0"/>
        </w:rPr>
        <w:tab/>
        <w:t>Except where —</w:t>
      </w:r>
    </w:p>
    <w:p>
      <w:pPr>
        <w:pStyle w:val="Indenta"/>
        <w:spacing w:before="120"/>
        <w:rPr>
          <w:snapToGrid w:val="0"/>
        </w:rPr>
      </w:pPr>
      <w:r>
        <w:rPr>
          <w:snapToGrid w:val="0"/>
        </w:rPr>
        <w:tab/>
        <w:t>(a)</w:t>
      </w:r>
      <w:r>
        <w:rPr>
          <w:snapToGrid w:val="0"/>
        </w:rPr>
        <w:tab/>
        <w:t>a regulation made under this Act, pursuant to subsection (4) or otherwise; or</w:t>
      </w:r>
    </w:p>
    <w:p>
      <w:pPr>
        <w:pStyle w:val="Indenta"/>
        <w:spacing w:before="120"/>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keepLines w:val="0"/>
        <w:ind w:left="890" w:hanging="890"/>
      </w:pPr>
      <w:r>
        <w:tab/>
        <w:t>[Section 54 amended by No. 35 of 2003 s. 149, 166 and 167.]</w:t>
      </w:r>
    </w:p>
    <w:p>
      <w:pPr>
        <w:pStyle w:val="Heading5"/>
        <w:rPr>
          <w:snapToGrid w:val="0"/>
        </w:rPr>
      </w:pPr>
      <w:bookmarkStart w:id="73" w:name="_Toc402969418"/>
      <w:r>
        <w:rPr>
          <w:rStyle w:val="CharSectno"/>
        </w:rPr>
        <w:t>55</w:t>
      </w:r>
      <w:r>
        <w:rPr>
          <w:snapToGrid w:val="0"/>
        </w:rPr>
        <w:t>.</w:t>
      </w:r>
      <w:r>
        <w:rPr>
          <w:snapToGrid w:val="0"/>
        </w:rPr>
        <w:tab/>
        <w:t>Approving premises for gaming</w:t>
      </w:r>
      <w:bookmarkEnd w:id="73"/>
    </w:p>
    <w:p>
      <w:pPr>
        <w:pStyle w:val="Subsection"/>
        <w:keepNext/>
        <w:keepLines/>
        <w:rPr>
          <w:snapToGrid w:val="0"/>
        </w:rPr>
      </w:pPr>
      <w:r>
        <w:rPr>
          <w:snapToGrid w:val="0"/>
        </w:rPr>
        <w:tab/>
        <w:t>(1)</w:t>
      </w:r>
      <w:r>
        <w:rPr>
          <w:snapToGrid w:val="0"/>
        </w:rPr>
        <w:tab/>
        <w:t>An application for the grant by the Commission of approval to the use of premises for gaming —</w:t>
      </w:r>
    </w:p>
    <w:p>
      <w:pPr>
        <w:pStyle w:val="Indenta"/>
        <w:rPr>
          <w:snapToGrid w:val="0"/>
        </w:rPr>
      </w:pPr>
      <w:r>
        <w:rPr>
          <w:snapToGrid w:val="0"/>
        </w:rPr>
        <w:tab/>
        <w:t>(a)</w:t>
      </w:r>
      <w:r>
        <w:rPr>
          <w:snapToGrid w:val="0"/>
        </w:rPr>
        <w:tab/>
        <w:t>in the case of premises to be used for the purposes of a specific function permit, may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w:t>
      </w:r>
    </w:p>
    <w:p>
      <w:pPr>
        <w:pStyle w:val="Indenta"/>
        <w:rPr>
          <w:snapToGrid w:val="0"/>
        </w:rPr>
      </w:pPr>
      <w:r>
        <w:rPr>
          <w:snapToGrid w:val="0"/>
        </w:rPr>
        <w:tab/>
        <w:t>(a)</w:t>
      </w:r>
      <w:r>
        <w:rPr>
          <w:snapToGrid w:val="0"/>
        </w:rPr>
        <w:tab/>
        <w:t>specifically, to be used for the purposes of a specific function permit; or</w:t>
      </w:r>
    </w:p>
    <w:p>
      <w:pPr>
        <w:pStyle w:val="Indenta"/>
        <w:spacing w:before="100"/>
        <w:rPr>
          <w:snapToGrid w:val="0"/>
        </w:rPr>
      </w:pPr>
      <w:r>
        <w:rPr>
          <w:snapToGrid w:val="0"/>
        </w:rPr>
        <w:tab/>
        <w:t>(b)</w:t>
      </w:r>
      <w:r>
        <w:rPr>
          <w:snapToGrid w:val="0"/>
        </w:rPr>
        <w:tab/>
        <w:t>generally, to be used for the purposes of function permits from time to time; or</w:t>
      </w:r>
    </w:p>
    <w:p>
      <w:pPr>
        <w:pStyle w:val="Indenta"/>
        <w:spacing w:before="100"/>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w:t>
      </w:r>
    </w:p>
    <w:p>
      <w:pPr>
        <w:pStyle w:val="Indenta"/>
        <w:spacing w:before="100"/>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 and</w:t>
      </w:r>
    </w:p>
    <w:p>
      <w:pPr>
        <w:pStyle w:val="Indenta"/>
        <w:spacing w:before="100"/>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w:t>
      </w:r>
    </w:p>
    <w:p>
      <w:pPr>
        <w:pStyle w:val="Indenti"/>
        <w:spacing w:before="100"/>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spacing w:before="100"/>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An approval of premises granted by the Commission subsists in favour of the holder to whom or which the approval was first granted, or an assignee acceptable to the Commission entered in the register as the registered holder of that approval, and until —</w:t>
      </w:r>
    </w:p>
    <w:p>
      <w:pPr>
        <w:pStyle w:val="Indenta"/>
        <w:rPr>
          <w:snapToGrid w:val="0"/>
        </w:rPr>
      </w:pPr>
      <w:r>
        <w:rPr>
          <w:snapToGrid w:val="0"/>
        </w:rPr>
        <w:tab/>
        <w:t>(a)</w:t>
      </w:r>
      <w:r>
        <w:rPr>
          <w:snapToGrid w:val="0"/>
        </w:rPr>
        <w:tab/>
        <w:t>the term for which it was granted expires; or</w:t>
      </w:r>
    </w:p>
    <w:p>
      <w:pPr>
        <w:pStyle w:val="Indenta"/>
        <w:keepNext/>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[Section 55 amended by No. 14 of 1996 s. 4; No. 35 of 2003 s. 167; No. 38 of 2005 s. 15.]</w:t>
      </w:r>
    </w:p>
    <w:p>
      <w:pPr>
        <w:pStyle w:val="Heading5"/>
        <w:rPr>
          <w:snapToGrid w:val="0"/>
        </w:rPr>
      </w:pPr>
      <w:bookmarkStart w:id="74" w:name="_Toc402969419"/>
      <w:r>
        <w:rPr>
          <w:rStyle w:val="CharSectno"/>
        </w:rPr>
        <w:t>56</w:t>
      </w:r>
      <w:r>
        <w:rPr>
          <w:snapToGrid w:val="0"/>
        </w:rPr>
        <w:t>.</w:t>
      </w:r>
      <w:r>
        <w:rPr>
          <w:snapToGrid w:val="0"/>
        </w:rPr>
        <w:tab/>
        <w:t>Renewing approvals, permits and certificates</w:t>
      </w:r>
      <w:bookmarkEnd w:id="74"/>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75" w:name="_Toc402969420"/>
      <w:r>
        <w:rPr>
          <w:rStyle w:val="CharSectno"/>
        </w:rPr>
        <w:t>57</w:t>
      </w:r>
      <w:r>
        <w:rPr>
          <w:snapToGrid w:val="0"/>
        </w:rPr>
        <w:t>.</w:t>
      </w:r>
      <w:r>
        <w:rPr>
          <w:snapToGrid w:val="0"/>
        </w:rPr>
        <w:tab/>
        <w:t>Reports by permit holders, when required, content of etc.</w:t>
      </w:r>
      <w:bookmarkEnd w:id="75"/>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 and</w:t>
      </w:r>
    </w:p>
    <w:p>
      <w:pPr>
        <w:pStyle w:val="Indenta"/>
        <w:rPr>
          <w:snapToGrid w:val="0"/>
        </w:rPr>
      </w:pPr>
      <w:r>
        <w:rPr>
          <w:snapToGrid w:val="0"/>
        </w:rPr>
        <w:tab/>
        <w:t>(b)</w:t>
      </w:r>
      <w:r>
        <w:rPr>
          <w:snapToGrid w:val="0"/>
        </w:rPr>
        <w:tab/>
        <w:t>each date and place at which gaming to which the permit purported to apply occurred; and</w:t>
      </w:r>
    </w:p>
    <w:p>
      <w:pPr>
        <w:pStyle w:val="Indenta"/>
        <w:rPr>
          <w:snapToGrid w:val="0"/>
        </w:rPr>
      </w:pPr>
      <w:r>
        <w:rPr>
          <w:snapToGrid w:val="0"/>
        </w:rPr>
        <w:tab/>
        <w:t>(c)</w:t>
      </w:r>
      <w:r>
        <w:rPr>
          <w:snapToGrid w:val="0"/>
        </w:rPr>
        <w:tab/>
        <w:t>the total amount of the proceeds of the permitted gaming; and</w:t>
      </w:r>
    </w:p>
    <w:p>
      <w:pPr>
        <w:pStyle w:val="Indenta"/>
        <w:keepNext/>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76" w:name="_Toc402969421"/>
      <w:r>
        <w:rPr>
          <w:rStyle w:val="CharSectno"/>
        </w:rPr>
        <w:t>58</w:t>
      </w:r>
      <w:r>
        <w:rPr>
          <w:snapToGrid w:val="0"/>
        </w:rPr>
        <w:t>.</w:t>
      </w:r>
      <w:r>
        <w:rPr>
          <w:snapToGrid w:val="0"/>
        </w:rPr>
        <w:tab/>
        <w:t>Gaming permit may regulate use of proceeds from permitted gaming etc.</w:t>
      </w:r>
      <w:bookmarkEnd w:id="76"/>
    </w:p>
    <w:p>
      <w:pPr>
        <w:pStyle w:val="Subsection"/>
        <w:keepNext/>
        <w:rPr>
          <w:snapToGrid w:val="0"/>
        </w:rPr>
      </w:pPr>
      <w:r>
        <w:rPr>
          <w:snapToGrid w:val="0"/>
        </w:rPr>
        <w:tab/>
        <w:t>(1)</w:t>
      </w:r>
      <w:r>
        <w:rPr>
          <w:snapToGrid w:val="0"/>
        </w:rPr>
        <w:tab/>
        <w:t>A condition imposed in relation to a permit may require the permit holder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w:t>
      </w:r>
    </w:p>
    <w:p>
      <w:pPr>
        <w:pStyle w:val="Indenta"/>
        <w:rPr>
          <w:snapToGrid w:val="0"/>
        </w:rPr>
      </w:pPr>
      <w:r>
        <w:rPr>
          <w:snapToGrid w:val="0"/>
        </w:rPr>
        <w:tab/>
        <w:t>(a)</w:t>
      </w:r>
      <w:r>
        <w:rPr>
          <w:snapToGrid w:val="0"/>
        </w:rPr>
        <w:tab/>
        <w:t>that the object, in whole or in part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object provides a use for part only of the money accruing from the permitted gaming; or</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 or</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77" w:name="_Toc402969422"/>
      <w:r>
        <w:rPr>
          <w:rStyle w:val="CharSectno"/>
        </w:rPr>
        <w:t>59</w:t>
      </w:r>
      <w:r>
        <w:rPr>
          <w:snapToGrid w:val="0"/>
        </w:rPr>
        <w:t>.</w:t>
      </w:r>
      <w:r>
        <w:rPr>
          <w:snapToGrid w:val="0"/>
        </w:rPr>
        <w:tab/>
        <w:t>Approvals etc. may require security to be given</w:t>
      </w:r>
      <w:bookmarkEnd w:id="77"/>
    </w:p>
    <w:p>
      <w:pPr>
        <w:pStyle w:val="Subsection"/>
        <w:spacing w:before="180"/>
        <w:rPr>
          <w:snapToGrid w:val="0"/>
        </w:rPr>
      </w:pPr>
      <w:r>
        <w:rPr>
          <w:snapToGrid w:val="0"/>
        </w:rPr>
        <w:tab/>
        <w:t>(1)</w:t>
      </w:r>
      <w:r>
        <w:rPr>
          <w:snapToGrid w:val="0"/>
        </w:rPr>
        <w:tab/>
        <w:t>A condition imposed in relation to —</w:t>
      </w:r>
    </w:p>
    <w:p>
      <w:pPr>
        <w:pStyle w:val="Indenta"/>
        <w:spacing w:before="100"/>
        <w:rPr>
          <w:snapToGrid w:val="0"/>
        </w:rPr>
      </w:pPr>
      <w:r>
        <w:rPr>
          <w:snapToGrid w:val="0"/>
        </w:rPr>
        <w:tab/>
        <w:t>(a)</w:t>
      </w:r>
      <w:r>
        <w:rPr>
          <w:snapToGrid w:val="0"/>
        </w:rPr>
        <w:tab/>
        <w:t>the eligibility of any person to hold a permit; or</w:t>
      </w:r>
    </w:p>
    <w:p>
      <w:pPr>
        <w:pStyle w:val="Indenta"/>
        <w:spacing w:before="100"/>
        <w:rPr>
          <w:snapToGrid w:val="0"/>
        </w:rPr>
      </w:pPr>
      <w:r>
        <w:rPr>
          <w:snapToGrid w:val="0"/>
        </w:rPr>
        <w:tab/>
        <w:t>(b)</w:t>
      </w:r>
      <w:r>
        <w:rPr>
          <w:snapToGrid w:val="0"/>
        </w:rPr>
        <w:tab/>
        <w:t>the approval of a person as a nominee permit holder; or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[Section 59 amended by No. 16 of 1990 s. 33.]</w:t>
      </w:r>
    </w:p>
    <w:p>
      <w:pPr>
        <w:pStyle w:val="Heading5"/>
        <w:rPr>
          <w:snapToGrid w:val="0"/>
        </w:rPr>
      </w:pPr>
      <w:bookmarkStart w:id="78" w:name="_Toc402969423"/>
      <w:r>
        <w:rPr>
          <w:rStyle w:val="CharSectno"/>
        </w:rPr>
        <w:t>60</w:t>
      </w:r>
      <w:r>
        <w:rPr>
          <w:snapToGrid w:val="0"/>
        </w:rPr>
        <w:t>.</w:t>
      </w:r>
      <w:r>
        <w:rPr>
          <w:snapToGrid w:val="0"/>
        </w:rPr>
        <w:tab/>
        <w:t>Revoking and amending permits and certain approvals</w:t>
      </w:r>
      <w:bookmarkEnd w:id="78"/>
    </w:p>
    <w:p>
      <w:pPr>
        <w:pStyle w:val="Subsection"/>
        <w:rPr>
          <w:snapToGrid w:val="0"/>
        </w:rPr>
      </w:pPr>
      <w:r>
        <w:rPr>
          <w:snapToGrid w:val="0"/>
        </w:rPr>
        <w:tab/>
        <w:t>(1)</w:t>
      </w:r>
      <w:r>
        <w:rPr>
          <w:snapToGrid w:val="0"/>
        </w:rPr>
        <w:tab/>
        <w:t>Where the Commission is satisfied that the circumstances so require, the Commission, subject to section 62, may in its discretion —</w:t>
      </w:r>
    </w:p>
    <w:p>
      <w:pPr>
        <w:pStyle w:val="Indenta"/>
        <w:rPr>
          <w:snapToGrid w:val="0"/>
        </w:rPr>
      </w:pPr>
      <w:r>
        <w:rPr>
          <w:snapToGrid w:val="0"/>
        </w:rPr>
        <w:tab/>
        <w:t>(a)</w:t>
      </w:r>
      <w:r>
        <w:rPr>
          <w:snapToGrid w:val="0"/>
        </w:rPr>
        <w:tab/>
        <w:t>revoke its approval as to the eligibility of any person to hold a permit; or</w:t>
      </w:r>
    </w:p>
    <w:p>
      <w:pPr>
        <w:pStyle w:val="Indenta"/>
        <w:rPr>
          <w:snapToGrid w:val="0"/>
        </w:rPr>
      </w:pPr>
      <w:r>
        <w:rPr>
          <w:snapToGrid w:val="0"/>
        </w:rPr>
        <w:tab/>
        <w:t>(b)</w:t>
      </w:r>
      <w:r>
        <w:rPr>
          <w:snapToGrid w:val="0"/>
        </w:rPr>
        <w:tab/>
        <w:t>revoke its approval of a person as a nominee permit holder; or</w:t>
      </w:r>
    </w:p>
    <w:p>
      <w:pPr>
        <w:pStyle w:val="Indenta"/>
        <w:rPr>
          <w:snapToGrid w:val="0"/>
        </w:rPr>
      </w:pPr>
      <w:r>
        <w:rPr>
          <w:snapToGrid w:val="0"/>
        </w:rPr>
        <w:tab/>
        <w:t>(c)</w:t>
      </w:r>
      <w:r>
        <w:rPr>
          <w:snapToGrid w:val="0"/>
        </w:rPr>
        <w:tab/>
        <w:t>where a permit holder is a corporation and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 or</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[Section 60 amended by No. 16 of 1990 s. 33; No. 24 of 1998 s. 52.]</w:t>
      </w:r>
    </w:p>
    <w:p>
      <w:pPr>
        <w:pStyle w:val="Ednotesection"/>
      </w:pPr>
      <w:r>
        <w:t>[</w:t>
      </w:r>
      <w:r>
        <w:rPr>
          <w:b/>
        </w:rPr>
        <w:t>61.</w:t>
      </w:r>
      <w:r>
        <w:tab/>
        <w:t>Deleted by No. 16 of 1990 s. 33.]</w:t>
      </w:r>
    </w:p>
    <w:p>
      <w:pPr>
        <w:pStyle w:val="Heading5"/>
        <w:rPr>
          <w:snapToGrid w:val="0"/>
        </w:rPr>
      </w:pPr>
      <w:bookmarkStart w:id="79" w:name="_Toc402969424"/>
      <w:r>
        <w:rPr>
          <w:rStyle w:val="CharSectno"/>
        </w:rPr>
        <w:t>62</w:t>
      </w:r>
      <w:r>
        <w:rPr>
          <w:snapToGrid w:val="0"/>
        </w:rPr>
        <w:t>.</w:t>
      </w:r>
      <w:r>
        <w:rPr>
          <w:snapToGrid w:val="0"/>
        </w:rPr>
        <w:tab/>
        <w:t>Revocation or amendment of current approval etc., Commission to report to Minister; appeals to Minister</w:t>
      </w:r>
      <w:bookmarkEnd w:id="79"/>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w:t>
      </w:r>
    </w:p>
    <w:p>
      <w:pPr>
        <w:pStyle w:val="Indenta"/>
        <w:rPr>
          <w:snapToGrid w:val="0"/>
        </w:rPr>
      </w:pPr>
      <w:r>
        <w:rPr>
          <w:snapToGrid w:val="0"/>
        </w:rPr>
        <w:tab/>
        <w:t>(a)</w:t>
      </w:r>
      <w:r>
        <w:rPr>
          <w:snapToGrid w:val="0"/>
        </w:rPr>
        <w:tab/>
        <w:t>revoking; or</w:t>
      </w:r>
    </w:p>
    <w:p>
      <w:pPr>
        <w:pStyle w:val="Indenta"/>
        <w:rPr>
          <w:snapToGrid w:val="0"/>
        </w:rPr>
      </w:pPr>
      <w:r>
        <w:rPr>
          <w:snapToGrid w:val="0"/>
        </w:rPr>
        <w:tab/>
        <w:t>(b)</w:t>
      </w:r>
      <w:r>
        <w:rPr>
          <w:snapToGrid w:val="0"/>
        </w:rPr>
        <w:tab/>
        <w:t>refusing to renew; or</w:t>
      </w:r>
    </w:p>
    <w:p>
      <w:pPr>
        <w:pStyle w:val="Indenta"/>
        <w:keepNext/>
        <w:rPr>
          <w:snapToGrid w:val="0"/>
        </w:rPr>
      </w:pPr>
      <w:r>
        <w:rPr>
          <w:snapToGrid w:val="0"/>
        </w:rPr>
        <w:tab/>
        <w:t>(c)</w:t>
      </w:r>
      <w:r>
        <w:rPr>
          <w:snapToGrid w:val="0"/>
        </w:rPr>
        <w:tab/>
        <w:t>amending,</w:t>
      </w:r>
    </w:p>
    <w:p>
      <w:pPr>
        <w:pStyle w:val="Subsection"/>
        <w:spacing w:before="120"/>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80" w:name="_Toc402969425"/>
      <w:r>
        <w:rPr>
          <w:rStyle w:val="CharSectno"/>
        </w:rPr>
        <w:t>63</w:t>
      </w:r>
      <w:r>
        <w:rPr>
          <w:snapToGrid w:val="0"/>
        </w:rPr>
        <w:t>.</w:t>
      </w:r>
      <w:r>
        <w:rPr>
          <w:snapToGrid w:val="0"/>
        </w:rPr>
        <w:tab/>
        <w:t>No credit to be given to person for permitted gaming; cheques for permitted gaming</w:t>
      </w:r>
      <w:bookmarkEnd w:id="80"/>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by No. 24 of 2000 s. 52.]</w:t>
      </w:r>
    </w:p>
    <w:p>
      <w:pPr>
        <w:pStyle w:val="Heading3"/>
      </w:pPr>
      <w:bookmarkStart w:id="81" w:name="_Toc402969426"/>
      <w:r>
        <w:rPr>
          <w:rStyle w:val="CharDivNo"/>
        </w:rPr>
        <w:t>Division 2</w:t>
      </w:r>
      <w:r>
        <w:rPr>
          <w:snapToGrid w:val="0"/>
        </w:rPr>
        <w:t> — </w:t>
      </w:r>
      <w:r>
        <w:rPr>
          <w:rStyle w:val="CharDivText"/>
        </w:rPr>
        <w:t>Social gambling</w:t>
      </w:r>
      <w:bookmarkEnd w:id="81"/>
    </w:p>
    <w:p>
      <w:pPr>
        <w:pStyle w:val="Heading5"/>
        <w:rPr>
          <w:snapToGrid w:val="0"/>
        </w:rPr>
      </w:pPr>
      <w:bookmarkStart w:id="82" w:name="_Toc402969427"/>
      <w:r>
        <w:rPr>
          <w:rStyle w:val="CharSectno"/>
        </w:rPr>
        <w:t>64</w:t>
      </w:r>
      <w:r>
        <w:rPr>
          <w:snapToGrid w:val="0"/>
        </w:rPr>
        <w:t>.</w:t>
      </w:r>
      <w:r>
        <w:rPr>
          <w:snapToGrid w:val="0"/>
        </w:rPr>
        <w:tab/>
        <w:t>Social gambling defined</w:t>
      </w:r>
      <w:bookmarkEnd w:id="82"/>
    </w:p>
    <w:p>
      <w:pPr>
        <w:pStyle w:val="Subsection"/>
        <w:rPr>
          <w:snapToGrid w:val="0"/>
        </w:rPr>
      </w:pPr>
      <w:r>
        <w:rPr>
          <w:snapToGrid w:val="0"/>
        </w:rPr>
        <w:tab/>
        <w:t>(1)</w:t>
      </w:r>
      <w:r>
        <w:rPr>
          <w:snapToGrid w:val="0"/>
        </w:rPr>
        <w:tab/>
        <w:t>This section does not, subject to subsection (3), apply to or in relation to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keepNext/>
        <w:rPr>
          <w:snapToGrid w:val="0"/>
        </w:rPr>
      </w:pPr>
      <w:r>
        <w:rPr>
          <w:snapToGrid w:val="0"/>
        </w:rPr>
        <w:tab/>
        <w:t>(2)</w:t>
      </w:r>
      <w:r>
        <w:rPr>
          <w:snapToGrid w:val="0"/>
        </w:rPr>
        <w:tab/>
        <w:t xml:space="preserve">Subject to subsection (1), </w:t>
      </w:r>
      <w:r>
        <w:t>gambling</w:t>
      </w:r>
      <w:r>
        <w:rPr>
          <w:snapToGrid w:val="0"/>
        </w:rPr>
        <w:t xml:space="preserve"> which —</w:t>
      </w:r>
    </w:p>
    <w:p>
      <w:pPr>
        <w:pStyle w:val="Indenta"/>
        <w:rPr>
          <w:snapToGrid w:val="0"/>
        </w:rPr>
      </w:pPr>
      <w:r>
        <w:rPr>
          <w:snapToGrid w:val="0"/>
        </w:rPr>
        <w:tab/>
        <w:t>(a)</w:t>
      </w:r>
      <w:r>
        <w:rPr>
          <w:snapToGrid w:val="0"/>
        </w:rPr>
        <w:tab/>
        <w:t>is spontaneous, notwithstanding that it may occur regularly, habitually or by arrangement between the persons involved; and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 and</w:t>
      </w:r>
    </w:p>
    <w:p>
      <w:pPr>
        <w:pStyle w:val="Indenta"/>
        <w:keepNext/>
        <w:rPr>
          <w:snapToGrid w:val="0"/>
        </w:rPr>
      </w:pPr>
      <w:r>
        <w:rPr>
          <w:snapToGrid w:val="0"/>
        </w:rPr>
        <w:tab/>
        <w:t>(c)</w:t>
      </w:r>
      <w:r>
        <w:rPr>
          <w:snapToGrid w:val="0"/>
        </w:rPr>
        <w:tab/>
        <w:t>is so conducted that —</w:t>
      </w:r>
    </w:p>
    <w:p>
      <w:pPr>
        <w:pStyle w:val="Indenti"/>
        <w:rPr>
          <w:snapToGrid w:val="0"/>
        </w:rPr>
      </w:pPr>
      <w:r>
        <w:rPr>
          <w:snapToGrid w:val="0"/>
        </w:rPr>
        <w:tab/>
        <w:t>(i)</w:t>
      </w:r>
      <w:r>
        <w:rPr>
          <w:snapToGrid w:val="0"/>
        </w:rPr>
        <w:tab/>
        <w:t>no person is defrauded or cheated; and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 and</w:t>
      </w:r>
    </w:p>
    <w:p>
      <w:pPr>
        <w:pStyle w:val="Indenta"/>
        <w:rPr>
          <w:snapToGrid w:val="0"/>
        </w:rPr>
      </w:pPr>
      <w:r>
        <w:rPr>
          <w:snapToGrid w:val="0"/>
        </w:rPr>
        <w:tab/>
        <w:t>(e)</w:t>
      </w:r>
      <w:r>
        <w:rPr>
          <w:snapToGrid w:val="0"/>
        </w:rPr>
        <w:tab/>
        <w:t>does not contravene the requirements of the person responsible for the premises where it occurs; and</w:t>
      </w:r>
    </w:p>
    <w:p>
      <w:pPr>
        <w:pStyle w:val="Indenta"/>
        <w:rPr>
          <w:snapToGrid w:val="0"/>
        </w:rPr>
      </w:pPr>
      <w:r>
        <w:rPr>
          <w:snapToGrid w:val="0"/>
        </w:rPr>
        <w:tab/>
        <w:t>(f)</w:t>
      </w:r>
      <w:r>
        <w:rPr>
          <w:snapToGrid w:val="0"/>
        </w:rPr>
        <w:tab/>
        <w:t>is not —</w:t>
      </w:r>
    </w:p>
    <w:p>
      <w:pPr>
        <w:pStyle w:val="Indenti"/>
        <w:rPr>
          <w:snapToGrid w:val="0"/>
        </w:rPr>
      </w:pPr>
      <w:r>
        <w:rPr>
          <w:snapToGrid w:val="0"/>
        </w:rPr>
        <w:tab/>
        <w:t>(i)</w:t>
      </w:r>
      <w:r>
        <w:rPr>
          <w:snapToGrid w:val="0"/>
        </w:rPr>
        <w:tab/>
        <w:t>two</w:t>
      </w:r>
      <w:r>
        <w:rPr>
          <w:snapToGrid w:val="0"/>
        </w:rPr>
        <w:noBreakHyphen/>
        <w:t>up; or</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spacing w:before="60"/>
        <w:rPr>
          <w:snapToGrid w:val="0"/>
        </w:rPr>
      </w:pPr>
      <w:r>
        <w:rPr>
          <w:snapToGrid w:val="0"/>
        </w:rPr>
        <w:tab/>
      </w:r>
      <w:r>
        <w:rPr>
          <w:snapToGrid w:val="0"/>
        </w:rPr>
        <w:tab/>
        <w:t>and</w:t>
      </w:r>
    </w:p>
    <w:p>
      <w:pPr>
        <w:pStyle w:val="Indenta"/>
        <w:keepNext/>
        <w:spacing w:before="60"/>
        <w:rPr>
          <w:snapToGrid w:val="0"/>
        </w:rPr>
      </w:pPr>
      <w:r>
        <w:rPr>
          <w:snapToGrid w:val="0"/>
        </w:rPr>
        <w:tab/>
        <w:t>(g)</w:t>
      </w:r>
      <w:r>
        <w:rPr>
          <w:snapToGrid w:val="0"/>
        </w:rPr>
        <w:tab/>
        <w:t>being gaming, by the nature of the game is such that the chances in the game —</w:t>
      </w:r>
    </w:p>
    <w:p>
      <w:pPr>
        <w:pStyle w:val="Indenti"/>
        <w:spacing w:before="60"/>
        <w:rPr>
          <w:snapToGrid w:val="0"/>
        </w:rPr>
      </w:pPr>
      <w:r>
        <w:rPr>
          <w:snapToGrid w:val="0"/>
        </w:rPr>
        <w:tab/>
        <w:t>(i)</w:t>
      </w:r>
      <w:r>
        <w:rPr>
          <w:snapToGrid w:val="0"/>
        </w:rPr>
        <w:tab/>
        <w:t>are equally favourable to all the players; or</w:t>
      </w:r>
    </w:p>
    <w:p>
      <w:pPr>
        <w:pStyle w:val="Indenti"/>
        <w:keepLines/>
        <w:spacing w:before="60"/>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Subsection"/>
        <w:keepNext/>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w:t>
      </w:r>
    </w:p>
    <w:p>
      <w:pPr>
        <w:pStyle w:val="Indenta"/>
        <w:spacing w:before="60"/>
        <w:rPr>
          <w:snapToGrid w:val="0"/>
        </w:rPr>
      </w:pPr>
      <w:r>
        <w:rPr>
          <w:snapToGrid w:val="0"/>
        </w:rPr>
        <w:tab/>
        <w:t>(a)</w:t>
      </w:r>
      <w:r>
        <w:rPr>
          <w:snapToGrid w:val="0"/>
        </w:rPr>
        <w:tab/>
        <w:t>holds a current licence as a bookmaker under that Act; or</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deleted by No. 16 of 1990 s. 31.]</w:t>
      </w:r>
    </w:p>
    <w:p>
      <w:pPr>
        <w:pStyle w:val="Heading3"/>
        <w:keepNext w:val="0"/>
      </w:pPr>
      <w:bookmarkStart w:id="83" w:name="_Toc402969428"/>
      <w:r>
        <w:rPr>
          <w:rStyle w:val="CharDivNo"/>
        </w:rPr>
        <w:t>Division 4</w:t>
      </w:r>
      <w:r>
        <w:rPr>
          <w:snapToGrid w:val="0"/>
        </w:rPr>
        <w:t> — </w:t>
      </w:r>
      <w:r>
        <w:rPr>
          <w:rStyle w:val="CharDivText"/>
        </w:rPr>
        <w:t>Permitted two</w:t>
      </w:r>
      <w:r>
        <w:rPr>
          <w:rStyle w:val="CharDivText"/>
        </w:rPr>
        <w:noBreakHyphen/>
        <w:t>up</w:t>
      </w:r>
      <w:bookmarkEnd w:id="83"/>
    </w:p>
    <w:p>
      <w:pPr>
        <w:pStyle w:val="Heading5"/>
        <w:keepNext w:val="0"/>
        <w:keepLines w:val="0"/>
        <w:rPr>
          <w:snapToGrid w:val="0"/>
        </w:rPr>
      </w:pPr>
      <w:bookmarkStart w:id="84" w:name="_Toc402969429"/>
      <w:r>
        <w:rPr>
          <w:rStyle w:val="CharSectno"/>
        </w:rPr>
        <w:t>80</w:t>
      </w:r>
      <w:r>
        <w:rPr>
          <w:snapToGrid w:val="0"/>
        </w:rPr>
        <w:t>.</w:t>
      </w:r>
      <w:r>
        <w:rPr>
          <w:snapToGrid w:val="0"/>
        </w:rPr>
        <w:tab/>
        <w:t>Two</w:t>
      </w:r>
      <w:r>
        <w:rPr>
          <w:snapToGrid w:val="0"/>
        </w:rPr>
        <w:noBreakHyphen/>
        <w:t>up at country race meetings</w:t>
      </w:r>
      <w:bookmarkEnd w:id="84"/>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w:t>
      </w:r>
    </w:p>
    <w:p>
      <w:pPr>
        <w:pStyle w:val="Indenta"/>
        <w:rPr>
          <w:snapToGrid w:val="0"/>
        </w:rPr>
      </w:pPr>
      <w:r>
        <w:rPr>
          <w:snapToGrid w:val="0"/>
        </w:rPr>
        <w:tab/>
        <w:t>(a)</w:t>
      </w:r>
      <w:r>
        <w:rPr>
          <w:snapToGrid w:val="0"/>
        </w:rPr>
        <w:tab/>
        <w:t>takes place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is conducted —</w:t>
      </w:r>
    </w:p>
    <w:p>
      <w:pPr>
        <w:pStyle w:val="Indenti"/>
        <w:spacing w:before="100"/>
        <w:rPr>
          <w:snapToGrid w:val="0"/>
        </w:rPr>
      </w:pPr>
      <w:r>
        <w:rPr>
          <w:snapToGrid w:val="0"/>
        </w:rPr>
        <w:tab/>
        <w:t>(i)</w:t>
      </w:r>
      <w:r>
        <w:rPr>
          <w:snapToGrid w:val="0"/>
        </w:rPr>
        <w:tab/>
        <w:t>by or on behalf of the country race club, by a person authorised in writing by the committee of that club for the purpose; and</w:t>
      </w:r>
    </w:p>
    <w:p>
      <w:pPr>
        <w:pStyle w:val="Indenti"/>
        <w:spacing w:before="100"/>
        <w:rPr>
          <w:snapToGrid w:val="0"/>
        </w:rPr>
      </w:pPr>
      <w:r>
        <w:rPr>
          <w:snapToGrid w:val="0"/>
        </w:rPr>
        <w:tab/>
        <w:t>(ii)</w:t>
      </w:r>
      <w:r>
        <w:rPr>
          <w:snapToGrid w:val="0"/>
        </w:rPr>
        <w:tab/>
        <w:t>otherwise than during the racing for that day; and</w:t>
      </w:r>
    </w:p>
    <w:p>
      <w:pPr>
        <w:pStyle w:val="Indenti"/>
        <w:spacing w:before="100"/>
        <w:rPr>
          <w:snapToGrid w:val="0"/>
        </w:rPr>
      </w:pPr>
      <w:r>
        <w:rPr>
          <w:snapToGrid w:val="0"/>
        </w:rPr>
        <w:tab/>
        <w:t>(iii)</w:t>
      </w:r>
      <w:r>
        <w:rPr>
          <w:snapToGrid w:val="0"/>
        </w:rPr>
        <w:tab/>
        <w:t>in the manner in which the game two</w:t>
      </w:r>
      <w:r>
        <w:rPr>
          <w:snapToGrid w:val="0"/>
        </w:rPr>
        <w:noBreakHyphen/>
        <w:t>up is customarily conducted in that locality of the State, whether with coins or dice; and</w:t>
      </w:r>
    </w:p>
    <w:p>
      <w:pPr>
        <w:pStyle w:val="Indenti"/>
        <w:spacing w:before="100"/>
        <w:rPr>
          <w:snapToGrid w:val="0"/>
        </w:rPr>
      </w:pPr>
      <w:r>
        <w:rPr>
          <w:snapToGrid w:val="0"/>
        </w:rPr>
        <w:tab/>
        <w:t>(iiia)</w:t>
      </w:r>
      <w:r>
        <w:rPr>
          <w:snapToGrid w:val="0"/>
        </w:rPr>
        <w:tab/>
        <w:t>not for the purposes of private gain or any commercial undertaking; and</w:t>
      </w:r>
    </w:p>
    <w:p>
      <w:pPr>
        <w:pStyle w:val="Indenti"/>
        <w:spacing w:before="100"/>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(c)</w:t>
      </w:r>
      <w:r>
        <w:rPr>
          <w:snapToGrid w:val="0"/>
        </w:rPr>
        <w:tab/>
        <w:t>does not contravene any condition —</w:t>
      </w:r>
    </w:p>
    <w:p>
      <w:pPr>
        <w:pStyle w:val="Indenti"/>
        <w:spacing w:before="100"/>
        <w:rPr>
          <w:snapToGrid w:val="0"/>
        </w:rPr>
      </w:pPr>
      <w:r>
        <w:rPr>
          <w:snapToGrid w:val="0"/>
        </w:rPr>
        <w:tab/>
        <w:t>(i)</w:t>
      </w:r>
      <w:r>
        <w:rPr>
          <w:snapToGrid w:val="0"/>
        </w:rPr>
        <w:tab/>
        <w:t>specifically imposed in respect of that permit; or</w:t>
      </w:r>
    </w:p>
    <w:p>
      <w:pPr>
        <w:pStyle w:val="Indenti"/>
        <w:spacing w:before="100"/>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100 km of the Burswood Casino as referred to in the </w:t>
      </w:r>
      <w:r>
        <w:rPr>
          <w:i/>
        </w:rPr>
        <w:t>Casino (Burswood Island) Agreement Act 1985</w:t>
      </w:r>
      <w:r>
        <w:t>.</w:t>
      </w:r>
    </w:p>
    <w:p>
      <w:pPr>
        <w:pStyle w:val="Footnotesection"/>
      </w:pPr>
      <w:r>
        <w:tab/>
        <w:t>[Section 80 amended by No. 24 of 1998 s. 54; No. 35 of 2003 s. 151; No. 25 of 2011 s. 9.]</w:t>
      </w:r>
    </w:p>
    <w:p>
      <w:pPr>
        <w:pStyle w:val="Heading5"/>
        <w:rPr>
          <w:snapToGrid w:val="0"/>
        </w:rPr>
      </w:pPr>
      <w:bookmarkStart w:id="85" w:name="_Toc402969430"/>
      <w:r>
        <w:rPr>
          <w:rStyle w:val="CharSectno"/>
        </w:rPr>
        <w:t>81</w:t>
      </w:r>
      <w:r>
        <w:rPr>
          <w:snapToGrid w:val="0"/>
        </w:rPr>
        <w:t>.</w:t>
      </w:r>
      <w:r>
        <w:rPr>
          <w:snapToGrid w:val="0"/>
        </w:rPr>
        <w:tab/>
        <w:t>Two</w:t>
      </w:r>
      <w:r>
        <w:rPr>
          <w:snapToGrid w:val="0"/>
        </w:rPr>
        <w:noBreakHyphen/>
        <w:t>up at other places</w:t>
      </w:r>
      <w:bookmarkEnd w:id="85"/>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w:t>
      </w:r>
    </w:p>
    <w:p>
      <w:pPr>
        <w:pStyle w:val="Indenta"/>
        <w:rPr>
          <w:snapToGrid w:val="0"/>
        </w:rPr>
      </w:pPr>
      <w:r>
        <w:rPr>
          <w:snapToGrid w:val="0"/>
        </w:rPr>
        <w:tab/>
        <w:t>(a)</w:t>
      </w:r>
      <w:r>
        <w:rPr>
          <w:snapToGrid w:val="0"/>
        </w:rPr>
        <w:tab/>
        <w:t xml:space="preserve">takes place at approved premises, not being a place situate inside a radius in any direction of 100 km of the Burswood Casino as referred to in the </w:t>
      </w:r>
      <w:r>
        <w:rPr>
          <w:i/>
          <w:snapToGrid w:val="0"/>
        </w:rPr>
        <w:t>Casino (Burswood Island) Agreement Act 1985</w:t>
      </w:r>
      <w:r>
        <w:rPr>
          <w:snapToGrid w:val="0"/>
        </w:rPr>
        <w:t>; and</w:t>
      </w:r>
    </w:p>
    <w:p>
      <w:pPr>
        <w:pStyle w:val="Indenta"/>
        <w:keepNext/>
        <w:rPr>
          <w:snapToGrid w:val="0"/>
        </w:rPr>
      </w:pPr>
      <w:r>
        <w:rPr>
          <w:snapToGrid w:val="0"/>
        </w:rPr>
        <w:tab/>
        <w:t>(b)</w:t>
      </w:r>
      <w:r>
        <w:rPr>
          <w:snapToGrid w:val="0"/>
        </w:rPr>
        <w:tab/>
        <w:t>is conducted —</w:t>
      </w:r>
    </w:p>
    <w:p>
      <w:pPr>
        <w:pStyle w:val="Indenti"/>
        <w:rPr>
          <w:snapToGrid w:val="0"/>
        </w:rPr>
      </w:pPr>
      <w:r>
        <w:rPr>
          <w:snapToGrid w:val="0"/>
        </w:rPr>
        <w:tab/>
        <w:t>(i)</w:t>
      </w:r>
      <w:r>
        <w:rPr>
          <w:snapToGrid w:val="0"/>
        </w:rPr>
        <w:tab/>
        <w:t>in the manner in which the game two</w:t>
      </w:r>
      <w:r>
        <w:rPr>
          <w:snapToGrid w:val="0"/>
        </w:rPr>
        <w:noBreakHyphen/>
        <w:t>up is customarily conducted in that locality of the State, whether with coins or dice; and</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20"/>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 No. 25 of 2011 s. 10.]</w:t>
      </w:r>
    </w:p>
    <w:p>
      <w:pPr>
        <w:pStyle w:val="Heading5"/>
        <w:rPr>
          <w:snapToGrid w:val="0"/>
        </w:rPr>
      </w:pPr>
      <w:bookmarkStart w:id="86" w:name="_Toc402969431"/>
      <w:r>
        <w:rPr>
          <w:rStyle w:val="CharSectno"/>
        </w:rPr>
        <w:t>82</w:t>
      </w:r>
      <w:r>
        <w:rPr>
          <w:snapToGrid w:val="0"/>
        </w:rPr>
        <w:t>.</w:t>
      </w:r>
      <w:r>
        <w:rPr>
          <w:snapToGrid w:val="0"/>
        </w:rPr>
        <w:tab/>
        <w:t>Conditions deemed in certain permits</w:t>
      </w:r>
      <w:bookmarkEnd w:id="86"/>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87" w:name="_Toc402969432"/>
      <w:r>
        <w:rPr>
          <w:rStyle w:val="CharSectno"/>
        </w:rPr>
        <w:t>83</w:t>
      </w:r>
      <w:r>
        <w:rPr>
          <w:snapToGrid w:val="0"/>
        </w:rPr>
        <w:t>.</w:t>
      </w:r>
      <w:r>
        <w:rPr>
          <w:snapToGrid w:val="0"/>
        </w:rPr>
        <w:tab/>
        <w:t>Regulations for this Division</w:t>
      </w:r>
      <w:bookmarkEnd w:id="87"/>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 and</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 and</w:t>
      </w:r>
    </w:p>
    <w:p>
      <w:pPr>
        <w:pStyle w:val="Indenta"/>
        <w:keepNext/>
        <w:rPr>
          <w:snapToGrid w:val="0"/>
        </w:rPr>
      </w:pPr>
      <w:r>
        <w:rPr>
          <w:snapToGrid w:val="0"/>
        </w:rPr>
        <w:tab/>
        <w:t>(c)</w:t>
      </w:r>
      <w:r>
        <w:rPr>
          <w:snapToGrid w:val="0"/>
        </w:rPr>
        <w:tab/>
        <w:t>for the immediate suspension of the operation of a permit in prescribed circumstances; and</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pPr>
      <w:bookmarkStart w:id="88" w:name="_Toc402969433"/>
      <w:r>
        <w:rPr>
          <w:rStyle w:val="CharDivNo"/>
        </w:rPr>
        <w:t>Division 5</w:t>
      </w:r>
      <w:r>
        <w:rPr>
          <w:snapToGrid w:val="0"/>
        </w:rPr>
        <w:t> — </w:t>
      </w:r>
      <w:r>
        <w:rPr>
          <w:rStyle w:val="CharDivText"/>
        </w:rPr>
        <w:t>Gaming machines and other gaming equipment and its operation</w:t>
      </w:r>
      <w:bookmarkEnd w:id="88"/>
    </w:p>
    <w:p>
      <w:pPr>
        <w:pStyle w:val="Heading5"/>
        <w:rPr>
          <w:snapToGrid w:val="0"/>
        </w:rPr>
      </w:pPr>
      <w:bookmarkStart w:id="89" w:name="_Toc402969434"/>
      <w:r>
        <w:rPr>
          <w:rStyle w:val="CharSectno"/>
        </w:rPr>
        <w:t>84</w:t>
      </w:r>
      <w:r>
        <w:rPr>
          <w:snapToGrid w:val="0"/>
        </w:rPr>
        <w:t>.</w:t>
      </w:r>
      <w:r>
        <w:rPr>
          <w:snapToGrid w:val="0"/>
        </w:rPr>
        <w:tab/>
        <w:t>Terms used</w:t>
      </w:r>
      <w:bookmarkEnd w:id="89"/>
    </w:p>
    <w:p>
      <w:pPr>
        <w:pStyle w:val="Subsection"/>
        <w:rPr>
          <w:snapToGrid w:val="0"/>
        </w:rPr>
      </w:pPr>
      <w:r>
        <w:rPr>
          <w:snapToGrid w:val="0"/>
        </w:rPr>
        <w:tab/>
        <w:t>(1)</w:t>
      </w:r>
      <w:r>
        <w:rPr>
          <w:snapToGrid w:val="0"/>
        </w:rPr>
        <w:tab/>
        <w:t>In this Division —</w:t>
      </w:r>
    </w:p>
    <w:p>
      <w:pPr>
        <w:pStyle w:val="Defstart"/>
      </w:pPr>
      <w:r>
        <w:rPr>
          <w:b/>
        </w:rPr>
        <w:tab/>
      </w:r>
      <w:r>
        <w:rPr>
          <w:rStyle w:val="CharDefText"/>
        </w:rPr>
        <w:t>gaming machine</w:t>
      </w:r>
      <w:r>
        <w:t xml:space="preserve"> means a machine which —</w:t>
      </w:r>
    </w:p>
    <w:p>
      <w:pPr>
        <w:pStyle w:val="Defpara"/>
      </w:pPr>
      <w:r>
        <w:tab/>
        <w:t>(a)</w:t>
      </w:r>
      <w:r>
        <w:tab/>
        <w:t>is constructed, adapted or used for playing a game of chance by means of that gaming machine; and</w:t>
      </w:r>
    </w:p>
    <w:p>
      <w:pPr>
        <w:pStyle w:val="Defpara"/>
      </w:pPr>
      <w:r>
        <w:tab/>
        <w:t>(b)</w:t>
      </w:r>
      <w:r>
        <w:tab/>
        <w:t>a player pays (except where he has an opportunity to play without payment as the result of having previously played successfully) to play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keepNext/>
      </w:pPr>
      <w:r>
        <w:rPr>
          <w:b/>
        </w:rPr>
        <w:tab/>
      </w:r>
      <w:r>
        <w:rPr>
          <w:rStyle w:val="CharDefText"/>
        </w:rPr>
        <w:t>prescribed gaming equipment</w:t>
      </w:r>
      <w:r>
        <w:t xml:space="preserve"> means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w:t>
      </w:r>
    </w:p>
    <w:p>
      <w:pPr>
        <w:pStyle w:val="Defpara"/>
        <w:spacing w:before="60"/>
      </w:pPr>
      <w:r>
        <w:tab/>
        <w:t>(a)</w:t>
      </w:r>
      <w:r>
        <w:tab/>
        <w:t>for the playing of music or of games designed primarily for amusement, relaxation or education; or</w:t>
      </w:r>
    </w:p>
    <w:p>
      <w:pPr>
        <w:pStyle w:val="Defpara"/>
        <w:spacing w:before="60"/>
      </w:pPr>
      <w:r>
        <w:tab/>
        <w:t>(b)</w:t>
      </w:r>
      <w:r>
        <w:tab/>
        <w:t>for the playing of games of skill; or</w:t>
      </w:r>
    </w:p>
    <w:p>
      <w:pPr>
        <w:pStyle w:val="Defpara"/>
        <w:spacing w:before="60"/>
      </w:pPr>
      <w:r>
        <w:tab/>
        <w:t>(c)</w:t>
      </w:r>
      <w:r>
        <w:tab/>
        <w:t>so that although a game of chance may be played, section 39(2)(e) applies; or</w:t>
      </w:r>
    </w:p>
    <w:p>
      <w:pPr>
        <w:pStyle w:val="Defpara"/>
        <w:spacing w:before="60"/>
      </w:pPr>
      <w:r>
        <w:tab/>
        <w:t>(d)</w:t>
      </w:r>
      <w:r>
        <w:tab/>
        <w:t>to yield with certainty previously ascertained goods of which the sale, or exposure for sale, is not prohibited by any written law; or</w:t>
      </w:r>
    </w:p>
    <w:p>
      <w:pPr>
        <w:pStyle w:val="Defpara"/>
        <w:spacing w:before="60"/>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90" w:name="_Toc402969435"/>
      <w:r>
        <w:rPr>
          <w:rStyle w:val="CharSectno"/>
        </w:rPr>
        <w:t>85</w:t>
      </w:r>
      <w:r>
        <w:rPr>
          <w:snapToGrid w:val="0"/>
        </w:rPr>
        <w:t>.</w:t>
      </w:r>
      <w:r>
        <w:rPr>
          <w:snapToGrid w:val="0"/>
        </w:rPr>
        <w:tab/>
        <w:t>Unlawful gaming machines etc., use and possession of prohibited</w:t>
      </w:r>
      <w:bookmarkEnd w:id="90"/>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w:t>
      </w:r>
    </w:p>
    <w:p>
      <w:pPr>
        <w:pStyle w:val="Indenta"/>
        <w:spacing w:before="60"/>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w:t>
      </w:r>
    </w:p>
    <w:p>
      <w:pPr>
        <w:pStyle w:val="Indenti"/>
        <w:spacing w:before="110"/>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 or</w:t>
      </w:r>
    </w:p>
    <w:p>
      <w:pPr>
        <w:pStyle w:val="Indenti"/>
        <w:spacing w:before="110"/>
        <w:rPr>
          <w:snapToGrid w:val="0"/>
        </w:rPr>
      </w:pPr>
      <w:r>
        <w:rPr>
          <w:snapToGrid w:val="0"/>
        </w:rPr>
        <w:tab/>
        <w:t>(ii)</w:t>
      </w:r>
      <w:r>
        <w:rPr>
          <w:snapToGrid w:val="0"/>
        </w:rPr>
        <w:tab/>
        <w:t xml:space="preserve">that, although not so declared,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w:t>
      </w:r>
    </w:p>
    <w:p>
      <w:pPr>
        <w:pStyle w:val="Indenti"/>
        <w:spacing w:before="110"/>
        <w:rPr>
          <w:snapToGrid w:val="0"/>
        </w:rPr>
      </w:pPr>
      <w:r>
        <w:rPr>
          <w:snapToGrid w:val="0"/>
        </w:rPr>
        <w:tab/>
        <w:t>(iii)</w:t>
      </w:r>
      <w:r>
        <w:rPr>
          <w:snapToGrid w:val="0"/>
        </w:rPr>
        <w:tab/>
        <w:t>that is a variation or derivative of a game referred to in subparagraph (i) or (ii);</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(b)</w:t>
      </w:r>
      <w:r>
        <w:rPr>
          <w:snapToGrid w:val="0"/>
        </w:rPr>
        <w:tab/>
        <w:t>any other gaming machine, not being a machine used —</w:t>
      </w:r>
    </w:p>
    <w:p>
      <w:pPr>
        <w:pStyle w:val="Indenti"/>
        <w:spacing w:before="110"/>
        <w:rPr>
          <w:snapToGrid w:val="0"/>
        </w:rPr>
      </w:pPr>
      <w:r>
        <w:rPr>
          <w:snapToGrid w:val="0"/>
        </w:rPr>
        <w:tab/>
        <w:t>(i)</w:t>
      </w:r>
      <w:r>
        <w:rPr>
          <w:snapToGrid w:val="0"/>
        </w:rPr>
        <w:tab/>
        <w:t>as a slot machine; or</w:t>
      </w:r>
    </w:p>
    <w:p>
      <w:pPr>
        <w:pStyle w:val="Indenti"/>
        <w:keepNext/>
        <w:spacing w:before="110"/>
        <w:rPr>
          <w:snapToGrid w:val="0"/>
        </w:rPr>
      </w:pPr>
      <w:r>
        <w:rPr>
          <w:snapToGrid w:val="0"/>
        </w:rPr>
        <w:tab/>
        <w:t>(ii)</w:t>
      </w:r>
      <w:r>
        <w:rPr>
          <w:snapToGrid w:val="0"/>
        </w:rPr>
        <w:tab/>
        <w:t>in accordance with a permit or written law;</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spacing w:before="180"/>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w:t>
      </w:r>
    </w:p>
    <w:p>
      <w:pPr>
        <w:pStyle w:val="Indenta"/>
        <w:spacing w:before="100"/>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spacing w:before="100"/>
        <w:rPr>
          <w:snapToGrid w:val="0"/>
        </w:rPr>
      </w:pPr>
      <w:r>
        <w:rPr>
          <w:snapToGrid w:val="0"/>
        </w:rPr>
        <w:tab/>
        <w:t>(b)</w:t>
      </w:r>
      <w:r>
        <w:rPr>
          <w:snapToGrid w:val="0"/>
        </w:rPr>
        <w:tab/>
        <w:t xml:space="preserve">where he is satisfied that the thing is unlawful gaming </w:t>
      </w:r>
      <w:r>
        <w:t>equipment that the person is not entitled to possess under this Act, or</w:t>
      </w:r>
      <w:r>
        <w:rPr>
          <w:snapToGrid w:val="0"/>
        </w:rPr>
        <w:t xml:space="preserve">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 xml:space="preserve">Subject to </w:t>
      </w:r>
      <w:r>
        <w:t xml:space="preserve">subsections (5) and (6A), </w:t>
      </w:r>
      <w:r>
        <w:rPr>
          <w:snapToGrid w:val="0"/>
        </w:rPr>
        <w:t>a person having in his possession —</w:t>
      </w:r>
    </w:p>
    <w:p>
      <w:pPr>
        <w:pStyle w:val="Indenta"/>
        <w:spacing w:before="100"/>
        <w:rPr>
          <w:snapToGrid w:val="0"/>
        </w:rPr>
      </w:pPr>
      <w:r>
        <w:rPr>
          <w:snapToGrid w:val="0"/>
        </w:rPr>
        <w:tab/>
        <w:t>(a)</w:t>
      </w:r>
      <w:r>
        <w:rPr>
          <w:snapToGrid w:val="0"/>
        </w:rPr>
        <w:tab/>
        <w:t>an unlawful gaming machine; or</w:t>
      </w:r>
    </w:p>
    <w:p>
      <w:pPr>
        <w:pStyle w:val="Indenta"/>
        <w:spacing w:before="100"/>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Subsection (4) does not apply to an authorised person having possession of a gaming machine or gaming equipment of a kind referred to in that subsection —</w:t>
      </w:r>
    </w:p>
    <w:p>
      <w:pPr>
        <w:pStyle w:val="Indenta"/>
        <w:spacing w:before="60"/>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spacing w:before="60"/>
        <w:rPr>
          <w:snapToGrid w:val="0"/>
        </w:rPr>
      </w:pPr>
      <w:r>
        <w:rPr>
          <w:snapToGrid w:val="0"/>
        </w:rPr>
        <w:tab/>
        <w:t>(b)</w:t>
      </w:r>
      <w:r>
        <w:rPr>
          <w:snapToGrid w:val="0"/>
        </w:rPr>
        <w:tab/>
        <w:t>in connection with the manufacture of gaming machines or gaming equipment.</w:t>
      </w:r>
    </w:p>
    <w:p>
      <w:pPr>
        <w:pStyle w:val="Subsection"/>
      </w:pPr>
      <w:r>
        <w:tab/>
        <w:t>(6A)</w:t>
      </w:r>
      <w:r>
        <w:tab/>
        <w:t>Subsection (4) does not apply to the possession of a gaming machine or gaming equipment of a kind referred to in that subsection, in prescribed circumstances.</w:t>
      </w:r>
    </w:p>
    <w:p>
      <w:pPr>
        <w:pStyle w:val="Subsection"/>
        <w:rPr>
          <w:snapToGrid w:val="0"/>
        </w:rPr>
      </w:pPr>
      <w:r>
        <w:rPr>
          <w:snapToGrid w:val="0"/>
        </w:rPr>
        <w:tab/>
        <w:t>(6)</w:t>
      </w:r>
      <w:r>
        <w:rPr>
          <w:snapToGrid w:val="0"/>
        </w:rPr>
        <w:tab/>
        <w:t>In subsection (5)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by No. 24 of 1998 s. 58; No. 6 of 2000 s. 11; No. 35 of 2003 s. 156 and 166; No. 25 of 2011 s. 11.]</w:t>
      </w:r>
    </w:p>
    <w:p>
      <w:pPr>
        <w:pStyle w:val="Heading5"/>
        <w:keepLines w:val="0"/>
        <w:rPr>
          <w:snapToGrid w:val="0"/>
        </w:rPr>
      </w:pPr>
      <w:bookmarkStart w:id="91" w:name="_Toc402969436"/>
      <w:r>
        <w:rPr>
          <w:rStyle w:val="CharSectno"/>
        </w:rPr>
        <w:t>86</w:t>
      </w:r>
      <w:r>
        <w:rPr>
          <w:snapToGrid w:val="0"/>
        </w:rPr>
        <w:t>.</w:t>
      </w:r>
      <w:r>
        <w:rPr>
          <w:snapToGrid w:val="0"/>
        </w:rPr>
        <w:tab/>
        <w:t>Use of unlawful cash or tokens in gaming machines</w:t>
      </w:r>
      <w:bookmarkEnd w:id="91"/>
    </w:p>
    <w:p>
      <w:pPr>
        <w:pStyle w:val="Subsection"/>
        <w:rPr>
          <w:snapToGrid w:val="0"/>
        </w:rPr>
      </w:pPr>
      <w:r>
        <w:rPr>
          <w:snapToGrid w:val="0"/>
        </w:rPr>
        <w:tab/>
      </w:r>
      <w:r>
        <w:rPr>
          <w:snapToGrid w:val="0"/>
        </w:rPr>
        <w:tab/>
        <w:t>A person who inserts, or attempts to insert, in any gaming machine or slot machine of which the use or possession is lawful anything other than —</w:t>
      </w:r>
    </w:p>
    <w:p>
      <w:pPr>
        <w:pStyle w:val="Indenta"/>
        <w:spacing w:before="60"/>
        <w:rPr>
          <w:snapToGrid w:val="0"/>
        </w:rPr>
      </w:pPr>
      <w:r>
        <w:rPr>
          <w:snapToGrid w:val="0"/>
        </w:rPr>
        <w:tab/>
        <w:t>(a)</w:t>
      </w:r>
      <w:r>
        <w:rPr>
          <w:snapToGrid w:val="0"/>
        </w:rPr>
        <w:tab/>
        <w:t>money issued under the authority of a law of the Commonwealth; or</w:t>
      </w:r>
    </w:p>
    <w:p>
      <w:pPr>
        <w:pStyle w:val="Indenta"/>
        <w:spacing w:before="60"/>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92" w:name="_Toc402969437"/>
      <w:r>
        <w:rPr>
          <w:rStyle w:val="CharSectno"/>
        </w:rPr>
        <w:t>87</w:t>
      </w:r>
      <w:r>
        <w:rPr>
          <w:snapToGrid w:val="0"/>
        </w:rPr>
        <w:t>.</w:t>
      </w:r>
      <w:r>
        <w:rPr>
          <w:snapToGrid w:val="0"/>
        </w:rPr>
        <w:tab/>
        <w:t>Records about gaming equipment, powers to require keeping of</w:t>
      </w:r>
      <w:bookmarkEnd w:id="92"/>
    </w:p>
    <w:p>
      <w:pPr>
        <w:pStyle w:val="Subsection"/>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w:t>
      </w:r>
    </w:p>
    <w:p>
      <w:pPr>
        <w:pStyle w:val="Indenta"/>
        <w:rPr>
          <w:snapToGrid w:val="0"/>
        </w:rPr>
      </w:pPr>
      <w:r>
        <w:rPr>
          <w:snapToGrid w:val="0"/>
        </w:rPr>
        <w:tab/>
        <w:t>(a)</w:t>
      </w:r>
      <w:r>
        <w:rPr>
          <w:snapToGrid w:val="0"/>
        </w:rPr>
        <w:tab/>
        <w:t>any payments made in respect of the equipment, whether by way of rent, maintenance charges or otherwise; and</w:t>
      </w:r>
    </w:p>
    <w:p>
      <w:pPr>
        <w:pStyle w:val="Indenta"/>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rPr>
          <w:snapToGrid w:val="0"/>
        </w:rPr>
      </w:pPr>
      <w:bookmarkStart w:id="93" w:name="_Toc402969438"/>
      <w:r>
        <w:rPr>
          <w:rStyle w:val="CharSectno"/>
        </w:rPr>
        <w:t>88</w:t>
      </w:r>
      <w:r>
        <w:rPr>
          <w:snapToGrid w:val="0"/>
        </w:rPr>
        <w:t>.</w:t>
      </w:r>
      <w:r>
        <w:rPr>
          <w:snapToGrid w:val="0"/>
        </w:rPr>
        <w:tab/>
        <w:t>Prescribed gaming equipment, regulations about, certificates for sellers etc. of</w:t>
      </w:r>
      <w:bookmarkEnd w:id="93"/>
    </w:p>
    <w:p>
      <w:pPr>
        <w:pStyle w:val="Subsection"/>
        <w:rPr>
          <w:snapToGrid w:val="0"/>
        </w:rPr>
      </w:pPr>
      <w:r>
        <w:rPr>
          <w:snapToGrid w:val="0"/>
        </w:rPr>
        <w:tab/>
        <w:t>(1)</w:t>
      </w:r>
      <w:r>
        <w:rPr>
          <w:snapToGrid w:val="0"/>
        </w:rPr>
        <w:tab/>
        <w:t>Regulations made under this Act may prohibit, or impose conditions in relation to —</w:t>
      </w:r>
    </w:p>
    <w:p>
      <w:pPr>
        <w:pStyle w:val="Indenta"/>
        <w:rPr>
          <w:snapToGrid w:val="0"/>
        </w:rPr>
      </w:pPr>
      <w:r>
        <w:rPr>
          <w:snapToGrid w:val="0"/>
        </w:rPr>
        <w:tab/>
        <w:t>(a)</w:t>
      </w:r>
      <w:r>
        <w:rPr>
          <w:snapToGrid w:val="0"/>
        </w:rPr>
        <w:tab/>
        <w:t>the sale, supply, maintenance or repair of prescribed gaming equipment; and</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 and</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 and</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rPr>
          <w:snapToGrid w:val="0"/>
        </w:rPr>
      </w:pPr>
      <w:r>
        <w:rPr>
          <w:snapToGrid w:val="0"/>
        </w:rPr>
        <w:tab/>
        <w:t>(3)</w:t>
      </w:r>
      <w:r>
        <w:rPr>
          <w:snapToGrid w:val="0"/>
        </w:rPr>
        <w:tab/>
        <w:t>A person shall not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 or</w:t>
      </w:r>
    </w:p>
    <w:p>
      <w:pPr>
        <w:pStyle w:val="Indenta"/>
        <w:spacing w:before="54"/>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 or</w:t>
      </w:r>
    </w:p>
    <w:p>
      <w:pPr>
        <w:pStyle w:val="Indenta"/>
        <w:spacing w:before="54"/>
        <w:rPr>
          <w:snapToGrid w:val="0"/>
        </w:rPr>
      </w:pPr>
      <w:r>
        <w:rPr>
          <w:snapToGrid w:val="0"/>
        </w:rPr>
        <w:tab/>
        <w:t>(c)</w:t>
      </w:r>
      <w:r>
        <w:rPr>
          <w:snapToGrid w:val="0"/>
        </w:rPr>
        <w:tab/>
        <w:t>to the sale or supply of inoperable gaming equipment as scrap; or</w:t>
      </w:r>
    </w:p>
    <w:p>
      <w:pPr>
        <w:pStyle w:val="Indenta"/>
        <w:spacing w:before="54"/>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spacing w:before="120"/>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w:t>
      </w:r>
    </w:p>
    <w:p>
      <w:pPr>
        <w:pStyle w:val="Indenta"/>
        <w:spacing w:before="54"/>
        <w:rPr>
          <w:snapToGrid w:val="0"/>
        </w:rPr>
      </w:pPr>
      <w:r>
        <w:rPr>
          <w:snapToGrid w:val="0"/>
        </w:rPr>
        <w:tab/>
        <w:t>(a)</w:t>
      </w:r>
      <w:r>
        <w:rPr>
          <w:snapToGrid w:val="0"/>
        </w:rPr>
        <w:tab/>
        <w:t>in relation to the gaming equipment or gaming equipment of the kind therein specified in the circumstances so specified; or</w:t>
      </w:r>
    </w:p>
    <w:p>
      <w:pPr>
        <w:pStyle w:val="Indenta"/>
        <w:spacing w:before="54"/>
        <w:rPr>
          <w:snapToGrid w:val="0"/>
        </w:rPr>
      </w:pPr>
      <w:r>
        <w:rPr>
          <w:snapToGrid w:val="0"/>
        </w:rPr>
        <w:tab/>
        <w:t>(b)</w:t>
      </w:r>
      <w:r>
        <w:rPr>
          <w:snapToGrid w:val="0"/>
        </w:rPr>
        <w:tab/>
        <w:t>in relation to —</w:t>
      </w:r>
    </w:p>
    <w:p>
      <w:pPr>
        <w:pStyle w:val="Indenti"/>
        <w:spacing w:before="54"/>
        <w:rPr>
          <w:snapToGrid w:val="0"/>
        </w:rPr>
      </w:pPr>
      <w:r>
        <w:rPr>
          <w:snapToGrid w:val="0"/>
        </w:rPr>
        <w:tab/>
        <w:t>(i)</w:t>
      </w:r>
      <w:r>
        <w:rPr>
          <w:snapToGrid w:val="0"/>
        </w:rPr>
        <w:tab/>
        <w:t>the gaming equipment, or gaming equipment of the kind; and</w:t>
      </w:r>
    </w:p>
    <w:p>
      <w:pPr>
        <w:pStyle w:val="Indenti"/>
        <w:spacing w:before="54"/>
        <w:rPr>
          <w:snapToGrid w:val="0"/>
        </w:rPr>
      </w:pPr>
      <w:r>
        <w:rPr>
          <w:snapToGrid w:val="0"/>
        </w:rPr>
        <w:tab/>
        <w:t>(ii)</w:t>
      </w:r>
      <w:r>
        <w:rPr>
          <w:snapToGrid w:val="0"/>
        </w:rPr>
        <w:tab/>
        <w:t>the period, not being a period in excess of 5 years; and</w:t>
      </w:r>
    </w:p>
    <w:p>
      <w:pPr>
        <w:pStyle w:val="Indenti"/>
        <w:spacing w:before="54"/>
        <w:rPr>
          <w:snapToGrid w:val="0"/>
        </w:rPr>
      </w:pPr>
      <w:r>
        <w:rPr>
          <w:snapToGrid w:val="0"/>
        </w:rPr>
        <w:tab/>
        <w:t>(iii)</w:t>
      </w:r>
      <w:r>
        <w:rPr>
          <w:snapToGrid w:val="0"/>
        </w:rPr>
        <w:tab/>
        <w:t>the operations as to sale or supply, or as to maintenance of the mechanism of the respective kinds of gaming equipment,</w:t>
      </w:r>
    </w:p>
    <w:p>
      <w:pPr>
        <w:pStyle w:val="Indenta"/>
        <w:spacing w:before="54"/>
        <w:rPr>
          <w:snapToGrid w:val="0"/>
        </w:rPr>
      </w:pPr>
      <w:r>
        <w:rPr>
          <w:snapToGrid w:val="0"/>
        </w:rPr>
        <w:tab/>
      </w:r>
      <w:r>
        <w:rPr>
          <w:snapToGrid w:val="0"/>
        </w:rPr>
        <w:tab/>
        <w:t>therein specified,</w:t>
      </w:r>
    </w:p>
    <w:p>
      <w:pPr>
        <w:pStyle w:val="Subsection"/>
        <w:spacing w:before="10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94" w:name="_Toc402969439"/>
      <w:r>
        <w:rPr>
          <w:rStyle w:val="CharSectno"/>
        </w:rPr>
        <w:t>89</w:t>
      </w:r>
      <w:r>
        <w:rPr>
          <w:snapToGrid w:val="0"/>
        </w:rPr>
        <w:t>.</w:t>
      </w:r>
      <w:r>
        <w:rPr>
          <w:snapToGrid w:val="0"/>
        </w:rPr>
        <w:tab/>
        <w:t>Prescribed gaming equipment, sale etc. of</w:t>
      </w:r>
      <w:bookmarkEnd w:id="94"/>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Heading5"/>
        <w:rPr>
          <w:snapToGrid w:val="0"/>
        </w:rPr>
      </w:pPr>
      <w:bookmarkStart w:id="95" w:name="_Toc402969440"/>
      <w:r>
        <w:rPr>
          <w:rStyle w:val="CharSectno"/>
        </w:rPr>
        <w:t>90</w:t>
      </w:r>
      <w:r>
        <w:rPr>
          <w:snapToGrid w:val="0"/>
        </w:rPr>
        <w:t>.</w:t>
      </w:r>
      <w:r>
        <w:rPr>
          <w:snapToGrid w:val="0"/>
        </w:rPr>
        <w:tab/>
        <w:t>Application of s. 88 and 89 to concessionaires</w:t>
      </w:r>
      <w:bookmarkEnd w:id="95"/>
    </w:p>
    <w:p>
      <w:pPr>
        <w:pStyle w:val="Subsection"/>
        <w:spacing w:before="12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keepNext w:val="0"/>
        <w:keepLines w:val="0"/>
        <w:rPr>
          <w:snapToGrid w:val="0"/>
        </w:rPr>
      </w:pPr>
      <w:bookmarkStart w:id="96" w:name="_Toc402969441"/>
      <w:r>
        <w:rPr>
          <w:rStyle w:val="CharSectno"/>
        </w:rPr>
        <w:t>91</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gaming, restrictions on certain people in relation to</w:t>
      </w:r>
      <w:bookmarkEnd w:id="96"/>
    </w:p>
    <w:p>
      <w:pPr>
        <w:pStyle w:val="Subsection"/>
        <w:spacing w:before="120"/>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Subsection (1) applies to any operation which is performed in relation to the permitted gaming and consists of —</w:t>
      </w:r>
    </w:p>
    <w:p>
      <w:pPr>
        <w:pStyle w:val="Indenta"/>
        <w:spacing w:before="60"/>
        <w:rPr>
          <w:snapToGrid w:val="0"/>
        </w:rPr>
      </w:pPr>
      <w:r>
        <w:rPr>
          <w:snapToGrid w:val="0"/>
        </w:rPr>
        <w:tab/>
        <w:t>(a)</w:t>
      </w:r>
      <w:r>
        <w:rPr>
          <w:snapToGrid w:val="0"/>
        </w:rPr>
        <w:tab/>
        <w:t>taking part in the gaming as a participant; or</w:t>
      </w:r>
    </w:p>
    <w:p>
      <w:pPr>
        <w:pStyle w:val="Indenta"/>
        <w:spacing w:before="60"/>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 or</w:t>
      </w:r>
    </w:p>
    <w:p>
      <w:pPr>
        <w:pStyle w:val="Indenta"/>
        <w:spacing w:before="60"/>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spacing w:before="60"/>
        <w:rPr>
          <w:snapToGrid w:val="0"/>
        </w:rPr>
      </w:pPr>
      <w:r>
        <w:rPr>
          <w:snapToGrid w:val="0"/>
        </w:rPr>
        <w:tab/>
        <w:t>(d)</w:t>
      </w:r>
      <w:r>
        <w:rPr>
          <w:snapToGrid w:val="0"/>
        </w:rPr>
        <w:tab/>
        <w:t>watching, otherwise than as manager, organiser or supervisor —</w:t>
      </w:r>
    </w:p>
    <w:p>
      <w:pPr>
        <w:pStyle w:val="Indenti"/>
        <w:spacing w:before="60"/>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spacing w:before="140"/>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spacing w:before="140"/>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spacing w:before="140"/>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97" w:name="_Toc402969442"/>
      <w:r>
        <w:rPr>
          <w:rStyle w:val="CharSectno"/>
        </w:rPr>
        <w:t>92</w:t>
      </w:r>
      <w:r>
        <w:rPr>
          <w:snapToGrid w:val="0"/>
        </w:rPr>
        <w:t>.</w:t>
      </w:r>
      <w:r>
        <w:rPr>
          <w:snapToGrid w:val="0"/>
        </w:rPr>
        <w:tab/>
        <w:t>Certificates for s. 91</w:t>
      </w:r>
      <w:bookmarkEnd w:id="97"/>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w:t>
      </w:r>
    </w:p>
    <w:p>
      <w:pPr>
        <w:pStyle w:val="Indenta"/>
        <w:spacing w:before="10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spacing w:before="100"/>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w:t>
      </w:r>
    </w:p>
    <w:p>
      <w:pPr>
        <w:pStyle w:val="Indenta"/>
        <w:spacing w:before="100"/>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98" w:name="_Toc402969443"/>
      <w:r>
        <w:rPr>
          <w:rStyle w:val="CharSectno"/>
        </w:rPr>
        <w:t>93</w:t>
      </w:r>
      <w:r>
        <w:rPr>
          <w:snapToGrid w:val="0"/>
        </w:rPr>
        <w:t>.</w:t>
      </w:r>
      <w:r>
        <w:rPr>
          <w:snapToGrid w:val="0"/>
        </w:rPr>
        <w:tab/>
        <w:t>Offences in relation to s. 91</w:t>
      </w:r>
      <w:bookmarkEnd w:id="98"/>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w:t>
      </w:r>
    </w:p>
    <w:p>
      <w:pPr>
        <w:pStyle w:val="Indenta"/>
        <w:rPr>
          <w:snapToGrid w:val="0"/>
        </w:rPr>
      </w:pPr>
      <w:r>
        <w:rPr>
          <w:snapToGrid w:val="0"/>
        </w:rPr>
        <w:tab/>
        <w:t>(a)</w:t>
      </w:r>
      <w:r>
        <w:rPr>
          <w:snapToGrid w:val="0"/>
        </w:rPr>
        <w:tab/>
        <w:t>the holder of the permit relating to that gaming; and</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pPr>
      <w:bookmarkStart w:id="99" w:name="_Toc402969444"/>
      <w:r>
        <w:rPr>
          <w:rStyle w:val="CharDivNo"/>
        </w:rPr>
        <w:t>Division 6</w:t>
      </w:r>
      <w:r>
        <w:rPr>
          <w:snapToGrid w:val="0"/>
        </w:rPr>
        <w:t> — </w:t>
      </w:r>
      <w:r>
        <w:rPr>
          <w:rStyle w:val="CharDivText"/>
        </w:rPr>
        <w:t>Permitted bingo</w:t>
      </w:r>
      <w:bookmarkEnd w:id="99"/>
    </w:p>
    <w:p>
      <w:pPr>
        <w:pStyle w:val="Heading5"/>
        <w:rPr>
          <w:snapToGrid w:val="0"/>
        </w:rPr>
      </w:pPr>
      <w:bookmarkStart w:id="100" w:name="_Toc402969445"/>
      <w:r>
        <w:rPr>
          <w:rStyle w:val="CharSectno"/>
        </w:rPr>
        <w:t>94</w:t>
      </w:r>
      <w:r>
        <w:rPr>
          <w:snapToGrid w:val="0"/>
        </w:rPr>
        <w:t>.</w:t>
      </w:r>
      <w:r>
        <w:rPr>
          <w:snapToGrid w:val="0"/>
        </w:rPr>
        <w:tab/>
        <w:t>Terms used</w:t>
      </w:r>
      <w:bookmarkEnd w:id="100"/>
    </w:p>
    <w:p>
      <w:pPr>
        <w:pStyle w:val="Subsection"/>
        <w:keepNext/>
        <w:rPr>
          <w:snapToGrid w:val="0"/>
        </w:rPr>
      </w:pPr>
      <w:r>
        <w:rPr>
          <w:snapToGrid w:val="0"/>
        </w:rPr>
        <w:tab/>
        <w:t>(1)</w:t>
      </w:r>
      <w:r>
        <w:rPr>
          <w:snapToGrid w:val="0"/>
        </w:rPr>
        <w:tab/>
        <w:t>In this Division, unless the contrary intention appears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promoter</w:t>
      </w:r>
      <w:r>
        <w:t>, in relation to bingo, means the person to whom the players look for the payment of prizes;</w:t>
      </w:r>
    </w:p>
    <w:p>
      <w:pPr>
        <w:pStyle w:val="Defstart"/>
      </w:pPr>
      <w:r>
        <w:rPr>
          <w:b/>
        </w:rPr>
        <w:tab/>
      </w:r>
      <w:r>
        <w:rPr>
          <w:rStyle w:val="CharDefText"/>
        </w:rPr>
        <w:t>simultaneous bingo</w:t>
      </w:r>
      <w:r>
        <w:t xml:space="preserve"> means bingo to which section 97 refers.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101" w:name="_Toc402969446"/>
      <w:r>
        <w:rPr>
          <w:rStyle w:val="CharSectno"/>
        </w:rPr>
        <w:t>95</w:t>
      </w:r>
      <w:r>
        <w:rPr>
          <w:snapToGrid w:val="0"/>
        </w:rPr>
        <w:t>.</w:t>
      </w:r>
      <w:r>
        <w:rPr>
          <w:snapToGrid w:val="0"/>
        </w:rPr>
        <w:tab/>
        <w:t>Permits to conduct bingo; who may play permitted bingo</w:t>
      </w:r>
      <w:bookmarkEnd w:id="101"/>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 or</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w:t>
      </w:r>
    </w:p>
    <w:p>
      <w:pPr>
        <w:pStyle w:val="Indenta"/>
        <w:spacing w:before="100"/>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spacing w:before="100"/>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102" w:name="_Toc402969447"/>
      <w:r>
        <w:rPr>
          <w:rStyle w:val="CharSectno"/>
        </w:rPr>
        <w:t>96</w:t>
      </w:r>
      <w:r>
        <w:rPr>
          <w:snapToGrid w:val="0"/>
        </w:rPr>
        <w:t>.</w:t>
      </w:r>
      <w:r>
        <w:rPr>
          <w:snapToGrid w:val="0"/>
        </w:rPr>
        <w:tab/>
        <w:t>Multiple bingo</w:t>
      </w:r>
      <w:bookmarkEnd w:id="102"/>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w:t>
      </w:r>
    </w:p>
    <w:p>
      <w:pPr>
        <w:pStyle w:val="Indenta"/>
        <w:spacing w:before="100"/>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 and</w:t>
      </w:r>
    </w:p>
    <w:p>
      <w:pPr>
        <w:pStyle w:val="Indenta"/>
        <w:spacing w:before="100"/>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keepNext/>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w:t>
      </w:r>
    </w:p>
    <w:p>
      <w:pPr>
        <w:pStyle w:val="Defstart"/>
      </w:pPr>
      <w:r>
        <w:rPr>
          <w:b/>
        </w:rPr>
        <w:tab/>
      </w:r>
      <w:r>
        <w:rPr>
          <w:rStyle w:val="CharDefText"/>
        </w:rPr>
        <w:t>multiple bingo</w:t>
      </w:r>
      <w:r>
        <w:t xml:space="preserve"> means a game of bingo played jointly on different bingo club premises in circumstances where —</w:t>
      </w:r>
    </w:p>
    <w:p>
      <w:pPr>
        <w:pStyle w:val="Defpara"/>
      </w:pPr>
      <w:r>
        <w:tab/>
        <w:t>(a)</w:t>
      </w:r>
      <w:r>
        <w:tab/>
        <w:t>the draw is determined before the beginning of the game by the organiser of the game and announced on each of those premises while the game is being played there; and</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103" w:name="_Toc402969448"/>
      <w:r>
        <w:rPr>
          <w:rStyle w:val="CharSectno"/>
        </w:rPr>
        <w:t>97</w:t>
      </w:r>
      <w:r>
        <w:rPr>
          <w:snapToGrid w:val="0"/>
        </w:rPr>
        <w:t>.</w:t>
      </w:r>
      <w:r>
        <w:rPr>
          <w:snapToGrid w:val="0"/>
        </w:rPr>
        <w:tab/>
        <w:t>Simultaneous bingo</w:t>
      </w:r>
      <w:bookmarkEnd w:id="103"/>
    </w:p>
    <w:p>
      <w:pPr>
        <w:pStyle w:val="Subsection"/>
        <w:rPr>
          <w:snapToGrid w:val="0"/>
        </w:rPr>
      </w:pPr>
      <w:r>
        <w:rPr>
          <w:snapToGrid w:val="0"/>
        </w:rPr>
        <w:tab/>
        <w:t>(1)</w:t>
      </w:r>
      <w:r>
        <w:rPr>
          <w:snapToGrid w:val="0"/>
        </w:rPr>
        <w:tab/>
        <w:t>Where a game of bingo is played simultaneously on different premises in circumstances where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 and</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 and</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104" w:name="_Toc402969449"/>
      <w:r>
        <w:rPr>
          <w:rStyle w:val="CharSectno"/>
        </w:rPr>
        <w:t>98</w:t>
      </w:r>
      <w:r>
        <w:rPr>
          <w:snapToGrid w:val="0"/>
        </w:rPr>
        <w:t>.</w:t>
      </w:r>
      <w:r>
        <w:rPr>
          <w:snapToGrid w:val="0"/>
        </w:rPr>
        <w:tab/>
        <w:t>Conduct of bingo</w:t>
      </w:r>
      <w:bookmarkEnd w:id="104"/>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 or</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105" w:name="_Toc402969450"/>
      <w:r>
        <w:rPr>
          <w:rStyle w:val="CharSectno"/>
        </w:rPr>
        <w:t>99</w:t>
      </w:r>
      <w:r>
        <w:rPr>
          <w:snapToGrid w:val="0"/>
        </w:rPr>
        <w:t>.</w:t>
      </w:r>
      <w:r>
        <w:rPr>
          <w:snapToGrid w:val="0"/>
        </w:rPr>
        <w:tab/>
        <w:t>Recovering moneys payable to Commission for bingo</w:t>
      </w:r>
      <w:bookmarkEnd w:id="105"/>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w:t>
      </w:r>
    </w:p>
    <w:p>
      <w:pPr>
        <w:pStyle w:val="Indenta"/>
        <w:rPr>
          <w:snapToGrid w:val="0"/>
        </w:rPr>
      </w:pPr>
      <w:r>
        <w:rPr>
          <w:snapToGrid w:val="0"/>
        </w:rPr>
        <w:tab/>
        <w:t>(a)</w:t>
      </w:r>
      <w:r>
        <w:rPr>
          <w:snapToGrid w:val="0"/>
        </w:rPr>
        <w:tab/>
        <w:t>the permit holder; and</w:t>
      </w:r>
    </w:p>
    <w:p>
      <w:pPr>
        <w:pStyle w:val="Indenta"/>
        <w:rPr>
          <w:snapToGrid w:val="0"/>
        </w:rPr>
      </w:pPr>
      <w:r>
        <w:rPr>
          <w:snapToGrid w:val="0"/>
        </w:rPr>
        <w:tab/>
        <w:t>(b)</w:t>
      </w:r>
      <w:r>
        <w:rPr>
          <w:snapToGrid w:val="0"/>
        </w:rPr>
        <w:tab/>
        <w:t>the promoter, and any person who took money as payment by players for cards or paid prizes to players; and</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106" w:name="_Toc402969451"/>
      <w:r>
        <w:rPr>
          <w:rStyle w:val="CharSectno"/>
        </w:rPr>
        <w:t>100</w:t>
      </w:r>
      <w:r>
        <w:rPr>
          <w:snapToGrid w:val="0"/>
        </w:rPr>
        <w:t>.</w:t>
      </w:r>
      <w:r>
        <w:rPr>
          <w:snapToGrid w:val="0"/>
        </w:rPr>
        <w:tab/>
        <w:t>Regulations as to bingo</w:t>
      </w:r>
      <w:bookmarkEnd w:id="106"/>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w:t>
      </w:r>
    </w:p>
    <w:p>
      <w:pPr>
        <w:pStyle w:val="Indenta"/>
        <w:rPr>
          <w:snapToGrid w:val="0"/>
        </w:rPr>
      </w:pPr>
      <w:r>
        <w:rPr>
          <w:snapToGrid w:val="0"/>
        </w:rPr>
        <w:tab/>
        <w:t>(a)</w:t>
      </w:r>
      <w:r>
        <w:rPr>
          <w:snapToGrid w:val="0"/>
        </w:rPr>
        <w:tab/>
        <w:t>the number of games that may be played on any premises in any period of 24 hours; and</w:t>
      </w:r>
    </w:p>
    <w:p>
      <w:pPr>
        <w:pStyle w:val="Indenta"/>
        <w:rPr>
          <w:snapToGrid w:val="0"/>
        </w:rPr>
      </w:pPr>
      <w:r>
        <w:rPr>
          <w:snapToGrid w:val="0"/>
        </w:rPr>
        <w:tab/>
        <w:t>(b)</w:t>
      </w:r>
      <w:r>
        <w:rPr>
          <w:snapToGrid w:val="0"/>
        </w:rPr>
        <w:tab/>
        <w:t>the period for the playing of a game; and</w:t>
      </w:r>
    </w:p>
    <w:p>
      <w:pPr>
        <w:pStyle w:val="Indenta"/>
        <w:rPr>
          <w:snapToGrid w:val="0"/>
        </w:rPr>
      </w:pPr>
      <w:r>
        <w:rPr>
          <w:snapToGrid w:val="0"/>
        </w:rPr>
        <w:tab/>
        <w:t>(c)</w:t>
      </w:r>
      <w:r>
        <w:rPr>
          <w:snapToGrid w:val="0"/>
        </w:rPr>
        <w:tab/>
        <w:t>the hours during which gaming is permitted to take place; and</w:t>
      </w:r>
    </w:p>
    <w:p>
      <w:pPr>
        <w:pStyle w:val="Indenta"/>
        <w:rPr>
          <w:snapToGrid w:val="0"/>
        </w:rPr>
      </w:pPr>
      <w:r>
        <w:rPr>
          <w:snapToGrid w:val="0"/>
        </w:rPr>
        <w:tab/>
        <w:t>(d)</w:t>
      </w:r>
      <w:r>
        <w:rPr>
          <w:snapToGrid w:val="0"/>
        </w:rPr>
        <w:tab/>
        <w:t>the amount of the stakes; and</w:t>
      </w:r>
    </w:p>
    <w:p>
      <w:pPr>
        <w:pStyle w:val="Indenta"/>
        <w:rPr>
          <w:snapToGrid w:val="0"/>
        </w:rPr>
      </w:pPr>
      <w:r>
        <w:rPr>
          <w:snapToGrid w:val="0"/>
        </w:rPr>
        <w:tab/>
        <w:t>(e)</w:t>
      </w:r>
      <w:r>
        <w:rPr>
          <w:snapToGrid w:val="0"/>
        </w:rPr>
        <w:tab/>
        <w:t>the method of calculating the value or amount of the prizes; and</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 and</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 and</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 and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 and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 and</w:t>
      </w:r>
    </w:p>
    <w:p>
      <w:pPr>
        <w:pStyle w:val="Indenta"/>
        <w:rPr>
          <w:snapToGrid w:val="0"/>
        </w:rPr>
      </w:pPr>
      <w:r>
        <w:rPr>
          <w:snapToGrid w:val="0"/>
        </w:rPr>
        <w:tab/>
        <w:t>(l)</w:t>
      </w:r>
      <w:r>
        <w:rPr>
          <w:snapToGrid w:val="0"/>
        </w:rPr>
        <w:tab/>
        <w:t>authorising the Commission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 and</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 and</w:t>
      </w:r>
    </w:p>
    <w:p>
      <w:pPr>
        <w:pStyle w:val="Indenta"/>
        <w:rPr>
          <w:snapToGrid w:val="0"/>
        </w:rPr>
      </w:pPr>
      <w:r>
        <w:rPr>
          <w:snapToGrid w:val="0"/>
        </w:rPr>
        <w:tab/>
        <w:t>(n)</w:t>
      </w:r>
      <w:r>
        <w:rPr>
          <w:snapToGrid w:val="0"/>
        </w:rPr>
        <w:tab/>
        <w:t>the printing, sale, use and call back of cards; and</w:t>
      </w:r>
    </w:p>
    <w:p>
      <w:pPr>
        <w:pStyle w:val="Indenta"/>
        <w:keepNext/>
        <w:rPr>
          <w:snapToGrid w:val="0"/>
        </w:rPr>
      </w:pPr>
      <w:r>
        <w:rPr>
          <w:snapToGrid w:val="0"/>
        </w:rPr>
        <w:tab/>
        <w:t>(na)</w:t>
      </w:r>
      <w:r>
        <w:rPr>
          <w:snapToGrid w:val="0"/>
        </w:rPr>
        <w:tab/>
        <w:t>the persons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pPr>
      <w:bookmarkStart w:id="107" w:name="_Toc402969452"/>
      <w:r>
        <w:rPr>
          <w:rStyle w:val="CharDivNo"/>
        </w:rPr>
        <w:t>Division 7</w:t>
      </w:r>
      <w:r>
        <w:rPr>
          <w:snapToGrid w:val="0"/>
        </w:rPr>
        <w:t> — </w:t>
      </w:r>
      <w:r>
        <w:rPr>
          <w:rStyle w:val="CharDivText"/>
        </w:rPr>
        <w:t>Lotteries, and amusements with prizes etc.</w:t>
      </w:r>
      <w:bookmarkEnd w:id="107"/>
    </w:p>
    <w:p>
      <w:pPr>
        <w:pStyle w:val="Heading5"/>
        <w:rPr>
          <w:snapToGrid w:val="0"/>
        </w:rPr>
      </w:pPr>
      <w:bookmarkStart w:id="108" w:name="_Toc402969453"/>
      <w:r>
        <w:rPr>
          <w:rStyle w:val="CharSectno"/>
        </w:rPr>
        <w:t>101</w:t>
      </w:r>
      <w:r>
        <w:rPr>
          <w:snapToGrid w:val="0"/>
        </w:rPr>
        <w:t>.</w:t>
      </w:r>
      <w:r>
        <w:rPr>
          <w:snapToGrid w:val="0"/>
        </w:rPr>
        <w:tab/>
        <w:t>Terms used</w:t>
      </w:r>
      <w:bookmarkEnd w:id="108"/>
    </w:p>
    <w:p>
      <w:pPr>
        <w:pStyle w:val="Subsection"/>
        <w:rPr>
          <w:snapToGrid w:val="0"/>
        </w:rPr>
      </w:pPr>
      <w:r>
        <w:rPr>
          <w:snapToGrid w:val="0"/>
        </w:rPr>
        <w:tab/>
        <w:t>(1)</w:t>
      </w:r>
      <w:r>
        <w:rPr>
          <w:snapToGrid w:val="0"/>
        </w:rPr>
        <w:tab/>
        <w:t>In this Division —</w:t>
      </w:r>
    </w:p>
    <w:p>
      <w:pPr>
        <w:pStyle w:val="Defstart"/>
        <w:spacing w:before="100"/>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spacing w:before="100"/>
      </w:pPr>
      <w:r>
        <w:rPr>
          <w:b/>
        </w:rPr>
        <w:tab/>
      </w:r>
      <w:r>
        <w:rPr>
          <w:rStyle w:val="CharDefText"/>
        </w:rPr>
        <w:t>closing date</w:t>
      </w:r>
      <w:r>
        <w:t>, in relation to a standard lottery, means the last date on which tickets may be sold or subscriptions received from entrants to the standard lottery;</w:t>
      </w:r>
    </w:p>
    <w:p>
      <w:pPr>
        <w:pStyle w:val="Defstart"/>
        <w:spacing w:before="100"/>
      </w:pPr>
      <w:r>
        <w:rPr>
          <w:b/>
        </w:rPr>
        <w:tab/>
      </w:r>
      <w:r>
        <w:rPr>
          <w:rStyle w:val="CharDefText"/>
        </w:rPr>
        <w:t>conducting</w:t>
      </w:r>
      <w:r>
        <w:t>, in relation to an unlawful lottery, includes any matter referred to in section 106(2);</w:t>
      </w:r>
    </w:p>
    <w:p>
      <w:pPr>
        <w:pStyle w:val="Defstart"/>
        <w:spacing w:before="100"/>
      </w:pPr>
      <w:r>
        <w:rPr>
          <w:b/>
        </w:rPr>
        <w:tab/>
      </w:r>
      <w:r>
        <w:rPr>
          <w:rStyle w:val="CharDefText"/>
        </w:rPr>
        <w:t>continuing lottery</w:t>
      </w:r>
      <w:r>
        <w:t xml:space="preserve"> means a continuing lottery within the meaning of subsection (2);</w:t>
      </w:r>
    </w:p>
    <w:p>
      <w:pPr>
        <w:pStyle w:val="Defstart"/>
        <w:spacing w:before="100"/>
      </w:pPr>
      <w:r>
        <w:rPr>
          <w:b/>
        </w:rPr>
        <w:tab/>
      </w:r>
      <w:r>
        <w:rPr>
          <w:rStyle w:val="CharDefText"/>
        </w:rPr>
        <w:t>date of drawing</w:t>
      </w:r>
      <w:r>
        <w:t>, in relation to a standard lottery, means the date fixed for the drawing of, or deciding the result of the standard lottery;</w:t>
      </w:r>
    </w:p>
    <w:p>
      <w:pPr>
        <w:pStyle w:val="Defstart"/>
        <w:spacing w:before="100"/>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spacing w:before="100"/>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spacing w:before="100"/>
      </w:pPr>
      <w:r>
        <w:rPr>
          <w:b/>
        </w:rPr>
        <w:tab/>
      </w:r>
      <w:r>
        <w:rPr>
          <w:rStyle w:val="CharDefText"/>
        </w:rPr>
        <w:t>foreign lottery</w:t>
      </w:r>
      <w:r>
        <w:t xml:space="preserve"> means a lottery which is conducted, drawn or decided wholly or partly outside the State, notwithstanding that the same may be legal according to the law of the place where it is conducted, drawn, or decided;</w:t>
      </w:r>
    </w:p>
    <w:p>
      <w:pPr>
        <w:pStyle w:val="Defstart"/>
        <w:spacing w:before="100"/>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spacing w:before="100"/>
      </w:pPr>
      <w:r>
        <w:rPr>
          <w:b/>
        </w:rPr>
        <w:tab/>
      </w:r>
      <w:r>
        <w:rPr>
          <w:rStyle w:val="CharDefText"/>
        </w:rPr>
        <w:t>quarter</w:t>
      </w:r>
      <w:r>
        <w:t xml:space="preserve"> means a period of 3 months commencing on 1 July, 1 October, 1 January or 1 April;</w:t>
      </w:r>
    </w:p>
    <w:p>
      <w:pPr>
        <w:pStyle w:val="Defstart"/>
        <w:keepNex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[Section 101 amended by No. 16 of 1990 s. 33; No. 6 of 2000 s. 12; No. 45 of 2002 s. 13.]</w:t>
      </w:r>
    </w:p>
    <w:p>
      <w:pPr>
        <w:pStyle w:val="Heading5"/>
        <w:rPr>
          <w:snapToGrid w:val="0"/>
        </w:rPr>
      </w:pPr>
      <w:bookmarkStart w:id="109" w:name="_Toc402969454"/>
      <w:r>
        <w:rPr>
          <w:rStyle w:val="CharSectno"/>
        </w:rPr>
        <w:t>102</w:t>
      </w:r>
      <w:r>
        <w:rPr>
          <w:snapToGrid w:val="0"/>
        </w:rPr>
        <w:t>.</w:t>
      </w:r>
      <w:r>
        <w:rPr>
          <w:snapToGrid w:val="0"/>
        </w:rPr>
        <w:tab/>
        <w:t>Certain lotteries unlawful</w:t>
      </w:r>
      <w:bookmarkEnd w:id="109"/>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[Section 102 amended by No. 16 of 1990 s. 33; No. 24 of 1998 s. 61(1); No. 26 of 1998 s. 23; No. 6 of 2000 s. 13; No. 35 of 2003 s. 157.]</w:t>
      </w:r>
    </w:p>
    <w:p>
      <w:pPr>
        <w:pStyle w:val="Heading5"/>
        <w:rPr>
          <w:snapToGrid w:val="0"/>
        </w:rPr>
      </w:pPr>
      <w:bookmarkStart w:id="110" w:name="_Toc402969455"/>
      <w:r>
        <w:rPr>
          <w:rStyle w:val="CharSectno"/>
        </w:rPr>
        <w:t>103</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lotteries (deemed)</w:t>
      </w:r>
      <w:bookmarkEnd w:id="110"/>
    </w:p>
    <w:p>
      <w:pPr>
        <w:pStyle w:val="Subsection"/>
        <w:rPr>
          <w:snapToGrid w:val="0"/>
        </w:rPr>
      </w:pPr>
      <w:r>
        <w:rPr>
          <w:snapToGrid w:val="0"/>
        </w:rPr>
        <w:tab/>
        <w:t>(1)</w:t>
      </w:r>
      <w:r>
        <w:rPr>
          <w:snapToGrid w:val="0"/>
        </w:rPr>
        <w:tab/>
        <w:t>A lottery in which —</w:t>
      </w:r>
    </w:p>
    <w:p>
      <w:pPr>
        <w:pStyle w:val="Indenta"/>
        <w:rPr>
          <w:snapToGrid w:val="0"/>
        </w:rPr>
      </w:pPr>
      <w:r>
        <w:rPr>
          <w:snapToGrid w:val="0"/>
        </w:rPr>
        <w:tab/>
        <w:t>(a)</w:t>
      </w:r>
      <w:r>
        <w:rPr>
          <w:snapToGrid w:val="0"/>
        </w:rPr>
        <w:tab/>
        <w:t>tickets or chances are sold to or subscriptions received from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 and</w:t>
      </w:r>
    </w:p>
    <w:p>
      <w:pPr>
        <w:pStyle w:val="Indenta"/>
        <w:rPr>
          <w:snapToGrid w:val="0"/>
        </w:rPr>
      </w:pPr>
      <w:r>
        <w:rPr>
          <w:snapToGrid w:val="0"/>
        </w:rPr>
        <w:tab/>
        <w:t>(b)</w:t>
      </w:r>
      <w:r>
        <w:rPr>
          <w:snapToGrid w:val="0"/>
        </w:rPr>
        <w:tab/>
        <w:t>the price of every ticket, chance or subscription is the same; and</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 and</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keepNext/>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w:t>
      </w:r>
    </w:p>
    <w:p>
      <w:pPr>
        <w:pStyle w:val="Indenta"/>
        <w:rPr>
          <w:snapToGrid w:val="0"/>
        </w:rPr>
      </w:pPr>
      <w:r>
        <w:rPr>
          <w:snapToGrid w:val="0"/>
        </w:rPr>
        <w:tab/>
        <w:t>(a)</w:t>
      </w:r>
      <w:r>
        <w:rPr>
          <w:snapToGrid w:val="0"/>
        </w:rPr>
        <w:tab/>
        <w:t>the tickets are alphabetically and numerically distinct but the same price; and</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 and</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111" w:name="_Toc402969456"/>
      <w:r>
        <w:rPr>
          <w:rStyle w:val="CharSectno"/>
        </w:rPr>
        <w:t>104</w:t>
      </w:r>
      <w:r>
        <w:rPr>
          <w:snapToGrid w:val="0"/>
        </w:rPr>
        <w:t>.</w:t>
      </w:r>
      <w:r>
        <w:rPr>
          <w:snapToGrid w:val="0"/>
        </w:rPr>
        <w:tab/>
        <w:t>Permits for lotteries; duties of holders of permit for standard lottery</w:t>
      </w:r>
      <w:bookmarkEnd w:id="111"/>
    </w:p>
    <w:p>
      <w:pPr>
        <w:pStyle w:val="Subsection"/>
        <w:rPr>
          <w:snapToGrid w:val="0"/>
        </w:rPr>
      </w:pPr>
      <w:r>
        <w:rPr>
          <w:snapToGrid w:val="0"/>
        </w:rPr>
        <w:tab/>
        <w:t>(1)</w:t>
      </w:r>
      <w:r>
        <w:rPr>
          <w:snapToGrid w:val="0"/>
        </w:rPr>
        <w:tab/>
        <w:t>A permit authorising the conduct of a lottery may be issued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 xml:space="preserve">A permit for a standard lottery of the kind generally known or described as a </w:t>
      </w:r>
      <w:smartTag w:uri="urn:schemas-microsoft-com:office:smarttags" w:element="place">
        <w:smartTag w:uri="urn:schemas-microsoft-com:office:smarttags" w:element="City">
          <w:r>
            <w:rPr>
              <w:snapToGrid w:val="0"/>
            </w:rPr>
            <w:t>calcutta</w:t>
          </w:r>
        </w:smartTag>
      </w:smartTag>
      <w:r>
        <w:rPr>
          <w:snapToGrid w:val="0"/>
        </w:rPr>
        <w:t xml:space="preserve">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w:t>
      </w:r>
    </w:p>
    <w:p>
      <w:pPr>
        <w:pStyle w:val="Indenta"/>
        <w:rPr>
          <w:snapToGrid w:val="0"/>
        </w:rPr>
      </w:pPr>
      <w:r>
        <w:rPr>
          <w:snapToGrid w:val="0"/>
        </w:rPr>
        <w:tab/>
        <w:t>(a)</w:t>
      </w:r>
      <w:r>
        <w:rPr>
          <w:snapToGrid w:val="0"/>
        </w:rPr>
        <w:tab/>
        <w:t>the proposed opening date and closing date and date of drawing; and</w:t>
      </w:r>
    </w:p>
    <w:p>
      <w:pPr>
        <w:pStyle w:val="Indenta"/>
        <w:rPr>
          <w:snapToGrid w:val="0"/>
        </w:rPr>
      </w:pPr>
      <w:r>
        <w:rPr>
          <w:snapToGrid w:val="0"/>
        </w:rPr>
        <w:tab/>
        <w:t>(b)</w:t>
      </w:r>
      <w:r>
        <w:rPr>
          <w:snapToGrid w:val="0"/>
        </w:rPr>
        <w:tab/>
        <w:t>the locality in which tickets or chances are to be offered for sale or in which subscriptions may be received; and</w:t>
      </w:r>
    </w:p>
    <w:p>
      <w:pPr>
        <w:pStyle w:val="Indenta"/>
        <w:rPr>
          <w:snapToGrid w:val="0"/>
        </w:rPr>
      </w:pPr>
      <w:r>
        <w:rPr>
          <w:snapToGrid w:val="0"/>
        </w:rPr>
        <w:tab/>
        <w:t>(c)</w:t>
      </w:r>
      <w:r>
        <w:rPr>
          <w:snapToGrid w:val="0"/>
        </w:rPr>
        <w:tab/>
        <w:t>the purpose for which the standard lottery is to be conducted; and</w:t>
      </w:r>
    </w:p>
    <w:p>
      <w:pPr>
        <w:pStyle w:val="Indenta"/>
        <w:rPr>
          <w:snapToGrid w:val="0"/>
        </w:rPr>
      </w:pPr>
      <w:r>
        <w:rPr>
          <w:snapToGrid w:val="0"/>
        </w:rPr>
        <w:tab/>
        <w:t>(d)</w:t>
      </w:r>
      <w:r>
        <w:rPr>
          <w:snapToGrid w:val="0"/>
        </w:rPr>
        <w:tab/>
        <w:t>the total number of tickets or chances to be offered for sale, or the total number of subscriptions proposed to be called for; and</w:t>
      </w:r>
    </w:p>
    <w:p>
      <w:pPr>
        <w:pStyle w:val="Indenta"/>
        <w:rPr>
          <w:snapToGrid w:val="0"/>
        </w:rPr>
      </w:pPr>
      <w:r>
        <w:rPr>
          <w:snapToGrid w:val="0"/>
        </w:rPr>
        <w:tab/>
        <w:t>(e)</w:t>
      </w:r>
      <w:r>
        <w:rPr>
          <w:snapToGrid w:val="0"/>
        </w:rPr>
        <w:tab/>
        <w:t>the price of each ticket, chance or subscription; and</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keepNext/>
        <w:rPr>
          <w:snapToGrid w:val="0"/>
        </w:rPr>
      </w:pPr>
      <w:r>
        <w:rPr>
          <w:snapToGrid w:val="0"/>
        </w:rPr>
        <w:tab/>
        <w:t>(3)</w:t>
      </w:r>
      <w:r>
        <w:rPr>
          <w:snapToGrid w:val="0"/>
        </w:rPr>
        <w:tab/>
        <w:t>With respect to a standard lottery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 and</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 and</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 and</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 and</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 and</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 and</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 and</w:t>
      </w:r>
    </w:p>
    <w:p>
      <w:pPr>
        <w:pStyle w:val="Indenta"/>
        <w:rPr>
          <w:snapToGrid w:val="0"/>
        </w:rPr>
      </w:pPr>
      <w:r>
        <w:rPr>
          <w:snapToGrid w:val="0"/>
        </w:rPr>
        <w:tab/>
        <w:t>(f)</w:t>
      </w:r>
      <w:r>
        <w:rPr>
          <w:snapToGrid w:val="0"/>
        </w:rPr>
        <w:tab/>
        <w:t>unless paragraph (e) applies, the closing date shall be not more than 3 months from the opening date; and</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 and</w:t>
      </w:r>
    </w:p>
    <w:p>
      <w:pPr>
        <w:pStyle w:val="Indenta"/>
        <w:rPr>
          <w:snapToGrid w:val="0"/>
        </w:rPr>
      </w:pPr>
      <w:r>
        <w:rPr>
          <w:snapToGrid w:val="0"/>
        </w:rPr>
        <w:tab/>
        <w:t>(h)</w:t>
      </w:r>
      <w:r>
        <w:rPr>
          <w:snapToGrid w:val="0"/>
        </w:rPr>
        <w:tab/>
        <w:t>the price of every ticket, chance or subscription shall be the same, and shall be stated on the ticket; and</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112" w:name="_Toc402969457"/>
      <w:r>
        <w:rPr>
          <w:rStyle w:val="CharSectno"/>
        </w:rPr>
        <w:t>104A</w:t>
      </w:r>
      <w:r>
        <w:t>.</w:t>
      </w:r>
      <w:r>
        <w:tab/>
        <w:t>Commission not liable for unpaid lottery prizes</w:t>
      </w:r>
      <w:bookmarkEnd w:id="112"/>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113" w:name="_Toc402969458"/>
      <w:r>
        <w:rPr>
          <w:rStyle w:val="CharSectno"/>
        </w:rPr>
        <w:t>104B</w:t>
      </w:r>
      <w:r>
        <w:t>.</w:t>
      </w:r>
      <w:r>
        <w:tab/>
        <w:t>Licensing of suppliers of lottery tickets</w:t>
      </w:r>
      <w:bookmarkEnd w:id="113"/>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 or</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 or</w:t>
      </w:r>
    </w:p>
    <w:p>
      <w:pPr>
        <w:pStyle w:val="Indenta"/>
      </w:pPr>
      <w:r>
        <w:tab/>
        <w:t>(b)</w:t>
      </w:r>
      <w:r>
        <w:tab/>
        <w:t>holds any share, or has a beneficial interest in any share, in that body corporate; or</w:t>
      </w:r>
    </w:p>
    <w:p>
      <w:pPr>
        <w:pStyle w:val="Indenta"/>
      </w:pPr>
      <w:r>
        <w:tab/>
        <w:t>(c)</w:t>
      </w:r>
      <w:r>
        <w:tab/>
        <w:t>holds any unit in a unit trust scheme of which the body corporate is the trustee; or</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 amended by No. 12 of 2008 Sch. 1 cl. 9.]</w:t>
      </w:r>
    </w:p>
    <w:p>
      <w:pPr>
        <w:pStyle w:val="Heading5"/>
      </w:pPr>
      <w:bookmarkStart w:id="114" w:name="_Toc402969459"/>
      <w:r>
        <w:rPr>
          <w:rStyle w:val="CharSectno"/>
        </w:rPr>
        <w:t>104C</w:t>
      </w:r>
      <w:r>
        <w:t>.</w:t>
      </w:r>
      <w:r>
        <w:tab/>
        <w:t>Licences of licensed suppliers, cancelling etc.</w:t>
      </w:r>
      <w:bookmarkEnd w:id="114"/>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 or</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spacing w:before="100"/>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spacing w:before="100"/>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115" w:name="_Toc402969460"/>
      <w:r>
        <w:rPr>
          <w:rStyle w:val="CharSectno"/>
        </w:rPr>
        <w:t>104D</w:t>
      </w:r>
      <w:r>
        <w:t>.</w:t>
      </w:r>
      <w:r>
        <w:tab/>
        <w:t>Refusal or cancellation of supplier’s licence, Commission to report to Minister; appeals to Minister</w:t>
      </w:r>
      <w:bookmarkEnd w:id="115"/>
    </w:p>
    <w:p>
      <w:pPr>
        <w:pStyle w:val="Subsection"/>
        <w:keepNext/>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116" w:name="_Toc402969461"/>
      <w:r>
        <w:rPr>
          <w:rStyle w:val="CharSectno"/>
        </w:rPr>
        <w:t>104E</w:t>
      </w:r>
      <w:r>
        <w:t>.</w:t>
      </w:r>
      <w:r>
        <w:tab/>
        <w:t>Suppliers to give Commission tickets if licence cancelled etc.</w:t>
      </w:r>
      <w:bookmarkEnd w:id="116"/>
    </w:p>
    <w:p>
      <w:pPr>
        <w:pStyle w:val="Subsection"/>
      </w:pPr>
      <w:r>
        <w:tab/>
        <w:t>(1)</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not submitted an appeal against the cancellation or refusal; and</w:t>
      </w:r>
    </w:p>
    <w:p>
      <w:pPr>
        <w:pStyle w:val="Indenta"/>
        <w:spacing w:before="60"/>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appealed against the cancellation or refusal; and</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117" w:name="_Toc402969462"/>
      <w:r>
        <w:rPr>
          <w:rStyle w:val="CharSectno"/>
        </w:rPr>
        <w:t>104F</w:t>
      </w:r>
      <w:r>
        <w:t>.</w:t>
      </w:r>
      <w:r>
        <w:tab/>
        <w:t>Licensed suppliers to lodge returns and pay continuing lotteries levy</w:t>
      </w:r>
      <w:bookmarkEnd w:id="117"/>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118" w:name="_Toc402969463"/>
      <w:r>
        <w:rPr>
          <w:rStyle w:val="CharSectno"/>
        </w:rPr>
        <w:t>104G</w:t>
      </w:r>
      <w:r>
        <w:t>.</w:t>
      </w:r>
      <w:r>
        <w:tab/>
        <w:t>Continuing lotteries levy, application of</w:t>
      </w:r>
      <w:bookmarkEnd w:id="118"/>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119" w:name="_Toc402969464"/>
      <w:r>
        <w:rPr>
          <w:rStyle w:val="CharSectno"/>
        </w:rPr>
        <w:t>104H</w:t>
      </w:r>
      <w:r>
        <w:t>.</w:t>
      </w:r>
      <w:r>
        <w:tab/>
        <w:t>Exemption from levy</w:t>
      </w:r>
      <w:bookmarkEnd w:id="119"/>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120" w:name="_Toc402969465"/>
      <w:r>
        <w:rPr>
          <w:rStyle w:val="CharSectno"/>
        </w:rPr>
        <w:t>104I</w:t>
      </w:r>
      <w:r>
        <w:t>.</w:t>
      </w:r>
      <w:r>
        <w:tab/>
        <w:t>Refund of levy</w:t>
      </w:r>
      <w:bookmarkEnd w:id="120"/>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121" w:name="_Toc402969466"/>
      <w:r>
        <w:rPr>
          <w:rStyle w:val="CharSectno"/>
        </w:rPr>
        <w:t>104J</w:t>
      </w:r>
      <w:r>
        <w:t>.</w:t>
      </w:r>
      <w:r>
        <w:tab/>
        <w:t>Tickets, protecting and accounting for; estimating levy for lost etc. tickets</w:t>
      </w:r>
      <w:bookmarkEnd w:id="121"/>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 or</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122" w:name="_Toc402969467"/>
      <w:r>
        <w:rPr>
          <w:rStyle w:val="CharSectno"/>
        </w:rPr>
        <w:t>104K</w:t>
      </w:r>
      <w:r>
        <w:t>.</w:t>
      </w:r>
      <w:r>
        <w:tab/>
        <w:t>Tickets may be given to Commission for destruction</w:t>
      </w:r>
      <w:bookmarkEnd w:id="122"/>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123" w:name="_Toc402969468"/>
      <w:r>
        <w:rPr>
          <w:rStyle w:val="CharSectno"/>
        </w:rPr>
        <w:t>104L</w:t>
      </w:r>
      <w:r>
        <w:t>.</w:t>
      </w:r>
      <w:r>
        <w:tab/>
        <w:t>Offences by licensed suppliers</w:t>
      </w:r>
      <w:bookmarkEnd w:id="123"/>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 and</w:t>
      </w:r>
    </w:p>
    <w:p>
      <w:pPr>
        <w:pStyle w:val="Indenta"/>
      </w:pPr>
      <w:r>
        <w:tab/>
        <w:t>(b)</w:t>
      </w:r>
      <w:r>
        <w:tab/>
        <w:t>there is printed on each ticket —</w:t>
      </w:r>
    </w:p>
    <w:p>
      <w:pPr>
        <w:pStyle w:val="Indenti"/>
      </w:pPr>
      <w:r>
        <w:tab/>
        <w:t>(i)</w:t>
      </w:r>
      <w:r>
        <w:tab/>
        <w:t>the face value of the ticket; and</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Lines w:val="0"/>
      </w:pPr>
      <w:bookmarkStart w:id="124" w:name="_Toc402969469"/>
      <w:r>
        <w:rPr>
          <w:rStyle w:val="CharSectno"/>
        </w:rPr>
        <w:t>104M</w:t>
      </w:r>
      <w:r>
        <w:t>.</w:t>
      </w:r>
      <w:r>
        <w:tab/>
        <w:t>Offences involving continuing lottery tickets</w:t>
      </w:r>
      <w:bookmarkEnd w:id="124"/>
    </w:p>
    <w:p>
      <w:pPr>
        <w:pStyle w:val="Subsection"/>
        <w:keepNext/>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125" w:name="_Toc402969470"/>
      <w:r>
        <w:rPr>
          <w:rStyle w:val="CharSectno"/>
        </w:rPr>
        <w:t>105</w:t>
      </w:r>
      <w:r>
        <w:rPr>
          <w:snapToGrid w:val="0"/>
        </w:rPr>
        <w:t>.</w:t>
      </w:r>
      <w:r>
        <w:rPr>
          <w:snapToGrid w:val="0"/>
        </w:rPr>
        <w:tab/>
        <w:t>Continuing lotteries, use of vending machines to sell tickets for</w:t>
      </w:r>
      <w:bookmarkEnd w:id="125"/>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126" w:name="_Toc402969471"/>
      <w:r>
        <w:rPr>
          <w:rStyle w:val="CharSectno"/>
        </w:rPr>
        <w:t>106</w:t>
      </w:r>
      <w:r>
        <w:rPr>
          <w:snapToGrid w:val="0"/>
        </w:rPr>
        <w:t>.</w:t>
      </w:r>
      <w:r>
        <w:rPr>
          <w:snapToGrid w:val="0"/>
        </w:rPr>
        <w:tab/>
        <w:t>Offences involving lotteries</w:t>
      </w:r>
      <w:bookmarkEnd w:id="126"/>
    </w:p>
    <w:p>
      <w:pPr>
        <w:pStyle w:val="Subsection"/>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(other than subsection (1) of that section) applies for the purposes of subsection (1)(a)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w:t>
      </w:r>
    </w:p>
    <w:p>
      <w:pPr>
        <w:pStyle w:val="Indenta"/>
        <w:spacing w:before="60"/>
        <w:rPr>
          <w:snapToGrid w:val="0"/>
        </w:rPr>
      </w:pPr>
      <w:r>
        <w:rPr>
          <w:snapToGrid w:val="0"/>
        </w:rPr>
        <w:tab/>
        <w:t>(a)</w:t>
      </w:r>
      <w:r>
        <w:rPr>
          <w:snapToGrid w:val="0"/>
        </w:rPr>
        <w:tab/>
        <w:t>prints any tickets for use in the lottery; or</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 or</w:t>
      </w:r>
    </w:p>
    <w:p>
      <w:pPr>
        <w:pStyle w:val="Indenta"/>
        <w:spacing w:before="60"/>
        <w:rPr>
          <w:snapToGrid w:val="0"/>
        </w:rPr>
      </w:pPr>
      <w:r>
        <w:rPr>
          <w:snapToGrid w:val="0"/>
        </w:rPr>
        <w:tab/>
        <w:t>(c)</w:t>
      </w:r>
      <w:r>
        <w:rPr>
          <w:snapToGrid w:val="0"/>
        </w:rPr>
        <w:tab/>
        <w:t>prints, publishes or distributes, or has in his possession for the purpose of publication or distribution —</w:t>
      </w:r>
    </w:p>
    <w:p>
      <w:pPr>
        <w:pStyle w:val="Indenti"/>
        <w:spacing w:before="60"/>
        <w:rPr>
          <w:snapToGrid w:val="0"/>
        </w:rPr>
      </w:pPr>
      <w:r>
        <w:rPr>
          <w:snapToGrid w:val="0"/>
        </w:rPr>
        <w:tab/>
        <w:t>(i)</w:t>
      </w:r>
      <w:r>
        <w:rPr>
          <w:snapToGrid w:val="0"/>
        </w:rPr>
        <w:tab/>
        <w:t>any advertisement of the lottery; or</w:t>
      </w:r>
    </w:p>
    <w:p>
      <w:pPr>
        <w:pStyle w:val="Indenti"/>
        <w:spacing w:before="60"/>
        <w:rPr>
          <w:snapToGrid w:val="0"/>
        </w:rPr>
      </w:pPr>
      <w:r>
        <w:rPr>
          <w:snapToGrid w:val="0"/>
        </w:rPr>
        <w:tab/>
        <w:t>(ii)</w:t>
      </w:r>
      <w:r>
        <w:rPr>
          <w:snapToGrid w:val="0"/>
        </w:rPr>
        <w:tab/>
        <w:t>any list, whether complete or not, of prize winners or winning tickets in the lottery; or</w:t>
      </w:r>
    </w:p>
    <w:p>
      <w:pPr>
        <w:pStyle w:val="Indenti"/>
        <w:spacing w:before="60"/>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brings, or invites any person to send, into the State for the purpose of sale or distribution any ticket in, or advertisement of, the lottery; or</w:t>
      </w:r>
    </w:p>
    <w:p>
      <w:pPr>
        <w:pStyle w:val="Indenta"/>
        <w:spacing w:before="60"/>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 or</w:t>
      </w:r>
    </w:p>
    <w:p>
      <w:pPr>
        <w:pStyle w:val="Indenta"/>
        <w:spacing w:before="60"/>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spacing w:before="60"/>
        <w:rPr>
          <w:snapToGrid w:val="0"/>
        </w:rPr>
      </w:pPr>
      <w:r>
        <w:rPr>
          <w:snapToGrid w:val="0"/>
        </w:rPr>
        <w:tab/>
        <w:t>(g)</w:t>
      </w:r>
      <w:r>
        <w:rPr>
          <w:snapToGrid w:val="0"/>
        </w:rPr>
        <w:tab/>
        <w:t>receives money, any valuable thing, or any goods for the purposes of the lottery,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40"/>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spacing w:before="100"/>
        <w:ind w:left="890" w:hanging="890"/>
      </w:pPr>
      <w:r>
        <w:tab/>
        <w:t>[Section 106 amended by No. 24 of 1998 s. 65.]</w:t>
      </w:r>
    </w:p>
    <w:p>
      <w:pPr>
        <w:pStyle w:val="Heading5"/>
        <w:rPr>
          <w:snapToGrid w:val="0"/>
        </w:rPr>
      </w:pPr>
      <w:bookmarkStart w:id="127" w:name="_Toc402969472"/>
      <w:r>
        <w:rPr>
          <w:rStyle w:val="CharSectno"/>
        </w:rPr>
        <w:t>107</w:t>
      </w:r>
      <w:r>
        <w:rPr>
          <w:snapToGrid w:val="0"/>
        </w:rPr>
        <w:t>.</w:t>
      </w:r>
      <w:r>
        <w:rPr>
          <w:snapToGrid w:val="0"/>
        </w:rPr>
        <w:tab/>
        <w:t>Amusements with prizes, which are permitted</w:t>
      </w:r>
      <w:bookmarkEnd w:id="127"/>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 and</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 and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r>
        <w:tab/>
        <w:t>[Section 107 amended by No. 35 of 2003 s. 159 and 167.]</w:t>
      </w:r>
    </w:p>
    <w:p>
      <w:pPr>
        <w:pStyle w:val="Heading5"/>
        <w:rPr>
          <w:snapToGrid w:val="0"/>
        </w:rPr>
      </w:pPr>
      <w:bookmarkStart w:id="128" w:name="_Toc402969473"/>
      <w:r>
        <w:rPr>
          <w:rStyle w:val="CharSectno"/>
        </w:rPr>
        <w:t>108</w:t>
      </w:r>
      <w:r>
        <w:rPr>
          <w:snapToGrid w:val="0"/>
        </w:rPr>
        <w:t>.</w:t>
      </w:r>
      <w:r>
        <w:rPr>
          <w:snapToGrid w:val="0"/>
        </w:rPr>
        <w:tab/>
        <w:t>Some fund raising activities deemed permitted amusement with prizes</w:t>
      </w:r>
      <w:bookmarkEnd w:id="128"/>
    </w:p>
    <w:p>
      <w:pPr>
        <w:pStyle w:val="Subsection"/>
        <w:keepNext/>
        <w:keepLines/>
        <w:rPr>
          <w:snapToGrid w:val="0"/>
        </w:rPr>
      </w:pPr>
      <w:r>
        <w:rPr>
          <w:snapToGrid w:val="0"/>
        </w:rPr>
        <w:tab/>
        <w:t>(1)</w:t>
      </w:r>
      <w:r>
        <w:rPr>
          <w:snapToGrid w:val="0"/>
        </w:rPr>
        <w:tab/>
        <w:t>The conduct of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 or</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129" w:name="_Toc402969474"/>
      <w:r>
        <w:rPr>
          <w:rStyle w:val="CharSectno"/>
        </w:rPr>
        <w:t>109</w:t>
      </w:r>
      <w:r>
        <w:rPr>
          <w:snapToGrid w:val="0"/>
        </w:rPr>
        <w:t>.</w:t>
      </w:r>
      <w:r>
        <w:rPr>
          <w:snapToGrid w:val="0"/>
        </w:rPr>
        <w:tab/>
        <w:t>Regulations for this Division</w:t>
      </w:r>
      <w:bookmarkEnd w:id="129"/>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as to the requirements for the keeping of accounts and the furnishings of reports by persons conducting lotteries; and</w:t>
      </w:r>
    </w:p>
    <w:p>
      <w:pPr>
        <w:pStyle w:val="Indenta"/>
        <w:rPr>
          <w:snapToGrid w:val="0"/>
        </w:rPr>
      </w:pPr>
      <w:r>
        <w:rPr>
          <w:snapToGrid w:val="0"/>
        </w:rPr>
        <w:tab/>
        <w:t>(aa)</w:t>
      </w:r>
      <w:r>
        <w:rPr>
          <w:snapToGrid w:val="0"/>
        </w:rPr>
        <w:tab/>
        <w:t>in respect of the records to be maintained by licensed suppliers and the manner in which those records are to be kept; and</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 and</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 and</w:t>
      </w:r>
    </w:p>
    <w:p>
      <w:pPr>
        <w:pStyle w:val="Indenta"/>
        <w:rPr>
          <w:snapToGrid w:val="0"/>
        </w:rPr>
      </w:pPr>
      <w:r>
        <w:rPr>
          <w:snapToGrid w:val="0"/>
        </w:rPr>
        <w:tab/>
        <w:t>(d)</w:t>
      </w:r>
      <w:r>
        <w:rPr>
          <w:snapToGrid w:val="0"/>
        </w:rPr>
        <w:tab/>
        <w:t>as to the relation between the time of opening, closing, and drawing of a standard lottery; and</w:t>
      </w:r>
    </w:p>
    <w:p>
      <w:pPr>
        <w:pStyle w:val="Indenta"/>
        <w:spacing w:before="60"/>
        <w:rPr>
          <w:snapToGrid w:val="0"/>
        </w:rPr>
      </w:pPr>
      <w:r>
        <w:rPr>
          <w:snapToGrid w:val="0"/>
        </w:rPr>
        <w:tab/>
        <w:t>(e)</w:t>
      </w:r>
      <w:r>
        <w:rPr>
          <w:snapToGrid w:val="0"/>
        </w:rPr>
        <w:tab/>
        <w:t>as to the conduct of continuing lotteries; and</w:t>
      </w:r>
    </w:p>
    <w:p>
      <w:pPr>
        <w:pStyle w:val="Indenta"/>
        <w:spacing w:before="60"/>
        <w:rPr>
          <w:snapToGrid w:val="0"/>
        </w:rPr>
      </w:pPr>
      <w:r>
        <w:rPr>
          <w:snapToGrid w:val="0"/>
        </w:rPr>
        <w:tab/>
        <w:t>(f)</w:t>
      </w:r>
      <w:r>
        <w:rPr>
          <w:snapToGrid w:val="0"/>
        </w:rPr>
        <w:tab/>
        <w:t>as to the use of vending machines in relation to lotteries; and</w:t>
      </w:r>
    </w:p>
    <w:p>
      <w:pPr>
        <w:pStyle w:val="Indenta"/>
        <w:spacing w:before="60"/>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 and</w:t>
      </w:r>
    </w:p>
    <w:p>
      <w:pPr>
        <w:pStyle w:val="Indenta"/>
        <w:spacing w:before="60"/>
        <w:rPr>
          <w:snapToGrid w:val="0"/>
        </w:rPr>
      </w:pPr>
      <w:r>
        <w:rPr>
          <w:snapToGrid w:val="0"/>
        </w:rPr>
        <w:tab/>
        <w:t>(h)</w:t>
      </w:r>
      <w:r>
        <w:rPr>
          <w:snapToGrid w:val="0"/>
        </w:rPr>
        <w:tab/>
        <w:t>as to the printing of tickets and the security of printing arrangements or of tickets, and as to the information which must, or must not, appear on a ticket; and</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 and</w:t>
      </w:r>
    </w:p>
    <w:p>
      <w:pPr>
        <w:pStyle w:val="Indenta"/>
        <w:spacing w:before="60"/>
        <w:rPr>
          <w:snapToGrid w:val="0"/>
        </w:rPr>
      </w:pPr>
      <w:r>
        <w:rPr>
          <w:snapToGrid w:val="0"/>
        </w:rPr>
        <w:tab/>
        <w:t>(k)</w:t>
      </w:r>
      <w:r>
        <w:rPr>
          <w:snapToGrid w:val="0"/>
        </w:rPr>
        <w:tab/>
        <w:t>prescribing the conditions governing the employment of agents; and</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spacing w:before="60"/>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130" w:name="_Toc402969475"/>
      <w:r>
        <w:rPr>
          <w:rStyle w:val="CharDivNo"/>
        </w:rPr>
        <w:t>Division 8</w:t>
      </w:r>
      <w:r>
        <w:rPr>
          <w:snapToGrid w:val="0"/>
        </w:rPr>
        <w:t> — </w:t>
      </w:r>
      <w:r>
        <w:rPr>
          <w:rStyle w:val="CharDivText"/>
        </w:rPr>
        <w:t>Unclaimed winnings</w:t>
      </w:r>
      <w:bookmarkEnd w:id="130"/>
    </w:p>
    <w:p>
      <w:pPr>
        <w:pStyle w:val="Footnoteheading"/>
        <w:tabs>
          <w:tab w:val="left" w:pos="910"/>
        </w:tabs>
      </w:pPr>
      <w:r>
        <w:tab/>
        <w:t>[Heading inserted by No. 24 of 1998 s. 68(1).]</w:t>
      </w:r>
    </w:p>
    <w:p>
      <w:pPr>
        <w:pStyle w:val="Heading5"/>
      </w:pPr>
      <w:bookmarkStart w:id="131" w:name="_Toc402969476"/>
      <w:r>
        <w:rPr>
          <w:rStyle w:val="CharSectno"/>
        </w:rPr>
        <w:t>109A</w:t>
      </w:r>
      <w:r>
        <w:t>.</w:t>
      </w:r>
      <w:r>
        <w:tab/>
        <w:t>Terms used</w:t>
      </w:r>
      <w:bookmarkEnd w:id="131"/>
    </w:p>
    <w:p>
      <w:pPr>
        <w:pStyle w:val="Subsection"/>
      </w:pPr>
      <w:r>
        <w:tab/>
      </w:r>
      <w:r>
        <w:tab/>
        <w:t>In this Division —</w:t>
      </w:r>
    </w:p>
    <w:p>
      <w:pPr>
        <w:pStyle w:val="Defstart"/>
      </w:pPr>
      <w:r>
        <w:tab/>
      </w:r>
      <w:r>
        <w:rPr>
          <w:rStyle w:val="CharDefText"/>
        </w:rPr>
        <w:t>Trust</w:t>
      </w:r>
      <w:r>
        <w:t xml:space="preserve"> means the Gaming Community Trust established under section 109D;</w:t>
      </w:r>
    </w:p>
    <w:p>
      <w:pPr>
        <w:pStyle w:val="Defstart"/>
      </w:pPr>
      <w:r>
        <w:rPr>
          <w:b/>
        </w:rPr>
        <w:tab/>
      </w:r>
      <w:r>
        <w:rPr>
          <w:rStyle w:val="CharDefText"/>
        </w:rPr>
        <w:t>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by No. 24 of 1998 s. 68(1); amended by No. 77 of 2006 Sch. 1 cl. 71(3).]</w:t>
      </w:r>
    </w:p>
    <w:p>
      <w:pPr>
        <w:pStyle w:val="Heading5"/>
      </w:pPr>
      <w:bookmarkStart w:id="132" w:name="_Toc402969477"/>
      <w:r>
        <w:rPr>
          <w:rStyle w:val="CharSectno"/>
        </w:rPr>
        <w:t>109B</w:t>
      </w:r>
      <w:r>
        <w:t>.</w:t>
      </w:r>
      <w:r>
        <w:tab/>
        <w:t>Unclaimed winnings, Commission to be notified of etc.</w:t>
      </w:r>
      <w:bookmarkEnd w:id="132"/>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xml:space="preserve">), the permit holder, or the person responsible for the conduct of the gaming authorised by the permit or the game (the </w:t>
      </w:r>
      <w:r>
        <w:rPr>
          <w:rStyle w:val="CharDefText"/>
        </w:rPr>
        <w:t>responsible person</w:t>
      </w:r>
      <w:r>
        <w:t>), shall notify the Commission in writing of —</w:t>
      </w:r>
    </w:p>
    <w:p>
      <w:pPr>
        <w:pStyle w:val="Indenta"/>
      </w:pPr>
      <w:r>
        <w:tab/>
        <w:t>(c)</w:t>
      </w:r>
      <w:r>
        <w:tab/>
        <w:t>details of the unclaimed winnings; and</w:t>
      </w:r>
    </w:p>
    <w:p>
      <w:pPr>
        <w:pStyle w:val="Indenta"/>
      </w:pPr>
      <w:r>
        <w:tab/>
        <w:t>(d)</w:t>
      </w:r>
      <w:r>
        <w:tab/>
        <w:t xml:space="preserve">the name, and any known address, of the person entitled to be paid the unclaimed winnings (the </w:t>
      </w:r>
      <w:r>
        <w:rPr>
          <w:rStyle w:val="CharDefText"/>
        </w:rPr>
        <w:t>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spacing w:before="140"/>
      </w:pPr>
      <w:r>
        <w:tab/>
        <w:t>(4)</w:t>
      </w:r>
      <w:r>
        <w:tab/>
        <w:t>The Commission may give directions to the permit holder or the responsible person as to the disposal of any unclaimed winnings where —</w:t>
      </w:r>
    </w:p>
    <w:p>
      <w:pPr>
        <w:pStyle w:val="Indenta"/>
        <w:spacing w:before="60"/>
      </w:pPr>
      <w:r>
        <w:tab/>
        <w:t>(a)</w:t>
      </w:r>
      <w:r>
        <w:tab/>
        <w:t>the right of the winner to be paid the winnings has been extinguished under subsection (3); and</w:t>
      </w:r>
    </w:p>
    <w:p>
      <w:pPr>
        <w:pStyle w:val="Indenta"/>
        <w:keepNext/>
        <w:spacing w:before="60"/>
      </w:pPr>
      <w:r>
        <w:tab/>
        <w:t>(b)</w:t>
      </w:r>
      <w:r>
        <w:tab/>
        <w:t>the winnings are in a form other than money,</w:t>
      </w:r>
    </w:p>
    <w:p>
      <w:pPr>
        <w:pStyle w:val="Subsection"/>
        <w:spacing w:before="140"/>
      </w:pPr>
      <w:r>
        <w:tab/>
      </w:r>
      <w:r>
        <w:tab/>
        <w:t>and any proceeds of that disposal shall be taken to be unclaimed winnings to be dealt with under section 109C.</w:t>
      </w:r>
    </w:p>
    <w:p>
      <w:pPr>
        <w:pStyle w:val="Subsection"/>
        <w:spacing w:before="140"/>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spacing w:before="100"/>
        <w:ind w:left="890" w:hanging="890"/>
      </w:pPr>
      <w:r>
        <w:tab/>
        <w:t>[Section 109B inserted by No. 24 of 1998 s. 68(1); amended by No. 35 of 2003 s. 167.]</w:t>
      </w:r>
    </w:p>
    <w:p>
      <w:pPr>
        <w:pStyle w:val="Heading5"/>
        <w:spacing w:before="180"/>
      </w:pPr>
      <w:bookmarkStart w:id="133" w:name="_Toc402969478"/>
      <w:r>
        <w:rPr>
          <w:rStyle w:val="CharSectno"/>
        </w:rPr>
        <w:t>109C</w:t>
      </w:r>
      <w:r>
        <w:t>.</w:t>
      </w:r>
      <w:r>
        <w:tab/>
        <w:t>Gaming Community Trust Account</w:t>
      </w:r>
      <w:bookmarkEnd w:id="133"/>
    </w:p>
    <w:p>
      <w:pPr>
        <w:pStyle w:val="Subsection"/>
        <w:spacing w:before="10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that are unclaimed winnings —</w:t>
      </w:r>
    </w:p>
    <w:p>
      <w:pPr>
        <w:pStyle w:val="Indenta"/>
        <w:spacing w:before="60"/>
        <w:rPr>
          <w:rFonts w:eastAsia="Arial Unicode MS"/>
        </w:rPr>
      </w:pPr>
      <w:r>
        <w:rPr>
          <w:rFonts w:eastAsia="Arial Unicode MS"/>
        </w:rPr>
        <w:tab/>
        <w:t>(a)</w:t>
      </w:r>
      <w:r>
        <w:rPr>
          <w:rFonts w:eastAsia="Arial Unicode MS"/>
        </w:rPr>
        <w:tab/>
        <w:t>to which section 109B(3) or (4) applies; or</w:t>
      </w:r>
    </w:p>
    <w:p>
      <w:pPr>
        <w:pStyle w:val="Indenta"/>
        <w:spacing w:before="60"/>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00"/>
      </w:pPr>
      <w:r>
        <w:tab/>
        <w:t>(2)</w:t>
      </w:r>
      <w:r>
        <w:tab/>
        <w:t>The Trust Account shall be applied to purposes recommended by the Trust and approved by the Minister for the benefit of the community.</w:t>
      </w:r>
    </w:p>
    <w:p>
      <w:pPr>
        <w:pStyle w:val="Subsection"/>
        <w:spacing w:before="100"/>
      </w:pPr>
      <w:r>
        <w:tab/>
        <w:t>(3)</w:t>
      </w:r>
      <w:r>
        <w:tab/>
        <w:t>The operation of the Trust Account shall be regarded as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Sch. 1 cl. 71(4)-(6).]</w:t>
      </w:r>
    </w:p>
    <w:p>
      <w:pPr>
        <w:pStyle w:val="Heading5"/>
      </w:pPr>
      <w:bookmarkStart w:id="134" w:name="_Toc402969479"/>
      <w:r>
        <w:rPr>
          <w:rStyle w:val="CharSectno"/>
        </w:rPr>
        <w:t>109D</w:t>
      </w:r>
      <w:r>
        <w:t>.</w:t>
      </w:r>
      <w:r>
        <w:tab/>
        <w:t>Gaming Community Trust</w:t>
      </w:r>
      <w:bookmarkEnd w:id="134"/>
    </w:p>
    <w:p>
      <w:pPr>
        <w:pStyle w:val="Subsection"/>
        <w:spacing w:before="100"/>
      </w:pPr>
      <w:r>
        <w:tab/>
        <w:t>(1)</w:t>
      </w:r>
      <w:r>
        <w:tab/>
        <w:t>A body called the Gaming Community Trust is established.</w:t>
      </w:r>
    </w:p>
    <w:p>
      <w:pPr>
        <w:pStyle w:val="Subsection"/>
        <w:spacing w:before="100"/>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The Trust shall consist of 5 members as follows —</w:t>
      </w:r>
    </w:p>
    <w:p>
      <w:pPr>
        <w:pStyle w:val="Indenta"/>
      </w:pPr>
      <w:r>
        <w:tab/>
        <w:t>(a)</w:t>
      </w:r>
      <w:r>
        <w:tab/>
        <w:t>the person holding or acting in the office of chairperson of the Commission, who shall be</w:t>
      </w:r>
      <w:r>
        <w:rPr>
          <w:iCs/>
        </w:rPr>
        <w:t xml:space="preserve"> ex officio </w:t>
      </w:r>
      <w:r>
        <w:t>chairman of the Trust; and</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The Minister may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Public Sector Commissioner.</w:t>
      </w:r>
    </w:p>
    <w:p>
      <w:pPr>
        <w:pStyle w:val="Subsection"/>
        <w:keepNext/>
      </w:pPr>
      <w:r>
        <w:tab/>
        <w:t>(9)</w:t>
      </w:r>
      <w:r>
        <w:tab/>
        <w:t>In this section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by No. 24 of 1998 s. 68(1); amended by No. 35 of 2003 s. 168; No. 77 of 2006 Sch. 1 cl. 71(7); No. 39 of 2010 s. 89.]</w:t>
      </w:r>
    </w:p>
    <w:p>
      <w:pPr>
        <w:pStyle w:val="Heading2"/>
      </w:pPr>
      <w:bookmarkStart w:id="135" w:name="_Toc402969480"/>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Supervision of RWWA</w:t>
      </w:r>
      <w:bookmarkEnd w:id="135"/>
    </w:p>
    <w:p>
      <w:pPr>
        <w:pStyle w:val="Footnoteheading"/>
        <w:tabs>
          <w:tab w:val="left" w:pos="910"/>
        </w:tabs>
      </w:pPr>
      <w:r>
        <w:tab/>
        <w:t>[Heading inserted by No. 35 of 2003 s. 161.]</w:t>
      </w:r>
    </w:p>
    <w:p>
      <w:pPr>
        <w:pStyle w:val="Heading5"/>
      </w:pPr>
      <w:bookmarkStart w:id="136" w:name="_Toc402969481"/>
      <w:r>
        <w:rPr>
          <w:rStyle w:val="CharSectno"/>
        </w:rPr>
        <w:t>109E</w:t>
      </w:r>
      <w:r>
        <w:t>.</w:t>
      </w:r>
      <w:r>
        <w:tab/>
        <w:t>Gambling operations of RWWA, meaning of</w:t>
      </w:r>
      <w:bookmarkEnd w:id="136"/>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137" w:name="_Toc402969482"/>
      <w:r>
        <w:rPr>
          <w:rStyle w:val="CharSectno"/>
        </w:rPr>
        <w:t>109F</w:t>
      </w:r>
      <w:r>
        <w:t>.</w:t>
      </w:r>
      <w:r>
        <w:tab/>
        <w:t>Supervision of RWWA by Commission etc.</w:t>
      </w:r>
      <w:bookmarkEnd w:id="137"/>
    </w:p>
    <w:p>
      <w:pPr>
        <w:pStyle w:val="Subsection"/>
      </w:pPr>
      <w:r>
        <w:tab/>
        <w:t>(1)</w:t>
      </w:r>
      <w:r>
        <w:tab/>
        <w:t xml:space="preserve">Without limiting sections 20 to 20C of the </w:t>
      </w:r>
      <w:r>
        <w:rPr>
          <w:i/>
        </w:rPr>
        <w:t>Betting Control Act 1954</w:t>
      </w:r>
      <w:r>
        <w:t>, the Commission and an authorised officer have and may exercise in relation to —</w:t>
      </w:r>
    </w:p>
    <w:p>
      <w:pPr>
        <w:pStyle w:val="Indenta"/>
      </w:pPr>
      <w:r>
        <w:tab/>
        <w:t>(a)</w:t>
      </w:r>
      <w:r>
        <w:tab/>
        <w:t>RWWA, the directors of the board of RWWA, the employees, officers and agents of RWWA, and the premises and property of RWWA; and</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138" w:name="_Toc402969483"/>
      <w:r>
        <w:rPr>
          <w:rStyle w:val="CharSectno"/>
        </w:rPr>
        <w:t>109G</w:t>
      </w:r>
      <w:r>
        <w:t>.</w:t>
      </w:r>
      <w:r>
        <w:tab/>
        <w:t>Directions to RWWA, Commission may give</w:t>
      </w:r>
      <w:bookmarkEnd w:id="138"/>
    </w:p>
    <w:p>
      <w:pPr>
        <w:pStyle w:val="Subsection"/>
      </w:pPr>
      <w:r>
        <w:tab/>
        <w:t>(1)</w:t>
      </w:r>
      <w:r>
        <w:tab/>
        <w:t>The Commission may give directions to RWWA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139" w:name="_Toc402969484"/>
      <w:r>
        <w:rPr>
          <w:rStyle w:val="CharSectno"/>
        </w:rPr>
        <w:t>109H</w:t>
      </w:r>
      <w:r>
        <w:t>.</w:t>
      </w:r>
      <w:r>
        <w:tab/>
        <w:t>RWWA must comply with directions</w:t>
      </w:r>
      <w:bookmarkEnd w:id="139"/>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If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140" w:name="_Toc402969485"/>
      <w:r>
        <w:rPr>
          <w:rStyle w:val="CharSectno"/>
        </w:rPr>
        <w:t>109I</w:t>
      </w:r>
      <w:r>
        <w:t>.</w:t>
      </w:r>
      <w:r>
        <w:tab/>
        <w:t>Complaints about RWWA, Commission’s functions as to</w:t>
      </w:r>
      <w:bookmarkEnd w:id="140"/>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141" w:name="_Toc402969486"/>
      <w:r>
        <w:rPr>
          <w:rStyle w:val="CharSectno"/>
        </w:rPr>
        <w:t>109J</w:t>
      </w:r>
      <w:r>
        <w:t>.</w:t>
      </w:r>
      <w:r>
        <w:tab/>
        <w:t>Reports on and inquiries into RWWA</w:t>
      </w:r>
      <w:bookmarkEnd w:id="141"/>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Related matters that may be made the subject of an inquiry include —</w:t>
      </w:r>
    </w:p>
    <w:p>
      <w:pPr>
        <w:pStyle w:val="Indenta"/>
      </w:pPr>
      <w:r>
        <w:tab/>
        <w:t>(a)</w:t>
      </w:r>
      <w:r>
        <w:tab/>
        <w:t>gambling operations of RWWA; and</w:t>
      </w:r>
    </w:p>
    <w:p>
      <w:pPr>
        <w:pStyle w:val="Indenta"/>
      </w:pPr>
      <w:r>
        <w:tab/>
        <w:t>(b)</w:t>
      </w:r>
      <w:r>
        <w:tab/>
        <w:t>RWWA’s compliance with the RWWA Act, this Act and other written laws; and</w:t>
      </w:r>
    </w:p>
    <w:p>
      <w:pPr>
        <w:pStyle w:val="Indenta"/>
      </w:pPr>
      <w:r>
        <w:tab/>
        <w:t>(c)</w:t>
      </w:r>
      <w:r>
        <w:tab/>
        <w:t>suspected corruption; and</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A direction given under subsection (2)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142" w:name="_Toc402969487"/>
      <w:r>
        <w:rPr>
          <w:rStyle w:val="CharSectno"/>
        </w:rPr>
        <w:t>109K</w:t>
      </w:r>
      <w:r>
        <w:t>.</w:t>
      </w:r>
      <w:r>
        <w:tab/>
        <w:t>Report or inquiry under s. 109J, Minister’s powers following</w:t>
      </w:r>
      <w:bookmarkEnd w:id="142"/>
    </w:p>
    <w:p>
      <w:pPr>
        <w:pStyle w:val="Subsection"/>
      </w:pPr>
      <w:r>
        <w:tab/>
        <w:t>(1)</w:t>
      </w:r>
      <w:r>
        <w:tab/>
        <w:t>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After receiving and considering each submission served under subsection (2) the Minister may, subject to subsection (4) and if the Minister considers it in the public interest to do so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143" w:name="_Toc402969488"/>
      <w:r>
        <w:rPr>
          <w:rStyle w:val="CharPartNo"/>
        </w:rPr>
        <w:t>Part VI</w:t>
      </w:r>
      <w:r>
        <w:rPr>
          <w:rStyle w:val="CharDivNo"/>
        </w:rPr>
        <w:t> </w:t>
      </w:r>
      <w:r>
        <w:t>—</w:t>
      </w:r>
      <w:r>
        <w:rPr>
          <w:rStyle w:val="CharDivText"/>
        </w:rPr>
        <w:t> </w:t>
      </w:r>
      <w:r>
        <w:rPr>
          <w:rStyle w:val="CharPartText"/>
        </w:rPr>
        <w:t>Ancillary</w:t>
      </w:r>
      <w:bookmarkEnd w:id="143"/>
    </w:p>
    <w:p>
      <w:pPr>
        <w:pStyle w:val="Heading5"/>
        <w:rPr>
          <w:snapToGrid w:val="0"/>
        </w:rPr>
      </w:pPr>
      <w:bookmarkStart w:id="144" w:name="_Toc402969489"/>
      <w:r>
        <w:rPr>
          <w:rStyle w:val="CharSectno"/>
        </w:rPr>
        <w:t>110</w:t>
      </w:r>
      <w:r>
        <w:rPr>
          <w:snapToGrid w:val="0"/>
        </w:rPr>
        <w:t>.</w:t>
      </w:r>
      <w:r>
        <w:rPr>
          <w:snapToGrid w:val="0"/>
        </w:rPr>
        <w:tab/>
        <w:t>Gambling on premises licensed for retail sale of liquor</w:t>
      </w:r>
      <w:bookmarkEnd w:id="144"/>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 or</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[Section 110 amended by No. 125 of 1987 s. 33; No. 16 of 1990 s. 33; No. 24 of 1998 s. 69; No. 35 of 2003 s. 162 and 166; No. 73 of 2006 s. 114.]</w:t>
      </w:r>
    </w:p>
    <w:p>
      <w:pPr>
        <w:pStyle w:val="Heading5"/>
      </w:pPr>
      <w:bookmarkStart w:id="145" w:name="_Toc402969490"/>
      <w:r>
        <w:rPr>
          <w:rStyle w:val="CharSectno"/>
        </w:rPr>
        <w:t>110A</w:t>
      </w:r>
      <w:r>
        <w:t>.</w:t>
      </w:r>
      <w:r>
        <w:tab/>
        <w:t>Sports Wagering Account</w:t>
      </w:r>
      <w:bookmarkEnd w:id="145"/>
    </w:p>
    <w:p>
      <w:pPr>
        <w:pStyle w:val="Subsection"/>
      </w:pPr>
      <w:r>
        <w:tab/>
        <w:t>(1)</w:t>
      </w:r>
      <w:r>
        <w:tab/>
        <w:t>An account called the Sports Wagering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The Sports Wagering Account shall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The Commission shall, at quarterly intervals, notify the Minister of the Crown responsible for sport and recreation of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The Commission on being directed by the Minister of the Crown responsible for sport and recreation, shall distribute the moneys referred to in subsection (1) and the moneys from time to time standing to the credit of the Sports Wagering Account —</w:t>
      </w:r>
    </w:p>
    <w:p>
      <w:pPr>
        <w:pStyle w:val="Indenta"/>
      </w:pPr>
      <w:r>
        <w:tab/>
        <w:t>(a)</w:t>
      </w:r>
      <w:r>
        <w:tab/>
        <w:t>to the persons or bodies of persons; and</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[Section 110A inserted by No. 35 of 2003 s. 163; amended by No. 28 of 2006 s. 403; No. 77 of 2006 Sch. 1 cl. 71(8).]</w:t>
      </w:r>
    </w:p>
    <w:p>
      <w:pPr>
        <w:pStyle w:val="Heading5"/>
      </w:pPr>
      <w:bookmarkStart w:id="146" w:name="_Toc402969491"/>
      <w:r>
        <w:rPr>
          <w:rStyle w:val="CharSectno"/>
        </w:rPr>
        <w:t>110B</w:t>
      </w:r>
      <w:r>
        <w:t>.</w:t>
      </w:r>
      <w:r>
        <w:tab/>
        <w:t>Racing Bets Levy Account</w:t>
      </w:r>
      <w:bookmarkEnd w:id="146"/>
    </w:p>
    <w:p>
      <w:pPr>
        <w:pStyle w:val="Subsection"/>
      </w:pPr>
      <w:r>
        <w:tab/>
        <w:t>(1)</w:t>
      </w:r>
      <w:r>
        <w:tab/>
        <w:t>An account called the Racing Bets Levy Account is to be established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The Commission is to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The balance of the Racing Bets Levy Account is to be paid or credited to RWWA or paid or credited by the Commission, in such amounts as it determines, to the following —</w:t>
      </w:r>
    </w:p>
    <w:p>
      <w:pPr>
        <w:pStyle w:val="Indenta"/>
        <w:spacing w:before="60"/>
      </w:pPr>
      <w:r>
        <w:tab/>
        <w:t>(a)</w:t>
      </w:r>
      <w:r>
        <w:tab/>
        <w:t>thoroughbred racing clubs registered with RWWA;</w:t>
      </w:r>
    </w:p>
    <w:p>
      <w:pPr>
        <w:pStyle w:val="Indenta"/>
        <w:spacing w:before="60"/>
      </w:pPr>
      <w:r>
        <w:tab/>
        <w:t>(b)</w:t>
      </w:r>
      <w:r>
        <w:tab/>
        <w:t>harness racing clubs registered with RWWA;</w:t>
      </w:r>
    </w:p>
    <w:p>
      <w:pPr>
        <w:pStyle w:val="Indenta"/>
        <w:spacing w:before="60"/>
      </w:pPr>
      <w:r>
        <w:tab/>
        <w:t>(c)</w:t>
      </w:r>
      <w:r>
        <w:tab/>
        <w:t>greyhound racing clubs registered with RWWA.</w:t>
      </w:r>
    </w:p>
    <w:p>
      <w:pPr>
        <w:pStyle w:val="Footnotesection"/>
      </w:pPr>
      <w:r>
        <w:tab/>
        <w:t>[Section 110B inserted by No. 29 of 2009 s. 20.]</w:t>
      </w:r>
    </w:p>
    <w:p>
      <w:pPr>
        <w:pStyle w:val="Heading5"/>
        <w:spacing w:before="200"/>
        <w:rPr>
          <w:snapToGrid w:val="0"/>
        </w:rPr>
      </w:pPr>
      <w:bookmarkStart w:id="147" w:name="_Toc402969492"/>
      <w:r>
        <w:rPr>
          <w:rStyle w:val="CharSectno"/>
        </w:rPr>
        <w:t>111</w:t>
      </w:r>
      <w:r>
        <w:rPr>
          <w:snapToGrid w:val="0"/>
        </w:rPr>
        <w:t>.</w:t>
      </w:r>
      <w:r>
        <w:rPr>
          <w:snapToGrid w:val="0"/>
        </w:rPr>
        <w:tab/>
        <w:t>Burswood Casino Agreement cl. 22, when Commission may decide questions as to</w:t>
      </w:r>
      <w:bookmarkEnd w:id="147"/>
    </w:p>
    <w:p>
      <w:pPr>
        <w:pStyle w:val="Subsection"/>
        <w:spacing w:before="100"/>
        <w:rPr>
          <w:snapToGrid w:val="0"/>
        </w:rPr>
      </w:pPr>
      <w:r>
        <w:rPr>
          <w:snapToGrid w:val="0"/>
        </w:rPr>
        <w:tab/>
      </w:r>
      <w:r>
        <w:rPr>
          <w:snapToGrid w:val="0"/>
        </w:rPr>
        <w:tab/>
        <w:t xml:space="preserve">In </w:t>
      </w:r>
      <w:r>
        <w:t>relation</w:t>
      </w:r>
      <w:r>
        <w:rPr>
          <w:snapToGrid w:val="0"/>
        </w:rPr>
        <w:t xml:space="preserve"> to the Agreement to which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w:t>
      </w:r>
    </w:p>
    <w:p>
      <w:pPr>
        <w:pStyle w:val="Indenta"/>
        <w:spacing w:before="60"/>
        <w:rPr>
          <w:snapToGrid w:val="0"/>
        </w:rPr>
      </w:pPr>
      <w:r>
        <w:rPr>
          <w:snapToGrid w:val="0"/>
        </w:rPr>
        <w:tab/>
        <w:t>(a)</w:t>
      </w:r>
      <w:r>
        <w:rPr>
          <w:snapToGrid w:val="0"/>
        </w:rPr>
        <w:tab/>
        <w:t>the Trustee referred to in that Agreement; or</w:t>
      </w:r>
    </w:p>
    <w:p>
      <w:pPr>
        <w:pStyle w:val="Indenta"/>
        <w:spacing w:before="60"/>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spacing w:before="200"/>
        <w:rPr>
          <w:snapToGrid w:val="0"/>
        </w:rPr>
      </w:pPr>
      <w:bookmarkStart w:id="148" w:name="_Toc402969493"/>
      <w:r>
        <w:rPr>
          <w:rStyle w:val="CharSectno"/>
        </w:rPr>
        <w:t>112</w:t>
      </w:r>
      <w:r>
        <w:rPr>
          <w:snapToGrid w:val="0"/>
        </w:rPr>
        <w:t>.</w:t>
      </w:r>
      <w:r>
        <w:rPr>
          <w:snapToGrid w:val="0"/>
        </w:rPr>
        <w:tab/>
        <w:t xml:space="preserve">Transitional provisions as to </w:t>
      </w:r>
      <w:r>
        <w:rPr>
          <w:i/>
          <w:snapToGrid w:val="0"/>
        </w:rPr>
        <w:t>Casino Control Act 1984</w:t>
      </w:r>
      <w:bookmarkEnd w:id="148"/>
    </w:p>
    <w:p>
      <w:pPr>
        <w:pStyle w:val="Subsection"/>
        <w:spacing w:before="100"/>
        <w:rPr>
          <w:snapToGrid w:val="0"/>
        </w:rPr>
      </w:pPr>
      <w:r>
        <w:rPr>
          <w:snapToGrid w:val="0"/>
        </w:rPr>
        <w:tab/>
        <w:t>(1)</w:t>
      </w:r>
      <w:r>
        <w:rPr>
          <w:snapToGrid w:val="0"/>
        </w:rPr>
        <w:tab/>
        <w:t xml:space="preserve">On and </w:t>
      </w:r>
      <w:r>
        <w:t>after</w:t>
      </w:r>
      <w:r>
        <w:rPr>
          <w:snapToGrid w:val="0"/>
        </w:rPr>
        <w:t xml:space="preserve">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spacing w:before="100"/>
        <w:rPr>
          <w:snapToGrid w:val="0"/>
        </w:rPr>
      </w:pPr>
      <w:r>
        <w:rPr>
          <w:snapToGrid w:val="0"/>
        </w:rPr>
        <w:tab/>
        <w:t>(2)</w:t>
      </w:r>
      <w:r>
        <w:rPr>
          <w:snapToGrid w:val="0"/>
        </w:rPr>
        <w:tab/>
        <w:t xml:space="preserve">A </w:t>
      </w:r>
      <w:r>
        <w:t>reference</w:t>
      </w:r>
      <w:r>
        <w:rPr>
          <w:snapToGrid w:val="0"/>
        </w:rPr>
        <w:t xml:space="preserve"> to the Casino Control Committee —</w:t>
      </w:r>
    </w:p>
    <w:p>
      <w:pPr>
        <w:pStyle w:val="Indenta"/>
        <w:spacing w:before="60"/>
        <w:rPr>
          <w:snapToGrid w:val="0"/>
        </w:rPr>
      </w:pPr>
      <w:r>
        <w:rPr>
          <w:snapToGrid w:val="0"/>
        </w:rPr>
        <w:tab/>
        <w:t>(a)</w:t>
      </w:r>
      <w:r>
        <w:rPr>
          <w:snapToGrid w:val="0"/>
        </w:rPr>
        <w:tab/>
        <w:t>in any written law passed or made; or</w:t>
      </w:r>
    </w:p>
    <w:p>
      <w:pPr>
        <w:pStyle w:val="Indenta"/>
        <w:spacing w:before="60"/>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spacing w:before="100"/>
        <w:rPr>
          <w:snapToGrid w:val="0"/>
        </w:rPr>
      </w:pPr>
      <w:r>
        <w:rPr>
          <w:snapToGrid w:val="0"/>
        </w:rPr>
        <w:tab/>
      </w:r>
      <w:r>
        <w:rPr>
          <w:snapToGrid w:val="0"/>
        </w:rPr>
        <w:tab/>
        <w:t xml:space="preserve">before the </w:t>
      </w:r>
      <w:r>
        <w:t>coming</w:t>
      </w:r>
      <w:r>
        <w:rPr>
          <w:snapToGrid w:val="0"/>
        </w:rPr>
        <w:t xml:space="preserve">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Deleted by No. 16 of 1990 s. 33.]</w:t>
      </w:r>
    </w:p>
    <w:p>
      <w:pPr>
        <w:pStyle w:val="Ednotesection"/>
        <w:keepNext/>
      </w:pPr>
      <w:r>
        <w:t>[</w:t>
      </w:r>
      <w:r>
        <w:rPr>
          <w:b/>
        </w:rPr>
        <w:t>114.</w:t>
      </w:r>
      <w:r>
        <w:tab/>
        <w:t>Deleted by No. 24 of 1998 s. 71.]</w:t>
      </w:r>
    </w:p>
    <w:p>
      <w:pPr>
        <w:pStyle w:val="Ednotesection"/>
        <w:keepNext/>
      </w:pPr>
      <w:r>
        <w:t>[</w:t>
      </w:r>
      <w:r>
        <w:rPr>
          <w:b/>
        </w:rPr>
        <w:t>115.</w:t>
      </w:r>
      <w:r>
        <w:tab/>
        <w:t>Deleted by No. 35 of 2003 s. 164.]</w:t>
      </w:r>
    </w:p>
    <w:p>
      <w:pPr>
        <w:pStyle w:val="Ednotesection"/>
      </w:pPr>
      <w:r>
        <w:t>[</w:t>
      </w:r>
      <w:r>
        <w:rPr>
          <w:b/>
          <w:bCs/>
        </w:rPr>
        <w:t>116.</w:t>
      </w:r>
      <w:r>
        <w:tab/>
        <w:t>Omitted under the Reprints Act 1984 s. 7(4)(e).]</w:t>
      </w:r>
    </w:p>
    <w:p>
      <w:pPr>
        <w:pStyle w:val="Heading5"/>
        <w:rPr>
          <w:snapToGrid w:val="0"/>
        </w:rPr>
      </w:pPr>
      <w:bookmarkStart w:id="149" w:name="_Toc402969494"/>
      <w:r>
        <w:rPr>
          <w:rStyle w:val="CharSectno"/>
        </w:rPr>
        <w:t>117</w:t>
      </w:r>
      <w:r>
        <w:rPr>
          <w:snapToGrid w:val="0"/>
        </w:rPr>
        <w:t>.</w:t>
      </w:r>
      <w:r>
        <w:rPr>
          <w:snapToGrid w:val="0"/>
        </w:rPr>
        <w:tab/>
        <w:t>Regulations</w:t>
      </w:r>
      <w:bookmarkEnd w:id="149"/>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for regulating (including prohibiting advertisements of a type that are not in the public interest) the content of advertisements that convey, or are likely to be understood as conveying, the existence (in this State or elsewhere) of —</w:t>
      </w:r>
    </w:p>
    <w:p>
      <w:pPr>
        <w:pStyle w:val="Indenti"/>
      </w:pPr>
      <w:r>
        <w:tab/>
        <w:t>(i)</w:t>
      </w:r>
      <w:r>
        <w:tab/>
        <w:t>a person referred to in section 43A(3)(a) to (da); or</w:t>
      </w:r>
    </w:p>
    <w:p>
      <w:pPr>
        <w:pStyle w:val="Indenti"/>
      </w:pPr>
      <w:r>
        <w:tab/>
        <w:t>(ii)</w:t>
      </w:r>
      <w:r>
        <w:tab/>
        <w:t>a person or class of person prescribed under section 43A(3)(d).</w:t>
      </w:r>
    </w:p>
    <w:p>
      <w:pPr>
        <w:pStyle w:val="Footnotesection"/>
      </w:pPr>
      <w:r>
        <w:tab/>
        <w:t>[Section 117 amended by No. 35 of 2003 s. 165; No. 29 of 2009 s. 21.]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outlineLvl w:val="0"/>
      </w:pPr>
      <w:bookmarkStart w:id="150" w:name="_Toc402969495"/>
      <w:r>
        <w:t>Notes</w:t>
      </w:r>
      <w:bookmarkEnd w:id="150"/>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51" w:name="_Toc402969496"/>
      <w:r>
        <w:rPr>
          <w:snapToGrid w:val="0"/>
        </w:rPr>
        <w:t>Compilation table</w:t>
      </w:r>
      <w:bookmarkEnd w:id="151"/>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34" w:type="dxa"/>
            <w:tcBorders>
              <w:top w:val="single" w:sz="8" w:space="0" w:color="auto"/>
            </w:tcBorders>
          </w:tcPr>
          <w:p>
            <w:pPr>
              <w:pStyle w:val="nTable"/>
              <w:spacing w:after="40"/>
              <w:rPr>
                <w:sz w:val="19"/>
              </w:rPr>
            </w:pPr>
            <w:r>
              <w:rPr>
                <w:sz w:val="19"/>
              </w:rPr>
              <w:t>50 of 1987</w:t>
            </w:r>
          </w:p>
        </w:tc>
        <w:tc>
          <w:tcPr>
            <w:tcW w:w="1134" w:type="dxa"/>
            <w:tcBorders>
              <w:top w:val="single" w:sz="8" w:space="0" w:color="auto"/>
            </w:tcBorders>
          </w:tcPr>
          <w:p>
            <w:pPr>
              <w:pStyle w:val="nTable"/>
              <w:spacing w:after="40"/>
              <w:rPr>
                <w:sz w:val="19"/>
              </w:rPr>
            </w:pPr>
            <w:r>
              <w:rPr>
                <w:sz w:val="19"/>
              </w:rPr>
              <w:t>8 Oct 1987</w:t>
            </w:r>
          </w:p>
        </w:tc>
        <w:tc>
          <w:tcPr>
            <w:tcW w:w="2551" w:type="dxa"/>
            <w:tcBorders>
              <w:top w:val="single" w:sz="8" w:space="0" w:color="auto"/>
            </w:tcBorders>
          </w:tcPr>
          <w:p>
            <w:pPr>
              <w:pStyle w:val="nTable"/>
              <w:spacing w:after="40"/>
              <w:rPr>
                <w:sz w:val="19"/>
              </w:rPr>
            </w:pPr>
            <w:r>
              <w:rPr>
                <w:color w:val="000000"/>
                <w:sz w:val="19"/>
              </w:rPr>
              <w:t>s. 1 and 2: 8 Oct 1987;</w:t>
            </w:r>
            <w:r>
              <w:rPr>
                <w:color w:val="000000"/>
                <w:sz w:val="19"/>
              </w:rPr>
              <w:br/>
              <w:t xml:space="preserve">s. 3, Pt. II, V Div. 2 and s. 111, 112, 115-117: 4 Mar 1988 (see s. 2 and </w:t>
            </w:r>
            <w:r>
              <w:rPr>
                <w:i/>
                <w:iCs/>
                <w:color w:val="000000"/>
                <w:sz w:val="19"/>
              </w:rPr>
              <w:t>Gazette</w:t>
            </w:r>
            <w:r>
              <w:rPr>
                <w:color w:val="000000"/>
                <w:sz w:val="19"/>
              </w:rPr>
              <w:t xml:space="preserve"> 4 Mar 1988 p. 665);</w:t>
            </w:r>
            <w:r>
              <w:rPr>
                <w:color w:val="000000"/>
                <w:sz w:val="19"/>
              </w:rPr>
              <w:br/>
              <w:t>Act other than Pt. I,  II, V Div. 2 and s. 111, 112 and</w:t>
            </w:r>
            <w:r>
              <w:rPr>
                <w:color w:val="000000"/>
                <w:sz w:val="19"/>
              </w:rPr>
              <w:br/>
              <w:t xml:space="preserve">115-117: 2 May 1988 (see s. 2 and </w:t>
            </w:r>
            <w:r>
              <w:rPr>
                <w:i/>
                <w:iCs/>
                <w:color w:val="000000"/>
                <w:sz w:val="19"/>
              </w:rPr>
              <w:t>Gazette</w:t>
            </w:r>
            <w:r>
              <w:rPr>
                <w:color w:val="000000"/>
                <w:sz w:val="19"/>
              </w:rPr>
              <w:t xml:space="preserve"> 29 Apr 1988 p. 1291)</w:t>
            </w:r>
          </w:p>
        </w:tc>
      </w:tr>
      <w:tr>
        <w:tc>
          <w:tcPr>
            <w:tcW w:w="2268" w:type="dxa"/>
          </w:tcPr>
          <w:p>
            <w:pPr>
              <w:pStyle w:val="nTable"/>
              <w:spacing w:after="40"/>
              <w:rPr>
                <w:sz w:val="19"/>
              </w:rPr>
            </w:pPr>
            <w:r>
              <w:rPr>
                <w:i/>
                <w:sz w:val="19"/>
              </w:rPr>
              <w:t xml:space="preserve">Acts Amendment (Totalisator Agency Board Betting) Act 1987 </w:t>
            </w:r>
            <w:r>
              <w:rPr>
                <w:sz w:val="19"/>
              </w:rPr>
              <w:t>Pt. III</w:t>
            </w:r>
          </w:p>
        </w:tc>
        <w:tc>
          <w:tcPr>
            <w:tcW w:w="1134" w:type="dxa"/>
          </w:tcPr>
          <w:p>
            <w:pPr>
              <w:pStyle w:val="nTable"/>
              <w:spacing w:after="40"/>
              <w:rPr>
                <w:sz w:val="19"/>
              </w:rPr>
            </w:pPr>
            <w:r>
              <w:rPr>
                <w:sz w:val="19"/>
              </w:rPr>
              <w:t>125 of 1987</w:t>
            </w:r>
          </w:p>
        </w:tc>
        <w:tc>
          <w:tcPr>
            <w:tcW w:w="1134" w:type="dxa"/>
          </w:tcPr>
          <w:p>
            <w:pPr>
              <w:pStyle w:val="nTable"/>
              <w:spacing w:after="40"/>
              <w:rPr>
                <w:sz w:val="19"/>
              </w:rPr>
            </w:pPr>
            <w:r>
              <w:rPr>
                <w:sz w:val="19"/>
              </w:rPr>
              <w:t>31 Dec 1987</w:t>
            </w:r>
          </w:p>
        </w:tc>
        <w:tc>
          <w:tcPr>
            <w:tcW w:w="2551" w:type="dxa"/>
          </w:tcPr>
          <w:p>
            <w:pPr>
              <w:pStyle w:val="nTable"/>
              <w:spacing w:after="40"/>
              <w:rPr>
                <w:rFonts w:ascii="Times" w:hAnsi="Times"/>
                <w:sz w:val="19"/>
              </w:rPr>
            </w:pPr>
            <w:r>
              <w:rPr>
                <w:rFonts w:ascii="Times" w:hAnsi="Times"/>
                <w:sz w:val="19"/>
              </w:rPr>
              <w:t xml:space="preserve">25 Mar 1988 (see s. 2 and </w:t>
            </w:r>
            <w:r>
              <w:rPr>
                <w:rFonts w:ascii="Times" w:hAnsi="Times"/>
                <w:i/>
                <w:sz w:val="19"/>
              </w:rPr>
              <w:t>Gazette</w:t>
            </w:r>
            <w:r>
              <w:rPr>
                <w:rFonts w:ascii="Times" w:hAnsi="Times"/>
                <w:sz w:val="19"/>
              </w:rPr>
              <w:t xml:space="preserve"> 25 Mar 1988 p. 933)</w:t>
            </w:r>
          </w:p>
        </w:tc>
      </w:tr>
      <w:tr>
        <w:tc>
          <w:tcPr>
            <w:tcW w:w="2268" w:type="dxa"/>
          </w:tcPr>
          <w:p>
            <w:pPr>
              <w:pStyle w:val="nTable"/>
              <w:spacing w:after="40"/>
              <w:rPr>
                <w:sz w:val="19"/>
              </w:rPr>
            </w:pPr>
            <w:r>
              <w:rPr>
                <w:i/>
                <w:sz w:val="19"/>
              </w:rPr>
              <w:t xml:space="preserve">Lotteries Commission Act 1990 </w:t>
            </w:r>
            <w:r>
              <w:rPr>
                <w:sz w:val="19"/>
              </w:rPr>
              <w:t>s. 31(3) and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rFonts w:ascii="Times" w:hAnsi="Times"/>
                <w:sz w:val="19"/>
              </w:rPr>
            </w:pPr>
            <w:r>
              <w:rPr>
                <w:rFonts w:ascii="Times" w:hAnsi="Times"/>
                <w:sz w:val="19"/>
              </w:rPr>
              <w:t xml:space="preserve">1 Jan 1991 (see s. 2 and </w:t>
            </w:r>
            <w:r>
              <w:rPr>
                <w:rFonts w:ascii="Times" w:hAnsi="Times"/>
                <w:i/>
                <w:sz w:val="19"/>
              </w:rPr>
              <w:t>Gazette</w:t>
            </w:r>
            <w:r>
              <w:rPr>
                <w:rFonts w:ascii="Times" w:hAnsi="Times"/>
                <w:sz w:val="19"/>
              </w:rPr>
              <w:t xml:space="preserve"> 28 Dec 1990 p. 6369)</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rFonts w:ascii="Times" w:hAnsi="Times"/>
                <w:sz w:val="19"/>
              </w:rPr>
            </w:pPr>
            <w:r>
              <w:rPr>
                <w:rFonts w:ascii="Times" w:hAnsi="Times"/>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rFonts w:ascii="Times" w:hAnsi="Times"/>
                <w:sz w:val="19"/>
              </w:rPr>
            </w:pPr>
            <w:r>
              <w:rPr>
                <w:rFonts w:ascii="Times" w:hAnsi="Times"/>
                <w:sz w:val="19"/>
              </w:rPr>
              <w:t xml:space="preserve">1 Oct 1994 (see s. 2 and </w:t>
            </w:r>
            <w:r>
              <w:rPr>
                <w:rFonts w:ascii="Times" w:hAnsi="Times"/>
                <w:i/>
                <w:sz w:val="19"/>
              </w:rPr>
              <w:t>Gazette</w:t>
            </w:r>
            <w:r>
              <w:rPr>
                <w:rFonts w:ascii="Times" w:hAnsi="Times"/>
                <w:sz w:val="19"/>
              </w:rPr>
              <w:t xml:space="preserve"> 30 Sep 1994 p. 4948)</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rFonts w:ascii="Times" w:hAnsi="Times"/>
                <w:sz w:val="19"/>
              </w:rPr>
            </w:pPr>
            <w:r>
              <w:rPr>
                <w:rFonts w:ascii="Times" w:hAnsi="Times"/>
                <w:sz w:val="19"/>
              </w:rPr>
              <w:t xml:space="preserve">4 Nov 1996 (see s. 2 and </w:t>
            </w:r>
            <w:r>
              <w:rPr>
                <w:rFonts w:ascii="Times" w:hAnsi="Times"/>
                <w:i/>
                <w:sz w:val="19"/>
              </w:rPr>
              <w:t>Gazette</w:t>
            </w:r>
            <w:r>
              <w:rPr>
                <w:rFonts w:ascii="Times" w:hAnsi="Times"/>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rFonts w:ascii="Times" w:hAnsi="Times"/>
                <w:sz w:val="19"/>
              </w:rPr>
            </w:pPr>
            <w:r>
              <w:rPr>
                <w:rFonts w:ascii="Times" w:hAnsi="Times"/>
                <w:sz w:val="19"/>
              </w:rPr>
              <w:t>1 Jul 1996 (see s. 2)</w:t>
            </w:r>
          </w:p>
        </w:tc>
      </w:tr>
      <w:tr>
        <w:tc>
          <w:tcPr>
            <w:tcW w:w="2268" w:type="dxa"/>
          </w:tcPr>
          <w:p>
            <w:pPr>
              <w:pStyle w:val="nTable"/>
              <w:spacing w:after="40"/>
              <w:rPr>
                <w:sz w:val="19"/>
              </w:rPr>
            </w:pPr>
            <w:r>
              <w:rPr>
                <w:i/>
                <w:sz w:val="19"/>
              </w:rPr>
              <w:t xml:space="preserve">Financial Legislation Amendment Act 1996 </w:t>
            </w:r>
            <w:r>
              <w:rPr>
                <w:sz w:val="19"/>
              </w:rPr>
              <w:t>s. 55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rFonts w:ascii="Times" w:hAnsi="Times"/>
                <w:sz w:val="19"/>
              </w:rPr>
            </w:pPr>
            <w:r>
              <w:rPr>
                <w:rFonts w:ascii="Times" w:hAnsi="Times"/>
                <w:sz w:val="19"/>
              </w:rPr>
              <w:t>25 Oct 1996 (see s. 2(1))</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in </w:t>
            </w:r>
            <w:r>
              <w:rPr>
                <w:i/>
                <w:iCs/>
                <w:sz w:val="19"/>
              </w:rPr>
              <w:t>Gazette</w:t>
            </w:r>
            <w:r>
              <w:rPr>
                <w:sz w:val="19"/>
              </w:rPr>
              <w:t xml:space="preserve"> 6 Jun 1997 p. 2644)</w:t>
            </w:r>
          </w:p>
        </w:tc>
      </w:tr>
      <w:tr>
        <w:trPr>
          <w:cantSplit/>
        </w:trPr>
        <w:tc>
          <w:tcPr>
            <w:tcW w:w="2268"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34" w:type="dxa"/>
          </w:tcPr>
          <w:p>
            <w:pPr>
              <w:pStyle w:val="nTable"/>
              <w:spacing w:after="40"/>
              <w:rPr>
                <w:sz w:val="19"/>
              </w:rPr>
            </w:pPr>
            <w:r>
              <w:rPr>
                <w:sz w:val="19"/>
              </w:rPr>
              <w:t>24 of 1998</w:t>
            </w:r>
          </w:p>
        </w:tc>
        <w:tc>
          <w:tcPr>
            <w:tcW w:w="1134" w:type="dxa"/>
          </w:tcPr>
          <w:p>
            <w:pPr>
              <w:pStyle w:val="nTable"/>
              <w:spacing w:after="40"/>
              <w:rPr>
                <w:sz w:val="19"/>
              </w:rPr>
            </w:pPr>
            <w:r>
              <w:rPr>
                <w:sz w:val="19"/>
              </w:rPr>
              <w:t>30 Jun 1998</w:t>
            </w:r>
          </w:p>
        </w:tc>
        <w:tc>
          <w:tcPr>
            <w:tcW w:w="2551" w:type="dxa"/>
          </w:tcPr>
          <w:p>
            <w:pPr>
              <w:pStyle w:val="nTable"/>
              <w:spacing w:after="40"/>
              <w:rPr>
                <w:rFonts w:ascii="Times" w:hAnsi="Times"/>
                <w:sz w:val="19"/>
              </w:rPr>
            </w:pPr>
            <w:r>
              <w:rPr>
                <w:rFonts w:ascii="Times" w:hAnsi="Times"/>
                <w:sz w:val="19"/>
              </w:rPr>
              <w:t xml:space="preserve">5 Aug 1998 (see s. 2 and </w:t>
            </w:r>
            <w:r>
              <w:rPr>
                <w:rFonts w:ascii="Times" w:hAnsi="Times"/>
                <w:i/>
                <w:sz w:val="19"/>
              </w:rPr>
              <w:t>Gazette</w:t>
            </w:r>
            <w:r>
              <w:rPr>
                <w:rFonts w:ascii="Times" w:hAnsi="Times"/>
                <w:sz w:val="19"/>
              </w:rPr>
              <w:t xml:space="preserve"> 4 Aug 1998 p. 3981)</w:t>
            </w:r>
          </w:p>
        </w:tc>
      </w:tr>
      <w:tr>
        <w:trPr>
          <w:cantSplit/>
        </w:trPr>
        <w:tc>
          <w:tcPr>
            <w:tcW w:w="2268" w:type="dxa"/>
          </w:tcPr>
          <w:p>
            <w:pPr>
              <w:pStyle w:val="nTable"/>
              <w:spacing w:after="40"/>
              <w:rPr>
                <w:sz w:val="19"/>
              </w:rPr>
            </w:pPr>
            <w:r>
              <w:rPr>
                <w:i/>
                <w:sz w:val="19"/>
              </w:rPr>
              <w:t xml:space="preserve">Lotteries Commission Amendment Act 1998 </w:t>
            </w:r>
            <w:r>
              <w:rPr>
                <w:sz w:val="19"/>
              </w:rPr>
              <w:t>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8"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tcPr>
          <w:p>
            <w:pPr>
              <w:pStyle w:val="nTable"/>
              <w:spacing w:after="40"/>
              <w:rPr>
                <w:i/>
                <w:sz w:val="19"/>
              </w:rPr>
            </w:pPr>
            <w:r>
              <w:rPr>
                <w:i/>
                <w:sz w:val="19"/>
              </w:rPr>
              <w:t xml:space="preserve">Statutes (Repeals and Minor Amendments) Act 2000 </w:t>
            </w:r>
            <w:r>
              <w:rPr>
                <w:sz w:val="19"/>
              </w:rPr>
              <w:t>s. 52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c>
          <w:tcPr>
            <w:tcW w:w="2268" w:type="dxa"/>
          </w:tcPr>
          <w:p>
            <w:pPr>
              <w:pStyle w:val="nTable"/>
              <w:spacing w:after="40"/>
              <w:rPr>
                <w:i/>
                <w:sz w:val="19"/>
              </w:rPr>
            </w:pPr>
            <w:r>
              <w:rPr>
                <w:i/>
                <w:sz w:val="19"/>
              </w:rPr>
              <w:t>Corporations (Consequential Amendments) Act 2001</w:t>
            </w:r>
            <w:r>
              <w:rPr>
                <w:sz w:val="19"/>
              </w:rPr>
              <w:t xml:space="preserve"> Pt. 27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z w:val="19"/>
              </w:rPr>
              <w:t xml:space="preserve">Taxation Administration (Consequential Provisions) Act 2002 </w:t>
            </w:r>
            <w:r>
              <w:rPr>
                <w:sz w:val="19"/>
              </w:rPr>
              <w:t>s. 13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rFonts w:ascii="Times" w:hAnsi="Times"/>
                <w:sz w:val="19"/>
              </w:rPr>
            </w:pPr>
            <w:r>
              <w:rPr>
                <w:rFonts w:ascii="Times" w:hAnsi="Times"/>
                <w:sz w:val="19"/>
              </w:rPr>
              <w:t>s. 132(1) and (2), 151</w:t>
            </w:r>
            <w:r>
              <w:rPr>
                <w:rFonts w:ascii="Times" w:hAnsi="Times"/>
                <w:sz w:val="19"/>
              </w:rPr>
              <w:noBreakHyphen/>
              <w:t>154, 163</w:t>
            </w:r>
            <w:r>
              <w:rPr>
                <w:rFonts w:ascii="Times" w:hAnsi="Times"/>
                <w:sz w:val="19"/>
              </w:rPr>
              <w:noBreakHyphen/>
              <w:t xml:space="preserve">164: 1 Aug 2003 (see s. 2 and </w:t>
            </w:r>
            <w:r>
              <w:rPr>
                <w:rFonts w:ascii="Times" w:hAnsi="Times"/>
                <w:i/>
                <w:sz w:val="19"/>
              </w:rPr>
              <w:t>Gazette</w:t>
            </w:r>
            <w:r>
              <w:rPr>
                <w:rFonts w:ascii="Times" w:hAnsi="Times"/>
                <w:sz w:val="19"/>
              </w:rPr>
              <w:t xml:space="preserve"> 29 Jul 2003 p. 3259);</w:t>
            </w:r>
            <w:r>
              <w:rPr>
                <w:rFonts w:ascii="Times" w:hAnsi="Times"/>
                <w:sz w:val="19"/>
              </w:rPr>
              <w:br/>
              <w:t>s. 120</w:t>
            </w:r>
            <w:r>
              <w:rPr>
                <w:rFonts w:ascii="Times" w:hAnsi="Times"/>
                <w:sz w:val="19"/>
              </w:rPr>
              <w:noBreakHyphen/>
              <w:t>131, 132(3), 133</w:t>
            </w:r>
            <w:r>
              <w:rPr>
                <w:rFonts w:ascii="Times" w:hAnsi="Times"/>
                <w:sz w:val="19"/>
              </w:rPr>
              <w:noBreakHyphen/>
              <w:t>150, 155</w:t>
            </w:r>
            <w:r>
              <w:rPr>
                <w:rFonts w:ascii="Times" w:hAnsi="Times"/>
                <w:sz w:val="19"/>
              </w:rPr>
              <w:noBreakHyphen/>
              <w:t>162 and 165</w:t>
            </w:r>
            <w:r>
              <w:rPr>
                <w:rFonts w:ascii="Times" w:hAnsi="Times"/>
                <w:sz w:val="19"/>
              </w:rPr>
              <w:noBreakHyphen/>
              <w:t xml:space="preserve">168: 30 Jan 2004 (see s. 2 and </w:t>
            </w:r>
            <w:r>
              <w:rPr>
                <w:rFonts w:ascii="Times" w:hAnsi="Times"/>
                <w:i/>
                <w:sz w:val="19"/>
              </w:rPr>
              <w:t>Gazette</w:t>
            </w:r>
            <w:r>
              <w:rPr>
                <w:rFonts w:ascii="Times" w:hAnsi="Times"/>
                <w:sz w:val="19"/>
              </w:rPr>
              <w:t xml:space="preserve"> 30 Jan 2004 p. 397)</w:t>
            </w:r>
          </w:p>
        </w:tc>
      </w:tr>
      <w:tr>
        <w:tc>
          <w:tcPr>
            <w:tcW w:w="2268" w:type="dxa"/>
          </w:tcPr>
          <w:p>
            <w:pPr>
              <w:pStyle w:val="nTable"/>
              <w:spacing w:after="40"/>
              <w:rPr>
                <w:i/>
                <w:sz w:val="19"/>
              </w:rPr>
            </w:pPr>
            <w:r>
              <w:rPr>
                <w:i/>
                <w:sz w:val="19"/>
              </w:rPr>
              <w:t xml:space="preserve">Sentencing Legislation Amendment and Repeal Act 2003 </w:t>
            </w:r>
            <w:r>
              <w:rPr>
                <w:sz w:val="19"/>
              </w:rPr>
              <w:t>s. 66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rPr>
            </w:pPr>
            <w:r>
              <w:rPr>
                <w:i/>
                <w:iCs/>
                <w:snapToGrid w:val="0"/>
                <w:sz w:val="19"/>
              </w:rPr>
              <w:t>Courts Legislation Amendment and Repeal Act 2004</w:t>
            </w:r>
            <w:r>
              <w:rPr>
                <w:snapToGrid w:val="0"/>
                <w:sz w:val="19"/>
              </w:rPr>
              <w:t xml:space="preserve"> s. 141</w:t>
            </w:r>
          </w:p>
        </w:tc>
        <w:tc>
          <w:tcPr>
            <w:tcW w:w="1134" w:type="dxa"/>
            <w:tcBorders>
              <w:top w:val="nil"/>
              <w:bottom w:val="nil"/>
            </w:tcBorders>
          </w:tcPr>
          <w:p>
            <w:pPr>
              <w:pStyle w:val="nTable"/>
              <w:spacing w:after="40"/>
              <w:rPr>
                <w:snapToGrid w:val="0"/>
                <w:sz w:val="19"/>
              </w:rPr>
            </w:pPr>
            <w:r>
              <w:rPr>
                <w:snapToGrid w:val="0"/>
                <w:sz w:val="19"/>
              </w:rPr>
              <w:t>59 of 2004</w:t>
            </w:r>
          </w:p>
        </w:tc>
        <w:tc>
          <w:tcPr>
            <w:tcW w:w="1134" w:type="dxa"/>
            <w:tcBorders>
              <w:top w:val="nil"/>
              <w:bottom w:val="nil"/>
            </w:tcBorders>
          </w:tcPr>
          <w:p>
            <w:pPr>
              <w:pStyle w:val="nTable"/>
              <w:spacing w:after="40"/>
              <w:rPr>
                <w:snapToGrid w:val="0"/>
                <w:sz w:val="19"/>
              </w:rPr>
            </w:pPr>
            <w:r>
              <w:rPr>
                <w:snapToGrid w:val="0"/>
                <w:sz w:val="19"/>
              </w:rPr>
              <w:t>23 Nov 2004</w:t>
            </w:r>
          </w:p>
        </w:tc>
        <w:tc>
          <w:tcPr>
            <w:tcW w:w="2551" w:type="dxa"/>
            <w:tcBorders>
              <w:top w:val="nil"/>
              <w:bottom w:val="nil"/>
            </w:tcBorders>
          </w:tcPr>
          <w:p>
            <w:pPr>
              <w:pStyle w:val="nTable"/>
              <w:spacing w:after="40"/>
              <w:rPr>
                <w:snapToGrid w:val="0"/>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rPr>
            </w:pPr>
            <w:r>
              <w:rPr>
                <w:i/>
                <w:iCs/>
                <w:snapToGrid w:val="0"/>
                <w:sz w:val="19"/>
              </w:rPr>
              <w:t xml:space="preserve">Criminal Law Amendment (Simple Offences) Act 2004 </w:t>
            </w:r>
            <w:r>
              <w:rPr>
                <w:snapToGrid w:val="0"/>
                <w:sz w:val="19"/>
              </w:rPr>
              <w:t>s. 82</w:t>
            </w:r>
          </w:p>
        </w:tc>
        <w:tc>
          <w:tcPr>
            <w:tcW w:w="1134" w:type="dxa"/>
            <w:tcBorders>
              <w:top w:val="nil"/>
              <w:bottom w:val="nil"/>
            </w:tcBorders>
          </w:tcPr>
          <w:p>
            <w:pPr>
              <w:pStyle w:val="nTable"/>
              <w:spacing w:after="40"/>
              <w:rPr>
                <w:snapToGrid w:val="0"/>
                <w:sz w:val="19"/>
              </w:rPr>
            </w:pPr>
            <w:r>
              <w:rPr>
                <w:snapToGrid w:val="0"/>
                <w:sz w:val="19"/>
              </w:rPr>
              <w:t>70 of 2004</w:t>
            </w:r>
          </w:p>
        </w:tc>
        <w:tc>
          <w:tcPr>
            <w:tcW w:w="1134" w:type="dxa"/>
            <w:tcBorders>
              <w:top w:val="nil"/>
              <w:bottom w:val="nil"/>
            </w:tcBorders>
          </w:tcPr>
          <w:p>
            <w:pPr>
              <w:pStyle w:val="nTable"/>
              <w:spacing w:after="40"/>
              <w:rPr>
                <w:snapToGrid w:val="0"/>
                <w:sz w:val="19"/>
              </w:rPr>
            </w:pPr>
            <w:r>
              <w:rPr>
                <w:snapToGrid w:val="0"/>
                <w:sz w:val="19"/>
              </w:rPr>
              <w:t>8 Dec 2004</w:t>
            </w:r>
          </w:p>
        </w:tc>
        <w:tc>
          <w:tcPr>
            <w:tcW w:w="2551" w:type="dxa"/>
            <w:tcBorders>
              <w:top w:val="nil"/>
              <w:bottom w:val="nil"/>
            </w:tcBorders>
          </w:tcPr>
          <w:p>
            <w:pPr>
              <w:pStyle w:val="nTable"/>
              <w:spacing w:after="40"/>
              <w:rPr>
                <w:snapToGrid w:val="0"/>
                <w:sz w:val="19"/>
              </w:rPr>
            </w:pPr>
            <w:r>
              <w:rPr>
                <w:snapToGrid w:val="0"/>
                <w:sz w:val="19"/>
              </w:rPr>
              <w:t xml:space="preserve">31 May 2005 (see s. 2 and </w:t>
            </w:r>
            <w:r>
              <w:rPr>
                <w:i/>
                <w:iCs/>
                <w:snapToGrid w:val="0"/>
                <w:sz w:val="19"/>
              </w:rPr>
              <w:t>Gazette</w:t>
            </w:r>
            <w:r>
              <w:rPr>
                <w:snapToGrid w:val="0"/>
                <w:sz w:val="19"/>
              </w:rPr>
              <w:t xml:space="preserve"> 14 Jan 2005 p. 163)</w:t>
            </w:r>
          </w:p>
        </w:tc>
      </w:tr>
      <w:tr>
        <w:trPr>
          <w:cantSplit/>
        </w:trPr>
        <w:tc>
          <w:tcPr>
            <w:tcW w:w="2268" w:type="dxa"/>
          </w:tcPr>
          <w:p>
            <w:pPr>
              <w:pStyle w:val="nTable"/>
              <w:spacing w:after="40"/>
              <w:rPr>
                <w:snapToGrid w:val="0"/>
                <w:sz w:val="19"/>
                <w:vertAlign w:val="superscript"/>
              </w:rPr>
            </w:pPr>
            <w:r>
              <w:rPr>
                <w:i/>
                <w:iCs/>
                <w:snapToGrid w:val="0"/>
                <w:sz w:val="19"/>
              </w:rPr>
              <w:t>Criminal Procedure and Appeals (Consequential and Other Provisions) Act 2004</w:t>
            </w:r>
            <w:r>
              <w:rPr>
                <w:snapToGrid w:val="0"/>
                <w:sz w:val="19"/>
              </w:rPr>
              <w:t xml:space="preserve"> s. 80</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2268" w:type="dxa"/>
          </w:tcPr>
          <w:p>
            <w:pPr>
              <w:pStyle w:val="nTable"/>
              <w:spacing w:after="40"/>
              <w:rPr>
                <w:i/>
                <w:iCs/>
                <w:snapToGrid w:val="0"/>
                <w:sz w:val="19"/>
              </w:rPr>
            </w:pPr>
            <w:r>
              <w:rPr>
                <w:i/>
                <w:iCs/>
                <w:snapToGrid w:val="0"/>
                <w:sz w:val="19"/>
              </w:rPr>
              <w:t>Planning and Development (Consequential and Transitional Provisions) Act 2005</w:t>
            </w:r>
            <w:r>
              <w:rPr>
                <w:snapToGrid w:val="0"/>
                <w:sz w:val="19"/>
              </w:rPr>
              <w:t xml:space="preserve"> s. 15</w:t>
            </w:r>
          </w:p>
        </w:tc>
        <w:tc>
          <w:tcPr>
            <w:tcW w:w="1134" w:type="dxa"/>
          </w:tcPr>
          <w:p>
            <w:pPr>
              <w:pStyle w:val="nTable"/>
              <w:spacing w:after="40"/>
              <w:rPr>
                <w:snapToGrid w:val="0"/>
                <w:sz w:val="19"/>
              </w:rPr>
            </w:pPr>
            <w:r>
              <w:rPr>
                <w:snapToGrid w:val="0"/>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rPr>
            </w:pPr>
            <w:r>
              <w:rPr>
                <w:snapToGrid w:val="0"/>
                <w:sz w:val="19"/>
              </w:rPr>
              <w:t xml:space="preserve">9 Apr 2006 (see s. 2 and </w:t>
            </w:r>
            <w:r>
              <w:rPr>
                <w:i/>
                <w:iCs/>
                <w:snapToGrid w:val="0"/>
                <w:sz w:val="19"/>
              </w:rPr>
              <w:t>Gazette</w:t>
            </w:r>
            <w:r>
              <w:rPr>
                <w:snapToGrid w:val="0"/>
                <w:sz w:val="19"/>
              </w:rPr>
              <w:t xml:space="preserve"> 21 Mar 2006 p. 1078)</w:t>
            </w:r>
          </w:p>
        </w:tc>
      </w:tr>
      <w:tr>
        <w:tc>
          <w:tcPr>
            <w:tcW w:w="2268" w:type="dxa"/>
          </w:tcPr>
          <w:p>
            <w:pPr>
              <w:pStyle w:val="nTable"/>
              <w:spacing w:after="40"/>
              <w:rPr>
                <w:i/>
                <w:iCs/>
                <w:snapToGrid w:val="0"/>
                <w:sz w:val="19"/>
              </w:rPr>
            </w:pPr>
            <w:r>
              <w:rPr>
                <w:i/>
                <w:iCs/>
                <w:snapToGrid w:val="0"/>
                <w:sz w:val="19"/>
              </w:rPr>
              <w:t xml:space="preserve">Machinery of Government (Miscellaneous Amendments) Act 2006 </w:t>
            </w:r>
            <w:r>
              <w:rPr>
                <w:snapToGrid w:val="0"/>
                <w:sz w:val="19"/>
              </w:rPr>
              <w:t>Pt. 16 Div. 1</w:t>
            </w:r>
          </w:p>
        </w:tc>
        <w:tc>
          <w:tcPr>
            <w:tcW w:w="1134" w:type="dxa"/>
          </w:tcPr>
          <w:p>
            <w:pPr>
              <w:pStyle w:val="nTable"/>
              <w:spacing w:after="40"/>
              <w:rPr>
                <w:snapToGrid w:val="0"/>
                <w:sz w:val="19"/>
              </w:rPr>
            </w:pPr>
            <w:r>
              <w:rPr>
                <w:snapToGrid w:val="0"/>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rPr>
            </w:pPr>
            <w:r>
              <w:rPr>
                <w:snapToGrid w:val="0"/>
                <w:sz w:val="19"/>
              </w:rPr>
              <w:t xml:space="preserve">1 Jul 2006 (see s. 2 and </w:t>
            </w:r>
            <w:r>
              <w:rPr>
                <w:i/>
                <w:iCs/>
                <w:snapToGrid w:val="0"/>
                <w:sz w:val="19"/>
              </w:rPr>
              <w:t>Gazette</w:t>
            </w:r>
            <w:r>
              <w:rPr>
                <w:snapToGrid w:val="0"/>
                <w:sz w:val="19"/>
              </w:rPr>
              <w:t xml:space="preserve"> 27 Jun 2006 p. 2347)</w:t>
            </w:r>
          </w:p>
        </w:tc>
      </w:tr>
      <w:tr>
        <w:trPr>
          <w:cantSplit/>
        </w:trPr>
        <w:tc>
          <w:tcPr>
            <w:tcW w:w="7087" w:type="dxa"/>
            <w:gridSpan w:val="4"/>
          </w:tcPr>
          <w:p>
            <w:pPr>
              <w:pStyle w:val="nTable"/>
              <w:spacing w:after="40"/>
              <w:rPr>
                <w:snapToGrid w:val="0"/>
                <w:sz w:val="19"/>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r>
        <w:trPr>
          <w:cantSplit/>
        </w:trPr>
        <w:tc>
          <w:tcPr>
            <w:tcW w:w="2268" w:type="dxa"/>
          </w:tcPr>
          <w:p>
            <w:pPr>
              <w:pStyle w:val="nTable"/>
              <w:spacing w:after="40"/>
              <w:rPr>
                <w:iCs/>
                <w:snapToGrid w:val="0"/>
                <w:sz w:val="19"/>
              </w:rPr>
            </w:pPr>
            <w:r>
              <w:rPr>
                <w:i/>
                <w:snapToGrid w:val="0"/>
                <w:sz w:val="19"/>
              </w:rPr>
              <w:t>Criminal Investigation (Consequential Provisions) Act 2006</w:t>
            </w:r>
            <w:r>
              <w:rPr>
                <w:iCs/>
                <w:snapToGrid w:val="0"/>
                <w:sz w:val="19"/>
              </w:rPr>
              <w:t xml:space="preserve"> Pt. 9</w:t>
            </w:r>
          </w:p>
        </w:tc>
        <w:tc>
          <w:tcPr>
            <w:tcW w:w="1134" w:type="dxa"/>
          </w:tcPr>
          <w:p>
            <w:pPr>
              <w:pStyle w:val="nTable"/>
              <w:spacing w:after="40"/>
              <w:rPr>
                <w:snapToGrid w:val="0"/>
                <w:sz w:val="19"/>
              </w:rPr>
            </w:pPr>
            <w:r>
              <w:rPr>
                <w:snapToGrid w:val="0"/>
                <w:sz w:val="19"/>
              </w:rPr>
              <w:t>59 of 2006</w:t>
            </w:r>
          </w:p>
        </w:tc>
        <w:tc>
          <w:tcPr>
            <w:tcW w:w="1134" w:type="dxa"/>
          </w:tcPr>
          <w:p>
            <w:pPr>
              <w:pStyle w:val="nTable"/>
              <w:spacing w:after="40"/>
              <w:rPr>
                <w:sz w:val="19"/>
              </w:rPr>
            </w:pPr>
            <w:r>
              <w:rPr>
                <w:sz w:val="19"/>
              </w:rPr>
              <w:t>16 Nov 2006</w:t>
            </w:r>
          </w:p>
        </w:tc>
        <w:tc>
          <w:tcPr>
            <w:tcW w:w="2551"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cantSplit/>
        </w:trPr>
        <w:tc>
          <w:tcPr>
            <w:tcW w:w="2268" w:type="dxa"/>
          </w:tcPr>
          <w:p>
            <w:pPr>
              <w:pStyle w:val="nTable"/>
              <w:spacing w:after="40"/>
              <w:rPr>
                <w:iCs/>
                <w:snapToGrid w:val="0"/>
                <w:sz w:val="19"/>
              </w:rPr>
            </w:pPr>
            <w:r>
              <w:rPr>
                <w:i/>
                <w:snapToGrid w:val="0"/>
                <w:sz w:val="19"/>
              </w:rPr>
              <w:t>Betting and Racing Legislation Amendment Act 2006</w:t>
            </w:r>
            <w:r>
              <w:rPr>
                <w:iCs/>
                <w:snapToGrid w:val="0"/>
                <w:sz w:val="19"/>
              </w:rPr>
              <w:t xml:space="preserve"> s. 9(2)</w:t>
            </w:r>
          </w:p>
        </w:tc>
        <w:tc>
          <w:tcPr>
            <w:tcW w:w="1134" w:type="dxa"/>
          </w:tcPr>
          <w:p>
            <w:pPr>
              <w:pStyle w:val="nTable"/>
              <w:spacing w:after="40"/>
              <w:rPr>
                <w:snapToGrid w:val="0"/>
                <w:sz w:val="19"/>
              </w:rPr>
            </w:pPr>
            <w:r>
              <w:rPr>
                <w:snapToGrid w:val="0"/>
                <w:sz w:val="19"/>
              </w:rPr>
              <w:t>70 of 2006</w:t>
            </w:r>
          </w:p>
        </w:tc>
        <w:tc>
          <w:tcPr>
            <w:tcW w:w="1134" w:type="dxa"/>
          </w:tcPr>
          <w:p>
            <w:pPr>
              <w:pStyle w:val="nTable"/>
              <w:spacing w:after="40"/>
              <w:rPr>
                <w:sz w:val="19"/>
              </w:rPr>
            </w:pPr>
            <w:r>
              <w:rPr>
                <w:sz w:val="19"/>
              </w:rPr>
              <w:t>13 Dec 2006</w:t>
            </w:r>
          </w:p>
        </w:tc>
        <w:tc>
          <w:tcPr>
            <w:tcW w:w="2551" w:type="dxa"/>
          </w:tcPr>
          <w:p>
            <w:pPr>
              <w:pStyle w:val="nTable"/>
              <w:spacing w:after="40"/>
              <w:rPr>
                <w:snapToGrid w:val="0"/>
                <w:sz w:val="19"/>
              </w:rPr>
            </w:pPr>
            <w:r>
              <w:rPr>
                <w:snapToGrid w:val="0"/>
                <w:sz w:val="19"/>
              </w:rPr>
              <w:t xml:space="preserve">9 Jul 2007 (see s. 2 and </w:t>
            </w:r>
            <w:r>
              <w:rPr>
                <w:i/>
                <w:iCs/>
                <w:snapToGrid w:val="0"/>
                <w:sz w:val="19"/>
              </w:rPr>
              <w:t>Gazette</w:t>
            </w:r>
            <w:r>
              <w:rPr>
                <w:snapToGrid w:val="0"/>
                <w:sz w:val="19"/>
              </w:rPr>
              <w:t xml:space="preserve"> 22 Jun 2007 p. 2837)</w:t>
            </w:r>
          </w:p>
        </w:tc>
      </w:tr>
      <w:tr>
        <w:tc>
          <w:tcPr>
            <w:tcW w:w="2268" w:type="dxa"/>
          </w:tcPr>
          <w:p>
            <w:pPr>
              <w:pStyle w:val="nTable"/>
              <w:spacing w:after="40"/>
              <w:rPr>
                <w:i/>
                <w:iCs/>
                <w:snapToGrid w:val="0"/>
                <w:sz w:val="19"/>
              </w:rPr>
            </w:pPr>
            <w:r>
              <w:rPr>
                <w:i/>
                <w:iCs/>
                <w:snapToGrid w:val="0"/>
                <w:sz w:val="19"/>
              </w:rPr>
              <w:t xml:space="preserve">Liquor and Gaming Legislation Amendment Act 2006 </w:t>
            </w:r>
            <w:r>
              <w:rPr>
                <w:snapToGrid w:val="0"/>
                <w:sz w:val="19"/>
              </w:rPr>
              <w:t>Pt. 3 and s. 114</w:t>
            </w:r>
          </w:p>
        </w:tc>
        <w:tc>
          <w:tcPr>
            <w:tcW w:w="1134" w:type="dxa"/>
          </w:tcPr>
          <w:p>
            <w:pPr>
              <w:pStyle w:val="nTable"/>
              <w:spacing w:after="40"/>
              <w:rPr>
                <w:snapToGrid w:val="0"/>
                <w:sz w:val="19"/>
              </w:rPr>
            </w:pPr>
            <w:r>
              <w:rPr>
                <w:snapToGrid w:val="0"/>
                <w:sz w:val="19"/>
              </w:rPr>
              <w:t>73 of 2006</w:t>
            </w:r>
          </w:p>
        </w:tc>
        <w:tc>
          <w:tcPr>
            <w:tcW w:w="1134" w:type="dxa"/>
          </w:tcPr>
          <w:p>
            <w:pPr>
              <w:pStyle w:val="nTable"/>
              <w:spacing w:after="40"/>
              <w:rPr>
                <w:sz w:val="19"/>
              </w:rPr>
            </w:pPr>
            <w:r>
              <w:rPr>
                <w:snapToGrid w:val="0"/>
                <w:sz w:val="19"/>
              </w:rPr>
              <w:t>13 Dec 2006</w:t>
            </w:r>
          </w:p>
        </w:tc>
        <w:tc>
          <w:tcPr>
            <w:tcW w:w="2551" w:type="dxa"/>
          </w:tcPr>
          <w:p>
            <w:pPr>
              <w:pStyle w:val="nTable"/>
              <w:spacing w:after="40"/>
              <w:rPr>
                <w:snapToGrid w:val="0"/>
                <w:sz w:val="19"/>
              </w:rPr>
            </w:pPr>
            <w:r>
              <w:rPr>
                <w:snapToGrid w:val="0"/>
                <w:sz w:val="19"/>
              </w:rPr>
              <w:t xml:space="preserve">s. 114: 7 May 2007 (see s. 2(2) and </w:t>
            </w:r>
            <w:r>
              <w:rPr>
                <w:i/>
                <w:iCs/>
                <w:snapToGrid w:val="0"/>
                <w:sz w:val="19"/>
              </w:rPr>
              <w:t xml:space="preserve">Gazette </w:t>
            </w:r>
            <w:r>
              <w:rPr>
                <w:snapToGrid w:val="0"/>
                <w:sz w:val="19"/>
              </w:rPr>
              <w:t>1 May 2007 p. 1893);</w:t>
            </w:r>
            <w:r>
              <w:rPr>
                <w:snapToGrid w:val="0"/>
                <w:sz w:val="19"/>
              </w:rPr>
              <w:br/>
              <w:t xml:space="preserve">Pt. 3: 14 Jun 2008 (see s. 2(2) and </w:t>
            </w:r>
            <w:r>
              <w:rPr>
                <w:i/>
                <w:iCs/>
                <w:snapToGrid w:val="0"/>
                <w:sz w:val="19"/>
              </w:rPr>
              <w:t>Gazette</w:t>
            </w:r>
            <w:r>
              <w:rPr>
                <w:snapToGrid w:val="0"/>
                <w:sz w:val="19"/>
              </w:rPr>
              <w:t xml:space="preserve"> 13 Jun 2008 p. 2515)</w:t>
            </w:r>
          </w:p>
        </w:tc>
      </w:tr>
      <w:tr>
        <w:tc>
          <w:tcPr>
            <w:tcW w:w="2268" w:type="dxa"/>
          </w:tcPr>
          <w:p>
            <w:pPr>
              <w:pStyle w:val="nTable"/>
              <w:spacing w:after="40"/>
              <w:rPr>
                <w:i/>
                <w:iCs/>
                <w:snapToGrid w:val="0"/>
                <w:sz w:val="19"/>
              </w:rPr>
            </w:pPr>
            <w:r>
              <w:rPr>
                <w:i/>
                <w:snapToGrid w:val="0"/>
                <w:sz w:val="19"/>
              </w:rPr>
              <w:t xml:space="preserve">Financial Legislation Amendment and Repeal Act 2006 </w:t>
            </w:r>
            <w:r>
              <w:rPr>
                <w:iCs/>
                <w:snapToGrid w:val="0"/>
                <w:sz w:val="19"/>
              </w:rPr>
              <w:t xml:space="preserve">s. 4 and </w:t>
            </w:r>
            <w:r>
              <w:t>Sch. 1 cl. 71</w:t>
            </w:r>
          </w:p>
        </w:tc>
        <w:tc>
          <w:tcPr>
            <w:tcW w:w="1134" w:type="dxa"/>
          </w:tcPr>
          <w:p>
            <w:pPr>
              <w:pStyle w:val="nTable"/>
              <w:spacing w:after="40"/>
              <w:rPr>
                <w:snapToGrid w:val="0"/>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1" w:type="dxa"/>
          </w:tcPr>
          <w:p>
            <w:pPr>
              <w:pStyle w:val="nTable"/>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8" w:type="dxa"/>
          </w:tcPr>
          <w:p>
            <w:pPr>
              <w:pStyle w:val="nTable"/>
              <w:spacing w:after="40"/>
              <w:rPr>
                <w:iCs/>
                <w:snapToGrid w:val="0"/>
                <w:sz w:val="19"/>
              </w:rPr>
            </w:pPr>
            <w:r>
              <w:rPr>
                <w:i/>
                <w:snapToGrid w:val="0"/>
                <w:sz w:val="19"/>
              </w:rPr>
              <w:t>Racing, Wagering and Betting Legislation Amendment and Repeal Act 2007 </w:t>
            </w:r>
            <w:r>
              <w:rPr>
                <w:iCs/>
                <w:snapToGrid w:val="0"/>
                <w:sz w:val="19"/>
              </w:rPr>
              <w:t>Pt. 3</w:t>
            </w:r>
          </w:p>
        </w:tc>
        <w:tc>
          <w:tcPr>
            <w:tcW w:w="1134" w:type="dxa"/>
          </w:tcPr>
          <w:p>
            <w:pPr>
              <w:pStyle w:val="nTable"/>
              <w:spacing w:after="40"/>
              <w:rPr>
                <w:snapToGrid w:val="0"/>
                <w:sz w:val="19"/>
              </w:rPr>
            </w:pPr>
            <w:r>
              <w:rPr>
                <w:snapToGrid w:val="0"/>
                <w:sz w:val="19"/>
              </w:rPr>
              <w:t>8 of 2007</w:t>
            </w:r>
          </w:p>
        </w:tc>
        <w:tc>
          <w:tcPr>
            <w:tcW w:w="1134" w:type="dxa"/>
          </w:tcPr>
          <w:p>
            <w:pPr>
              <w:pStyle w:val="nTable"/>
              <w:spacing w:after="40"/>
              <w:rPr>
                <w:snapToGrid w:val="0"/>
                <w:sz w:val="19"/>
              </w:rPr>
            </w:pPr>
            <w:r>
              <w:rPr>
                <w:snapToGrid w:val="0"/>
                <w:sz w:val="19"/>
              </w:rPr>
              <w:t>13 Jun 2007</w:t>
            </w:r>
          </w:p>
        </w:tc>
        <w:tc>
          <w:tcPr>
            <w:tcW w:w="2551" w:type="dxa"/>
          </w:tcPr>
          <w:p>
            <w:pPr>
              <w:pStyle w:val="nTable"/>
              <w:spacing w:after="40"/>
              <w:rPr>
                <w:snapToGrid w:val="0"/>
                <w:sz w:val="19"/>
              </w:rPr>
            </w:pPr>
            <w:r>
              <w:rPr>
                <w:snapToGrid w:val="0"/>
                <w:sz w:val="19"/>
              </w:rPr>
              <w:t>14 Jun 2007 (see s. 2)</w:t>
            </w:r>
          </w:p>
        </w:tc>
      </w:tr>
      <w:tr>
        <w:trPr>
          <w:cantSplit/>
        </w:trPr>
        <w:tc>
          <w:tcPr>
            <w:tcW w:w="7087" w:type="dxa"/>
            <w:gridSpan w:val="4"/>
          </w:tcPr>
          <w:p>
            <w:pPr>
              <w:pStyle w:val="nTable"/>
              <w:spacing w:after="40"/>
              <w:rPr>
                <w:snapToGrid w:val="0"/>
                <w:sz w:val="19"/>
              </w:rPr>
            </w:pPr>
            <w:r>
              <w:rPr>
                <w:b/>
                <w:bCs/>
                <w:sz w:val="19"/>
              </w:rPr>
              <w:t xml:space="preserve">Reprint 5: The </w:t>
            </w:r>
            <w:r>
              <w:rPr>
                <w:b/>
                <w:bCs/>
                <w:i/>
                <w:iCs/>
                <w:sz w:val="19"/>
              </w:rPr>
              <w:t>Gaming and Wagering Commission Act 1987</w:t>
            </w:r>
            <w:r>
              <w:rPr>
                <w:b/>
                <w:bCs/>
                <w:sz w:val="19"/>
              </w:rPr>
              <w:t xml:space="preserve"> as at 2 Nov 2007</w:t>
            </w:r>
            <w:r>
              <w:rPr>
                <w:b/>
                <w:bCs/>
                <w:sz w:val="19"/>
              </w:rPr>
              <w:br/>
            </w:r>
            <w:r>
              <w:rPr>
                <w:sz w:val="19"/>
              </w:rPr>
              <w:t xml:space="preserve">(includes amendments listed above except those in the </w:t>
            </w:r>
            <w:r>
              <w:rPr>
                <w:i/>
                <w:iCs/>
                <w:snapToGrid w:val="0"/>
                <w:sz w:val="19"/>
              </w:rPr>
              <w:t xml:space="preserve">Liquor and Gaming Legislation Amendment Act 2006 </w:t>
            </w:r>
            <w:r>
              <w:rPr>
                <w:snapToGrid w:val="0"/>
                <w:sz w:val="19"/>
              </w:rPr>
              <w:t>Pt. 3</w:t>
            </w:r>
            <w:r>
              <w:rPr>
                <w:sz w:val="19"/>
              </w:rPr>
              <w:t>)</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9</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iCs/>
                <w:snapToGrid w:val="0"/>
                <w:sz w:val="19"/>
              </w:rPr>
              <w:t>Racing and Wagering Legislation Amendment Act 2009</w:t>
            </w:r>
            <w:r>
              <w:rPr>
                <w:iCs/>
                <w:snapToGrid w:val="0"/>
                <w:sz w:val="19"/>
              </w:rPr>
              <w:t xml:space="preserve"> Pt. 3</w:t>
            </w:r>
          </w:p>
        </w:tc>
        <w:tc>
          <w:tcPr>
            <w:tcW w:w="1134" w:type="dxa"/>
          </w:tcPr>
          <w:p>
            <w:pPr>
              <w:pStyle w:val="nTable"/>
              <w:spacing w:after="40"/>
              <w:rPr>
                <w:sz w:val="19"/>
              </w:rPr>
            </w:pPr>
            <w:r>
              <w:rPr>
                <w:sz w:val="19"/>
              </w:rPr>
              <w:t>29 of 2009</w:t>
            </w:r>
          </w:p>
        </w:tc>
        <w:tc>
          <w:tcPr>
            <w:tcW w:w="1134" w:type="dxa"/>
          </w:tcPr>
          <w:p>
            <w:pPr>
              <w:pStyle w:val="nTable"/>
              <w:spacing w:after="40"/>
              <w:rPr>
                <w:sz w:val="19"/>
              </w:rPr>
            </w:pPr>
            <w:r>
              <w:rPr>
                <w:snapToGrid w:val="0"/>
                <w:sz w:val="19"/>
              </w:rPr>
              <w:t>23 Nov 2009</w:t>
            </w:r>
          </w:p>
        </w:tc>
        <w:tc>
          <w:tcPr>
            <w:tcW w:w="2551" w:type="dxa"/>
          </w:tcPr>
          <w:p>
            <w:pPr>
              <w:pStyle w:val="nTable"/>
              <w:spacing w:after="40"/>
              <w:rPr>
                <w:sz w:val="19"/>
              </w:rPr>
            </w:pPr>
            <w:r>
              <w:rPr>
                <w:sz w:val="19"/>
              </w:rPr>
              <w:t xml:space="preserve">11 Jan 2010 (see s. 2(b) and </w:t>
            </w:r>
            <w:r>
              <w:rPr>
                <w:i/>
                <w:iCs/>
                <w:sz w:val="19"/>
              </w:rPr>
              <w:t>Gazette</w:t>
            </w:r>
            <w:r>
              <w:rPr>
                <w:sz w:val="19"/>
              </w:rPr>
              <w:t xml:space="preserve"> 8 Jan 2010 p. 9-10)</w:t>
            </w:r>
          </w:p>
        </w:tc>
      </w:tr>
      <w:tr>
        <w:trPr>
          <w:cantSplit/>
        </w:trPr>
        <w:tc>
          <w:tcPr>
            <w:tcW w:w="2268" w:type="dxa"/>
          </w:tcPr>
          <w:p>
            <w:pPr>
              <w:pStyle w:val="nTable"/>
              <w:spacing w:after="40"/>
              <w:ind w:right="113"/>
              <w:rPr>
                <w:snapToGrid w:val="0"/>
                <w:sz w:val="19"/>
              </w:rPr>
            </w:pPr>
            <w:r>
              <w:rPr>
                <w:i/>
                <w:snapToGrid w:val="0"/>
                <w:sz w:val="19"/>
              </w:rPr>
              <w:t>Public Sector Reform Act 2010</w:t>
            </w:r>
            <w:r>
              <w:rPr>
                <w:iCs/>
                <w:snapToGrid w:val="0"/>
                <w:sz w:val="19"/>
              </w:rPr>
              <w:t xml:space="preserve"> s. 89</w:t>
            </w:r>
          </w:p>
        </w:tc>
        <w:tc>
          <w:tcPr>
            <w:tcW w:w="1134" w:type="dxa"/>
          </w:tcPr>
          <w:p>
            <w:pPr>
              <w:pStyle w:val="nTable"/>
              <w:spacing w:after="40"/>
              <w:rPr>
                <w:sz w:val="19"/>
              </w:rPr>
            </w:pPr>
            <w:r>
              <w:rPr>
                <w:snapToGrid w:val="0"/>
                <w:sz w:val="19"/>
              </w:rPr>
              <w:t>39 of 2010</w:t>
            </w:r>
          </w:p>
        </w:tc>
        <w:tc>
          <w:tcPr>
            <w:tcW w:w="1134" w:type="dxa"/>
          </w:tcPr>
          <w:p>
            <w:pPr>
              <w:pStyle w:val="nTable"/>
              <w:spacing w:after="40"/>
              <w:rPr>
                <w:snapToGrid w:val="0"/>
                <w:sz w:val="19"/>
              </w:rPr>
            </w:pPr>
            <w:r>
              <w:rPr>
                <w:snapToGrid w:val="0"/>
                <w:sz w:val="19"/>
              </w:rPr>
              <w:t>1 Oct 2010</w:t>
            </w:r>
          </w:p>
        </w:tc>
        <w:tc>
          <w:tcPr>
            <w:tcW w:w="2551" w:type="dxa"/>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shd w:val="clear" w:color="auto" w:fill="auto"/>
          </w:tcPr>
          <w:p>
            <w:pPr>
              <w:pStyle w:val="nTable"/>
              <w:spacing w:after="40"/>
              <w:ind w:right="113"/>
              <w:rPr>
                <w:snapToGrid w:val="0"/>
                <w:sz w:val="19"/>
              </w:rPr>
            </w:pPr>
            <w:r>
              <w:rPr>
                <w:i/>
                <w:snapToGrid w:val="0"/>
                <w:sz w:val="19"/>
              </w:rPr>
              <w:t>Casino (</w:t>
            </w:r>
            <w:smartTag w:uri="urn:schemas-microsoft-com:office:smarttags" w:element="place">
              <w:smartTag w:uri="urn:schemas-microsoft-com:office:smarttags" w:element="PlaceName">
                <w:r>
                  <w:rPr>
                    <w:i/>
                    <w:snapToGrid w:val="0"/>
                    <w:sz w:val="19"/>
                  </w:rPr>
                  <w:t>Burswood</w:t>
                </w:r>
              </w:smartTag>
              <w:r>
                <w:rPr>
                  <w:i/>
                  <w:snapToGrid w:val="0"/>
                  <w:sz w:val="19"/>
                </w:rPr>
                <w:t xml:space="preserve"> </w:t>
              </w:r>
              <w:smartTag w:uri="urn:schemas-microsoft-com:office:smarttags" w:element="PlaceType">
                <w:r>
                  <w:rPr>
                    <w:i/>
                    <w:snapToGrid w:val="0"/>
                    <w:sz w:val="19"/>
                  </w:rPr>
                  <w:t>Island</w:t>
                </w:r>
              </w:smartTag>
            </w:smartTag>
            <w:r>
              <w:rPr>
                <w:i/>
                <w:snapToGrid w:val="0"/>
                <w:sz w:val="19"/>
              </w:rPr>
              <w:t>) Agreement Amendment Act 2011</w:t>
            </w:r>
            <w:r>
              <w:rPr>
                <w:snapToGrid w:val="0"/>
                <w:sz w:val="19"/>
              </w:rPr>
              <w:t xml:space="preserve"> Pt. 3</w:t>
            </w:r>
          </w:p>
        </w:tc>
        <w:tc>
          <w:tcPr>
            <w:tcW w:w="1134" w:type="dxa"/>
            <w:shd w:val="clear" w:color="auto" w:fill="auto"/>
          </w:tcPr>
          <w:p>
            <w:pPr>
              <w:pStyle w:val="nTable"/>
              <w:spacing w:after="40"/>
              <w:rPr>
                <w:snapToGrid w:val="0"/>
                <w:sz w:val="19"/>
              </w:rPr>
            </w:pPr>
            <w:r>
              <w:rPr>
                <w:snapToGrid w:val="0"/>
                <w:sz w:val="19"/>
              </w:rPr>
              <w:t>25 of 2011</w:t>
            </w:r>
          </w:p>
        </w:tc>
        <w:tc>
          <w:tcPr>
            <w:tcW w:w="1134" w:type="dxa"/>
            <w:shd w:val="clear" w:color="auto" w:fill="auto"/>
          </w:tcPr>
          <w:p>
            <w:pPr>
              <w:pStyle w:val="nTable"/>
              <w:spacing w:after="40"/>
              <w:rPr>
                <w:snapToGrid w:val="0"/>
                <w:sz w:val="19"/>
              </w:rPr>
            </w:pPr>
            <w:r>
              <w:rPr>
                <w:snapToGrid w:val="0"/>
                <w:sz w:val="19"/>
              </w:rPr>
              <w:t>11 Jul 2011</w:t>
            </w:r>
          </w:p>
        </w:tc>
        <w:tc>
          <w:tcPr>
            <w:tcW w:w="2551" w:type="dxa"/>
            <w:shd w:val="clear" w:color="auto" w:fill="auto"/>
          </w:tcPr>
          <w:p>
            <w:pPr>
              <w:pStyle w:val="nTable"/>
              <w:spacing w:after="40"/>
              <w:rPr>
                <w:snapToGrid w:val="0"/>
                <w:sz w:val="19"/>
              </w:rPr>
            </w:pPr>
            <w:r>
              <w:rPr>
                <w:snapToGrid w:val="0"/>
                <w:sz w:val="19"/>
              </w:rPr>
              <w:t>12 Jul 2011 (see s. 2(b))</w:t>
            </w:r>
          </w:p>
        </w:tc>
      </w:tr>
      <w:tr>
        <w:trPr>
          <w:cantSplit/>
        </w:trPr>
        <w:tc>
          <w:tcPr>
            <w:tcW w:w="7087" w:type="dxa"/>
            <w:gridSpan w:val="4"/>
            <w:tcBorders>
              <w:bottom w:val="single" w:sz="8" w:space="0" w:color="auto"/>
            </w:tcBorders>
            <w:shd w:val="clear" w:color="auto" w:fill="auto"/>
          </w:tcPr>
          <w:p>
            <w:pPr>
              <w:pStyle w:val="nTable"/>
              <w:spacing w:after="40"/>
              <w:rPr>
                <w:snapToGrid w:val="0"/>
                <w:sz w:val="19"/>
              </w:rPr>
            </w:pPr>
            <w:r>
              <w:rPr>
                <w:b/>
                <w:bCs/>
                <w:sz w:val="19"/>
              </w:rPr>
              <w:t xml:space="preserve">Reprint 6: The </w:t>
            </w:r>
            <w:r>
              <w:rPr>
                <w:b/>
                <w:bCs/>
                <w:i/>
                <w:iCs/>
                <w:sz w:val="19"/>
              </w:rPr>
              <w:t>Gaming and Wagering Commission Act 1987</w:t>
            </w:r>
            <w:r>
              <w:rPr>
                <w:b/>
                <w:bCs/>
                <w:sz w:val="19"/>
              </w:rPr>
              <w:t xml:space="preserve"> as at 16 Dec 2011</w:t>
            </w:r>
            <w:r>
              <w:rPr>
                <w:b/>
                <w:bCs/>
                <w:sz w:val="19"/>
              </w:rPr>
              <w:br/>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2" w:name="_Toc7405065"/>
      <w:bookmarkStart w:id="153" w:name="_Toc402969497"/>
      <w:r>
        <w:t>Provisions that have not come into operation</w:t>
      </w:r>
      <w:bookmarkEnd w:id="152"/>
      <w:bookmarkEnd w:id="15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vertAlign w:val="superscript"/>
              </w:rPr>
            </w:pPr>
            <w:r>
              <w:rPr>
                <w:i/>
              </w:rPr>
              <w:t>Mental Health Legislation Amendment Act 2014</w:t>
            </w:r>
            <w:r>
              <w:t xml:space="preserve"> Pt. 4 Div. 4 Subdiv. 12 </w:t>
            </w:r>
            <w:r>
              <w:rPr>
                <w:vertAlign w:val="superscript"/>
              </w:rPr>
              <w:t>6</w:t>
            </w:r>
          </w:p>
        </w:tc>
        <w:tc>
          <w:tcPr>
            <w:tcW w:w="1118" w:type="dxa"/>
          </w:tcPr>
          <w:p>
            <w:pPr>
              <w:pStyle w:val="nTable"/>
              <w:spacing w:after="40"/>
              <w:rPr>
                <w:snapToGrid w:val="0"/>
                <w:sz w:val="19"/>
                <w:lang w:val="en-US"/>
              </w:rPr>
            </w:pPr>
            <w:r>
              <w:rPr>
                <w:snapToGrid w:val="0"/>
                <w:sz w:val="19"/>
                <w:lang w:val="en-US"/>
              </w:rPr>
              <w:t>25 of 2014</w:t>
            </w:r>
          </w:p>
        </w:tc>
        <w:tc>
          <w:tcPr>
            <w:tcW w:w="1134" w:type="dxa"/>
          </w:tcPr>
          <w:p>
            <w:pPr>
              <w:pStyle w:val="nTable"/>
              <w:spacing w:after="40"/>
              <w:rPr>
                <w:snapToGrid w:val="0"/>
                <w:sz w:val="19"/>
                <w:lang w:val="en-US"/>
              </w:rPr>
            </w:pPr>
            <w:r>
              <w:rPr>
                <w:sz w:val="19"/>
              </w:rPr>
              <w:t>3 Nov 2014</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spacing w:before="140"/>
        <w:rPr>
          <w:i/>
        </w:rPr>
      </w:pPr>
      <w:r>
        <w:rPr>
          <w:snapToGrid w:val="0"/>
          <w:vertAlign w:val="superscript"/>
        </w:rPr>
        <w:t>2</w:t>
      </w:r>
      <w:r>
        <w:rPr>
          <w:snapToGrid w:val="0"/>
        </w:rPr>
        <w:tab/>
        <w:t>Repealed by the</w:t>
      </w:r>
      <w:r>
        <w:rPr>
          <w:i/>
        </w:rPr>
        <w:t xml:space="preserve"> Mental Health (Consequential Provisions) Act 1996.</w:t>
      </w:r>
    </w:p>
    <w:p>
      <w:pPr>
        <w:pStyle w:val="nSubsection"/>
        <w:spacing w:before="140"/>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spacing w:before="140"/>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i/>
          <w:snapToGrid w:val="0"/>
        </w:rPr>
        <w:t xml:space="preserve"> </w:t>
      </w:r>
      <w:r>
        <w:rPr>
          <w:i/>
          <w:iCs/>
          <w:snapToGrid w:val="0"/>
        </w:rPr>
        <w:t>Administration (Consequential Provisions) Act 2002</w:t>
      </w:r>
      <w:r>
        <w:rPr>
          <w:snapToGrid w:val="0"/>
        </w:rPr>
        <w:t xml:space="preserve"> s. 6) contains savings and transitional provisions.</w:t>
      </w:r>
    </w:p>
    <w:p>
      <w:pPr>
        <w:pStyle w:val="nSubsection"/>
        <w:keepNext/>
        <w:spacing w:before="140"/>
      </w:pPr>
      <w:r>
        <w:rPr>
          <w:vertAlign w:val="superscript"/>
        </w:rPr>
        <w:t>5</w:t>
      </w:r>
      <w:r>
        <w:tab/>
        <w:t xml:space="preserve">The </w:t>
      </w:r>
      <w:r>
        <w:rPr>
          <w:i/>
        </w:rPr>
        <w:t>Racing and Gambling Legislation Amendment and Repeal Act 2003</w:t>
      </w:r>
      <w:r>
        <w:t xml:space="preserve"> Pt. 9 Div. 2 reads as follows:</w:t>
      </w:r>
    </w:p>
    <w:p>
      <w:pPr>
        <w:pStyle w:val="BlankOpen"/>
      </w:pP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160"/>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keepNext/>
        <w:keepLines/>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BlankClose"/>
      </w:pPr>
    </w:p>
    <w:p>
      <w:pPr>
        <w:pStyle w:val="BlankClose"/>
      </w:pPr>
    </w:p>
    <w:p>
      <w:pPr>
        <w:pStyle w:val="nSubsection"/>
        <w:keepNext/>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12</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154" w:name="_Toc373331812"/>
      <w:bookmarkStart w:id="155" w:name="_Toc373332059"/>
      <w:bookmarkStart w:id="156" w:name="_Toc385413042"/>
      <w:bookmarkStart w:id="157" w:name="_Toc385413290"/>
      <w:bookmarkStart w:id="158" w:name="_Toc385415631"/>
      <w:bookmarkStart w:id="159" w:name="_Toc385498823"/>
      <w:bookmarkStart w:id="160" w:name="_Toc385500219"/>
      <w:bookmarkStart w:id="161" w:name="_Toc401671244"/>
      <w:bookmarkStart w:id="162" w:name="_Toc401673109"/>
      <w:bookmarkStart w:id="163" w:name="_Toc402180222"/>
      <w:r>
        <w:rPr>
          <w:rStyle w:val="CharPartNo"/>
        </w:rPr>
        <w:t>Part 4</w:t>
      </w:r>
      <w:r>
        <w:t> — </w:t>
      </w:r>
      <w:r>
        <w:rPr>
          <w:rStyle w:val="CharPartText"/>
        </w:rPr>
        <w:t>Amendments to other Acts</w:t>
      </w:r>
      <w:bookmarkEnd w:id="154"/>
      <w:bookmarkEnd w:id="155"/>
      <w:bookmarkEnd w:id="156"/>
      <w:bookmarkEnd w:id="157"/>
      <w:bookmarkEnd w:id="158"/>
      <w:bookmarkEnd w:id="159"/>
      <w:bookmarkEnd w:id="160"/>
      <w:bookmarkEnd w:id="161"/>
      <w:bookmarkEnd w:id="162"/>
      <w:bookmarkEnd w:id="163"/>
    </w:p>
    <w:p>
      <w:pPr>
        <w:pStyle w:val="nzHeading3"/>
        <w:rPr>
          <w:rStyle w:val="CharPartText"/>
          <w:b w:val="0"/>
          <w:sz w:val="18"/>
        </w:rPr>
      </w:pPr>
      <w:bookmarkStart w:id="164" w:name="_Toc373331841"/>
      <w:bookmarkStart w:id="165" w:name="_Toc373332088"/>
      <w:bookmarkStart w:id="166" w:name="_Toc385413072"/>
      <w:bookmarkStart w:id="167" w:name="_Toc385413320"/>
      <w:bookmarkStart w:id="168" w:name="_Toc385415661"/>
      <w:bookmarkStart w:id="169" w:name="_Toc385498853"/>
      <w:bookmarkStart w:id="170" w:name="_Toc385500249"/>
      <w:bookmarkStart w:id="171" w:name="_Toc401671274"/>
      <w:bookmarkStart w:id="172" w:name="_Toc401673139"/>
      <w:bookmarkStart w:id="173" w:name="_Toc402180252"/>
      <w:r>
        <w:rPr>
          <w:rStyle w:val="CharDivNo"/>
        </w:rPr>
        <w:t>Division 4</w:t>
      </w:r>
      <w:r>
        <w:t> — </w:t>
      </w:r>
      <w:r>
        <w:rPr>
          <w:rStyle w:val="CharDivText"/>
        </w:rPr>
        <w:t>Other Acts amended</w:t>
      </w:r>
      <w:bookmarkEnd w:id="164"/>
      <w:bookmarkEnd w:id="165"/>
      <w:bookmarkEnd w:id="166"/>
      <w:bookmarkEnd w:id="167"/>
      <w:bookmarkEnd w:id="168"/>
      <w:bookmarkEnd w:id="169"/>
      <w:bookmarkEnd w:id="170"/>
      <w:bookmarkEnd w:id="171"/>
      <w:bookmarkEnd w:id="172"/>
      <w:bookmarkEnd w:id="173"/>
    </w:p>
    <w:p>
      <w:pPr>
        <w:pStyle w:val="nzHeading4"/>
      </w:pPr>
      <w:bookmarkStart w:id="174" w:name="_Toc373331882"/>
      <w:bookmarkStart w:id="175" w:name="_Toc373332129"/>
      <w:bookmarkStart w:id="176" w:name="_Toc385413113"/>
      <w:bookmarkStart w:id="177" w:name="_Toc385413361"/>
      <w:bookmarkStart w:id="178" w:name="_Toc385415702"/>
      <w:bookmarkStart w:id="179" w:name="_Toc385498894"/>
      <w:bookmarkStart w:id="180" w:name="_Toc385500290"/>
      <w:bookmarkStart w:id="181" w:name="_Toc401671315"/>
      <w:bookmarkStart w:id="182" w:name="_Toc401673180"/>
      <w:bookmarkStart w:id="183" w:name="_Toc402180293"/>
      <w:r>
        <w:t>Subdivision 12 — </w:t>
      </w:r>
      <w:r>
        <w:rPr>
          <w:i/>
        </w:rPr>
        <w:t>Gaming and Wagering Commission Act 1987</w:t>
      </w:r>
      <w:r>
        <w:t> amended</w:t>
      </w:r>
      <w:bookmarkEnd w:id="174"/>
      <w:bookmarkEnd w:id="175"/>
      <w:bookmarkEnd w:id="176"/>
      <w:bookmarkEnd w:id="177"/>
      <w:bookmarkEnd w:id="178"/>
      <w:bookmarkEnd w:id="179"/>
      <w:bookmarkEnd w:id="180"/>
      <w:bookmarkEnd w:id="181"/>
      <w:bookmarkEnd w:id="182"/>
      <w:bookmarkEnd w:id="183"/>
    </w:p>
    <w:p>
      <w:pPr>
        <w:pStyle w:val="nzHeading5"/>
      </w:pPr>
      <w:bookmarkStart w:id="184" w:name="_Toc402180294"/>
      <w:r>
        <w:rPr>
          <w:rStyle w:val="CharSectno"/>
        </w:rPr>
        <w:t>61</w:t>
      </w:r>
      <w:r>
        <w:t>.</w:t>
      </w:r>
      <w:r>
        <w:tab/>
        <w:t>Act amended</w:t>
      </w:r>
      <w:bookmarkEnd w:id="184"/>
    </w:p>
    <w:p>
      <w:pPr>
        <w:pStyle w:val="nzSubsection"/>
      </w:pPr>
      <w:r>
        <w:tab/>
      </w:r>
      <w:r>
        <w:tab/>
        <w:t xml:space="preserve">This Subdivision amends the </w:t>
      </w:r>
      <w:r>
        <w:rPr>
          <w:i/>
          <w:iCs/>
        </w:rPr>
        <w:t>Gaming and Wagering Commission Act 1987</w:t>
      </w:r>
      <w:r>
        <w:t>.</w:t>
      </w:r>
    </w:p>
    <w:p>
      <w:pPr>
        <w:pStyle w:val="nzHeading5"/>
      </w:pPr>
      <w:bookmarkStart w:id="185" w:name="_Toc402180295"/>
      <w:r>
        <w:rPr>
          <w:rStyle w:val="CharSectno"/>
        </w:rPr>
        <w:t>62</w:t>
      </w:r>
      <w:r>
        <w:t>.</w:t>
      </w:r>
      <w:r>
        <w:tab/>
        <w:t>Section 12 amended</w:t>
      </w:r>
      <w:bookmarkEnd w:id="185"/>
    </w:p>
    <w:p>
      <w:pPr>
        <w:pStyle w:val="nzSubsection"/>
      </w:pPr>
      <w:r>
        <w:tab/>
      </w:r>
      <w:r>
        <w:tab/>
        <w:t>Delete section 12(11)(a).</w:t>
      </w:r>
    </w:p>
    <w:p>
      <w:pPr>
        <w:pStyle w:val="BlankClose"/>
      </w:pPr>
    </w:p>
    <w:p>
      <w:pPr>
        <w:pStyle w:val="BlankClose"/>
      </w:pPr>
    </w:p>
    <w:p>
      <w:pPr>
        <w:rPr>
          <w:snapToGrid w:val="0"/>
        </w:rPr>
      </w:pPr>
    </w:p>
    <w:p>
      <w:pPr>
        <w:rPr>
          <w:snapToGrid w:val="0"/>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186" w:name="AutoSch"/>
      <w:bookmarkEnd w:id="186"/>
    </w:p>
    <w:p>
      <w:pPr>
        <w:pStyle w:val="nHeading2"/>
        <w:rPr>
          <w:sz w:val="28"/>
        </w:rPr>
      </w:pPr>
      <w:bookmarkStart w:id="187" w:name="_Toc402969498"/>
      <w:r>
        <w:rPr>
          <w:sz w:val="28"/>
        </w:rPr>
        <w:t>Defined terms</w:t>
      </w:r>
      <w:bookmarkEnd w:id="1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8" w:name="DefinedTerms"/>
      <w:bookmarkEnd w:id="188"/>
      <w:r>
        <w:t>appointed member</w:t>
      </w:r>
      <w:r>
        <w:tab/>
        <w:t>109D(9)</w:t>
      </w:r>
    </w:p>
    <w:p>
      <w:pPr>
        <w:pStyle w:val="DefinedTerms"/>
      </w:pPr>
      <w:r>
        <w:t>approval</w:t>
      </w:r>
      <w:r>
        <w:tab/>
        <w:t>43A(4)</w:t>
      </w:r>
    </w:p>
    <w:p>
      <w:pPr>
        <w:pStyle w:val="DefinedTerms"/>
      </w:pPr>
      <w:r>
        <w:t>approved</w:t>
      </w:r>
      <w:r>
        <w:tab/>
        <w:t>3(1)</w:t>
      </w:r>
    </w:p>
    <w:p>
      <w:pPr>
        <w:pStyle w:val="DefinedTerms"/>
      </w:pPr>
      <w:r>
        <w:t>approved premises</w:t>
      </w:r>
      <w:r>
        <w:tab/>
        <w:t>3(1)</w:t>
      </w:r>
    </w:p>
    <w:p>
      <w:pPr>
        <w:pStyle w:val="DefinedTerms"/>
      </w:pPr>
      <w:r>
        <w:t>authorised officer</w:t>
      </w:r>
      <w:r>
        <w:tab/>
        <w:t>3(1)</w:t>
      </w:r>
    </w:p>
    <w:p>
      <w:pPr>
        <w:pStyle w:val="DefinedTerms"/>
      </w:pPr>
      <w:r>
        <w:t>authorised person</w:t>
      </w:r>
      <w:r>
        <w:tab/>
        <w:t>85(6)</w:t>
      </w:r>
    </w:p>
    <w:p>
      <w:pPr>
        <w:pStyle w:val="DefinedTerms"/>
      </w:pPr>
      <w:r>
        <w:t>banking day</w:t>
      </w:r>
      <w:r>
        <w:tab/>
        <w:t>63(4)</w:t>
      </w:r>
    </w:p>
    <w:p>
      <w:pPr>
        <w:pStyle w:val="DefinedTerms"/>
      </w:pPr>
      <w:r>
        <w:t>batch</w:t>
      </w:r>
      <w:r>
        <w:tab/>
        <w:t>101(1)</w:t>
      </w:r>
    </w:p>
    <w:p>
      <w:pPr>
        <w:pStyle w:val="DefinedTerms"/>
      </w:pPr>
      <w:r>
        <w:t>bingo</w:t>
      </w:r>
      <w:r>
        <w:tab/>
        <w:t>94(1)</w:t>
      </w:r>
    </w:p>
    <w:p>
      <w:pPr>
        <w:pStyle w:val="DefinedTerms"/>
      </w:pPr>
      <w:r>
        <w:t>books</w:t>
      </w:r>
      <w:r>
        <w:tab/>
        <w:t>3(1)</w:t>
      </w:r>
    </w:p>
    <w:p>
      <w:pPr>
        <w:pStyle w:val="DefinedTerms"/>
      </w:pPr>
      <w:r>
        <w:t>cards</w:t>
      </w:r>
      <w:r>
        <w:tab/>
        <w:t>94(2)</w:t>
      </w:r>
    </w:p>
    <w:p>
      <w:pPr>
        <w:pStyle w:val="DefinedTerms"/>
      </w:pPr>
      <w:r>
        <w:t>casino</w:t>
      </w:r>
      <w:r>
        <w:tab/>
        <w:t>3(1)</w:t>
      </w:r>
    </w:p>
    <w:p>
      <w:pPr>
        <w:pStyle w:val="DefinedTerms"/>
      </w:pPr>
      <w:r>
        <w:t>casino complex agreement</w:t>
      </w:r>
      <w:r>
        <w:tab/>
        <w:t>3(1)</w:t>
      </w:r>
    </w:p>
    <w:p>
      <w:pPr>
        <w:pStyle w:val="DefinedTerms"/>
      </w:pPr>
      <w:r>
        <w:t>certificate</w:t>
      </w:r>
      <w:r>
        <w:tab/>
        <w:t>3(1)</w:t>
      </w:r>
    </w:p>
    <w:p>
      <w:pPr>
        <w:pStyle w:val="DefinedTerms"/>
      </w:pPr>
      <w:r>
        <w:t>charitable organisation</w:t>
      </w:r>
      <w:r>
        <w:tab/>
        <w:t>94(1)</w:t>
      </w:r>
    </w:p>
    <w:p>
      <w:pPr>
        <w:pStyle w:val="DefinedTerms"/>
      </w:pPr>
      <w:r>
        <w:t>Chief Casino Officer</w:t>
      </w:r>
      <w:r>
        <w:tab/>
        <w:t>16(4)</w:t>
      </w:r>
    </w:p>
    <w:p>
      <w:pPr>
        <w:pStyle w:val="DefinedTerms"/>
      </w:pPr>
      <w:r>
        <w:t>closing date</w:t>
      </w:r>
      <w:r>
        <w:tab/>
        <w:t>101(1)</w:t>
      </w:r>
    </w:p>
    <w:p>
      <w:pPr>
        <w:pStyle w:val="DefinedTerms"/>
      </w:pPr>
      <w:r>
        <w:t>club</w:t>
      </w:r>
      <w:r>
        <w:tab/>
        <w:t>94(1)</w:t>
      </w:r>
    </w:p>
    <w:p>
      <w:pPr>
        <w:pStyle w:val="DefinedTerms"/>
      </w:pPr>
      <w:r>
        <w:t>Commission</w:t>
      </w:r>
      <w:r>
        <w:tab/>
        <w:t>3(1)</w:t>
      </w:r>
    </w:p>
    <w:p>
      <w:pPr>
        <w:pStyle w:val="DefinedTerms"/>
      </w:pPr>
      <w:r>
        <w:t>condition</w:t>
      </w:r>
      <w:r>
        <w:tab/>
        <w:t>3(1)</w:t>
      </w:r>
    </w:p>
    <w:p>
      <w:pPr>
        <w:pStyle w:val="DefinedTerms"/>
      </w:pPr>
      <w:r>
        <w:t>conduct</w:t>
      </w:r>
      <w:r>
        <w:tab/>
        <w:t>3(1)</w:t>
      </w:r>
    </w:p>
    <w:p>
      <w:pPr>
        <w:pStyle w:val="DefinedTerms"/>
      </w:pPr>
      <w:r>
        <w:t>conducting</w:t>
      </w:r>
      <w:r>
        <w:tab/>
        <w:t>101(1)</w:t>
      </w:r>
    </w:p>
    <w:p>
      <w:pPr>
        <w:pStyle w:val="DefinedTerms"/>
      </w:pPr>
      <w:r>
        <w:t>confidential police information</w:t>
      </w:r>
      <w:r>
        <w:tab/>
        <w:t>20A(1)</w:t>
      </w:r>
    </w:p>
    <w:p>
      <w:pPr>
        <w:pStyle w:val="DefinedTerms"/>
      </w:pPr>
      <w:r>
        <w:t>continuing lotteries levy</w:t>
      </w:r>
      <w:r>
        <w:tab/>
        <w:t>3(1)</w:t>
      </w:r>
    </w:p>
    <w:p>
      <w:pPr>
        <w:pStyle w:val="DefinedTerms"/>
      </w:pPr>
      <w:r>
        <w:t>continuing lottery</w:t>
      </w:r>
      <w:r>
        <w:tab/>
        <w:t>101(1)</w:t>
      </w:r>
    </w:p>
    <w:p>
      <w:pPr>
        <w:pStyle w:val="DefinedTerms"/>
      </w:pPr>
      <w:r>
        <w:t>credit card</w:t>
      </w:r>
      <w:r>
        <w:tab/>
        <w:t>3(1)</w:t>
      </w:r>
    </w:p>
    <w:p>
      <w:pPr>
        <w:pStyle w:val="DefinedTerms"/>
      </w:pPr>
      <w:r>
        <w:t>date of drawing</w:t>
      </w:r>
      <w:r>
        <w:tab/>
        <w:t>101(1)</w:t>
      </w:r>
    </w:p>
    <w:p>
      <w:pPr>
        <w:pStyle w:val="DefinedTerms"/>
      </w:pPr>
      <w:r>
        <w:t>debit card</w:t>
      </w:r>
      <w:r>
        <w:tab/>
        <w:t>3(1)</w:t>
      </w:r>
    </w:p>
    <w:p>
      <w:pPr>
        <w:pStyle w:val="DefinedTerms"/>
      </w:pPr>
      <w:r>
        <w:t>Department</w:t>
      </w:r>
      <w:r>
        <w:tab/>
        <w:t>3(1)</w:t>
      </w:r>
    </w:p>
    <w:p>
      <w:pPr>
        <w:pStyle w:val="DefinedTerms"/>
      </w:pPr>
      <w:r>
        <w:t>drawing</w:t>
      </w:r>
      <w:r>
        <w:tab/>
        <w:t>101(1)</w:t>
      </w:r>
    </w:p>
    <w:p>
      <w:pPr>
        <w:pStyle w:val="DefinedTerms"/>
      </w:pPr>
      <w:r>
        <w:t>employing authority</w:t>
      </w:r>
      <w:r>
        <w:tab/>
        <w:t>18(2a)</w:t>
      </w:r>
    </w:p>
    <w:p>
      <w:pPr>
        <w:pStyle w:val="DefinedTerms"/>
      </w:pPr>
      <w:r>
        <w:t>face value</w:t>
      </w:r>
      <w:r>
        <w:tab/>
        <w:t>101(1)</w:t>
      </w:r>
    </w:p>
    <w:p>
      <w:pPr>
        <w:pStyle w:val="DefinedTerms"/>
      </w:pPr>
      <w:r>
        <w:t>foreign lottery</w:t>
      </w:r>
      <w:r>
        <w:tab/>
        <w:t>101(1)</w:t>
      </w:r>
    </w:p>
    <w:p>
      <w:pPr>
        <w:pStyle w:val="DefinedTerms"/>
      </w:pPr>
      <w:r>
        <w:t>gambling</w:t>
      </w:r>
      <w:r>
        <w:tab/>
        <w:t>3(1), 40A</w:t>
      </w:r>
    </w:p>
    <w:p>
      <w:pPr>
        <w:pStyle w:val="DefinedTerms"/>
      </w:pPr>
      <w:r>
        <w:t>game of chance</w:t>
      </w:r>
      <w:r>
        <w:tab/>
        <w:t>3(1)</w:t>
      </w:r>
    </w:p>
    <w:p>
      <w:pPr>
        <w:pStyle w:val="DefinedTerms"/>
      </w:pPr>
      <w:r>
        <w:t>gaming</w:t>
      </w:r>
      <w:r>
        <w:tab/>
        <w:t>3(1)</w:t>
      </w:r>
    </w:p>
    <w:p>
      <w:pPr>
        <w:pStyle w:val="DefinedTerms"/>
      </w:pPr>
      <w:r>
        <w:t>gaming equipment</w:t>
      </w:r>
      <w:r>
        <w:tab/>
        <w:t>3(1)</w:t>
      </w:r>
    </w:p>
    <w:p>
      <w:pPr>
        <w:pStyle w:val="DefinedTerms"/>
      </w:pPr>
      <w:r>
        <w:t>gaming machine</w:t>
      </w:r>
      <w:r>
        <w:tab/>
        <w:t>84(1)</w:t>
      </w:r>
    </w:p>
    <w:p>
      <w:pPr>
        <w:pStyle w:val="DefinedTerms"/>
      </w:pPr>
      <w:r>
        <w:t>gaming permit</w:t>
      </w:r>
      <w:r>
        <w:tab/>
        <w:t>3(1)</w:t>
      </w:r>
    </w:p>
    <w:p>
      <w:pPr>
        <w:pStyle w:val="DefinedTerms"/>
      </w:pPr>
      <w:r>
        <w:t>government inspector</w:t>
      </w:r>
      <w:r>
        <w:tab/>
        <w:t>16(4)</w:t>
      </w:r>
    </w:p>
    <w:p>
      <w:pPr>
        <w:pStyle w:val="DefinedTerms"/>
      </w:pPr>
      <w:r>
        <w:t>house</w:t>
      </w:r>
      <w:r>
        <w:tab/>
        <w:t>3(1)</w:t>
      </w:r>
    </w:p>
    <w:p>
      <w:pPr>
        <w:pStyle w:val="DefinedTerms"/>
      </w:pPr>
      <w:r>
        <w:t>imposed</w:t>
      </w:r>
      <w:r>
        <w:tab/>
        <w:t>3(1)</w:t>
      </w:r>
    </w:p>
    <w:p>
      <w:pPr>
        <w:pStyle w:val="DefinedTerms"/>
      </w:pPr>
      <w:r>
        <w:t>instruments of gaming</w:t>
      </w:r>
      <w:r>
        <w:tab/>
        <w:t>3(1)</w:t>
      </w:r>
    </w:p>
    <w:p>
      <w:pPr>
        <w:pStyle w:val="DefinedTerms"/>
      </w:pPr>
      <w:r>
        <w:t>licence</w:t>
      </w:r>
      <w:r>
        <w:tab/>
        <w:t>3(1)</w:t>
      </w:r>
    </w:p>
    <w:p>
      <w:pPr>
        <w:pStyle w:val="DefinedTerms"/>
      </w:pPr>
      <w:r>
        <w:t>licensed supplier</w:t>
      </w:r>
      <w:r>
        <w:tab/>
        <w:t>3(1)</w:t>
      </w:r>
    </w:p>
    <w:p>
      <w:pPr>
        <w:pStyle w:val="DefinedTerms"/>
      </w:pPr>
      <w:r>
        <w:t>lottery</w:t>
      </w:r>
      <w:r>
        <w:tab/>
        <w:t>3(1)</w:t>
      </w:r>
    </w:p>
    <w:p>
      <w:pPr>
        <w:pStyle w:val="DefinedTerms"/>
      </w:pPr>
      <w:r>
        <w:t>machine</w:t>
      </w:r>
      <w:r>
        <w:tab/>
        <w:t>3(1)</w:t>
      </w:r>
    </w:p>
    <w:p>
      <w:pPr>
        <w:pStyle w:val="DefinedTerms"/>
      </w:pPr>
      <w:r>
        <w:t>material evidence</w:t>
      </w:r>
      <w:r>
        <w:tab/>
        <w:t>26(2)</w:t>
      </w:r>
    </w:p>
    <w:p>
      <w:pPr>
        <w:pStyle w:val="DefinedTerms"/>
      </w:pPr>
      <w:r>
        <w:t>minor fund raising activity</w:t>
      </w:r>
      <w:r>
        <w:tab/>
        <w:t>3(1)</w:t>
      </w:r>
    </w:p>
    <w:p>
      <w:pPr>
        <w:pStyle w:val="DefinedTerms"/>
      </w:pPr>
      <w:r>
        <w:t>money</w:t>
      </w:r>
      <w:r>
        <w:tab/>
        <w:t>3(1), 94(1)</w:t>
      </w:r>
    </w:p>
    <w:p>
      <w:pPr>
        <w:pStyle w:val="DefinedTerms"/>
      </w:pPr>
      <w:r>
        <w:t>multiple bingo</w:t>
      </w:r>
      <w:r>
        <w:tab/>
        <w:t>3(1), 94(1), 96(4)</w:t>
      </w:r>
    </w:p>
    <w:p>
      <w:pPr>
        <w:pStyle w:val="DefinedTerms"/>
      </w:pPr>
      <w:r>
        <w:t>object</w:t>
      </w:r>
      <w:r>
        <w:tab/>
        <w:t>58(2)</w:t>
      </w:r>
    </w:p>
    <w:p>
      <w:pPr>
        <w:pStyle w:val="DefinedTerms"/>
      </w:pPr>
      <w:r>
        <w:t>occupier</w:t>
      </w:r>
      <w:r>
        <w:tab/>
        <w:t>3(1)</w:t>
      </w:r>
    </w:p>
    <w:p>
      <w:pPr>
        <w:pStyle w:val="DefinedTerms"/>
      </w:pPr>
      <w:r>
        <w:t>opening date</w:t>
      </w:r>
      <w:r>
        <w:tab/>
        <w:t>101(1)</w:t>
      </w:r>
    </w:p>
    <w:p>
      <w:pPr>
        <w:pStyle w:val="DefinedTerms"/>
      </w:pPr>
      <w:r>
        <w:t>organiser</w:t>
      </w:r>
      <w:r>
        <w:tab/>
        <w:t>94(1)</w:t>
      </w:r>
    </w:p>
    <w:p>
      <w:pPr>
        <w:pStyle w:val="DefinedTerms"/>
      </w:pPr>
      <w:r>
        <w:t>owner</w:t>
      </w:r>
      <w:r>
        <w:tab/>
        <w:t>3(1)</w:t>
      </w:r>
    </w:p>
    <w:p>
      <w:pPr>
        <w:pStyle w:val="DefinedTerms"/>
      </w:pPr>
      <w:r>
        <w:t>paid</w:t>
      </w:r>
      <w:r>
        <w:tab/>
        <w:t>94(1)</w:t>
      </w:r>
    </w:p>
    <w:p>
      <w:pPr>
        <w:pStyle w:val="DefinedTerms"/>
      </w:pPr>
      <w:r>
        <w:t>permit</w:t>
      </w:r>
      <w:r>
        <w:tab/>
        <w:t>3(1)</w:t>
      </w:r>
    </w:p>
    <w:p>
      <w:pPr>
        <w:pStyle w:val="DefinedTerms"/>
      </w:pPr>
      <w:r>
        <w:t>permit holder</w:t>
      </w:r>
      <w:r>
        <w:tab/>
        <w:t>3(1)</w:t>
      </w:r>
    </w:p>
    <w:p>
      <w:pPr>
        <w:pStyle w:val="DefinedTerms"/>
      </w:pPr>
      <w:r>
        <w:t>permitted two</w:t>
      </w:r>
      <w:r>
        <w:noBreakHyphen/>
        <w:t>up</w:t>
      </w:r>
      <w:r>
        <w:tab/>
        <w:t>3(1)</w:t>
      </w:r>
    </w:p>
    <w:p>
      <w:pPr>
        <w:pStyle w:val="DefinedTerms"/>
      </w:pPr>
      <w:r>
        <w:t>permitted amusement with prizes</w:t>
      </w:r>
      <w:r>
        <w:tab/>
        <w:t>3(1)</w:t>
      </w:r>
    </w:p>
    <w:p>
      <w:pPr>
        <w:pStyle w:val="DefinedTerms"/>
      </w:pPr>
      <w:r>
        <w:t>permitted bingo</w:t>
      </w:r>
      <w:r>
        <w:tab/>
        <w:t>3(1)</w:t>
      </w:r>
    </w:p>
    <w:p>
      <w:pPr>
        <w:pStyle w:val="DefinedTerms"/>
      </w:pPr>
      <w:r>
        <w:t>permitted gaming</w:t>
      </w:r>
      <w:r>
        <w:tab/>
        <w:t>3(1)</w:t>
      </w:r>
    </w:p>
    <w:p>
      <w:pPr>
        <w:pStyle w:val="DefinedTerms"/>
      </w:pPr>
      <w:r>
        <w:t>permitted lottery</w:t>
      </w:r>
      <w:r>
        <w:tab/>
        <w:t>3(1)</w:t>
      </w:r>
    </w:p>
    <w:p>
      <w:pPr>
        <w:pStyle w:val="DefinedTerms"/>
      </w:pPr>
      <w:r>
        <w:t>player</w:t>
      </w:r>
      <w:r>
        <w:tab/>
        <w:t>3(1)</w:t>
      </w:r>
    </w:p>
    <w:p>
      <w:pPr>
        <w:pStyle w:val="DefinedTerms"/>
      </w:pPr>
      <w:r>
        <w:t>playing</w:t>
      </w:r>
      <w:r>
        <w:tab/>
        <w:t>3(1)</w:t>
      </w:r>
    </w:p>
    <w:p>
      <w:pPr>
        <w:pStyle w:val="DefinedTerms"/>
      </w:pPr>
      <w:r>
        <w:t>possession</w:t>
      </w:r>
      <w:r>
        <w:tab/>
        <w:t>3(1)</w:t>
      </w:r>
    </w:p>
    <w:p>
      <w:pPr>
        <w:pStyle w:val="DefinedTerms"/>
      </w:pPr>
      <w:r>
        <w:t>premises</w:t>
      </w:r>
      <w:r>
        <w:tab/>
        <w:t>3(1)</w:t>
      </w:r>
    </w:p>
    <w:p>
      <w:pPr>
        <w:pStyle w:val="DefinedTerms"/>
      </w:pPr>
      <w:r>
        <w:t>prescribed gaming equipment</w:t>
      </w:r>
      <w:r>
        <w:tab/>
        <w:t>84(1)</w:t>
      </w:r>
    </w:p>
    <w:p>
      <w:pPr>
        <w:pStyle w:val="DefinedTerms"/>
      </w:pPr>
      <w:r>
        <w:t>prize</w:t>
      </w:r>
      <w:r>
        <w:tab/>
        <w:t>94(1)</w:t>
      </w:r>
    </w:p>
    <w:p>
      <w:pPr>
        <w:pStyle w:val="DefinedTerms"/>
      </w:pPr>
      <w:r>
        <w:t>prohibited advertisement</w:t>
      </w:r>
      <w:r>
        <w:tab/>
        <w:t>43A(1)</w:t>
      </w:r>
    </w:p>
    <w:p>
      <w:pPr>
        <w:pStyle w:val="DefinedTerms"/>
      </w:pPr>
      <w:r>
        <w:t>promoter</w:t>
      </w:r>
      <w:r>
        <w:tab/>
        <w:t>94(1)</w:t>
      </w:r>
    </w:p>
    <w:p>
      <w:pPr>
        <w:pStyle w:val="DefinedTerms"/>
      </w:pPr>
      <w:r>
        <w:t>public place</w:t>
      </w:r>
      <w:r>
        <w:tab/>
        <w:t>3(1)</w:t>
      </w:r>
    </w:p>
    <w:p>
      <w:pPr>
        <w:pStyle w:val="DefinedTerms"/>
      </w:pPr>
      <w:r>
        <w:t>Public Service</w:t>
      </w:r>
      <w:r>
        <w:tab/>
        <w:t>18(2a)</w:t>
      </w:r>
    </w:p>
    <w:p>
      <w:pPr>
        <w:pStyle w:val="DefinedTerms"/>
      </w:pPr>
      <w:r>
        <w:t>quarter</w:t>
      </w:r>
      <w:r>
        <w:tab/>
        <w:t>101(1)</w:t>
      </w:r>
    </w:p>
    <w:p>
      <w:pPr>
        <w:pStyle w:val="DefinedTerms"/>
      </w:pPr>
      <w:r>
        <w:t>race</w:t>
      </w:r>
      <w:r>
        <w:tab/>
        <w:t>3(1)</w:t>
      </w:r>
    </w:p>
    <w:p>
      <w:pPr>
        <w:pStyle w:val="DefinedTerms"/>
      </w:pPr>
      <w:r>
        <w:t>race club</w:t>
      </w:r>
      <w:r>
        <w:tab/>
        <w:t>3(1)</w:t>
      </w:r>
    </w:p>
    <w:p>
      <w:pPr>
        <w:pStyle w:val="DefinedTerms"/>
      </w:pPr>
      <w:r>
        <w:t>race day</w:t>
      </w:r>
      <w:r>
        <w:tab/>
        <w:t>80(1a)</w:t>
      </w:r>
    </w:p>
    <w:p>
      <w:pPr>
        <w:pStyle w:val="DefinedTerms"/>
      </w:pPr>
      <w:r>
        <w:t>race meeting</w:t>
      </w:r>
      <w:r>
        <w:tab/>
        <w:t>3(1)</w:t>
      </w:r>
    </w:p>
    <w:p>
      <w:pPr>
        <w:pStyle w:val="DefinedTerms"/>
      </w:pPr>
      <w:r>
        <w:t>related furnishings</w:t>
      </w:r>
      <w:r>
        <w:tab/>
        <w:t>3(1)</w:t>
      </w:r>
    </w:p>
    <w:p>
      <w:pPr>
        <w:pStyle w:val="DefinedTerms"/>
      </w:pPr>
      <w:r>
        <w:t>relevant Act</w:t>
      </w:r>
      <w:r>
        <w:tab/>
        <w:t>20A(1)</w:t>
      </w:r>
    </w:p>
    <w:p>
      <w:pPr>
        <w:pStyle w:val="DefinedTerms"/>
      </w:pPr>
      <w:r>
        <w:t>responsible person</w:t>
      </w:r>
      <w:r>
        <w:tab/>
        <w:t>109B(1)(d)</w:t>
      </w:r>
    </w:p>
    <w:p>
      <w:pPr>
        <w:pStyle w:val="DefinedTerms"/>
      </w:pPr>
      <w:r>
        <w:t>RWWA</w:t>
      </w:r>
      <w:r>
        <w:tab/>
        <w:t>3(1)</w:t>
      </w:r>
    </w:p>
    <w:p>
      <w:pPr>
        <w:pStyle w:val="DefinedTerms"/>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DefinedTerms"/>
      </w:pPr>
      <w:r>
        <w:t>RWWA Act</w:t>
      </w:r>
      <w:r>
        <w:tab/>
        <w:t>3(1)</w:t>
      </w:r>
    </w:p>
    <w:p>
      <w:pPr>
        <w:pStyle w:val="DefinedTerms"/>
      </w:pPr>
      <w:r>
        <w:t>seized thing</w:t>
      </w:r>
      <w:r>
        <w:tab/>
        <w:t>32A(1)</w:t>
      </w:r>
    </w:p>
    <w:p>
      <w:pPr>
        <w:pStyle w:val="DefinedTerms"/>
      </w:pPr>
      <w:r>
        <w:t>service agreement</w:t>
      </w:r>
      <w:r>
        <w:tab/>
        <w:t>91(5)</w:t>
      </w:r>
    </w:p>
    <w:p>
      <w:pPr>
        <w:pStyle w:val="DefinedTerms"/>
      </w:pPr>
      <w:r>
        <w:t>simultaneous bingo</w:t>
      </w:r>
      <w:r>
        <w:tab/>
        <w:t>3(1), 94(1)</w:t>
      </w:r>
    </w:p>
    <w:p>
      <w:pPr>
        <w:pStyle w:val="DefinedTerms"/>
      </w:pPr>
      <w:r>
        <w:t>slot machine</w:t>
      </w:r>
      <w:r>
        <w:tab/>
        <w:t>84(1)</w:t>
      </w:r>
    </w:p>
    <w:p>
      <w:pPr>
        <w:pStyle w:val="DefinedTerms"/>
      </w:pPr>
      <w:r>
        <w:t>social gambling</w:t>
      </w:r>
      <w:r>
        <w:tab/>
        <w:t>3(1)</w:t>
      </w:r>
    </w:p>
    <w:p>
      <w:pPr>
        <w:pStyle w:val="DefinedTerms"/>
      </w:pPr>
      <w:r>
        <w:t>specified</w:t>
      </w:r>
      <w:r>
        <w:tab/>
        <w:t>48(2), 87(2), 91(8)</w:t>
      </w:r>
    </w:p>
    <w:p>
      <w:pPr>
        <w:pStyle w:val="DefinedTerms"/>
      </w:pPr>
      <w:r>
        <w:t>standard lottery</w:t>
      </w:r>
      <w:r>
        <w:tab/>
        <w:t>101(1)</w:t>
      </w:r>
    </w:p>
    <w:p>
      <w:pPr>
        <w:pStyle w:val="DefinedTerms"/>
      </w:pPr>
      <w:r>
        <w:t>terms</w:t>
      </w:r>
      <w:r>
        <w:tab/>
        <w:t>89(3)</w:t>
      </w:r>
    </w:p>
    <w:p>
      <w:pPr>
        <w:pStyle w:val="DefinedTerms"/>
      </w:pPr>
      <w:r>
        <w:t>ticket</w:t>
      </w:r>
      <w:r>
        <w:tab/>
        <w:t>101(1)</w:t>
      </w:r>
    </w:p>
    <w:p>
      <w:pPr>
        <w:pStyle w:val="DefinedTerms"/>
      </w:pPr>
      <w:r>
        <w:t>token</w:t>
      </w:r>
      <w:r>
        <w:tab/>
        <w:t>3(1)</w:t>
      </w:r>
    </w:p>
    <w:p>
      <w:pPr>
        <w:pStyle w:val="DefinedTerms"/>
      </w:pPr>
      <w:r>
        <w:t>trade promotion lottery</w:t>
      </w:r>
      <w:r>
        <w:tab/>
        <w:t>3(1)</w:t>
      </w:r>
    </w:p>
    <w:p>
      <w:pPr>
        <w:pStyle w:val="DefinedTerms"/>
      </w:pPr>
      <w:r>
        <w:t>Trust</w:t>
      </w:r>
      <w:r>
        <w:tab/>
        <w:t>109A</w:t>
      </w:r>
    </w:p>
    <w:p>
      <w:pPr>
        <w:pStyle w:val="DefinedTerms"/>
      </w:pPr>
      <w:r>
        <w:t>Trust Account</w:t>
      </w:r>
      <w:r>
        <w:tab/>
        <w:t>109A</w:t>
      </w:r>
    </w:p>
    <w:p>
      <w:pPr>
        <w:pStyle w:val="DefinedTerms"/>
      </w:pPr>
      <w:r>
        <w:t>two</w:t>
      </w:r>
      <w:r>
        <w:noBreakHyphen/>
        <w:t>up</w:t>
      </w:r>
      <w:r>
        <w:tab/>
        <w:t>3(1)</w:t>
      </w:r>
    </w:p>
    <w:p>
      <w:pPr>
        <w:pStyle w:val="DefinedTerms"/>
      </w:pPr>
      <w:r>
        <w:t>unclaimed winnings</w:t>
      </w:r>
      <w:r>
        <w:tab/>
        <w:t>109A, 109B(1)</w:t>
      </w:r>
    </w:p>
    <w:p>
      <w:pPr>
        <w:pStyle w:val="DefinedTerms"/>
      </w:pPr>
      <w:r>
        <w:t>unlawful game</w:t>
      </w:r>
      <w:r>
        <w:tab/>
        <w:t>3(1)</w:t>
      </w:r>
    </w:p>
    <w:p>
      <w:pPr>
        <w:pStyle w:val="DefinedTerms"/>
      </w:pPr>
      <w:r>
        <w:t>unlawful gaming</w:t>
      </w:r>
      <w:r>
        <w:tab/>
        <w:t>43A(1)</w:t>
      </w:r>
    </w:p>
    <w:p>
      <w:pPr>
        <w:pStyle w:val="DefinedTerms"/>
      </w:pPr>
      <w:r>
        <w:t>unlawful gaming equipment</w:t>
      </w:r>
      <w:r>
        <w:tab/>
        <w:t>84(1)</w:t>
      </w:r>
    </w:p>
    <w:p>
      <w:pPr>
        <w:pStyle w:val="DefinedTerms"/>
      </w:pPr>
      <w:r>
        <w:t>unlawful gaming machine</w:t>
      </w:r>
      <w:r>
        <w:tab/>
        <w:t>84(1)</w:t>
      </w:r>
    </w:p>
    <w:p>
      <w:pPr>
        <w:pStyle w:val="DefinedTerms"/>
      </w:pPr>
      <w:r>
        <w:t>unlawful lottery</w:t>
      </w:r>
      <w:r>
        <w:tab/>
        <w:t>101(1)</w:t>
      </w:r>
    </w:p>
    <w:p>
      <w:pPr>
        <w:pStyle w:val="DefinedTerms"/>
      </w:pPr>
      <w:r>
        <w:t>unlawful wagering</w:t>
      </w:r>
      <w:r>
        <w:tab/>
        <w:t>43A(1)</w:t>
      </w:r>
    </w:p>
    <w:p>
      <w:pPr>
        <w:pStyle w:val="DefinedTerms"/>
      </w:pPr>
      <w:r>
        <w:t>value</w:t>
      </w:r>
      <w:r>
        <w:tab/>
        <w:t>94(1)</w:t>
      </w:r>
    </w:p>
    <w:p>
      <w:pPr>
        <w:pStyle w:val="DefinedTerms"/>
      </w:pPr>
      <w:r>
        <w:t>vehicle</w:t>
      </w:r>
      <w:r>
        <w:tab/>
        <w:t>3(1)</w:t>
      </w:r>
    </w:p>
    <w:p>
      <w:pPr>
        <w:pStyle w:val="DefinedTerms"/>
      </w:pPr>
      <w:r>
        <w:t>vessel</w:t>
      </w:r>
      <w:r>
        <w:tab/>
        <w:t>3(1)</w:t>
      </w:r>
    </w:p>
    <w:p>
      <w:pPr>
        <w:pStyle w:val="DefinedTerms"/>
      </w:pPr>
      <w:r>
        <w:t>wagering</w:t>
      </w:r>
      <w:r>
        <w:tab/>
        <w:t>3(1), 40A</w:t>
      </w:r>
    </w:p>
    <w:p>
      <w:pPr>
        <w:pStyle w:val="DefinedTerms"/>
      </w:pPr>
      <w:r>
        <w:t>winner</w:t>
      </w:r>
      <w:r>
        <w:tab/>
        <w:t>109B(1)(d)</w:t>
      </w:r>
    </w:p>
    <w:p>
      <w:pPr>
        <w:pStyle w:val="DefinedTerms"/>
      </w:pPr>
      <w:r>
        <w:t>winnings</w:t>
      </w:r>
      <w:r>
        <w:tab/>
        <w:t>3(1)</w:t>
      </w:r>
    </w:p>
    <w:p>
      <w:pPr>
        <w:pStyle w:val="DefinedTerms"/>
      </w:pPr>
    </w:p>
    <w:p/>
    <w:p>
      <w:pPr>
        <w:sectPr>
          <w:headerReference w:type="even" r:id="rId33"/>
          <w:pgSz w:w="11906" w:h="16838" w:code="9"/>
          <w:pgMar w:top="2376" w:right="2405" w:bottom="3542" w:left="2405" w:header="706" w:footer="3380" w:gutter="0"/>
          <w:cols w:space="720"/>
          <w:noEndnote/>
          <w:docGrid w:linePitch="326"/>
        </w:sectPr>
      </w:pPr>
    </w:p>
    <w:p/>
    <w:sectPr>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Gaming and Wagering Commission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Gaming and Wagering Commission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30"/>
  </w:num>
  <w:num w:numId="1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04172558"/>
    <w:docVar w:name="WAFER_20140123160344" w:val="RemoveTocBookmarks,RemoveUnusedBookmarks,RemoveLanguageTags,UsedStyles,ResetPageSize,UpdateArrangement"/>
    <w:docVar w:name="WAFER_20140123160344_GUID" w:val="2e5daf11-eae3-4b2f-8827-029c904dc2ef"/>
    <w:docVar w:name="WAFER_20140123160356" w:val="RemoveTocBookmarks,RunningHeaders"/>
    <w:docVar w:name="WAFER_20140123160356_GUID" w:val="92e22a0d-0a40-4690-86ba-0e2b82a9e33a"/>
    <w:docVar w:name="WAFER_20141104172558" w:val="RemoveTocBookmarks,RemoveUnusedBookmarks,RemoveLanguageTags,UsedStyles,ResetPageSize,UpdateArrangement"/>
    <w:docVar w:name="WAFER_20141104172558_GUID" w:val="5a4be81d-7c04-4ed2-baeb-49c8881842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174</Pages>
  <Words>45126</Words>
  <Characters>212094</Characters>
  <Application>Microsoft Office Word</Application>
  <DocSecurity>0</DocSecurity>
  <Lines>5732</Lines>
  <Paragraphs>2795</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254425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1987 - 06-b0-00</dc:title>
  <dc:subject/>
  <dc:creator/>
  <cp:keywords/>
  <dc:description/>
  <cp:lastModifiedBy>svcMRProcess</cp:lastModifiedBy>
  <cp:revision>4</cp:revision>
  <cp:lastPrinted>2011-12-16T01:24:00Z</cp:lastPrinted>
  <dcterms:created xsi:type="dcterms:W3CDTF">2018-08-29T18:41:00Z</dcterms:created>
  <dcterms:modified xsi:type="dcterms:W3CDTF">2018-08-29T18:41:00Z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20141103</vt:lpwstr>
  </property>
  <property fmtid="{D5CDD505-2E9C-101B-9397-08002B2CF9AE}" pid="4" name="DocumentType">
    <vt:lpwstr>Act</vt:lpwstr>
  </property>
  <property fmtid="{D5CDD505-2E9C-101B-9397-08002B2CF9AE}" pid="5" name="OwlsUID">
    <vt:i4>311</vt:i4>
  </property>
  <property fmtid="{D5CDD505-2E9C-101B-9397-08002B2CF9AE}" pid="6" name="AsAtDate">
    <vt:lpwstr>03 Nov 2014</vt:lpwstr>
  </property>
  <property fmtid="{D5CDD505-2E9C-101B-9397-08002B2CF9AE}" pid="7" name="Suffix">
    <vt:lpwstr>06-b0-00</vt:lpwstr>
  </property>
  <property fmtid="{D5CDD505-2E9C-101B-9397-08002B2CF9AE}" pid="8" name="ReprintNo">
    <vt:lpwstr>6</vt:lpwstr>
  </property>
  <property fmtid="{D5CDD505-2E9C-101B-9397-08002B2CF9AE}" pid="9" name="ReprintedAsAt">
    <vt:filetime>2011-12-15T16:00:00Z</vt:filetime>
  </property>
</Properties>
</file>