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_Toc81215646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_Toc81215647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_Toc81215648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_Toc81215649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_Toc81215650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_Toc81215651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_Toc81215653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_Toc81215654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_Toc81215655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_Toc81215656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_Toc81215657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_Toc81215658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_Toc81215660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_Toc81215661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_Toc81215663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_Toc81215664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_Toc81215665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_Toc81215667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_Toc81215668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_Toc81215669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_Toc81215670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_Toc81215673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404150386"/>
      <w:bookmarkStart w:id="2" w:name="_Toc81215645"/>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81215646"/>
      <w:r>
        <w:rPr>
          <w:rStyle w:val="CharSectno"/>
        </w:rPr>
        <w:t>1</w:t>
      </w:r>
      <w:r>
        <w:t>.</w:t>
      </w:r>
      <w:r>
        <w:tab/>
        <w:t>Citation</w:t>
      </w:r>
      <w:bookmarkEnd w:id="3"/>
    </w:p>
    <w:p>
      <w:pPr>
        <w:pStyle w:val="Subsection"/>
        <w:spacing w:before="120"/>
        <w:rPr>
          <w:i/>
        </w:rPr>
      </w:pPr>
      <w:r>
        <w:tab/>
      </w:r>
      <w:r>
        <w:tab/>
      </w:r>
      <w:bookmarkStart w:id="4" w:name="Start_Cursor"/>
      <w:bookmarkEnd w:id="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5" w:name="_Toc81215647"/>
      <w:r>
        <w:rPr>
          <w:rStyle w:val="CharSectno"/>
        </w:rPr>
        <w:t>2</w:t>
      </w:r>
      <w:r>
        <w:rPr>
          <w:spacing w:val="-2"/>
        </w:rPr>
        <w:t>.</w:t>
      </w:r>
      <w:r>
        <w:rPr>
          <w:spacing w:val="-2"/>
        </w:rPr>
        <w:tab/>
        <w:t>Commencement</w:t>
      </w:r>
      <w:bookmarkEnd w:id="5"/>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6" w:name="_Toc81215648"/>
      <w:r>
        <w:rPr>
          <w:rStyle w:val="CharSectno"/>
        </w:rPr>
        <w:t>3</w:t>
      </w:r>
      <w:r>
        <w:t>.</w:t>
      </w:r>
      <w:r>
        <w:tab/>
        <w:t>Terms used</w:t>
      </w:r>
      <w:bookmarkEnd w:id="6"/>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lastRenderedPageBreak/>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lastRenderedPageBreak/>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lastRenderedPageBreak/>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lastRenderedPageBreak/>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lastRenderedPageBreak/>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lastRenderedPageBreak/>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lastRenderedPageBreak/>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lastRenderedPageBreak/>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lastRenderedPageBreak/>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lastRenderedPageBreak/>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lastRenderedPageBreak/>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w:t>
      </w:r>
      <w:r>
        <w:rPr>
          <w:color w:val="000000"/>
        </w:rPr>
        <w:lastRenderedPageBreak/>
        <w:t xml:space="preserve">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lastRenderedPageBreak/>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lastRenderedPageBreak/>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lastRenderedPageBreak/>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953BC"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E3115"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lastRenderedPageBreak/>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50F9C"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lastRenderedPageBreak/>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lastRenderedPageBreak/>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t>
      </w:r>
      <w:r>
        <w:lastRenderedPageBreak/>
        <w:t xml:space="preserve">(whether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w:t>
      </w:r>
    </w:p>
    <w:p>
      <w:pPr>
        <w:pStyle w:val="Heading5"/>
      </w:pPr>
      <w:bookmarkStart w:id="7" w:name="_Toc81215649"/>
      <w:r>
        <w:rPr>
          <w:rStyle w:val="CharSectno"/>
        </w:rPr>
        <w:t>4</w:t>
      </w:r>
      <w:r>
        <w:t>.</w:t>
      </w:r>
      <w:r>
        <w:tab/>
        <w:t>Exclusions from definition of motor vehicle</w:t>
      </w:r>
      <w:bookmarkEnd w:id="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 w:name="_Toc81215650"/>
      <w:r>
        <w:rPr>
          <w:rStyle w:val="CharSectno"/>
        </w:rPr>
        <w:t>5</w:t>
      </w:r>
      <w:r>
        <w:t>.</w:t>
      </w:r>
      <w:r>
        <w:tab/>
        <w:t>Classes of repair work prescribed (Act s. 5)</w:t>
      </w:r>
      <w:bookmarkEnd w:id="8"/>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gridSpan w:val="2"/>
          </w:tcPr>
          <w:p>
            <w:pPr>
              <w:pStyle w:val="Table"/>
              <w:rPr>
                <w:i/>
              </w:rPr>
            </w:pPr>
            <w:r>
              <w:rPr>
                <w:i/>
              </w:rPr>
              <w:t>[2A</w:t>
            </w:r>
            <w:r>
              <w:rPr>
                <w:i/>
              </w:rPr>
              <w:tab/>
            </w:r>
            <w:r>
              <w:rPr>
                <w:i/>
              </w:rPr>
              <w:tab/>
              <w:t>deleted]</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lastRenderedPageBreak/>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9" w:name="_Toc81215651"/>
      <w:r>
        <w:rPr>
          <w:rStyle w:val="CharSectno"/>
        </w:rPr>
        <w:t>6</w:t>
      </w:r>
      <w:r>
        <w:t>.</w:t>
      </w:r>
      <w:r>
        <w:tab/>
        <w:t>Work that is not repair work prescribed (Act s. 5)</w:t>
      </w:r>
      <w:bookmarkEnd w:id="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lastRenderedPageBreak/>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0" w:name="_Toc404150393"/>
      <w:bookmarkStart w:id="11" w:name="_Toc81215652"/>
      <w:r>
        <w:rPr>
          <w:rStyle w:val="CharPartNo"/>
        </w:rPr>
        <w:lastRenderedPageBreak/>
        <w:t>Part 2A</w:t>
      </w:r>
      <w:r>
        <w:rPr>
          <w:b w:val="0"/>
        </w:rPr>
        <w:t> </w:t>
      </w:r>
      <w:r>
        <w:t>—</w:t>
      </w:r>
      <w:r>
        <w:rPr>
          <w:b w:val="0"/>
        </w:rPr>
        <w:t> </w:t>
      </w:r>
      <w:r>
        <w:rPr>
          <w:rStyle w:val="CharPartText"/>
        </w:rPr>
        <w:t>Licensing of motor vehicle repair businesses</w:t>
      </w:r>
      <w:bookmarkEnd w:id="10"/>
      <w:bookmarkEnd w:id="11"/>
    </w:p>
    <w:p>
      <w:pPr>
        <w:pStyle w:val="Footnoteheading"/>
      </w:pPr>
      <w:r>
        <w:tab/>
        <w:t>[Heading inserted in Gazette 24 Jun 2008 p. 2812.]</w:t>
      </w:r>
    </w:p>
    <w:p>
      <w:pPr>
        <w:pStyle w:val="Heading5"/>
      </w:pPr>
      <w:bookmarkStart w:id="12" w:name="_Toc81215653"/>
      <w:r>
        <w:rPr>
          <w:rStyle w:val="CharSectno"/>
        </w:rPr>
        <w:t>7A</w:t>
      </w:r>
      <w:r>
        <w:t>.</w:t>
      </w:r>
      <w:r>
        <w:tab/>
        <w:t>Fees prescribed (Act s. 13)</w:t>
      </w:r>
      <w:bookmarkEnd w:id="12"/>
    </w:p>
    <w:p>
      <w:pPr>
        <w:pStyle w:val="Subsection"/>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$165; and</w:t>
      </w:r>
    </w:p>
    <w:p>
      <w:pPr>
        <w:pStyle w:val="Indenti"/>
      </w:pPr>
      <w:r>
        <w:tab/>
        <w:t>(ii)</w:t>
      </w:r>
      <w:r>
        <w:tab/>
        <w:t>the amount determined in accordance with subregulation (6) in respect of the application.</w:t>
      </w:r>
    </w:p>
    <w:p>
      <w:pPr>
        <w:pStyle w:val="Ednotesubsection"/>
      </w:pPr>
      <w:r>
        <w:tab/>
        <w:t>[(2)</w:t>
      </w:r>
      <w:r>
        <w:noBreakHyphen/>
        <w:t>(5)</w:t>
      </w:r>
      <w:r>
        <w:tab/>
        <w:t>deleted]</w:t>
      </w:r>
    </w:p>
    <w:p>
      <w:pPr>
        <w:pStyle w:val="Subsection"/>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lastRenderedPageBreak/>
        <w:tab/>
        <w:t>[Regulation 7A inserted in Gazette 24 Jun 2008 p. 2812-15; amended in Gazette 23 Jun 2009 p. 2447; 22 Jun 2011 p. 2370; 30 Jun 2011 p. 2667; 15 Jun 2012 p. 2595</w:t>
      </w:r>
      <w:r>
        <w:noBreakHyphen/>
        <w:t>6; 27 Jun 2013 p. 2697-8; 17 Jun 2014 p. 1971; 15 Jul 2014 p. 2463; 18 Nov 2014 p. 4320.]</w:t>
      </w:r>
    </w:p>
    <w:p>
      <w:pPr>
        <w:pStyle w:val="Ednotesection"/>
      </w:pPr>
      <w:r>
        <w:t>[</w:t>
      </w:r>
      <w:r>
        <w:rPr>
          <w:b/>
        </w:rPr>
        <w:t>7B.</w:t>
      </w:r>
      <w:r>
        <w:tab/>
        <w:t>Deleted in Gazette 18 Nov 2014 p. 4320.]</w:t>
      </w:r>
    </w:p>
    <w:p>
      <w:pPr>
        <w:pStyle w:val="Heading5"/>
        <w:spacing w:before="180"/>
      </w:pPr>
      <w:bookmarkStart w:id="13" w:name="_Toc81215654"/>
      <w:r>
        <w:rPr>
          <w:rStyle w:val="CharSectno"/>
        </w:rPr>
        <w:t>7C</w:t>
      </w:r>
      <w:r>
        <w:t>.</w:t>
      </w:r>
      <w:r>
        <w:tab/>
        <w:t>Duplicate business licence, fee for (Act s. 25)</w:t>
      </w:r>
      <w:bookmarkEnd w:id="13"/>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14" w:name="_Toc81215655"/>
      <w:r>
        <w:rPr>
          <w:rStyle w:val="CharSectno"/>
        </w:rPr>
        <w:t>7D</w:t>
      </w:r>
      <w:r>
        <w:t>.</w:t>
      </w:r>
      <w:r>
        <w:tab/>
        <w:t>Conditions and restrictions attached to business licences (Act s. 28)</w:t>
      </w:r>
      <w:bookmarkEnd w:id="1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lastRenderedPageBreak/>
        <w:tab/>
        <w:t>[Regulation 7D inserted in Gazette 24 Jun 2008 p. 2817-18; amended in Gazette 18 Nov 2014 p. 4321.]</w:t>
      </w:r>
    </w:p>
    <w:p>
      <w:pPr>
        <w:pStyle w:val="Heading5"/>
      </w:pPr>
      <w:bookmarkStart w:id="15" w:name="_Toc81215656"/>
      <w:r>
        <w:rPr>
          <w:rStyle w:val="CharSectno"/>
        </w:rPr>
        <w:t>7E</w:t>
      </w:r>
      <w:r>
        <w:t>.</w:t>
      </w:r>
      <w:r>
        <w:tab/>
        <w:t>Duration of business licence (Act s. 30)</w:t>
      </w:r>
      <w:bookmarkEnd w:id="15"/>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16" w:name="_Toc81215657"/>
      <w:r>
        <w:rPr>
          <w:rStyle w:val="CharSectno"/>
        </w:rPr>
        <w:t>7F</w:t>
      </w:r>
      <w:r>
        <w:t>.</w:t>
      </w:r>
      <w:r>
        <w:tab/>
        <w:t>Renewal of licence, fees for (Act s. 31(3)(b))</w:t>
      </w:r>
      <w:bookmarkEnd w:id="16"/>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lastRenderedPageBreak/>
        <w:tab/>
        <w:t>[Regulation 7F inserted in Gazette 24 Jun 2008 p. 2819; amended in Gazette 23 Jun 2009 p. 2448; 22 Jun 2011 p. 2371; 15 Jun 2012 p. 2596</w:t>
      </w:r>
      <w:r>
        <w:noBreakHyphen/>
        <w:t>7; 27 Jun 2013 p. 2699; 17 Jun 2014 p. 1971-2; 15 Jul 2014 p. 2463; 18 Nov 2014 p. 4321.]</w:t>
      </w:r>
    </w:p>
    <w:p>
      <w:pPr>
        <w:pStyle w:val="Heading5"/>
      </w:pPr>
      <w:bookmarkStart w:id="17" w:name="_Toc81215658"/>
      <w:r>
        <w:rPr>
          <w:rStyle w:val="CharSectno"/>
        </w:rPr>
        <w:t>7G</w:t>
      </w:r>
      <w:r>
        <w:t>.</w:t>
      </w:r>
      <w:r>
        <w:tab/>
        <w:t>Change of certain information, licensee to notify Commissioner of</w:t>
      </w:r>
      <w:bookmarkEnd w:id="1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18" w:name="_Toc404150400"/>
      <w:bookmarkStart w:id="19" w:name="_Toc81215659"/>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18"/>
      <w:bookmarkEnd w:id="19"/>
    </w:p>
    <w:p>
      <w:pPr>
        <w:pStyle w:val="Heading5"/>
      </w:pPr>
      <w:bookmarkStart w:id="20" w:name="_Toc81215660"/>
      <w:r>
        <w:rPr>
          <w:rStyle w:val="CharSectno"/>
        </w:rPr>
        <w:t>7</w:t>
      </w:r>
      <w:r>
        <w:t>.</w:t>
      </w:r>
      <w:r>
        <w:tab/>
        <w:t>Repairer’s certificate, fee for (Act s. 41(2)(b))</w:t>
      </w:r>
      <w:bookmarkEnd w:id="20"/>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21" w:name="_Toc81215661"/>
      <w:r>
        <w:rPr>
          <w:rStyle w:val="CharSectno"/>
        </w:rPr>
        <w:t>8</w:t>
      </w:r>
      <w:r>
        <w:t>.</w:t>
      </w:r>
      <w:r>
        <w:tab/>
        <w:t>Qualifications prescribed (Act s. 42(2)(a)(i))</w:t>
      </w:r>
      <w:bookmarkEnd w:id="21"/>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lastRenderedPageBreak/>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lastRenderedPageBreak/>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lastRenderedPageBreak/>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lastRenderedPageBreak/>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lastRenderedPageBreak/>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lastRenderedPageBreak/>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lastRenderedPageBreak/>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lastRenderedPageBreak/>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2" w:name="_Toc404150403"/>
      <w:bookmarkStart w:id="23" w:name="_Toc81215662"/>
      <w:r>
        <w:rPr>
          <w:rStyle w:val="CharPartNo"/>
        </w:rPr>
        <w:lastRenderedPageBreak/>
        <w:t>Part 3</w:t>
      </w:r>
      <w:r>
        <w:rPr>
          <w:b w:val="0"/>
        </w:rPr>
        <w:t> </w:t>
      </w:r>
      <w:r>
        <w:t>—</w:t>
      </w:r>
      <w:r>
        <w:rPr>
          <w:b w:val="0"/>
        </w:rPr>
        <w:t> </w:t>
      </w:r>
      <w:r>
        <w:rPr>
          <w:rStyle w:val="CharPartText"/>
        </w:rPr>
        <w:t>Provisions applicable to business licences and to certificates</w:t>
      </w:r>
      <w:bookmarkEnd w:id="22"/>
      <w:bookmarkEnd w:id="23"/>
    </w:p>
    <w:p>
      <w:pPr>
        <w:pStyle w:val="Footnoteheading"/>
      </w:pPr>
      <w:r>
        <w:tab/>
        <w:t>[Heading inserted in Gazette 24 Jun 2008 p. 2820.]</w:t>
      </w:r>
    </w:p>
    <w:p>
      <w:pPr>
        <w:pStyle w:val="Heading5"/>
      </w:pPr>
      <w:bookmarkStart w:id="24" w:name="_Toc81215663"/>
      <w:r>
        <w:rPr>
          <w:rStyle w:val="CharSectno"/>
        </w:rPr>
        <w:t>9</w:t>
      </w:r>
      <w:r>
        <w:t>.</w:t>
      </w:r>
      <w:r>
        <w:tab/>
        <w:t>Particulars etc. to be recorded in register (Act s. 50(1)(a))</w:t>
      </w:r>
      <w:bookmarkEnd w:id="2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25" w:name="_Toc81215664"/>
      <w:r>
        <w:rPr>
          <w:rStyle w:val="CharSectno"/>
        </w:rPr>
        <w:lastRenderedPageBreak/>
        <w:t>10</w:t>
      </w:r>
      <w:r>
        <w:t>.</w:t>
      </w:r>
      <w:r>
        <w:tab/>
        <w:t>Fees for inspecting, and obtaining copies of, register (Act s. 51)</w:t>
      </w:r>
      <w:bookmarkEnd w:id="25"/>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26" w:name="_Toc81215665"/>
      <w:r>
        <w:rPr>
          <w:rStyle w:val="CharSectno"/>
        </w:rPr>
        <w:t>11</w:t>
      </w:r>
      <w:r>
        <w:t>.</w:t>
      </w:r>
      <w:r>
        <w:tab/>
        <w:t>Certified copy of certificate, fee for (Act s. 54(1))</w:t>
      </w:r>
      <w:bookmarkEnd w:id="26"/>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27" w:name="_Toc404150407"/>
      <w:bookmarkStart w:id="28" w:name="_Toc81215666"/>
      <w:r>
        <w:rPr>
          <w:rStyle w:val="CharPartNo"/>
        </w:rPr>
        <w:lastRenderedPageBreak/>
        <w:t>Part 4</w:t>
      </w:r>
      <w:r>
        <w:rPr>
          <w:b w:val="0"/>
        </w:rPr>
        <w:t> </w:t>
      </w:r>
      <w:r>
        <w:t>—</w:t>
      </w:r>
      <w:r>
        <w:rPr>
          <w:b w:val="0"/>
        </w:rPr>
        <w:t> </w:t>
      </w:r>
      <w:r>
        <w:rPr>
          <w:rStyle w:val="CharPartText"/>
        </w:rPr>
        <w:t>Miscellaneous</w:t>
      </w:r>
      <w:bookmarkEnd w:id="27"/>
      <w:bookmarkEnd w:id="28"/>
    </w:p>
    <w:p>
      <w:pPr>
        <w:pStyle w:val="Footnoteheading"/>
      </w:pPr>
      <w:r>
        <w:tab/>
        <w:t>[Heading inserted in Gazette 24 Jun 2008 p. 2822.]</w:t>
      </w:r>
    </w:p>
    <w:p>
      <w:pPr>
        <w:pStyle w:val="Heading5"/>
      </w:pPr>
      <w:bookmarkStart w:id="29" w:name="_Toc81215667"/>
      <w:r>
        <w:rPr>
          <w:rStyle w:val="CharSectno"/>
        </w:rPr>
        <w:t>12</w:t>
      </w:r>
      <w:r>
        <w:rPr>
          <w:color w:val="000000"/>
        </w:rPr>
        <w:t>.</w:t>
      </w:r>
      <w:r>
        <w:rPr>
          <w:color w:val="000000"/>
        </w:rPr>
        <w:tab/>
        <w:t>Changes of authorised premises, fees for (Act s. 61(1)(c))</w:t>
      </w:r>
      <w:bookmarkEnd w:id="29"/>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30" w:name="_Toc81215668"/>
      <w:r>
        <w:rPr>
          <w:rStyle w:val="CharSectno"/>
        </w:rPr>
        <w:t>13</w:t>
      </w:r>
      <w:r>
        <w:t>.</w:t>
      </w:r>
      <w:r>
        <w:tab/>
        <w:t>Infringement notice offences and modified penalties (Act s. 98 and 99(1))</w:t>
      </w:r>
      <w:bookmarkEnd w:id="30"/>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lastRenderedPageBreak/>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31" w:name="_Toc81215669"/>
      <w:r>
        <w:rPr>
          <w:rStyle w:val="CharSectno"/>
        </w:rPr>
        <w:t>14</w:t>
      </w:r>
      <w:r>
        <w:t>.</w:t>
      </w:r>
      <w:r>
        <w:tab/>
        <w:t>Infringement notice and withdrawal notice, forms of (Act s. 101(1) and 103(1))</w:t>
      </w:r>
      <w:bookmarkEnd w:id="31"/>
    </w:p>
    <w:p>
      <w:pPr>
        <w:pStyle w:val="Subsection"/>
      </w:pPr>
      <w:r>
        <w:tab/>
        <w:t>(1)</w:t>
      </w:r>
      <w:r>
        <w:tab/>
        <w:t>For the purposes of the Act section 101(1), Schedule 1 Form 1 is prescribed.</w:t>
      </w:r>
    </w:p>
    <w:p>
      <w:pPr>
        <w:pStyle w:val="Subsection"/>
      </w:pPr>
      <w:r>
        <w:lastRenderedPageBreak/>
        <w:tab/>
        <w:t>(2)</w:t>
      </w:r>
      <w:r>
        <w:tab/>
        <w:t>For the purposes of the Act section 103(1), Schedule 1 Form 2 is prescribed.</w:t>
      </w:r>
    </w:p>
    <w:p>
      <w:pPr>
        <w:pStyle w:val="Footnotesection"/>
      </w:pPr>
      <w:r>
        <w:tab/>
        <w:t>[Regulation 14 inserted in Gazette 24 Jun 2008 p. 2824.]</w:t>
      </w:r>
    </w:p>
    <w:p>
      <w:pPr>
        <w:pStyle w:val="Heading5"/>
      </w:pPr>
      <w:bookmarkStart w:id="32" w:name="_Toc81215670"/>
      <w:r>
        <w:rPr>
          <w:rStyle w:val="CharSectno"/>
        </w:rPr>
        <w:t>15</w:t>
      </w:r>
      <w:r>
        <w:t>.</w:t>
      </w:r>
      <w:r>
        <w:tab/>
        <w:t>Refund of fee on withdrawal or refusal of certain applications</w:t>
      </w:r>
      <w:bookmarkEnd w:id="32"/>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 w:name="_Toc404150412"/>
      <w:bookmarkStart w:id="34" w:name="_Toc81215671"/>
      <w:r>
        <w:rPr>
          <w:rStyle w:val="CharSchNo"/>
        </w:rPr>
        <w:lastRenderedPageBreak/>
        <w:t>Schedule 1</w:t>
      </w:r>
      <w:r>
        <w:t> — </w:t>
      </w:r>
      <w:r>
        <w:rPr>
          <w:rStyle w:val="CharSchText"/>
        </w:rPr>
        <w:t>Forms</w:t>
      </w:r>
      <w:bookmarkEnd w:id="33"/>
      <w:bookmarkEnd w:id="34"/>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5" w:name="_Toc404150413"/>
      <w:bookmarkStart w:id="36" w:name="_Toc81215672"/>
      <w:r>
        <w:lastRenderedPageBreak/>
        <w:t>Notes</w:t>
      </w:r>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7" w:name="_Toc81215673"/>
      <w:r>
        <w:t>Compilation table</w:t>
      </w:r>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lastRenderedPageBreak/>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tcBorders>
              <w:top w:val="nil"/>
              <w:bottom w:val="nil"/>
            </w:tcBorders>
            <w:shd w:val="clear" w:color="auto" w:fill="auto"/>
          </w:tcPr>
          <w:p>
            <w:pPr>
              <w:pStyle w:val="nTable"/>
              <w:spacing w:before="60" w:after="60"/>
              <w:rPr>
                <w:i/>
                <w:sz w:val="19"/>
              </w:rPr>
            </w:pPr>
            <w:r>
              <w:rPr>
                <w:i/>
              </w:rPr>
              <w:t>Motor Vehicle Repairers Amendment Regulations (No. 3) 2014</w:t>
            </w:r>
          </w:p>
        </w:tc>
        <w:tc>
          <w:tcPr>
            <w:tcW w:w="1276" w:type="dxa"/>
            <w:tcBorders>
              <w:top w:val="nil"/>
              <w:bottom w:val="nil"/>
            </w:tcBorders>
            <w:shd w:val="clear" w:color="auto" w:fill="auto"/>
          </w:tcPr>
          <w:p>
            <w:pPr>
              <w:pStyle w:val="nTable"/>
              <w:spacing w:before="60" w:after="60"/>
              <w:rPr>
                <w:sz w:val="19"/>
              </w:rPr>
            </w:pPr>
            <w:r>
              <w:rPr>
                <w:sz w:val="19"/>
              </w:rPr>
              <w:t>17 Jun 2014 p. 1970-3</w:t>
            </w:r>
          </w:p>
        </w:tc>
        <w:tc>
          <w:tcPr>
            <w:tcW w:w="2693" w:type="dxa"/>
            <w:tcBorders>
              <w:top w:val="nil"/>
              <w:bottom w:val="nil"/>
            </w:tcBorders>
            <w:shd w:val="clear" w:color="auto" w:fill="auto"/>
          </w:tcPr>
          <w:p>
            <w:pPr>
              <w:pStyle w:val="nTable"/>
              <w:spacing w:before="60" w:after="6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rPr>
                <w:sz w:val="19"/>
              </w:rPr>
            </w:pPr>
            <w:r>
              <w:rPr>
                <w:sz w:val="19"/>
              </w:rP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sz w:val="19"/>
              </w:rPr>
            </w:pPr>
            <w:r>
              <w:rPr>
                <w:rFonts w:ascii="Times" w:hAnsi="Times"/>
                <w:bCs/>
                <w:snapToGrid w:val="0"/>
                <w:spacing w:val="-2"/>
                <w:sz w:val="19"/>
              </w:rPr>
              <w:t>r. 1 and 2: 15 Jul 2014 (see r. 2(a));</w:t>
            </w:r>
            <w:r>
              <w:rPr>
                <w:rFonts w:ascii="Times" w:hAnsi="Times"/>
                <w:bCs/>
                <w:snapToGrid w:val="0"/>
                <w:spacing w:val="-2"/>
                <w:sz w:val="19"/>
              </w:rPr>
              <w:br/>
              <w:t>Regulations other than r. 1 and 2: 1 Aug 2014 (see r. 2(b))</w:t>
            </w:r>
          </w:p>
        </w:tc>
      </w:tr>
      <w:tr>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(No. 4) 2014</w:t>
            </w:r>
          </w:p>
        </w:tc>
        <w:tc>
          <w:tcPr>
            <w:tcW w:w="1276" w:type="dxa"/>
            <w:tcBorders>
              <w:top w:val="nil"/>
              <w:bottom w:val="single" w:sz="4" w:space="0" w:color="auto"/>
            </w:tcBorders>
            <w:shd w:val="clear" w:color="auto" w:fill="auto"/>
          </w:tcPr>
          <w:p>
            <w:pPr>
              <w:pStyle w:val="nTable"/>
              <w:spacing w:before="60" w:after="60"/>
              <w:rPr>
                <w:sz w:val="19"/>
              </w:rPr>
            </w:pPr>
            <w:r>
              <w:rPr>
                <w:sz w:val="19"/>
              </w:rPr>
              <w:t>18 Nov 2014 p. 4319-22</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sz w:val="19"/>
              </w:rPr>
            </w:pPr>
            <w:r>
              <w:rPr>
                <w:rFonts w:ascii="Times" w:hAnsi="Times"/>
                <w:bCs/>
                <w:snapToGrid w:val="0"/>
                <w:spacing w:val="-2"/>
                <w:sz w:val="19"/>
                <w:szCs w:val="19"/>
              </w:rPr>
              <w:t>r. 1 and 2: 18 Nov 2014 (see r. 2(a));</w:t>
            </w:r>
            <w:r>
              <w:rPr>
                <w:rFonts w:ascii="Times" w:hAnsi="Times"/>
                <w:bCs/>
                <w:snapToGrid w:val="0"/>
                <w:spacing w:val="-2"/>
                <w:sz w:val="19"/>
                <w:szCs w:val="19"/>
              </w:rPr>
              <w:br/>
              <w:t xml:space="preserve">Regulations other than r. 1 and 2: 19 Nov 2014 (see r. 2(b) and </w:t>
            </w:r>
            <w:r>
              <w:rPr>
                <w:rFonts w:ascii="Times" w:hAnsi="Times"/>
                <w:bCs/>
                <w:i/>
                <w:snapToGrid w:val="0"/>
                <w:spacing w:val="-2"/>
                <w:sz w:val="19"/>
                <w:szCs w:val="19"/>
              </w:rPr>
              <w:t>Gazette</w:t>
            </w:r>
            <w:r>
              <w:rPr>
                <w:rFonts w:ascii="Times" w:hAnsi="Times"/>
                <w:bCs/>
                <w:snapToGrid w:val="0"/>
                <w:spacing w:val="-2"/>
                <w:sz w:val="19"/>
                <w:szCs w:val="19"/>
              </w:rPr>
              <w:t xml:space="preserve"> 18 Nov 2014 p. 4315)</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8" w:name="_Toc404150415"/>
      <w:bookmarkStart w:id="39" w:name="_Toc81215674"/>
      <w:r>
        <w:rPr>
          <w:sz w:val="28"/>
        </w:rPr>
        <w:lastRenderedPageBreak/>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 w:name="DefinedTerms"/>
      <w:bookmarkEnd w:id="40"/>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lastRenderedPageBreak/>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rPr>
        <w:jc w:val="center"/>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jc w:val="center"/>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rPr>
        <w:jc w:val="center"/>
      </w:trP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jc w:val="center"/>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MERGEFORMAT ">
            <w:r>
              <w:rPr>
                <w:noProof/>
              </w:rPr>
              <w:t>Motor Vehicle Repairers Regulations 2007</w:t>
            </w:r>
          </w:fldSimple>
        </w:p>
      </w:tc>
    </w:tr>
    <w:tr>
      <w:trPr>
        <w:jc w:val="center"/>
      </w:trP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rPr>
        <w:jc w:val="center"/>
      </w:trPr>
      <w:tc>
        <w:tcPr>
          <w:tcW w:w="1548" w:type="dxa"/>
        </w:tcPr>
        <w:p>
          <w:pPr>
            <w:pStyle w:val="HeaderNumberLeft"/>
            <w:rPr>
              <w:b w:val="0"/>
            </w:rPr>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Motor Vehicle Repairers Regulations 2007</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ActNameLeft"/>
          </w:pPr>
          <w:fldSimple w:instr=" Styleref &quot;Name of Act/Reg&quot; ">
            <w:r>
              <w:rPr>
                <w:noProof/>
              </w:rPr>
              <w:t>Motor Vehicle Repairers Regulations 2007</w:t>
            </w:r>
          </w:fldSimple>
        </w:p>
      </w:tc>
    </w:tr>
    <w:tr>
      <w:trPr>
        <w:jc w:val="center"/>
      </w:trPr>
      <w:tc>
        <w:tcPr>
          <w:tcW w:w="1548" w:type="dxa"/>
        </w:tcPr>
        <w:p>
          <w:pPr>
            <w:pStyle w:val="HeaderNumberLeft"/>
          </w:pPr>
        </w:p>
      </w:tc>
      <w:tc>
        <w:tcPr>
          <w:tcW w:w="5764" w:type="dxa"/>
        </w:tcPr>
        <w:p>
          <w:pPr>
            <w:pStyle w:val="HeaderTextLeft"/>
          </w:pPr>
        </w:p>
      </w:tc>
    </w:tr>
    <w:tr>
      <w:trPr>
        <w:jc w:val="center"/>
      </w:trPr>
      <w:tc>
        <w:tcPr>
          <w:tcW w:w="1548" w:type="dxa"/>
        </w:tcPr>
        <w:p>
          <w:pPr>
            <w:pStyle w:val="HeaderNumberLeft"/>
          </w:pPr>
        </w:p>
      </w:tc>
      <w:tc>
        <w:tcPr>
          <w:tcW w:w="5764" w:type="dxa"/>
        </w:tcPr>
        <w:p>
          <w:pPr>
            <w:pStyle w:val="HeaderTextLeft"/>
          </w:pPr>
        </w:p>
      </w:tc>
    </w:tr>
    <w:tr>
      <w:trPr>
        <w:cantSplit/>
        <w:jc w:val="center"/>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41118101453"/>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5:docId w15:val="{E8FD25C7-A02E-455C-B637-7C8A0144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10171</Words>
  <Characters>50552</Characters>
  <Application>Microsoft Office Word</Application>
  <DocSecurity>0</DocSecurity>
  <Lines>2106</Lines>
  <Paragraphs>1412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2007 - 02-h0-02</dc:title>
  <dc:subject/>
  <dc:creator/>
  <cp:keywords/>
  <dc:description/>
  <cp:lastModifiedBy>Master Repository Process</cp:lastModifiedBy>
  <cp:revision>4</cp:revision>
  <cp:lastPrinted>2012-01-17T04:19:00Z</cp:lastPrinted>
  <dcterms:created xsi:type="dcterms:W3CDTF">2021-08-30T03:35:00Z</dcterms:created>
  <dcterms:modified xsi:type="dcterms:W3CDTF">2021-08-30T03:35:00Z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20141119</vt:lpwstr>
  </property>
  <property fmtid="{D5CDD505-2E9C-101B-9397-08002B2CF9AE}" pid="4" name="OwlsUID">
    <vt:i4>38522</vt:i4>
  </property>
  <property fmtid="{D5CDD505-2E9C-101B-9397-08002B2CF9AE}" pid="5" name="AsAtDate">
    <vt:lpwstr>19 Nov 2014</vt:lpwstr>
  </property>
  <property fmtid="{D5CDD505-2E9C-101B-9397-08002B2CF9AE}" pid="6" name="Suffix">
    <vt:lpwstr>02-h0-02</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