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Real Estate and Business Agents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_Toc435024408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_Toc435024409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_Toc435024410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Advisory Committee and review</w:t>
      </w:r>
    </w:p>
    <w:p>
      <w:pPr>
        <w:pStyle w:val="TOC8"/>
        <w:rPr>
          <w:rFonts w:asciiTheme="minorHAnsi" w:eastAsiaTheme="minorEastAsia" w:hAnsiTheme="minorHAnsi" w:cstheme="minorBidi"/>
          <w:szCs w:val="22"/>
        </w:rPr>
      </w:pPr>
      <w:r>
        <w:t>22.</w:t>
      </w:r>
      <w:r>
        <w:tab/>
        <w:t>Powers of investigation</w:t>
      </w:r>
      <w:r>
        <w:tab/>
      </w:r>
      <w:r>
        <w:fldChar w:fldCharType="begin"/>
      </w:r>
      <w:r>
        <w:instrText xml:space="preserve"> PAGEREF _Toc435024412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review by SAT</w:t>
      </w:r>
      <w:r>
        <w:tab/>
      </w:r>
      <w:r>
        <w:fldChar w:fldCharType="begin"/>
      </w:r>
      <w:r>
        <w:instrText xml:space="preserve"> PAGEREF _Toc435024413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Advisory committees</w:t>
      </w:r>
    </w:p>
    <w:p>
      <w:pPr>
        <w:pStyle w:val="TOC8"/>
        <w:rPr>
          <w:rFonts w:asciiTheme="minorHAnsi" w:eastAsiaTheme="minorEastAsia" w:hAnsiTheme="minorHAnsi" w:cstheme="minorBidi"/>
          <w:szCs w:val="22"/>
        </w:rPr>
      </w:pPr>
      <w:r>
        <w:t>23A.</w:t>
      </w:r>
      <w:r>
        <w:tab/>
        <w:t>Advisory committees, establishing etc.</w:t>
      </w:r>
      <w:r>
        <w:tab/>
      </w:r>
      <w:r>
        <w:fldChar w:fldCharType="begin"/>
      </w:r>
      <w:r>
        <w:instrText xml:space="preserve"> PAGEREF _Toc435024415 \h </w:instrText>
      </w:r>
      <w:r>
        <w:fldChar w:fldCharType="separate"/>
      </w:r>
      <w:r>
        <w:t>12</w:t>
      </w:r>
      <w:r>
        <w:fldChar w:fldCharType="end"/>
      </w:r>
    </w:p>
    <w:p>
      <w:pPr>
        <w:pStyle w:val="TOC8"/>
        <w:rPr>
          <w:rFonts w:asciiTheme="minorHAnsi" w:eastAsiaTheme="minorEastAsia" w:hAnsiTheme="minorHAnsi" w:cstheme="minorBidi"/>
          <w:szCs w:val="22"/>
        </w:rPr>
      </w:pPr>
      <w:r>
        <w:t>23B.</w:t>
      </w:r>
      <w:r>
        <w:tab/>
        <w:t>Minister may delegate s. 23A powers</w:t>
      </w:r>
      <w:r>
        <w:tab/>
      </w:r>
      <w:r>
        <w:fldChar w:fldCharType="begin"/>
      </w:r>
      <w:r>
        <w:instrText xml:space="preserve"> PAGEREF _Toc435024416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5 — Conciliation</w:t>
      </w:r>
    </w:p>
    <w:p>
      <w:pPr>
        <w:pStyle w:val="TOC8"/>
        <w:rPr>
          <w:rFonts w:asciiTheme="minorHAnsi" w:eastAsiaTheme="minorEastAsia" w:hAnsiTheme="minorHAnsi" w:cstheme="minorBidi"/>
          <w:szCs w:val="22"/>
        </w:rPr>
      </w:pPr>
      <w:r>
        <w:t>23C.</w:t>
      </w:r>
      <w:r>
        <w:tab/>
        <w:t>Conciliation of disputes about transactions</w:t>
      </w:r>
      <w:r>
        <w:tab/>
      </w:r>
      <w:r>
        <w:fldChar w:fldCharType="begin"/>
      </w:r>
      <w:r>
        <w:instrText xml:space="preserve"> PAGEREF _Toc435024418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 of agents</w:t>
      </w:r>
    </w:p>
    <w:p>
      <w:pPr>
        <w:pStyle w:val="TOC8"/>
        <w:rPr>
          <w:rFonts w:asciiTheme="minorHAnsi" w:eastAsiaTheme="minorEastAsia" w:hAnsiTheme="minorHAnsi" w:cstheme="minorBidi"/>
          <w:szCs w:val="22"/>
        </w:rPr>
      </w:pPr>
      <w:r>
        <w:t>24</w:t>
      </w:r>
      <w:r>
        <w:rPr>
          <w:snapToGrid w:val="0"/>
        </w:rPr>
        <w:t>.</w:t>
      </w:r>
      <w:r>
        <w:rPr>
          <w:snapToGrid w:val="0"/>
        </w:rPr>
        <w:tab/>
        <w:t>Applications for licences</w:t>
      </w:r>
      <w:r>
        <w:tab/>
      </w:r>
      <w:r>
        <w:fldChar w:fldCharType="begin"/>
      </w:r>
      <w:r>
        <w:instrText xml:space="preserve"> PAGEREF _Toc435024420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Real estate agents and business agents must be licensed</w:t>
      </w:r>
      <w:r>
        <w:tab/>
      </w:r>
      <w:r>
        <w:fldChar w:fldCharType="begin"/>
      </w:r>
      <w:r>
        <w:instrText xml:space="preserve"> PAGEREF _Toc435024421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Natural persons, licensing of</w:t>
      </w:r>
      <w:r>
        <w:tab/>
      </w:r>
      <w:r>
        <w:fldChar w:fldCharType="begin"/>
      </w:r>
      <w:r>
        <w:instrText xml:space="preserve"> PAGEREF _Toc435024422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Firms, licensing of</w:t>
      </w:r>
      <w:r>
        <w:tab/>
      </w:r>
      <w:r>
        <w:fldChar w:fldCharType="begin"/>
      </w:r>
      <w:r>
        <w:instrText xml:space="preserve"> PAGEREF _Toc435024423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Bodies corporate, licensing of</w:t>
      </w:r>
      <w:r>
        <w:tab/>
      </w:r>
      <w:r>
        <w:fldChar w:fldCharType="begin"/>
      </w:r>
      <w:r>
        <w:instrText xml:space="preserve"> PAGEREF _Toc435024424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 effect of</w:t>
      </w:r>
      <w:r>
        <w:tab/>
      </w:r>
      <w:r>
        <w:fldChar w:fldCharType="begin"/>
      </w:r>
      <w:r>
        <w:instrText xml:space="preserve"> PAGEREF _Toc435024425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Triennial certificates, grant and renewal of</w:t>
      </w:r>
      <w:r>
        <w:tab/>
      </w:r>
      <w:r>
        <w:fldChar w:fldCharType="begin"/>
      </w:r>
      <w:r>
        <w:instrText xml:space="preserve"> PAGEREF _Toc435024426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Triennial certificates, late renewal of</w:t>
      </w:r>
      <w:r>
        <w:tab/>
      </w:r>
      <w:r>
        <w:fldChar w:fldCharType="begin"/>
      </w:r>
      <w:r>
        <w:instrText xml:space="preserve"> PAGEREF _Toc435024427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Triennial certificates expired for over a year, applications to renew</w:t>
      </w:r>
      <w:r>
        <w:tab/>
      </w:r>
      <w:r>
        <w:fldChar w:fldCharType="begin"/>
      </w:r>
      <w:r>
        <w:instrText xml:space="preserve"> PAGEREF _Toc435024428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Conditions on licences and triennial certificates</w:t>
      </w:r>
      <w:r>
        <w:tab/>
      </w:r>
      <w:r>
        <w:fldChar w:fldCharType="begin"/>
      </w:r>
      <w:r>
        <w:instrText xml:space="preserve"> PAGEREF _Toc435024429 \h </w:instrText>
      </w:r>
      <w:r>
        <w:fldChar w:fldCharType="separate"/>
      </w:r>
      <w:r>
        <w:t>21</w:t>
      </w:r>
      <w:r>
        <w:fldChar w:fldCharType="end"/>
      </w:r>
    </w:p>
    <w:p>
      <w:pPr>
        <w:pStyle w:val="TOC8"/>
        <w:rPr>
          <w:rFonts w:asciiTheme="minorHAnsi" w:eastAsiaTheme="minorEastAsia" w:hAnsiTheme="minorHAnsi" w:cstheme="minorBidi"/>
          <w:szCs w:val="22"/>
        </w:rPr>
      </w:pPr>
      <w:r>
        <w:t>34A</w:t>
      </w:r>
      <w:r>
        <w:rPr>
          <w:snapToGrid w:val="0"/>
        </w:rPr>
        <w:t>.</w:t>
      </w:r>
      <w:r>
        <w:tab/>
        <w:t>Commissioner may grant licence or triennial certificate without notice to applicant</w:t>
      </w:r>
      <w:r>
        <w:tab/>
      </w:r>
      <w:r>
        <w:fldChar w:fldCharType="begin"/>
      </w:r>
      <w:r>
        <w:instrText xml:space="preserve"> PAGEREF _Toc435024430 \h </w:instrText>
      </w:r>
      <w:r>
        <w:fldChar w:fldCharType="separate"/>
      </w:r>
      <w:r>
        <w:t>22</w:t>
      </w:r>
      <w:r>
        <w:fldChar w:fldCharType="end"/>
      </w:r>
    </w:p>
    <w:p>
      <w:pPr>
        <w:pStyle w:val="TOC8"/>
        <w:rPr>
          <w:rFonts w:asciiTheme="minorHAnsi" w:eastAsiaTheme="minorEastAsia" w:hAnsiTheme="minorHAnsi" w:cstheme="minorBidi"/>
          <w:szCs w:val="22"/>
        </w:rPr>
      </w:pPr>
      <w:r>
        <w:t>34B.</w:t>
      </w:r>
      <w:r>
        <w:tab/>
        <w:t>SAT may suspend licence in some cases</w:t>
      </w:r>
      <w:r>
        <w:tab/>
      </w:r>
      <w:r>
        <w:fldChar w:fldCharType="begin"/>
      </w:r>
      <w:r>
        <w:instrText xml:space="preserve"> PAGEREF _Toc435024431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Licensee to notify Commissioner when commencing or ceasing business</w:t>
      </w:r>
      <w:r>
        <w:tab/>
      </w:r>
      <w:r>
        <w:fldChar w:fldCharType="begin"/>
      </w:r>
      <w:r>
        <w:instrText xml:space="preserve"> PAGEREF _Toc435024432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Registered office of licensee</w:t>
      </w:r>
      <w:r>
        <w:tab/>
      </w:r>
      <w:r>
        <w:fldChar w:fldCharType="begin"/>
      </w:r>
      <w:r>
        <w:instrText xml:space="preserve"> PAGEREF _Toc435024433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Branch office of licensee</w:t>
      </w:r>
      <w:r>
        <w:tab/>
      </w:r>
      <w:r>
        <w:fldChar w:fldCharType="begin"/>
      </w:r>
      <w:r>
        <w:instrText xml:space="preserve"> PAGEREF _Toc435024434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Triennial certificates, contents of</w:t>
      </w:r>
      <w:r>
        <w:tab/>
      </w:r>
      <w:r>
        <w:fldChar w:fldCharType="begin"/>
      </w:r>
      <w:r>
        <w:instrText xml:space="preserve"> PAGEREF _Toc435024435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Licence and triennial certificate not transferable etc.</w:t>
      </w:r>
      <w:r>
        <w:tab/>
      </w:r>
      <w:r>
        <w:fldChar w:fldCharType="begin"/>
      </w:r>
      <w:r>
        <w:instrText xml:space="preserve"> PAGEREF _Toc435024436 \h </w:instrText>
      </w:r>
      <w:r>
        <w:fldChar w:fldCharType="separate"/>
      </w:r>
      <w:r>
        <w:t>24</w:t>
      </w:r>
      <w:r>
        <w:fldChar w:fldCharType="end"/>
      </w:r>
    </w:p>
    <w:p>
      <w:pPr>
        <w:pStyle w:val="TOC8"/>
        <w:rPr>
          <w:rFonts w:asciiTheme="minorHAnsi" w:eastAsiaTheme="minorEastAsia" w:hAnsiTheme="minorHAnsi" w:cstheme="minorBidi"/>
          <w:szCs w:val="22"/>
        </w:rPr>
      </w:pPr>
      <w:r>
        <w:t>40A.</w:t>
      </w:r>
      <w:r>
        <w:tab/>
        <w:t>Duplicate licence, certificate of registration or triennial certificate</w:t>
      </w:r>
      <w:r>
        <w:tab/>
      </w:r>
      <w:r>
        <w:fldChar w:fldCharType="begin"/>
      </w:r>
      <w:r>
        <w:instrText xml:space="preserve"> PAGEREF _Toc435024437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Business names, use of by licensees</w:t>
      </w:r>
      <w:r>
        <w:tab/>
      </w:r>
      <w:r>
        <w:fldChar w:fldCharType="begin"/>
      </w:r>
      <w:r>
        <w:instrText xml:space="preserve"> PAGEREF _Toc435024438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Notices to be exhibited at offices; particulars to appear on documents</w:t>
      </w:r>
      <w:r>
        <w:tab/>
      </w:r>
      <w:r>
        <w:fldChar w:fldCharType="begin"/>
      </w:r>
      <w:r>
        <w:instrText xml:space="preserve"> PAGEREF _Toc435024439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IV — Registration of sales representatives</w:t>
      </w:r>
    </w:p>
    <w:p>
      <w:pPr>
        <w:pStyle w:val="TOC8"/>
        <w:rPr>
          <w:rFonts w:asciiTheme="minorHAnsi" w:eastAsiaTheme="minorEastAsia" w:hAnsiTheme="minorHAnsi" w:cstheme="minorBidi"/>
          <w:szCs w:val="22"/>
        </w:rPr>
      </w:pPr>
      <w:r>
        <w:t>42</w:t>
      </w:r>
      <w:r>
        <w:rPr>
          <w:snapToGrid w:val="0"/>
        </w:rPr>
        <w:t>.</w:t>
      </w:r>
      <w:r>
        <w:rPr>
          <w:snapToGrid w:val="0"/>
        </w:rPr>
        <w:tab/>
        <w:t>Natural persons only may be registered</w:t>
      </w:r>
      <w:r>
        <w:tab/>
      </w:r>
      <w:r>
        <w:fldChar w:fldCharType="begin"/>
      </w:r>
      <w:r>
        <w:instrText xml:space="preserve"> PAGEREF _Toc435024441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Applications for registration</w:t>
      </w:r>
      <w:r>
        <w:tab/>
      </w:r>
      <w:r>
        <w:fldChar w:fldCharType="begin"/>
      </w:r>
      <w:r>
        <w:instrText xml:space="preserve"> PAGEREF _Toc435024442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Real estate sales representatives must be registered etc.</w:t>
      </w:r>
      <w:r>
        <w:tab/>
      </w:r>
      <w:r>
        <w:fldChar w:fldCharType="begin"/>
      </w:r>
      <w:r>
        <w:instrText xml:space="preserve"> PAGEREF _Toc435024443 \h </w:instrText>
      </w:r>
      <w:r>
        <w:fldChar w:fldCharType="separate"/>
      </w:r>
      <w:r>
        <w:t>27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Business sales representatives must be registered etc.</w:t>
      </w:r>
      <w:r>
        <w:tab/>
      </w:r>
      <w:r>
        <w:fldChar w:fldCharType="begin"/>
      </w:r>
      <w:r>
        <w:instrText xml:space="preserve"> PAGEREF _Toc435024444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Partners and directors of licensees to be registered in certain cases</w:t>
      </w:r>
      <w:r>
        <w:tab/>
      </w:r>
      <w:r>
        <w:fldChar w:fldCharType="begin"/>
      </w:r>
      <w:r>
        <w:instrText xml:space="preserve"> PAGEREF _Toc435024445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Natural persons, grant of certificate of registration to</w:t>
      </w:r>
      <w:r>
        <w:tab/>
      </w:r>
      <w:r>
        <w:fldChar w:fldCharType="begin"/>
      </w:r>
      <w:r>
        <w:instrText xml:space="preserve"> PAGEREF _Toc435024446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Certificates of registration, duration and renewal of</w:t>
      </w:r>
      <w:r>
        <w:tab/>
      </w:r>
      <w:r>
        <w:fldChar w:fldCharType="begin"/>
      </w:r>
      <w:r>
        <w:instrText xml:space="preserve"> PAGEREF _Toc435024447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Certificates of registration, late renewal of</w:t>
      </w:r>
      <w:r>
        <w:tab/>
      </w:r>
      <w:r>
        <w:fldChar w:fldCharType="begin"/>
      </w:r>
      <w:r>
        <w:instrText xml:space="preserve"> PAGEREF _Toc435024448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Duties of registered persons; Commissioner may impose special conditions on certificates of registration</w:t>
      </w:r>
      <w:r>
        <w:tab/>
      </w:r>
      <w:r>
        <w:fldChar w:fldCharType="begin"/>
      </w:r>
      <w:r>
        <w:instrText xml:space="preserve"> PAGEREF _Toc435024449 \h </w:instrText>
      </w:r>
      <w:r>
        <w:fldChar w:fldCharType="separate"/>
      </w:r>
      <w:r>
        <w:t>32</w:t>
      </w:r>
      <w:r>
        <w:fldChar w:fldCharType="end"/>
      </w:r>
    </w:p>
    <w:p>
      <w:pPr>
        <w:pStyle w:val="TOC8"/>
        <w:rPr>
          <w:rFonts w:asciiTheme="minorHAnsi" w:eastAsiaTheme="minorEastAsia" w:hAnsiTheme="minorHAnsi" w:cstheme="minorBidi"/>
          <w:szCs w:val="22"/>
        </w:rPr>
      </w:pPr>
      <w:r>
        <w:t>50A</w:t>
      </w:r>
      <w:r>
        <w:rPr>
          <w:snapToGrid w:val="0"/>
        </w:rPr>
        <w:t>.</w:t>
      </w:r>
      <w:r>
        <w:tab/>
        <w:t>Unopposed applications</w:t>
      </w:r>
      <w:r>
        <w:tab/>
      </w:r>
      <w:r>
        <w:fldChar w:fldCharType="begin"/>
      </w:r>
      <w:r>
        <w:instrText xml:space="preserve"> PAGEREF _Toc435024450 \h </w:instrText>
      </w:r>
      <w:r>
        <w:fldChar w:fldCharType="separate"/>
      </w:r>
      <w:r>
        <w:t>32</w:t>
      </w:r>
      <w:r>
        <w:fldChar w:fldCharType="end"/>
      </w:r>
    </w:p>
    <w:p>
      <w:pPr>
        <w:pStyle w:val="TOC8"/>
        <w:rPr>
          <w:rFonts w:asciiTheme="minorHAnsi" w:eastAsiaTheme="minorEastAsia" w:hAnsiTheme="minorHAnsi" w:cstheme="minorBidi"/>
          <w:szCs w:val="22"/>
        </w:rPr>
      </w:pPr>
      <w:r>
        <w:t>50B.</w:t>
      </w:r>
      <w:r>
        <w:tab/>
        <w:t>SAT may suspend registration in some cases</w:t>
      </w:r>
      <w:r>
        <w:tab/>
      </w:r>
      <w:r>
        <w:fldChar w:fldCharType="begin"/>
      </w:r>
      <w:r>
        <w:instrText xml:space="preserve"> PAGEREF _Toc435024451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r>
      <w:r>
        <w:t>Registered sales representatives to notify Commissioner of certain changes</w:t>
      </w:r>
      <w:r>
        <w:tab/>
      </w:r>
      <w:r>
        <w:fldChar w:fldCharType="begin"/>
      </w:r>
      <w:r>
        <w:instrText xml:space="preserve"> PAGEREF _Toc435024452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Certificate of registration not transferable</w:t>
      </w:r>
      <w:r>
        <w:tab/>
      </w:r>
      <w:r>
        <w:fldChar w:fldCharType="begin"/>
      </w:r>
      <w:r>
        <w:instrText xml:space="preserve"> PAGEREF _Toc435024453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 of registration, surrender of</w:t>
      </w:r>
      <w:r>
        <w:tab/>
      </w:r>
      <w:r>
        <w:fldChar w:fldCharType="begin"/>
      </w:r>
      <w:r>
        <w:instrText xml:space="preserve"> PAGEREF _Toc435024454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Sales representatives, employment of</w:t>
      </w:r>
      <w:r>
        <w:tab/>
      </w:r>
      <w:r>
        <w:fldChar w:fldCharType="begin"/>
      </w:r>
      <w:r>
        <w:instrText xml:space="preserve"> PAGEREF _Toc435024455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Sales representative to be in service of one person</w:t>
      </w:r>
      <w:r>
        <w:tab/>
      </w:r>
      <w:r>
        <w:fldChar w:fldCharType="begin"/>
      </w:r>
      <w:r>
        <w:instrText xml:space="preserve"> PAGEREF _Toc435024456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V — General controls</w:t>
      </w:r>
    </w:p>
    <w:p>
      <w:pPr>
        <w:pStyle w:val="TOC8"/>
        <w:rPr>
          <w:rFonts w:asciiTheme="minorHAnsi" w:eastAsiaTheme="minorEastAsia" w:hAnsiTheme="minorHAnsi" w:cstheme="minorBidi"/>
          <w:szCs w:val="22"/>
        </w:rPr>
      </w:pPr>
      <w:r>
        <w:t>56</w:t>
      </w:r>
      <w:r>
        <w:rPr>
          <w:snapToGrid w:val="0"/>
        </w:rPr>
        <w:t>.</w:t>
      </w:r>
      <w:r>
        <w:rPr>
          <w:snapToGrid w:val="0"/>
        </w:rPr>
        <w:tab/>
        <w:t>Franchising agreements, licensee not to carry on business under without Commissioner’s approval</w:t>
      </w:r>
      <w:r>
        <w:tab/>
      </w:r>
      <w:r>
        <w:fldChar w:fldCharType="begin"/>
      </w:r>
      <w:r>
        <w:instrText xml:space="preserve"> PAGEREF _Toc435024458 \h </w:instrText>
      </w:r>
      <w:r>
        <w:fldChar w:fldCharType="separate"/>
      </w:r>
      <w:r>
        <w:t>36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Developers, principal place of business to be registered and service on</w:t>
      </w:r>
      <w:r>
        <w:tab/>
      </w:r>
      <w:r>
        <w:fldChar w:fldCharType="begin"/>
      </w:r>
      <w:r>
        <w:instrText xml:space="preserve"> PAGEREF _Toc435024459 \h </w:instrText>
      </w:r>
      <w:r>
        <w:fldChar w:fldCharType="separate"/>
      </w:r>
      <w:r>
        <w:t>36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Developer to notify Commissioner of change in principal place of business</w:t>
      </w:r>
      <w:r>
        <w:tab/>
      </w:r>
      <w:r>
        <w:fldChar w:fldCharType="begin"/>
      </w:r>
      <w:r>
        <w:instrText xml:space="preserve"> PAGEREF _Toc435024460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Developer to keep records of real estate transactions</w:t>
      </w:r>
      <w:r>
        <w:tab/>
      </w:r>
      <w:r>
        <w:fldChar w:fldCharType="begin"/>
      </w:r>
      <w:r>
        <w:instrText xml:space="preserve"> PAGEREF _Toc435024461 \h </w:instrText>
      </w:r>
      <w:r>
        <w:fldChar w:fldCharType="separate"/>
      </w:r>
      <w:r>
        <w:t>37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Agent not entitled to commission etc. unless licensed and validly appointed</w:t>
      </w:r>
      <w:r>
        <w:tab/>
      </w:r>
      <w:r>
        <w:fldChar w:fldCharType="begin"/>
      </w:r>
      <w:r>
        <w:instrText xml:space="preserve"> PAGEREF _Toc435024462 \h </w:instrText>
      </w:r>
      <w:r>
        <w:fldChar w:fldCharType="separate"/>
      </w:r>
      <w:r>
        <w:t>37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Maximum remuneration of licensees, fixing of etc.</w:t>
      </w:r>
      <w:r>
        <w:tab/>
      </w:r>
      <w:r>
        <w:fldChar w:fldCharType="begin"/>
      </w:r>
      <w:r>
        <w:instrText xml:space="preserve"> PAGEREF _Toc435024463 \h </w:instrText>
      </w:r>
      <w:r>
        <w:fldChar w:fldCharType="separate"/>
      </w:r>
      <w:r>
        <w:t>39</w:t>
      </w:r>
      <w:r>
        <w:fldChar w:fldCharType="end"/>
      </w:r>
    </w:p>
    <w:p>
      <w:pPr>
        <w:pStyle w:val="TOC8"/>
        <w:rPr>
          <w:rFonts w:asciiTheme="minorHAnsi" w:eastAsiaTheme="minorEastAsia" w:hAnsiTheme="minorHAnsi" w:cstheme="minorBidi"/>
          <w:szCs w:val="22"/>
        </w:rPr>
      </w:pPr>
      <w:r>
        <w:t>61A.</w:t>
      </w:r>
      <w:r>
        <w:tab/>
        <w:t>Agents not to demand etc. money etc. for letting etc. from tenants</w:t>
      </w:r>
      <w:r>
        <w:tab/>
      </w:r>
      <w:r>
        <w:fldChar w:fldCharType="begin"/>
      </w:r>
      <w:r>
        <w:instrText xml:space="preserve"> PAGEREF _Toc435024464 \h </w:instrText>
      </w:r>
      <w:r>
        <w:fldChar w:fldCharType="separate"/>
      </w:r>
      <w:r>
        <w:t>41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Advertising by agents and developers</w:t>
      </w:r>
      <w:r>
        <w:tab/>
      </w:r>
      <w:r>
        <w:fldChar w:fldCharType="begin"/>
      </w:r>
      <w:r>
        <w:instrText xml:space="preserve"> PAGEREF _Toc435024465 \h </w:instrText>
      </w:r>
      <w:r>
        <w:fldChar w:fldCharType="separate"/>
      </w:r>
      <w:r>
        <w:t>42</w:t>
      </w:r>
      <w:r>
        <w:fldChar w:fldCharType="end"/>
      </w:r>
    </w:p>
    <w:p>
      <w:pPr>
        <w:pStyle w:val="TOC8"/>
        <w:rPr>
          <w:rFonts w:asciiTheme="minorHAnsi" w:eastAsiaTheme="minorEastAsia" w:hAnsiTheme="minorHAnsi" w:cstheme="minorBidi"/>
          <w:szCs w:val="22"/>
        </w:rPr>
      </w:pPr>
      <w:r>
        <w:t>63.</w:t>
      </w:r>
      <w:r>
        <w:tab/>
        <w:t>Agents etc. to supply signatories of documents with copies</w:t>
      </w:r>
      <w:r>
        <w:tab/>
      </w:r>
      <w:r>
        <w:fldChar w:fldCharType="begin"/>
      </w:r>
      <w:r>
        <w:instrText xml:space="preserve"> PAGEREF _Toc435024466 \h </w:instrText>
      </w:r>
      <w:r>
        <w:fldChar w:fldCharType="separate"/>
      </w:r>
      <w:r>
        <w:t>42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Conflicts of interest of agents etc.</w:t>
      </w:r>
      <w:r>
        <w:tab/>
      </w:r>
      <w:r>
        <w:fldChar w:fldCharType="begin"/>
      </w:r>
      <w:r>
        <w:instrText xml:space="preserve"> PAGEREF _Toc435024467 \h </w:instrText>
      </w:r>
      <w:r>
        <w:fldChar w:fldCharType="separate"/>
      </w:r>
      <w:r>
        <w:t>43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Rates etc., agents to ensure payment and apportionment of</w:t>
      </w:r>
      <w:r>
        <w:tab/>
      </w:r>
      <w:r>
        <w:fldChar w:fldCharType="begin"/>
      </w:r>
      <w:r>
        <w:instrText xml:space="preserve"> PAGEREF _Toc435024468 \h </w:instrText>
      </w:r>
      <w:r>
        <w:fldChar w:fldCharType="separate"/>
      </w:r>
      <w:r>
        <w:t>43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Keys to houses etc. and information about tenancies etc., payment for is an offence</w:t>
      </w:r>
      <w:r>
        <w:tab/>
      </w:r>
      <w:r>
        <w:fldChar w:fldCharType="begin"/>
      </w:r>
      <w:r>
        <w:instrText xml:space="preserve"> PAGEREF _Toc435024469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VI — Agents’ trust accounts</w:t>
      </w:r>
    </w:p>
    <w:p>
      <w:pPr>
        <w:pStyle w:val="TOC8"/>
        <w:rPr>
          <w:rFonts w:asciiTheme="minorHAnsi" w:eastAsiaTheme="minorEastAsia" w:hAnsiTheme="minorHAnsi" w:cstheme="minorBidi"/>
          <w:szCs w:val="22"/>
        </w:rPr>
      </w:pPr>
      <w:r>
        <w:t>67</w:t>
      </w:r>
      <w:r>
        <w:rPr>
          <w:snapToGrid w:val="0"/>
        </w:rPr>
        <w:t>.</w:t>
      </w:r>
      <w:r>
        <w:rPr>
          <w:snapToGrid w:val="0"/>
        </w:rPr>
        <w:tab/>
        <w:t>Terms used</w:t>
      </w:r>
      <w:r>
        <w:tab/>
      </w:r>
      <w:r>
        <w:fldChar w:fldCharType="begin"/>
      </w:r>
      <w:r>
        <w:instrText xml:space="preserve"> PAGEREF _Toc435024471 \h </w:instrText>
      </w:r>
      <w:r>
        <w:fldChar w:fldCharType="separate"/>
      </w:r>
      <w:r>
        <w:t>46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Trust accounts, use of etc.</w:t>
      </w:r>
      <w:r>
        <w:tab/>
      </w:r>
      <w:r>
        <w:fldChar w:fldCharType="begin"/>
      </w:r>
      <w:r>
        <w:instrText xml:space="preserve"> PAGEREF _Toc435024472 \h </w:instrText>
      </w:r>
      <w:r>
        <w:fldChar w:fldCharType="separate"/>
      </w:r>
      <w:r>
        <w:t>46</w:t>
      </w:r>
      <w:r>
        <w:fldChar w:fldCharType="end"/>
      </w:r>
    </w:p>
    <w:p>
      <w:pPr>
        <w:pStyle w:val="TOC8"/>
        <w:rPr>
          <w:rFonts w:asciiTheme="minorHAnsi" w:eastAsiaTheme="minorEastAsia" w:hAnsiTheme="minorHAnsi" w:cstheme="minorBidi"/>
          <w:szCs w:val="22"/>
        </w:rPr>
      </w:pPr>
      <w:r>
        <w:t>68A</w:t>
      </w:r>
      <w:r>
        <w:rPr>
          <w:snapToGrid w:val="0"/>
        </w:rPr>
        <w:t>.</w:t>
      </w:r>
      <w:r>
        <w:rPr>
          <w:snapToGrid w:val="0"/>
        </w:rPr>
        <w:tab/>
        <w:t>Client may ask agent for separate trust account</w:t>
      </w:r>
      <w:r>
        <w:tab/>
      </w:r>
      <w:r>
        <w:fldChar w:fldCharType="begin"/>
      </w:r>
      <w:r>
        <w:instrText xml:space="preserve"> PAGEREF _Toc435024473 \h </w:instrText>
      </w:r>
      <w:r>
        <w:fldChar w:fldCharType="separate"/>
      </w:r>
      <w:r>
        <w:t>47</w:t>
      </w:r>
      <w:r>
        <w:fldChar w:fldCharType="end"/>
      </w:r>
    </w:p>
    <w:p>
      <w:pPr>
        <w:pStyle w:val="TOC8"/>
        <w:rPr>
          <w:rFonts w:asciiTheme="minorHAnsi" w:eastAsiaTheme="minorEastAsia" w:hAnsiTheme="minorHAnsi" w:cstheme="minorBidi"/>
          <w:szCs w:val="22"/>
        </w:rPr>
      </w:pPr>
      <w:r>
        <w:t>68B</w:t>
      </w:r>
      <w:r>
        <w:rPr>
          <w:snapToGrid w:val="0"/>
        </w:rPr>
        <w:t>.</w:t>
      </w:r>
      <w:r>
        <w:rPr>
          <w:snapToGrid w:val="0"/>
        </w:rPr>
        <w:tab/>
        <w:t>Interest on trust accounts to be paid by financial institutions</w:t>
      </w:r>
      <w:r>
        <w:tab/>
      </w:r>
      <w:r>
        <w:fldChar w:fldCharType="begin"/>
      </w:r>
      <w:r>
        <w:instrText xml:space="preserve"> PAGEREF _Toc435024474 \h </w:instrText>
      </w:r>
      <w:r>
        <w:fldChar w:fldCharType="separate"/>
      </w:r>
      <w:r>
        <w:t>48</w:t>
      </w:r>
      <w:r>
        <w:fldChar w:fldCharType="end"/>
      </w:r>
    </w:p>
    <w:p>
      <w:pPr>
        <w:pStyle w:val="TOC8"/>
        <w:rPr>
          <w:rFonts w:asciiTheme="minorHAnsi" w:eastAsiaTheme="minorEastAsia" w:hAnsiTheme="minorHAnsi" w:cstheme="minorBidi"/>
          <w:szCs w:val="22"/>
        </w:rPr>
      </w:pPr>
      <w:r>
        <w:t>68C</w:t>
      </w:r>
      <w:r>
        <w:rPr>
          <w:snapToGrid w:val="0"/>
        </w:rPr>
        <w:t>.</w:t>
      </w:r>
      <w:r>
        <w:rPr>
          <w:snapToGrid w:val="0"/>
        </w:rPr>
        <w:tab/>
      </w:r>
      <w:r>
        <w:t>Agents to give Commissioner information about trust accounts</w:t>
      </w:r>
      <w:r>
        <w:tab/>
      </w:r>
      <w:r>
        <w:fldChar w:fldCharType="begin"/>
      </w:r>
      <w:r>
        <w:instrText xml:space="preserve"> PAGEREF _Toc435024475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Money received by agents, duties as to</w:t>
      </w:r>
      <w:r>
        <w:tab/>
      </w:r>
      <w:r>
        <w:fldChar w:fldCharType="begin"/>
      </w:r>
      <w:r>
        <w:instrText xml:space="preserve"> PAGEREF _Toc435024476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Audits of trust accounts</w:t>
      </w:r>
      <w:r>
        <w:tab/>
      </w:r>
      <w:r>
        <w:fldChar w:fldCharType="begin"/>
      </w:r>
      <w:r>
        <w:instrText xml:space="preserve"> PAGEREF _Toc435024477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r>
      <w:r>
        <w:t>Date of audit, Commissioner may change</w:t>
      </w:r>
      <w:r>
        <w:tab/>
      </w:r>
      <w:r>
        <w:fldChar w:fldCharType="begin"/>
      </w:r>
      <w:r>
        <w:instrText xml:space="preserve"> PAGEREF _Toc435024478 \h </w:instrText>
      </w:r>
      <w:r>
        <w:fldChar w:fldCharType="separate"/>
      </w:r>
      <w:r>
        <w:t>52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Auditors, qualification and approval of</w:t>
      </w:r>
      <w:r>
        <w:tab/>
      </w:r>
      <w:r>
        <w:fldChar w:fldCharType="begin"/>
      </w:r>
      <w:r>
        <w:instrText xml:space="preserve"> PAGEREF _Toc435024479 \h </w:instrText>
      </w:r>
      <w:r>
        <w:fldChar w:fldCharType="separate"/>
      </w:r>
      <w:r>
        <w:t>53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Auditors, appointment of</w:t>
      </w:r>
      <w:r>
        <w:tab/>
      </w:r>
      <w:r>
        <w:fldChar w:fldCharType="begin"/>
      </w:r>
      <w:r>
        <w:instrText xml:space="preserve"> PAGEREF _Toc435024480 \h </w:instrText>
      </w:r>
      <w:r>
        <w:fldChar w:fldCharType="separate"/>
      </w:r>
      <w:r>
        <w:t>53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Audits of business carried on at more than one place, directions as to</w:t>
      </w:r>
      <w:r>
        <w:tab/>
      </w:r>
      <w:r>
        <w:fldChar w:fldCharType="begin"/>
      </w:r>
      <w:r>
        <w:instrText xml:space="preserve"> PAGEREF _Toc435024481 \h </w:instrText>
      </w:r>
      <w:r>
        <w:fldChar w:fldCharType="separate"/>
      </w:r>
      <w:r>
        <w:t>54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r>
      <w:r>
        <w:t>Approvals etc. under this Part, Commissioner’s power to cancel etc.</w:t>
      </w:r>
      <w:r>
        <w:tab/>
      </w:r>
      <w:r>
        <w:fldChar w:fldCharType="begin"/>
      </w:r>
      <w:r>
        <w:instrText xml:space="preserve"> PAGEREF _Toc435024482 \h </w:instrText>
      </w:r>
      <w:r>
        <w:fldChar w:fldCharType="separate"/>
      </w:r>
      <w:r>
        <w:t>54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Audits, agents’ duties and auditors’ powers as to</w:t>
      </w:r>
      <w:r>
        <w:tab/>
      </w:r>
      <w:r>
        <w:fldChar w:fldCharType="begin"/>
      </w:r>
      <w:r>
        <w:instrText xml:space="preserve"> PAGEREF _Toc435024483 \h </w:instrText>
      </w:r>
      <w:r>
        <w:fldChar w:fldCharType="separate"/>
      </w:r>
      <w:r>
        <w:t>54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Audits, bankers’ duties as to</w:t>
      </w:r>
      <w:r>
        <w:tab/>
      </w:r>
      <w:r>
        <w:fldChar w:fldCharType="begin"/>
      </w:r>
      <w:r>
        <w:instrText xml:space="preserve"> PAGEREF _Toc435024484 \h </w:instrText>
      </w:r>
      <w:r>
        <w:fldChar w:fldCharType="separate"/>
      </w:r>
      <w:r>
        <w:t>55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Auditors’ reports, content of</w:t>
      </w:r>
      <w:r>
        <w:tab/>
      </w:r>
      <w:r>
        <w:fldChar w:fldCharType="begin"/>
      </w:r>
      <w:r>
        <w:instrText xml:space="preserve"> PAGEREF _Toc435024485 \h </w:instrText>
      </w:r>
      <w:r>
        <w:fldChar w:fldCharType="separate"/>
      </w:r>
      <w:r>
        <w:t>55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Moneys etc. held on trust, statement of by agents</w:t>
      </w:r>
      <w:r>
        <w:tab/>
      </w:r>
      <w:r>
        <w:fldChar w:fldCharType="begin"/>
      </w:r>
      <w:r>
        <w:instrText xml:space="preserve"> PAGEREF _Toc435024486 \h </w:instrText>
      </w:r>
      <w:r>
        <w:fldChar w:fldCharType="separate"/>
      </w:r>
      <w:r>
        <w:t>56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Auditor’s report to report breaches of law etc.</w:t>
      </w:r>
      <w:r>
        <w:tab/>
      </w:r>
      <w:r>
        <w:fldChar w:fldCharType="begin"/>
      </w:r>
      <w:r>
        <w:instrText xml:space="preserve"> PAGEREF _Toc435024487 \h </w:instrText>
      </w:r>
      <w:r>
        <w:fldChar w:fldCharType="separate"/>
      </w:r>
      <w:r>
        <w:t>57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Auditors’ duty of confidentiality</w:t>
      </w:r>
      <w:r>
        <w:tab/>
      </w:r>
      <w:r>
        <w:fldChar w:fldCharType="begin"/>
      </w:r>
      <w:r>
        <w:instrText xml:space="preserve"> PAGEREF _Toc435024488 \h </w:instrText>
      </w:r>
      <w:r>
        <w:fldChar w:fldCharType="separate"/>
      </w:r>
      <w:r>
        <w:t>57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Right of some persons to information in auditors’ reports</w:t>
      </w:r>
      <w:r>
        <w:tab/>
      </w:r>
      <w:r>
        <w:fldChar w:fldCharType="begin"/>
      </w:r>
      <w:r>
        <w:instrText xml:space="preserve"> PAGEREF _Toc435024489 \h </w:instrText>
      </w:r>
      <w:r>
        <w:fldChar w:fldCharType="separate"/>
      </w:r>
      <w:r>
        <w:t>57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Offences under this Part</w:t>
      </w:r>
      <w:r>
        <w:tab/>
      </w:r>
      <w:r>
        <w:fldChar w:fldCharType="begin"/>
      </w:r>
      <w:r>
        <w:instrText xml:space="preserve"> PAGEREF _Toc435024490 \h </w:instrText>
      </w:r>
      <w:r>
        <w:fldChar w:fldCharType="separate"/>
      </w:r>
      <w:r>
        <w:t>58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Auditors’ remuneration</w:t>
      </w:r>
      <w:r>
        <w:tab/>
      </w:r>
      <w:r>
        <w:fldChar w:fldCharType="begin"/>
      </w:r>
      <w:r>
        <w:instrText xml:space="preserve"> PAGEREF _Toc435024491 \h </w:instrText>
      </w:r>
      <w:r>
        <w:fldChar w:fldCharType="separate"/>
      </w:r>
      <w:r>
        <w:t>58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Agents with no accounts to audit</w:t>
      </w:r>
      <w:r>
        <w:tab/>
      </w:r>
      <w:r>
        <w:fldChar w:fldCharType="begin"/>
      </w:r>
      <w:r>
        <w:instrText xml:space="preserve"> PAGEREF _Toc435024492 \h </w:instrText>
      </w:r>
      <w:r>
        <w:fldChar w:fldCharType="separate"/>
      </w:r>
      <w:r>
        <w:t>58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Accounts of firm or body corporate or agent with branch office, effect of audits as to</w:t>
      </w:r>
      <w:r>
        <w:tab/>
      </w:r>
      <w:r>
        <w:fldChar w:fldCharType="begin"/>
      </w:r>
      <w:r>
        <w:instrText xml:space="preserve"> PAGEREF _Toc435024493 \h </w:instrText>
      </w:r>
      <w:r>
        <w:fldChar w:fldCharType="separate"/>
      </w:r>
      <w:r>
        <w:t>59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r>
      <w:r>
        <w:t>Audit of trust account, Commissioner may do</w:t>
      </w:r>
      <w:r>
        <w:tab/>
      </w:r>
      <w:r>
        <w:fldChar w:fldCharType="begin"/>
      </w:r>
      <w:r>
        <w:instrText xml:space="preserve"> PAGEREF _Toc435024494 \h </w:instrText>
      </w:r>
      <w:r>
        <w:fldChar w:fldCharType="separate"/>
      </w:r>
      <w:r>
        <w:t>59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Cost of audit done under s. 88</w:t>
      </w:r>
      <w:r>
        <w:tab/>
      </w:r>
      <w:r>
        <w:fldChar w:fldCharType="begin"/>
      </w:r>
      <w:r>
        <w:instrText xml:space="preserve"> PAGEREF _Toc435024495 \h </w:instrText>
      </w:r>
      <w:r>
        <w:fldChar w:fldCharType="separate"/>
      </w:r>
      <w:r>
        <w:t>60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Confidentiality of audit done under s. 88</w:t>
      </w:r>
      <w:r>
        <w:tab/>
      </w:r>
      <w:r>
        <w:fldChar w:fldCharType="begin"/>
      </w:r>
      <w:r>
        <w:instrText xml:space="preserve"> PAGEREF _Toc435024496 \h </w:instrText>
      </w:r>
      <w:r>
        <w:fldChar w:fldCharType="separate"/>
      </w:r>
      <w:r>
        <w:t>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Restraining bank etc. from dealing with agent’s account, SAT’s powers as to</w:t>
      </w:r>
      <w:r>
        <w:tab/>
      </w:r>
      <w:r>
        <w:fldChar w:fldCharType="begin"/>
      </w:r>
      <w:r>
        <w:instrText xml:space="preserve"> PAGEREF _Toc435024497 \h </w:instrText>
      </w:r>
      <w:r>
        <w:fldChar w:fldCharType="separate"/>
      </w:r>
      <w:r>
        <w:t>60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Suspension of agents, appointment of supervisors etc., SAT’s powers as to</w:t>
      </w:r>
      <w:r>
        <w:tab/>
      </w:r>
      <w:r>
        <w:fldChar w:fldCharType="begin"/>
      </w:r>
      <w:r>
        <w:instrText xml:space="preserve"> PAGEREF _Toc435024498 \h </w:instrText>
      </w:r>
      <w:r>
        <w:fldChar w:fldCharType="separate"/>
      </w:r>
      <w:r>
        <w:t>62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Order under s. 93 for supervisor, effect of</w:t>
      </w:r>
      <w:r>
        <w:tab/>
      </w:r>
      <w:r>
        <w:fldChar w:fldCharType="begin"/>
      </w:r>
      <w:r>
        <w:instrText xml:space="preserve"> PAGEREF _Toc435024499 \h </w:instrText>
      </w:r>
      <w:r>
        <w:fldChar w:fldCharType="separate"/>
      </w:r>
      <w:r>
        <w:t>64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Supervisors’ duties</w:t>
      </w:r>
      <w:r>
        <w:tab/>
      </w:r>
      <w:r>
        <w:fldChar w:fldCharType="begin"/>
      </w:r>
      <w:r>
        <w:instrText xml:space="preserve"> PAGEREF _Toc435024500 \h </w:instrText>
      </w:r>
      <w:r>
        <w:fldChar w:fldCharType="separate"/>
      </w:r>
      <w:r>
        <w:t>65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Hindering etc. supervisors, offence</w:t>
      </w:r>
      <w:r>
        <w:tab/>
      </w:r>
      <w:r>
        <w:fldChar w:fldCharType="begin"/>
      </w:r>
      <w:r>
        <w:instrText xml:space="preserve"> PAGEREF _Toc435024501 \h </w:instrText>
      </w:r>
      <w:r>
        <w:fldChar w:fldCharType="separate"/>
      </w:r>
      <w:r>
        <w:t>66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Discharge or variation of s. 92 or 93 order</w:t>
      </w:r>
      <w:r>
        <w:tab/>
      </w:r>
      <w:r>
        <w:fldChar w:fldCharType="begin"/>
      </w:r>
      <w:r>
        <w:instrText xml:space="preserve"> PAGEREF _Toc435024502 \h </w:instrText>
      </w:r>
      <w:r>
        <w:fldChar w:fldCharType="separate"/>
      </w:r>
      <w:r>
        <w:t>66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SAT’s additional powers as to s. 92, 93 and 97 orders; schemes for distributing funds</w:t>
      </w:r>
      <w:r>
        <w:tab/>
      </w:r>
      <w:r>
        <w:fldChar w:fldCharType="begin"/>
      </w:r>
      <w:r>
        <w:instrText xml:space="preserve"> PAGEREF _Toc435024503 \h </w:instrText>
      </w:r>
      <w:r>
        <w:fldChar w:fldCharType="separate"/>
      </w:r>
      <w:r>
        <w:t>66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Service of s. 92, 93, 97 or 98 orders; penalty for breach of</w:t>
      </w:r>
      <w:r>
        <w:tab/>
      </w:r>
      <w:r>
        <w:fldChar w:fldCharType="begin"/>
      </w:r>
      <w:r>
        <w:instrText xml:space="preserve"> PAGEREF _Toc435024504 \h </w:instrText>
      </w:r>
      <w:r>
        <w:fldChar w:fldCharType="separate"/>
      </w:r>
      <w:r>
        <w:t>68</w:t>
      </w:r>
      <w:r>
        <w:fldChar w:fldCharType="end"/>
      </w:r>
    </w:p>
    <w:p>
      <w:pPr>
        <w:pStyle w:val="TOC8"/>
        <w:rPr>
          <w:rFonts w:asciiTheme="minorHAnsi" w:eastAsiaTheme="minorEastAsia" w:hAnsiTheme="minorHAnsi" w:cstheme="minorBidi"/>
          <w:szCs w:val="22"/>
        </w:rPr>
      </w:pPr>
      <w:r>
        <w:t>100.</w:t>
      </w:r>
      <w:r>
        <w:tab/>
        <w:t>Banks etc., duty to disclose certain accounts etc. if required to by authorised person</w:t>
      </w:r>
      <w:r>
        <w:tab/>
      </w:r>
      <w:r>
        <w:fldChar w:fldCharType="begin"/>
      </w:r>
      <w:r>
        <w:instrText xml:space="preserve"> PAGEREF _Toc435024505 \h </w:instrText>
      </w:r>
      <w:r>
        <w:fldChar w:fldCharType="separate"/>
      </w:r>
      <w:r>
        <w:t>69</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r>
      <w:r>
        <w:t>Information about trust accounts, Commissioner’s power to obtain</w:t>
      </w:r>
      <w:r>
        <w:tab/>
      </w:r>
      <w:r>
        <w:fldChar w:fldCharType="begin"/>
      </w:r>
      <w:r>
        <w:instrText xml:space="preserve"> PAGEREF _Toc435024506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VII — Discipline of agents and sales representatives</w:t>
      </w:r>
    </w:p>
    <w:p>
      <w:pPr>
        <w:pStyle w:val="TOC8"/>
        <w:rPr>
          <w:rFonts w:asciiTheme="minorHAnsi" w:eastAsiaTheme="minorEastAsia" w:hAnsiTheme="minorHAnsi" w:cstheme="minorBidi"/>
          <w:szCs w:val="22"/>
        </w:rPr>
      </w:pPr>
      <w:r>
        <w:t>101</w:t>
      </w:r>
      <w:r>
        <w:rPr>
          <w:snapToGrid w:val="0"/>
        </w:rPr>
        <w:t>.</w:t>
      </w:r>
      <w:r>
        <w:rPr>
          <w:snapToGrid w:val="0"/>
        </w:rPr>
        <w:tab/>
      </w:r>
      <w:r>
        <w:t>Codes of conduct</w:t>
      </w:r>
      <w:r>
        <w:tab/>
      </w:r>
      <w:r>
        <w:fldChar w:fldCharType="begin"/>
      </w:r>
      <w:r>
        <w:instrText xml:space="preserve"> PAGEREF _Toc435024508 \h </w:instrText>
      </w:r>
      <w:r>
        <w:fldChar w:fldCharType="separate"/>
      </w:r>
      <w:r>
        <w:t>72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Disciplinary action by SAT, alleging cause for</w:t>
      </w:r>
      <w:r>
        <w:tab/>
      </w:r>
      <w:r>
        <w:fldChar w:fldCharType="begin"/>
      </w:r>
      <w:r>
        <w:instrText xml:space="preserve"> PAGEREF _Toc435024509 \h </w:instrText>
      </w:r>
      <w:r>
        <w:fldChar w:fldCharType="separate"/>
      </w:r>
      <w:r>
        <w:t>72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Disciplinary action, SAT’s powers as to</w:t>
      </w:r>
      <w:r>
        <w:tab/>
      </w:r>
      <w:r>
        <w:fldChar w:fldCharType="begin"/>
      </w:r>
      <w:r>
        <w:instrText xml:space="preserve"> PAGEREF _Toc435024510 \h </w:instrText>
      </w:r>
      <w:r>
        <w:fldChar w:fldCharType="separate"/>
      </w:r>
      <w:r>
        <w:t>73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Offences that cause licence and triennial certificate to be cancelled</w:t>
      </w:r>
      <w:r>
        <w:tab/>
      </w:r>
      <w:r>
        <w:fldChar w:fldCharType="begin"/>
      </w:r>
      <w:r>
        <w:instrText xml:space="preserve"> PAGEREF _Toc435024511 \h </w:instrText>
      </w:r>
      <w:r>
        <w:fldChar w:fldCharType="separate"/>
      </w:r>
      <w:r>
        <w:t>76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Certain offences by licensees, additional sentencing powers for</w:t>
      </w:r>
      <w:r>
        <w:tab/>
      </w:r>
      <w:r>
        <w:fldChar w:fldCharType="begin"/>
      </w:r>
      <w:r>
        <w:instrText xml:space="preserve"> PAGEREF _Toc435024512 \h </w:instrText>
      </w:r>
      <w:r>
        <w:fldChar w:fldCharType="separate"/>
      </w:r>
      <w:r>
        <w:t>77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Persons with cancelled licences etc., offences by and in respect of</w:t>
      </w:r>
      <w:r>
        <w:tab/>
      </w:r>
      <w:r>
        <w:fldChar w:fldCharType="begin"/>
      </w:r>
      <w:r>
        <w:instrText xml:space="preserve"> PAGEREF _Toc435024513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VIII — Fidelity Guarantee Account</w:t>
      </w:r>
    </w:p>
    <w:p>
      <w:pPr>
        <w:pStyle w:val="TOC8"/>
        <w:rPr>
          <w:rFonts w:asciiTheme="minorHAnsi" w:eastAsiaTheme="minorEastAsia" w:hAnsiTheme="minorHAnsi" w:cstheme="minorBidi"/>
          <w:szCs w:val="22"/>
        </w:rPr>
      </w:pPr>
      <w:r>
        <w:t>107.</w:t>
      </w:r>
      <w:r>
        <w:tab/>
        <w:t>Account established</w:t>
      </w:r>
      <w:r>
        <w:tab/>
      </w:r>
      <w:r>
        <w:fldChar w:fldCharType="begin"/>
      </w:r>
      <w:r>
        <w:instrText xml:space="preserve"> PAGEREF _Toc435024515 \h </w:instrText>
      </w:r>
      <w:r>
        <w:fldChar w:fldCharType="separate"/>
      </w:r>
      <w:r>
        <w:t>79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Investment of moneys in account</w:t>
      </w:r>
      <w:r>
        <w:tab/>
      </w:r>
      <w:r>
        <w:fldChar w:fldCharType="begin"/>
      </w:r>
      <w:r>
        <w:instrText xml:space="preserve"> PAGEREF _Toc435024516 \h </w:instrText>
      </w:r>
      <w:r>
        <w:fldChar w:fldCharType="separate"/>
      </w:r>
      <w:r>
        <w:t>79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Moneys to be credited to account</w:t>
      </w:r>
      <w:r>
        <w:tab/>
      </w:r>
      <w:r>
        <w:fldChar w:fldCharType="begin"/>
      </w:r>
      <w:r>
        <w:instrText xml:space="preserve"> PAGEREF _Toc435024517 \h </w:instrText>
      </w:r>
      <w:r>
        <w:fldChar w:fldCharType="separate"/>
      </w:r>
      <w:r>
        <w:t>79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Expenditure from account</w:t>
      </w:r>
      <w:r>
        <w:tab/>
      </w:r>
      <w:r>
        <w:fldChar w:fldCharType="begin"/>
      </w:r>
      <w:r>
        <w:instrText xml:space="preserve"> PAGEREF _Toc435024518 \h </w:instrText>
      </w:r>
      <w:r>
        <w:fldChar w:fldCharType="separate"/>
      </w:r>
      <w:r>
        <w:t>80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r>
      <w:r>
        <w:t>Administration of account</w:t>
      </w:r>
      <w:r>
        <w:tab/>
      </w:r>
      <w:r>
        <w:fldChar w:fldCharType="begin"/>
      </w:r>
      <w:r>
        <w:instrText xml:space="preserve"> PAGEREF _Toc435024519 \h </w:instrText>
      </w:r>
      <w:r>
        <w:fldChar w:fldCharType="separate"/>
      </w:r>
      <w:r>
        <w:t>81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Payments to account by applicants for licences etc.</w:t>
      </w:r>
      <w:r>
        <w:tab/>
      </w:r>
      <w:r>
        <w:fldChar w:fldCharType="begin"/>
      </w:r>
      <w:r>
        <w:instrText xml:space="preserve"> PAGEREF _Toc435024520 \h </w:instrText>
      </w:r>
      <w:r>
        <w:fldChar w:fldCharType="separate"/>
      </w:r>
      <w:r>
        <w:t>81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Cap on payments under s. 113</w:t>
      </w:r>
      <w:r>
        <w:tab/>
      </w:r>
      <w:r>
        <w:fldChar w:fldCharType="begin"/>
      </w:r>
      <w:r>
        <w:instrText xml:space="preserve"> PAGEREF _Toc435024521 \h </w:instrText>
      </w:r>
      <w:r>
        <w:fldChar w:fldCharType="separate"/>
      </w:r>
      <w:r>
        <w:t>81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Levies for account against certificate holders</w:t>
      </w:r>
      <w:r>
        <w:tab/>
      </w:r>
      <w:r>
        <w:fldChar w:fldCharType="begin"/>
      </w:r>
      <w:r>
        <w:instrText xml:space="preserve"> PAGEREF _Toc435024522 \h </w:instrText>
      </w:r>
      <w:r>
        <w:fldChar w:fldCharType="separate"/>
      </w:r>
      <w:r>
        <w:t>82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Purpose of account; making claims against account</w:t>
      </w:r>
      <w:r>
        <w:tab/>
      </w:r>
      <w:r>
        <w:fldChar w:fldCharType="begin"/>
      </w:r>
      <w:r>
        <w:instrText xml:space="preserve"> PAGEREF _Toc435024523 \h </w:instrText>
      </w:r>
      <w:r>
        <w:fldChar w:fldCharType="separate"/>
      </w:r>
      <w:r>
        <w:t>83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Claims against account; recovery from account</w:t>
      </w:r>
      <w:r>
        <w:tab/>
      </w:r>
      <w:r>
        <w:fldChar w:fldCharType="begin"/>
      </w:r>
      <w:r>
        <w:instrText xml:space="preserve"> PAGEREF _Toc435024524 \h </w:instrText>
      </w:r>
      <w:r>
        <w:fldChar w:fldCharType="separate"/>
      </w:r>
      <w:r>
        <w:t>83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Defences to claims against account</w:t>
      </w:r>
      <w:r>
        <w:tab/>
      </w:r>
      <w:r>
        <w:fldChar w:fldCharType="begin"/>
      </w:r>
      <w:r>
        <w:instrText xml:space="preserve"> PAGEREF _Toc435024525 \h </w:instrText>
      </w:r>
      <w:r>
        <w:fldChar w:fldCharType="separate"/>
      </w:r>
      <w:r>
        <w:t>85</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r>
      <w:r>
        <w:t>Subrogation of rights of claimant against account</w:t>
      </w:r>
      <w:r>
        <w:tab/>
      </w:r>
      <w:r>
        <w:fldChar w:fldCharType="begin"/>
      </w:r>
      <w:r>
        <w:instrText xml:space="preserve"> PAGEREF _Toc435024526 \h </w:instrText>
      </w:r>
      <w:r>
        <w:fldChar w:fldCharType="separate"/>
      </w:r>
      <w:r>
        <w:t>85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Insufficiency in a</w:t>
      </w:r>
      <w:r>
        <w:t>ccount</w:t>
      </w:r>
      <w:r>
        <w:tab/>
      </w:r>
      <w:r>
        <w:fldChar w:fldCharType="begin"/>
      </w:r>
      <w:r>
        <w:instrText xml:space="preserve"> PAGEREF _Toc435024527 \h </w:instrText>
      </w:r>
      <w:r>
        <w:fldChar w:fldCharType="separate"/>
      </w:r>
      <w:r>
        <w:t>85</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r>
      <w:r>
        <w:t>State may insure against claims</w:t>
      </w:r>
      <w:r>
        <w:tab/>
      </w:r>
      <w:r>
        <w:fldChar w:fldCharType="begin"/>
      </w:r>
      <w:r>
        <w:instrText xml:space="preserve"> PAGEREF _Toc435024528 \h </w:instrText>
      </w:r>
      <w:r>
        <w:fldChar w:fldCharType="separate"/>
      </w:r>
      <w:r>
        <w:t>86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Application of insurance payouts</w:t>
      </w:r>
      <w:r>
        <w:tab/>
      </w:r>
      <w:r>
        <w:fldChar w:fldCharType="begin"/>
      </w:r>
      <w:r>
        <w:instrText xml:space="preserve"> PAGEREF _Toc435024529 \h </w:instrText>
      </w:r>
      <w:r>
        <w:fldChar w:fldCharType="separate"/>
      </w:r>
      <w:r>
        <w:t>87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Advertising for claims in relation to defaulting licensee</w:t>
      </w:r>
      <w:r>
        <w:tab/>
      </w:r>
      <w:r>
        <w:fldChar w:fldCharType="begin"/>
      </w:r>
      <w:r>
        <w:instrText xml:space="preserve"> PAGEREF _Toc435024530 \h </w:instrText>
      </w:r>
      <w:r>
        <w:fldChar w:fldCharType="separate"/>
      </w:r>
      <w:r>
        <w:t>87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t>Documents etc. to support claims, CEO may require</w:t>
      </w:r>
      <w:r>
        <w:tab/>
      </w:r>
      <w:r>
        <w:fldChar w:fldCharType="begin"/>
      </w:r>
      <w:r>
        <w:instrText xml:space="preserve"> PAGEREF _Toc435024531 \h </w:instrText>
      </w:r>
      <w:r>
        <w:fldChar w:fldCharType="separate"/>
      </w:r>
      <w:r>
        <w:t>88</w:t>
      </w:r>
      <w:r>
        <w:fldChar w:fldCharType="end"/>
      </w:r>
    </w:p>
    <w:p>
      <w:pPr>
        <w:pStyle w:val="TOC8"/>
        <w:rPr>
          <w:rFonts w:asciiTheme="minorHAnsi" w:eastAsiaTheme="minorEastAsia" w:hAnsiTheme="minorHAnsi" w:cstheme="minorBidi"/>
          <w:szCs w:val="22"/>
        </w:rPr>
      </w:pPr>
      <w:r>
        <w:t>124AA.</w:t>
      </w:r>
      <w:r>
        <w:tab/>
        <w:t>Commissioner may investigate claims against Fidelity Account</w:t>
      </w:r>
      <w:r>
        <w:tab/>
      </w:r>
      <w:r>
        <w:fldChar w:fldCharType="begin"/>
      </w:r>
      <w:r>
        <w:instrText xml:space="preserve"> PAGEREF _Toc435024532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VIIIA — Education and General Purpose Account</w:t>
      </w:r>
    </w:p>
    <w:p>
      <w:pPr>
        <w:pStyle w:val="TOC8"/>
        <w:rPr>
          <w:rFonts w:asciiTheme="minorHAnsi" w:eastAsiaTheme="minorEastAsia" w:hAnsiTheme="minorHAnsi" w:cstheme="minorBidi"/>
          <w:szCs w:val="22"/>
        </w:rPr>
      </w:pPr>
      <w:r>
        <w:t>124A</w:t>
      </w:r>
      <w:r>
        <w:rPr>
          <w:snapToGrid w:val="0"/>
        </w:rPr>
        <w:t>.</w:t>
      </w:r>
      <w:r>
        <w:rPr>
          <w:snapToGrid w:val="0"/>
        </w:rPr>
        <w:tab/>
        <w:t>Account established; administration of account</w:t>
      </w:r>
      <w:r>
        <w:tab/>
      </w:r>
      <w:r>
        <w:fldChar w:fldCharType="begin"/>
      </w:r>
      <w:r>
        <w:instrText xml:space="preserve"> PAGEREF _Toc435024534 \h </w:instrText>
      </w:r>
      <w:r>
        <w:fldChar w:fldCharType="separate"/>
      </w:r>
      <w:r>
        <w:t>90</w:t>
      </w:r>
      <w:r>
        <w:fldChar w:fldCharType="end"/>
      </w:r>
    </w:p>
    <w:p>
      <w:pPr>
        <w:pStyle w:val="TOC8"/>
        <w:rPr>
          <w:rFonts w:asciiTheme="minorHAnsi" w:eastAsiaTheme="minorEastAsia" w:hAnsiTheme="minorHAnsi" w:cstheme="minorBidi"/>
          <w:szCs w:val="22"/>
        </w:rPr>
      </w:pPr>
      <w:r>
        <w:t>124B</w:t>
      </w:r>
      <w:r>
        <w:rPr>
          <w:snapToGrid w:val="0"/>
        </w:rPr>
        <w:t>.</w:t>
      </w:r>
      <w:r>
        <w:rPr>
          <w:snapToGrid w:val="0"/>
        </w:rPr>
        <w:tab/>
        <w:t>Moneys to be credited to account</w:t>
      </w:r>
      <w:r>
        <w:tab/>
      </w:r>
      <w:r>
        <w:fldChar w:fldCharType="begin"/>
      </w:r>
      <w:r>
        <w:instrText xml:space="preserve"> PAGEREF _Toc435024535 \h </w:instrText>
      </w:r>
      <w:r>
        <w:fldChar w:fldCharType="separate"/>
      </w:r>
      <w:r>
        <w:t>90</w:t>
      </w:r>
      <w:r>
        <w:fldChar w:fldCharType="end"/>
      </w:r>
    </w:p>
    <w:p>
      <w:pPr>
        <w:pStyle w:val="TOC8"/>
        <w:rPr>
          <w:rFonts w:asciiTheme="minorHAnsi" w:eastAsiaTheme="minorEastAsia" w:hAnsiTheme="minorHAnsi" w:cstheme="minorBidi"/>
          <w:szCs w:val="22"/>
        </w:rPr>
      </w:pPr>
      <w:r>
        <w:t>124C</w:t>
      </w:r>
      <w:r>
        <w:rPr>
          <w:snapToGrid w:val="0"/>
        </w:rPr>
        <w:t>.</w:t>
      </w:r>
      <w:r>
        <w:rPr>
          <w:snapToGrid w:val="0"/>
        </w:rPr>
        <w:tab/>
        <w:t>Expenditure from account</w:t>
      </w:r>
      <w:r>
        <w:tab/>
      </w:r>
      <w:r>
        <w:fldChar w:fldCharType="begin"/>
      </w:r>
      <w:r>
        <w:instrText xml:space="preserve"> PAGEREF _Toc435024536 \h </w:instrText>
      </w:r>
      <w:r>
        <w:fldChar w:fldCharType="separate"/>
      </w:r>
      <w:r>
        <w:t>91</w:t>
      </w:r>
      <w:r>
        <w:fldChar w:fldCharType="end"/>
      </w:r>
    </w:p>
    <w:p>
      <w:pPr>
        <w:pStyle w:val="TOC8"/>
        <w:rPr>
          <w:rFonts w:asciiTheme="minorHAnsi" w:eastAsiaTheme="minorEastAsia" w:hAnsiTheme="minorHAnsi" w:cstheme="minorBidi"/>
          <w:szCs w:val="22"/>
        </w:rPr>
      </w:pPr>
      <w:r>
        <w:t>124D</w:t>
      </w:r>
      <w:r>
        <w:rPr>
          <w:snapToGrid w:val="0"/>
        </w:rPr>
        <w:t>.</w:t>
      </w:r>
      <w:r>
        <w:rPr>
          <w:snapToGrid w:val="0"/>
        </w:rPr>
        <w:tab/>
        <w:t>Investment of moneys in account</w:t>
      </w:r>
      <w:r>
        <w:tab/>
      </w:r>
      <w:r>
        <w:fldChar w:fldCharType="begin"/>
      </w:r>
      <w:r>
        <w:instrText xml:space="preserve"> PAGEREF _Toc435024537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IX — Real Estate and Business Agents Interest Account</w:t>
      </w:r>
    </w:p>
    <w:p>
      <w:pPr>
        <w:pStyle w:val="TOC8"/>
        <w:rPr>
          <w:rFonts w:asciiTheme="minorHAnsi" w:eastAsiaTheme="minorEastAsia" w:hAnsiTheme="minorHAnsi" w:cstheme="minorBidi"/>
          <w:szCs w:val="22"/>
        </w:rPr>
      </w:pPr>
      <w:r>
        <w:t>125</w:t>
      </w:r>
      <w:r>
        <w:rPr>
          <w:snapToGrid w:val="0"/>
        </w:rPr>
        <w:t>.</w:t>
      </w:r>
      <w:r>
        <w:rPr>
          <w:snapToGrid w:val="0"/>
        </w:rPr>
        <w:tab/>
      </w:r>
      <w:r>
        <w:t>Account established; administration of account</w:t>
      </w:r>
      <w:r>
        <w:tab/>
      </w:r>
      <w:r>
        <w:fldChar w:fldCharType="begin"/>
      </w:r>
      <w:r>
        <w:instrText xml:space="preserve"> PAGEREF _Toc435024539 \h </w:instrText>
      </w:r>
      <w:r>
        <w:fldChar w:fldCharType="separate"/>
      </w:r>
      <w:r>
        <w:t>93</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Moneys to be credited to account</w:t>
      </w:r>
      <w:r>
        <w:tab/>
      </w:r>
      <w:r>
        <w:fldChar w:fldCharType="begin"/>
      </w:r>
      <w:r>
        <w:instrText xml:space="preserve"> PAGEREF _Toc435024540 \h </w:instrText>
      </w:r>
      <w:r>
        <w:fldChar w:fldCharType="separate"/>
      </w:r>
      <w:r>
        <w:t>93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E</w:t>
      </w:r>
      <w:r>
        <w:t>xpenditure from account</w:t>
      </w:r>
      <w:r>
        <w:tab/>
      </w:r>
      <w:r>
        <w:fldChar w:fldCharType="begin"/>
      </w:r>
      <w:r>
        <w:instrText xml:space="preserve"> PAGEREF _Toc435024541 \h </w:instrText>
      </w:r>
      <w:r>
        <w:fldChar w:fldCharType="separate"/>
      </w:r>
      <w:r>
        <w:t>94</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I</w:t>
      </w:r>
      <w:r>
        <w:t>nvestment of moneys in account</w:t>
      </w:r>
      <w:r>
        <w:tab/>
      </w:r>
      <w:r>
        <w:fldChar w:fldCharType="begin"/>
      </w:r>
      <w:r>
        <w:instrText xml:space="preserve"> PAGEREF _Toc435024542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IXA — Assistance to home buyers</w:t>
      </w:r>
    </w:p>
    <w:p>
      <w:pPr>
        <w:pStyle w:val="TOC8"/>
        <w:rPr>
          <w:rFonts w:asciiTheme="minorHAnsi" w:eastAsiaTheme="minorEastAsia" w:hAnsiTheme="minorHAnsi" w:cstheme="minorBidi"/>
          <w:szCs w:val="22"/>
        </w:rPr>
      </w:pPr>
      <w:r>
        <w:t>131A</w:t>
      </w:r>
      <w:r>
        <w:rPr>
          <w:snapToGrid w:val="0"/>
        </w:rPr>
        <w:t>.</w:t>
      </w:r>
      <w:r>
        <w:rPr>
          <w:snapToGrid w:val="0"/>
        </w:rPr>
        <w:tab/>
        <w:t>Terms used</w:t>
      </w:r>
      <w:r>
        <w:tab/>
      </w:r>
      <w:r>
        <w:fldChar w:fldCharType="begin"/>
      </w:r>
      <w:r>
        <w:instrText xml:space="preserve"> PAGEREF _Toc435024544 \h </w:instrText>
      </w:r>
      <w:r>
        <w:fldChar w:fldCharType="separate"/>
      </w:r>
      <w:r>
        <w:t>95</w:t>
      </w:r>
      <w:r>
        <w:fldChar w:fldCharType="end"/>
      </w:r>
    </w:p>
    <w:p>
      <w:pPr>
        <w:pStyle w:val="TOC8"/>
        <w:rPr>
          <w:rFonts w:asciiTheme="minorHAnsi" w:eastAsiaTheme="minorEastAsia" w:hAnsiTheme="minorHAnsi" w:cstheme="minorBidi"/>
          <w:szCs w:val="22"/>
        </w:rPr>
      </w:pPr>
      <w:r>
        <w:t>131B.</w:t>
      </w:r>
      <w:r>
        <w:tab/>
        <w:t>Home Buyers Assistance Account established</w:t>
      </w:r>
      <w:r>
        <w:tab/>
      </w:r>
      <w:r>
        <w:fldChar w:fldCharType="begin"/>
      </w:r>
      <w:r>
        <w:instrText xml:space="preserve"> PAGEREF _Toc435024545 \h </w:instrText>
      </w:r>
      <w:r>
        <w:fldChar w:fldCharType="separate"/>
      </w:r>
      <w:r>
        <w:t>96</w:t>
      </w:r>
      <w:r>
        <w:fldChar w:fldCharType="end"/>
      </w:r>
    </w:p>
    <w:p>
      <w:pPr>
        <w:pStyle w:val="TOC8"/>
        <w:rPr>
          <w:rFonts w:asciiTheme="minorHAnsi" w:eastAsiaTheme="minorEastAsia" w:hAnsiTheme="minorHAnsi" w:cstheme="minorBidi"/>
          <w:szCs w:val="22"/>
        </w:rPr>
      </w:pPr>
      <w:r>
        <w:t>131C</w:t>
      </w:r>
      <w:r>
        <w:rPr>
          <w:snapToGrid w:val="0"/>
        </w:rPr>
        <w:t>.</w:t>
      </w:r>
      <w:r>
        <w:rPr>
          <w:snapToGrid w:val="0"/>
        </w:rPr>
        <w:tab/>
        <w:t>Investment of moneys in account</w:t>
      </w:r>
      <w:r>
        <w:tab/>
      </w:r>
      <w:r>
        <w:fldChar w:fldCharType="begin"/>
      </w:r>
      <w:r>
        <w:instrText xml:space="preserve"> PAGEREF _Toc435024546 \h </w:instrText>
      </w:r>
      <w:r>
        <w:fldChar w:fldCharType="separate"/>
      </w:r>
      <w:r>
        <w:t>96</w:t>
      </w:r>
      <w:r>
        <w:fldChar w:fldCharType="end"/>
      </w:r>
    </w:p>
    <w:p>
      <w:pPr>
        <w:pStyle w:val="TOC8"/>
        <w:rPr>
          <w:rFonts w:asciiTheme="minorHAnsi" w:eastAsiaTheme="minorEastAsia" w:hAnsiTheme="minorHAnsi" w:cstheme="minorBidi"/>
          <w:szCs w:val="22"/>
        </w:rPr>
      </w:pPr>
      <w:r>
        <w:t>131D</w:t>
      </w:r>
      <w:r>
        <w:rPr>
          <w:snapToGrid w:val="0"/>
        </w:rPr>
        <w:t>.</w:t>
      </w:r>
      <w:r>
        <w:rPr>
          <w:snapToGrid w:val="0"/>
        </w:rPr>
        <w:tab/>
        <w:t>Moneys to be credited to account</w:t>
      </w:r>
      <w:r>
        <w:tab/>
      </w:r>
      <w:r>
        <w:fldChar w:fldCharType="begin"/>
      </w:r>
      <w:r>
        <w:instrText xml:space="preserve"> PAGEREF _Toc435024547 \h </w:instrText>
      </w:r>
      <w:r>
        <w:fldChar w:fldCharType="separate"/>
      </w:r>
      <w:r>
        <w:t>96</w:t>
      </w:r>
      <w:r>
        <w:fldChar w:fldCharType="end"/>
      </w:r>
    </w:p>
    <w:p>
      <w:pPr>
        <w:pStyle w:val="TOC8"/>
        <w:rPr>
          <w:rFonts w:asciiTheme="minorHAnsi" w:eastAsiaTheme="minorEastAsia" w:hAnsiTheme="minorHAnsi" w:cstheme="minorBidi"/>
          <w:szCs w:val="22"/>
        </w:rPr>
      </w:pPr>
      <w:r>
        <w:t>131E</w:t>
      </w:r>
      <w:r>
        <w:rPr>
          <w:snapToGrid w:val="0"/>
        </w:rPr>
        <w:t>.</w:t>
      </w:r>
      <w:r>
        <w:rPr>
          <w:snapToGrid w:val="0"/>
        </w:rPr>
        <w:tab/>
        <w:t>Expenditure from account</w:t>
      </w:r>
      <w:r>
        <w:tab/>
      </w:r>
      <w:r>
        <w:fldChar w:fldCharType="begin"/>
      </w:r>
      <w:r>
        <w:instrText xml:space="preserve"> PAGEREF _Toc435024548 \h </w:instrText>
      </w:r>
      <w:r>
        <w:fldChar w:fldCharType="separate"/>
      </w:r>
      <w:r>
        <w:t>97</w:t>
      </w:r>
      <w:r>
        <w:fldChar w:fldCharType="end"/>
      </w:r>
    </w:p>
    <w:p>
      <w:pPr>
        <w:pStyle w:val="TOC8"/>
        <w:rPr>
          <w:rFonts w:asciiTheme="minorHAnsi" w:eastAsiaTheme="minorEastAsia" w:hAnsiTheme="minorHAnsi" w:cstheme="minorBidi"/>
          <w:szCs w:val="22"/>
        </w:rPr>
      </w:pPr>
      <w:r>
        <w:t>131G</w:t>
      </w:r>
      <w:r>
        <w:rPr>
          <w:snapToGrid w:val="0"/>
        </w:rPr>
        <w:t>.</w:t>
      </w:r>
      <w:r>
        <w:rPr>
          <w:snapToGrid w:val="0"/>
        </w:rPr>
        <w:tab/>
      </w:r>
      <w:r>
        <w:t>Administration of account</w:t>
      </w:r>
      <w:r>
        <w:tab/>
      </w:r>
      <w:r>
        <w:fldChar w:fldCharType="begin"/>
      </w:r>
      <w:r>
        <w:instrText xml:space="preserve"> PAGEREF _Toc435024549 \h </w:instrText>
      </w:r>
      <w:r>
        <w:fldChar w:fldCharType="separate"/>
      </w:r>
      <w:r>
        <w:t>98</w:t>
      </w:r>
      <w:r>
        <w:fldChar w:fldCharType="end"/>
      </w:r>
    </w:p>
    <w:p>
      <w:pPr>
        <w:pStyle w:val="TOC8"/>
        <w:rPr>
          <w:rFonts w:asciiTheme="minorHAnsi" w:eastAsiaTheme="minorEastAsia" w:hAnsiTheme="minorHAnsi" w:cstheme="minorBidi"/>
          <w:szCs w:val="22"/>
        </w:rPr>
      </w:pPr>
      <w:r>
        <w:t>131L</w:t>
      </w:r>
      <w:r>
        <w:rPr>
          <w:snapToGrid w:val="0"/>
        </w:rPr>
        <w:t>.</w:t>
      </w:r>
      <w:r>
        <w:rPr>
          <w:snapToGrid w:val="0"/>
        </w:rPr>
        <w:tab/>
        <w:t>Applying for assistance for buyers of first homes</w:t>
      </w:r>
      <w:r>
        <w:tab/>
      </w:r>
      <w:r>
        <w:fldChar w:fldCharType="begin"/>
      </w:r>
      <w:r>
        <w:instrText xml:space="preserve"> PAGEREF _Toc435024550 \h </w:instrText>
      </w:r>
      <w:r>
        <w:fldChar w:fldCharType="separate"/>
      </w:r>
      <w:r>
        <w:t>98</w:t>
      </w:r>
      <w:r>
        <w:fldChar w:fldCharType="end"/>
      </w:r>
    </w:p>
    <w:p>
      <w:pPr>
        <w:pStyle w:val="TOC8"/>
        <w:rPr>
          <w:rFonts w:asciiTheme="minorHAnsi" w:eastAsiaTheme="minorEastAsia" w:hAnsiTheme="minorHAnsi" w:cstheme="minorBidi"/>
          <w:szCs w:val="22"/>
        </w:rPr>
      </w:pPr>
      <w:r>
        <w:t>131M</w:t>
      </w:r>
      <w:r>
        <w:rPr>
          <w:snapToGrid w:val="0"/>
        </w:rPr>
        <w:t>.</w:t>
      </w:r>
      <w:r>
        <w:rPr>
          <w:snapToGrid w:val="0"/>
        </w:rPr>
        <w:tab/>
      </w:r>
      <w:r>
        <w:t>Deciding applications for assistance</w:t>
      </w:r>
      <w:r>
        <w:tab/>
      </w:r>
      <w:r>
        <w:fldChar w:fldCharType="begin"/>
      </w:r>
      <w:r>
        <w:instrText xml:space="preserve"> PAGEREF _Toc435024551 \h </w:instrText>
      </w:r>
      <w:r>
        <w:fldChar w:fldCharType="separate"/>
      </w:r>
      <w:r>
        <w:t>99</w:t>
      </w:r>
      <w:r>
        <w:fldChar w:fldCharType="end"/>
      </w:r>
    </w:p>
    <w:p>
      <w:pPr>
        <w:pStyle w:val="TOC8"/>
        <w:rPr>
          <w:rFonts w:asciiTheme="minorHAnsi" w:eastAsiaTheme="minorEastAsia" w:hAnsiTheme="minorHAnsi" w:cstheme="minorBidi"/>
          <w:szCs w:val="22"/>
        </w:rPr>
      </w:pPr>
      <w:r>
        <w:t>131N</w:t>
      </w:r>
      <w:r>
        <w:rPr>
          <w:snapToGrid w:val="0"/>
        </w:rPr>
        <w:t>.</w:t>
      </w:r>
      <w:r>
        <w:rPr>
          <w:snapToGrid w:val="0"/>
        </w:rPr>
        <w:tab/>
        <w:t>Assistance, payment and application of</w:t>
      </w:r>
      <w:r>
        <w:tab/>
      </w:r>
      <w:r>
        <w:fldChar w:fldCharType="begin"/>
      </w:r>
      <w:r>
        <w:instrText xml:space="preserve"> PAGEREF _Toc435024552 \h </w:instrText>
      </w:r>
      <w:r>
        <w:fldChar w:fldCharType="separate"/>
      </w:r>
      <w:r>
        <w:t>100</w:t>
      </w:r>
      <w:r>
        <w:fldChar w:fldCharType="end"/>
      </w:r>
    </w:p>
    <w:p>
      <w:pPr>
        <w:pStyle w:val="TOC8"/>
        <w:rPr>
          <w:rFonts w:asciiTheme="minorHAnsi" w:eastAsiaTheme="minorEastAsia" w:hAnsiTheme="minorHAnsi" w:cstheme="minorBidi"/>
          <w:szCs w:val="22"/>
        </w:rPr>
      </w:pPr>
      <w:r>
        <w:t>131O</w:t>
      </w:r>
      <w:r>
        <w:rPr>
          <w:snapToGrid w:val="0"/>
        </w:rPr>
        <w:t>.</w:t>
      </w:r>
      <w:r>
        <w:rPr>
          <w:snapToGrid w:val="0"/>
        </w:rPr>
        <w:tab/>
      </w:r>
      <w:r>
        <w:t>Criteria for granting assistance, formulating</w:t>
      </w:r>
      <w:r>
        <w:tab/>
      </w:r>
      <w:r>
        <w:fldChar w:fldCharType="begin"/>
      </w:r>
      <w:r>
        <w:instrText xml:space="preserve"> PAGEREF _Toc435024553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w:t>
      </w:r>
    </w:p>
    <w:p>
      <w:pPr>
        <w:pStyle w:val="TOC8"/>
        <w:rPr>
          <w:rFonts w:asciiTheme="minorHAnsi" w:eastAsiaTheme="minorEastAsia" w:hAnsiTheme="minorHAnsi" w:cstheme="minorBidi"/>
          <w:szCs w:val="22"/>
        </w:rPr>
      </w:pPr>
      <w:r>
        <w:t>132</w:t>
      </w:r>
      <w:r>
        <w:rPr>
          <w:snapToGrid w:val="0"/>
        </w:rPr>
        <w:t>.</w:t>
      </w:r>
      <w:r>
        <w:rPr>
          <w:snapToGrid w:val="0"/>
        </w:rPr>
        <w:tab/>
        <w:t>Unlicensed assistants to be supervised etc.</w:t>
      </w:r>
      <w:r>
        <w:tab/>
      </w:r>
      <w:r>
        <w:fldChar w:fldCharType="begin"/>
      </w:r>
      <w:r>
        <w:instrText xml:space="preserve"> PAGEREF _Toc435024555 \h </w:instrText>
      </w:r>
      <w:r>
        <w:fldChar w:fldCharType="separate"/>
      </w:r>
      <w:r>
        <w:t>102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r>
      <w:r>
        <w:t>Registers of licensees etc., Commissioner to keep etc.</w:t>
      </w:r>
      <w:r>
        <w:tab/>
      </w:r>
      <w:r>
        <w:fldChar w:fldCharType="begin"/>
      </w:r>
      <w:r>
        <w:instrText xml:space="preserve"> PAGEREF _Toc435024556 \h </w:instrText>
      </w:r>
      <w:r>
        <w:fldChar w:fldCharType="separate"/>
      </w:r>
      <w:r>
        <w:t>103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Commissioner’s certificate</w:t>
      </w:r>
      <w:r>
        <w:tab/>
      </w:r>
      <w:r>
        <w:fldChar w:fldCharType="begin"/>
      </w:r>
      <w:r>
        <w:instrText xml:space="preserve"> PAGEREF _Toc435024557 \h </w:instrText>
      </w:r>
      <w:r>
        <w:fldChar w:fldCharType="separate"/>
      </w:r>
      <w:r>
        <w:t>103</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r>
      <w:r>
        <w:t>Annual report by department</w:t>
      </w:r>
      <w:r>
        <w:tab/>
      </w:r>
      <w:r>
        <w:fldChar w:fldCharType="begin"/>
      </w:r>
      <w:r>
        <w:instrText xml:space="preserve"> PAGEREF _Toc435024558 \h </w:instrText>
      </w:r>
      <w:r>
        <w:fldChar w:fldCharType="separate"/>
      </w:r>
      <w:r>
        <w:t>104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r>
      <w:r>
        <w:t>Commissioner to report to Minister on Act’s effectiveness as to protecting against defalcations</w:t>
      </w:r>
      <w:r>
        <w:tab/>
      </w:r>
      <w:r>
        <w:fldChar w:fldCharType="begin"/>
      </w:r>
      <w:r>
        <w:instrText xml:space="preserve"> PAGEREF _Toc435024559 \h </w:instrText>
      </w:r>
      <w:r>
        <w:fldChar w:fldCharType="separate"/>
      </w:r>
      <w:r>
        <w:t>105</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Refunds of fees, Commissioner’s powers as to</w:t>
      </w:r>
      <w:r>
        <w:tab/>
      </w:r>
      <w:r>
        <w:fldChar w:fldCharType="begin"/>
      </w:r>
      <w:r>
        <w:instrText xml:space="preserve"> PAGEREF _Toc435024560 \h </w:instrText>
      </w:r>
      <w:r>
        <w:fldChar w:fldCharType="separate"/>
      </w:r>
      <w:r>
        <w:t>105</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_Toc435024561 \h </w:instrText>
      </w:r>
      <w:r>
        <w:fldChar w:fldCharType="separate"/>
      </w:r>
      <w:r>
        <w:t>105</w:t>
      </w:r>
      <w:r>
        <w:fldChar w:fldCharType="end"/>
      </w:r>
    </w:p>
    <w:p>
      <w:pPr>
        <w:pStyle w:val="TOC8"/>
        <w:rPr>
          <w:rFonts w:asciiTheme="minorHAnsi" w:eastAsiaTheme="minorEastAsia" w:hAnsiTheme="minorHAnsi" w:cstheme="minorBidi"/>
          <w:szCs w:val="22"/>
        </w:rPr>
      </w:pPr>
      <w:r>
        <w:t>138.</w:t>
      </w:r>
      <w:r>
        <w:tab/>
        <w:t>Confidentiality of information officially obtained</w:t>
      </w:r>
      <w:r>
        <w:tab/>
      </w:r>
      <w:r>
        <w:fldChar w:fldCharType="begin"/>
      </w:r>
      <w:r>
        <w:instrText xml:space="preserve"> PAGEREF _Toc435024562 \h </w:instrText>
      </w:r>
      <w:r>
        <w:fldChar w:fldCharType="separate"/>
      </w:r>
      <w:r>
        <w:t>105</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Directors of body corporate, liability of</w:t>
      </w:r>
      <w:r>
        <w:tab/>
      </w:r>
      <w:r>
        <w:fldChar w:fldCharType="begin"/>
      </w:r>
      <w:r>
        <w:instrText xml:space="preserve"> PAGEREF _Toc435024563 \h </w:instrText>
      </w:r>
      <w:r>
        <w:fldChar w:fldCharType="separate"/>
      </w:r>
      <w:r>
        <w:t>106</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Other rights and remedies not affected by this Act</w:t>
      </w:r>
      <w:r>
        <w:tab/>
      </w:r>
      <w:r>
        <w:fldChar w:fldCharType="begin"/>
      </w:r>
      <w:r>
        <w:instrText xml:space="preserve"> PAGEREF _Toc435024564 \h </w:instrText>
      </w:r>
      <w:r>
        <w:fldChar w:fldCharType="separate"/>
      </w:r>
      <w:r>
        <w:t>106</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Rights conferred by Act cannot be waived</w:t>
      </w:r>
      <w:r>
        <w:tab/>
      </w:r>
      <w:r>
        <w:fldChar w:fldCharType="begin"/>
      </w:r>
      <w:r>
        <w:instrText xml:space="preserve"> PAGEREF _Toc435024565 \h </w:instrText>
      </w:r>
      <w:r>
        <w:fldChar w:fldCharType="separate"/>
      </w:r>
      <w:r>
        <w:t>106</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General penalty for offences</w:t>
      </w:r>
      <w:r>
        <w:tab/>
      </w:r>
      <w:r>
        <w:fldChar w:fldCharType="begin"/>
      </w:r>
      <w:r>
        <w:instrText xml:space="preserve"> PAGEREF _Toc435024566 \h </w:instrText>
      </w:r>
      <w:r>
        <w:fldChar w:fldCharType="separate"/>
      </w:r>
      <w:r>
        <w:t>107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Proceedings for offences</w:t>
      </w:r>
      <w:r>
        <w:tab/>
      </w:r>
      <w:r>
        <w:fldChar w:fldCharType="begin"/>
      </w:r>
      <w:r>
        <w:instrText xml:space="preserve"> PAGEREF _Toc435024567 \h </w:instrText>
      </w:r>
      <w:r>
        <w:fldChar w:fldCharType="separate"/>
      </w:r>
      <w:r>
        <w:t>107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r>
      <w:r>
        <w:t>Forms</w:t>
      </w:r>
      <w:r>
        <w:tab/>
      </w:r>
      <w:r>
        <w:fldChar w:fldCharType="begin"/>
      </w:r>
      <w:r>
        <w:instrText xml:space="preserve"> PAGEREF _Toc435024568 \h </w:instrText>
      </w:r>
      <w:r>
        <w:fldChar w:fldCharType="separate"/>
      </w:r>
      <w:r>
        <w:t>107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Regulations</w:t>
      </w:r>
      <w:r>
        <w:tab/>
      </w:r>
      <w:r>
        <w:fldChar w:fldCharType="begin"/>
      </w:r>
      <w:r>
        <w:instrText xml:space="preserve"> PAGEREF _Toc435024569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XI — Savings and transitional</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_Toc435024571 \h </w:instrText>
      </w:r>
      <w:r>
        <w:fldChar w:fldCharType="separate"/>
      </w:r>
      <w:r>
        <w:t>110</w:t>
      </w:r>
      <w:r>
        <w:fldChar w:fldCharType="end"/>
      </w:r>
    </w:p>
    <w:p>
      <w:pPr>
        <w:pStyle w:val="TOC8"/>
        <w:rPr>
          <w:rFonts w:asciiTheme="minorHAnsi" w:eastAsiaTheme="minorEastAsia" w:hAnsiTheme="minorHAnsi" w:cstheme="minorBidi"/>
          <w:szCs w:val="22"/>
        </w:rPr>
      </w:pPr>
      <w:r>
        <w:t>149.</w:t>
      </w:r>
      <w:r>
        <w:tab/>
        <w:t>Former Board abolished</w:t>
      </w:r>
      <w:r>
        <w:tab/>
      </w:r>
      <w:r>
        <w:fldChar w:fldCharType="begin"/>
      </w:r>
      <w:r>
        <w:instrText xml:space="preserve"> PAGEREF _Toc435024572 \h </w:instrText>
      </w:r>
      <w:r>
        <w:fldChar w:fldCharType="separate"/>
      </w:r>
      <w:r>
        <w:t>110</w:t>
      </w:r>
      <w:r>
        <w:fldChar w:fldCharType="end"/>
      </w:r>
    </w:p>
    <w:p>
      <w:pPr>
        <w:pStyle w:val="TOC8"/>
        <w:rPr>
          <w:rFonts w:asciiTheme="minorHAnsi" w:eastAsiaTheme="minorEastAsia" w:hAnsiTheme="minorHAnsi" w:cstheme="minorBidi"/>
          <w:szCs w:val="22"/>
        </w:rPr>
      </w:pPr>
      <w:r>
        <w:t>150.</w:t>
      </w:r>
      <w:r>
        <w:tab/>
        <w:t>References to former Board</w:t>
      </w:r>
      <w:r>
        <w:tab/>
      </w:r>
      <w:r>
        <w:fldChar w:fldCharType="begin"/>
      </w:r>
      <w:r>
        <w:instrText xml:space="preserve"> PAGEREF _Toc435024573 \h </w:instrText>
      </w:r>
      <w:r>
        <w:fldChar w:fldCharType="separate"/>
      </w:r>
      <w:r>
        <w:t>110</w:t>
      </w:r>
      <w:r>
        <w:fldChar w:fldCharType="end"/>
      </w:r>
    </w:p>
    <w:p>
      <w:pPr>
        <w:pStyle w:val="TOC8"/>
        <w:rPr>
          <w:rFonts w:asciiTheme="minorHAnsi" w:eastAsiaTheme="minorEastAsia" w:hAnsiTheme="minorHAnsi" w:cstheme="minorBidi"/>
          <w:szCs w:val="22"/>
        </w:rPr>
      </w:pPr>
      <w:r>
        <w:t>151.</w:t>
      </w:r>
      <w:r>
        <w:tab/>
        <w:t>Immunity continues</w:t>
      </w:r>
      <w:r>
        <w:tab/>
      </w:r>
      <w:r>
        <w:fldChar w:fldCharType="begin"/>
      </w:r>
      <w:r>
        <w:instrText xml:space="preserve"> PAGEREF _Toc435024574 \h </w:instrText>
      </w:r>
      <w:r>
        <w:fldChar w:fldCharType="separate"/>
      </w:r>
      <w:r>
        <w:t>111</w:t>
      </w:r>
      <w:r>
        <w:fldChar w:fldCharType="end"/>
      </w:r>
    </w:p>
    <w:p>
      <w:pPr>
        <w:pStyle w:val="TOC8"/>
        <w:rPr>
          <w:rFonts w:asciiTheme="minorHAnsi" w:eastAsiaTheme="minorEastAsia" w:hAnsiTheme="minorHAnsi" w:cstheme="minorBidi"/>
          <w:szCs w:val="22"/>
        </w:rPr>
      </w:pPr>
      <w:r>
        <w:t>152.</w:t>
      </w:r>
      <w:r>
        <w:tab/>
        <w:t>Notices by former Board</w:t>
      </w:r>
      <w:r>
        <w:tab/>
      </w:r>
      <w:r>
        <w:fldChar w:fldCharType="begin"/>
      </w:r>
      <w:r>
        <w:instrText xml:space="preserve"> PAGEREF _Toc435024575 \h </w:instrText>
      </w:r>
      <w:r>
        <w:fldChar w:fldCharType="separate"/>
      </w:r>
      <w:r>
        <w:t>111</w:t>
      </w:r>
      <w:r>
        <w:fldChar w:fldCharType="end"/>
      </w:r>
    </w:p>
    <w:p>
      <w:pPr>
        <w:pStyle w:val="TOC8"/>
        <w:rPr>
          <w:rFonts w:asciiTheme="minorHAnsi" w:eastAsiaTheme="minorEastAsia" w:hAnsiTheme="minorHAnsi" w:cstheme="minorBidi"/>
          <w:szCs w:val="22"/>
        </w:rPr>
      </w:pPr>
      <w:r>
        <w:t>153.</w:t>
      </w:r>
      <w:r>
        <w:tab/>
        <w:t>References to former Registrar</w:t>
      </w:r>
      <w:r>
        <w:tab/>
      </w:r>
      <w:r>
        <w:fldChar w:fldCharType="begin"/>
      </w:r>
      <w:r>
        <w:instrText xml:space="preserve"> PAGEREF _Toc435024576 \h </w:instrText>
      </w:r>
      <w:r>
        <w:fldChar w:fldCharType="separate"/>
      </w:r>
      <w:r>
        <w:t>111</w:t>
      </w:r>
      <w:r>
        <w:fldChar w:fldCharType="end"/>
      </w:r>
    </w:p>
    <w:p>
      <w:pPr>
        <w:pStyle w:val="TOC8"/>
        <w:rPr>
          <w:rFonts w:asciiTheme="minorHAnsi" w:eastAsiaTheme="minorEastAsia" w:hAnsiTheme="minorHAnsi" w:cstheme="minorBidi"/>
          <w:szCs w:val="22"/>
        </w:rPr>
      </w:pPr>
      <w:r>
        <w:t>154.</w:t>
      </w:r>
      <w:r>
        <w:tab/>
        <w:t>Unfinished investigations by former Board</w:t>
      </w:r>
      <w:r>
        <w:tab/>
      </w:r>
      <w:r>
        <w:fldChar w:fldCharType="begin"/>
      </w:r>
      <w:r>
        <w:instrText xml:space="preserve"> PAGEREF _Toc435024577 \h </w:instrText>
      </w:r>
      <w:r>
        <w:fldChar w:fldCharType="separate"/>
      </w:r>
      <w:r>
        <w:t>112</w:t>
      </w:r>
      <w:r>
        <w:fldChar w:fldCharType="end"/>
      </w:r>
    </w:p>
    <w:p>
      <w:pPr>
        <w:pStyle w:val="TOC8"/>
        <w:rPr>
          <w:rFonts w:asciiTheme="minorHAnsi" w:eastAsiaTheme="minorEastAsia" w:hAnsiTheme="minorHAnsi" w:cstheme="minorBidi"/>
          <w:szCs w:val="22"/>
        </w:rPr>
      </w:pPr>
      <w:r>
        <w:t>155.</w:t>
      </w:r>
      <w:r>
        <w:tab/>
        <w:t>Unfinished proceedings by former Board</w:t>
      </w:r>
      <w:r>
        <w:tab/>
      </w:r>
      <w:r>
        <w:fldChar w:fldCharType="begin"/>
      </w:r>
      <w:r>
        <w:instrText xml:space="preserve"> PAGEREF _Toc435024578 \h </w:instrText>
      </w:r>
      <w:r>
        <w:fldChar w:fldCharType="separate"/>
      </w:r>
      <w:r>
        <w:t>112</w:t>
      </w:r>
      <w:r>
        <w:fldChar w:fldCharType="end"/>
      </w:r>
    </w:p>
    <w:p>
      <w:pPr>
        <w:pStyle w:val="TOC8"/>
        <w:rPr>
          <w:rFonts w:asciiTheme="minorHAnsi" w:eastAsiaTheme="minorEastAsia" w:hAnsiTheme="minorHAnsi" w:cstheme="minorBidi"/>
          <w:szCs w:val="22"/>
        </w:rPr>
      </w:pPr>
      <w:r>
        <w:t>156.</w:t>
      </w:r>
      <w:r>
        <w:tab/>
        <w:t>Winding</w:t>
      </w:r>
      <w:r>
        <w:noBreakHyphen/>
        <w:t>up former Board</w:t>
      </w:r>
      <w:r>
        <w:tab/>
      </w:r>
      <w:r>
        <w:fldChar w:fldCharType="begin"/>
      </w:r>
      <w:r>
        <w:instrText xml:space="preserve"> PAGEREF _Toc435024579 \h </w:instrText>
      </w:r>
      <w:r>
        <w:fldChar w:fldCharType="separate"/>
      </w:r>
      <w:r>
        <w:t>112</w:t>
      </w:r>
      <w:r>
        <w:fldChar w:fldCharType="end"/>
      </w:r>
    </w:p>
    <w:p>
      <w:pPr>
        <w:pStyle w:val="TOC8"/>
        <w:rPr>
          <w:rFonts w:asciiTheme="minorHAnsi" w:eastAsiaTheme="minorEastAsia" w:hAnsiTheme="minorHAnsi" w:cstheme="minorBidi"/>
          <w:szCs w:val="22"/>
        </w:rPr>
      </w:pPr>
      <w:r>
        <w:t>157.</w:t>
      </w:r>
      <w:r>
        <w:tab/>
        <w:t>Final report by former Board</w:t>
      </w:r>
      <w:r>
        <w:tab/>
      </w:r>
      <w:r>
        <w:fldChar w:fldCharType="begin"/>
      </w:r>
      <w:r>
        <w:instrText xml:space="preserve"> PAGEREF _Toc435024580 \h </w:instrText>
      </w:r>
      <w:r>
        <w:fldChar w:fldCharType="separate"/>
      </w:r>
      <w:r>
        <w:t>114</w:t>
      </w:r>
      <w:r>
        <w:fldChar w:fldCharType="end"/>
      </w:r>
    </w:p>
    <w:p>
      <w:pPr>
        <w:pStyle w:val="TOC8"/>
        <w:rPr>
          <w:rFonts w:asciiTheme="minorHAnsi" w:eastAsiaTheme="minorEastAsia" w:hAnsiTheme="minorHAnsi" w:cstheme="minorBidi"/>
          <w:szCs w:val="22"/>
        </w:rPr>
      </w:pPr>
      <w:r>
        <w:t>158.</w:t>
      </w:r>
      <w:r>
        <w:tab/>
        <w:t>Staff of former Board</w:t>
      </w:r>
      <w:r>
        <w:tab/>
      </w:r>
      <w:r>
        <w:fldChar w:fldCharType="begin"/>
      </w:r>
      <w:r>
        <w:instrText xml:space="preserve"> PAGEREF _Toc435024581 \h </w:instrText>
      </w:r>
      <w:r>
        <w:fldChar w:fldCharType="separate"/>
      </w:r>
      <w:r>
        <w:t>114</w:t>
      </w:r>
      <w:r>
        <w:fldChar w:fldCharType="end"/>
      </w:r>
    </w:p>
    <w:p>
      <w:pPr>
        <w:pStyle w:val="TOC8"/>
        <w:rPr>
          <w:rFonts w:asciiTheme="minorHAnsi" w:eastAsiaTheme="minorEastAsia" w:hAnsiTheme="minorHAnsi" w:cstheme="minorBidi"/>
          <w:szCs w:val="22"/>
        </w:rPr>
      </w:pPr>
      <w:r>
        <w:t>159.</w:t>
      </w:r>
      <w:r>
        <w:tab/>
        <w:t>Transitional regulations</w:t>
      </w:r>
      <w:r>
        <w:tab/>
      </w:r>
      <w:r>
        <w:fldChar w:fldCharType="begin"/>
      </w:r>
      <w:r>
        <w:instrText xml:space="preserve"> PAGEREF _Toc435024582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w:t>
      </w:r>
      <w:r>
        <w:t> — </w:t>
      </w:r>
      <w:r>
        <w:rPr>
          <w:rFonts w:eastAsia="MS Mincho"/>
        </w:rPr>
        <w:t>Qualifications for grant of licence and related matters</w:t>
      </w:r>
    </w:p>
    <w:p>
      <w:pPr>
        <w:pStyle w:val="TOC8"/>
        <w:rPr>
          <w:rFonts w:asciiTheme="minorHAnsi" w:eastAsiaTheme="minorEastAsia" w:hAnsiTheme="minorHAnsi" w:cstheme="minorBidi"/>
          <w:szCs w:val="22"/>
        </w:rPr>
      </w:pPr>
      <w:r>
        <w:t>1</w:t>
      </w:r>
      <w:r>
        <w:rPr>
          <w:snapToGrid w:val="0"/>
        </w:rPr>
        <w:t>.</w:t>
      </w:r>
      <w:r>
        <w:rPr>
          <w:snapToGrid w:val="0"/>
        </w:rPr>
        <w:tab/>
        <w:t>Qualifications</w:t>
      </w:r>
      <w:r>
        <w:tab/>
      </w:r>
      <w:r>
        <w:fldChar w:fldCharType="begin"/>
      </w:r>
      <w:r>
        <w:instrText xml:space="preserve"> PAGEREF _Toc435024584 \h </w:instrText>
      </w:r>
      <w:r>
        <w:fldChar w:fldCharType="separate"/>
      </w:r>
      <w:r>
        <w:t>116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Sufficient practical experience defined</w:t>
      </w:r>
      <w:r>
        <w:tab/>
      </w:r>
      <w:r>
        <w:fldChar w:fldCharType="begin"/>
      </w:r>
      <w:r>
        <w:instrText xml:space="preserve"> PAGEREF _Toc435024585 \h </w:instrText>
      </w:r>
      <w:r>
        <w:fldChar w:fldCharType="separate"/>
      </w:r>
      <w:r>
        <w:t>117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Licence by reason of qualification under cl. 1(c)</w:t>
      </w:r>
      <w:r>
        <w:tab/>
      </w:r>
      <w:r>
        <w:fldChar w:fldCharType="begin"/>
      </w:r>
      <w:r>
        <w:instrText xml:space="preserve"> PAGEREF _Toc435024586 \h </w:instrText>
      </w:r>
      <w:r>
        <w:fldChar w:fldCharType="separate"/>
      </w:r>
      <w:r>
        <w:t>117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 by reason of qualification under cl. 1(d)</w:t>
      </w:r>
      <w:r>
        <w:tab/>
      </w:r>
      <w:r>
        <w:fldChar w:fldCharType="begin"/>
      </w:r>
      <w:r>
        <w:instrText xml:space="preserve"> PAGEREF _Toc435024587 \h </w:instrText>
      </w:r>
      <w:r>
        <w:fldChar w:fldCharType="separate"/>
      </w:r>
      <w:r>
        <w:t>117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Dead or incapacitated licensee, conduct of business of</w:t>
      </w:r>
      <w:r>
        <w:tab/>
      </w:r>
      <w:r>
        <w:fldChar w:fldCharType="begin"/>
      </w:r>
      <w:r>
        <w:instrText xml:space="preserve"> PAGEREF _Toc435024588 \h </w:instrText>
      </w:r>
      <w:r>
        <w:fldChar w:fldCharType="separate"/>
      </w:r>
      <w:r>
        <w:t>118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Death or withdrawal of partner in firm or director of body corporate, Commissioner to be notified</w:t>
      </w:r>
      <w:r>
        <w:tab/>
      </w:r>
      <w:r>
        <w:fldChar w:fldCharType="begin"/>
      </w:r>
      <w:r>
        <w:instrText xml:space="preserve"> PAGEREF _Toc435024589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_Toc435024591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00" w:after="960"/>
      </w:pPr>
      <w:r>
        <w:t>Real Estate and Business Agents Act 1978</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and for related purposes.</w:t>
      </w:r>
    </w:p>
    <w:p>
      <w:pPr>
        <w:pStyle w:val="Heading2"/>
      </w:pPr>
      <w:bookmarkStart w:id="3" w:name="_Toc404159018"/>
      <w:bookmarkStart w:id="4" w:name="_Toc424293044"/>
      <w:bookmarkStart w:id="5" w:name="_Toc435024407"/>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04159019"/>
      <w:bookmarkStart w:id="7" w:name="_Toc435024408"/>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8" w:name="_Toc404159020"/>
      <w:bookmarkStart w:id="9" w:name="_Toc435024409"/>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Deleted by No. 29 of 1982 s. 3.]</w:t>
      </w:r>
    </w:p>
    <w:p>
      <w:pPr>
        <w:pStyle w:val="Heading5"/>
        <w:rPr>
          <w:snapToGrid w:val="0"/>
        </w:rPr>
      </w:pPr>
      <w:bookmarkStart w:id="10" w:name="_Toc404159021"/>
      <w:bookmarkStart w:id="11" w:name="_Toc435024410"/>
      <w:r>
        <w:rPr>
          <w:rStyle w:val="CharSectno"/>
        </w:rPr>
        <w:t>4</w:t>
      </w:r>
      <w:r>
        <w:rPr>
          <w:snapToGrid w:val="0"/>
        </w:rPr>
        <w:t>.</w:t>
      </w:r>
      <w:r>
        <w:rPr>
          <w:snapToGrid w:val="0"/>
        </w:rPr>
        <w:tab/>
        <w:t>Terms used</w:t>
      </w:r>
      <w:bookmarkEnd w:id="10"/>
      <w:bookmarkEnd w:id="11"/>
    </w:p>
    <w:p>
      <w:pPr>
        <w:pStyle w:val="Subsection"/>
        <w:keepNext/>
        <w:rPr>
          <w:snapToGrid w:val="0"/>
        </w:rPr>
      </w:pPr>
      <w:r>
        <w:rPr>
          <w:snapToGrid w:val="0"/>
        </w:rPr>
        <w:tab/>
        <w:t>(1)</w:t>
      </w:r>
      <w:r>
        <w:rPr>
          <w:snapToGrid w:val="0"/>
        </w:rPr>
        <w:tab/>
        <w:t>In this Act unless the context otherwise requires —</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70"/>
      </w:pPr>
      <w:r>
        <w:rPr>
          <w:b/>
        </w:rPr>
        <w:tab/>
      </w:r>
      <w:r>
        <w:rPr>
          <w:rStyle w:val="CharDefText"/>
        </w:rPr>
        <w:t>business</w:t>
      </w:r>
      <w:r>
        <w:t xml:space="preserve"> means the business of an agent but does not have that meaning in paragraph (a) of the interpretation </w:t>
      </w:r>
      <w:r>
        <w:rPr>
          <w:b/>
          <w:i/>
        </w:rPr>
        <w:t>business transaction</w:t>
      </w:r>
      <w:r>
        <w:t xml:space="preserve"> and does not mean the business of a developer;</w:t>
      </w:r>
    </w:p>
    <w:p>
      <w:pPr>
        <w:pStyle w:val="Defstart"/>
        <w:spacing w:before="70"/>
      </w:pPr>
      <w:r>
        <w:rPr>
          <w:b/>
        </w:rPr>
        <w:tab/>
      </w:r>
      <w:r>
        <w:rPr>
          <w:rStyle w:val="CharDefText"/>
        </w:rPr>
        <w:t>business</w:t>
      </w:r>
      <w:r>
        <w:t xml:space="preserve">, in paragraph (a) of the interpretation </w:t>
      </w:r>
      <w:r>
        <w:rPr>
          <w:b/>
          <w:i/>
        </w:rPr>
        <w:t>business transaction</w:t>
      </w:r>
      <w:r>
        <w:t xml:space="preserve"> means any commercial undertaking or enterprise in respect of any profession, trade, employment, vocation, or calling;</w:t>
      </w:r>
    </w:p>
    <w:p>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p>
    <w:p>
      <w:pPr>
        <w:pStyle w:val="Defpara"/>
        <w:spacing w:before="70"/>
      </w:pPr>
      <w:r>
        <w:tab/>
        <w:t>(a)</w:t>
      </w:r>
      <w:r>
        <w:tab/>
        <w:t>he is appointed by a court as a receiver or receiver and manager of the business of another; or</w:t>
      </w:r>
    </w:p>
    <w:p>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p>
    <w:p>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70"/>
      </w:pPr>
      <w:r>
        <w:rPr>
          <w:b/>
        </w:rPr>
        <w:tab/>
      </w:r>
      <w:r>
        <w:rPr>
          <w:rStyle w:val="CharDefText"/>
        </w:rPr>
        <w:t>business transaction</w:t>
      </w:r>
      <w:r>
        <w:t> —</w:t>
      </w:r>
    </w:p>
    <w:p>
      <w:pPr>
        <w:pStyle w:val="Defpara"/>
        <w:spacing w:before="70"/>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keepNext/>
      </w:pPr>
      <w:r>
        <w:rPr>
          <w:b/>
        </w:rPr>
        <w:tab/>
      </w:r>
      <w:r>
        <w:rPr>
          <w:rStyle w:val="CharDefText"/>
        </w:rPr>
        <w:t>defalcation by a licensee</w:t>
      </w:r>
      <w:r>
        <w:t xml:space="preserve"> includes criminal or fraudulent conduct —</w:t>
      </w:r>
    </w:p>
    <w:p>
      <w:pPr>
        <w:pStyle w:val="Defpara"/>
      </w:pPr>
      <w:r>
        <w:tab/>
        <w:t>(a)</w:t>
      </w:r>
      <w:r>
        <w:tab/>
        <w:t>of a licensee; or</w:t>
      </w:r>
    </w:p>
    <w:p>
      <w:pPr>
        <w:pStyle w:val="Defpara"/>
      </w:pPr>
      <w:r>
        <w:tab/>
        <w:t>(b)</w:t>
      </w:r>
      <w:r>
        <w:tab/>
        <w:t>of any one or more of the servants or agents of the licensee; or</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spacing w:before="100"/>
      </w:pPr>
      <w:r>
        <w:rPr>
          <w:b/>
        </w:rPr>
        <w:tab/>
      </w:r>
      <w:r>
        <w:rPr>
          <w:rStyle w:val="CharDefText"/>
        </w:rPr>
        <w:t>Fidelity Account</w:t>
      </w:r>
      <w:r>
        <w:t xml:space="preserve"> means the Real Estate and Business Agents Fidelity Guarantee Account established under section 107;</w:t>
      </w:r>
    </w:p>
    <w:p>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spacing w:before="100"/>
      </w:pPr>
      <w:r>
        <w:rPr>
          <w:b/>
        </w:rPr>
        <w:tab/>
      </w:r>
      <w:r>
        <w:rPr>
          <w:rStyle w:val="CharDefText"/>
        </w:rPr>
        <w:t>General Purpose Account</w:t>
      </w:r>
      <w:r>
        <w:t xml:space="preserve"> means the Education and General Purpose Account established under section 124A;</w:t>
      </w:r>
    </w:p>
    <w:p>
      <w:pPr>
        <w:pStyle w:val="Defstart"/>
        <w:spacing w:before="100"/>
      </w:pPr>
      <w:r>
        <w:tab/>
      </w:r>
      <w:r>
        <w:rPr>
          <w:rStyle w:val="CharDefText"/>
        </w:rPr>
        <w:t>Interest Account</w:t>
      </w:r>
      <w:r>
        <w:t xml:space="preserve"> means the Board Interest Account established under section 125(1);</w:t>
      </w:r>
    </w:p>
    <w:p>
      <w:pPr>
        <w:pStyle w:val="Defstart"/>
        <w:spacing w:before="100"/>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the licence of an agent under this Act;</w:t>
      </w:r>
    </w:p>
    <w:p>
      <w:pPr>
        <w:pStyle w:val="Defstart"/>
        <w:spacing w:before="100"/>
      </w:pPr>
      <w:r>
        <w:rPr>
          <w:b/>
        </w:rPr>
        <w:tab/>
      </w:r>
      <w:r>
        <w:rPr>
          <w:rStyle w:val="CharDefText"/>
        </w:rPr>
        <w:t>licensed</w:t>
      </w:r>
      <w:r>
        <w:t xml:space="preserve"> means licensed as an agent under this Act;</w:t>
      </w:r>
    </w:p>
    <w:p>
      <w:pPr>
        <w:pStyle w:val="Defstart"/>
        <w:spacing w:before="100"/>
      </w:pPr>
      <w:r>
        <w:rPr>
          <w:b/>
        </w:rPr>
        <w:tab/>
      </w:r>
      <w:r>
        <w:rPr>
          <w:rStyle w:val="CharDefText"/>
        </w:rPr>
        <w:t>licensee</w:t>
      </w:r>
      <w:r>
        <w:t xml:space="preserve"> means a person licensed under this Act;</w:t>
      </w:r>
    </w:p>
    <w:p>
      <w:pPr>
        <w:pStyle w:val="Defstart"/>
        <w:keepNext/>
        <w:spacing w:before="100"/>
      </w:pPr>
      <w:r>
        <w:rPr>
          <w:b/>
        </w:rPr>
        <w:tab/>
      </w:r>
      <w:r>
        <w:rPr>
          <w:rStyle w:val="CharDefText"/>
        </w:rPr>
        <w:t>member</w:t>
      </w:r>
      <w:r>
        <w:rPr>
          <w:bCs/>
        </w:rPr>
        <w:t> </w:t>
      </w:r>
      <w:r>
        <w:t>—</w:t>
      </w:r>
    </w:p>
    <w:p>
      <w:pPr>
        <w:pStyle w:val="Ednotepara"/>
        <w:spacing w:before="100"/>
        <w:ind w:left="1610" w:hanging="1610"/>
        <w:rPr>
          <w:snapToGrid w:val="0"/>
        </w:rPr>
      </w:pPr>
      <w:r>
        <w:rPr>
          <w:snapToGrid w:val="0"/>
        </w:rPr>
        <w:tab/>
        <w:t>[(a)</w:t>
      </w:r>
      <w:r>
        <w:rPr>
          <w:snapToGrid w:val="0"/>
        </w:rPr>
        <w:tab/>
        <w:t>deleted]</w:t>
      </w:r>
    </w:p>
    <w:p>
      <w:pPr>
        <w:pStyle w:val="Defpara"/>
        <w:spacing w:before="100"/>
      </w:pPr>
      <w:r>
        <w:tab/>
        <w:t>(b)</w:t>
      </w:r>
      <w:r>
        <w:tab/>
        <w:t>in Part IXA, means a member of the Advisory Committee;</w:t>
      </w:r>
    </w:p>
    <w:p>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spacing w:before="100"/>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w:t>
      </w:r>
    </w:p>
    <w:p>
      <w:pPr>
        <w:pStyle w:val="Defpara"/>
        <w:spacing w:before="100"/>
      </w:pPr>
      <w:r>
        <w:tab/>
        <w:t>(a)</w:t>
      </w:r>
      <w:r>
        <w:tab/>
        <w:t>he is appointed by a court as a receiver or receiver and manager of the business of another person; or</w:t>
      </w:r>
    </w:p>
    <w:p>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p>
    <w:p>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100"/>
      </w:pPr>
      <w:r>
        <w:rPr>
          <w:b/>
        </w:rPr>
        <w:tab/>
      </w:r>
      <w:r>
        <w:rPr>
          <w:rStyle w:val="CharDefText"/>
        </w:rPr>
        <w:t>real estate transaction</w:t>
      </w:r>
      <w:r>
        <w:t> —</w:t>
      </w:r>
    </w:p>
    <w:p>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pPr>
        <w:pStyle w:val="Defpara"/>
        <w:keepNext/>
        <w:spacing w:before="90"/>
      </w:pPr>
      <w:r>
        <w:tab/>
        <w:t>(ba)</w:t>
      </w:r>
      <w:r>
        <w:tab/>
        <w:t>includes the collection of rents or other payments for use or occupation; and</w:t>
      </w:r>
    </w:p>
    <w:p>
      <w:pPr>
        <w:pStyle w:val="Defpara"/>
        <w:spacing w:before="90"/>
      </w:pPr>
      <w:r>
        <w:tab/>
        <w:t>(c)</w:t>
      </w:r>
      <w:r>
        <w:tab/>
        <w:t>also includes an option to enter into a real estate transaction;</w:t>
      </w:r>
    </w:p>
    <w:p>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spacing w:before="90"/>
      </w:pPr>
      <w:r>
        <w:rPr>
          <w:b/>
        </w:rPr>
        <w:tab/>
      </w:r>
      <w:r>
        <w:rPr>
          <w:rStyle w:val="CharDefText"/>
        </w:rPr>
        <w:t>registration</w:t>
      </w:r>
      <w:r>
        <w:t xml:space="preserve"> means registration as a sales representative under this Act;</w:t>
      </w:r>
    </w:p>
    <w:p>
      <w:pPr>
        <w:pStyle w:val="Defstart"/>
        <w:spacing w:before="90"/>
      </w:pPr>
      <w:r>
        <w:rPr>
          <w:b/>
        </w:rPr>
        <w:tab/>
      </w:r>
      <w:r>
        <w:rPr>
          <w:rStyle w:val="CharDefText"/>
        </w:rPr>
        <w:t>renewal</w:t>
      </w:r>
      <w:r>
        <w:t xml:space="preserve"> means a renewal of a triennial certificate or of a certificate of registration, as the case requires;</w:t>
      </w:r>
    </w:p>
    <w:p>
      <w:pPr>
        <w:pStyle w:val="Defstart"/>
        <w:spacing w:before="90"/>
      </w:pPr>
      <w:r>
        <w:rPr>
          <w:b/>
        </w:rPr>
        <w:tab/>
      </w:r>
      <w:r>
        <w:rPr>
          <w:rStyle w:val="CharDefText"/>
        </w:rPr>
        <w:t>repealed Act</w:t>
      </w:r>
      <w:r>
        <w:t xml:space="preserve"> means the Act repealed by section 5 </w:t>
      </w:r>
      <w:r>
        <w:rPr>
          <w:vertAlign w:val="superscript"/>
        </w:rPr>
        <w:t>4</w:t>
      </w:r>
      <w:r>
        <w:t>;</w:t>
      </w:r>
    </w:p>
    <w:p>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spacing w:before="90"/>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spacing w:before="90"/>
      </w:pPr>
      <w:r>
        <w:rPr>
          <w:b/>
        </w:rPr>
        <w:tab/>
      </w:r>
      <w:r>
        <w:rPr>
          <w:rStyle w:val="CharDefText"/>
        </w:rPr>
        <w:t>supervisor</w:t>
      </w:r>
      <w:r>
        <w:t xml:space="preserve"> means a person appointed by the Commissioner as supervisor of the business of an agent;</w:t>
      </w:r>
    </w:p>
    <w:p>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pPr>
        <w:pStyle w:val="Defstart"/>
        <w:spacing w:before="90"/>
      </w:pPr>
      <w:r>
        <w:rPr>
          <w:b/>
        </w:rPr>
        <w:tab/>
      </w:r>
      <w:r>
        <w:rPr>
          <w:rStyle w:val="CharDefText"/>
        </w:rPr>
        <w:t>Treasurer</w:t>
      </w:r>
      <w:r>
        <w:t xml:space="preserve"> means the Treasurer of the State;</w:t>
      </w:r>
    </w:p>
    <w:p>
      <w:pPr>
        <w:pStyle w:val="Defstart"/>
        <w:spacing w:before="90"/>
      </w:pPr>
      <w:r>
        <w:rPr>
          <w:b/>
        </w:rPr>
        <w:tab/>
      </w:r>
      <w:r>
        <w:rPr>
          <w:rStyle w:val="CharDefText"/>
        </w:rPr>
        <w:t>Treasury</w:t>
      </w:r>
      <w:r>
        <w:t xml:space="preserve"> means the State Treasury;</w:t>
      </w:r>
    </w:p>
    <w:p>
      <w:pPr>
        <w:pStyle w:val="Defstart"/>
        <w:spacing w:before="90"/>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w:t>
      </w:r>
    </w:p>
    <w:p>
      <w:pPr>
        <w:pStyle w:val="Indenta"/>
        <w:rPr>
          <w:snapToGrid w:val="0"/>
        </w:rPr>
      </w:pPr>
      <w:r>
        <w:rPr>
          <w:snapToGrid w:val="0"/>
        </w:rPr>
        <w:tab/>
        <w:t>(a)</w:t>
      </w:r>
      <w:r>
        <w:rPr>
          <w:snapToGrid w:val="0"/>
        </w:rPr>
        <w:tab/>
        <w:t>the consideration; or</w:t>
      </w:r>
    </w:p>
    <w:p>
      <w:pPr>
        <w:pStyle w:val="Indenta"/>
        <w:rPr>
          <w:snapToGrid w:val="0"/>
        </w:rPr>
      </w:pPr>
      <w:r>
        <w:rPr>
          <w:snapToGrid w:val="0"/>
        </w:rPr>
        <w:tab/>
        <w:t>(b)</w:t>
      </w:r>
      <w:r>
        <w:rPr>
          <w:snapToGrid w:val="0"/>
        </w:rPr>
        <w:tab/>
        <w:t>any terms payments; or</w:t>
      </w:r>
    </w:p>
    <w:p>
      <w:pPr>
        <w:pStyle w:val="Indenta"/>
        <w:rPr>
          <w:snapToGrid w:val="0"/>
        </w:rPr>
      </w:pPr>
      <w:r>
        <w:rPr>
          <w:snapToGrid w:val="0"/>
        </w:rPr>
        <w:tab/>
        <w:t>(c)</w:t>
      </w:r>
      <w:r>
        <w:rPr>
          <w:snapToGrid w:val="0"/>
        </w:rPr>
        <w:tab/>
        <w:t>any rent or other payment for use or occupation; or</w:t>
      </w:r>
    </w:p>
    <w:p>
      <w:pPr>
        <w:pStyle w:val="Indenta"/>
        <w:keepNext/>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w:t>
      </w:r>
    </w:p>
    <w:p>
      <w:pPr>
        <w:pStyle w:val="Indenta"/>
        <w:rPr>
          <w:snapToGrid w:val="0"/>
        </w:rPr>
      </w:pPr>
      <w:r>
        <w:rPr>
          <w:snapToGrid w:val="0"/>
        </w:rPr>
        <w:tab/>
        <w:t>(a)</w:t>
      </w:r>
      <w:r>
        <w:rPr>
          <w:snapToGrid w:val="0"/>
        </w:rPr>
        <w:tab/>
        <w:t>a body corporate authorised by the law of any State, or of a Territory, of the Commonwealth to apply for and obtain a grant of probate of a will when exercising its power to do so or when exercising any other power conferred on it by such a law; or</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[Section 4 amended by No. 74. of 1980 s. 3; No. 10 of 1982 s. 28; No. 29 of 1982 s. 4; No. 40 of 1985 s. 8; No. 98 of 1985 s. 3; No. 59 of 1995 s. 4; No. 26 of 1999 s. 99(2); No. 10 of 2001 s. 222; No. 21 of 2003 s. 20; No. 65 of 2003 s. 59(2); No. 74 of 2003 s. 101; No. 69 of 2006 s. 27; No. 77 of 2006 Sch. 1 cl. 147(1); No. 21 of 2008 s. 696; No. 58 of 2010 s. 81 and 134</w:t>
      </w:r>
      <w:r>
        <w:rPr>
          <w:spacing w:val="-4"/>
        </w:rPr>
        <w:t>; No. 47 of 2011 s.</w:t>
      </w:r>
      <w:r>
        <w:t> 25(2) and (3).]</w:t>
      </w:r>
    </w:p>
    <w:p>
      <w:pPr>
        <w:pStyle w:val="Ednotesection"/>
      </w:pPr>
      <w:r>
        <w:t>[</w:t>
      </w:r>
      <w:r>
        <w:rPr>
          <w:b/>
        </w:rPr>
        <w:t>5.</w:t>
      </w:r>
      <w:r>
        <w:tab/>
        <w:t>Deleted by No. 58 of 2010 s. 82.]</w:t>
      </w:r>
    </w:p>
    <w:p>
      <w:pPr>
        <w:pStyle w:val="Heading2"/>
      </w:pPr>
      <w:bookmarkStart w:id="12" w:name="_Toc404159022"/>
      <w:bookmarkStart w:id="13" w:name="_Toc424293048"/>
      <w:bookmarkStart w:id="14" w:name="_Toc435024411"/>
      <w:r>
        <w:rPr>
          <w:rStyle w:val="CharPartNo"/>
        </w:rPr>
        <w:t>Part II</w:t>
      </w:r>
      <w:r>
        <w:t> — </w:t>
      </w:r>
      <w:r>
        <w:rPr>
          <w:rStyle w:val="CharPartText"/>
        </w:rPr>
        <w:t>Advisory Committee and review</w:t>
      </w:r>
      <w:bookmarkEnd w:id="12"/>
      <w:bookmarkEnd w:id="13"/>
      <w:bookmarkEnd w:id="14"/>
    </w:p>
    <w:p>
      <w:pPr>
        <w:pStyle w:val="Footnoteheading"/>
        <w:tabs>
          <w:tab w:val="clear" w:pos="879"/>
          <w:tab w:val="left" w:pos="890"/>
        </w:tabs>
        <w:rPr>
          <w:snapToGrid w:val="0"/>
        </w:rPr>
      </w:pPr>
      <w:r>
        <w:rPr>
          <w:snapToGrid w:val="0"/>
        </w:rPr>
        <w:tab/>
        <w:t>[Heading inserted by No. 58 of 2010 s. 83.]</w:t>
      </w:r>
    </w:p>
    <w:p>
      <w:pPr>
        <w:pStyle w:val="Ednotedivision"/>
      </w:pPr>
      <w:r>
        <w:t>[Divisions 1, 1A and 2 (s. 6-18) deleted by No. 58 of 2010 s. 84.]</w:t>
      </w:r>
    </w:p>
    <w:p>
      <w:pPr>
        <w:pStyle w:val="Footnoteheading"/>
        <w:tabs>
          <w:tab w:val="clear" w:pos="879"/>
          <w:tab w:val="left" w:pos="890"/>
        </w:tabs>
      </w:pPr>
      <w:r>
        <w:tab/>
        <w:t>[Heading deleted by No. 58 of 2010 s. 85.]</w:t>
      </w:r>
    </w:p>
    <w:p>
      <w:pPr>
        <w:pStyle w:val="Ednotesection"/>
        <w:ind w:left="0" w:firstLine="0"/>
      </w:pPr>
      <w:r>
        <w:t>[</w:t>
      </w:r>
      <w:r>
        <w:rPr>
          <w:b/>
        </w:rPr>
        <w:t>19-21.</w:t>
      </w:r>
      <w:r>
        <w:tab/>
        <w:t>Deleted by No. 58 of 2010 s. 86.]</w:t>
      </w:r>
    </w:p>
    <w:p>
      <w:pPr>
        <w:pStyle w:val="Heading5"/>
      </w:pPr>
      <w:bookmarkStart w:id="15" w:name="_Toc404159023"/>
      <w:bookmarkStart w:id="16" w:name="_Toc435024412"/>
      <w:r>
        <w:rPr>
          <w:rStyle w:val="CharSectno"/>
        </w:rPr>
        <w:t>22</w:t>
      </w:r>
      <w:r>
        <w:t>.</w:t>
      </w:r>
      <w:r>
        <w:tab/>
        <w:t>Powers of investigation</w:t>
      </w:r>
      <w:bookmarkEnd w:id="15"/>
      <w:bookmarkEnd w:id="16"/>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 by No. 58 of 2010 s. 87.]</w:t>
      </w:r>
    </w:p>
    <w:p>
      <w:pPr>
        <w:pStyle w:val="Heading5"/>
        <w:rPr>
          <w:snapToGrid w:val="0"/>
        </w:rPr>
      </w:pPr>
      <w:bookmarkStart w:id="17" w:name="_Toc404159024"/>
      <w:bookmarkStart w:id="18" w:name="_Toc435024413"/>
      <w:r>
        <w:rPr>
          <w:rStyle w:val="CharSectno"/>
        </w:rPr>
        <w:t>23</w:t>
      </w:r>
      <w:r>
        <w:rPr>
          <w:snapToGrid w:val="0"/>
        </w:rPr>
        <w:t>.</w:t>
      </w:r>
      <w:r>
        <w:rPr>
          <w:snapToGrid w:val="0"/>
        </w:rPr>
        <w:tab/>
        <w:t>Application for review by SAT</w:t>
      </w:r>
      <w:bookmarkEnd w:id="17"/>
      <w:bookmarkEnd w:id="18"/>
    </w:p>
    <w:p>
      <w:pPr>
        <w:pStyle w:val="Subsection"/>
        <w:rPr>
          <w:snapToGrid w:val="0"/>
        </w:rPr>
      </w:pPr>
      <w:r>
        <w:rPr>
          <w:snapToGrid w:val="0"/>
        </w:rPr>
        <w:tab/>
        <w:t>(1)</w:t>
      </w:r>
      <w:r>
        <w:rPr>
          <w:snapToGrid w:val="0"/>
        </w:rPr>
        <w:tab/>
        <w:t xml:space="preserve">Any person aggrieved by a reviewable decision may apply to the State </w:t>
      </w:r>
      <w:r>
        <w:rPr>
          <w:snapToGrid w:val="0"/>
          <w:spacing w:val="-4"/>
        </w:rPr>
        <w:t>Administrative Tribunal</w:t>
      </w:r>
      <w:r>
        <w:rPr>
          <w:snapToGrid w:val="0"/>
        </w:rPr>
        <w:t xml:space="preserve"> for a review of the decision.</w:t>
      </w:r>
    </w:p>
    <w:p>
      <w:pPr>
        <w:pStyle w:val="Subsection"/>
        <w:keepNext/>
        <w:keepLines/>
      </w:pPr>
      <w:r>
        <w:tab/>
        <w:t>(2)</w:t>
      </w:r>
      <w:r>
        <w:tab/>
        <w:t>In subsection (1) —</w:t>
      </w:r>
    </w:p>
    <w:p>
      <w:pPr>
        <w:pStyle w:val="Defstart"/>
        <w:keepNext/>
        <w:keepLines/>
      </w:pPr>
      <w:r>
        <w:tab/>
      </w:r>
      <w:r>
        <w:rPr>
          <w:rStyle w:val="CharDefText"/>
        </w:rPr>
        <w:t>person aggrieved</w:t>
      </w:r>
      <w:r>
        <w:t xml:space="preserve"> means —</w:t>
      </w:r>
    </w:p>
    <w:p>
      <w:pPr>
        <w:pStyle w:val="Defpara"/>
      </w:pPr>
      <w:r>
        <w:tab/>
        <w:t>(a)</w:t>
      </w:r>
      <w:r>
        <w:tab/>
        <w:t>a person whose licence or triennial certificate is affected by a reviewable decision or who, under Part III, applies for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Commissioner’s approval under section 56 to carry on business pursuant to a franchising agreement or another party to the agreement;</w:t>
      </w:r>
    </w:p>
    <w:p>
      <w:pPr>
        <w:pStyle w:val="Defpara"/>
      </w:pPr>
      <w:r>
        <w:tab/>
        <w:t>(d)</w:t>
      </w:r>
      <w:r>
        <w:tab/>
        <w:t>a person affected by a decision of the Commissioner under Part VI;</w:t>
      </w:r>
    </w:p>
    <w:p>
      <w:pPr>
        <w:pStyle w:val="Indenta"/>
      </w:pPr>
      <w:r>
        <w:tab/>
        <w:t>(e)</w:t>
      </w:r>
      <w:r>
        <w:tab/>
        <w:t>a person claiming against, or seeking the leave of the chief executive officer to commence an action in relation to, the Fidelity Account;</w:t>
      </w:r>
    </w:p>
    <w:p>
      <w:pPr>
        <w:pStyle w:val="Defstart"/>
        <w:keepNext/>
      </w:pPr>
      <w:r>
        <w:rPr>
          <w:b/>
        </w:rPr>
        <w:tab/>
      </w:r>
      <w:r>
        <w:rPr>
          <w:rStyle w:val="CharDefText"/>
        </w:rPr>
        <w:t>reviewable decision</w:t>
      </w:r>
      <w:r>
        <w:t xml:space="preserve"> means —</w:t>
      </w:r>
    </w:p>
    <w:p>
      <w:pPr>
        <w:pStyle w:val="Defpara"/>
        <w:spacing w:before="70"/>
      </w:pPr>
      <w:r>
        <w:tab/>
        <w:t>(a)</w:t>
      </w:r>
      <w:r>
        <w:tab/>
        <w:t>a decision of the Commissioner under Part III other than a determination of the form in which an application is to be made;</w:t>
      </w:r>
    </w:p>
    <w:p>
      <w:pPr>
        <w:pStyle w:val="Defpara"/>
        <w:spacing w:before="70"/>
      </w:pPr>
      <w:r>
        <w:tab/>
        <w:t>(b)</w:t>
      </w:r>
      <w:r>
        <w:tab/>
        <w:t>a decision of the Commissioner under Part IV other than a determination of the form in which an application is to be made;</w:t>
      </w:r>
    </w:p>
    <w:p>
      <w:pPr>
        <w:pStyle w:val="Defpara"/>
        <w:spacing w:before="70"/>
      </w:pPr>
      <w:r>
        <w:tab/>
        <w:t>(c)</w:t>
      </w:r>
      <w:r>
        <w:tab/>
        <w:t>a decision of the Commissioner under section 56;</w:t>
      </w:r>
    </w:p>
    <w:p>
      <w:pPr>
        <w:pStyle w:val="Defpara"/>
        <w:spacing w:before="70"/>
      </w:pPr>
      <w:r>
        <w:tab/>
        <w:t>(d)</w:t>
      </w:r>
      <w:r>
        <w:tab/>
        <w:t>a decision of the Commissioner under Part VI;</w:t>
      </w:r>
    </w:p>
    <w:p>
      <w:pPr>
        <w:pStyle w:val="Defpara"/>
        <w:spacing w:before="70"/>
      </w:pPr>
      <w:r>
        <w:tab/>
        <w:t>(e)</w:t>
      </w:r>
      <w:r>
        <w:tab/>
        <w:t>a decision of the chief executive officer under section 116 or 117.</w:t>
      </w:r>
    </w:p>
    <w:p>
      <w:pPr>
        <w:pStyle w:val="Subsection"/>
      </w:pPr>
      <w:r>
        <w:tab/>
        <w:t>(3)</w:t>
      </w:r>
      <w:r>
        <w:tab/>
        <w:t xml:space="preserve">If a decision under section 116 or 117 has not been made before the commencement of the </w:t>
      </w:r>
      <w:r>
        <w:rPr>
          <w:i/>
          <w:snapToGrid w:val="0"/>
        </w:rPr>
        <w:t>Consumer Protection Legislation Amendment Act 2014</w:t>
      </w:r>
      <w:r>
        <w:rPr>
          <w:snapToGrid w:val="0"/>
        </w:rPr>
        <w:t xml:space="preserve"> section 69</w:t>
      </w:r>
      <w:r>
        <w:t xml:space="preserve"> in respect of a claim made before 1 July 2011, the decision — </w:t>
      </w:r>
    </w:p>
    <w:p>
      <w:pPr>
        <w:pStyle w:val="Defpara"/>
      </w:pPr>
      <w:r>
        <w:tab/>
        <w:t>(a)</w:t>
      </w:r>
      <w:r>
        <w:tab/>
        <w:t>may be made on or after that commencement by the Commissioner; and</w:t>
      </w:r>
    </w:p>
    <w:p>
      <w:pPr>
        <w:pStyle w:val="Defpara"/>
      </w:pPr>
      <w:r>
        <w:tab/>
        <w:t>(b)</w:t>
      </w:r>
      <w:r>
        <w:tab/>
        <w:t>is taken to be a reviewable decision for the purposes of this section.</w:t>
      </w:r>
    </w:p>
    <w:p>
      <w:pPr>
        <w:pStyle w:val="Subsection"/>
      </w:pPr>
      <w:r>
        <w:tab/>
        <w:t>(4)</w:t>
      </w:r>
      <w:r>
        <w:tab/>
        <w:t xml:space="preserve">A decision under section 116 or 117 made by the chief executive officer before the commencement of the </w:t>
      </w:r>
      <w:r>
        <w:rPr>
          <w:i/>
          <w:snapToGrid w:val="0"/>
        </w:rPr>
        <w:t>Consumer Protection Legislation Amendment Act 2014</w:t>
      </w:r>
      <w:r>
        <w:rPr>
          <w:snapToGrid w:val="0"/>
        </w:rPr>
        <w:t xml:space="preserve"> section 69</w:t>
      </w:r>
      <w:r>
        <w:t xml:space="preserve"> is taken to be a reviewable decision made immediately after that commencement for the purposes of this section.</w:t>
      </w:r>
    </w:p>
    <w:p>
      <w:pPr>
        <w:pStyle w:val="Subsection"/>
      </w:pPr>
      <w:r>
        <w:tab/>
        <w:t>(5)</w:t>
      </w:r>
      <w:r>
        <w:tab/>
        <w:t xml:space="preserve">The amendments made to this section by the </w:t>
      </w:r>
      <w:r>
        <w:rPr>
          <w:i/>
          <w:snapToGrid w:val="0"/>
        </w:rPr>
        <w:t>Consumer Protection Legislation Amendment Act 2014</w:t>
      </w:r>
      <w:r>
        <w:rPr>
          <w:snapToGrid w:val="0"/>
        </w:rPr>
        <w:t xml:space="preserve"> section 69 do not affect the review of a reviewable decision by the State Administrative Tribunal that began, but was not completed, before the commencement of that section.</w:t>
      </w:r>
    </w:p>
    <w:p>
      <w:pPr>
        <w:pStyle w:val="Footnotesection"/>
      </w:pPr>
      <w:r>
        <w:tab/>
        <w:t>[Section 23 inserted by No. 55 of 2004 s. 1005; amended by No. 77 of 2006 Sch. 1 cl. 147(2); No. 58 of 2010 s. 88 and 134; No. 23 of 2014 s. 69.]</w:t>
      </w:r>
    </w:p>
    <w:p>
      <w:pPr>
        <w:pStyle w:val="Heading3"/>
        <w:rPr>
          <w:snapToGrid w:val="0"/>
        </w:rPr>
      </w:pPr>
      <w:bookmarkStart w:id="19" w:name="_Toc404159025"/>
      <w:bookmarkStart w:id="20" w:name="_Toc424293051"/>
      <w:bookmarkStart w:id="21" w:name="_Toc435024414"/>
      <w:r>
        <w:rPr>
          <w:rStyle w:val="CharDivNo"/>
        </w:rPr>
        <w:t>Division 4</w:t>
      </w:r>
      <w:r>
        <w:rPr>
          <w:snapToGrid w:val="0"/>
        </w:rPr>
        <w:t> — </w:t>
      </w:r>
      <w:r>
        <w:rPr>
          <w:rStyle w:val="CharDivText"/>
        </w:rPr>
        <w:t>Advisory committees</w:t>
      </w:r>
      <w:bookmarkEnd w:id="19"/>
      <w:bookmarkEnd w:id="20"/>
      <w:bookmarkEnd w:id="21"/>
    </w:p>
    <w:p>
      <w:pPr>
        <w:pStyle w:val="Footnoteheading"/>
        <w:keepNext/>
        <w:tabs>
          <w:tab w:val="clear" w:pos="879"/>
          <w:tab w:val="left" w:pos="890"/>
        </w:tabs>
      </w:pPr>
      <w:r>
        <w:tab/>
        <w:t>[Heading inserted by No. 34 of 1998 s. 9.]</w:t>
      </w:r>
    </w:p>
    <w:p>
      <w:pPr>
        <w:pStyle w:val="Heading5"/>
      </w:pPr>
      <w:bookmarkStart w:id="22" w:name="_Toc404159026"/>
      <w:bookmarkStart w:id="23" w:name="_Toc435024415"/>
      <w:r>
        <w:rPr>
          <w:rStyle w:val="CharSectno"/>
        </w:rPr>
        <w:t>23A</w:t>
      </w:r>
      <w:r>
        <w:t>.</w:t>
      </w:r>
      <w:r>
        <w:tab/>
        <w:t>Advisory committees, establishing etc.</w:t>
      </w:r>
      <w:bookmarkEnd w:id="22"/>
      <w:bookmarkEnd w:id="23"/>
    </w:p>
    <w:p>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Ednotesubsection"/>
      </w:pPr>
      <w:r>
        <w:tab/>
        <w:t>[(3)</w:t>
      </w:r>
      <w:r>
        <w:tab/>
        <w:t>deleted]</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department is to provide a committee with such support services as it may reasonably require.</w:t>
      </w:r>
    </w:p>
    <w:p>
      <w:pPr>
        <w:pStyle w:val="Subsection"/>
      </w:pPr>
      <w:r>
        <w:tab/>
        <w:t>(8)</w:t>
      </w:r>
      <w:r>
        <w:tab/>
        <w:t>A member of a committee —</w:t>
      </w:r>
    </w:p>
    <w:p>
      <w:pPr>
        <w:pStyle w:val="Indenta"/>
      </w:pPr>
      <w:r>
        <w:tab/>
        <w:t>(a)</w:t>
      </w:r>
      <w:r>
        <w:tab/>
        <w:t>is to hold office for such term not exceeding 2 years as is specified in the instrument appointing the member; and</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pPr>
      <w:r>
        <w:tab/>
        <w:t>(11)</w:t>
      </w:r>
      <w:r>
        <w:tab/>
        <w:t>If a member of a committee —</w:t>
      </w:r>
    </w:p>
    <w:p>
      <w:pPr>
        <w:pStyle w:val="Indenta"/>
      </w:pPr>
      <w:r>
        <w:tab/>
        <w:t>(a)</w:t>
      </w:r>
      <w:r>
        <w:tab/>
        <w:t xml:space="preserve">is, according to the </w:t>
      </w:r>
      <w:r>
        <w:rPr>
          <w:i/>
          <w:iCs/>
        </w:rPr>
        <w:t>Interpretation Act 1984</w:t>
      </w:r>
      <w:r>
        <w:t xml:space="preserve"> section 13D, a bankrupt or a person whose affairs are under insolvency laws; or</w:t>
      </w:r>
    </w:p>
    <w:p>
      <w:pPr>
        <w:pStyle w:val="Indenta"/>
      </w:pPr>
      <w:r>
        <w:tab/>
        <w:t>(b)</w:t>
      </w:r>
      <w:r>
        <w:tab/>
        <w:t>becomes permanently incapable of performing his or her duties as a member; or</w:t>
      </w:r>
    </w:p>
    <w:p>
      <w:pPr>
        <w:pStyle w:val="Indenta"/>
      </w:pPr>
      <w:r>
        <w:tab/>
        <w:t>(c)</w:t>
      </w:r>
      <w:r>
        <w:tab/>
        <w:t>resigns his or her office by signing a written notice of resignation and giving it to the Minister; or</w:t>
      </w:r>
    </w:p>
    <w:p>
      <w:pPr>
        <w:pStyle w:val="Indenta"/>
      </w:pPr>
      <w:r>
        <w:tab/>
        <w:t>(d)</w:t>
      </w:r>
      <w:r>
        <w:tab/>
        <w:t>absents himself or herself, except on leave duly granted by the Minister, from meetings of that committee for a period exceeding 8 weeks; or</w:t>
      </w:r>
    </w:p>
    <w:p>
      <w:pPr>
        <w:pStyle w:val="Indenta"/>
      </w:pPr>
      <w:r>
        <w:tab/>
        <w:t>(e)</w:t>
      </w:r>
      <w:r>
        <w:tab/>
        <w:t>ceases to hold any qualification required for becoming or being a member,</w:t>
      </w:r>
    </w:p>
    <w:p>
      <w:pPr>
        <w:pStyle w:val="Subsection"/>
      </w:pPr>
      <w:r>
        <w:tab/>
      </w:r>
      <w:r>
        <w:tab/>
        <w:t>the office of that member becomes vacant.</w:t>
      </w:r>
    </w:p>
    <w:p>
      <w:pPr>
        <w:pStyle w:val="Footnotesection"/>
      </w:pPr>
      <w:r>
        <w:tab/>
        <w:t>[Section 23A inserted by No. 34 of 1998 s. 9; amended by No. 77 of 2006 Sch. 1 cl. 147(2); No. 39 of 2010 s. 89; No. 58 of 2010 s. 89 and 134.]</w:t>
      </w:r>
    </w:p>
    <w:p>
      <w:pPr>
        <w:pStyle w:val="Heading5"/>
      </w:pPr>
      <w:bookmarkStart w:id="24" w:name="_Toc404159027"/>
      <w:bookmarkStart w:id="25" w:name="_Toc435024416"/>
      <w:r>
        <w:rPr>
          <w:rStyle w:val="CharSectno"/>
        </w:rPr>
        <w:t>23B</w:t>
      </w:r>
      <w:r>
        <w:t>.</w:t>
      </w:r>
      <w:r>
        <w:tab/>
        <w:t>Minister may delegate s. 23A powers</w:t>
      </w:r>
      <w:bookmarkEnd w:id="24"/>
      <w:bookmarkEnd w:id="25"/>
    </w:p>
    <w:p>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 amended by No. 58 of 2010 s. 134.]</w:t>
      </w:r>
    </w:p>
    <w:p>
      <w:pPr>
        <w:pStyle w:val="Heading3"/>
      </w:pPr>
      <w:bookmarkStart w:id="26" w:name="_Toc404159028"/>
      <w:bookmarkStart w:id="27" w:name="_Toc424293054"/>
      <w:bookmarkStart w:id="28" w:name="_Toc435024417"/>
      <w:r>
        <w:rPr>
          <w:rStyle w:val="CharDivNo"/>
        </w:rPr>
        <w:t>Division 5</w:t>
      </w:r>
      <w:r>
        <w:t> — </w:t>
      </w:r>
      <w:r>
        <w:rPr>
          <w:rStyle w:val="CharDivText"/>
        </w:rPr>
        <w:t>Conciliation</w:t>
      </w:r>
      <w:bookmarkEnd w:id="26"/>
      <w:bookmarkEnd w:id="27"/>
      <w:bookmarkEnd w:id="28"/>
    </w:p>
    <w:p>
      <w:pPr>
        <w:pStyle w:val="Footnoteheading"/>
        <w:keepNext/>
        <w:tabs>
          <w:tab w:val="clear" w:pos="879"/>
          <w:tab w:val="left" w:pos="890"/>
        </w:tabs>
      </w:pPr>
      <w:r>
        <w:tab/>
        <w:t>[Heading inserted by No. 34 of 1998 s. 9.]</w:t>
      </w:r>
    </w:p>
    <w:p>
      <w:pPr>
        <w:pStyle w:val="Heading5"/>
      </w:pPr>
      <w:bookmarkStart w:id="29" w:name="_Toc404159029"/>
      <w:bookmarkStart w:id="30" w:name="_Toc435024418"/>
      <w:r>
        <w:rPr>
          <w:rStyle w:val="CharSectno"/>
        </w:rPr>
        <w:t>23C</w:t>
      </w:r>
      <w:r>
        <w:t>.</w:t>
      </w:r>
      <w:r>
        <w:tab/>
        <w:t>Conciliation of disputes about transactions</w:t>
      </w:r>
      <w:bookmarkEnd w:id="29"/>
      <w:bookmarkEnd w:id="30"/>
    </w:p>
    <w:p>
      <w:pPr>
        <w:pStyle w:val="Subsection"/>
      </w:pPr>
      <w:r>
        <w:tab/>
        <w:t>(1)</w:t>
      </w:r>
      <w:r>
        <w:tab/>
        <w:t>The Commissioner, or a person nominated by the Commissioner, may act as a conciliator for the purposes of this section.</w:t>
      </w:r>
    </w:p>
    <w:p>
      <w:pPr>
        <w:pStyle w:val="Subsection"/>
      </w:pPr>
      <w:r>
        <w:tab/>
        <w:t>(2)</w:t>
      </w:r>
      <w:r>
        <w:tab/>
        <w:t>A conciliator’s function is to assist the parties to a transaction to resolve a dispute about the transaction by —</w:t>
      </w:r>
    </w:p>
    <w:p>
      <w:pPr>
        <w:pStyle w:val="Indenta"/>
      </w:pPr>
      <w:r>
        <w:tab/>
        <w:t>(a)</w:t>
      </w:r>
      <w:r>
        <w:tab/>
        <w:t>arranging for the parties to hold informal discussions about the dispute; and</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Evidence of anything said or admitted during the conciliation process —</w:t>
      </w:r>
    </w:p>
    <w:p>
      <w:pPr>
        <w:pStyle w:val="Indenta"/>
        <w:keepNext/>
      </w:pPr>
      <w:r>
        <w:tab/>
        <w:t>(a)</w:t>
      </w:r>
      <w:r>
        <w:tab/>
        <w:t>is not admissible in proceedings before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Nothing in this section —</w:t>
      </w:r>
    </w:p>
    <w:p>
      <w:pPr>
        <w:pStyle w:val="Indenta"/>
      </w:pPr>
      <w:r>
        <w:tab/>
        <w:t>(a)</w:t>
      </w:r>
      <w:r>
        <w:tab/>
        <w:t>prevents the parties to a transaction from resolving a dispute in relation to the transaction at any time, whether through the conciliation process or not; or</w:t>
      </w:r>
    </w:p>
    <w:p>
      <w:pPr>
        <w:pStyle w:val="Indenta"/>
      </w:pPr>
      <w:r>
        <w:tab/>
        <w:t>(b)</w:t>
      </w:r>
      <w:r>
        <w:tab/>
        <w:t>requires a conciliator to participate in a conciliation process or the department to provide officers or other persons for that purpose.</w:t>
      </w:r>
    </w:p>
    <w:p>
      <w:pPr>
        <w:pStyle w:val="Subsection"/>
      </w:pPr>
      <w:r>
        <w:tab/>
        <w:t>(7)</w:t>
      </w:r>
      <w:r>
        <w:tab/>
        <w:t>In this section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 No. 58 of 2010 s. 90.]</w:t>
      </w:r>
    </w:p>
    <w:p>
      <w:pPr>
        <w:pStyle w:val="Heading2"/>
      </w:pPr>
      <w:bookmarkStart w:id="31" w:name="_Toc404159030"/>
      <w:bookmarkStart w:id="32" w:name="_Toc424293056"/>
      <w:bookmarkStart w:id="33" w:name="_Toc435024419"/>
      <w:r>
        <w:rPr>
          <w:rStyle w:val="CharPartNo"/>
        </w:rPr>
        <w:t>Part III</w:t>
      </w:r>
      <w:r>
        <w:rPr>
          <w:rStyle w:val="CharDivNo"/>
        </w:rPr>
        <w:t> </w:t>
      </w:r>
      <w:r>
        <w:t>—</w:t>
      </w:r>
      <w:r>
        <w:rPr>
          <w:rStyle w:val="CharDivText"/>
        </w:rPr>
        <w:t> </w:t>
      </w:r>
      <w:r>
        <w:rPr>
          <w:rStyle w:val="CharPartText"/>
        </w:rPr>
        <w:t>Licensing of agents</w:t>
      </w:r>
      <w:bookmarkEnd w:id="31"/>
      <w:bookmarkEnd w:id="32"/>
      <w:bookmarkEnd w:id="33"/>
    </w:p>
    <w:p>
      <w:pPr>
        <w:pStyle w:val="Heading5"/>
        <w:rPr>
          <w:snapToGrid w:val="0"/>
        </w:rPr>
      </w:pPr>
      <w:bookmarkStart w:id="34" w:name="_Toc404159031"/>
      <w:bookmarkStart w:id="35" w:name="_Toc435024420"/>
      <w:r>
        <w:rPr>
          <w:rStyle w:val="CharSectno"/>
        </w:rPr>
        <w:t>24</w:t>
      </w:r>
      <w:r>
        <w:rPr>
          <w:snapToGrid w:val="0"/>
        </w:rPr>
        <w:t>.</w:t>
      </w:r>
      <w:r>
        <w:rPr>
          <w:snapToGrid w:val="0"/>
        </w:rPr>
        <w:tab/>
        <w:t>Applications for licences</w:t>
      </w:r>
      <w:bookmarkEnd w:id="34"/>
      <w:bookmarkEnd w:id="35"/>
    </w:p>
    <w:p>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w:t>
      </w:r>
      <w:r>
        <w:tab/>
        <w:t>deleted]</w:t>
      </w:r>
    </w:p>
    <w:p>
      <w:pPr>
        <w:pStyle w:val="Subsection"/>
        <w:spacing w:before="120"/>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spacing w:before="120"/>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spacing w:before="100"/>
        <w:ind w:left="890" w:hanging="890"/>
      </w:pPr>
      <w:r>
        <w:tab/>
        <w:t>[Section 24 amended by No. 58 of 2010 s. 91 and 134; No. 23 of 2014 s. 70.]</w:t>
      </w:r>
    </w:p>
    <w:p>
      <w:pPr>
        <w:pStyle w:val="Ednotesection"/>
      </w:pPr>
      <w:r>
        <w:t>[</w:t>
      </w:r>
      <w:r>
        <w:rPr>
          <w:b/>
        </w:rPr>
        <w:t>25.</w:t>
      </w:r>
      <w:r>
        <w:tab/>
        <w:t>Deleted by No. 23 of 2014 s. 71.]</w:t>
      </w:r>
    </w:p>
    <w:p>
      <w:pPr>
        <w:pStyle w:val="Heading5"/>
        <w:rPr>
          <w:snapToGrid w:val="0"/>
        </w:rPr>
      </w:pPr>
      <w:bookmarkStart w:id="36" w:name="_Toc404159032"/>
      <w:bookmarkStart w:id="37" w:name="_Toc435024421"/>
      <w:r>
        <w:rPr>
          <w:rStyle w:val="CharSectno"/>
        </w:rPr>
        <w:t>26</w:t>
      </w:r>
      <w:r>
        <w:rPr>
          <w:snapToGrid w:val="0"/>
        </w:rPr>
        <w:t>.</w:t>
      </w:r>
      <w:r>
        <w:rPr>
          <w:snapToGrid w:val="0"/>
        </w:rPr>
        <w:tab/>
        <w:t>Real estate agents and business agents must be licensed</w:t>
      </w:r>
      <w:bookmarkEnd w:id="36"/>
      <w:bookmarkEnd w:id="37"/>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[Section 26 amended by No. 43 of 1994 s. 11.]</w:t>
      </w:r>
    </w:p>
    <w:p>
      <w:pPr>
        <w:pStyle w:val="Heading5"/>
        <w:rPr>
          <w:snapToGrid w:val="0"/>
        </w:rPr>
      </w:pPr>
      <w:bookmarkStart w:id="38" w:name="_Toc404159033"/>
      <w:bookmarkStart w:id="39" w:name="_Toc435024422"/>
      <w:r>
        <w:rPr>
          <w:rStyle w:val="CharSectno"/>
        </w:rPr>
        <w:t>27</w:t>
      </w:r>
      <w:r>
        <w:rPr>
          <w:snapToGrid w:val="0"/>
        </w:rPr>
        <w:t>.</w:t>
      </w:r>
      <w:r>
        <w:rPr>
          <w:snapToGrid w:val="0"/>
        </w:rPr>
        <w:tab/>
        <w:t>Natural persons, licensing of</w:t>
      </w:r>
      <w:bookmarkEnd w:id="38"/>
      <w:bookmarkEnd w:id="39"/>
    </w:p>
    <w:p>
      <w:pPr>
        <w:pStyle w:val="Subsection"/>
        <w:keepNext/>
        <w:rPr>
          <w:snapToGrid w:val="0"/>
        </w:rPr>
      </w:pPr>
      <w:r>
        <w:rPr>
          <w:snapToGrid w:val="0"/>
        </w:rPr>
        <w:tab/>
        <w:t>(1)</w:t>
      </w:r>
      <w:r>
        <w:rPr>
          <w:snapToGrid w:val="0"/>
        </w:rPr>
        <w:tab/>
        <w:t xml:space="preserve">Subject to this Act, a person, not being a body corporate,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 and</w:t>
      </w:r>
    </w:p>
    <w:p>
      <w:pPr>
        <w:pStyle w:val="Indenta"/>
        <w:rPr>
          <w:snapToGrid w:val="0"/>
        </w:rPr>
      </w:pPr>
      <w:r>
        <w:rPr>
          <w:snapToGrid w:val="0"/>
        </w:rPr>
        <w:tab/>
        <w:t>(b)</w:t>
      </w:r>
      <w:r>
        <w:rPr>
          <w:snapToGrid w:val="0"/>
        </w:rPr>
        <w:tab/>
        <w:t>he is a person of good character and repute and a fit and proper person to hold a licence; and</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w:t>
      </w:r>
      <w:r>
        <w:t xml:space="preserve">Schedule 1 </w:t>
      </w:r>
      <w:r>
        <w:rPr>
          <w:snapToGrid w:val="0"/>
        </w:rPr>
        <w:t>but subject to the savings and exceptions provided in this Act.</w:t>
      </w:r>
    </w:p>
    <w:p>
      <w:pPr>
        <w:pStyle w:val="Footnotesection"/>
      </w:pPr>
      <w:r>
        <w:tab/>
        <w:t>[Section 27 amended by No. 58 of 2010 s. 134; No. 23 of 2014 s. 72.]</w:t>
      </w:r>
    </w:p>
    <w:p>
      <w:pPr>
        <w:pStyle w:val="Heading5"/>
        <w:rPr>
          <w:snapToGrid w:val="0"/>
        </w:rPr>
      </w:pPr>
      <w:bookmarkStart w:id="40" w:name="_Toc404159034"/>
      <w:bookmarkStart w:id="41" w:name="_Toc435024423"/>
      <w:r>
        <w:rPr>
          <w:rStyle w:val="CharSectno"/>
        </w:rPr>
        <w:t>28</w:t>
      </w:r>
      <w:r>
        <w:rPr>
          <w:snapToGrid w:val="0"/>
        </w:rPr>
        <w:t>.</w:t>
      </w:r>
      <w:r>
        <w:rPr>
          <w:snapToGrid w:val="0"/>
        </w:rPr>
        <w:tab/>
        <w:t>Firms, licensing of</w:t>
      </w:r>
      <w:bookmarkEnd w:id="40"/>
      <w:bookmarkEnd w:id="41"/>
    </w:p>
    <w:p>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r>
        <w:tab/>
        <w:t>[Section 28 amended by No. 58 of 2010 s. 134.]</w:t>
      </w:r>
    </w:p>
    <w:p>
      <w:pPr>
        <w:pStyle w:val="Heading5"/>
        <w:rPr>
          <w:snapToGrid w:val="0"/>
        </w:rPr>
      </w:pPr>
      <w:bookmarkStart w:id="42" w:name="_Toc404159035"/>
      <w:bookmarkStart w:id="43" w:name="_Toc435024424"/>
      <w:r>
        <w:rPr>
          <w:rStyle w:val="CharSectno"/>
        </w:rPr>
        <w:t>29</w:t>
      </w:r>
      <w:r>
        <w:rPr>
          <w:snapToGrid w:val="0"/>
        </w:rPr>
        <w:t>.</w:t>
      </w:r>
      <w:r>
        <w:rPr>
          <w:snapToGrid w:val="0"/>
        </w:rPr>
        <w:tab/>
        <w:t>Bodies corporate, licensing of</w:t>
      </w:r>
      <w:bookmarkEnd w:id="42"/>
      <w:bookmarkEnd w:id="43"/>
    </w:p>
    <w:p>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that it has sufficient material and financial resources available to it to comply with the requirements of this Act; and</w:t>
      </w:r>
    </w:p>
    <w:p>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pPr>
        <w:pStyle w:val="Indenta"/>
        <w:spacing w:before="60"/>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spacing w:before="80"/>
        <w:ind w:left="890" w:hanging="890"/>
      </w:pPr>
      <w:r>
        <w:tab/>
        <w:t>[Section 29 amended by No. 58 of 2010 s. 134.]</w:t>
      </w:r>
    </w:p>
    <w:p>
      <w:pPr>
        <w:pStyle w:val="Heading5"/>
        <w:spacing w:before="180"/>
        <w:rPr>
          <w:snapToGrid w:val="0"/>
        </w:rPr>
      </w:pPr>
      <w:bookmarkStart w:id="44" w:name="_Toc404159036"/>
      <w:bookmarkStart w:id="45" w:name="_Toc435024425"/>
      <w:r>
        <w:rPr>
          <w:rStyle w:val="CharSectno"/>
        </w:rPr>
        <w:t>30</w:t>
      </w:r>
      <w:r>
        <w:rPr>
          <w:snapToGrid w:val="0"/>
        </w:rPr>
        <w:t>.</w:t>
      </w:r>
      <w:r>
        <w:rPr>
          <w:snapToGrid w:val="0"/>
        </w:rPr>
        <w:tab/>
        <w:t>Licence, effect of</w:t>
      </w:r>
      <w:bookmarkEnd w:id="44"/>
      <w:bookmarkEnd w:id="45"/>
    </w:p>
    <w:p>
      <w:pPr>
        <w:pStyle w:val="Subsection"/>
        <w:spacing w:before="130"/>
        <w:rPr>
          <w:snapToGrid w:val="0"/>
        </w:rPr>
      </w:pPr>
      <w:r>
        <w:rPr>
          <w:snapToGrid w:val="0"/>
        </w:rPr>
        <w:tab/>
        <w:t>(1)</w:t>
      </w:r>
      <w:r>
        <w:rPr>
          <w:snapToGrid w:val="0"/>
        </w:rPr>
        <w:tab/>
        <w:t>Subject to this Act, a licence is continuous.</w:t>
      </w:r>
    </w:p>
    <w:p>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spacing w:before="130"/>
        <w:rPr>
          <w:snapToGrid w:val="0"/>
        </w:rPr>
      </w:pPr>
      <w:r>
        <w:rPr>
          <w:snapToGrid w:val="0"/>
        </w:rPr>
        <w:tab/>
        <w:t>(2a)</w:t>
      </w:r>
      <w:r>
        <w:rPr>
          <w:snapToGrid w:val="0"/>
        </w:rPr>
        <w:tab/>
        <w:t>A licensee ceases to be licensed if the licensee —</w:t>
      </w:r>
    </w:p>
    <w:p>
      <w:pPr>
        <w:pStyle w:val="Indenta"/>
        <w:spacing w:before="60"/>
        <w:rPr>
          <w:snapToGrid w:val="0"/>
        </w:rPr>
      </w:pPr>
      <w:r>
        <w:rPr>
          <w:snapToGrid w:val="0"/>
        </w:rPr>
        <w:tab/>
        <w:t>(a)</w:t>
      </w:r>
      <w:r>
        <w:rPr>
          <w:snapToGrid w:val="0"/>
        </w:rPr>
        <w:tab/>
        <w:t>does not hold a current triennial certificate in respect of the licence; and</w:t>
      </w:r>
    </w:p>
    <w:p>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Subsection"/>
        <w:spacing w:before="130"/>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spacing w:before="130"/>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spacing w:before="80"/>
        <w:ind w:left="890" w:hanging="890"/>
      </w:pPr>
      <w:r>
        <w:tab/>
        <w:t>[Section 30 amended by No. 74 of 1980 s. 5; No. 56 of 1995 s. 40; No. 55 of 2004 s. 1006; No. 58 of 2010 s. 134.]</w:t>
      </w:r>
    </w:p>
    <w:p>
      <w:pPr>
        <w:pStyle w:val="Heading5"/>
        <w:rPr>
          <w:snapToGrid w:val="0"/>
        </w:rPr>
      </w:pPr>
      <w:bookmarkStart w:id="46" w:name="_Toc404159037"/>
      <w:bookmarkStart w:id="47" w:name="_Toc435024426"/>
      <w:r>
        <w:rPr>
          <w:rStyle w:val="CharSectno"/>
        </w:rPr>
        <w:t>31</w:t>
      </w:r>
      <w:r>
        <w:rPr>
          <w:snapToGrid w:val="0"/>
        </w:rPr>
        <w:t>.</w:t>
      </w:r>
      <w:r>
        <w:rPr>
          <w:snapToGrid w:val="0"/>
        </w:rPr>
        <w:tab/>
        <w:t>Triennial certificates, grant and renewal of</w:t>
      </w:r>
      <w:bookmarkEnd w:id="46"/>
      <w:bookmarkEnd w:id="47"/>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w:t>
      </w:r>
      <w:r>
        <w:t>Commissioner</w:t>
      </w:r>
      <w:r>
        <w:rPr>
          <w:snapToGrid w:val="0"/>
        </w:rPr>
        <w:t xml:space="preserve"> may refuse to renew a licensee’s triennial certificate if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 No. 58 of 2010 s. 134.]</w:t>
      </w:r>
    </w:p>
    <w:p>
      <w:pPr>
        <w:pStyle w:val="Heading5"/>
        <w:rPr>
          <w:snapToGrid w:val="0"/>
        </w:rPr>
      </w:pPr>
      <w:bookmarkStart w:id="48" w:name="_Toc404159038"/>
      <w:bookmarkStart w:id="49" w:name="_Toc435024427"/>
      <w:r>
        <w:rPr>
          <w:rStyle w:val="CharSectno"/>
        </w:rPr>
        <w:t>32</w:t>
      </w:r>
      <w:r>
        <w:rPr>
          <w:snapToGrid w:val="0"/>
        </w:rPr>
        <w:t>.</w:t>
      </w:r>
      <w:r>
        <w:rPr>
          <w:snapToGrid w:val="0"/>
        </w:rPr>
        <w:tab/>
        <w:t>Triennial certificates, late renewal of</w:t>
      </w:r>
      <w:bookmarkEnd w:id="48"/>
      <w:bookmarkEnd w:id="49"/>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 xml:space="preserve">Where a triennial certificate is renewed more than one month but not more than 12 months after the day on which the triennial certificate expired and the licensee satisfies the </w:t>
      </w:r>
      <w:r>
        <w:t>Commissioner</w:t>
      </w:r>
      <w:r>
        <w:rPr>
          <w:snapToGrid w:val="0"/>
        </w:rPr>
        <w:t xml:space="preserve"> that there is reasonable cause for the renewal to be deemed to take effect for the period of 3 years on and from the day next succeeding the day on which the triennial certificate expired, the </w:t>
      </w:r>
      <w:r>
        <w:t>Commissioner</w:t>
      </w:r>
      <w:r>
        <w:rPr>
          <w:snapToGrid w:val="0"/>
        </w:rPr>
        <w:t xml:space="preserve"> shall so determine and the renewal shall take effect accordingly.</w:t>
      </w:r>
    </w:p>
    <w:p>
      <w:pPr>
        <w:pStyle w:val="Footnotesection"/>
      </w:pPr>
      <w:r>
        <w:tab/>
        <w:t>[Section 32 amended by No. 58 of 2010 s. 134.]</w:t>
      </w:r>
    </w:p>
    <w:p>
      <w:pPr>
        <w:pStyle w:val="Heading5"/>
        <w:rPr>
          <w:snapToGrid w:val="0"/>
        </w:rPr>
      </w:pPr>
      <w:bookmarkStart w:id="50" w:name="_Toc404159039"/>
      <w:bookmarkStart w:id="51" w:name="_Toc435024428"/>
      <w:r>
        <w:rPr>
          <w:rStyle w:val="CharSectno"/>
        </w:rPr>
        <w:t>33</w:t>
      </w:r>
      <w:r>
        <w:rPr>
          <w:snapToGrid w:val="0"/>
        </w:rPr>
        <w:t>.</w:t>
      </w:r>
      <w:r>
        <w:rPr>
          <w:snapToGrid w:val="0"/>
        </w:rPr>
        <w:tab/>
        <w:t>Triennial certificates expired for over a year, applications to renew</w:t>
      </w:r>
      <w:bookmarkEnd w:id="50"/>
      <w:bookmarkEnd w:id="51"/>
    </w:p>
    <w:p>
      <w:pPr>
        <w:pStyle w:val="Subsection"/>
        <w:rPr>
          <w:snapToGrid w:val="0"/>
        </w:rPr>
      </w:pPr>
      <w:r>
        <w:rPr>
          <w:snapToGrid w:val="0"/>
        </w:rPr>
        <w:tab/>
        <w:t>(1)</w:t>
      </w:r>
      <w:r>
        <w:rPr>
          <w:snapToGrid w:val="0"/>
        </w:rPr>
        <w:tab/>
        <w:t xml:space="preserve">Where a triennial certificate expires and is not renewed within the period of 12 months thereafter an application for a renewal shall be made at least one month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(2)</w:t>
      </w:r>
      <w:r>
        <w:rPr>
          <w:snapToGrid w:val="0"/>
        </w:rPr>
        <w:tab/>
        <w:t xml:space="preserve">The application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33 amended by No. 58 of 2010 s. 93 and 134.]</w:t>
      </w:r>
    </w:p>
    <w:p>
      <w:pPr>
        <w:pStyle w:val="Heading5"/>
        <w:rPr>
          <w:snapToGrid w:val="0"/>
        </w:rPr>
      </w:pPr>
      <w:bookmarkStart w:id="52" w:name="_Toc404159040"/>
      <w:bookmarkStart w:id="53" w:name="_Toc435024429"/>
      <w:r>
        <w:rPr>
          <w:rStyle w:val="CharSectno"/>
        </w:rPr>
        <w:t>34</w:t>
      </w:r>
      <w:r>
        <w:rPr>
          <w:snapToGrid w:val="0"/>
        </w:rPr>
        <w:t>.</w:t>
      </w:r>
      <w:r>
        <w:rPr>
          <w:snapToGrid w:val="0"/>
        </w:rPr>
        <w:tab/>
        <w:t>Conditions on licences and triennial certificates</w:t>
      </w:r>
      <w:bookmarkEnd w:id="52"/>
      <w:bookmarkEnd w:id="53"/>
    </w:p>
    <w:p>
      <w:pPr>
        <w:pStyle w:val="Subsection"/>
        <w:rPr>
          <w:snapToGrid w:val="0"/>
        </w:rPr>
      </w:pPr>
      <w:r>
        <w:rPr>
          <w:snapToGrid w:val="0"/>
        </w:rPr>
        <w:tab/>
        <w:t>(1)</w:t>
      </w:r>
      <w:r>
        <w:rPr>
          <w:snapToGrid w:val="0"/>
        </w:rPr>
        <w:tab/>
        <w:t>A licensee shall comply with the provisions of this Act and the agents code of conduct.</w:t>
      </w:r>
    </w:p>
    <w:p>
      <w:pPr>
        <w:pStyle w:val="Subsection"/>
        <w:rPr>
          <w:snapToGrid w:val="0"/>
        </w:rPr>
      </w:pPr>
      <w:r>
        <w:rPr>
          <w:snapToGrid w:val="0"/>
        </w:rPr>
        <w:tab/>
        <w:t>(2)</w:t>
      </w:r>
      <w:r>
        <w:rPr>
          <w:snapToGrid w:val="0"/>
        </w:rPr>
        <w:tab/>
        <w:t xml:space="preserve">The </w:t>
      </w:r>
      <w:r>
        <w:t>Commissioner</w:t>
      </w:r>
      <w:r>
        <w:rPr>
          <w:snapToGrid w:val="0"/>
        </w:rPr>
        <w:t xml:space="preserve"> may grant a licence or grant or renew a triennial certificate subject to such special conditions as the </w:t>
      </w:r>
      <w:r>
        <w:t>Commissioner</w:t>
      </w:r>
      <w:r>
        <w:rPr>
          <w:snapToGrid w:val="0"/>
        </w:rPr>
        <w:t xml:space="preserve"> thinks fit.</w:t>
      </w:r>
    </w:p>
    <w:p>
      <w:pPr>
        <w:pStyle w:val="Subsection"/>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[Section 34 amended by No. 56 of 1995 s. 41; No. 34 of 1998 s. 11; No. 58 of 2010 s. 134.]</w:t>
      </w:r>
    </w:p>
    <w:p>
      <w:pPr>
        <w:pStyle w:val="Heading5"/>
      </w:pPr>
      <w:bookmarkStart w:id="54" w:name="_Toc404159041"/>
      <w:bookmarkStart w:id="55" w:name="_Toc435024430"/>
      <w:r>
        <w:rPr>
          <w:rStyle w:val="CharSectno"/>
        </w:rPr>
        <w:t>34A</w:t>
      </w:r>
      <w:r>
        <w:rPr>
          <w:snapToGrid w:val="0"/>
        </w:rPr>
        <w:t>.</w:t>
      </w:r>
      <w:r>
        <w:tab/>
        <w:t>Commissioner may grant licence or triennial certificate without notice to applicant</w:t>
      </w:r>
      <w:bookmarkEnd w:id="54"/>
      <w:bookmarkEnd w:id="55"/>
    </w:p>
    <w:p>
      <w:pPr>
        <w:pStyle w:val="Subsection"/>
      </w:pPr>
      <w:r>
        <w:tab/>
        <w:t>(1)</w:t>
      </w:r>
      <w:r>
        <w:tab/>
        <w:t>Subject to this Part, a licence may be granted and a triennial certificate may be granted or renewed (as long as special conditions are not imposed or changed), by the 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Footnotesection"/>
      </w:pPr>
      <w:r>
        <w:tab/>
        <w:t>[Section 34A inserted by No. 55 of 2004 s. 1008; amended by No. 58 of 2010 s. 94 and 134; No. 23 of 2014 s. 73.]</w:t>
      </w:r>
    </w:p>
    <w:p>
      <w:pPr>
        <w:pStyle w:val="Heading5"/>
      </w:pPr>
      <w:bookmarkStart w:id="56" w:name="_Toc404159042"/>
      <w:bookmarkStart w:id="57" w:name="_Toc435024431"/>
      <w:r>
        <w:rPr>
          <w:rStyle w:val="CharSectno"/>
        </w:rPr>
        <w:t>34B</w:t>
      </w:r>
      <w:r>
        <w:t>.</w:t>
      </w:r>
      <w:r>
        <w:tab/>
        <w:t>SAT may suspend licence in some cases</w:t>
      </w:r>
      <w:bookmarkEnd w:id="56"/>
      <w:bookmarkEnd w:id="57"/>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58" w:name="_Toc404159043"/>
      <w:bookmarkStart w:id="59" w:name="_Toc435024432"/>
      <w:r>
        <w:rPr>
          <w:rStyle w:val="CharSectno"/>
        </w:rPr>
        <w:t>35</w:t>
      </w:r>
      <w:r>
        <w:rPr>
          <w:snapToGrid w:val="0"/>
        </w:rPr>
        <w:t>.</w:t>
      </w:r>
      <w:r>
        <w:rPr>
          <w:snapToGrid w:val="0"/>
        </w:rPr>
        <w:tab/>
      </w:r>
      <w:r>
        <w:t>Licensee to notify Commissioner when commencing or ceasing business</w:t>
      </w:r>
      <w:bookmarkEnd w:id="58"/>
      <w:bookmarkEnd w:id="59"/>
    </w:p>
    <w:p>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pPr>
        <w:pStyle w:val="Footnotesection"/>
      </w:pPr>
      <w:r>
        <w:tab/>
        <w:t>[Section 35 amended by No. 58 of 2010 s. 134.]</w:t>
      </w:r>
    </w:p>
    <w:p>
      <w:pPr>
        <w:pStyle w:val="Heading5"/>
        <w:rPr>
          <w:snapToGrid w:val="0"/>
        </w:rPr>
      </w:pPr>
      <w:bookmarkStart w:id="60" w:name="_Toc404159044"/>
      <w:bookmarkStart w:id="61" w:name="_Toc435024433"/>
      <w:r>
        <w:rPr>
          <w:rStyle w:val="CharSectno"/>
        </w:rPr>
        <w:t>36</w:t>
      </w:r>
      <w:r>
        <w:rPr>
          <w:snapToGrid w:val="0"/>
        </w:rPr>
        <w:t>.</w:t>
      </w:r>
      <w:r>
        <w:rPr>
          <w:snapToGrid w:val="0"/>
        </w:rPr>
        <w:tab/>
        <w:t>Registered office of licensee</w:t>
      </w:r>
      <w:bookmarkEnd w:id="60"/>
      <w:bookmarkEnd w:id="61"/>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r>
        <w:tab/>
        <w:t>[Section 36 amended by No. 43 of 1994 s. 11; No. 58 of 2010 s. 134.]</w:t>
      </w:r>
    </w:p>
    <w:p>
      <w:pPr>
        <w:pStyle w:val="Heading5"/>
        <w:rPr>
          <w:snapToGrid w:val="0"/>
        </w:rPr>
      </w:pPr>
      <w:bookmarkStart w:id="62" w:name="_Toc404159045"/>
      <w:bookmarkStart w:id="63" w:name="_Toc435024434"/>
      <w:r>
        <w:rPr>
          <w:rStyle w:val="CharSectno"/>
        </w:rPr>
        <w:t>37</w:t>
      </w:r>
      <w:r>
        <w:rPr>
          <w:snapToGrid w:val="0"/>
        </w:rPr>
        <w:t>.</w:t>
      </w:r>
      <w:r>
        <w:rPr>
          <w:snapToGrid w:val="0"/>
        </w:rPr>
        <w:tab/>
        <w:t>Branch office of licensee</w:t>
      </w:r>
      <w:bookmarkEnd w:id="62"/>
      <w:bookmarkEnd w:id="63"/>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[Section 37 amended by No. 43 of 1994 s. 11; No. 58 of 2010 s. 134.]</w:t>
      </w:r>
    </w:p>
    <w:p>
      <w:pPr>
        <w:pStyle w:val="Heading5"/>
        <w:rPr>
          <w:snapToGrid w:val="0"/>
        </w:rPr>
      </w:pPr>
      <w:bookmarkStart w:id="64" w:name="_Toc404159046"/>
      <w:bookmarkStart w:id="65" w:name="_Toc435024435"/>
      <w:r>
        <w:rPr>
          <w:rStyle w:val="CharSectno"/>
        </w:rPr>
        <w:t>38</w:t>
      </w:r>
      <w:r>
        <w:rPr>
          <w:snapToGrid w:val="0"/>
        </w:rPr>
        <w:t>.</w:t>
      </w:r>
      <w:r>
        <w:rPr>
          <w:snapToGrid w:val="0"/>
        </w:rPr>
        <w:tab/>
        <w:t>Triennial certificates, contents of</w:t>
      </w:r>
      <w:bookmarkEnd w:id="64"/>
      <w:bookmarkEnd w:id="65"/>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66" w:name="_Toc404159047"/>
      <w:bookmarkStart w:id="67" w:name="_Toc435024436"/>
      <w:r>
        <w:rPr>
          <w:rStyle w:val="CharSectno"/>
        </w:rPr>
        <w:t>39</w:t>
      </w:r>
      <w:r>
        <w:rPr>
          <w:snapToGrid w:val="0"/>
        </w:rPr>
        <w:t>.</w:t>
      </w:r>
      <w:r>
        <w:rPr>
          <w:snapToGrid w:val="0"/>
        </w:rPr>
        <w:tab/>
        <w:t>Licence and triennial certificate not transferable etc.</w:t>
      </w:r>
      <w:bookmarkEnd w:id="66"/>
      <w:bookmarkEnd w:id="67"/>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[Section 39 amended by No. 43 of 1994 s. 11.]</w:t>
      </w:r>
    </w:p>
    <w:p>
      <w:pPr>
        <w:pStyle w:val="Heading5"/>
      </w:pPr>
      <w:bookmarkStart w:id="68" w:name="_Toc404159048"/>
      <w:bookmarkStart w:id="69" w:name="_Toc435024437"/>
      <w:r>
        <w:rPr>
          <w:rStyle w:val="CharSectno"/>
        </w:rPr>
        <w:t>40A</w:t>
      </w:r>
      <w:r>
        <w:t>.</w:t>
      </w:r>
      <w:r>
        <w:tab/>
        <w:t>Duplicate licence, certificate of registration or triennial certificate</w:t>
      </w:r>
      <w:bookmarkEnd w:id="68"/>
      <w:bookmarkEnd w:id="69"/>
    </w:p>
    <w:p>
      <w:pPr>
        <w:pStyle w:val="Subsection"/>
      </w:pPr>
      <w:r>
        <w:tab/>
      </w:r>
      <w:r>
        <w:tab/>
        <w:t>If a licence, certificate of registration or triennial certificate has been lost or destroyed, the Commissioner may issue a duplicate licence, duplicate certificate of registration or duplicate triennial certificate on payment by the holder of the prescribed fee.</w:t>
      </w:r>
    </w:p>
    <w:p>
      <w:pPr>
        <w:pStyle w:val="Footnotesection"/>
      </w:pPr>
      <w:r>
        <w:tab/>
        <w:t>[Section 40A inserted by No. 23 of 2014 s. 74.]</w:t>
      </w:r>
    </w:p>
    <w:p>
      <w:pPr>
        <w:pStyle w:val="Heading5"/>
        <w:rPr>
          <w:snapToGrid w:val="0"/>
        </w:rPr>
      </w:pPr>
      <w:bookmarkStart w:id="70" w:name="_Toc404159049"/>
      <w:bookmarkStart w:id="71" w:name="_Toc435024438"/>
      <w:r>
        <w:rPr>
          <w:rStyle w:val="CharSectno"/>
        </w:rPr>
        <w:t>40</w:t>
      </w:r>
      <w:r>
        <w:rPr>
          <w:snapToGrid w:val="0"/>
        </w:rPr>
        <w:t>.</w:t>
      </w:r>
      <w:r>
        <w:rPr>
          <w:snapToGrid w:val="0"/>
        </w:rPr>
        <w:tab/>
        <w:t>Business names, use of by licensees</w:t>
      </w:r>
      <w:bookmarkEnd w:id="70"/>
      <w:bookmarkEnd w:id="71"/>
    </w:p>
    <w:p>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[Section 40 amended by No. 43 of 1994 s. 11; No. 58 of 2010 s. 134.]</w:t>
      </w:r>
    </w:p>
    <w:p>
      <w:pPr>
        <w:pStyle w:val="Heading5"/>
        <w:rPr>
          <w:snapToGrid w:val="0"/>
        </w:rPr>
      </w:pPr>
      <w:bookmarkStart w:id="72" w:name="_Toc404159050"/>
      <w:bookmarkStart w:id="73" w:name="_Toc435024439"/>
      <w:r>
        <w:rPr>
          <w:rStyle w:val="CharSectno"/>
        </w:rPr>
        <w:t>41</w:t>
      </w:r>
      <w:r>
        <w:rPr>
          <w:snapToGrid w:val="0"/>
        </w:rPr>
        <w:t>.</w:t>
      </w:r>
      <w:r>
        <w:rPr>
          <w:snapToGrid w:val="0"/>
        </w:rPr>
        <w:tab/>
        <w:t>Notices to be exhibited at offices; particulars to appear on documents</w:t>
      </w:r>
      <w:bookmarkEnd w:id="72"/>
      <w:bookmarkEnd w:id="73"/>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74" w:name="_Toc404159051"/>
      <w:bookmarkStart w:id="75" w:name="_Toc424293077"/>
      <w:bookmarkStart w:id="76" w:name="_Toc435024440"/>
      <w:r>
        <w:rPr>
          <w:rStyle w:val="CharPartNo"/>
        </w:rPr>
        <w:t>Part IV</w:t>
      </w:r>
      <w:r>
        <w:rPr>
          <w:rStyle w:val="CharDivNo"/>
        </w:rPr>
        <w:t> </w:t>
      </w:r>
      <w:r>
        <w:t>—</w:t>
      </w:r>
      <w:r>
        <w:rPr>
          <w:rStyle w:val="CharDivText"/>
        </w:rPr>
        <w:t> </w:t>
      </w:r>
      <w:r>
        <w:rPr>
          <w:rStyle w:val="CharPartText"/>
        </w:rPr>
        <w:t>Registration of sales representatives</w:t>
      </w:r>
      <w:bookmarkEnd w:id="74"/>
      <w:bookmarkEnd w:id="75"/>
      <w:bookmarkEnd w:id="76"/>
    </w:p>
    <w:p>
      <w:pPr>
        <w:pStyle w:val="Heading5"/>
        <w:rPr>
          <w:snapToGrid w:val="0"/>
        </w:rPr>
      </w:pPr>
      <w:bookmarkStart w:id="77" w:name="_Toc404159052"/>
      <w:bookmarkStart w:id="78" w:name="_Toc435024441"/>
      <w:r>
        <w:rPr>
          <w:rStyle w:val="CharSectno"/>
        </w:rPr>
        <w:t>42</w:t>
      </w:r>
      <w:r>
        <w:rPr>
          <w:snapToGrid w:val="0"/>
        </w:rPr>
        <w:t>.</w:t>
      </w:r>
      <w:r>
        <w:rPr>
          <w:snapToGrid w:val="0"/>
        </w:rPr>
        <w:tab/>
        <w:t>Natural persons only may be registered</w:t>
      </w:r>
      <w:bookmarkEnd w:id="77"/>
      <w:bookmarkEnd w:id="78"/>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79" w:name="_Toc404159053"/>
      <w:bookmarkStart w:id="80" w:name="_Toc435024442"/>
      <w:r>
        <w:rPr>
          <w:rStyle w:val="CharSectno"/>
        </w:rPr>
        <w:t>43</w:t>
      </w:r>
      <w:r>
        <w:rPr>
          <w:snapToGrid w:val="0"/>
        </w:rPr>
        <w:t>.</w:t>
      </w:r>
      <w:r>
        <w:rPr>
          <w:snapToGrid w:val="0"/>
        </w:rPr>
        <w:tab/>
        <w:t>Applications for registration</w:t>
      </w:r>
      <w:bookmarkEnd w:id="79"/>
      <w:bookmarkEnd w:id="80"/>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(4)</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43 amended by No. 58 of 2010 s. 95 and 134.]</w:t>
      </w:r>
    </w:p>
    <w:p>
      <w:pPr>
        <w:pStyle w:val="Heading5"/>
        <w:rPr>
          <w:snapToGrid w:val="0"/>
        </w:rPr>
      </w:pPr>
      <w:bookmarkStart w:id="81" w:name="_Toc404159054"/>
      <w:bookmarkStart w:id="82" w:name="_Toc435024443"/>
      <w:r>
        <w:rPr>
          <w:rStyle w:val="CharSectno"/>
        </w:rPr>
        <w:t>44</w:t>
      </w:r>
      <w:r>
        <w:rPr>
          <w:snapToGrid w:val="0"/>
        </w:rPr>
        <w:t>.</w:t>
      </w:r>
      <w:r>
        <w:rPr>
          <w:snapToGrid w:val="0"/>
        </w:rPr>
        <w:tab/>
        <w:t>Real estate sales representatives must be registered etc.</w:t>
      </w:r>
      <w:bookmarkEnd w:id="81"/>
      <w:bookmarkEnd w:id="82"/>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[Section 44 amended by No. 43 of 1994 s. 11.]</w:t>
      </w:r>
    </w:p>
    <w:p>
      <w:pPr>
        <w:pStyle w:val="Heading5"/>
        <w:rPr>
          <w:snapToGrid w:val="0"/>
        </w:rPr>
      </w:pPr>
      <w:bookmarkStart w:id="83" w:name="_Toc404159055"/>
      <w:bookmarkStart w:id="84" w:name="_Toc435024444"/>
      <w:r>
        <w:rPr>
          <w:rStyle w:val="CharSectno"/>
        </w:rPr>
        <w:t>45</w:t>
      </w:r>
      <w:r>
        <w:rPr>
          <w:snapToGrid w:val="0"/>
        </w:rPr>
        <w:t>.</w:t>
      </w:r>
      <w:r>
        <w:rPr>
          <w:snapToGrid w:val="0"/>
        </w:rPr>
        <w:tab/>
        <w:t>Business sales representatives must be registered etc.</w:t>
      </w:r>
      <w:bookmarkEnd w:id="83"/>
      <w:bookmarkEnd w:id="84"/>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spacing w:before="180"/>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[Section 45 amended by No. 43 of 1994 s. 11.]</w:t>
      </w:r>
    </w:p>
    <w:p>
      <w:pPr>
        <w:pStyle w:val="Heading5"/>
        <w:spacing w:before="260"/>
        <w:rPr>
          <w:snapToGrid w:val="0"/>
        </w:rPr>
      </w:pPr>
      <w:bookmarkStart w:id="85" w:name="_Toc404159056"/>
      <w:bookmarkStart w:id="86" w:name="_Toc435024445"/>
      <w:r>
        <w:rPr>
          <w:rStyle w:val="CharSectno"/>
        </w:rPr>
        <w:t>46</w:t>
      </w:r>
      <w:r>
        <w:rPr>
          <w:snapToGrid w:val="0"/>
        </w:rPr>
        <w:t>.</w:t>
      </w:r>
      <w:r>
        <w:rPr>
          <w:snapToGrid w:val="0"/>
        </w:rPr>
        <w:tab/>
        <w:t>Partners and directors of licensees to be registered in certain cases</w:t>
      </w:r>
      <w:bookmarkEnd w:id="85"/>
      <w:bookmarkEnd w:id="86"/>
    </w:p>
    <w:p>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[Section 46 amended by No. 43 of 1994 s. 11.]</w:t>
      </w:r>
    </w:p>
    <w:p>
      <w:pPr>
        <w:pStyle w:val="Heading5"/>
        <w:spacing w:before="260"/>
        <w:rPr>
          <w:snapToGrid w:val="0"/>
        </w:rPr>
      </w:pPr>
      <w:bookmarkStart w:id="87" w:name="_Toc404159057"/>
      <w:bookmarkStart w:id="88" w:name="_Toc435024446"/>
      <w:r>
        <w:rPr>
          <w:rStyle w:val="CharSectno"/>
        </w:rPr>
        <w:t>47</w:t>
      </w:r>
      <w:r>
        <w:rPr>
          <w:snapToGrid w:val="0"/>
        </w:rPr>
        <w:t>.</w:t>
      </w:r>
      <w:r>
        <w:rPr>
          <w:snapToGrid w:val="0"/>
        </w:rPr>
        <w:tab/>
        <w:t>Natural persons, grant of certificate of registration to</w:t>
      </w:r>
      <w:bookmarkEnd w:id="87"/>
      <w:bookmarkEnd w:id="88"/>
    </w:p>
    <w:p>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the prescribed fee for that certificate shall be granted and may hold a certificate of registration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pPr>
      <w:r>
        <w:tab/>
        <w:t>[Section 47 amended by No. 58 of 2010 s. 134.]</w:t>
      </w:r>
    </w:p>
    <w:p>
      <w:pPr>
        <w:pStyle w:val="Heading5"/>
        <w:rPr>
          <w:snapToGrid w:val="0"/>
        </w:rPr>
      </w:pPr>
      <w:bookmarkStart w:id="89" w:name="_Toc404159058"/>
      <w:bookmarkStart w:id="90" w:name="_Toc435024447"/>
      <w:r>
        <w:rPr>
          <w:rStyle w:val="CharSectno"/>
        </w:rPr>
        <w:t>48</w:t>
      </w:r>
      <w:r>
        <w:rPr>
          <w:snapToGrid w:val="0"/>
        </w:rPr>
        <w:t>.</w:t>
      </w:r>
      <w:r>
        <w:rPr>
          <w:snapToGrid w:val="0"/>
        </w:rPr>
        <w:tab/>
        <w:t>Certificates of registration, duration and renewal of</w:t>
      </w:r>
      <w:bookmarkEnd w:id="89"/>
      <w:bookmarkEnd w:id="90"/>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 xml:space="preserve">The </w:t>
      </w:r>
      <w:r>
        <w:t>Commissioner</w:t>
      </w:r>
      <w:r>
        <w:rPr>
          <w:snapToGrid w:val="0"/>
        </w:rPr>
        <w:t xml:space="preserve"> shall not renew a certificate of registration unless the </w:t>
      </w:r>
      <w:r>
        <w:t>Commissioner</w:t>
      </w:r>
      <w:r>
        <w:rPr>
          <w:snapToGrid w:val="0"/>
        </w:rPr>
        <w:t xml:space="preserve"> is satisfied that the sales representative was employed by a licensee at the time of making the application or will be employed by a licensee upon the renewal of the certificate.</w:t>
      </w:r>
    </w:p>
    <w:p>
      <w:pPr>
        <w:pStyle w:val="Subsection"/>
        <w:keepNext/>
        <w:keepLines/>
        <w:rPr>
          <w:snapToGrid w:val="0"/>
        </w:rPr>
      </w:pPr>
      <w:r>
        <w:rPr>
          <w:snapToGrid w:val="0"/>
        </w:rPr>
        <w:tab/>
        <w:t>(5)</w:t>
      </w:r>
      <w:r>
        <w:rPr>
          <w:snapToGrid w:val="0"/>
        </w:rPr>
        <w:tab/>
        <w:t xml:space="preserve">The </w:t>
      </w:r>
      <w:r>
        <w:t>Commissioner</w:t>
      </w:r>
      <w:r>
        <w:rPr>
          <w:snapToGrid w:val="0"/>
        </w:rPr>
        <w:t xml:space="preserve"> may refuse to renew a sales representative’s certificate of registration if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[Section 48 amended by No. 56 of 1995 s. 42; No. 34 of 1998 s. 12; No. 55 of 2004 s. 1009; No. 58 of 2010 s. 134.]</w:t>
      </w:r>
    </w:p>
    <w:p>
      <w:pPr>
        <w:pStyle w:val="Heading5"/>
        <w:rPr>
          <w:snapToGrid w:val="0"/>
        </w:rPr>
      </w:pPr>
      <w:bookmarkStart w:id="91" w:name="_Toc404159059"/>
      <w:bookmarkStart w:id="92" w:name="_Toc435024448"/>
      <w:r>
        <w:rPr>
          <w:rStyle w:val="CharSectno"/>
        </w:rPr>
        <w:t>49</w:t>
      </w:r>
      <w:r>
        <w:rPr>
          <w:snapToGrid w:val="0"/>
        </w:rPr>
        <w:t>.</w:t>
      </w:r>
      <w:r>
        <w:rPr>
          <w:snapToGrid w:val="0"/>
        </w:rPr>
        <w:tab/>
        <w:t>Certificates of registration, late renewal of</w:t>
      </w:r>
      <w:bookmarkEnd w:id="91"/>
      <w:bookmarkEnd w:id="92"/>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determines by statutory declaration.</w:t>
      </w:r>
    </w:p>
    <w:p>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49 amended by No. 56 of 1995 s. 43; No. 58 of 2010 s. 96 and 134.]</w:t>
      </w:r>
    </w:p>
    <w:p>
      <w:pPr>
        <w:pStyle w:val="Heading5"/>
        <w:rPr>
          <w:snapToGrid w:val="0"/>
        </w:rPr>
      </w:pPr>
      <w:bookmarkStart w:id="93" w:name="_Toc404159060"/>
      <w:bookmarkStart w:id="94" w:name="_Toc435024449"/>
      <w:r>
        <w:rPr>
          <w:rStyle w:val="CharSectno"/>
        </w:rPr>
        <w:t>50</w:t>
      </w:r>
      <w:r>
        <w:rPr>
          <w:snapToGrid w:val="0"/>
        </w:rPr>
        <w:t>.</w:t>
      </w:r>
      <w:r>
        <w:rPr>
          <w:snapToGrid w:val="0"/>
        </w:rPr>
        <w:tab/>
        <w:t>Duties of registered persons; Commissioner may impose special conditions on certificates of registration</w:t>
      </w:r>
      <w:bookmarkEnd w:id="93"/>
      <w:bookmarkEnd w:id="94"/>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 xml:space="preserve">The </w:t>
      </w:r>
      <w:r>
        <w:t>Commissioner</w:t>
      </w:r>
      <w:r>
        <w:rPr>
          <w:snapToGrid w:val="0"/>
        </w:rPr>
        <w:t xml:space="preserve"> may grant a certificate of registration or a renewal thereof subject to such special conditions as the </w:t>
      </w:r>
      <w:r>
        <w:t>Commissioner</w:t>
      </w:r>
      <w:r>
        <w:rPr>
          <w:snapToGrid w:val="0"/>
        </w:rPr>
        <w:t xml:space="preserve">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[Section 50 amended by No. 56 of 1995 s. 44; No. 34 of 1998 s. 13; No. 58 of 2010 s. 134.]</w:t>
      </w:r>
    </w:p>
    <w:p>
      <w:pPr>
        <w:pStyle w:val="Heading5"/>
      </w:pPr>
      <w:bookmarkStart w:id="95" w:name="_Toc404159061"/>
      <w:bookmarkStart w:id="96" w:name="_Toc435024450"/>
      <w:r>
        <w:rPr>
          <w:rStyle w:val="CharSectno"/>
        </w:rPr>
        <w:t>50A</w:t>
      </w:r>
      <w:r>
        <w:rPr>
          <w:snapToGrid w:val="0"/>
        </w:rPr>
        <w:t>.</w:t>
      </w:r>
      <w:r>
        <w:tab/>
        <w:t>Unopposed applications</w:t>
      </w:r>
      <w:bookmarkEnd w:id="95"/>
      <w:bookmarkEnd w:id="96"/>
    </w:p>
    <w:p>
      <w:pPr>
        <w:pStyle w:val="Subsection"/>
      </w:pPr>
      <w:r>
        <w:tab/>
        <w:t>(1)</w:t>
      </w:r>
      <w:r>
        <w:tab/>
        <w:t>Subject to this Part, a certificate of registration may be granted or renewed (as long as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pPr>
        <w:pStyle w:val="Footnotesection"/>
        <w:keepLines w:val="0"/>
        <w:spacing w:before="100"/>
        <w:ind w:left="890" w:hanging="890"/>
      </w:pPr>
      <w:r>
        <w:tab/>
        <w:t>[Section 50A inserted by No. 55 of 2004 s. 1010; amended by No. 58 of 2010 s. 97 and 134.]</w:t>
      </w:r>
    </w:p>
    <w:p>
      <w:pPr>
        <w:pStyle w:val="Heading5"/>
      </w:pPr>
      <w:bookmarkStart w:id="97" w:name="_Toc404159062"/>
      <w:bookmarkStart w:id="98" w:name="_Toc435024451"/>
      <w:r>
        <w:rPr>
          <w:rStyle w:val="CharSectno"/>
        </w:rPr>
        <w:t>50B</w:t>
      </w:r>
      <w:r>
        <w:t>.</w:t>
      </w:r>
      <w:r>
        <w:tab/>
        <w:t>SAT may suspend registration in some cases</w:t>
      </w:r>
      <w:bookmarkEnd w:id="97"/>
      <w:bookmarkEnd w:id="98"/>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spacing w:before="100"/>
        <w:ind w:left="890" w:hanging="890"/>
      </w:pPr>
      <w:r>
        <w:tab/>
        <w:t>[Section 50B inserted by No. 55 of 2004 s. 1010.]</w:t>
      </w:r>
    </w:p>
    <w:p>
      <w:pPr>
        <w:pStyle w:val="Heading5"/>
        <w:rPr>
          <w:snapToGrid w:val="0"/>
        </w:rPr>
      </w:pPr>
      <w:bookmarkStart w:id="99" w:name="_Toc404159063"/>
      <w:bookmarkStart w:id="100" w:name="_Toc435024452"/>
      <w:r>
        <w:rPr>
          <w:rStyle w:val="CharSectno"/>
        </w:rPr>
        <w:t>51</w:t>
      </w:r>
      <w:r>
        <w:rPr>
          <w:snapToGrid w:val="0"/>
        </w:rPr>
        <w:t>.</w:t>
      </w:r>
      <w:r>
        <w:rPr>
          <w:snapToGrid w:val="0"/>
        </w:rPr>
        <w:tab/>
      </w:r>
      <w:r>
        <w:t>Registered sales representatives to notify Commissioner of certain changes</w:t>
      </w:r>
      <w:bookmarkEnd w:id="99"/>
      <w:bookmarkEnd w:id="100"/>
    </w:p>
    <w:p>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pPr>
        <w:pStyle w:val="Footnotesection"/>
        <w:spacing w:before="100"/>
        <w:ind w:left="890" w:hanging="890"/>
      </w:pPr>
      <w:r>
        <w:tab/>
        <w:t>[Section 51 amended by No. 56 of 1995 s. 45; No. 58 of 2010 s. 134.]</w:t>
      </w:r>
    </w:p>
    <w:p>
      <w:pPr>
        <w:pStyle w:val="Heading5"/>
        <w:rPr>
          <w:snapToGrid w:val="0"/>
        </w:rPr>
      </w:pPr>
      <w:bookmarkStart w:id="101" w:name="_Toc404159064"/>
      <w:bookmarkStart w:id="102" w:name="_Toc435024453"/>
      <w:r>
        <w:rPr>
          <w:rStyle w:val="CharSectno"/>
        </w:rPr>
        <w:t>52</w:t>
      </w:r>
      <w:r>
        <w:rPr>
          <w:snapToGrid w:val="0"/>
        </w:rPr>
        <w:t>.</w:t>
      </w:r>
      <w:r>
        <w:rPr>
          <w:snapToGrid w:val="0"/>
        </w:rPr>
        <w:tab/>
        <w:t>Certificate of registration not transferable</w:t>
      </w:r>
      <w:bookmarkEnd w:id="101"/>
      <w:bookmarkEnd w:id="102"/>
    </w:p>
    <w:p>
      <w:pPr>
        <w:pStyle w:val="Subsection"/>
        <w:spacing w:before="120"/>
        <w:rPr>
          <w:snapToGrid w:val="0"/>
        </w:rPr>
      </w:pPr>
      <w:r>
        <w:rPr>
          <w:snapToGrid w:val="0"/>
        </w:rPr>
        <w:tab/>
        <w:t>(1)</w:t>
      </w:r>
      <w:r>
        <w:rPr>
          <w:snapToGrid w:val="0"/>
        </w:rPr>
        <w:tab/>
        <w:t>A certificate of registration is not transferable.</w:t>
      </w:r>
    </w:p>
    <w:p>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spacing w:before="60"/>
        <w:rPr>
          <w:snapToGrid w:val="0"/>
        </w:rPr>
      </w:pPr>
      <w:r>
        <w:rPr>
          <w:snapToGrid w:val="0"/>
        </w:rPr>
        <w:tab/>
        <w:t>Penalty: $3 000.</w:t>
      </w:r>
    </w:p>
    <w:p>
      <w:pPr>
        <w:pStyle w:val="Footnotesection"/>
        <w:spacing w:before="100"/>
        <w:ind w:left="890" w:hanging="890"/>
      </w:pPr>
      <w:r>
        <w:tab/>
        <w:t>[Section 52 amended by No. 43 of 1994 s. 11.]</w:t>
      </w:r>
    </w:p>
    <w:p>
      <w:pPr>
        <w:pStyle w:val="Heading5"/>
        <w:spacing w:before="180"/>
        <w:rPr>
          <w:snapToGrid w:val="0"/>
        </w:rPr>
      </w:pPr>
      <w:bookmarkStart w:id="103" w:name="_Toc404159065"/>
      <w:bookmarkStart w:id="104" w:name="_Toc435024454"/>
      <w:r>
        <w:rPr>
          <w:rStyle w:val="CharSectno"/>
        </w:rPr>
        <w:t>53</w:t>
      </w:r>
      <w:r>
        <w:rPr>
          <w:snapToGrid w:val="0"/>
        </w:rPr>
        <w:t>.</w:t>
      </w:r>
      <w:r>
        <w:rPr>
          <w:snapToGrid w:val="0"/>
        </w:rPr>
        <w:tab/>
        <w:t>Certificate of registration, surrender of</w:t>
      </w:r>
      <w:bookmarkEnd w:id="103"/>
      <w:bookmarkEnd w:id="104"/>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spacing w:before="120"/>
        <w:rPr>
          <w:snapToGrid w:val="0"/>
        </w:rPr>
      </w:pPr>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spacing w:before="90"/>
        <w:ind w:left="890" w:hanging="890"/>
      </w:pPr>
      <w:r>
        <w:tab/>
        <w:t>[Section 53 amended by No. 55 of 2004 s. 1011.]</w:t>
      </w:r>
    </w:p>
    <w:p>
      <w:pPr>
        <w:pStyle w:val="Heading5"/>
        <w:spacing w:before="180"/>
        <w:rPr>
          <w:snapToGrid w:val="0"/>
        </w:rPr>
      </w:pPr>
      <w:bookmarkStart w:id="105" w:name="_Toc404159066"/>
      <w:bookmarkStart w:id="106" w:name="_Toc435024455"/>
      <w:r>
        <w:rPr>
          <w:rStyle w:val="CharSectno"/>
        </w:rPr>
        <w:t>54</w:t>
      </w:r>
      <w:r>
        <w:rPr>
          <w:snapToGrid w:val="0"/>
        </w:rPr>
        <w:t>.</w:t>
      </w:r>
      <w:r>
        <w:rPr>
          <w:snapToGrid w:val="0"/>
        </w:rPr>
        <w:tab/>
        <w:t>Sales representatives, employment of</w:t>
      </w:r>
      <w:bookmarkEnd w:id="105"/>
      <w:bookmarkEnd w:id="106"/>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Footnotesection"/>
        <w:spacing w:before="90"/>
        <w:ind w:left="890" w:hanging="890"/>
      </w:pPr>
      <w:r>
        <w:tab/>
        <w:t>[Section 54 amended by No. 43 of 1994 s. 11.]</w:t>
      </w:r>
    </w:p>
    <w:p>
      <w:pPr>
        <w:pStyle w:val="Heading5"/>
        <w:rPr>
          <w:snapToGrid w:val="0"/>
        </w:rPr>
      </w:pPr>
      <w:bookmarkStart w:id="107" w:name="_Toc404159067"/>
      <w:bookmarkStart w:id="108" w:name="_Toc435024456"/>
      <w:r>
        <w:rPr>
          <w:rStyle w:val="CharSectno"/>
        </w:rPr>
        <w:t>55</w:t>
      </w:r>
      <w:r>
        <w:rPr>
          <w:snapToGrid w:val="0"/>
        </w:rPr>
        <w:t>.</w:t>
      </w:r>
      <w:r>
        <w:rPr>
          <w:snapToGrid w:val="0"/>
        </w:rPr>
        <w:tab/>
        <w:t>Sales representative to be in service of one person</w:t>
      </w:r>
      <w:bookmarkEnd w:id="107"/>
      <w:bookmarkEnd w:id="108"/>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[Section 55 amended by No. 43 of 1994 s. 11.]</w:t>
      </w:r>
    </w:p>
    <w:p>
      <w:pPr>
        <w:pStyle w:val="Heading2"/>
      </w:pPr>
      <w:bookmarkStart w:id="109" w:name="_Toc404159068"/>
      <w:bookmarkStart w:id="110" w:name="_Toc424293094"/>
      <w:bookmarkStart w:id="111" w:name="_Toc435024457"/>
      <w:r>
        <w:rPr>
          <w:rStyle w:val="CharPartNo"/>
        </w:rPr>
        <w:t>Part V</w:t>
      </w:r>
      <w:r>
        <w:rPr>
          <w:rStyle w:val="CharDivNo"/>
        </w:rPr>
        <w:t> </w:t>
      </w:r>
      <w:r>
        <w:t>—</w:t>
      </w:r>
      <w:r>
        <w:rPr>
          <w:rStyle w:val="CharDivText"/>
        </w:rPr>
        <w:t> </w:t>
      </w:r>
      <w:r>
        <w:rPr>
          <w:rStyle w:val="CharPartText"/>
        </w:rPr>
        <w:t>General controls</w:t>
      </w:r>
      <w:bookmarkEnd w:id="109"/>
      <w:bookmarkEnd w:id="110"/>
      <w:bookmarkEnd w:id="111"/>
    </w:p>
    <w:p>
      <w:pPr>
        <w:pStyle w:val="Heading5"/>
        <w:rPr>
          <w:snapToGrid w:val="0"/>
        </w:rPr>
      </w:pPr>
      <w:bookmarkStart w:id="112" w:name="_Toc404159069"/>
      <w:bookmarkStart w:id="113" w:name="_Toc435024458"/>
      <w:r>
        <w:rPr>
          <w:rStyle w:val="CharSectno"/>
        </w:rPr>
        <w:t>56</w:t>
      </w:r>
      <w:r>
        <w:rPr>
          <w:snapToGrid w:val="0"/>
        </w:rPr>
        <w:t>.</w:t>
      </w:r>
      <w:r>
        <w:rPr>
          <w:snapToGrid w:val="0"/>
        </w:rPr>
        <w:tab/>
        <w:t>Franchising agreements, licensee not to carry on business under without Commissioner’s approval</w:t>
      </w:r>
      <w:bookmarkEnd w:id="112"/>
      <w:bookmarkEnd w:id="113"/>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w:t>
      </w:r>
    </w:p>
    <w:p>
      <w:pPr>
        <w:pStyle w:val="Indenta"/>
        <w:rPr>
          <w:snapToGrid w:val="0"/>
        </w:rPr>
      </w:pPr>
      <w:r>
        <w:rPr>
          <w:snapToGrid w:val="0"/>
        </w:rPr>
        <w:tab/>
        <w:t>(a)</w:t>
      </w:r>
      <w:r>
        <w:rPr>
          <w:snapToGrid w:val="0"/>
        </w:rPr>
        <w:tab/>
        <w:t>each party to the agreement is liable to penalties imposed for failure to comply with the provisions of Part VI; and</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[Section 56 amended by No. 43 of 1994 s. 11; No. 58 of 2010 s. 134.]</w:t>
      </w:r>
    </w:p>
    <w:p>
      <w:pPr>
        <w:pStyle w:val="Heading5"/>
        <w:rPr>
          <w:snapToGrid w:val="0"/>
        </w:rPr>
      </w:pPr>
      <w:bookmarkStart w:id="114" w:name="_Toc404159070"/>
      <w:bookmarkStart w:id="115" w:name="_Toc435024459"/>
      <w:r>
        <w:rPr>
          <w:rStyle w:val="CharSectno"/>
        </w:rPr>
        <w:t>57</w:t>
      </w:r>
      <w:r>
        <w:rPr>
          <w:snapToGrid w:val="0"/>
        </w:rPr>
        <w:t>.</w:t>
      </w:r>
      <w:r>
        <w:rPr>
          <w:snapToGrid w:val="0"/>
        </w:rPr>
        <w:tab/>
        <w:t>Developers, principal place of business to be registered and service on</w:t>
      </w:r>
      <w:bookmarkEnd w:id="114"/>
      <w:bookmarkEnd w:id="115"/>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[Section 57 amended by No. 43 of 1994 s. 11; No. 58 of 2010 s. 134.]</w:t>
      </w:r>
    </w:p>
    <w:p>
      <w:pPr>
        <w:pStyle w:val="Heading5"/>
        <w:rPr>
          <w:snapToGrid w:val="0"/>
        </w:rPr>
      </w:pPr>
      <w:bookmarkStart w:id="116" w:name="_Toc404159071"/>
      <w:bookmarkStart w:id="117" w:name="_Toc435024460"/>
      <w:r>
        <w:rPr>
          <w:rStyle w:val="CharSectno"/>
        </w:rPr>
        <w:t>58</w:t>
      </w:r>
      <w:r>
        <w:rPr>
          <w:snapToGrid w:val="0"/>
        </w:rPr>
        <w:t>.</w:t>
      </w:r>
      <w:r>
        <w:rPr>
          <w:snapToGrid w:val="0"/>
        </w:rPr>
        <w:tab/>
        <w:t>Developer to notify Commissioner of change in principal place of business</w:t>
      </w:r>
      <w:bookmarkEnd w:id="116"/>
      <w:bookmarkEnd w:id="117"/>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pPr>
        <w:pStyle w:val="Footnotesection"/>
      </w:pPr>
      <w:r>
        <w:tab/>
        <w:t>[Section 58 amended by No. 43 of 1994 s. 11; No. 58 of 2010 s. 134.]</w:t>
      </w:r>
    </w:p>
    <w:p>
      <w:pPr>
        <w:pStyle w:val="Heading5"/>
        <w:rPr>
          <w:snapToGrid w:val="0"/>
        </w:rPr>
      </w:pPr>
      <w:bookmarkStart w:id="118" w:name="_Toc404159072"/>
      <w:bookmarkStart w:id="119" w:name="_Toc435024461"/>
      <w:r>
        <w:rPr>
          <w:rStyle w:val="CharSectno"/>
        </w:rPr>
        <w:t>59</w:t>
      </w:r>
      <w:r>
        <w:rPr>
          <w:snapToGrid w:val="0"/>
        </w:rPr>
        <w:t>.</w:t>
      </w:r>
      <w:r>
        <w:rPr>
          <w:snapToGrid w:val="0"/>
        </w:rPr>
        <w:tab/>
        <w:t>Developer to keep records of real estate transactions</w:t>
      </w:r>
      <w:bookmarkEnd w:id="118"/>
      <w:bookmarkEnd w:id="119"/>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120" w:name="_Toc404159073"/>
      <w:bookmarkStart w:id="121" w:name="_Toc435024462"/>
      <w:r>
        <w:rPr>
          <w:rStyle w:val="CharSectno"/>
        </w:rPr>
        <w:t>60</w:t>
      </w:r>
      <w:r>
        <w:rPr>
          <w:snapToGrid w:val="0"/>
        </w:rPr>
        <w:t>.</w:t>
      </w:r>
      <w:r>
        <w:rPr>
          <w:snapToGrid w:val="0"/>
        </w:rPr>
        <w:tab/>
        <w:t>Agent not entitled to commission etc. unless licensed and validly appointed</w:t>
      </w:r>
      <w:bookmarkEnd w:id="120"/>
      <w:bookmarkEnd w:id="121"/>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w:t>
      </w:r>
    </w:p>
    <w:p>
      <w:pPr>
        <w:pStyle w:val="Indenta"/>
        <w:keepNext/>
        <w:rPr>
          <w:snapToGrid w:val="0"/>
        </w:rPr>
      </w:pPr>
      <w:r>
        <w:rPr>
          <w:snapToGrid w:val="0"/>
        </w:rPr>
        <w:tab/>
        <w:t>(a)</w:t>
      </w:r>
      <w:r>
        <w:rPr>
          <w:snapToGrid w:val="0"/>
        </w:rPr>
        <w:tab/>
        <w:t>it is contained in a document which —</w:t>
      </w:r>
    </w:p>
    <w:p>
      <w:pPr>
        <w:pStyle w:val="Indenti"/>
        <w:rPr>
          <w:snapToGrid w:val="0"/>
        </w:rPr>
      </w:pPr>
      <w:r>
        <w:rPr>
          <w:snapToGrid w:val="0"/>
        </w:rPr>
        <w:tab/>
        <w:t>(i)</w:t>
      </w:r>
      <w:r>
        <w:rPr>
          <w:snapToGrid w:val="0"/>
        </w:rPr>
        <w:tab/>
        <w:t>clearly sets out the services that are or are to be rendered; and</w:t>
      </w:r>
    </w:p>
    <w:p>
      <w:pPr>
        <w:pStyle w:val="Indenti"/>
        <w:rPr>
          <w:snapToGrid w:val="0"/>
        </w:rPr>
      </w:pPr>
      <w:r>
        <w:rPr>
          <w:snapToGrid w:val="0"/>
        </w:rPr>
        <w:tab/>
        <w:t>(ii)</w:t>
      </w:r>
      <w:r>
        <w:rPr>
          <w:snapToGrid w:val="0"/>
        </w:rPr>
        <w:tab/>
        <w:t>where specific property is to be the subject of those services, clearly identifies the property; and</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[Section 60 amended by No. 43 of 1994 s. 11; No. 59 of 1995 s. 9; No. 34 of 1998 s. 14.]</w:t>
      </w:r>
    </w:p>
    <w:p>
      <w:pPr>
        <w:pStyle w:val="Heading5"/>
        <w:rPr>
          <w:snapToGrid w:val="0"/>
        </w:rPr>
      </w:pPr>
      <w:bookmarkStart w:id="122" w:name="_Toc404159074"/>
      <w:bookmarkStart w:id="123" w:name="_Toc435024463"/>
      <w:r>
        <w:rPr>
          <w:rStyle w:val="CharSectno"/>
        </w:rPr>
        <w:t>61</w:t>
      </w:r>
      <w:r>
        <w:rPr>
          <w:snapToGrid w:val="0"/>
        </w:rPr>
        <w:t>.</w:t>
      </w:r>
      <w:r>
        <w:rPr>
          <w:snapToGrid w:val="0"/>
        </w:rPr>
        <w:tab/>
        <w:t>Maximum remuneration of licensees, fixing of etc.</w:t>
      </w:r>
      <w:bookmarkEnd w:id="122"/>
      <w:bookmarkEnd w:id="123"/>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spacing w:before="140"/>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spacing w:before="140"/>
        <w:rPr>
          <w:snapToGrid w:val="0"/>
        </w:rPr>
      </w:pPr>
      <w:r>
        <w:rPr>
          <w:snapToGrid w:val="0"/>
        </w:rPr>
        <w:tab/>
        <w:t>(4a)</w:t>
      </w:r>
      <w:r>
        <w:rPr>
          <w:snapToGrid w:val="0"/>
        </w:rPr>
        <w:tab/>
        <w:t>In subsection (4) —</w:t>
      </w:r>
    </w:p>
    <w:p>
      <w:pPr>
        <w:pStyle w:val="Defstart"/>
        <w:spacing w:before="60"/>
      </w:pPr>
      <w:r>
        <w:tab/>
      </w:r>
      <w:r>
        <w:rPr>
          <w:rStyle w:val="CharDefText"/>
        </w:rPr>
        <w:t>settlement</w:t>
      </w:r>
      <w:r>
        <w:t>, in relation to a transaction —</w:t>
      </w:r>
    </w:p>
    <w:p>
      <w:pPr>
        <w:pStyle w:val="Defpara"/>
        <w:spacing w:before="60"/>
      </w:pPr>
      <w:r>
        <w:tab/>
        <w:t>(a)</w:t>
      </w:r>
      <w:r>
        <w:tab/>
        <w:t>where the transaction is to be completed by the payment of the purchase price by way of a single payment (over and above the deposit), means the payment of the purchase price; or</w:t>
      </w:r>
    </w:p>
    <w:p>
      <w:pPr>
        <w:pStyle w:val="Defpara"/>
        <w:spacing w:before="60"/>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spacing w:before="60"/>
      </w:pPr>
      <w:r>
        <w:tab/>
        <w:t>(c)</w:t>
      </w:r>
      <w:r>
        <w:tab/>
        <w:t>where the transaction is of a kind specified in regulations, has the meaning prescribed by the regulations in relation to that kind of transaction;</w:t>
      </w:r>
    </w:p>
    <w:p>
      <w:pPr>
        <w:pStyle w:val="Defstart"/>
        <w:spacing w:before="60"/>
      </w:pPr>
      <w:r>
        <w:tab/>
      </w:r>
      <w:r>
        <w:rPr>
          <w:rStyle w:val="CharDefText"/>
        </w:rPr>
        <w:t>transaction</w:t>
      </w:r>
      <w:r>
        <w:t xml:space="preserve"> means —</w:t>
      </w:r>
    </w:p>
    <w:p>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 or</w:t>
      </w:r>
    </w:p>
    <w:p>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w:t>
      </w:r>
      <w:r>
        <w:rPr>
          <w:b/>
          <w:i/>
        </w:rPr>
        <w:t>business transaction</w:t>
      </w:r>
      <w:r>
        <w:t>,</w:t>
      </w:r>
    </w:p>
    <w:p>
      <w:pPr>
        <w:pStyle w:val="Defstart"/>
        <w:spacing w:before="160"/>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ind w:left="890" w:hanging="890"/>
      </w:pPr>
      <w:r>
        <w:tab/>
        <w:t>[Section 61 amended by No. 128 of 1987 s. 89; No. 43 of 1994 s. 11; No. 59 of 1995 s. 10; No. 34 of 1998 s. 15; No. 58 of 2010 s. 134.]</w:t>
      </w:r>
    </w:p>
    <w:p>
      <w:pPr>
        <w:pStyle w:val="Heading5"/>
      </w:pPr>
      <w:bookmarkStart w:id="124" w:name="_Toc404159075"/>
      <w:bookmarkStart w:id="125" w:name="_Toc435024464"/>
      <w:r>
        <w:rPr>
          <w:rStyle w:val="CharSectno"/>
        </w:rPr>
        <w:t>61A</w:t>
      </w:r>
      <w:r>
        <w:t>.</w:t>
      </w:r>
      <w:r>
        <w:tab/>
        <w:t>Agents not to demand etc. money etc. for letting etc. from tenants</w:t>
      </w:r>
      <w:bookmarkEnd w:id="124"/>
      <w:bookmarkEnd w:id="125"/>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w:t>
      </w:r>
    </w:p>
    <w:p>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spacing w:before="80"/>
        <w:ind w:left="890" w:hanging="890"/>
      </w:pPr>
      <w:r>
        <w:tab/>
        <w:t>[Section 61A inserted by No. 59 of 1995 s. 11.]</w:t>
      </w:r>
    </w:p>
    <w:p>
      <w:pPr>
        <w:pStyle w:val="Heading5"/>
        <w:spacing w:before="200"/>
        <w:rPr>
          <w:snapToGrid w:val="0"/>
        </w:rPr>
      </w:pPr>
      <w:bookmarkStart w:id="126" w:name="_Toc404159076"/>
      <w:bookmarkStart w:id="127" w:name="_Toc435024465"/>
      <w:r>
        <w:rPr>
          <w:rStyle w:val="CharSectno"/>
        </w:rPr>
        <w:t>62</w:t>
      </w:r>
      <w:r>
        <w:rPr>
          <w:snapToGrid w:val="0"/>
        </w:rPr>
        <w:t>.</w:t>
      </w:r>
      <w:r>
        <w:rPr>
          <w:snapToGrid w:val="0"/>
        </w:rPr>
        <w:tab/>
        <w:t>Advertising by agents and developers</w:t>
      </w:r>
      <w:bookmarkEnd w:id="126"/>
      <w:bookmarkEnd w:id="127"/>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spacing w:before="80"/>
        <w:ind w:left="890" w:hanging="890"/>
      </w:pPr>
      <w:r>
        <w:tab/>
        <w:t>[Section 62 amended by No. 84 of 2004 s. 82; No. 58 of 2010 s. 98.]</w:t>
      </w:r>
    </w:p>
    <w:p>
      <w:pPr>
        <w:pStyle w:val="Heading5"/>
        <w:spacing w:before="200"/>
      </w:pPr>
      <w:bookmarkStart w:id="128" w:name="_Toc404159077"/>
      <w:bookmarkStart w:id="129" w:name="_Toc435024466"/>
      <w:r>
        <w:rPr>
          <w:rStyle w:val="CharSectno"/>
        </w:rPr>
        <w:t>63</w:t>
      </w:r>
      <w:r>
        <w:t>.</w:t>
      </w:r>
      <w:r>
        <w:tab/>
        <w:t>Agents etc. to supply signatories of documents with copies</w:t>
      </w:r>
      <w:bookmarkEnd w:id="128"/>
      <w:bookmarkEnd w:id="129"/>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130" w:name="_Toc404159078"/>
      <w:bookmarkStart w:id="131" w:name="_Toc435024467"/>
      <w:r>
        <w:rPr>
          <w:rStyle w:val="CharSectno"/>
        </w:rPr>
        <w:t>64</w:t>
      </w:r>
      <w:r>
        <w:rPr>
          <w:snapToGrid w:val="0"/>
        </w:rPr>
        <w:t>.</w:t>
      </w:r>
      <w:r>
        <w:rPr>
          <w:snapToGrid w:val="0"/>
        </w:rPr>
        <w:tab/>
        <w:t>Conflicts of interest of agents etc.</w:t>
      </w:r>
      <w:bookmarkEnd w:id="130"/>
      <w:bookmarkEnd w:id="131"/>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[Section 64 amended by No. 43 of 1994 s. 11; No. 50 of 2003 s. 88(2).]</w:t>
      </w:r>
    </w:p>
    <w:p>
      <w:pPr>
        <w:pStyle w:val="Heading5"/>
        <w:rPr>
          <w:snapToGrid w:val="0"/>
        </w:rPr>
      </w:pPr>
      <w:bookmarkStart w:id="132" w:name="_Toc404159079"/>
      <w:bookmarkStart w:id="133" w:name="_Toc435024468"/>
      <w:r>
        <w:rPr>
          <w:rStyle w:val="CharSectno"/>
        </w:rPr>
        <w:t>65</w:t>
      </w:r>
      <w:r>
        <w:rPr>
          <w:snapToGrid w:val="0"/>
        </w:rPr>
        <w:t>.</w:t>
      </w:r>
      <w:r>
        <w:rPr>
          <w:snapToGrid w:val="0"/>
        </w:rPr>
        <w:tab/>
        <w:t>Rates etc., agents to ensure payment and apportionment of</w:t>
      </w:r>
      <w:bookmarkEnd w:id="132"/>
      <w:bookmarkEnd w:id="133"/>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134" w:name="_Toc404159080"/>
      <w:bookmarkStart w:id="135" w:name="_Toc435024469"/>
      <w:r>
        <w:rPr>
          <w:rStyle w:val="CharSectno"/>
        </w:rPr>
        <w:t>66</w:t>
      </w:r>
      <w:r>
        <w:rPr>
          <w:snapToGrid w:val="0"/>
        </w:rPr>
        <w:t>.</w:t>
      </w:r>
      <w:r>
        <w:rPr>
          <w:snapToGrid w:val="0"/>
        </w:rPr>
        <w:tab/>
        <w:t>Keys to houses etc. and information about tenancies etc., payment for is an offence</w:t>
      </w:r>
      <w:bookmarkEnd w:id="134"/>
      <w:bookmarkEnd w:id="135"/>
    </w:p>
    <w:p>
      <w:pPr>
        <w:pStyle w:val="Subsection"/>
        <w:rPr>
          <w:snapToGrid w:val="0"/>
        </w:rPr>
      </w:pPr>
      <w:r>
        <w:rPr>
          <w:snapToGrid w:val="0"/>
        </w:rPr>
        <w:tab/>
        <w:t>(1)</w:t>
      </w:r>
      <w:r>
        <w:rPr>
          <w:snapToGrid w:val="0"/>
        </w:rPr>
        <w:tab/>
        <w:t>Any person who pays, gives, or receives, or offers, promises, or agrees to pay, give, or receive, a sum of money or other consideration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[Section 66 amended by No. 74 of 1980 s. 6; No. 43 of 1994 s. 11.]</w:t>
      </w:r>
    </w:p>
    <w:p>
      <w:pPr>
        <w:pStyle w:val="Heading2"/>
      </w:pPr>
      <w:bookmarkStart w:id="136" w:name="_Toc404159081"/>
      <w:bookmarkStart w:id="137" w:name="_Toc424293107"/>
      <w:bookmarkStart w:id="138" w:name="_Toc435024470"/>
      <w:r>
        <w:rPr>
          <w:rStyle w:val="CharPartNo"/>
        </w:rPr>
        <w:t>Part VI</w:t>
      </w:r>
      <w:r>
        <w:rPr>
          <w:rStyle w:val="CharDivNo"/>
        </w:rPr>
        <w:t> </w:t>
      </w:r>
      <w:r>
        <w:t>—</w:t>
      </w:r>
      <w:r>
        <w:rPr>
          <w:rStyle w:val="CharDivText"/>
        </w:rPr>
        <w:t> </w:t>
      </w:r>
      <w:r>
        <w:rPr>
          <w:rStyle w:val="CharPartText"/>
        </w:rPr>
        <w:t>Agents’ trust accounts</w:t>
      </w:r>
      <w:bookmarkEnd w:id="136"/>
      <w:bookmarkEnd w:id="137"/>
      <w:bookmarkEnd w:id="138"/>
    </w:p>
    <w:p>
      <w:pPr>
        <w:pStyle w:val="Heading5"/>
        <w:rPr>
          <w:snapToGrid w:val="0"/>
        </w:rPr>
      </w:pPr>
      <w:bookmarkStart w:id="139" w:name="_Toc404159082"/>
      <w:bookmarkStart w:id="140" w:name="_Toc435024471"/>
      <w:r>
        <w:rPr>
          <w:rStyle w:val="CharSectno"/>
        </w:rPr>
        <w:t>67</w:t>
      </w:r>
      <w:r>
        <w:rPr>
          <w:snapToGrid w:val="0"/>
        </w:rPr>
        <w:t>.</w:t>
      </w:r>
      <w:r>
        <w:rPr>
          <w:snapToGrid w:val="0"/>
        </w:rPr>
        <w:tab/>
        <w:t>Terms used</w:t>
      </w:r>
      <w:bookmarkEnd w:id="139"/>
      <w:bookmarkEnd w:id="140"/>
    </w:p>
    <w:p>
      <w:pPr>
        <w:pStyle w:val="Subsection"/>
        <w:keepNext/>
        <w:rPr>
          <w:snapToGrid w:val="0"/>
        </w:rPr>
      </w:pPr>
      <w:r>
        <w:rPr>
          <w:snapToGrid w:val="0"/>
        </w:rPr>
        <w:tab/>
      </w:r>
      <w:r>
        <w:rPr>
          <w:snapToGrid w:val="0"/>
        </w:rPr>
        <w:tab/>
        <w:t>In this Part, unless the context otherwise requires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[Section 67 amended by No. 59 of 1995 s. 12; No. 26 of 1999 s. 99(3).]</w:t>
      </w:r>
    </w:p>
    <w:p>
      <w:pPr>
        <w:pStyle w:val="Heading5"/>
        <w:rPr>
          <w:snapToGrid w:val="0"/>
        </w:rPr>
      </w:pPr>
      <w:bookmarkStart w:id="141" w:name="_Toc404159083"/>
      <w:bookmarkStart w:id="142" w:name="_Toc435024472"/>
      <w:r>
        <w:rPr>
          <w:rStyle w:val="CharSectno"/>
        </w:rPr>
        <w:t>68</w:t>
      </w:r>
      <w:r>
        <w:rPr>
          <w:snapToGrid w:val="0"/>
        </w:rPr>
        <w:t>.</w:t>
      </w:r>
      <w:r>
        <w:rPr>
          <w:snapToGrid w:val="0"/>
        </w:rPr>
        <w:tab/>
        <w:t>Trust accounts, use of etc.</w:t>
      </w:r>
      <w:bookmarkEnd w:id="141"/>
      <w:bookmarkEnd w:id="142"/>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68 amended by No. 59 of 1995 s. 13.]</w:t>
      </w:r>
    </w:p>
    <w:p>
      <w:pPr>
        <w:pStyle w:val="Heading5"/>
        <w:rPr>
          <w:snapToGrid w:val="0"/>
        </w:rPr>
      </w:pPr>
      <w:bookmarkStart w:id="143" w:name="_Toc404159084"/>
      <w:bookmarkStart w:id="144" w:name="_Toc435024473"/>
      <w:r>
        <w:rPr>
          <w:rStyle w:val="CharSectno"/>
        </w:rPr>
        <w:t>68A</w:t>
      </w:r>
      <w:r>
        <w:rPr>
          <w:snapToGrid w:val="0"/>
        </w:rPr>
        <w:t>.</w:t>
      </w:r>
      <w:r>
        <w:rPr>
          <w:snapToGrid w:val="0"/>
        </w:rPr>
        <w:tab/>
        <w:t>Client may ask agent for separate trust account</w:t>
      </w:r>
      <w:bookmarkEnd w:id="143"/>
      <w:bookmarkEnd w:id="144"/>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p>
    <w:p>
      <w:pPr>
        <w:pStyle w:val="Indenta"/>
        <w:rPr>
          <w:snapToGrid w:val="0"/>
        </w:rPr>
      </w:pPr>
      <w:r>
        <w:rPr>
          <w:snapToGrid w:val="0"/>
        </w:rPr>
        <w:tab/>
        <w:t>(a)</w:t>
      </w:r>
      <w:r>
        <w:rPr>
          <w:snapToGrid w:val="0"/>
        </w:rPr>
        <w:tab/>
        <w:t>the amount of moneys paid to the agent; or</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request</w:t>
      </w:r>
      <w:r>
        <w:t xml:space="preserve"> means a request under subsection (1).</w:t>
      </w:r>
    </w:p>
    <w:p>
      <w:pPr>
        <w:pStyle w:val="Footnotesection"/>
      </w:pPr>
      <w:r>
        <w:tab/>
        <w:t>[Section 68A inserted by No. 59 of 1995 s. 14.]</w:t>
      </w:r>
    </w:p>
    <w:p>
      <w:pPr>
        <w:pStyle w:val="Heading5"/>
        <w:rPr>
          <w:snapToGrid w:val="0"/>
        </w:rPr>
      </w:pPr>
      <w:bookmarkStart w:id="145" w:name="_Toc404159085"/>
      <w:bookmarkStart w:id="146" w:name="_Toc435024474"/>
      <w:r>
        <w:rPr>
          <w:rStyle w:val="CharSectno"/>
        </w:rPr>
        <w:t>68B</w:t>
      </w:r>
      <w:r>
        <w:rPr>
          <w:snapToGrid w:val="0"/>
        </w:rPr>
        <w:t>.</w:t>
      </w:r>
      <w:r>
        <w:rPr>
          <w:snapToGrid w:val="0"/>
        </w:rPr>
        <w:tab/>
        <w:t>Interest on trust accounts to be paid by financial institutions</w:t>
      </w:r>
      <w:bookmarkEnd w:id="145"/>
      <w:bookmarkEnd w:id="146"/>
    </w:p>
    <w:p>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w:t>
      </w:r>
      <w:r>
        <w:t xml:space="preserve">Interest </w:t>
      </w:r>
      <w:r>
        <w:rPr>
          <w:snapToGrid w:val="0"/>
        </w:rPr>
        <w:t>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[Section 68B inserted by No. 59 of 1995 s. 14</w:t>
      </w:r>
      <w:r>
        <w:rPr>
          <w:spacing w:val="-4"/>
        </w:rPr>
        <w:t>; amended by No. 47 of 2011 s.</w:t>
      </w:r>
      <w:r>
        <w:t> 25(4).]</w:t>
      </w:r>
    </w:p>
    <w:p>
      <w:pPr>
        <w:pStyle w:val="Heading5"/>
        <w:rPr>
          <w:snapToGrid w:val="0"/>
        </w:rPr>
      </w:pPr>
      <w:bookmarkStart w:id="147" w:name="_Toc404159086"/>
      <w:bookmarkStart w:id="148" w:name="_Toc435024475"/>
      <w:r>
        <w:rPr>
          <w:rStyle w:val="CharSectno"/>
        </w:rPr>
        <w:t>68C</w:t>
      </w:r>
      <w:r>
        <w:rPr>
          <w:snapToGrid w:val="0"/>
        </w:rPr>
        <w:t>.</w:t>
      </w:r>
      <w:r>
        <w:rPr>
          <w:snapToGrid w:val="0"/>
        </w:rPr>
        <w:tab/>
      </w:r>
      <w:r>
        <w:t>Agents to give Commissioner information about trust accounts</w:t>
      </w:r>
      <w:bookmarkEnd w:id="147"/>
      <w:bookmarkEnd w:id="148"/>
    </w:p>
    <w:p>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[Section 68C inserted by No. 59 of 1995 s. 14; amended by No. 58 of 2010 s. 134.]</w:t>
      </w:r>
    </w:p>
    <w:p>
      <w:pPr>
        <w:pStyle w:val="Heading5"/>
        <w:rPr>
          <w:snapToGrid w:val="0"/>
        </w:rPr>
      </w:pPr>
      <w:bookmarkStart w:id="149" w:name="_Toc404159087"/>
      <w:bookmarkStart w:id="150" w:name="_Toc435024476"/>
      <w:r>
        <w:rPr>
          <w:rStyle w:val="CharSectno"/>
        </w:rPr>
        <w:t>69</w:t>
      </w:r>
      <w:r>
        <w:rPr>
          <w:snapToGrid w:val="0"/>
        </w:rPr>
        <w:t>.</w:t>
      </w:r>
      <w:r>
        <w:rPr>
          <w:snapToGrid w:val="0"/>
        </w:rPr>
        <w:tab/>
        <w:t>Money received by agents, duties as to</w:t>
      </w:r>
      <w:bookmarkEnd w:id="149"/>
      <w:bookmarkEnd w:id="150"/>
    </w:p>
    <w:p>
      <w:pPr>
        <w:pStyle w:val="Subsection"/>
        <w:keepNext/>
        <w:rPr>
          <w:snapToGrid w:val="0"/>
        </w:rPr>
      </w:pPr>
      <w:r>
        <w:rPr>
          <w:snapToGrid w:val="0"/>
        </w:rPr>
        <w:tab/>
        <w:t>(1)</w:t>
      </w:r>
      <w:r>
        <w:rPr>
          <w:snapToGrid w:val="0"/>
        </w:rPr>
        <w:tab/>
        <w:t>When an agent receives money for or on behalf of any other person, the agent shall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[Section 69 amended by No. 74 of 1980 s. 7; No. 59 of 1995 s. 15; No. 58 of 2010 s. 134.]</w:t>
      </w:r>
    </w:p>
    <w:p>
      <w:pPr>
        <w:pStyle w:val="Heading5"/>
        <w:rPr>
          <w:snapToGrid w:val="0"/>
        </w:rPr>
      </w:pPr>
      <w:bookmarkStart w:id="151" w:name="_Toc404159088"/>
      <w:bookmarkStart w:id="152" w:name="_Toc435024477"/>
      <w:r>
        <w:rPr>
          <w:rStyle w:val="CharSectno"/>
        </w:rPr>
        <w:t>70</w:t>
      </w:r>
      <w:r>
        <w:rPr>
          <w:snapToGrid w:val="0"/>
        </w:rPr>
        <w:t>.</w:t>
      </w:r>
      <w:r>
        <w:rPr>
          <w:snapToGrid w:val="0"/>
        </w:rPr>
        <w:tab/>
        <w:t>Audits of trust accounts</w:t>
      </w:r>
      <w:bookmarkEnd w:id="151"/>
      <w:bookmarkEnd w:id="152"/>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rPr>
          <w:snapToGrid w:val="0"/>
        </w:rPr>
      </w:pPr>
      <w:r>
        <w:rPr>
          <w:snapToGrid w:val="0"/>
        </w:rPr>
        <w:tab/>
        <w:t>(3)</w:t>
      </w:r>
      <w:r>
        <w:rPr>
          <w:snapToGrid w:val="0"/>
        </w:rPr>
        <w:tab/>
        <w:t>The auditor shall within 3 months after the end of each year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The Commissioner may, in circumstances he or she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r>
        <w:t>Commissioner</w:t>
      </w:r>
      <w:r>
        <w:rPr>
          <w:snapToGrid w:val="0"/>
        </w:rPr>
        <w:t xml:space="preserve"> a report of such termination audit.</w:t>
      </w:r>
    </w:p>
    <w:p>
      <w:pPr>
        <w:pStyle w:val="Footnotesection"/>
      </w:pPr>
      <w:r>
        <w:tab/>
        <w:t>[Section 70 amended by No. 29 of 1982 s. 12; No. 59 of 1995 s. 42; No. 77 of 2006 Sch. 1 cl. 147(2); No. 58 of 2010 s. 99 and 134.]</w:t>
      </w:r>
    </w:p>
    <w:p>
      <w:pPr>
        <w:pStyle w:val="Heading5"/>
        <w:rPr>
          <w:snapToGrid w:val="0"/>
        </w:rPr>
      </w:pPr>
      <w:bookmarkStart w:id="153" w:name="_Toc404159089"/>
      <w:bookmarkStart w:id="154" w:name="_Toc435024478"/>
      <w:r>
        <w:rPr>
          <w:rStyle w:val="CharSectno"/>
        </w:rPr>
        <w:t>71</w:t>
      </w:r>
      <w:r>
        <w:rPr>
          <w:snapToGrid w:val="0"/>
        </w:rPr>
        <w:t>.</w:t>
      </w:r>
      <w:r>
        <w:rPr>
          <w:snapToGrid w:val="0"/>
        </w:rPr>
        <w:tab/>
      </w:r>
      <w:r>
        <w:t>Date of audit, Commissioner may change</w:t>
      </w:r>
      <w:bookmarkEnd w:id="153"/>
      <w:bookmarkEnd w:id="154"/>
    </w:p>
    <w:p>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71 amended by No. 58 of 2010 s. 134.]</w:t>
      </w:r>
    </w:p>
    <w:p>
      <w:pPr>
        <w:pStyle w:val="Heading5"/>
        <w:rPr>
          <w:snapToGrid w:val="0"/>
        </w:rPr>
      </w:pPr>
      <w:bookmarkStart w:id="155" w:name="_Toc404159090"/>
      <w:bookmarkStart w:id="156" w:name="_Toc435024479"/>
      <w:r>
        <w:rPr>
          <w:rStyle w:val="CharSectno"/>
        </w:rPr>
        <w:t>72</w:t>
      </w:r>
      <w:r>
        <w:rPr>
          <w:snapToGrid w:val="0"/>
        </w:rPr>
        <w:t>.</w:t>
      </w:r>
      <w:r>
        <w:rPr>
          <w:snapToGrid w:val="0"/>
        </w:rPr>
        <w:tab/>
        <w:t>Auditors, qualification and approval of</w:t>
      </w:r>
      <w:bookmarkEnd w:id="155"/>
      <w:bookmarkEnd w:id="156"/>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pPr>
        <w:pStyle w:val="Footnotesection"/>
      </w:pPr>
      <w:r>
        <w:tab/>
        <w:t>[Section 72 amended by No. 10 of 1982 s. 28; No. 59 of 1995 s. 16; No. 10 of 2001 s. 220; No. 28 of 2003 s. 175; No. 58 of 2010 s. 134.]</w:t>
      </w:r>
    </w:p>
    <w:p>
      <w:pPr>
        <w:pStyle w:val="Heading5"/>
        <w:rPr>
          <w:snapToGrid w:val="0"/>
        </w:rPr>
      </w:pPr>
      <w:bookmarkStart w:id="157" w:name="_Toc404159091"/>
      <w:bookmarkStart w:id="158" w:name="_Toc435024480"/>
      <w:r>
        <w:rPr>
          <w:rStyle w:val="CharSectno"/>
        </w:rPr>
        <w:t>73</w:t>
      </w:r>
      <w:r>
        <w:rPr>
          <w:snapToGrid w:val="0"/>
        </w:rPr>
        <w:t>.</w:t>
      </w:r>
      <w:r>
        <w:rPr>
          <w:snapToGrid w:val="0"/>
        </w:rPr>
        <w:tab/>
        <w:t>Auditors, appointment of</w:t>
      </w:r>
      <w:bookmarkEnd w:id="157"/>
      <w:bookmarkEnd w:id="158"/>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73 amended by No. 58 of 2010 s. 134.]</w:t>
      </w:r>
    </w:p>
    <w:p>
      <w:pPr>
        <w:pStyle w:val="Heading5"/>
        <w:rPr>
          <w:snapToGrid w:val="0"/>
        </w:rPr>
      </w:pPr>
      <w:bookmarkStart w:id="159" w:name="_Toc404159092"/>
      <w:bookmarkStart w:id="160" w:name="_Toc435024481"/>
      <w:r>
        <w:rPr>
          <w:rStyle w:val="CharSectno"/>
        </w:rPr>
        <w:t>74</w:t>
      </w:r>
      <w:r>
        <w:rPr>
          <w:snapToGrid w:val="0"/>
        </w:rPr>
        <w:t>.</w:t>
      </w:r>
      <w:r>
        <w:rPr>
          <w:snapToGrid w:val="0"/>
        </w:rPr>
        <w:tab/>
        <w:t>Audits of business carried on at more than one place, directions as to</w:t>
      </w:r>
      <w:bookmarkEnd w:id="159"/>
      <w:bookmarkEnd w:id="160"/>
    </w:p>
    <w:p>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ind w:left="890" w:hanging="890"/>
      </w:pPr>
      <w:r>
        <w:tab/>
        <w:t>[Section 74 amended by No. 58 of 2010 s. 134.]</w:t>
      </w:r>
    </w:p>
    <w:p>
      <w:pPr>
        <w:pStyle w:val="Heading5"/>
        <w:rPr>
          <w:snapToGrid w:val="0"/>
        </w:rPr>
      </w:pPr>
      <w:bookmarkStart w:id="161" w:name="_Toc404159093"/>
      <w:bookmarkStart w:id="162" w:name="_Toc435024482"/>
      <w:r>
        <w:rPr>
          <w:rStyle w:val="CharSectno"/>
        </w:rPr>
        <w:t>75</w:t>
      </w:r>
      <w:r>
        <w:rPr>
          <w:snapToGrid w:val="0"/>
        </w:rPr>
        <w:t>.</w:t>
      </w:r>
      <w:r>
        <w:rPr>
          <w:snapToGrid w:val="0"/>
        </w:rPr>
        <w:tab/>
      </w:r>
      <w:r>
        <w:t>Approvals etc. under this Part, Commissioner’s power to cancel etc.</w:t>
      </w:r>
      <w:bookmarkEnd w:id="161"/>
      <w:bookmarkEnd w:id="162"/>
    </w:p>
    <w:p>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pPr>
        <w:pStyle w:val="Footnotesection"/>
        <w:ind w:left="890" w:hanging="890"/>
      </w:pPr>
      <w:r>
        <w:tab/>
        <w:t>[Section 75 amended by No. 58 of 2010 s. 134.]</w:t>
      </w:r>
    </w:p>
    <w:p>
      <w:pPr>
        <w:pStyle w:val="Ednotesection"/>
        <w:ind w:left="0" w:firstLine="0"/>
      </w:pPr>
      <w:r>
        <w:t>[</w:t>
      </w:r>
      <w:r>
        <w:rPr>
          <w:b/>
        </w:rPr>
        <w:t>76.</w:t>
      </w:r>
      <w:r>
        <w:tab/>
        <w:t>Deleted by No. 55 of 2004 s. 1012.]</w:t>
      </w:r>
    </w:p>
    <w:p>
      <w:pPr>
        <w:pStyle w:val="Heading5"/>
        <w:rPr>
          <w:snapToGrid w:val="0"/>
        </w:rPr>
      </w:pPr>
      <w:bookmarkStart w:id="163" w:name="_Toc404159094"/>
      <w:bookmarkStart w:id="164" w:name="_Toc435024483"/>
      <w:r>
        <w:rPr>
          <w:rStyle w:val="CharSectno"/>
        </w:rPr>
        <w:t>77</w:t>
      </w:r>
      <w:r>
        <w:rPr>
          <w:snapToGrid w:val="0"/>
        </w:rPr>
        <w:t>.</w:t>
      </w:r>
      <w:r>
        <w:rPr>
          <w:snapToGrid w:val="0"/>
        </w:rPr>
        <w:tab/>
        <w:t>Audits, agents’ duties and auditors’ powers as to</w:t>
      </w:r>
      <w:bookmarkEnd w:id="163"/>
      <w:bookmarkEnd w:id="164"/>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165" w:name="_Toc404159095"/>
      <w:bookmarkStart w:id="166" w:name="_Toc435024484"/>
      <w:r>
        <w:rPr>
          <w:rStyle w:val="CharSectno"/>
        </w:rPr>
        <w:t>78</w:t>
      </w:r>
      <w:r>
        <w:rPr>
          <w:snapToGrid w:val="0"/>
        </w:rPr>
        <w:t>.</w:t>
      </w:r>
      <w:r>
        <w:rPr>
          <w:snapToGrid w:val="0"/>
        </w:rPr>
        <w:tab/>
        <w:t>Audits, bankers’ duties as to</w:t>
      </w:r>
      <w:bookmarkEnd w:id="165"/>
      <w:bookmarkEnd w:id="166"/>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167" w:name="_Toc404159096"/>
      <w:bookmarkStart w:id="168" w:name="_Toc435024485"/>
      <w:r>
        <w:rPr>
          <w:rStyle w:val="CharSectno"/>
        </w:rPr>
        <w:t>79</w:t>
      </w:r>
      <w:r>
        <w:rPr>
          <w:snapToGrid w:val="0"/>
        </w:rPr>
        <w:t>.</w:t>
      </w:r>
      <w:r>
        <w:rPr>
          <w:snapToGrid w:val="0"/>
        </w:rPr>
        <w:tab/>
        <w:t>Auditors’ reports, content of</w:t>
      </w:r>
      <w:bookmarkEnd w:id="167"/>
      <w:bookmarkEnd w:id="168"/>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p>
    <w:p>
      <w:pPr>
        <w:pStyle w:val="Indenta"/>
        <w:rPr>
          <w:snapToGrid w:val="0"/>
        </w:rPr>
      </w:pPr>
      <w:r>
        <w:rPr>
          <w:snapToGrid w:val="0"/>
        </w:rPr>
        <w:tab/>
        <w:t>(a)</w:t>
      </w:r>
      <w:r>
        <w:rPr>
          <w:snapToGrid w:val="0"/>
        </w:rPr>
        <w:tab/>
        <w:t>whether the trust accounts of such agent have in the opinion of the auditor been kept regularly and properly written up; and</w:t>
      </w:r>
    </w:p>
    <w:p>
      <w:pPr>
        <w:pStyle w:val="Indenta"/>
        <w:rPr>
          <w:snapToGrid w:val="0"/>
        </w:rPr>
      </w:pPr>
      <w:r>
        <w:rPr>
          <w:snapToGrid w:val="0"/>
        </w:rPr>
        <w:tab/>
        <w:t>(b)</w:t>
      </w:r>
      <w:r>
        <w:rPr>
          <w:snapToGrid w:val="0"/>
        </w:rPr>
        <w:tab/>
        <w:t>whether the trust accounts of such agent have been ready for examination at the periods appointed by the auditor; and</w:t>
      </w:r>
    </w:p>
    <w:p>
      <w:pPr>
        <w:pStyle w:val="Indenta"/>
        <w:rPr>
          <w:snapToGrid w:val="0"/>
        </w:rPr>
      </w:pPr>
      <w:r>
        <w:rPr>
          <w:snapToGrid w:val="0"/>
        </w:rPr>
        <w:tab/>
        <w:t>(c)</w:t>
      </w:r>
      <w:r>
        <w:rPr>
          <w:snapToGrid w:val="0"/>
        </w:rPr>
        <w:tab/>
        <w:t>whether such agent has complied with the auditor’s requirements; and</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79 amended by No. 74 of 1980 s. 10; No. 59 of 1995 s. 17; No. 58 of 2010 s. 134.]</w:t>
      </w:r>
    </w:p>
    <w:p>
      <w:pPr>
        <w:pStyle w:val="Heading5"/>
        <w:rPr>
          <w:snapToGrid w:val="0"/>
        </w:rPr>
      </w:pPr>
      <w:bookmarkStart w:id="169" w:name="_Toc404159097"/>
      <w:bookmarkStart w:id="170" w:name="_Toc435024486"/>
      <w:r>
        <w:rPr>
          <w:rStyle w:val="CharSectno"/>
        </w:rPr>
        <w:t>80</w:t>
      </w:r>
      <w:r>
        <w:rPr>
          <w:snapToGrid w:val="0"/>
        </w:rPr>
        <w:t>.</w:t>
      </w:r>
      <w:r>
        <w:rPr>
          <w:snapToGrid w:val="0"/>
        </w:rPr>
        <w:tab/>
        <w:t>Moneys etc. held on trust, statement of by agents</w:t>
      </w:r>
      <w:bookmarkEnd w:id="169"/>
      <w:bookmarkEnd w:id="170"/>
    </w:p>
    <w:p>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171" w:name="_Toc404159098"/>
      <w:bookmarkStart w:id="172" w:name="_Toc435024487"/>
      <w:r>
        <w:rPr>
          <w:rStyle w:val="CharSectno"/>
        </w:rPr>
        <w:t>81</w:t>
      </w:r>
      <w:r>
        <w:rPr>
          <w:snapToGrid w:val="0"/>
        </w:rPr>
        <w:t>.</w:t>
      </w:r>
      <w:r>
        <w:rPr>
          <w:snapToGrid w:val="0"/>
        </w:rPr>
        <w:tab/>
        <w:t>Auditor’s report to report breaches of law etc.</w:t>
      </w:r>
      <w:bookmarkEnd w:id="171"/>
      <w:bookmarkEnd w:id="172"/>
    </w:p>
    <w:p>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pPr>
      <w:r>
        <w:tab/>
        <w:t>[Section 81 amended by No. 58 of 2010 s. 134.]</w:t>
      </w:r>
    </w:p>
    <w:p>
      <w:pPr>
        <w:pStyle w:val="Heading5"/>
        <w:rPr>
          <w:snapToGrid w:val="0"/>
        </w:rPr>
      </w:pPr>
      <w:bookmarkStart w:id="173" w:name="_Toc404159099"/>
      <w:bookmarkStart w:id="174" w:name="_Toc435024488"/>
      <w:r>
        <w:rPr>
          <w:rStyle w:val="CharSectno"/>
        </w:rPr>
        <w:t>82</w:t>
      </w:r>
      <w:r>
        <w:rPr>
          <w:snapToGrid w:val="0"/>
        </w:rPr>
        <w:t>.</w:t>
      </w:r>
      <w:r>
        <w:rPr>
          <w:snapToGrid w:val="0"/>
        </w:rPr>
        <w:tab/>
        <w:t>Auditors’ duty of confidentiality</w:t>
      </w:r>
      <w:bookmarkEnd w:id="173"/>
      <w:bookmarkEnd w:id="174"/>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175" w:name="_Toc404159100"/>
      <w:bookmarkStart w:id="176" w:name="_Toc435024489"/>
      <w:r>
        <w:rPr>
          <w:rStyle w:val="CharSectno"/>
        </w:rPr>
        <w:t>83</w:t>
      </w:r>
      <w:r>
        <w:rPr>
          <w:snapToGrid w:val="0"/>
        </w:rPr>
        <w:t>.</w:t>
      </w:r>
      <w:r>
        <w:rPr>
          <w:snapToGrid w:val="0"/>
        </w:rPr>
        <w:tab/>
        <w:t>Right of some persons to information in auditors’ reports</w:t>
      </w:r>
      <w:bookmarkEnd w:id="175"/>
      <w:bookmarkEnd w:id="176"/>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pPr>
        <w:pStyle w:val="Footnotesection"/>
      </w:pPr>
      <w:r>
        <w:tab/>
        <w:t>[Section 83 amended by No. 58 of 2010 s. 100 and 134.]</w:t>
      </w:r>
    </w:p>
    <w:p>
      <w:pPr>
        <w:pStyle w:val="Heading5"/>
        <w:rPr>
          <w:snapToGrid w:val="0"/>
        </w:rPr>
      </w:pPr>
      <w:bookmarkStart w:id="177" w:name="_Toc404159101"/>
      <w:bookmarkStart w:id="178" w:name="_Toc435024490"/>
      <w:r>
        <w:rPr>
          <w:rStyle w:val="CharSectno"/>
        </w:rPr>
        <w:t>84</w:t>
      </w:r>
      <w:r>
        <w:rPr>
          <w:snapToGrid w:val="0"/>
        </w:rPr>
        <w:t>.</w:t>
      </w:r>
      <w:r>
        <w:rPr>
          <w:snapToGrid w:val="0"/>
        </w:rPr>
        <w:tab/>
        <w:t>Offences under this Part</w:t>
      </w:r>
      <w:bookmarkEnd w:id="177"/>
      <w:bookmarkEnd w:id="178"/>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84 amended by No. 43 of 1994 s. 11; No. 59 of 1995 s. 18.]</w:t>
      </w:r>
    </w:p>
    <w:p>
      <w:pPr>
        <w:pStyle w:val="Heading5"/>
        <w:rPr>
          <w:snapToGrid w:val="0"/>
        </w:rPr>
      </w:pPr>
      <w:bookmarkStart w:id="179" w:name="_Toc404159102"/>
      <w:bookmarkStart w:id="180" w:name="_Toc435024491"/>
      <w:r>
        <w:rPr>
          <w:rStyle w:val="CharSectno"/>
        </w:rPr>
        <w:t>85</w:t>
      </w:r>
      <w:r>
        <w:rPr>
          <w:snapToGrid w:val="0"/>
        </w:rPr>
        <w:t>.</w:t>
      </w:r>
      <w:r>
        <w:rPr>
          <w:snapToGrid w:val="0"/>
        </w:rPr>
        <w:tab/>
        <w:t>Auditors’ remuneration</w:t>
      </w:r>
      <w:bookmarkEnd w:id="179"/>
      <w:bookmarkEnd w:id="180"/>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181" w:name="_Toc404159103"/>
      <w:bookmarkStart w:id="182" w:name="_Toc435024492"/>
      <w:r>
        <w:rPr>
          <w:rStyle w:val="CharSectno"/>
        </w:rPr>
        <w:t>86</w:t>
      </w:r>
      <w:r>
        <w:rPr>
          <w:snapToGrid w:val="0"/>
        </w:rPr>
        <w:t>.</w:t>
      </w:r>
      <w:r>
        <w:rPr>
          <w:snapToGrid w:val="0"/>
        </w:rPr>
        <w:tab/>
        <w:t>Agents with no accounts to audit</w:t>
      </w:r>
      <w:bookmarkEnd w:id="181"/>
      <w:bookmarkEnd w:id="182"/>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pPr>
        <w:pStyle w:val="Footnotesection"/>
      </w:pPr>
      <w:r>
        <w:tab/>
        <w:t>[Section 86 amended by No. 58 of 2010 s. 134.]</w:t>
      </w:r>
    </w:p>
    <w:p>
      <w:pPr>
        <w:pStyle w:val="Heading5"/>
        <w:rPr>
          <w:snapToGrid w:val="0"/>
        </w:rPr>
      </w:pPr>
      <w:bookmarkStart w:id="183" w:name="_Toc404159104"/>
      <w:bookmarkStart w:id="184" w:name="_Toc435024493"/>
      <w:r>
        <w:rPr>
          <w:rStyle w:val="CharSectno"/>
        </w:rPr>
        <w:t>87</w:t>
      </w:r>
      <w:r>
        <w:rPr>
          <w:snapToGrid w:val="0"/>
        </w:rPr>
        <w:t>.</w:t>
      </w:r>
      <w:r>
        <w:rPr>
          <w:snapToGrid w:val="0"/>
        </w:rPr>
        <w:tab/>
        <w:t>Accounts of firm or body corporate or agent with branch office, effect of audits as to</w:t>
      </w:r>
      <w:bookmarkEnd w:id="183"/>
      <w:bookmarkEnd w:id="184"/>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185" w:name="_Toc404159105"/>
      <w:bookmarkStart w:id="186" w:name="_Toc435024494"/>
      <w:r>
        <w:rPr>
          <w:rStyle w:val="CharSectno"/>
        </w:rPr>
        <w:t>88</w:t>
      </w:r>
      <w:r>
        <w:rPr>
          <w:snapToGrid w:val="0"/>
        </w:rPr>
        <w:t>.</w:t>
      </w:r>
      <w:r>
        <w:rPr>
          <w:snapToGrid w:val="0"/>
        </w:rPr>
        <w:tab/>
      </w:r>
      <w:r>
        <w:t>Audit of trust account, Commissioner may do</w:t>
      </w:r>
      <w:bookmarkEnd w:id="185"/>
      <w:bookmarkEnd w:id="186"/>
    </w:p>
    <w:p>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pPr>
        <w:pStyle w:val="Footnotesection"/>
        <w:keepNext/>
        <w:keepLines w:val="0"/>
      </w:pPr>
      <w:r>
        <w:tab/>
        <w:t>[Section 88 amended by No. 58 of 2010 s. 134.]</w:t>
      </w:r>
    </w:p>
    <w:p>
      <w:pPr>
        <w:pStyle w:val="Ednotesection"/>
      </w:pPr>
      <w:r>
        <w:t>[</w:t>
      </w:r>
      <w:r>
        <w:rPr>
          <w:b/>
        </w:rPr>
        <w:t>89.</w:t>
      </w:r>
      <w:r>
        <w:tab/>
        <w:t>Deleted by No. 74 of 1980 s. 9.]</w:t>
      </w:r>
    </w:p>
    <w:p>
      <w:pPr>
        <w:pStyle w:val="Heading5"/>
        <w:rPr>
          <w:snapToGrid w:val="0"/>
        </w:rPr>
      </w:pPr>
      <w:bookmarkStart w:id="187" w:name="_Toc404159106"/>
      <w:bookmarkStart w:id="188" w:name="_Toc435024495"/>
      <w:r>
        <w:rPr>
          <w:rStyle w:val="CharSectno"/>
        </w:rPr>
        <w:t>90</w:t>
      </w:r>
      <w:r>
        <w:rPr>
          <w:snapToGrid w:val="0"/>
        </w:rPr>
        <w:t>.</w:t>
      </w:r>
      <w:r>
        <w:rPr>
          <w:snapToGrid w:val="0"/>
        </w:rPr>
        <w:tab/>
        <w:t>Cost of audit done under s. 88</w:t>
      </w:r>
      <w:bookmarkEnd w:id="187"/>
      <w:bookmarkEnd w:id="188"/>
    </w:p>
    <w:p>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pPr>
        <w:pStyle w:val="Footnotesection"/>
        <w:spacing w:before="80"/>
        <w:ind w:left="890" w:hanging="890"/>
      </w:pPr>
      <w:r>
        <w:tab/>
        <w:t>[Section 90 amended by No. 29 of 1982 s. 12; No. 59 of 1995 s. 42; No. 77 of 2006 Sch. 1 cl. 147(2); No. 58 of 2010 s. 134.]</w:t>
      </w:r>
    </w:p>
    <w:p>
      <w:pPr>
        <w:pStyle w:val="Heading5"/>
        <w:rPr>
          <w:snapToGrid w:val="0"/>
        </w:rPr>
      </w:pPr>
      <w:bookmarkStart w:id="189" w:name="_Toc404159107"/>
      <w:bookmarkStart w:id="190" w:name="_Toc435024496"/>
      <w:r>
        <w:rPr>
          <w:rStyle w:val="CharSectno"/>
        </w:rPr>
        <w:t>91</w:t>
      </w:r>
      <w:r>
        <w:rPr>
          <w:snapToGrid w:val="0"/>
        </w:rPr>
        <w:t>.</w:t>
      </w:r>
      <w:r>
        <w:rPr>
          <w:snapToGrid w:val="0"/>
        </w:rPr>
        <w:tab/>
        <w:t>Confidentiality of audit done under s. 88</w:t>
      </w:r>
      <w:bookmarkEnd w:id="189"/>
      <w:bookmarkEnd w:id="190"/>
    </w:p>
    <w:p>
      <w:pPr>
        <w:pStyle w:val="Subsection"/>
        <w:spacing w:before="120"/>
        <w:rPr>
          <w:snapToGrid w:val="0"/>
        </w:rPr>
      </w:pPr>
      <w:r>
        <w:rPr>
          <w:snapToGrid w:val="0"/>
        </w:rPr>
        <w:tab/>
      </w:r>
      <w:r>
        <w:rPr>
          <w:snapToGrid w:val="0"/>
        </w:rPr>
        <w:tab/>
        <w:t>The provisions of section 82 apply to an auditor nominated by the </w:t>
      </w:r>
      <w:r>
        <w:t>Commissioner</w:t>
      </w:r>
      <w:r>
        <w:rPr>
          <w:snapToGrid w:val="0"/>
        </w:rPr>
        <w:t xml:space="preserve"> under section 88 with such modifications as circumstances require.</w:t>
      </w:r>
    </w:p>
    <w:p>
      <w:pPr>
        <w:pStyle w:val="Footnotesection"/>
        <w:spacing w:before="80"/>
        <w:ind w:left="890" w:hanging="890"/>
      </w:pPr>
      <w:r>
        <w:tab/>
        <w:t>[Section 91 amended by No. 74 of 2003 s. 101; No. 23 of 2014 s. 75.]</w:t>
      </w:r>
    </w:p>
    <w:p>
      <w:pPr>
        <w:pStyle w:val="Heading5"/>
        <w:keepNext w:val="0"/>
        <w:keepLines w:val="0"/>
        <w:rPr>
          <w:snapToGrid w:val="0"/>
        </w:rPr>
      </w:pPr>
      <w:bookmarkStart w:id="191" w:name="_Toc404159108"/>
      <w:bookmarkStart w:id="192" w:name="_Toc435024497"/>
      <w:r>
        <w:rPr>
          <w:rStyle w:val="CharSectno"/>
        </w:rPr>
        <w:t>92</w:t>
      </w:r>
      <w:r>
        <w:rPr>
          <w:snapToGrid w:val="0"/>
        </w:rPr>
        <w:t>.</w:t>
      </w:r>
      <w:r>
        <w:rPr>
          <w:snapToGrid w:val="0"/>
        </w:rPr>
        <w:tab/>
        <w:t>Restraining bank etc. from dealing with agent’s account, SAT’s powers as to</w:t>
      </w:r>
      <w:bookmarkEnd w:id="191"/>
      <w:bookmarkEnd w:id="192"/>
    </w:p>
    <w:p>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w:t>
      </w:r>
    </w:p>
    <w:p>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pPr>
        <w:pStyle w:val="Indenti"/>
        <w:spacing w:before="60"/>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[Section 92 amended by No. 59 of 1995 s. 40(1); No. 26 of 1999 s. 99(4); No. 55 of 2004 s. 1021; No. 58 of 2010 s. 134.]</w:t>
      </w:r>
    </w:p>
    <w:p>
      <w:pPr>
        <w:pStyle w:val="Heading5"/>
        <w:rPr>
          <w:snapToGrid w:val="0"/>
        </w:rPr>
      </w:pPr>
      <w:bookmarkStart w:id="193" w:name="_Toc404159109"/>
      <w:bookmarkStart w:id="194" w:name="_Toc435024498"/>
      <w:r>
        <w:rPr>
          <w:rStyle w:val="CharSectno"/>
        </w:rPr>
        <w:t>93</w:t>
      </w:r>
      <w:r>
        <w:rPr>
          <w:snapToGrid w:val="0"/>
        </w:rPr>
        <w:t>.</w:t>
      </w:r>
      <w:r>
        <w:rPr>
          <w:snapToGrid w:val="0"/>
        </w:rPr>
        <w:tab/>
        <w:t>Suspension of agents, appointment of supervisors etc., SAT’s powers as to</w:t>
      </w:r>
      <w:bookmarkEnd w:id="193"/>
      <w:bookmarkEnd w:id="194"/>
    </w:p>
    <w:p>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p>
    <w:p>
      <w:pPr>
        <w:pStyle w:val="Indenta"/>
        <w:rPr>
          <w:snapToGrid w:val="0"/>
        </w:rPr>
      </w:pPr>
      <w:r>
        <w:rPr>
          <w:snapToGrid w:val="0"/>
        </w:rPr>
        <w:tab/>
        <w:t>(a)</w:t>
      </w:r>
      <w:r>
        <w:rPr>
          <w:snapToGrid w:val="0"/>
        </w:rPr>
        <w:tab/>
        <w:t>suspend the agent from carrying on his business for such period as may be specified in the order; and</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 and</w:t>
      </w:r>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 and</w:t>
      </w:r>
    </w:p>
    <w:p>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Commissioner</w:t>
      </w:r>
      <w:r>
        <w:rPr>
          <w:snapToGrid w:val="0"/>
        </w:rPr>
        <w:t>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 and</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w:t>
      </w:r>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[Section 93 amended by No. 59 of 1995 s. 42; No. 55 of 2004 s. 1021; No. 77 of 2006 Sch. 1 cl. 147(4) and (5); No. 58 of 2010 s. 134.]</w:t>
      </w:r>
    </w:p>
    <w:p>
      <w:pPr>
        <w:pStyle w:val="Heading5"/>
        <w:rPr>
          <w:snapToGrid w:val="0"/>
        </w:rPr>
      </w:pPr>
      <w:bookmarkStart w:id="195" w:name="_Toc404159110"/>
      <w:bookmarkStart w:id="196" w:name="_Toc435024499"/>
      <w:r>
        <w:rPr>
          <w:rStyle w:val="CharSectno"/>
        </w:rPr>
        <w:t>94</w:t>
      </w:r>
      <w:r>
        <w:rPr>
          <w:snapToGrid w:val="0"/>
        </w:rPr>
        <w:t>.</w:t>
      </w:r>
      <w:r>
        <w:rPr>
          <w:snapToGrid w:val="0"/>
        </w:rPr>
        <w:tab/>
        <w:t>Order under s. 93 for supervisor, effect of</w:t>
      </w:r>
      <w:bookmarkEnd w:id="195"/>
      <w:bookmarkEnd w:id="196"/>
    </w:p>
    <w:p>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 and</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r>
        <w:t>Commissioner</w:t>
      </w:r>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p>
    <w:p>
      <w:pPr>
        <w:pStyle w:val="Footnotesection"/>
      </w:pPr>
      <w:r>
        <w:tab/>
        <w:t>[Section 94 amended by No. 58 of 2010 s. 101 and 134.]</w:t>
      </w:r>
    </w:p>
    <w:p>
      <w:pPr>
        <w:pStyle w:val="Heading5"/>
        <w:rPr>
          <w:snapToGrid w:val="0"/>
        </w:rPr>
      </w:pPr>
      <w:bookmarkStart w:id="197" w:name="_Toc404159111"/>
      <w:bookmarkStart w:id="198" w:name="_Toc435024500"/>
      <w:r>
        <w:rPr>
          <w:rStyle w:val="CharSectno"/>
        </w:rPr>
        <w:t>95</w:t>
      </w:r>
      <w:r>
        <w:rPr>
          <w:snapToGrid w:val="0"/>
        </w:rPr>
        <w:t>.</w:t>
      </w:r>
      <w:r>
        <w:rPr>
          <w:snapToGrid w:val="0"/>
        </w:rPr>
        <w:tab/>
        <w:t>Supervisors’ duties</w:t>
      </w:r>
      <w:bookmarkEnd w:id="197"/>
      <w:bookmarkEnd w:id="198"/>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199" w:name="_Toc404159112"/>
      <w:bookmarkStart w:id="200" w:name="_Toc435024501"/>
      <w:r>
        <w:rPr>
          <w:rStyle w:val="CharSectno"/>
        </w:rPr>
        <w:t>96</w:t>
      </w:r>
      <w:r>
        <w:rPr>
          <w:snapToGrid w:val="0"/>
        </w:rPr>
        <w:t>.</w:t>
      </w:r>
      <w:r>
        <w:rPr>
          <w:snapToGrid w:val="0"/>
        </w:rPr>
        <w:tab/>
        <w:t>Hindering etc. supervisors, offence</w:t>
      </w:r>
      <w:bookmarkEnd w:id="199"/>
      <w:bookmarkEnd w:id="200"/>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[Section 96 amended by No. 43 of 1994 s. 11.]</w:t>
      </w:r>
    </w:p>
    <w:p>
      <w:pPr>
        <w:pStyle w:val="Heading5"/>
        <w:rPr>
          <w:snapToGrid w:val="0"/>
        </w:rPr>
      </w:pPr>
      <w:bookmarkStart w:id="201" w:name="_Toc404159113"/>
      <w:bookmarkStart w:id="202" w:name="_Toc435024502"/>
      <w:r>
        <w:rPr>
          <w:rStyle w:val="CharSectno"/>
        </w:rPr>
        <w:t>97</w:t>
      </w:r>
      <w:r>
        <w:rPr>
          <w:snapToGrid w:val="0"/>
        </w:rPr>
        <w:t>.</w:t>
      </w:r>
      <w:r>
        <w:rPr>
          <w:snapToGrid w:val="0"/>
        </w:rPr>
        <w:tab/>
        <w:t>Discharge or variation of s. 92 or 93 order</w:t>
      </w:r>
      <w:bookmarkEnd w:id="201"/>
      <w:bookmarkEnd w:id="202"/>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r>
        <w:tab/>
        <w:t>[Section 97 amended by No. 55 of 2004 s. 1021.]</w:t>
      </w:r>
    </w:p>
    <w:p>
      <w:pPr>
        <w:pStyle w:val="Heading5"/>
        <w:rPr>
          <w:snapToGrid w:val="0"/>
        </w:rPr>
      </w:pPr>
      <w:bookmarkStart w:id="203" w:name="_Toc404159114"/>
      <w:bookmarkStart w:id="204" w:name="_Toc435024503"/>
      <w:r>
        <w:rPr>
          <w:rStyle w:val="CharSectno"/>
        </w:rPr>
        <w:t>98</w:t>
      </w:r>
      <w:r>
        <w:rPr>
          <w:snapToGrid w:val="0"/>
        </w:rPr>
        <w:t>.</w:t>
      </w:r>
      <w:r>
        <w:rPr>
          <w:snapToGrid w:val="0"/>
        </w:rPr>
        <w:tab/>
        <w:t>SAT’s additional powers as to s. 92, 93 and 97 orders; schemes for distributing funds</w:t>
      </w:r>
      <w:bookmarkEnd w:id="203"/>
      <w:bookmarkEnd w:id="204"/>
    </w:p>
    <w:p>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[Section 98 amended by No. 59 of 1995 s. 40(1) and 42; No. 26 of 1999 s. 99(5); No. 55 of 2004 s. 1021; No. 77 of 2006 Sch. 1 cl. 147(6) and (7); No. 58 of 2010 s. 134.]</w:t>
      </w:r>
    </w:p>
    <w:p>
      <w:pPr>
        <w:pStyle w:val="Heading5"/>
        <w:rPr>
          <w:snapToGrid w:val="0"/>
        </w:rPr>
      </w:pPr>
      <w:bookmarkStart w:id="205" w:name="_Toc404159115"/>
      <w:bookmarkStart w:id="206" w:name="_Toc435024504"/>
      <w:r>
        <w:rPr>
          <w:rStyle w:val="CharSectno"/>
        </w:rPr>
        <w:t>99</w:t>
      </w:r>
      <w:r>
        <w:rPr>
          <w:snapToGrid w:val="0"/>
        </w:rPr>
        <w:t>.</w:t>
      </w:r>
      <w:r>
        <w:rPr>
          <w:snapToGrid w:val="0"/>
        </w:rPr>
        <w:tab/>
        <w:t>Service of s. 92, 93, 97 or 98 orders; penalty for breach of</w:t>
      </w:r>
      <w:bookmarkEnd w:id="205"/>
      <w:bookmarkEnd w:id="206"/>
    </w:p>
    <w:p>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(8); No. 58 of 2010 s. 134.]</w:t>
      </w:r>
    </w:p>
    <w:p>
      <w:pPr>
        <w:pStyle w:val="Heading5"/>
        <w:spacing w:before="180"/>
      </w:pPr>
      <w:bookmarkStart w:id="207" w:name="_Toc404159116"/>
      <w:bookmarkStart w:id="208" w:name="_Toc435024505"/>
      <w:r>
        <w:rPr>
          <w:rStyle w:val="CharSectno"/>
        </w:rPr>
        <w:t>100</w:t>
      </w:r>
      <w:r>
        <w:t>.</w:t>
      </w:r>
      <w:r>
        <w:tab/>
        <w:t>Banks etc., duty to disclose certain accounts etc. if required to by authorised person</w:t>
      </w:r>
      <w:bookmarkEnd w:id="207"/>
      <w:bookmarkEnd w:id="208"/>
    </w:p>
    <w:p>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Footnotesection"/>
        <w:spacing w:before="80"/>
        <w:ind w:left="890" w:hanging="890"/>
      </w:pPr>
      <w:r>
        <w:tab/>
        <w:t>[Section 100 inserted by No. 58 of 2010 s. 102.]</w:t>
      </w:r>
    </w:p>
    <w:p>
      <w:pPr>
        <w:pStyle w:val="Heading5"/>
        <w:spacing w:before="180"/>
        <w:rPr>
          <w:snapToGrid w:val="0"/>
        </w:rPr>
      </w:pPr>
      <w:bookmarkStart w:id="209" w:name="_Toc404159117"/>
      <w:bookmarkStart w:id="210" w:name="_Toc435024506"/>
      <w:r>
        <w:rPr>
          <w:rStyle w:val="CharSectno"/>
        </w:rPr>
        <w:t>100A</w:t>
      </w:r>
      <w:r>
        <w:rPr>
          <w:snapToGrid w:val="0"/>
        </w:rPr>
        <w:t>.</w:t>
      </w:r>
      <w:r>
        <w:rPr>
          <w:snapToGrid w:val="0"/>
        </w:rPr>
        <w:tab/>
      </w:r>
      <w:r>
        <w:t>Information about trust accounts, Commissioner’s power to obtain</w:t>
      </w:r>
      <w:bookmarkEnd w:id="209"/>
      <w:bookmarkEnd w:id="210"/>
    </w:p>
    <w:p>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p>
    <w:p>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w:t>
      </w:r>
    </w:p>
    <w:p>
      <w:pPr>
        <w:pStyle w:val="Indenta"/>
        <w:spacing w:before="60"/>
        <w:rPr>
          <w:snapToGrid w:val="0"/>
        </w:rPr>
      </w:pPr>
      <w:r>
        <w:rPr>
          <w:snapToGrid w:val="0"/>
        </w:rPr>
        <w:tab/>
        <w:t>(a)</w:t>
      </w:r>
      <w:r>
        <w:rPr>
          <w:snapToGrid w:val="0"/>
        </w:rPr>
        <w:tab/>
        <w:t>shall be given by notice in writing to the person required to give the information; and</w:t>
      </w:r>
    </w:p>
    <w:p>
      <w:pPr>
        <w:pStyle w:val="Indenta"/>
        <w:spacing w:before="60"/>
        <w:rPr>
          <w:snapToGrid w:val="0"/>
        </w:rPr>
      </w:pPr>
      <w:r>
        <w:rPr>
          <w:snapToGrid w:val="0"/>
        </w:rPr>
        <w:tab/>
        <w:t>(b)</w:t>
      </w:r>
      <w:r>
        <w:rPr>
          <w:snapToGrid w:val="0"/>
        </w:rPr>
        <w:tab/>
        <w:t>shall specify the time at or within which the information is to be given; and</w:t>
      </w:r>
    </w:p>
    <w:p>
      <w:pPr>
        <w:pStyle w:val="Indenta"/>
        <w:keepNext/>
        <w:spacing w:before="60"/>
        <w:rPr>
          <w:snapToGrid w:val="0"/>
        </w:rPr>
      </w:pPr>
      <w:r>
        <w:rPr>
          <w:snapToGrid w:val="0"/>
        </w:rPr>
        <w:tab/>
        <w:t>(c)</w:t>
      </w:r>
      <w:r>
        <w:rPr>
          <w:snapToGrid w:val="0"/>
        </w:rPr>
        <w:tab/>
        <w:t>may, by its terms, require that the information be —</w:t>
      </w:r>
    </w:p>
    <w:p>
      <w:pPr>
        <w:pStyle w:val="Indenti"/>
        <w:spacing w:before="60"/>
        <w:rPr>
          <w:snapToGrid w:val="0"/>
        </w:rPr>
      </w:pPr>
      <w:r>
        <w:rPr>
          <w:snapToGrid w:val="0"/>
        </w:rPr>
        <w:tab/>
        <w:t>(i)</w:t>
      </w:r>
      <w:r>
        <w:rPr>
          <w:snapToGrid w:val="0"/>
        </w:rPr>
        <w:tab/>
        <w:t>given in writing; and</w:t>
      </w:r>
    </w:p>
    <w:p>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 and</w:t>
      </w:r>
    </w:p>
    <w:p>
      <w:pPr>
        <w:pStyle w:val="Indenti"/>
        <w:spacing w:before="60"/>
        <w:rPr>
          <w:snapToGrid w:val="0"/>
        </w:rPr>
      </w:pPr>
      <w:r>
        <w:rPr>
          <w:snapToGrid w:val="0"/>
        </w:rPr>
        <w:tab/>
        <w:t>(iii)</w:t>
      </w:r>
      <w:r>
        <w:rPr>
          <w:snapToGrid w:val="0"/>
        </w:rPr>
        <w:tab/>
        <w:t>given at or sent or delivered to any place specified in the requirement; and</w:t>
      </w:r>
    </w:p>
    <w:p>
      <w:pPr>
        <w:pStyle w:val="Indenti"/>
        <w:spacing w:before="60"/>
        <w:rPr>
          <w:snapToGrid w:val="0"/>
        </w:rPr>
      </w:pPr>
      <w:r>
        <w:rPr>
          <w:snapToGrid w:val="0"/>
        </w:rPr>
        <w:tab/>
        <w:t>(iv)</w:t>
      </w:r>
      <w:r>
        <w:rPr>
          <w:snapToGrid w:val="0"/>
        </w:rPr>
        <w:tab/>
        <w:t>sent or delivered by any means specified in the requirement; and</w:t>
      </w:r>
    </w:p>
    <w:p>
      <w:pPr>
        <w:pStyle w:val="Indenti"/>
        <w:spacing w:before="60"/>
        <w:rPr>
          <w:snapToGrid w:val="0"/>
        </w:rPr>
      </w:pPr>
      <w:r>
        <w:rPr>
          <w:snapToGrid w:val="0"/>
        </w:rPr>
        <w:tab/>
        <w:t>(v)</w:t>
      </w:r>
      <w:r>
        <w:rPr>
          <w:snapToGrid w:val="0"/>
        </w:rPr>
        <w:tab/>
        <w:t>given on oath or affirmation or by statutory declaration;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spacing w:before="140"/>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spacing w:before="140"/>
        <w:rPr>
          <w:snapToGrid w:val="0"/>
        </w:rPr>
      </w:pPr>
      <w:r>
        <w:rPr>
          <w:snapToGrid w:val="0"/>
        </w:rPr>
        <w:tab/>
        <w:t>(5)</w:t>
      </w:r>
      <w:r>
        <w:rPr>
          <w:snapToGrid w:val="0"/>
        </w:rPr>
        <w:tab/>
        <w:t>It is a defence in proceedings for an offence against subsection (3) for the person to show that —</w:t>
      </w:r>
    </w:p>
    <w:p>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[Section 100A inserted by No. 59 of 1995 s. 19; amended by No. 10 of 2001 s. 220; No. 58 of 2010 s. 134.]</w:t>
      </w:r>
    </w:p>
    <w:p>
      <w:pPr>
        <w:pStyle w:val="Heading2"/>
      </w:pPr>
      <w:bookmarkStart w:id="211" w:name="_Toc404159118"/>
      <w:bookmarkStart w:id="212" w:name="_Toc424293144"/>
      <w:bookmarkStart w:id="213" w:name="_Toc435024507"/>
      <w:r>
        <w:rPr>
          <w:rStyle w:val="CharPartNo"/>
        </w:rPr>
        <w:t>Part VII</w:t>
      </w:r>
      <w:r>
        <w:rPr>
          <w:rStyle w:val="CharDivNo"/>
        </w:rPr>
        <w:t> </w:t>
      </w:r>
      <w:r>
        <w:t>—</w:t>
      </w:r>
      <w:r>
        <w:rPr>
          <w:rStyle w:val="CharDivText"/>
        </w:rPr>
        <w:t> </w:t>
      </w:r>
      <w:r>
        <w:rPr>
          <w:rStyle w:val="CharPartText"/>
        </w:rPr>
        <w:t>Discipline of agents and sales representatives</w:t>
      </w:r>
      <w:bookmarkEnd w:id="211"/>
      <w:bookmarkEnd w:id="212"/>
      <w:bookmarkEnd w:id="213"/>
    </w:p>
    <w:p>
      <w:pPr>
        <w:pStyle w:val="Heading5"/>
        <w:rPr>
          <w:snapToGrid w:val="0"/>
        </w:rPr>
      </w:pPr>
      <w:bookmarkStart w:id="214" w:name="_Toc404159119"/>
      <w:bookmarkStart w:id="215" w:name="_Toc435024508"/>
      <w:r>
        <w:rPr>
          <w:rStyle w:val="CharSectno"/>
        </w:rPr>
        <w:t>101</w:t>
      </w:r>
      <w:r>
        <w:rPr>
          <w:snapToGrid w:val="0"/>
        </w:rPr>
        <w:t>.</w:t>
      </w:r>
      <w:r>
        <w:rPr>
          <w:snapToGrid w:val="0"/>
        </w:rPr>
        <w:tab/>
      </w:r>
      <w:r>
        <w:t>Codes of conduct</w:t>
      </w:r>
      <w:bookmarkEnd w:id="214"/>
      <w:bookmarkEnd w:id="215"/>
    </w:p>
    <w:p>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pPr>
      <w:r>
        <w:tab/>
        <w:t>[Section 101 amended by No. 58 of 2010 s. 134.]</w:t>
      </w:r>
    </w:p>
    <w:p>
      <w:pPr>
        <w:pStyle w:val="Heading5"/>
        <w:rPr>
          <w:snapToGrid w:val="0"/>
        </w:rPr>
      </w:pPr>
      <w:bookmarkStart w:id="216" w:name="_Toc404159120"/>
      <w:bookmarkStart w:id="217" w:name="_Toc435024509"/>
      <w:r>
        <w:rPr>
          <w:rStyle w:val="CharSectno"/>
        </w:rPr>
        <w:t>102</w:t>
      </w:r>
      <w:r>
        <w:rPr>
          <w:snapToGrid w:val="0"/>
        </w:rPr>
        <w:t>.</w:t>
      </w:r>
      <w:r>
        <w:rPr>
          <w:snapToGrid w:val="0"/>
        </w:rPr>
        <w:tab/>
        <w:t>Disciplinary action by SAT, alleging cause for</w:t>
      </w:r>
      <w:bookmarkEnd w:id="216"/>
      <w:bookmarkEnd w:id="217"/>
    </w:p>
    <w:p>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[Section 102 amended by No. 74 of 1980 s. 10; No. 34 of 1998 s. 16; No. 55 of 2004 s. 1013 and 1020; No. 58 of 2010 s. 134.]</w:t>
      </w:r>
    </w:p>
    <w:p>
      <w:pPr>
        <w:pStyle w:val="Heading5"/>
        <w:rPr>
          <w:snapToGrid w:val="0"/>
        </w:rPr>
      </w:pPr>
      <w:bookmarkStart w:id="218" w:name="_Toc404159121"/>
      <w:bookmarkStart w:id="219" w:name="_Toc435024510"/>
      <w:r>
        <w:rPr>
          <w:rStyle w:val="CharSectno"/>
        </w:rPr>
        <w:t>103</w:t>
      </w:r>
      <w:r>
        <w:rPr>
          <w:snapToGrid w:val="0"/>
        </w:rPr>
        <w:t>.</w:t>
      </w:r>
      <w:r>
        <w:rPr>
          <w:snapToGrid w:val="0"/>
        </w:rPr>
        <w:tab/>
        <w:t>Disciplinary action, SAT’s powers as to</w:t>
      </w:r>
      <w:bookmarkEnd w:id="218"/>
      <w:bookmarkEnd w:id="219"/>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p>
    <w:p>
      <w:pPr>
        <w:pStyle w:val="Indenta"/>
        <w:spacing w:before="70"/>
        <w:rPr>
          <w:snapToGrid w:val="0"/>
        </w:rPr>
      </w:pPr>
      <w:r>
        <w:rPr>
          <w:snapToGrid w:val="0"/>
        </w:rPr>
        <w:tab/>
        <w:t>(a)</w:t>
      </w:r>
      <w:r>
        <w:rPr>
          <w:snapToGrid w:val="0"/>
        </w:rPr>
        <w:tab/>
        <w:t>reprimand or caution the agent;</w:t>
      </w:r>
    </w:p>
    <w:p>
      <w:pPr>
        <w:pStyle w:val="Indenta"/>
        <w:spacing w:before="70"/>
        <w:rPr>
          <w:snapToGrid w:val="0"/>
        </w:rPr>
      </w:pPr>
      <w:r>
        <w:rPr>
          <w:snapToGrid w:val="0"/>
        </w:rPr>
        <w:tab/>
        <w:t>(b)</w:t>
      </w:r>
      <w:r>
        <w:rPr>
          <w:snapToGrid w:val="0"/>
        </w:rPr>
        <w:tab/>
        <w:t>impose a fine not exceeding $10 000 on him;</w:t>
      </w:r>
    </w:p>
    <w:p>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p>
    <w:p>
      <w:pPr>
        <w:pStyle w:val="Indenti"/>
        <w:spacing w:before="70"/>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p>
    <w:p>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w:t>
      </w:r>
    </w:p>
    <w:p>
      <w:pPr>
        <w:pStyle w:val="Indenta"/>
        <w:rPr>
          <w:snapToGrid w:val="0"/>
        </w:rPr>
      </w:pPr>
      <w:r>
        <w:rPr>
          <w:snapToGrid w:val="0"/>
        </w:rPr>
        <w:tab/>
        <w:t>(a)</w:t>
      </w:r>
      <w:r>
        <w:rPr>
          <w:snapToGrid w:val="0"/>
        </w:rPr>
        <w:tab/>
        <w:t>the agent improperly obtained a licence or triennial certificate; or</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pPr>
        <w:pStyle w:val="Indenta"/>
        <w:keepNext/>
        <w:rPr>
          <w:snapToGrid w:val="0"/>
        </w:rPr>
      </w:pPr>
      <w:r>
        <w:rPr>
          <w:snapToGrid w:val="0"/>
        </w:rPr>
        <w:tab/>
        <w:t>(c)</w:t>
      </w:r>
      <w:r>
        <w:rPr>
          <w:snapToGrid w:val="0"/>
        </w:rPr>
        <w:tab/>
        <w:t>the agent is acting or has acted in breach of —</w:t>
      </w:r>
    </w:p>
    <w:p>
      <w:pPr>
        <w:pStyle w:val="Indenti"/>
        <w:rPr>
          <w:snapToGrid w:val="0"/>
        </w:rPr>
      </w:pPr>
      <w:r>
        <w:rPr>
          <w:snapToGrid w:val="0"/>
        </w:rPr>
        <w:tab/>
        <w:t>(i)</w:t>
      </w:r>
      <w:r>
        <w:rPr>
          <w:snapToGrid w:val="0"/>
        </w:rPr>
        <w:tab/>
        <w:t>a special condition of his licence or triennial certificate;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w:t>
      </w:r>
    </w:p>
    <w:p>
      <w:pPr>
        <w:pStyle w:val="Indenta"/>
        <w:rPr>
          <w:snapToGrid w:val="0"/>
        </w:rPr>
      </w:pPr>
      <w:r>
        <w:rPr>
          <w:snapToGrid w:val="0"/>
        </w:rPr>
        <w:tab/>
        <w:t>(a)</w:t>
      </w:r>
      <w:r>
        <w:rPr>
          <w:snapToGrid w:val="0"/>
        </w:rPr>
        <w:tab/>
        <w:t>the sales representative improperly obtained registration; or</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 or</w:t>
      </w:r>
    </w:p>
    <w:p>
      <w:pPr>
        <w:pStyle w:val="Indenta"/>
        <w:keepNext/>
        <w:rPr>
          <w:snapToGrid w:val="0"/>
        </w:rPr>
      </w:pPr>
      <w:r>
        <w:rPr>
          <w:snapToGrid w:val="0"/>
        </w:rPr>
        <w:tab/>
        <w:t>(c)</w:t>
      </w:r>
      <w:r>
        <w:rPr>
          <w:snapToGrid w:val="0"/>
        </w:rPr>
        <w:tab/>
        <w:t>the sales representative is acting or has acted in breach of —</w:t>
      </w:r>
    </w:p>
    <w:p>
      <w:pPr>
        <w:pStyle w:val="Indenti"/>
        <w:rPr>
          <w:snapToGrid w:val="0"/>
        </w:rPr>
      </w:pPr>
      <w:r>
        <w:rPr>
          <w:snapToGrid w:val="0"/>
        </w:rPr>
        <w:tab/>
        <w:t>(i)</w:t>
      </w:r>
      <w:r>
        <w:rPr>
          <w:snapToGrid w:val="0"/>
        </w:rPr>
        <w:tab/>
        <w:t>a special condition of his registration;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code of conduct for sales representatives;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[Section 103 amended by No. 43 of 1994 s. 11; No. 59 of 1995 s. 20; No. 34 of 1998 s. 17; No. 55 of 2004 s. 1014 and 1020; No. 58 of 2010 s. 134.]</w:t>
      </w:r>
    </w:p>
    <w:p>
      <w:pPr>
        <w:pStyle w:val="Heading5"/>
        <w:rPr>
          <w:snapToGrid w:val="0"/>
        </w:rPr>
      </w:pPr>
      <w:bookmarkStart w:id="220" w:name="_Toc404159122"/>
      <w:bookmarkStart w:id="221" w:name="_Toc435024511"/>
      <w:r>
        <w:rPr>
          <w:rStyle w:val="CharSectno"/>
        </w:rPr>
        <w:t>104</w:t>
      </w:r>
      <w:r>
        <w:rPr>
          <w:snapToGrid w:val="0"/>
        </w:rPr>
        <w:t>.</w:t>
      </w:r>
      <w:r>
        <w:rPr>
          <w:snapToGrid w:val="0"/>
        </w:rPr>
        <w:tab/>
        <w:t>Offences that cause licence and triennial certificate to be cancelled</w:t>
      </w:r>
      <w:bookmarkEnd w:id="220"/>
      <w:bookmarkEnd w:id="221"/>
    </w:p>
    <w:p>
      <w:pPr>
        <w:pStyle w:val="Subsection"/>
        <w:keepNext/>
        <w:rPr>
          <w:snapToGrid w:val="0"/>
        </w:rPr>
      </w:pPr>
      <w:r>
        <w:rPr>
          <w:snapToGrid w:val="0"/>
        </w:rPr>
        <w:tab/>
      </w:r>
      <w:r>
        <w:rPr>
          <w:snapToGrid w:val="0"/>
        </w:rPr>
        <w:tab/>
        <w:t>If a licensee is convicted of an offence involving —</w:t>
      </w:r>
    </w:p>
    <w:p>
      <w:pPr>
        <w:pStyle w:val="Indenta"/>
        <w:rPr>
          <w:snapToGrid w:val="0"/>
        </w:rPr>
      </w:pPr>
      <w:r>
        <w:rPr>
          <w:snapToGrid w:val="0"/>
        </w:rPr>
        <w:tab/>
        <w:t>(a)</w:t>
      </w:r>
      <w:r>
        <w:rPr>
          <w:snapToGrid w:val="0"/>
        </w:rPr>
        <w:tab/>
        <w:t>defalcation by the licensee; or</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pPr>
        <w:pStyle w:val="Footnotesection"/>
      </w:pPr>
      <w:r>
        <w:tab/>
        <w:t>[Section 104 amended by No. 59 of 2004 s. 141; No. 58 of 2010 s. 134.]</w:t>
      </w:r>
    </w:p>
    <w:p>
      <w:pPr>
        <w:pStyle w:val="Heading5"/>
        <w:rPr>
          <w:snapToGrid w:val="0"/>
        </w:rPr>
      </w:pPr>
      <w:bookmarkStart w:id="222" w:name="_Toc404159123"/>
      <w:bookmarkStart w:id="223" w:name="_Toc435024512"/>
      <w:r>
        <w:rPr>
          <w:rStyle w:val="CharSectno"/>
        </w:rPr>
        <w:t>105</w:t>
      </w:r>
      <w:r>
        <w:rPr>
          <w:snapToGrid w:val="0"/>
        </w:rPr>
        <w:t>.</w:t>
      </w:r>
      <w:r>
        <w:rPr>
          <w:snapToGrid w:val="0"/>
        </w:rPr>
        <w:tab/>
        <w:t>Certain offences by licensees, additional sentencing powers for</w:t>
      </w:r>
      <w:bookmarkEnd w:id="222"/>
      <w:bookmarkEnd w:id="223"/>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p>
    <w:p>
      <w:pPr>
        <w:pStyle w:val="Indenta"/>
        <w:spacing w:before="60"/>
        <w:rPr>
          <w:snapToGrid w:val="0"/>
        </w:rPr>
      </w:pPr>
      <w:r>
        <w:rPr>
          <w:snapToGrid w:val="0"/>
        </w:rPr>
        <w:tab/>
        <w:t>(a)</w:t>
      </w:r>
      <w:r>
        <w:rPr>
          <w:snapToGrid w:val="0"/>
        </w:rPr>
        <w:tab/>
        <w:t>reprimand or caution the licensee;</w:t>
      </w:r>
    </w:p>
    <w:p>
      <w:pPr>
        <w:pStyle w:val="Indenta"/>
        <w:spacing w:before="60"/>
        <w:rPr>
          <w:snapToGrid w:val="0"/>
        </w:rPr>
      </w:pPr>
      <w:r>
        <w:rPr>
          <w:snapToGrid w:val="0"/>
        </w:rPr>
        <w:tab/>
        <w:t>(b)</w:t>
      </w:r>
      <w:r>
        <w:rPr>
          <w:snapToGrid w:val="0"/>
        </w:rPr>
        <w:tab/>
        <w:t>impose a fine not exceeding $10 000 on him;</w:t>
      </w:r>
    </w:p>
    <w:p>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[Section 105 amended by No. 43 of 1994 s. 11; No. 55 of 2004 s. 1020; No. 59 of 2004 s. 141; No. 58 of 2010 s. 134.]</w:t>
      </w:r>
    </w:p>
    <w:p>
      <w:pPr>
        <w:pStyle w:val="Heading5"/>
        <w:rPr>
          <w:snapToGrid w:val="0"/>
        </w:rPr>
      </w:pPr>
      <w:bookmarkStart w:id="224" w:name="_Toc404159124"/>
      <w:bookmarkStart w:id="225" w:name="_Toc435024513"/>
      <w:r>
        <w:rPr>
          <w:rStyle w:val="CharSectno"/>
        </w:rPr>
        <w:t>106</w:t>
      </w:r>
      <w:r>
        <w:rPr>
          <w:snapToGrid w:val="0"/>
        </w:rPr>
        <w:t>.</w:t>
      </w:r>
      <w:r>
        <w:rPr>
          <w:snapToGrid w:val="0"/>
        </w:rPr>
        <w:tab/>
        <w:t>Persons with cancelled licences etc., offences by and in respect of</w:t>
      </w:r>
      <w:bookmarkEnd w:id="224"/>
      <w:bookmarkEnd w:id="225"/>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has had his licence cancelled under this Act; or</w:t>
      </w:r>
    </w:p>
    <w:p>
      <w:pPr>
        <w:pStyle w:val="Indenta"/>
        <w:spacing w:before="60"/>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p>
    <w:p>
      <w:pPr>
        <w:pStyle w:val="Indenta"/>
        <w:rPr>
          <w:snapToGrid w:val="0"/>
        </w:rPr>
      </w:pPr>
      <w:r>
        <w:rPr>
          <w:snapToGrid w:val="0"/>
        </w:rPr>
        <w:tab/>
        <w:t>(a)</w:t>
      </w:r>
      <w:r>
        <w:rPr>
          <w:snapToGrid w:val="0"/>
        </w:rPr>
        <w:tab/>
        <w:t>has had his licence cancelled under this Act; or</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[Section 106 amended by No. 43 of 1994 s. 11; No. 58 of 2010 s. 134.]</w:t>
      </w:r>
    </w:p>
    <w:p>
      <w:pPr>
        <w:pStyle w:val="Heading2"/>
      </w:pPr>
      <w:bookmarkStart w:id="226" w:name="_Toc404159125"/>
      <w:bookmarkStart w:id="227" w:name="_Toc424293151"/>
      <w:bookmarkStart w:id="228" w:name="_Toc435024514"/>
      <w:r>
        <w:rPr>
          <w:rStyle w:val="CharPartNo"/>
        </w:rPr>
        <w:t>Part VIII</w:t>
      </w:r>
      <w:r>
        <w:rPr>
          <w:rStyle w:val="CharDivNo"/>
        </w:rPr>
        <w:t> </w:t>
      </w:r>
      <w:r>
        <w:t>—</w:t>
      </w:r>
      <w:r>
        <w:rPr>
          <w:rStyle w:val="CharDivText"/>
        </w:rPr>
        <w:t> </w:t>
      </w:r>
      <w:r>
        <w:rPr>
          <w:rStyle w:val="CharPartText"/>
        </w:rPr>
        <w:t>Fidelity Guarantee Account</w:t>
      </w:r>
      <w:bookmarkEnd w:id="226"/>
      <w:bookmarkEnd w:id="227"/>
      <w:bookmarkEnd w:id="228"/>
    </w:p>
    <w:p>
      <w:pPr>
        <w:pStyle w:val="Footnoteheading"/>
      </w:pPr>
      <w:r>
        <w:tab/>
        <w:t>[Heading amended by No. 77 of 2006 Sch. 1 cl. 147(8).]</w:t>
      </w:r>
    </w:p>
    <w:p>
      <w:pPr>
        <w:pStyle w:val="Heading5"/>
      </w:pPr>
      <w:bookmarkStart w:id="229" w:name="_Toc404159126"/>
      <w:bookmarkStart w:id="230" w:name="_Toc435024515"/>
      <w:r>
        <w:rPr>
          <w:rStyle w:val="CharSectno"/>
        </w:rPr>
        <w:t>107</w:t>
      </w:r>
      <w:r>
        <w:t>.</w:t>
      </w:r>
      <w:r>
        <w:tab/>
        <w:t>Account established</w:t>
      </w:r>
      <w:bookmarkEnd w:id="229"/>
      <w:bookmarkEnd w:id="230"/>
    </w:p>
    <w:p>
      <w:pPr>
        <w:pStyle w:val="Subsection"/>
      </w:pPr>
      <w:r>
        <w:tab/>
      </w:r>
      <w:r>
        <w:tab/>
        <w:t>An account called the Real Estate and Business Agents Fidelity Guarantee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inserted by No. 77 of 2006 Sch. 1 cl. 147(9).]</w:t>
      </w:r>
    </w:p>
    <w:p>
      <w:pPr>
        <w:pStyle w:val="Heading5"/>
        <w:rPr>
          <w:snapToGrid w:val="0"/>
        </w:rPr>
      </w:pPr>
      <w:bookmarkStart w:id="231" w:name="_Toc404159127"/>
      <w:bookmarkStart w:id="232" w:name="_Toc435024516"/>
      <w:r>
        <w:rPr>
          <w:rStyle w:val="CharSectno"/>
        </w:rPr>
        <w:t>108</w:t>
      </w:r>
      <w:r>
        <w:rPr>
          <w:snapToGrid w:val="0"/>
        </w:rPr>
        <w:t>.</w:t>
      </w:r>
      <w:r>
        <w:rPr>
          <w:snapToGrid w:val="0"/>
        </w:rPr>
        <w:tab/>
        <w:t>Investment of moneys in account</w:t>
      </w:r>
      <w:bookmarkEnd w:id="231"/>
      <w:bookmarkEnd w:id="232"/>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[Section 108 inserted by No. 59 of 1995 s. 22; amended by No. 77 of 2006 Sch. 1 cl. 147(2) and (10).]</w:t>
      </w:r>
    </w:p>
    <w:p>
      <w:pPr>
        <w:pStyle w:val="Heading5"/>
        <w:rPr>
          <w:snapToGrid w:val="0"/>
        </w:rPr>
      </w:pPr>
      <w:bookmarkStart w:id="233" w:name="_Toc404159128"/>
      <w:bookmarkStart w:id="234" w:name="_Toc435024517"/>
      <w:r>
        <w:rPr>
          <w:rStyle w:val="CharSectno"/>
        </w:rPr>
        <w:t>109</w:t>
      </w:r>
      <w:r>
        <w:rPr>
          <w:snapToGrid w:val="0"/>
        </w:rPr>
        <w:t>.</w:t>
      </w:r>
      <w:r>
        <w:rPr>
          <w:snapToGrid w:val="0"/>
        </w:rPr>
        <w:tab/>
        <w:t>Moneys to be credited to account</w:t>
      </w:r>
      <w:bookmarkEnd w:id="233"/>
      <w:bookmarkEnd w:id="234"/>
    </w:p>
    <w:p>
      <w:pPr>
        <w:pStyle w:val="Subsection"/>
        <w:keepNext/>
        <w:rPr>
          <w:snapToGrid w:val="0"/>
        </w:rPr>
      </w:pPr>
      <w:r>
        <w:rPr>
          <w:snapToGrid w:val="0"/>
        </w:rPr>
        <w:tab/>
      </w:r>
      <w:r>
        <w:rPr>
          <w:snapToGrid w:val="0"/>
        </w:rPr>
        <w:tab/>
        <w:t>There shall be credited to the Fidelity</w:t>
      </w:r>
      <w:r>
        <w:t xml:space="preserve"> Account</w:t>
      </w:r>
      <w:r>
        <w:rPr>
          <w:snapToGrid w:val="0"/>
        </w:rPr>
        <w:t>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 and</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 and</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 and</w:t>
      </w:r>
    </w:p>
    <w:p>
      <w:pPr>
        <w:pStyle w:val="Indenta"/>
        <w:rPr>
          <w:snapToGrid w:val="0"/>
        </w:rPr>
      </w:pPr>
      <w:r>
        <w:rPr>
          <w:snapToGrid w:val="0"/>
        </w:rPr>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[Section 109 amended by No. 29 of 1982 s. 5 and 12; No. 59 of 1995 s. 23 and 42; No. 77 of 2006 Sch. 1 cl. 147(2); No. 58 of 2010 s. 103.]</w:t>
      </w:r>
    </w:p>
    <w:p>
      <w:pPr>
        <w:pStyle w:val="Heading5"/>
        <w:rPr>
          <w:snapToGrid w:val="0"/>
        </w:rPr>
      </w:pPr>
      <w:bookmarkStart w:id="235" w:name="_Toc404159129"/>
      <w:bookmarkStart w:id="236" w:name="_Toc435024518"/>
      <w:r>
        <w:rPr>
          <w:rStyle w:val="CharSectno"/>
        </w:rPr>
        <w:t>110</w:t>
      </w:r>
      <w:r>
        <w:rPr>
          <w:snapToGrid w:val="0"/>
        </w:rPr>
        <w:t>.</w:t>
      </w:r>
      <w:r>
        <w:rPr>
          <w:snapToGrid w:val="0"/>
        </w:rPr>
        <w:tab/>
        <w:t>Expenditure from account</w:t>
      </w:r>
      <w:bookmarkEnd w:id="235"/>
      <w:bookmarkEnd w:id="236"/>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 and</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 and</w:t>
      </w:r>
    </w:p>
    <w:p>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 and</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 and</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[Section 110 amended by No. 29 of 1982 s. 12; No. 59 of 1995 s. 24 and 42; No. 77 of 2006 Sch. 1 cl. 147(2); No. 58 of 2010 s. 104.]</w:t>
      </w:r>
    </w:p>
    <w:p>
      <w:pPr>
        <w:pStyle w:val="Ednotesection"/>
        <w:spacing w:before="180"/>
        <w:ind w:left="890" w:hanging="890"/>
      </w:pPr>
      <w:r>
        <w:t>[</w:t>
      </w:r>
      <w:r>
        <w:rPr>
          <w:b/>
        </w:rPr>
        <w:t>111.</w:t>
      </w:r>
      <w:r>
        <w:tab/>
        <w:t>Deleted by No. 98 of 1985 s. 3.]</w:t>
      </w:r>
    </w:p>
    <w:p>
      <w:pPr>
        <w:pStyle w:val="Heading5"/>
        <w:spacing w:before="180"/>
        <w:rPr>
          <w:snapToGrid w:val="0"/>
        </w:rPr>
      </w:pPr>
      <w:bookmarkStart w:id="237" w:name="_Toc404159130"/>
      <w:bookmarkStart w:id="238" w:name="_Toc435024519"/>
      <w:r>
        <w:rPr>
          <w:rStyle w:val="CharSectno"/>
        </w:rPr>
        <w:t>112</w:t>
      </w:r>
      <w:r>
        <w:rPr>
          <w:snapToGrid w:val="0"/>
        </w:rPr>
        <w:t>.</w:t>
      </w:r>
      <w:r>
        <w:rPr>
          <w:snapToGrid w:val="0"/>
        </w:rPr>
        <w:tab/>
      </w:r>
      <w:r>
        <w:t>Administration of account</w:t>
      </w:r>
      <w:bookmarkEnd w:id="237"/>
      <w:bookmarkEnd w:id="238"/>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pPr>
        <w:pStyle w:val="Footnotesection"/>
      </w:pPr>
      <w:r>
        <w:tab/>
        <w:t>[Section 112 amended by No. 29 of 1982 s. 12; No. 77 of 2006 Sch. 1 cl. 147(2); No. 58 of 2010 s. 105.]</w:t>
      </w:r>
    </w:p>
    <w:p>
      <w:pPr>
        <w:pStyle w:val="Heading5"/>
        <w:rPr>
          <w:snapToGrid w:val="0"/>
        </w:rPr>
      </w:pPr>
      <w:bookmarkStart w:id="239" w:name="_Toc404159131"/>
      <w:bookmarkStart w:id="240" w:name="_Toc435024520"/>
      <w:r>
        <w:rPr>
          <w:rStyle w:val="CharSectno"/>
        </w:rPr>
        <w:t>113</w:t>
      </w:r>
      <w:r>
        <w:rPr>
          <w:snapToGrid w:val="0"/>
        </w:rPr>
        <w:t>.</w:t>
      </w:r>
      <w:r>
        <w:rPr>
          <w:snapToGrid w:val="0"/>
        </w:rPr>
        <w:tab/>
        <w:t>Payments to account by applicants for licences etc.</w:t>
      </w:r>
      <w:bookmarkEnd w:id="239"/>
      <w:bookmarkEnd w:id="240"/>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pPr>
        <w:pStyle w:val="Footnotesection"/>
      </w:pPr>
      <w:r>
        <w:tab/>
        <w:t>[Section 113 amended by No. 29 of 1982 s. 12; No. 56 of 1995 s. 46; No. 59 of 1995 s. 42; No. 77 of 2006 Sch. 1 cl. 147(2); No. 58 of 2010 s. 106.]</w:t>
      </w:r>
    </w:p>
    <w:p>
      <w:pPr>
        <w:pStyle w:val="Heading5"/>
        <w:rPr>
          <w:snapToGrid w:val="0"/>
        </w:rPr>
      </w:pPr>
      <w:bookmarkStart w:id="241" w:name="_Toc404159132"/>
      <w:bookmarkStart w:id="242" w:name="_Toc435024521"/>
      <w:r>
        <w:rPr>
          <w:rStyle w:val="CharSectno"/>
        </w:rPr>
        <w:t>114</w:t>
      </w:r>
      <w:r>
        <w:rPr>
          <w:snapToGrid w:val="0"/>
        </w:rPr>
        <w:t>.</w:t>
      </w:r>
      <w:r>
        <w:rPr>
          <w:snapToGrid w:val="0"/>
        </w:rPr>
        <w:tab/>
        <w:t>Cap on payments under s. 113</w:t>
      </w:r>
      <w:bookmarkEnd w:id="241"/>
      <w:bookmarkEnd w:id="242"/>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[Section 114 amended by No. 74 of 1980 s. 11; No. 29 of 1982 s. 12; No. 59 of 1995 s. 42; No. 77 of 2006 Sch. 1 cl. 147(2).]</w:t>
      </w:r>
    </w:p>
    <w:p>
      <w:pPr>
        <w:pStyle w:val="Heading5"/>
        <w:rPr>
          <w:snapToGrid w:val="0"/>
        </w:rPr>
      </w:pPr>
      <w:bookmarkStart w:id="243" w:name="_Toc404159133"/>
      <w:bookmarkStart w:id="244" w:name="_Toc435024522"/>
      <w:r>
        <w:rPr>
          <w:rStyle w:val="CharSectno"/>
        </w:rPr>
        <w:t>115</w:t>
      </w:r>
      <w:r>
        <w:rPr>
          <w:snapToGrid w:val="0"/>
        </w:rPr>
        <w:t>.</w:t>
      </w:r>
      <w:r>
        <w:rPr>
          <w:snapToGrid w:val="0"/>
        </w:rPr>
        <w:tab/>
        <w:t>Levies for account against certificate holders</w:t>
      </w:r>
      <w:bookmarkEnd w:id="243"/>
      <w:bookmarkEnd w:id="244"/>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spacing w:before="140"/>
        <w:ind w:left="890" w:hanging="890"/>
      </w:pPr>
      <w:r>
        <w:tab/>
        <w:t>[Section 115 amended by No. 29 of 1982 s. 7; No. 77 of 1984 s. 3; No. 59 of 1995 s. 42; No. 77 of 2006 Sch. 1 cl. 147(2); No. 58 of 2010 s. 107.]</w:t>
      </w:r>
    </w:p>
    <w:p>
      <w:pPr>
        <w:pStyle w:val="Heading5"/>
        <w:rPr>
          <w:snapToGrid w:val="0"/>
        </w:rPr>
      </w:pPr>
      <w:bookmarkStart w:id="245" w:name="_Toc404159134"/>
      <w:bookmarkStart w:id="246" w:name="_Toc435024523"/>
      <w:r>
        <w:rPr>
          <w:rStyle w:val="CharSectno"/>
        </w:rPr>
        <w:t>116</w:t>
      </w:r>
      <w:r>
        <w:rPr>
          <w:snapToGrid w:val="0"/>
        </w:rPr>
        <w:t>.</w:t>
      </w:r>
      <w:r>
        <w:rPr>
          <w:snapToGrid w:val="0"/>
        </w:rPr>
        <w:tab/>
        <w:t>Purpose of account; making claims against account</w:t>
      </w:r>
      <w:bookmarkEnd w:id="245"/>
      <w:bookmarkEnd w:id="246"/>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pPr>
      <w:r>
        <w:tab/>
        <w:t>(2A)</w:t>
      </w:r>
      <w:r>
        <w:tab/>
        <w:t>For the purposes of a claim against the Fidelity Account, the reference in subsection (1) to any period when the licensee was the holder of a current triennial certificate includes a period when the licensee was not the holder of a current triennial certificate if the chief executive officer considers that it is just and reasonable in the circumstances of the claim.</w:t>
      </w:r>
    </w:p>
    <w:p>
      <w:pPr>
        <w:pStyle w:val="Subsection"/>
        <w:keepNext/>
        <w:keepLines/>
      </w:pPr>
      <w:r>
        <w:tab/>
        <w:t>(2)</w:t>
      </w:r>
      <w:r>
        <w:tab/>
        <w:t>The chief executive officer is to disallow a claim against the Fidelity Account unless —</w:t>
      </w:r>
    </w:p>
    <w:p>
      <w:pPr>
        <w:pStyle w:val="Indenta"/>
      </w:pPr>
      <w:r>
        <w:tab/>
        <w:t>(a)</w:t>
      </w:r>
      <w:r>
        <w:tab/>
        <w:t>notice of the claim is given in writing to the chief executive officer within 3 years after the day on which the claimant became aware of the defalcation; or</w:t>
      </w:r>
    </w:p>
    <w:p>
      <w:pPr>
        <w:pStyle w:val="Indenta"/>
      </w:pPr>
      <w:r>
        <w:tab/>
        <w:t>(b)</w:t>
      </w:r>
      <w:r>
        <w:tab/>
        <w:t>the chief executive officer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[Section 116 amended by No. 29 of 1982 s. 12; No. 3 of 2000 s. 4(1); No. 77 of 2006 Sch. 1 cl. 147(2); No. 58 of 2010 s. 108; No. 23 of 2014 s. 76.]</w:t>
      </w:r>
    </w:p>
    <w:p>
      <w:pPr>
        <w:pStyle w:val="Heading5"/>
        <w:spacing w:before="180"/>
        <w:rPr>
          <w:snapToGrid w:val="0"/>
        </w:rPr>
      </w:pPr>
      <w:bookmarkStart w:id="247" w:name="_Toc404159135"/>
      <w:bookmarkStart w:id="248" w:name="_Toc435024524"/>
      <w:r>
        <w:rPr>
          <w:rStyle w:val="CharSectno"/>
        </w:rPr>
        <w:t>117</w:t>
      </w:r>
      <w:r>
        <w:rPr>
          <w:snapToGrid w:val="0"/>
        </w:rPr>
        <w:t>.</w:t>
      </w:r>
      <w:r>
        <w:rPr>
          <w:snapToGrid w:val="0"/>
        </w:rPr>
        <w:tab/>
        <w:t>Claims against account; recovery from account</w:t>
      </w:r>
      <w:bookmarkEnd w:id="247"/>
      <w:bookmarkEnd w:id="248"/>
    </w:p>
    <w:p>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w:t>
      </w:r>
      <w:r>
        <w:rPr>
          <w:b/>
          <w:i/>
          <w:snapToGrid w:val="0"/>
        </w:rPr>
        <w:t>defalcation by a licensee</w:t>
      </w:r>
      <w:r>
        <w:rPr>
          <w:snapToGrid w:val="0"/>
        </w:rPr>
        <w:t xml:space="preserve"> in section 4.</w:t>
      </w:r>
    </w:p>
    <w:p>
      <w:pPr>
        <w:pStyle w:val="Footnotesection"/>
      </w:pPr>
      <w:r>
        <w:tab/>
        <w:t>[Section 117 amended by No. 29 of 1982 s. 12; No. 59 of 1995 s. 42; No. 3 of 2000 s. 5; No. 28 of 2003 s. 176; No. 77 of 2006 Sch. 1 cl. 147(2); No. 58 of 2010 s. 109.]</w:t>
      </w:r>
    </w:p>
    <w:p>
      <w:pPr>
        <w:pStyle w:val="Heading5"/>
        <w:rPr>
          <w:snapToGrid w:val="0"/>
        </w:rPr>
      </w:pPr>
      <w:bookmarkStart w:id="249" w:name="_Toc404159136"/>
      <w:bookmarkStart w:id="250" w:name="_Toc435024525"/>
      <w:r>
        <w:rPr>
          <w:rStyle w:val="CharSectno"/>
        </w:rPr>
        <w:t>118</w:t>
      </w:r>
      <w:r>
        <w:rPr>
          <w:snapToGrid w:val="0"/>
        </w:rPr>
        <w:t>.</w:t>
      </w:r>
      <w:r>
        <w:rPr>
          <w:snapToGrid w:val="0"/>
        </w:rPr>
        <w:tab/>
        <w:t>Defences to claims against account</w:t>
      </w:r>
      <w:bookmarkEnd w:id="249"/>
      <w:bookmarkEnd w:id="250"/>
    </w:p>
    <w:p>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pPr>
        <w:pStyle w:val="Footnotesection"/>
      </w:pPr>
      <w:r>
        <w:tab/>
        <w:t>[Section 118 amended by No. 28 of 1982 s. 12; No. 77 of 2006 Sch. 1 cl. 147(2); No. 58 of 2010 s. 110.]</w:t>
      </w:r>
    </w:p>
    <w:p>
      <w:pPr>
        <w:pStyle w:val="Heading5"/>
        <w:rPr>
          <w:snapToGrid w:val="0"/>
        </w:rPr>
      </w:pPr>
      <w:bookmarkStart w:id="251" w:name="_Toc404159137"/>
      <w:bookmarkStart w:id="252" w:name="_Toc435024526"/>
      <w:r>
        <w:rPr>
          <w:rStyle w:val="CharSectno"/>
        </w:rPr>
        <w:t>119</w:t>
      </w:r>
      <w:r>
        <w:rPr>
          <w:snapToGrid w:val="0"/>
        </w:rPr>
        <w:t>.</w:t>
      </w:r>
      <w:r>
        <w:rPr>
          <w:snapToGrid w:val="0"/>
        </w:rPr>
        <w:tab/>
      </w:r>
      <w:r>
        <w:t>Subrogation of rights of claimant against account</w:t>
      </w:r>
      <w:bookmarkEnd w:id="251"/>
      <w:bookmarkEnd w:id="252"/>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[Section 119 amended by No. 59 of 1995 s. 42; No. 77 of 2006 Sch. 1 cl. 147(2); No. 58 of 2010 s. 111.]</w:t>
      </w:r>
    </w:p>
    <w:p>
      <w:pPr>
        <w:pStyle w:val="Heading5"/>
        <w:rPr>
          <w:snapToGrid w:val="0"/>
        </w:rPr>
      </w:pPr>
      <w:bookmarkStart w:id="253" w:name="_Toc404159138"/>
      <w:bookmarkStart w:id="254" w:name="_Toc435024527"/>
      <w:r>
        <w:rPr>
          <w:rStyle w:val="CharSectno"/>
        </w:rPr>
        <w:t>120</w:t>
      </w:r>
      <w:r>
        <w:rPr>
          <w:snapToGrid w:val="0"/>
        </w:rPr>
        <w:t>.</w:t>
      </w:r>
      <w:r>
        <w:rPr>
          <w:snapToGrid w:val="0"/>
        </w:rPr>
        <w:tab/>
        <w:t>Insufficiency in a</w:t>
      </w:r>
      <w:r>
        <w:t>ccount</w:t>
      </w:r>
      <w:bookmarkEnd w:id="253"/>
      <w:bookmarkEnd w:id="254"/>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[Section 120 amended by No. 28 of 1982 s. 12; No. 59 of 1995 s. 25 and 42; No. 77 of 2006 Sch. 1 cl. 147(2); No. 58 of 2010 s. 112.]</w:t>
      </w:r>
    </w:p>
    <w:p>
      <w:pPr>
        <w:pStyle w:val="Heading5"/>
        <w:rPr>
          <w:snapToGrid w:val="0"/>
        </w:rPr>
      </w:pPr>
      <w:bookmarkStart w:id="255" w:name="_Toc404159139"/>
      <w:bookmarkStart w:id="256" w:name="_Toc435024528"/>
      <w:r>
        <w:rPr>
          <w:rStyle w:val="CharSectno"/>
        </w:rPr>
        <w:t>121</w:t>
      </w:r>
      <w:r>
        <w:rPr>
          <w:snapToGrid w:val="0"/>
        </w:rPr>
        <w:t>.</w:t>
      </w:r>
      <w:r>
        <w:rPr>
          <w:snapToGrid w:val="0"/>
        </w:rPr>
        <w:tab/>
      </w:r>
      <w:r>
        <w:t>State may insure against claims</w:t>
      </w:r>
      <w:bookmarkEnd w:id="255"/>
      <w:bookmarkEnd w:id="256"/>
    </w:p>
    <w:p>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Footnotesection"/>
      </w:pPr>
      <w:r>
        <w:tab/>
        <w:t>[Section 121 amended by No. 51 of 1986 s. 46(2); No. 58 of 2010 s. 113.]</w:t>
      </w:r>
    </w:p>
    <w:p>
      <w:pPr>
        <w:pStyle w:val="Heading5"/>
        <w:rPr>
          <w:snapToGrid w:val="0"/>
        </w:rPr>
      </w:pPr>
      <w:bookmarkStart w:id="257" w:name="_Toc404159140"/>
      <w:bookmarkStart w:id="258" w:name="_Toc435024529"/>
      <w:r>
        <w:rPr>
          <w:rStyle w:val="CharSectno"/>
        </w:rPr>
        <w:t>122</w:t>
      </w:r>
      <w:r>
        <w:rPr>
          <w:snapToGrid w:val="0"/>
        </w:rPr>
        <w:t>.</w:t>
      </w:r>
      <w:r>
        <w:rPr>
          <w:snapToGrid w:val="0"/>
        </w:rPr>
        <w:tab/>
        <w:t>Application of insurance payouts</w:t>
      </w:r>
      <w:bookmarkEnd w:id="257"/>
      <w:bookmarkEnd w:id="258"/>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[Section 122 amended by No. 29 of 1982 s. 12; No. 59 of 1995 s. 42; No. 77 of 2006 Sch. 1 cl. 147(2).]</w:t>
      </w:r>
    </w:p>
    <w:p>
      <w:pPr>
        <w:pStyle w:val="Heading5"/>
        <w:rPr>
          <w:snapToGrid w:val="0"/>
        </w:rPr>
      </w:pPr>
      <w:bookmarkStart w:id="259" w:name="_Toc404159141"/>
      <w:bookmarkStart w:id="260" w:name="_Toc435024530"/>
      <w:r>
        <w:rPr>
          <w:rStyle w:val="CharSectno"/>
        </w:rPr>
        <w:t>123</w:t>
      </w:r>
      <w:r>
        <w:rPr>
          <w:snapToGrid w:val="0"/>
        </w:rPr>
        <w:t>.</w:t>
      </w:r>
      <w:r>
        <w:rPr>
          <w:snapToGrid w:val="0"/>
        </w:rPr>
        <w:tab/>
        <w:t>Advertising for claims in relation to defaulting licensee</w:t>
      </w:r>
      <w:bookmarkEnd w:id="259"/>
      <w:bookmarkEnd w:id="260"/>
    </w:p>
    <w:p>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[Section 123 amended by No. 29 of 1982 s. 12; No. 77 of 2006 Sch. 1 cl. 147(2); No. 58 of 2010 s. 114.]</w:t>
      </w:r>
    </w:p>
    <w:p>
      <w:pPr>
        <w:pStyle w:val="Heading5"/>
        <w:rPr>
          <w:snapToGrid w:val="0"/>
        </w:rPr>
      </w:pPr>
      <w:bookmarkStart w:id="261" w:name="_Toc404159142"/>
      <w:bookmarkStart w:id="262" w:name="_Toc435024531"/>
      <w:r>
        <w:rPr>
          <w:rStyle w:val="CharSectno"/>
        </w:rPr>
        <w:t>124</w:t>
      </w:r>
      <w:r>
        <w:rPr>
          <w:snapToGrid w:val="0"/>
        </w:rPr>
        <w:t>.</w:t>
      </w:r>
      <w:r>
        <w:rPr>
          <w:snapToGrid w:val="0"/>
        </w:rPr>
        <w:tab/>
      </w:r>
      <w:r>
        <w:t>Documents etc. to support claims, CEO may require</w:t>
      </w:r>
      <w:bookmarkEnd w:id="261"/>
      <w:bookmarkEnd w:id="262"/>
    </w:p>
    <w:p>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pPr>
      <w:r>
        <w:tab/>
        <w:t>[Section 124 amended by No. 58 of 2010 s. 115.]</w:t>
      </w:r>
    </w:p>
    <w:p>
      <w:pPr>
        <w:pStyle w:val="Heading5"/>
      </w:pPr>
      <w:bookmarkStart w:id="263" w:name="_Toc404159143"/>
      <w:bookmarkStart w:id="264" w:name="_Toc435024532"/>
      <w:r>
        <w:rPr>
          <w:rStyle w:val="CharSectno"/>
        </w:rPr>
        <w:t>124AA</w:t>
      </w:r>
      <w:r>
        <w:t>.</w:t>
      </w:r>
      <w:r>
        <w:tab/>
        <w:t>Commissioner may investigate claims against Fidelity Account</w:t>
      </w:r>
      <w:bookmarkEnd w:id="263"/>
      <w:bookmarkEnd w:id="264"/>
    </w:p>
    <w:p>
      <w:pPr>
        <w:pStyle w:val="Subsection"/>
      </w:pPr>
      <w:r>
        <w:tab/>
        <w:t>(1)</w:t>
      </w:r>
      <w:r>
        <w:tab/>
        <w:t xml:space="preserve">Without limiting section 22, the Commissioner may, at and in accordance with the request of the chief executive officer, make an investigation or inquiry under the </w:t>
      </w:r>
      <w:r>
        <w:rPr>
          <w:i/>
        </w:rPr>
        <w:t>Fair Trading Act 2010</w:t>
      </w:r>
      <w:r>
        <w:t xml:space="preserve"> Part 6 in relation to a claim against the Fidelity Account.</w:t>
      </w:r>
    </w:p>
    <w:p>
      <w:pPr>
        <w:pStyle w:val="Subsection"/>
      </w:pPr>
      <w:r>
        <w:tab/>
        <w:t>(2)</w:t>
      </w:r>
      <w:r>
        <w:tab/>
        <w:t>For the purposes of the investigation or inquiry, the administration of the Fidelity Account is taken to be a function of the Commissioner.</w:t>
      </w:r>
    </w:p>
    <w:p>
      <w:pPr>
        <w:pStyle w:val="Subsection"/>
      </w:pPr>
      <w:r>
        <w:tab/>
        <w:t>(3)</w:t>
      </w:r>
      <w:r>
        <w:tab/>
        <w:t>The Commissioner must, as soon as practicable after completing the investigation or inquiry, prepare a report on the findings of the investigation or inquiry and give it to the chief executive officer.</w:t>
      </w:r>
    </w:p>
    <w:p>
      <w:pPr>
        <w:pStyle w:val="Footnotesection"/>
      </w:pPr>
      <w:r>
        <w:tab/>
        <w:t>[Section 124AA inserted by No. 23 of 2014 s. 77.]</w:t>
      </w:r>
    </w:p>
    <w:p>
      <w:pPr>
        <w:pStyle w:val="Heading2"/>
      </w:pPr>
      <w:bookmarkStart w:id="265" w:name="_Toc404159144"/>
      <w:bookmarkStart w:id="266" w:name="_Toc424293170"/>
      <w:bookmarkStart w:id="267" w:name="_Toc435024533"/>
      <w:r>
        <w:rPr>
          <w:rStyle w:val="CharPartNo"/>
        </w:rPr>
        <w:t>Part VIIIA</w:t>
      </w:r>
      <w:r>
        <w:rPr>
          <w:rStyle w:val="CharDivNo"/>
        </w:rPr>
        <w:t> </w:t>
      </w:r>
      <w:r>
        <w:t>—</w:t>
      </w:r>
      <w:r>
        <w:rPr>
          <w:rStyle w:val="CharDivText"/>
        </w:rPr>
        <w:t> </w:t>
      </w:r>
      <w:r>
        <w:rPr>
          <w:rStyle w:val="CharPartText"/>
        </w:rPr>
        <w:t>Education and General Purpose Account</w:t>
      </w:r>
      <w:bookmarkEnd w:id="265"/>
      <w:bookmarkEnd w:id="266"/>
      <w:bookmarkEnd w:id="267"/>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w:t>
      </w:r>
      <w:r>
        <w:t>Sch. 1 cl. 147(11)</w:t>
      </w:r>
      <w:r>
        <w:rPr>
          <w:snapToGrid w:val="0"/>
        </w:rPr>
        <w:t>.]</w:t>
      </w:r>
    </w:p>
    <w:p>
      <w:pPr>
        <w:pStyle w:val="Heading5"/>
        <w:rPr>
          <w:snapToGrid w:val="0"/>
        </w:rPr>
      </w:pPr>
      <w:bookmarkStart w:id="268" w:name="_Toc404159145"/>
      <w:bookmarkStart w:id="269" w:name="_Toc435024534"/>
      <w:r>
        <w:rPr>
          <w:rStyle w:val="CharSectno"/>
        </w:rPr>
        <w:t>124A</w:t>
      </w:r>
      <w:r>
        <w:rPr>
          <w:snapToGrid w:val="0"/>
        </w:rPr>
        <w:t>.</w:t>
      </w:r>
      <w:r>
        <w:rPr>
          <w:snapToGrid w:val="0"/>
        </w:rPr>
        <w:tab/>
        <w:t>Account established; administration of account</w:t>
      </w:r>
      <w:bookmarkEnd w:id="268"/>
      <w:bookmarkEnd w:id="269"/>
    </w:p>
    <w:p>
      <w:pPr>
        <w:pStyle w:val="Subsection"/>
      </w:pPr>
      <w:r>
        <w:tab/>
        <w:t>(1)</w:t>
      </w:r>
      <w:r>
        <w:tab/>
        <w:t>An account called the Education and General Purpose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chief executive officer.</w:t>
      </w:r>
    </w:p>
    <w:p>
      <w:pPr>
        <w:pStyle w:val="Footnotesection"/>
      </w:pPr>
      <w:r>
        <w:tab/>
        <w:t>[Section 124A inserted by No. 59 of 1995 s. 26; amended by No. 77 of 2006 Sch. 1 cl. 147(2) and (12); No. 58 of 2010 s. 134; No. 23 of 2014 s. 78.]</w:t>
      </w:r>
    </w:p>
    <w:p>
      <w:pPr>
        <w:pStyle w:val="Heading5"/>
        <w:rPr>
          <w:snapToGrid w:val="0"/>
        </w:rPr>
      </w:pPr>
      <w:bookmarkStart w:id="270" w:name="_Toc404159146"/>
      <w:bookmarkStart w:id="271" w:name="_Toc435024535"/>
      <w:r>
        <w:rPr>
          <w:rStyle w:val="CharSectno"/>
        </w:rPr>
        <w:t>124B</w:t>
      </w:r>
      <w:r>
        <w:rPr>
          <w:snapToGrid w:val="0"/>
        </w:rPr>
        <w:t>.</w:t>
      </w:r>
      <w:r>
        <w:rPr>
          <w:snapToGrid w:val="0"/>
        </w:rPr>
        <w:tab/>
        <w:t>Moneys to be credited to account</w:t>
      </w:r>
      <w:bookmarkEnd w:id="270"/>
      <w:bookmarkEnd w:id="271"/>
    </w:p>
    <w:p>
      <w:pPr>
        <w:pStyle w:val="Subsection"/>
        <w:keepNext/>
        <w:rPr>
          <w:snapToGrid w:val="0"/>
        </w:rPr>
      </w:pPr>
      <w:r>
        <w:rPr>
          <w:snapToGrid w:val="0"/>
        </w:rPr>
        <w:tab/>
      </w:r>
      <w:r>
        <w:rPr>
          <w:snapToGrid w:val="0"/>
        </w:rPr>
        <w:tab/>
        <w:t>There are to be credited to the General Purpose</w:t>
      </w:r>
      <w:r>
        <w:t xml:space="preserve"> Account</w:t>
      </w:r>
      <w:r>
        <w:rPr>
          <w:snapToGrid w:val="0"/>
        </w:rPr>
        <w:t>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 and</w:t>
      </w:r>
    </w:p>
    <w:p>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 and</w:t>
      </w:r>
    </w:p>
    <w:p>
      <w:pPr>
        <w:pStyle w:val="Indenta"/>
        <w:rPr>
          <w:snapToGrid w:val="0"/>
        </w:rPr>
      </w:pPr>
      <w:r>
        <w:rPr>
          <w:snapToGrid w:val="0"/>
        </w:rPr>
        <w:tab/>
        <w:t>(d)</w:t>
      </w:r>
      <w:r>
        <w:rPr>
          <w:snapToGrid w:val="0"/>
        </w:rPr>
        <w:tab/>
        <w:t>fines imposed under section 105; and</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[Section 124B inserted by No. 59 of 1995 s. 26; amended by No. 55 of 2004 s. 1015; No. 77 of 2006 Sch. 1 cl. 147(2); No. 58 of 2010 s. 134.]</w:t>
      </w:r>
    </w:p>
    <w:p>
      <w:pPr>
        <w:pStyle w:val="Heading5"/>
        <w:rPr>
          <w:snapToGrid w:val="0"/>
        </w:rPr>
      </w:pPr>
      <w:bookmarkStart w:id="272" w:name="_Toc404159147"/>
      <w:bookmarkStart w:id="273" w:name="_Toc435024536"/>
      <w:r>
        <w:rPr>
          <w:rStyle w:val="CharSectno"/>
        </w:rPr>
        <w:t>124C</w:t>
      </w:r>
      <w:r>
        <w:rPr>
          <w:snapToGrid w:val="0"/>
        </w:rPr>
        <w:t>.</w:t>
      </w:r>
      <w:r>
        <w:rPr>
          <w:snapToGrid w:val="0"/>
        </w:rPr>
        <w:tab/>
        <w:t>Expenditure from account</w:t>
      </w:r>
      <w:bookmarkEnd w:id="272"/>
      <w:bookmarkEnd w:id="273"/>
    </w:p>
    <w:p>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pPr>
        <w:pStyle w:val="Indenta"/>
        <w:rPr>
          <w:snapToGrid w:val="0"/>
        </w:rPr>
      </w:pPr>
      <w:r>
        <w:rPr>
          <w:snapToGrid w:val="0"/>
        </w:rPr>
        <w:tab/>
        <w:t>(a)</w:t>
      </w:r>
      <w:r>
        <w:rPr>
          <w:snapToGrid w:val="0"/>
        </w:rPr>
        <w:tab/>
        <w:t>the costs incurred in the administration of the General Purpose</w:t>
      </w:r>
      <w:r>
        <w:t xml:space="preserve"> Account; and</w:t>
      </w:r>
    </w:p>
    <w:p>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w:t>
      </w:r>
      <w:r>
        <w:t xml:space="preserve"> Act or the Commissioner’s functions under the </w:t>
      </w:r>
      <w:r>
        <w:rPr>
          <w:i/>
        </w:rPr>
        <w:t>Fair Trading Act 2010</w:t>
      </w:r>
      <w:r>
        <w:t xml:space="preserve"> section 57A that are performed for the purposes of this Act.</w:t>
      </w:r>
    </w:p>
    <w:p>
      <w:pPr>
        <w:pStyle w:val="Footnotesection"/>
      </w:pPr>
      <w:r>
        <w:tab/>
        <w:t>[Section 124C inserted by No. 59 of 1995 s. 26; amended by No. 34 of 1998 s. 18; No. 77 of 2006 Sch. 1 cl. 147(2); No. 58 of 2010 s. 116; No. 23 of 2014 s. 79.]</w:t>
      </w:r>
    </w:p>
    <w:p>
      <w:pPr>
        <w:pStyle w:val="Heading5"/>
        <w:rPr>
          <w:snapToGrid w:val="0"/>
        </w:rPr>
      </w:pPr>
      <w:bookmarkStart w:id="274" w:name="_Toc404159148"/>
      <w:bookmarkStart w:id="275" w:name="_Toc435024537"/>
      <w:r>
        <w:rPr>
          <w:rStyle w:val="CharSectno"/>
        </w:rPr>
        <w:t>124D</w:t>
      </w:r>
      <w:r>
        <w:rPr>
          <w:snapToGrid w:val="0"/>
        </w:rPr>
        <w:t>.</w:t>
      </w:r>
      <w:r>
        <w:rPr>
          <w:snapToGrid w:val="0"/>
        </w:rPr>
        <w:tab/>
        <w:t>Investment of moneys in account</w:t>
      </w:r>
      <w:bookmarkEnd w:id="274"/>
      <w:bookmarkEnd w:id="275"/>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[Section 124D inserted by No. 59 of 1995 s. 26; amended by No. 77 of 2006 Sch. 1 cl. 147(2) and (13).]</w:t>
      </w:r>
    </w:p>
    <w:p>
      <w:pPr>
        <w:pStyle w:val="Heading2"/>
      </w:pPr>
      <w:bookmarkStart w:id="276" w:name="_Toc404159149"/>
      <w:bookmarkStart w:id="277" w:name="_Toc424293175"/>
      <w:bookmarkStart w:id="278" w:name="_Toc435024538"/>
      <w:r>
        <w:rPr>
          <w:rStyle w:val="CharPartNo"/>
        </w:rPr>
        <w:t>Part IX</w:t>
      </w:r>
      <w:r>
        <w:rPr>
          <w:rStyle w:val="CharDivNo"/>
        </w:rPr>
        <w:t> </w:t>
      </w:r>
      <w:r>
        <w:t>—</w:t>
      </w:r>
      <w:r>
        <w:rPr>
          <w:rStyle w:val="CharDivText"/>
        </w:rPr>
        <w:t> </w:t>
      </w:r>
      <w:r>
        <w:rPr>
          <w:rStyle w:val="CharPartText"/>
        </w:rPr>
        <w:t>Real Estate and Business Agents Interest Account</w:t>
      </w:r>
      <w:bookmarkEnd w:id="276"/>
      <w:bookmarkEnd w:id="277"/>
      <w:bookmarkEnd w:id="278"/>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amended by </w:t>
      </w:r>
      <w:r>
        <w:t>No. 58 of 2010 s. 117</w:t>
      </w:r>
      <w:r>
        <w:rPr>
          <w:snapToGrid w:val="0"/>
        </w:rPr>
        <w:t>.]</w:t>
      </w:r>
    </w:p>
    <w:p>
      <w:pPr>
        <w:pStyle w:val="Heading5"/>
        <w:rPr>
          <w:snapToGrid w:val="0"/>
        </w:rPr>
      </w:pPr>
      <w:bookmarkStart w:id="279" w:name="_Toc404159150"/>
      <w:bookmarkStart w:id="280" w:name="_Toc435024539"/>
      <w:r>
        <w:rPr>
          <w:rStyle w:val="CharSectno"/>
        </w:rPr>
        <w:t>125</w:t>
      </w:r>
      <w:r>
        <w:rPr>
          <w:snapToGrid w:val="0"/>
        </w:rPr>
        <w:t>.</w:t>
      </w:r>
      <w:r>
        <w:rPr>
          <w:snapToGrid w:val="0"/>
        </w:rPr>
        <w:tab/>
      </w:r>
      <w:r>
        <w:t>Account established; administration of account</w:t>
      </w:r>
      <w:bookmarkEnd w:id="279"/>
      <w:bookmarkEnd w:id="280"/>
    </w:p>
    <w:p>
      <w:pPr>
        <w:pStyle w:val="Subsection"/>
      </w:pPr>
      <w:r>
        <w:tab/>
        <w:t>(1)</w:t>
      </w:r>
      <w:r>
        <w:tab/>
        <w:t>An account called the Real Estate and Business Agents Interest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pPr>
        <w:pStyle w:val="Footnotesection"/>
      </w:pPr>
      <w:r>
        <w:tab/>
        <w:t>[Section 125 inserted by No. 59 of 1995 s. 27; amended by No. 77 of 2006 Sch. 1 cl. 147(14); No. 58 of 2010 s. 118</w:t>
      </w:r>
      <w:r>
        <w:rPr>
          <w:spacing w:val="-4"/>
        </w:rPr>
        <w:t>; No. 47 of 2011 s.</w:t>
      </w:r>
      <w:r>
        <w:t> 25(4).]</w:t>
      </w:r>
    </w:p>
    <w:p>
      <w:pPr>
        <w:pStyle w:val="Heading5"/>
        <w:rPr>
          <w:snapToGrid w:val="0"/>
        </w:rPr>
      </w:pPr>
      <w:bookmarkStart w:id="281" w:name="_Toc404159151"/>
      <w:bookmarkStart w:id="282" w:name="_Toc435024540"/>
      <w:r>
        <w:rPr>
          <w:rStyle w:val="CharSectno"/>
        </w:rPr>
        <w:t>126</w:t>
      </w:r>
      <w:r>
        <w:rPr>
          <w:snapToGrid w:val="0"/>
        </w:rPr>
        <w:t>.</w:t>
      </w:r>
      <w:r>
        <w:rPr>
          <w:snapToGrid w:val="0"/>
        </w:rPr>
        <w:tab/>
        <w:t>Moneys to be credited to account</w:t>
      </w:r>
      <w:bookmarkEnd w:id="281"/>
      <w:bookmarkEnd w:id="282"/>
    </w:p>
    <w:p>
      <w:pPr>
        <w:pStyle w:val="Subsection"/>
        <w:keepNext/>
        <w:rPr>
          <w:snapToGrid w:val="0"/>
        </w:rPr>
      </w:pPr>
      <w:r>
        <w:rPr>
          <w:snapToGrid w:val="0"/>
        </w:rPr>
        <w:tab/>
      </w:r>
      <w:r>
        <w:rPr>
          <w:snapToGrid w:val="0"/>
        </w:rPr>
        <w:tab/>
        <w:t>There are to be credited to the </w:t>
      </w:r>
      <w:r>
        <w:t xml:space="preserve">Interest </w:t>
      </w:r>
      <w:r>
        <w:rPr>
          <w:snapToGrid w:val="0"/>
        </w:rPr>
        <w:t>Account —</w:t>
      </w:r>
    </w:p>
    <w:p>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 and</w:t>
      </w:r>
    </w:p>
    <w:p>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pPr>
        <w:pStyle w:val="Footnotesection"/>
      </w:pPr>
      <w:r>
        <w:tab/>
        <w:t>[Section 126 inserted by No. 59 of 1995 s. 27</w:t>
      </w:r>
      <w:r>
        <w:rPr>
          <w:spacing w:val="-4"/>
        </w:rPr>
        <w:t>; amended by No. 47 of 2011 s.</w:t>
      </w:r>
      <w:r>
        <w:t> 25(4).]</w:t>
      </w:r>
    </w:p>
    <w:p>
      <w:pPr>
        <w:pStyle w:val="Heading5"/>
      </w:pPr>
      <w:bookmarkStart w:id="283" w:name="_Toc404159152"/>
      <w:bookmarkStart w:id="284" w:name="_Toc435024541"/>
      <w:r>
        <w:rPr>
          <w:rStyle w:val="CharSectno"/>
        </w:rPr>
        <w:t>127</w:t>
      </w:r>
      <w:r>
        <w:rPr>
          <w:snapToGrid w:val="0"/>
        </w:rPr>
        <w:t>.</w:t>
      </w:r>
      <w:r>
        <w:rPr>
          <w:snapToGrid w:val="0"/>
        </w:rPr>
        <w:tab/>
        <w:t>E</w:t>
      </w:r>
      <w:r>
        <w:t>xpenditure from account</w:t>
      </w:r>
      <w:bookmarkEnd w:id="283"/>
      <w:bookmarkEnd w:id="284"/>
    </w:p>
    <w:p>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p>
    <w:p>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p>
    <w:p>
      <w:pPr>
        <w:pStyle w:val="Indenti"/>
        <w:rPr>
          <w:snapToGrid w:val="0"/>
        </w:rPr>
      </w:pPr>
      <w:r>
        <w:rPr>
          <w:snapToGrid w:val="0"/>
        </w:rPr>
        <w:tab/>
        <w:t>(i)</w:t>
      </w:r>
      <w:r>
        <w:rPr>
          <w:snapToGrid w:val="0"/>
        </w:rPr>
        <w:tab/>
        <w:t>the Fidelity</w:t>
      </w:r>
      <w:r>
        <w:t xml:space="preserve"> Account</w:t>
      </w:r>
      <w:r>
        <w:rPr>
          <w:snapToGrid w:val="0"/>
        </w:rPr>
        <w:t>; and</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[Section 127 inserted by No. 59 of 1995 s. 27; amended by No. 77 of 2006 Sch. 1 cl. 147(2)</w:t>
      </w:r>
      <w:r>
        <w:rPr>
          <w:spacing w:val="-4"/>
        </w:rPr>
        <w:t>; No. 47 of 2011 s.</w:t>
      </w:r>
      <w:r>
        <w:t> 25(4).]</w:t>
      </w:r>
    </w:p>
    <w:p>
      <w:pPr>
        <w:pStyle w:val="Heading5"/>
        <w:rPr>
          <w:snapToGrid w:val="0"/>
        </w:rPr>
      </w:pPr>
      <w:bookmarkStart w:id="285" w:name="_Toc404159153"/>
      <w:bookmarkStart w:id="286" w:name="_Toc435024542"/>
      <w:r>
        <w:rPr>
          <w:rStyle w:val="CharSectno"/>
        </w:rPr>
        <w:t>128</w:t>
      </w:r>
      <w:r>
        <w:rPr>
          <w:snapToGrid w:val="0"/>
        </w:rPr>
        <w:t>.</w:t>
      </w:r>
      <w:r>
        <w:rPr>
          <w:snapToGrid w:val="0"/>
        </w:rPr>
        <w:tab/>
        <w:t>I</w:t>
      </w:r>
      <w:r>
        <w:t>nvestment of moneys in account</w:t>
      </w:r>
      <w:bookmarkEnd w:id="285"/>
      <w:bookmarkEnd w:id="286"/>
    </w:p>
    <w:p>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pPr>
        <w:pStyle w:val="Footnotesection"/>
      </w:pPr>
      <w:r>
        <w:tab/>
        <w:t>[Section 128 inserted by No. 59 of 1995 s. 27; amended by No. 77 of 2006 Sch. 1 cl. 147(15)</w:t>
      </w:r>
      <w:r>
        <w:rPr>
          <w:spacing w:val="-4"/>
        </w:rPr>
        <w:t>; No. 47 of 2011 s.</w:t>
      </w:r>
      <w:r>
        <w:t> 25(4).]</w:t>
      </w:r>
    </w:p>
    <w:p>
      <w:pPr>
        <w:pStyle w:val="Ednotesection"/>
      </w:pPr>
      <w:r>
        <w:t>[</w:t>
      </w:r>
      <w:r>
        <w:rPr>
          <w:b/>
        </w:rPr>
        <w:t>129, 130.</w:t>
      </w:r>
      <w:r>
        <w:tab/>
        <w:t>Deleted by No. 59 of 1995 s. 27.]</w:t>
      </w:r>
    </w:p>
    <w:p>
      <w:pPr>
        <w:pStyle w:val="Ednotesection"/>
      </w:pPr>
      <w:r>
        <w:t>[</w:t>
      </w:r>
      <w:r>
        <w:rPr>
          <w:b/>
        </w:rPr>
        <w:t>131.</w:t>
      </w:r>
      <w:r>
        <w:tab/>
        <w:t>Deleted by No. 98 of 1985 s. 3.]</w:t>
      </w:r>
    </w:p>
    <w:p>
      <w:pPr>
        <w:pStyle w:val="Heading2"/>
      </w:pPr>
      <w:bookmarkStart w:id="287" w:name="_Toc404159154"/>
      <w:bookmarkStart w:id="288" w:name="_Toc424293180"/>
      <w:bookmarkStart w:id="289" w:name="_Toc435024543"/>
      <w:r>
        <w:rPr>
          <w:rStyle w:val="CharPartNo"/>
        </w:rPr>
        <w:t>Part IXA</w:t>
      </w:r>
      <w:r>
        <w:rPr>
          <w:rStyle w:val="CharDivNo"/>
        </w:rPr>
        <w:t> </w:t>
      </w:r>
      <w:r>
        <w:t>—</w:t>
      </w:r>
      <w:r>
        <w:rPr>
          <w:rStyle w:val="CharDivText"/>
        </w:rPr>
        <w:t> </w:t>
      </w:r>
      <w:r>
        <w:rPr>
          <w:rStyle w:val="CharPartText"/>
        </w:rPr>
        <w:t>Assistance to home buyers</w:t>
      </w:r>
      <w:bookmarkEnd w:id="287"/>
      <w:bookmarkEnd w:id="288"/>
      <w:bookmarkEnd w:id="289"/>
    </w:p>
    <w:p>
      <w:pPr>
        <w:pStyle w:val="Heading5"/>
        <w:rPr>
          <w:snapToGrid w:val="0"/>
        </w:rPr>
      </w:pPr>
      <w:bookmarkStart w:id="290" w:name="_Toc404159155"/>
      <w:bookmarkStart w:id="291" w:name="_Toc435024544"/>
      <w:r>
        <w:rPr>
          <w:rStyle w:val="CharSectno"/>
        </w:rPr>
        <w:t>131A</w:t>
      </w:r>
      <w:r>
        <w:rPr>
          <w:snapToGrid w:val="0"/>
        </w:rPr>
        <w:t>.</w:t>
      </w:r>
      <w:r>
        <w:rPr>
          <w:snapToGrid w:val="0"/>
        </w:rPr>
        <w:tab/>
        <w:t>Terms used</w:t>
      </w:r>
      <w:bookmarkEnd w:id="290"/>
      <w:bookmarkEnd w:id="291"/>
    </w:p>
    <w:p>
      <w:pPr>
        <w:pStyle w:val="Subsection"/>
        <w:keepNext/>
        <w:rPr>
          <w:snapToGrid w:val="0"/>
        </w:rPr>
      </w:pPr>
      <w:r>
        <w:rPr>
          <w:snapToGrid w:val="0"/>
        </w:rPr>
        <w:tab/>
      </w:r>
      <w:r>
        <w:rPr>
          <w:snapToGrid w:val="0"/>
        </w:rPr>
        <w:tab/>
        <w:t>In this Part, unless the contrary intention appears —</w:t>
      </w:r>
    </w:p>
    <w:p>
      <w:pPr>
        <w:pStyle w:val="Defstart"/>
        <w:spacing w:before="100"/>
      </w:pPr>
      <w:r>
        <w:rPr>
          <w:b/>
        </w:rPr>
        <w:tab/>
      </w:r>
      <w:r>
        <w:rPr>
          <w:rStyle w:val="CharDefText"/>
        </w:rPr>
        <w:t>applicant</w:t>
      </w:r>
      <w:r>
        <w:t xml:space="preserve"> means person on whose behalf an application has been lodged under section 131L(1);</w:t>
      </w:r>
    </w:p>
    <w:p>
      <w:pPr>
        <w:pStyle w:val="Defstart"/>
        <w:spacing w:before="100"/>
      </w:pPr>
      <w:r>
        <w:rPr>
          <w:b/>
        </w:rPr>
        <w:tab/>
      </w:r>
      <w:r>
        <w:rPr>
          <w:rStyle w:val="CharDefText"/>
        </w:rPr>
        <w:t>assisted person</w:t>
      </w:r>
      <w:r>
        <w:t xml:space="preserve"> means applicant to whom a grant has been made under section 131M(3);</w:t>
      </w:r>
    </w:p>
    <w:p>
      <w:pPr>
        <w:pStyle w:val="Defstart"/>
        <w:keepNext/>
        <w:spacing w:before="100"/>
      </w:pPr>
      <w:r>
        <w:rPr>
          <w:b/>
        </w:rPr>
        <w:tab/>
      </w:r>
      <w:r>
        <w:rPr>
          <w:rStyle w:val="CharDefText"/>
        </w:rPr>
        <w:t>dwelling</w:t>
      </w:r>
      <w:r>
        <w:t xml:space="preserve"> includes —</w:t>
      </w:r>
    </w:p>
    <w:p>
      <w:pPr>
        <w:pStyle w:val="Defpara"/>
        <w:spacing w:before="100"/>
      </w:pPr>
      <w:r>
        <w:tab/>
        <w:t>(a)</w:t>
      </w:r>
      <w:r>
        <w:tab/>
        <w:t xml:space="preserve">lot within the meaning of the </w:t>
      </w:r>
      <w:r>
        <w:rPr>
          <w:i/>
        </w:rPr>
        <w:t>Strata Titles Act 1985</w:t>
      </w:r>
      <w:r>
        <w:t>; and</w:t>
      </w:r>
    </w:p>
    <w:p>
      <w:pPr>
        <w:pStyle w:val="Defpara"/>
        <w:spacing w:before="100"/>
      </w:pPr>
      <w:r>
        <w:tab/>
        <w:t>(b)</w:t>
      </w:r>
      <w:r>
        <w:tab/>
        <w:t>except in the case of a dwelling which is a lot referred to in paragraph (a), land on which the dwelling concerned is erected or is being erected, as the case requires;</w:t>
      </w:r>
    </w:p>
    <w:p>
      <w:pPr>
        <w:pStyle w:val="Defstart"/>
        <w:keepNext/>
        <w:spacing w:before="100"/>
      </w:pPr>
      <w:r>
        <w:rPr>
          <w:b/>
        </w:rPr>
        <w:tab/>
      </w:r>
      <w:r>
        <w:rPr>
          <w:rStyle w:val="CharDefText"/>
        </w:rPr>
        <w:t>incidental expenses</w:t>
      </w:r>
      <w:r>
        <w:t>, in relation to a purchase, or purchase and completion, referred to in section 131L(1), includes —</w:t>
      </w:r>
    </w:p>
    <w:p>
      <w:pPr>
        <w:pStyle w:val="Defpara"/>
        <w:spacing w:before="100"/>
      </w:pPr>
      <w:r>
        <w:tab/>
        <w:t>(a)</w:t>
      </w:r>
      <w:r>
        <w:tab/>
        <w:t xml:space="preserve">duty chargeable under the </w:t>
      </w:r>
      <w:r>
        <w:rPr>
          <w:i/>
          <w:iCs/>
        </w:rPr>
        <w:t>Duties Act 2008</w:t>
      </w:r>
      <w:r>
        <w:t>; and</w:t>
      </w:r>
    </w:p>
    <w:p>
      <w:pPr>
        <w:pStyle w:val="Defpara"/>
        <w:spacing w:before="100"/>
      </w:pPr>
      <w:r>
        <w:tab/>
        <w:t>(b)</w:t>
      </w:r>
      <w:r>
        <w:tab/>
        <w:t>registration fees; and</w:t>
      </w:r>
    </w:p>
    <w:p>
      <w:pPr>
        <w:pStyle w:val="Defpara"/>
        <w:spacing w:before="100"/>
      </w:pPr>
      <w:r>
        <w:tab/>
        <w:t>(c)</w:t>
      </w:r>
      <w:r>
        <w:tab/>
        <w:t xml:space="preserve">the remuneration of a real estate settlement agent within the meaning of the </w:t>
      </w:r>
      <w:r>
        <w:rPr>
          <w:i/>
        </w:rPr>
        <w:t>Settlement Agents Act 1981</w:t>
      </w:r>
      <w:r>
        <w:t>; and</w:t>
      </w:r>
    </w:p>
    <w:p>
      <w:pPr>
        <w:pStyle w:val="Defpara"/>
        <w:spacing w:before="100"/>
      </w:pPr>
      <w:r>
        <w:tab/>
        <w:t>(d)</w:t>
      </w:r>
      <w:r>
        <w:tab/>
        <w:t>the costs of a legal practitioner; and</w:t>
      </w:r>
    </w:p>
    <w:p>
      <w:pPr>
        <w:pStyle w:val="Defpara"/>
        <w:spacing w:before="100"/>
      </w:pPr>
      <w:r>
        <w:tab/>
        <w:t>(e)</w:t>
      </w:r>
      <w:r>
        <w:tab/>
        <w:t>valuation fees; and</w:t>
      </w:r>
    </w:p>
    <w:p>
      <w:pPr>
        <w:pStyle w:val="Defpara"/>
        <w:spacing w:before="100"/>
      </w:pPr>
      <w:r>
        <w:tab/>
        <w:t>(f)</w:t>
      </w:r>
      <w:r>
        <w:tab/>
        <w:t>inspection fees; and</w:t>
      </w:r>
    </w:p>
    <w:p>
      <w:pPr>
        <w:pStyle w:val="Defpara"/>
        <w:spacing w:before="100"/>
      </w:pPr>
      <w:r>
        <w:tab/>
        <w:t>(g)</w:t>
      </w:r>
      <w:r>
        <w:tab/>
        <w:t>any fees payable to the lending institution lodging an application under section 131L(1) on behalf of the applicant concerned to assist him in that purchase or purchase and completion; and</w:t>
      </w:r>
    </w:p>
    <w:p>
      <w:pPr>
        <w:pStyle w:val="Defpara"/>
        <w:spacing w:before="100"/>
      </w:pPr>
      <w:r>
        <w:tab/>
        <w:t>(h)</w:t>
      </w:r>
      <w:r>
        <w:tab/>
        <w:t>any mortgage guarantee fee or mortgage insurance premium;</w:t>
      </w:r>
    </w:p>
    <w:p>
      <w:pPr>
        <w:pStyle w:val="Defstart"/>
        <w:keepNext/>
        <w:spacing w:before="100"/>
      </w:pPr>
      <w:r>
        <w:rPr>
          <w:b/>
        </w:rPr>
        <w:tab/>
      </w:r>
      <w:r>
        <w:rPr>
          <w:rStyle w:val="CharDefText"/>
        </w:rPr>
        <w:t>lending institution</w:t>
      </w:r>
      <w:r>
        <w:t xml:space="preserve"> means —</w:t>
      </w:r>
    </w:p>
    <w:p>
      <w:pPr>
        <w:pStyle w:val="Defpara"/>
        <w:spacing w:before="100"/>
      </w:pPr>
      <w:r>
        <w:tab/>
        <w:t>(a)</w:t>
      </w:r>
      <w:r>
        <w:tab/>
        <w:t>a bank; or</w:t>
      </w:r>
    </w:p>
    <w:p>
      <w:pPr>
        <w:pStyle w:val="Ednotedefpara"/>
        <w:keepNext/>
        <w:rPr>
          <w:iCs/>
        </w:rPr>
      </w:pPr>
      <w:r>
        <w:tab/>
      </w:r>
      <w:r>
        <w:rPr>
          <w:iCs/>
        </w:rPr>
        <w:t>[(b), (c)</w:t>
      </w:r>
      <w:r>
        <w:rPr>
          <w:iCs/>
        </w:rPr>
        <w:tab/>
        <w:t>deleted]</w:t>
      </w:r>
    </w:p>
    <w:p>
      <w:pPr>
        <w:pStyle w:val="Defpara"/>
      </w:pPr>
      <w:r>
        <w:tab/>
        <w:t>(d)</w:t>
      </w:r>
      <w:r>
        <w:tab/>
        <w:t>a body that is prescribed, or that belongs to a class of bodies that is prescribed.</w:t>
      </w:r>
    </w:p>
    <w:p>
      <w:pPr>
        <w:pStyle w:val="Footnotesection"/>
      </w:pPr>
      <w:r>
        <w:tab/>
        <w:t>[Section 131A inserted by No. 29 of 1982 s. 10; amended by No. 59 of 1995 s. 28; No. 26 of 1999 s. 99(10); No. 12 of 2001 s. 51; No. 65 of 2003 s. 59(3); No. 17 of 2005 s. 29(2); No. 12 of 2008 Sch. 1 cl. 32.]</w:t>
      </w:r>
    </w:p>
    <w:p>
      <w:pPr>
        <w:pStyle w:val="Heading5"/>
      </w:pPr>
      <w:bookmarkStart w:id="292" w:name="_Toc404159156"/>
      <w:bookmarkStart w:id="293" w:name="_Toc435024545"/>
      <w:r>
        <w:rPr>
          <w:rStyle w:val="CharSectno"/>
        </w:rPr>
        <w:t>131B</w:t>
      </w:r>
      <w:r>
        <w:t>.</w:t>
      </w:r>
      <w:r>
        <w:tab/>
        <w:t>Home Buyers Assistance Account established</w:t>
      </w:r>
      <w:bookmarkEnd w:id="292"/>
      <w:bookmarkEnd w:id="293"/>
    </w:p>
    <w:p>
      <w:pPr>
        <w:pStyle w:val="Subsection"/>
      </w:pPr>
      <w:r>
        <w:tab/>
      </w:r>
      <w:r>
        <w:tab/>
        <w:t>An account called the Home Buyers Assistance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131B inserted by No. 77 of 2006 Sch. 1 cl. 147(16).]</w:t>
      </w:r>
    </w:p>
    <w:p>
      <w:pPr>
        <w:pStyle w:val="Heading5"/>
        <w:rPr>
          <w:snapToGrid w:val="0"/>
        </w:rPr>
      </w:pPr>
      <w:bookmarkStart w:id="294" w:name="_Toc404159157"/>
      <w:bookmarkStart w:id="295" w:name="_Toc435024546"/>
      <w:r>
        <w:rPr>
          <w:rStyle w:val="CharSectno"/>
        </w:rPr>
        <w:t>131C</w:t>
      </w:r>
      <w:r>
        <w:rPr>
          <w:snapToGrid w:val="0"/>
        </w:rPr>
        <w:t>.</w:t>
      </w:r>
      <w:r>
        <w:rPr>
          <w:snapToGrid w:val="0"/>
        </w:rPr>
        <w:tab/>
        <w:t>Investment of moneys in account</w:t>
      </w:r>
      <w:bookmarkEnd w:id="294"/>
      <w:bookmarkEnd w:id="295"/>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[Section 131C inserted by No. 59 of 1995 s. 30; amended by No. 77 of 2006 Sch. 1 cl. 147(2) and (17).]</w:t>
      </w:r>
    </w:p>
    <w:p>
      <w:pPr>
        <w:pStyle w:val="Heading5"/>
        <w:rPr>
          <w:snapToGrid w:val="0"/>
        </w:rPr>
      </w:pPr>
      <w:bookmarkStart w:id="296" w:name="_Toc404159158"/>
      <w:bookmarkStart w:id="297" w:name="_Toc435024547"/>
      <w:r>
        <w:rPr>
          <w:rStyle w:val="CharSectno"/>
        </w:rPr>
        <w:t>131D</w:t>
      </w:r>
      <w:r>
        <w:rPr>
          <w:snapToGrid w:val="0"/>
        </w:rPr>
        <w:t>.</w:t>
      </w:r>
      <w:r>
        <w:rPr>
          <w:snapToGrid w:val="0"/>
        </w:rPr>
        <w:tab/>
        <w:t>Moneys to be credited to account</w:t>
      </w:r>
      <w:bookmarkEnd w:id="296"/>
      <w:bookmarkEnd w:id="297"/>
    </w:p>
    <w:p>
      <w:pPr>
        <w:pStyle w:val="Subsection"/>
        <w:keepNext/>
        <w:rPr>
          <w:snapToGrid w:val="0"/>
        </w:rPr>
      </w:pPr>
      <w:r>
        <w:rPr>
          <w:snapToGrid w:val="0"/>
        </w:rPr>
        <w:tab/>
      </w:r>
      <w:r>
        <w:rPr>
          <w:snapToGrid w:val="0"/>
        </w:rPr>
        <w:tab/>
        <w:t>There shall be credited to the Assistance</w:t>
      </w:r>
      <w:r>
        <w:t xml:space="preserve"> Account</w:t>
      </w:r>
      <w:r>
        <w:rPr>
          <w:snapToGrid w:val="0"/>
        </w:rPr>
        <w:t>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 and</w:t>
      </w:r>
    </w:p>
    <w:p>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[Section 131D inserted by No. 29 of 1982 s. 10; amended by No. 59 of 1995 s. 31 and 42; No. 77 of 2006 Sch. 1 cl. 147(2); No. 58 of 2010 s. 119.]</w:t>
      </w:r>
    </w:p>
    <w:p>
      <w:pPr>
        <w:pStyle w:val="Heading5"/>
        <w:rPr>
          <w:snapToGrid w:val="0"/>
        </w:rPr>
      </w:pPr>
      <w:bookmarkStart w:id="298" w:name="_Toc404159159"/>
      <w:bookmarkStart w:id="299" w:name="_Toc435024548"/>
      <w:r>
        <w:rPr>
          <w:rStyle w:val="CharSectno"/>
        </w:rPr>
        <w:t>131E</w:t>
      </w:r>
      <w:r>
        <w:rPr>
          <w:snapToGrid w:val="0"/>
        </w:rPr>
        <w:t>.</w:t>
      </w:r>
      <w:r>
        <w:rPr>
          <w:snapToGrid w:val="0"/>
        </w:rPr>
        <w:tab/>
        <w:t>Expenditure from account</w:t>
      </w:r>
      <w:bookmarkEnd w:id="298"/>
      <w:bookmarkEnd w:id="299"/>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p>
    <w:p>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 and</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 and</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 and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[Section 131E inserted by No. 29 of 1982 s. 10; amended by No. 59 of 1995 s. 32 and 42; No. 77 of 2006 Sch. 1 cl. 147(2); No. 58 of 2010 s. 120.]</w:t>
      </w:r>
    </w:p>
    <w:p>
      <w:pPr>
        <w:pStyle w:val="Ednotesection"/>
      </w:pPr>
      <w:r>
        <w:t>[</w:t>
      </w:r>
      <w:r>
        <w:rPr>
          <w:b/>
        </w:rPr>
        <w:t>131F.</w:t>
      </w:r>
      <w:r>
        <w:tab/>
        <w:t>Deleted by No. 98 of 1985 s. 3.]</w:t>
      </w:r>
    </w:p>
    <w:p>
      <w:pPr>
        <w:pStyle w:val="Heading5"/>
        <w:rPr>
          <w:snapToGrid w:val="0"/>
        </w:rPr>
      </w:pPr>
      <w:bookmarkStart w:id="300" w:name="_Toc404159160"/>
      <w:bookmarkStart w:id="301" w:name="_Toc435024549"/>
      <w:r>
        <w:rPr>
          <w:rStyle w:val="CharSectno"/>
        </w:rPr>
        <w:t>131G</w:t>
      </w:r>
      <w:r>
        <w:rPr>
          <w:snapToGrid w:val="0"/>
        </w:rPr>
        <w:t>.</w:t>
      </w:r>
      <w:r>
        <w:rPr>
          <w:snapToGrid w:val="0"/>
        </w:rPr>
        <w:tab/>
      </w:r>
      <w:r>
        <w:t>Administration of account</w:t>
      </w:r>
      <w:bookmarkEnd w:id="300"/>
      <w:bookmarkEnd w:id="301"/>
    </w:p>
    <w:p>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pPr>
        <w:pStyle w:val="Footnotesection"/>
      </w:pPr>
      <w:r>
        <w:tab/>
        <w:t>[Section 131G inserted by No. 29 of 1982 s. 10; amended by No. 77 of 2006 Sch. 1 cl. 147(2); No. 58 of 2010 s. 121.]</w:t>
      </w:r>
    </w:p>
    <w:p>
      <w:pPr>
        <w:pStyle w:val="Ednotesection"/>
        <w:spacing w:before="260"/>
        <w:rPr>
          <w:b/>
        </w:rPr>
      </w:pPr>
      <w:r>
        <w:t>[</w:t>
      </w:r>
      <w:r>
        <w:rPr>
          <w:b/>
        </w:rPr>
        <w:t>131H-131KA.</w:t>
      </w:r>
      <w:r>
        <w:t xml:space="preserve">   Deleted by No. 58 of 2010 s. 122.]</w:t>
      </w:r>
    </w:p>
    <w:p>
      <w:pPr>
        <w:pStyle w:val="Heading5"/>
        <w:spacing w:before="260"/>
        <w:rPr>
          <w:snapToGrid w:val="0"/>
        </w:rPr>
      </w:pPr>
      <w:bookmarkStart w:id="302" w:name="_Toc404159161"/>
      <w:bookmarkStart w:id="303" w:name="_Toc435024550"/>
      <w:r>
        <w:rPr>
          <w:rStyle w:val="CharSectno"/>
        </w:rPr>
        <w:t>131L</w:t>
      </w:r>
      <w:r>
        <w:rPr>
          <w:snapToGrid w:val="0"/>
        </w:rPr>
        <w:t>.</w:t>
      </w:r>
      <w:r>
        <w:rPr>
          <w:snapToGrid w:val="0"/>
        </w:rPr>
        <w:tab/>
        <w:t>Applying for assistance for buyers of first homes</w:t>
      </w:r>
      <w:bookmarkEnd w:id="302"/>
      <w:bookmarkEnd w:id="303"/>
    </w:p>
    <w:p>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spacing w:before="180"/>
        <w:rPr>
          <w:snapToGrid w:val="0"/>
        </w:rPr>
      </w:pPr>
      <w:r>
        <w:rPr>
          <w:snapToGrid w:val="0"/>
        </w:rPr>
        <w:tab/>
      </w:r>
      <w:r>
        <w:rPr>
          <w:snapToGrid w:val="0"/>
        </w:rPr>
        <w:tab/>
        <w:t xml:space="preserve">may, not later than 90 days after the date of the contract to purchase the dwelling, on behalf of the person lodge with the </w:t>
      </w:r>
      <w:r>
        <w:t>chief executive officer</w:t>
      </w:r>
      <w:r>
        <w:rPr>
          <w:snapToGrid w:val="0"/>
        </w:rPr>
        <w:t xml:space="preserve">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spacing w:before="180"/>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pPr>
        <w:pStyle w:val="Subsection"/>
        <w:spacing w:before="180"/>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[Section 131L inserted by No. 29 of 1982 s. 10; amended by No. 43 of 1994 s. 7; No. 59 of 1995 s. 35 and 40(2); No. 58 of 2010 s. 123.]</w:t>
      </w:r>
    </w:p>
    <w:p>
      <w:pPr>
        <w:pStyle w:val="Heading5"/>
        <w:rPr>
          <w:snapToGrid w:val="0"/>
        </w:rPr>
      </w:pPr>
      <w:bookmarkStart w:id="304" w:name="_Toc404159162"/>
      <w:bookmarkStart w:id="305" w:name="_Toc435024551"/>
      <w:r>
        <w:rPr>
          <w:rStyle w:val="CharSectno"/>
        </w:rPr>
        <w:t>131M</w:t>
      </w:r>
      <w:r>
        <w:rPr>
          <w:snapToGrid w:val="0"/>
        </w:rPr>
        <w:t>.</w:t>
      </w:r>
      <w:r>
        <w:rPr>
          <w:snapToGrid w:val="0"/>
        </w:rPr>
        <w:tab/>
      </w:r>
      <w:r>
        <w:t>Deciding applications for assistance</w:t>
      </w:r>
      <w:bookmarkEnd w:id="304"/>
      <w:bookmarkEnd w:id="305"/>
    </w:p>
    <w:p>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p>
    <w:p>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Indenta"/>
      </w:pPr>
      <w:r>
        <w:tab/>
        <w:t>(b)</w:t>
      </w:r>
      <w:r>
        <w:tab/>
        <w:t>referring the application to an advisory committee established for that purpose under section 23A, or to the Property Industry Advisory Committee, for consideration.</w:t>
      </w:r>
    </w:p>
    <w:p>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Subsection"/>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[Section 131M inserted by No. 29 of 1982 s. 10; amended by No. 43 of 1994 s. 8; No. 59 of 1995 s. 36; No. 58 of 2010 s. 124.]</w:t>
      </w:r>
    </w:p>
    <w:p>
      <w:pPr>
        <w:pStyle w:val="Heading5"/>
        <w:rPr>
          <w:snapToGrid w:val="0"/>
        </w:rPr>
      </w:pPr>
      <w:bookmarkStart w:id="306" w:name="_Toc404159163"/>
      <w:bookmarkStart w:id="307" w:name="_Toc435024552"/>
      <w:r>
        <w:rPr>
          <w:rStyle w:val="CharSectno"/>
        </w:rPr>
        <w:t>131N</w:t>
      </w:r>
      <w:r>
        <w:rPr>
          <w:snapToGrid w:val="0"/>
        </w:rPr>
        <w:t>.</w:t>
      </w:r>
      <w:r>
        <w:rPr>
          <w:snapToGrid w:val="0"/>
        </w:rPr>
        <w:tab/>
        <w:t>Assistance, payment and application of</w:t>
      </w:r>
      <w:bookmarkEnd w:id="306"/>
      <w:bookmarkEnd w:id="307"/>
    </w:p>
    <w:p>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w:t>
      </w:r>
    </w:p>
    <w:p>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[Section 131N inserted by No. 29 of 1982 s. 10; amended by No. 59 of 1995 s. 40(2); No. 77 of 2006 Sch. 1 cl. 147(2); No. 58 of 2010 s. 125.]</w:t>
      </w:r>
    </w:p>
    <w:p>
      <w:pPr>
        <w:pStyle w:val="Heading5"/>
        <w:rPr>
          <w:snapToGrid w:val="0"/>
        </w:rPr>
      </w:pPr>
      <w:bookmarkStart w:id="308" w:name="_Toc404159164"/>
      <w:bookmarkStart w:id="309" w:name="_Toc435024553"/>
      <w:r>
        <w:rPr>
          <w:rStyle w:val="CharSectno"/>
        </w:rPr>
        <w:t>131O</w:t>
      </w:r>
      <w:r>
        <w:rPr>
          <w:snapToGrid w:val="0"/>
        </w:rPr>
        <w:t>.</w:t>
      </w:r>
      <w:r>
        <w:rPr>
          <w:snapToGrid w:val="0"/>
        </w:rPr>
        <w:tab/>
      </w:r>
      <w:r>
        <w:t>Criteria for granting assistance, formulating</w:t>
      </w:r>
      <w:bookmarkEnd w:id="308"/>
      <w:bookmarkEnd w:id="309"/>
    </w:p>
    <w:p>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p>
    <w:p>
      <w:pPr>
        <w:pStyle w:val="Ednotepara"/>
        <w:spacing w:before="80"/>
      </w:pPr>
      <w:r>
        <w:tab/>
        <w:t>[(a)</w:t>
      </w:r>
      <w:r>
        <w:tab/>
        <w:t>deleted]</w:t>
      </w:r>
    </w:p>
    <w:p>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pPr>
        <w:pStyle w:val="Footnotesection"/>
      </w:pPr>
      <w:r>
        <w:tab/>
        <w:t>[Section 131O inserted by No. 29 of 1982 s. 10; amended by No. 6 of 1994 s. 13; No. 43 of 1994 s. 9; No. 14 of 1995 s. 44; No. 59 of 1995 s. 37; No. 12 of 2001 s. 50; No. 17 of 2005 s. 29(3); No. 58 of 2010 s. 126.]</w:t>
      </w:r>
    </w:p>
    <w:p>
      <w:pPr>
        <w:pStyle w:val="Heading2"/>
      </w:pPr>
      <w:bookmarkStart w:id="310" w:name="_Toc404159165"/>
      <w:bookmarkStart w:id="311" w:name="_Toc424293191"/>
      <w:bookmarkStart w:id="312" w:name="_Toc435024554"/>
      <w:r>
        <w:rPr>
          <w:rStyle w:val="CharPartNo"/>
        </w:rPr>
        <w:t>Part X</w:t>
      </w:r>
      <w:r>
        <w:rPr>
          <w:rStyle w:val="CharDivNo"/>
        </w:rPr>
        <w:t> </w:t>
      </w:r>
      <w:r>
        <w:t>—</w:t>
      </w:r>
      <w:r>
        <w:rPr>
          <w:rStyle w:val="CharDivText"/>
        </w:rPr>
        <w:t> </w:t>
      </w:r>
      <w:r>
        <w:rPr>
          <w:rStyle w:val="CharPartText"/>
        </w:rPr>
        <w:t>Miscellaneous</w:t>
      </w:r>
      <w:bookmarkEnd w:id="310"/>
      <w:bookmarkEnd w:id="311"/>
      <w:bookmarkEnd w:id="312"/>
    </w:p>
    <w:p>
      <w:pPr>
        <w:pStyle w:val="Heading5"/>
        <w:rPr>
          <w:snapToGrid w:val="0"/>
        </w:rPr>
      </w:pPr>
      <w:bookmarkStart w:id="313" w:name="_Toc404159166"/>
      <w:bookmarkStart w:id="314" w:name="_Toc435024555"/>
      <w:r>
        <w:rPr>
          <w:rStyle w:val="CharSectno"/>
        </w:rPr>
        <w:t>132</w:t>
      </w:r>
      <w:r>
        <w:rPr>
          <w:snapToGrid w:val="0"/>
        </w:rPr>
        <w:t>.</w:t>
      </w:r>
      <w:r>
        <w:rPr>
          <w:snapToGrid w:val="0"/>
        </w:rPr>
        <w:tab/>
        <w:t>Unlicensed assistants to be supervised etc.</w:t>
      </w:r>
      <w:bookmarkEnd w:id="313"/>
      <w:bookmarkEnd w:id="314"/>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p>
    <w:p>
      <w:pPr>
        <w:pStyle w:val="Indenta"/>
        <w:keepNext/>
        <w:rPr>
          <w:snapToGrid w:val="0"/>
        </w:rPr>
      </w:pPr>
      <w:r>
        <w:rPr>
          <w:snapToGrid w:val="0"/>
        </w:rPr>
        <w:tab/>
        <w:t>(a)</w:t>
      </w:r>
      <w:r>
        <w:rPr>
          <w:snapToGrid w:val="0"/>
        </w:rPr>
        <w:tab/>
        <w:t>where the licensee of the business involved is not a firm or a body corporate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the manager of a branch office of the business shall give substantial time and attention to the business at that office;</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 and</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 and</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315" w:name="_Toc404159167"/>
      <w:bookmarkStart w:id="316" w:name="_Toc435024556"/>
      <w:r>
        <w:rPr>
          <w:rStyle w:val="CharSectno"/>
        </w:rPr>
        <w:t>133</w:t>
      </w:r>
      <w:r>
        <w:rPr>
          <w:snapToGrid w:val="0"/>
        </w:rPr>
        <w:t>.</w:t>
      </w:r>
      <w:r>
        <w:rPr>
          <w:snapToGrid w:val="0"/>
        </w:rPr>
        <w:tab/>
      </w:r>
      <w:r>
        <w:t>Registers of licensees etc., Commissioner to keep etc.</w:t>
      </w:r>
      <w:bookmarkEnd w:id="315"/>
      <w:bookmarkEnd w:id="316"/>
    </w:p>
    <w:p>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p>
    <w:p>
      <w:pPr>
        <w:pStyle w:val="Indenta"/>
        <w:rPr>
          <w:snapToGrid w:val="0"/>
        </w:rPr>
      </w:pPr>
      <w:r>
        <w:rPr>
          <w:snapToGrid w:val="0"/>
        </w:rPr>
        <w:tab/>
        <w:t>(a)</w:t>
      </w:r>
      <w:r>
        <w:rPr>
          <w:snapToGrid w:val="0"/>
        </w:rPr>
        <w:tab/>
        <w:t>a register of licensees; and</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[Section 133 amended by No. 56 of 1995 s. 47; No. 58 of 2010 s. 134.]</w:t>
      </w:r>
    </w:p>
    <w:p>
      <w:pPr>
        <w:pStyle w:val="Heading5"/>
        <w:rPr>
          <w:snapToGrid w:val="0"/>
        </w:rPr>
      </w:pPr>
      <w:bookmarkStart w:id="317" w:name="_Toc404159168"/>
      <w:bookmarkStart w:id="318" w:name="_Toc435024557"/>
      <w:r>
        <w:rPr>
          <w:rStyle w:val="CharSectno"/>
        </w:rPr>
        <w:t>134</w:t>
      </w:r>
      <w:r>
        <w:rPr>
          <w:snapToGrid w:val="0"/>
        </w:rPr>
        <w:t>.</w:t>
      </w:r>
      <w:r>
        <w:rPr>
          <w:snapToGrid w:val="0"/>
        </w:rPr>
        <w:tab/>
        <w:t>Commissioner’s certificate</w:t>
      </w:r>
      <w:bookmarkEnd w:id="317"/>
      <w:bookmarkEnd w:id="318"/>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134 amended by No. 58 of 2010 s. 134; No. 23 of 2014 s. 80.]</w:t>
      </w:r>
    </w:p>
    <w:p>
      <w:pPr>
        <w:pStyle w:val="Heading5"/>
        <w:rPr>
          <w:snapToGrid w:val="0"/>
        </w:rPr>
      </w:pPr>
      <w:bookmarkStart w:id="319" w:name="_Toc404159169"/>
      <w:bookmarkStart w:id="320" w:name="_Toc435024558"/>
      <w:r>
        <w:rPr>
          <w:rStyle w:val="CharSectno"/>
        </w:rPr>
        <w:t>135</w:t>
      </w:r>
      <w:r>
        <w:rPr>
          <w:snapToGrid w:val="0"/>
        </w:rPr>
        <w:t>.</w:t>
      </w:r>
      <w:r>
        <w:rPr>
          <w:snapToGrid w:val="0"/>
        </w:rPr>
        <w:tab/>
      </w:r>
      <w:r>
        <w:t>Annual report by department</w:t>
      </w:r>
      <w:bookmarkEnd w:id="319"/>
      <w:bookmarkEnd w:id="320"/>
    </w:p>
    <w:p>
      <w:pPr>
        <w:pStyle w:val="Ednotesubsection"/>
      </w:pPr>
      <w:r>
        <w:tab/>
        <w:t>[(1)</w:t>
      </w:r>
      <w:r>
        <w:tab/>
        <w:t>deleted]</w:t>
      </w:r>
    </w:p>
    <w:p>
      <w:pPr>
        <w:pStyle w:val="Subsection"/>
      </w:pPr>
      <w:r>
        <w:tab/>
        <w:t>(2)</w:t>
      </w:r>
      <w:r>
        <w:tab/>
        <w:t>The department’s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keepNext/>
        <w:keepLines/>
      </w:pPr>
      <w:r>
        <w:tab/>
        <w:t>(e)</w:t>
      </w:r>
      <w:r>
        <w:tab/>
        <w:t>any proposals for improving the operation of the Commissioner.</w:t>
      </w:r>
    </w:p>
    <w:p>
      <w:pPr>
        <w:pStyle w:val="Footnotesection"/>
        <w:spacing w:before="80"/>
        <w:ind w:left="890" w:hanging="890"/>
      </w:pPr>
      <w:r>
        <w:tab/>
        <w:t>[Section 135 inserted by No. 98 of 1985 s. 3; amended by No. 59 of 1995 s. 38; No. 55 of 2004 s. 1016; No. 77 of 2006 Sch. 1 cl. 147(18); No. 58 of 2010 s. 127.]</w:t>
      </w:r>
    </w:p>
    <w:p>
      <w:pPr>
        <w:pStyle w:val="Heading5"/>
        <w:spacing w:before="200"/>
        <w:rPr>
          <w:snapToGrid w:val="0"/>
        </w:rPr>
      </w:pPr>
      <w:bookmarkStart w:id="321" w:name="_Toc404159170"/>
      <w:bookmarkStart w:id="322" w:name="_Toc435024559"/>
      <w:r>
        <w:t>136</w:t>
      </w:r>
      <w:r>
        <w:rPr>
          <w:snapToGrid w:val="0"/>
        </w:rPr>
        <w:t>.</w:t>
      </w:r>
      <w:r>
        <w:rPr>
          <w:snapToGrid w:val="0"/>
        </w:rPr>
        <w:tab/>
      </w:r>
      <w:r>
        <w:t>Commissioner to report to Minister on Act’s effectiveness as to protecting against defalcations</w:t>
      </w:r>
      <w:bookmarkEnd w:id="321"/>
      <w:bookmarkEnd w:id="322"/>
    </w:p>
    <w:p>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spacing w:before="60"/>
        <w:rPr>
          <w:snapToGrid w:val="0"/>
        </w:rPr>
      </w:pPr>
      <w:r>
        <w:rPr>
          <w:snapToGrid w:val="0"/>
        </w:rPr>
        <w:tab/>
        <w:t>(b)</w:t>
      </w:r>
      <w:r>
        <w:rPr>
          <w:snapToGrid w:val="0"/>
        </w:rPr>
        <w:tab/>
        <w:t>the desirability or otherwise of having further or alternative measures for that purpose,</w:t>
      </w:r>
    </w:p>
    <w:p>
      <w:pPr>
        <w:pStyle w:val="Subsection"/>
        <w:spacing w:before="120"/>
        <w:rPr>
          <w:snapToGrid w:val="0"/>
        </w:rPr>
      </w:pPr>
      <w:r>
        <w:rPr>
          <w:snapToGrid w:val="0"/>
        </w:rPr>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spacing w:before="80"/>
        <w:ind w:left="890" w:hanging="890"/>
      </w:pPr>
      <w:r>
        <w:tab/>
        <w:t>[Section 136 amended by No. 58 of 2010 s. 134.]</w:t>
      </w:r>
    </w:p>
    <w:p>
      <w:pPr>
        <w:pStyle w:val="Heading5"/>
        <w:spacing w:before="200"/>
        <w:rPr>
          <w:snapToGrid w:val="0"/>
        </w:rPr>
      </w:pPr>
      <w:bookmarkStart w:id="323" w:name="_Toc404159171"/>
      <w:bookmarkStart w:id="324" w:name="_Toc435024560"/>
      <w:r>
        <w:t>136A</w:t>
      </w:r>
      <w:r>
        <w:rPr>
          <w:snapToGrid w:val="0"/>
        </w:rPr>
        <w:t>.</w:t>
      </w:r>
      <w:r>
        <w:rPr>
          <w:snapToGrid w:val="0"/>
        </w:rPr>
        <w:tab/>
        <w:t>Refunds of fees, Commissioner’s powers as to</w:t>
      </w:r>
      <w:bookmarkEnd w:id="323"/>
      <w:bookmarkEnd w:id="324"/>
    </w:p>
    <w:p>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licence or triennial certificate or any sum paid to the </w:t>
      </w:r>
      <w:r>
        <w:t>Commissioner</w:t>
      </w:r>
      <w:r>
        <w:rPr>
          <w:snapToGrid w:val="0"/>
        </w:rPr>
        <w:t xml:space="preserve"> by way of contribution or levy to the Fidelity</w:t>
      </w:r>
      <w:r>
        <w:t xml:space="preserve"> Account</w:t>
      </w:r>
      <w:r>
        <w:rPr>
          <w:snapToGrid w:val="0"/>
        </w:rPr>
        <w:t>.</w:t>
      </w:r>
    </w:p>
    <w:p>
      <w:pPr>
        <w:pStyle w:val="Footnotesection"/>
        <w:spacing w:before="80"/>
        <w:ind w:left="890" w:hanging="890"/>
      </w:pPr>
      <w:r>
        <w:tab/>
        <w:t>[Section 136A inserted by No. 74 of 1980 s. 12; amended by No. 29 of 1982 s. 12; No. 77 of 2006 Sch. 1 cl. 147(2); No. 58 of 2010 s. 134.]</w:t>
      </w:r>
    </w:p>
    <w:p>
      <w:pPr>
        <w:pStyle w:val="Heading5"/>
        <w:spacing w:before="200"/>
      </w:pPr>
      <w:bookmarkStart w:id="325" w:name="_Toc404159172"/>
      <w:bookmarkStart w:id="326" w:name="_Toc435024561"/>
      <w:r>
        <w:rPr>
          <w:rStyle w:val="CharSectno"/>
        </w:rPr>
        <w:t>137</w:t>
      </w:r>
      <w:r>
        <w:t>.</w:t>
      </w:r>
      <w:r>
        <w:tab/>
        <w:t>Protection from personal liability</w:t>
      </w:r>
      <w:bookmarkEnd w:id="325"/>
      <w:bookmarkEnd w:id="326"/>
    </w:p>
    <w:p>
      <w:pPr>
        <w:pStyle w:val="Subsection"/>
        <w:spacing w:before="120"/>
      </w:pPr>
      <w:r>
        <w:tab/>
      </w:r>
      <w:r>
        <w:tab/>
        <w:t>A person does not incur any liability in tort for anything that the person does, in good faith, in the performance or purported performance of a function under this Act.</w:t>
      </w:r>
    </w:p>
    <w:p>
      <w:pPr>
        <w:pStyle w:val="Footnotesection"/>
        <w:spacing w:before="80"/>
        <w:ind w:left="890" w:hanging="890"/>
      </w:pPr>
      <w:r>
        <w:tab/>
        <w:t>[Section 137 inserted by No. 58 of 2010 s. 128.]</w:t>
      </w:r>
    </w:p>
    <w:p>
      <w:pPr>
        <w:pStyle w:val="Heading5"/>
      </w:pPr>
      <w:bookmarkStart w:id="327" w:name="_Toc404159173"/>
      <w:bookmarkStart w:id="328" w:name="_Toc435024562"/>
      <w:r>
        <w:rPr>
          <w:rStyle w:val="CharSectno"/>
        </w:rPr>
        <w:t>138</w:t>
      </w:r>
      <w:r>
        <w:t>.</w:t>
      </w:r>
      <w:r>
        <w:tab/>
        <w:t>Confidentiality of information officially obtained</w:t>
      </w:r>
      <w:bookmarkEnd w:id="327"/>
      <w:bookmarkEnd w:id="328"/>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138 inserted by No. 58 of 2010 s. 129.]</w:t>
      </w:r>
    </w:p>
    <w:p>
      <w:pPr>
        <w:pStyle w:val="Heading5"/>
        <w:rPr>
          <w:snapToGrid w:val="0"/>
        </w:rPr>
      </w:pPr>
      <w:bookmarkStart w:id="329" w:name="_Toc404159174"/>
      <w:bookmarkStart w:id="330" w:name="_Toc435024563"/>
      <w:r>
        <w:rPr>
          <w:rStyle w:val="CharSectno"/>
        </w:rPr>
        <w:t>139</w:t>
      </w:r>
      <w:r>
        <w:rPr>
          <w:snapToGrid w:val="0"/>
        </w:rPr>
        <w:t>.</w:t>
      </w:r>
      <w:r>
        <w:rPr>
          <w:snapToGrid w:val="0"/>
        </w:rPr>
        <w:tab/>
        <w:t>Directors of body corporate, liability of</w:t>
      </w:r>
      <w:bookmarkEnd w:id="329"/>
      <w:bookmarkEnd w:id="330"/>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 No. 58 of 2010 s. 134.]</w:t>
      </w:r>
    </w:p>
    <w:p>
      <w:pPr>
        <w:pStyle w:val="Heading5"/>
        <w:rPr>
          <w:snapToGrid w:val="0"/>
        </w:rPr>
      </w:pPr>
      <w:bookmarkStart w:id="331" w:name="_Toc404159175"/>
      <w:bookmarkStart w:id="332" w:name="_Toc435024564"/>
      <w:r>
        <w:rPr>
          <w:rStyle w:val="CharSectno"/>
        </w:rPr>
        <w:t>140</w:t>
      </w:r>
      <w:r>
        <w:rPr>
          <w:snapToGrid w:val="0"/>
        </w:rPr>
        <w:t>.</w:t>
      </w:r>
      <w:r>
        <w:rPr>
          <w:snapToGrid w:val="0"/>
        </w:rPr>
        <w:tab/>
        <w:t>Other rights and remedies not affected by this Act</w:t>
      </w:r>
      <w:bookmarkEnd w:id="331"/>
      <w:bookmarkEnd w:id="332"/>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333" w:name="_Toc404159176"/>
      <w:bookmarkStart w:id="334" w:name="_Toc435024565"/>
      <w:r>
        <w:rPr>
          <w:rStyle w:val="CharSectno"/>
        </w:rPr>
        <w:t>141</w:t>
      </w:r>
      <w:r>
        <w:rPr>
          <w:snapToGrid w:val="0"/>
        </w:rPr>
        <w:t>.</w:t>
      </w:r>
      <w:r>
        <w:rPr>
          <w:snapToGrid w:val="0"/>
        </w:rPr>
        <w:tab/>
        <w:t>Rights conferred by Act cannot be waived</w:t>
      </w:r>
      <w:bookmarkEnd w:id="333"/>
      <w:bookmarkEnd w:id="334"/>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335" w:name="_Toc404159177"/>
      <w:bookmarkStart w:id="336" w:name="_Toc435024566"/>
      <w:r>
        <w:rPr>
          <w:rStyle w:val="CharSectno"/>
        </w:rPr>
        <w:t>142</w:t>
      </w:r>
      <w:r>
        <w:rPr>
          <w:snapToGrid w:val="0"/>
        </w:rPr>
        <w:t>.</w:t>
      </w:r>
      <w:r>
        <w:rPr>
          <w:snapToGrid w:val="0"/>
        </w:rPr>
        <w:tab/>
        <w:t>General penalty for offences</w:t>
      </w:r>
      <w:bookmarkEnd w:id="335"/>
      <w:bookmarkEnd w:id="336"/>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142 amended by No. 43 of 1994 s. 11.]</w:t>
      </w:r>
    </w:p>
    <w:p>
      <w:pPr>
        <w:pStyle w:val="Heading5"/>
        <w:rPr>
          <w:snapToGrid w:val="0"/>
        </w:rPr>
      </w:pPr>
      <w:bookmarkStart w:id="337" w:name="_Toc404159178"/>
      <w:bookmarkStart w:id="338" w:name="_Toc435024567"/>
      <w:r>
        <w:rPr>
          <w:rStyle w:val="CharSectno"/>
        </w:rPr>
        <w:t>143</w:t>
      </w:r>
      <w:r>
        <w:rPr>
          <w:snapToGrid w:val="0"/>
        </w:rPr>
        <w:t>.</w:t>
      </w:r>
      <w:r>
        <w:rPr>
          <w:snapToGrid w:val="0"/>
        </w:rPr>
        <w:tab/>
        <w:t>Proceedings for offences</w:t>
      </w:r>
      <w:bookmarkEnd w:id="337"/>
      <w:bookmarkEnd w:id="338"/>
    </w:p>
    <w:p>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[Section 143 amended by No. 59 of 2004 s. 141; No. 84 of 2004 s. 80; No. 58 of 2010 s. 134.]</w:t>
      </w:r>
    </w:p>
    <w:p>
      <w:pPr>
        <w:pStyle w:val="Heading5"/>
        <w:rPr>
          <w:snapToGrid w:val="0"/>
        </w:rPr>
      </w:pPr>
      <w:bookmarkStart w:id="339" w:name="_Toc404159179"/>
      <w:bookmarkStart w:id="340" w:name="_Toc435024568"/>
      <w:r>
        <w:rPr>
          <w:rStyle w:val="CharSectno"/>
        </w:rPr>
        <w:t>144</w:t>
      </w:r>
      <w:r>
        <w:rPr>
          <w:snapToGrid w:val="0"/>
        </w:rPr>
        <w:t>.</w:t>
      </w:r>
      <w:r>
        <w:rPr>
          <w:snapToGrid w:val="0"/>
        </w:rPr>
        <w:tab/>
      </w:r>
      <w:r>
        <w:t>Forms</w:t>
      </w:r>
      <w:bookmarkEnd w:id="339"/>
      <w:bookmarkEnd w:id="340"/>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r>
        <w:tab/>
        <w:t>[Section 144 amended by No. 58 of 2010 s. 134.]</w:t>
      </w:r>
    </w:p>
    <w:p>
      <w:pPr>
        <w:pStyle w:val="Heading5"/>
        <w:rPr>
          <w:snapToGrid w:val="0"/>
        </w:rPr>
      </w:pPr>
      <w:bookmarkStart w:id="341" w:name="_Toc404159180"/>
      <w:bookmarkStart w:id="342" w:name="_Toc435024569"/>
      <w:r>
        <w:rPr>
          <w:rStyle w:val="CharSectno"/>
        </w:rPr>
        <w:t>145</w:t>
      </w:r>
      <w:r>
        <w:rPr>
          <w:snapToGrid w:val="0"/>
        </w:rPr>
        <w:t>.</w:t>
      </w:r>
      <w:r>
        <w:rPr>
          <w:snapToGrid w:val="0"/>
        </w:rPr>
        <w:tab/>
        <w:t>Regulations</w:t>
      </w:r>
      <w:bookmarkEnd w:id="341"/>
      <w:bookmarkEnd w:id="342"/>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procedure of the</w:t>
      </w:r>
      <w:r>
        <w:t xml:space="preserve"> Commissioner</w:t>
      </w:r>
      <w:r>
        <w:rPr>
          <w:snapToGrid w:val="0"/>
        </w:rPr>
        <w: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a body or class of bodies for the purposes of the definition of </w:t>
      </w:r>
      <w:r>
        <w:rPr>
          <w:b/>
          <w:i/>
          <w:snapToGrid w:val="0"/>
        </w:rPr>
        <w:t>authorised financial institution</w:t>
      </w:r>
      <w:r>
        <w:rPr>
          <w:snapToGrid w:val="0"/>
        </w:rPr>
        <w:t xml:space="preserve">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 xml:space="preserve">prescribe a body or class of bodies for the purposes of the definition of </w:t>
      </w:r>
      <w:r>
        <w:rPr>
          <w:b/>
          <w:i/>
          <w:snapToGrid w:val="0"/>
        </w:rPr>
        <w:t>lending institution</w:t>
      </w:r>
      <w:r>
        <w:rPr>
          <w:snapToGrid w:val="0"/>
        </w:rPr>
        <w:t xml:space="preserve">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145 amended by No. 29 of 1982 s. 11; No. 77 of 1984 s. 5; No. 65 of 1987 s. 42; No. 18 of 1988 s. 5; No. 43 of 1994 s. 10; No. 56 of 1995 s. 48; No. 59 of 1995 s. 39 and 41; No. 55 of 2004 s. 1018; No. 77 of 2006 Sch. 1 cl. 147(2); No. 58 of 2010 s. 130 and 134.]</w:t>
      </w:r>
    </w:p>
    <w:p>
      <w:pPr>
        <w:pStyle w:val="Heading2"/>
      </w:pPr>
      <w:bookmarkStart w:id="343" w:name="_Toc404159181"/>
      <w:bookmarkStart w:id="344" w:name="_Toc424293207"/>
      <w:bookmarkStart w:id="345" w:name="_Toc435024570"/>
      <w:r>
        <w:rPr>
          <w:rStyle w:val="CharPartNo"/>
        </w:rPr>
        <w:t>Part XI</w:t>
      </w:r>
      <w:r>
        <w:t> — </w:t>
      </w:r>
      <w:r>
        <w:rPr>
          <w:rStyle w:val="CharPartText"/>
        </w:rPr>
        <w:t>Savings and transitional</w:t>
      </w:r>
      <w:bookmarkEnd w:id="343"/>
      <w:bookmarkEnd w:id="344"/>
      <w:bookmarkEnd w:id="345"/>
    </w:p>
    <w:p>
      <w:pPr>
        <w:pStyle w:val="Ednotedivision"/>
      </w:pPr>
      <w:r>
        <w:t>[Division 1 (s. 146, 147) deleted by No. 23 of 2014 s. 81.]</w:t>
      </w:r>
    </w:p>
    <w:p>
      <w:pPr>
        <w:pStyle w:val="Ednotedivision"/>
      </w:pPr>
      <w:r>
        <w:t>[Division heading deleted by No. 23 of 2014 s. 82.]</w:t>
      </w:r>
    </w:p>
    <w:p>
      <w:pPr>
        <w:pStyle w:val="Heading5"/>
      </w:pPr>
      <w:bookmarkStart w:id="346" w:name="_Toc404159182"/>
      <w:bookmarkStart w:id="347" w:name="_Toc435024571"/>
      <w:r>
        <w:rPr>
          <w:rStyle w:val="CharSectno"/>
        </w:rPr>
        <w:t>148</w:t>
      </w:r>
      <w:r>
        <w:t>.</w:t>
      </w:r>
      <w:r>
        <w:tab/>
        <w:t>Terms used</w:t>
      </w:r>
      <w:bookmarkEnd w:id="346"/>
      <w:bookmarkEnd w:id="347"/>
    </w:p>
    <w:p>
      <w:pPr>
        <w:pStyle w:val="Subsection"/>
      </w:pPr>
      <w:r>
        <w:tab/>
      </w:r>
      <w:r>
        <w:tab/>
        <w:t>In this Division —</w:t>
      </w:r>
    </w:p>
    <w:p>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Defstart"/>
      </w:pPr>
      <w:r>
        <w:tab/>
      </w:r>
      <w:r>
        <w:rPr>
          <w:rStyle w:val="CharDefText"/>
        </w:rPr>
        <w:t>former Board</w:t>
      </w:r>
      <w:r>
        <w:t xml:space="preserve"> means the Real Estate and Business Agents Supervisory Board established by section 6 of the Act immediately prior to the commencement day;</w:t>
      </w:r>
    </w:p>
    <w:p>
      <w:pPr>
        <w:pStyle w:val="Defstart"/>
      </w:pPr>
      <w:r>
        <w:tab/>
      </w:r>
      <w:r>
        <w:rPr>
          <w:rStyle w:val="CharDefText"/>
        </w:rPr>
        <w:t>former Registrar</w:t>
      </w:r>
      <w:r>
        <w:t xml:space="preserve"> means a Registrar appointed under section 12 of the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148 inserted by No. 58 of 2010 s. 132.]</w:t>
      </w:r>
    </w:p>
    <w:p>
      <w:pPr>
        <w:pStyle w:val="Heading5"/>
      </w:pPr>
      <w:bookmarkStart w:id="348" w:name="_Toc404159183"/>
      <w:bookmarkStart w:id="349" w:name="_Toc435024572"/>
      <w:r>
        <w:rPr>
          <w:rStyle w:val="CharSectno"/>
        </w:rPr>
        <w:t>149</w:t>
      </w:r>
      <w:r>
        <w:t>.</w:t>
      </w:r>
      <w:r>
        <w:tab/>
        <w:t>Former Board abolished</w:t>
      </w:r>
      <w:bookmarkEnd w:id="348"/>
      <w:bookmarkEnd w:id="349"/>
    </w:p>
    <w:p>
      <w:pPr>
        <w:pStyle w:val="Subsection"/>
      </w:pPr>
      <w:r>
        <w:tab/>
      </w:r>
      <w:r>
        <w:tab/>
        <w:t>Subject to sections 156 and 157, at the beginning of the commencement day, the former Board is abolished and its members go out of office.</w:t>
      </w:r>
    </w:p>
    <w:p>
      <w:pPr>
        <w:pStyle w:val="Footnotesection"/>
      </w:pPr>
      <w:r>
        <w:tab/>
        <w:t>[Section 149 inserted by No. 58 of 2010 s. 132.]</w:t>
      </w:r>
    </w:p>
    <w:p>
      <w:pPr>
        <w:pStyle w:val="Heading5"/>
      </w:pPr>
      <w:bookmarkStart w:id="350" w:name="_Toc404159184"/>
      <w:bookmarkStart w:id="351" w:name="_Toc435024573"/>
      <w:r>
        <w:rPr>
          <w:rStyle w:val="CharSectno"/>
        </w:rPr>
        <w:t>150</w:t>
      </w:r>
      <w:r>
        <w:t>.</w:t>
      </w:r>
      <w:r>
        <w:tab/>
        <w:t>References to former Board</w:t>
      </w:r>
      <w:bookmarkEnd w:id="350"/>
      <w:bookmarkEnd w:id="351"/>
    </w:p>
    <w:p>
      <w:pPr>
        <w:pStyle w:val="Subsection"/>
      </w:pPr>
      <w:r>
        <w:tab/>
      </w:r>
      <w:r>
        <w:tab/>
        <w:t>If in a written law or other document or instrument there is a reference to the former Board, that reference may, where the context so requires, be read as if it had been amended to be a reference to the Commissioner.</w:t>
      </w:r>
    </w:p>
    <w:p>
      <w:pPr>
        <w:pStyle w:val="Footnotesection"/>
      </w:pPr>
      <w:r>
        <w:tab/>
        <w:t>[Section 150 inserted by No. 58 of 2010 s. 132.]</w:t>
      </w:r>
    </w:p>
    <w:p>
      <w:pPr>
        <w:pStyle w:val="Heading5"/>
      </w:pPr>
      <w:bookmarkStart w:id="352" w:name="_Toc404159185"/>
      <w:bookmarkStart w:id="353" w:name="_Toc435024574"/>
      <w:r>
        <w:rPr>
          <w:rStyle w:val="CharSectno"/>
        </w:rPr>
        <w:t>151</w:t>
      </w:r>
      <w:r>
        <w:t>.</w:t>
      </w:r>
      <w:r>
        <w:tab/>
        <w:t>Immunity continues</w:t>
      </w:r>
      <w:bookmarkEnd w:id="352"/>
      <w:bookmarkEnd w:id="353"/>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151 inserted by No. 58 of 2010 s. 132.]</w:t>
      </w:r>
    </w:p>
    <w:p>
      <w:pPr>
        <w:pStyle w:val="Heading5"/>
      </w:pPr>
      <w:bookmarkStart w:id="354" w:name="_Toc404159186"/>
      <w:bookmarkStart w:id="355" w:name="_Toc435024575"/>
      <w:r>
        <w:rPr>
          <w:rStyle w:val="CharSectno"/>
        </w:rPr>
        <w:t>152</w:t>
      </w:r>
      <w:r>
        <w:t>.</w:t>
      </w:r>
      <w:r>
        <w:tab/>
        <w:t>Notices by former Board</w:t>
      </w:r>
      <w:bookmarkEnd w:id="354"/>
      <w:bookmarkEnd w:id="355"/>
    </w:p>
    <w:p>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Footnotesection"/>
      </w:pPr>
      <w:r>
        <w:tab/>
        <w:t>[Section 152 inserted by No. 58 of 2010 s. 132.]</w:t>
      </w:r>
    </w:p>
    <w:p>
      <w:pPr>
        <w:pStyle w:val="Heading5"/>
      </w:pPr>
      <w:bookmarkStart w:id="356" w:name="_Toc404159187"/>
      <w:bookmarkStart w:id="357" w:name="_Toc435024576"/>
      <w:r>
        <w:rPr>
          <w:rStyle w:val="CharSectno"/>
        </w:rPr>
        <w:t>153</w:t>
      </w:r>
      <w:r>
        <w:t>.</w:t>
      </w:r>
      <w:r>
        <w:tab/>
        <w:t>References to former Registrar</w:t>
      </w:r>
      <w:bookmarkEnd w:id="356"/>
      <w:bookmarkEnd w:id="357"/>
    </w:p>
    <w:p>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spacing w:before="180"/>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Footnotesection"/>
        <w:spacing w:before="140"/>
        <w:ind w:left="890" w:hanging="890"/>
      </w:pPr>
      <w:r>
        <w:tab/>
        <w:t>[Section 153 inserted by No. 58 of 2010 s. 132.]</w:t>
      </w:r>
    </w:p>
    <w:p>
      <w:pPr>
        <w:pStyle w:val="Heading5"/>
        <w:spacing w:before="280"/>
      </w:pPr>
      <w:bookmarkStart w:id="358" w:name="_Toc404159188"/>
      <w:bookmarkStart w:id="359" w:name="_Toc435024577"/>
      <w:r>
        <w:rPr>
          <w:rStyle w:val="CharSectno"/>
        </w:rPr>
        <w:t>154</w:t>
      </w:r>
      <w:r>
        <w:t>.</w:t>
      </w:r>
      <w:r>
        <w:tab/>
        <w:t>Unfinished investigations by former Board</w:t>
      </w:r>
      <w:bookmarkEnd w:id="358"/>
      <w:bookmarkEnd w:id="359"/>
    </w:p>
    <w:p>
      <w:pPr>
        <w:pStyle w:val="Subsection"/>
        <w:spacing w:before="180"/>
      </w:pPr>
      <w:r>
        <w:tab/>
      </w:r>
      <w:r>
        <w:tab/>
        <w:t>Investigations being carried out by the former Board under the Act as it was prior to the commencement day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Footnotesection"/>
        <w:spacing w:before="140"/>
        <w:ind w:left="890" w:hanging="890"/>
      </w:pPr>
      <w:r>
        <w:tab/>
        <w:t>[Section 154 inserted by No. 58 of 2010 s. 132.]</w:t>
      </w:r>
    </w:p>
    <w:p>
      <w:pPr>
        <w:pStyle w:val="Heading5"/>
        <w:spacing w:before="280"/>
      </w:pPr>
      <w:bookmarkStart w:id="360" w:name="_Toc404159189"/>
      <w:bookmarkStart w:id="361" w:name="_Toc435024578"/>
      <w:r>
        <w:rPr>
          <w:rStyle w:val="CharSectno"/>
        </w:rPr>
        <w:t>155</w:t>
      </w:r>
      <w:r>
        <w:t>.</w:t>
      </w:r>
      <w:r>
        <w:tab/>
        <w:t>Unfinished proceedings by former Board</w:t>
      </w:r>
      <w:bookmarkEnd w:id="360"/>
      <w:bookmarkEnd w:id="361"/>
    </w:p>
    <w:p>
      <w:pPr>
        <w:pStyle w:val="Subsection"/>
        <w:spacing w:before="180"/>
      </w:pPr>
      <w:r>
        <w:tab/>
        <w:t>(1)</w:t>
      </w:r>
      <w:r>
        <w:tab/>
        <w:t>Proceedings before the former Board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155 inserted by No. 58 of 2010 s. 132.]</w:t>
      </w:r>
    </w:p>
    <w:p>
      <w:pPr>
        <w:pStyle w:val="Heading5"/>
      </w:pPr>
      <w:bookmarkStart w:id="362" w:name="_Toc404159190"/>
      <w:bookmarkStart w:id="363" w:name="_Toc435024579"/>
      <w:r>
        <w:rPr>
          <w:rStyle w:val="CharSectno"/>
        </w:rPr>
        <w:t>156</w:t>
      </w:r>
      <w:r>
        <w:t>.</w:t>
      </w:r>
      <w:r>
        <w:tab/>
        <w:t>Winding</w:t>
      </w:r>
      <w:r>
        <w:noBreakHyphen/>
        <w:t>up former Board</w:t>
      </w:r>
      <w:bookmarkEnd w:id="362"/>
      <w:bookmarkEnd w:id="363"/>
    </w:p>
    <w:p>
      <w:pPr>
        <w:pStyle w:val="Subsection"/>
      </w:pPr>
      <w:r>
        <w:tab/>
      </w:r>
      <w:r>
        <w:tab/>
        <w:t>On and after the commencement day —</w:t>
      </w:r>
    </w:p>
    <w:p>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spacing w:before="60"/>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Footnotesection"/>
        <w:spacing w:before="100"/>
        <w:ind w:left="890" w:hanging="890"/>
      </w:pPr>
      <w:r>
        <w:tab/>
        <w:t>[Section 156 inserted by No. 58 of 2010 s. 132.]</w:t>
      </w:r>
    </w:p>
    <w:p>
      <w:pPr>
        <w:pStyle w:val="Heading5"/>
      </w:pPr>
      <w:bookmarkStart w:id="364" w:name="_Toc404159191"/>
      <w:bookmarkStart w:id="365" w:name="_Toc435024580"/>
      <w:r>
        <w:rPr>
          <w:rStyle w:val="CharSectno"/>
        </w:rPr>
        <w:t>157</w:t>
      </w:r>
      <w:r>
        <w:t>.</w:t>
      </w:r>
      <w:r>
        <w:tab/>
        <w:t>Final report by former Board</w:t>
      </w:r>
      <w:bookmarkEnd w:id="364"/>
      <w:bookmarkEnd w:id="365"/>
    </w:p>
    <w:p>
      <w:pPr>
        <w:pStyle w:val="Subsection"/>
        <w:spacing w:before="140"/>
      </w:pPr>
      <w:r>
        <w:tab/>
        <w:t>(1)</w:t>
      </w:r>
      <w:r>
        <w:tab/>
        <w:t xml:space="preserve">The provisions of the </w:t>
      </w:r>
      <w:r>
        <w:rPr>
          <w:i/>
          <w:iCs/>
        </w:rPr>
        <w:t>Financial Management Act 2006</w:t>
      </w:r>
      <w:r>
        <w:t xml:space="preserve"> Part 5 Division 3 apply to the former Board.</w:t>
      </w:r>
    </w:p>
    <w:p>
      <w:pPr>
        <w:pStyle w:val="Subsection"/>
        <w:spacing w:before="140"/>
      </w:pPr>
      <w:r>
        <w:tab/>
        <w:t>(2)</w:t>
      </w:r>
      <w:r>
        <w:tab/>
        <w:t>The chief executive officer is to include the final report submitted under subsection (1) in the department’s annual report for that financial year.</w:t>
      </w:r>
    </w:p>
    <w:p>
      <w:pPr>
        <w:pStyle w:val="Footnotesection"/>
        <w:spacing w:before="100"/>
        <w:ind w:left="890" w:hanging="890"/>
      </w:pPr>
      <w:r>
        <w:tab/>
        <w:t>[Section 157 inserted by No. 58 of 2010 s. 132.]</w:t>
      </w:r>
    </w:p>
    <w:p>
      <w:pPr>
        <w:pStyle w:val="Heading5"/>
      </w:pPr>
      <w:bookmarkStart w:id="366" w:name="_Toc404159192"/>
      <w:bookmarkStart w:id="367" w:name="_Toc435024581"/>
      <w:r>
        <w:rPr>
          <w:rStyle w:val="CharSectno"/>
        </w:rPr>
        <w:t>158</w:t>
      </w:r>
      <w:r>
        <w:t>.</w:t>
      </w:r>
      <w:r>
        <w:tab/>
        <w:t>Staff of former Board</w:t>
      </w:r>
      <w:bookmarkEnd w:id="366"/>
      <w:bookmarkEnd w:id="367"/>
    </w:p>
    <w:p>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Subsection"/>
        <w:spacing w:before="140"/>
      </w:pPr>
      <w:r>
        <w:tab/>
        <w:t>(2)</w:t>
      </w:r>
      <w:r>
        <w:tab/>
        <w:t>A person mentioned in subsection (1) is to be regarded as having been engaged or employed, as is relevant, by the chief executive officer.</w:t>
      </w:r>
    </w:p>
    <w:p>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spacing w:before="100"/>
        <w:ind w:left="890" w:hanging="890"/>
      </w:pPr>
      <w:r>
        <w:tab/>
        <w:t>[Section 158 inserted by No. 58 of 2010 s. 132.]</w:t>
      </w:r>
    </w:p>
    <w:p>
      <w:pPr>
        <w:pStyle w:val="Heading5"/>
      </w:pPr>
      <w:bookmarkStart w:id="368" w:name="_Toc404159193"/>
      <w:bookmarkStart w:id="369" w:name="_Toc435024582"/>
      <w:r>
        <w:rPr>
          <w:rStyle w:val="CharSectno"/>
        </w:rPr>
        <w:t>159</w:t>
      </w:r>
      <w:r>
        <w:t>.</w:t>
      </w:r>
      <w:r>
        <w:tab/>
        <w:t>Transitional regulations</w:t>
      </w:r>
      <w:bookmarkEnd w:id="368"/>
      <w:bookmarkEnd w:id="369"/>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159 inserted by No. 58 of 2010 s. 132.]</w:t>
      </w:r>
    </w:p>
    <w:p>
      <w:pPr>
        <w:pStyle w:val="Subsection"/>
        <w:rPr>
          <w:snapToGrid w:val="0"/>
        </w:rPr>
      </w:pPr>
    </w:p>
    <w:p>
      <w:p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70" w:name="_Toc404159194"/>
      <w:bookmarkStart w:id="371" w:name="_Toc424293220"/>
      <w:bookmarkStart w:id="372" w:name="_Toc435024583"/>
      <w:r>
        <w:rPr>
          <w:rStyle w:val="CharSchNo"/>
          <w:rFonts w:eastAsia="MS Mincho"/>
        </w:rPr>
        <w:t>Schedule 1</w:t>
      </w:r>
      <w:r>
        <w:t> — </w:t>
      </w:r>
      <w:r>
        <w:rPr>
          <w:rStyle w:val="CharSchText"/>
          <w:rFonts w:eastAsia="MS Mincho"/>
        </w:rPr>
        <w:t>Qualifications for grant of licence and related matters</w:t>
      </w:r>
      <w:bookmarkEnd w:id="370"/>
      <w:bookmarkEnd w:id="371"/>
      <w:bookmarkEnd w:id="372"/>
    </w:p>
    <w:p>
      <w:pPr>
        <w:pStyle w:val="yShoulderClause"/>
      </w:pPr>
      <w:r>
        <w:t>[s. 27]</w:t>
      </w:r>
    </w:p>
    <w:p>
      <w:pPr>
        <w:pStyle w:val="yFootnoteheading"/>
        <w:rPr>
          <w:rFonts w:eastAsia="MS Mincho"/>
        </w:rPr>
      </w:pPr>
      <w:r>
        <w:rPr>
          <w:rFonts w:eastAsia="MS Mincho"/>
        </w:rPr>
        <w:tab/>
        <w:t>[Heading inserted by No. 23 of 2014 s. 83(1).]</w:t>
      </w:r>
    </w:p>
    <w:p>
      <w:pPr>
        <w:pStyle w:val="yEdnotedivision"/>
        <w:rPr>
          <w:rFonts w:eastAsia="MS Mincho"/>
        </w:rPr>
      </w:pPr>
      <w:r>
        <w:rPr>
          <w:rFonts w:eastAsia="MS Mincho"/>
        </w:rPr>
        <w:t>[Division heading deleted by No. 23 of 2014 s. 83(2).]</w:t>
      </w:r>
    </w:p>
    <w:p>
      <w:pPr>
        <w:pStyle w:val="yHeading5"/>
        <w:rPr>
          <w:snapToGrid w:val="0"/>
        </w:rPr>
      </w:pPr>
      <w:bookmarkStart w:id="373" w:name="_Toc404159195"/>
      <w:bookmarkStart w:id="374" w:name="_Toc435024584"/>
      <w:r>
        <w:rPr>
          <w:rStyle w:val="CharSClsNo"/>
        </w:rPr>
        <w:t>1</w:t>
      </w:r>
      <w:r>
        <w:rPr>
          <w:snapToGrid w:val="0"/>
        </w:rPr>
        <w:t>.</w:t>
      </w:r>
      <w:r>
        <w:rPr>
          <w:snapToGrid w:val="0"/>
        </w:rPr>
        <w:tab/>
        <w:t>Qualifications</w:t>
      </w:r>
      <w:bookmarkEnd w:id="373"/>
      <w:bookmarkEnd w:id="374"/>
    </w:p>
    <w:p>
      <w:pPr>
        <w:pStyle w:val="ySubsection"/>
        <w:rPr>
          <w:snapToGrid w:val="0"/>
        </w:rPr>
      </w:pPr>
      <w:r>
        <w:rPr>
          <w:snapToGrid w:val="0"/>
        </w:rPr>
        <w:tab/>
      </w:r>
      <w:r>
        <w:rPr>
          <w:snapToGrid w:val="0"/>
        </w:rPr>
        <w:tab/>
        <w:t>A person —</w:t>
      </w:r>
    </w:p>
    <w:p>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 or</w:t>
      </w:r>
    </w:p>
    <w:p>
      <w:pPr>
        <w:pStyle w:val="yIndenta"/>
        <w:rPr>
          <w:snapToGrid w:val="0"/>
        </w:rPr>
      </w:pPr>
      <w:r>
        <w:rPr>
          <w:snapToGrid w:val="0"/>
        </w:rPr>
        <w:tab/>
        <w:t>(b)</w:t>
      </w:r>
      <w:r>
        <w:rPr>
          <w:snapToGrid w:val="0"/>
        </w:rPr>
        <w:tab/>
        <w:t>who has within a period of 5 years immediately preceding his application —</w:t>
      </w:r>
    </w:p>
    <w:p>
      <w:pPr>
        <w:pStyle w:val="yIndenti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rPr>
          <w:snapToGrid w:val="0"/>
        </w:rPr>
      </w:pPr>
      <w:r>
        <w:rPr>
          <w:snapToGrid w:val="0"/>
        </w:rPr>
        <w:tab/>
        <w:t>(ii)</w:t>
      </w:r>
      <w:r>
        <w:rPr>
          <w:snapToGrid w:val="0"/>
        </w:rPr>
        <w:tab/>
        <w:t>in that State or Territory for a period of at least 2 years acted as and carried out the functions of an agent,</w:t>
      </w:r>
    </w:p>
    <w:p>
      <w:pPr>
        <w:pStyle w:val="yIndenta"/>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 or</w:t>
      </w:r>
    </w:p>
    <w:p>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[Clause 1 amended by No. 74 of 1980 s. 13(a); No. 28 of 2003 s. 177(1); No. 19 of 2010 s. 51.]</w:t>
      </w:r>
    </w:p>
    <w:p>
      <w:pPr>
        <w:pStyle w:val="yHeading5"/>
        <w:rPr>
          <w:snapToGrid w:val="0"/>
        </w:rPr>
      </w:pPr>
      <w:bookmarkStart w:id="375" w:name="_Toc404159196"/>
      <w:bookmarkStart w:id="376" w:name="_Toc435024585"/>
      <w:r>
        <w:rPr>
          <w:rStyle w:val="CharSClsNo"/>
        </w:rPr>
        <w:t>2</w:t>
      </w:r>
      <w:r>
        <w:rPr>
          <w:snapToGrid w:val="0"/>
        </w:rPr>
        <w:t>.</w:t>
      </w:r>
      <w:r>
        <w:rPr>
          <w:snapToGrid w:val="0"/>
        </w:rPr>
        <w:tab/>
        <w:t>Sufficient practical experience defined</w:t>
      </w:r>
      <w:bookmarkEnd w:id="375"/>
      <w:bookmarkEnd w:id="376"/>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by No. 19 of 2010 s. 51.]</w:t>
      </w:r>
    </w:p>
    <w:p>
      <w:pPr>
        <w:pStyle w:val="yHeading5"/>
        <w:rPr>
          <w:snapToGrid w:val="0"/>
        </w:rPr>
      </w:pPr>
      <w:bookmarkStart w:id="377" w:name="_Toc404159197"/>
      <w:bookmarkStart w:id="378" w:name="_Toc435024586"/>
      <w:r>
        <w:rPr>
          <w:rStyle w:val="CharSClsNo"/>
        </w:rPr>
        <w:t>3</w:t>
      </w:r>
      <w:r>
        <w:rPr>
          <w:snapToGrid w:val="0"/>
        </w:rPr>
        <w:t>.</w:t>
      </w:r>
      <w:r>
        <w:rPr>
          <w:snapToGrid w:val="0"/>
        </w:rPr>
        <w:tab/>
        <w:t>Licence by reason of qualification under cl. 1(c)</w:t>
      </w:r>
      <w:bookmarkEnd w:id="377"/>
      <w:bookmarkEnd w:id="378"/>
    </w:p>
    <w:p>
      <w:pPr>
        <w:pStyle w:val="ySubsection"/>
        <w:rPr>
          <w:snapToGrid w:val="0"/>
        </w:rPr>
      </w:pPr>
      <w:r>
        <w:rPr>
          <w:snapToGrid w:val="0"/>
        </w:rPr>
        <w:tab/>
      </w:r>
      <w:r>
        <w:rPr>
          <w:snapToGrid w:val="0"/>
        </w:rPr>
        <w:tab/>
      </w:r>
      <w:r>
        <w:rPr>
          <w:szCs w:val="22"/>
        </w:rPr>
        <w:t>A licence granted to a person who is qualified under clause 1(c)</w:t>
      </w:r>
      <w:r>
        <w:rPr>
          <w:snapToGrid w:val="0"/>
        </w:rPr>
        <w:t xml:space="preserv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by No. 19 of 2010 s. 51; No. 23 of 2014 s. 83(3).]</w:t>
      </w:r>
    </w:p>
    <w:p>
      <w:pPr>
        <w:pStyle w:val="yHeading5"/>
        <w:rPr>
          <w:snapToGrid w:val="0"/>
        </w:rPr>
      </w:pPr>
      <w:bookmarkStart w:id="379" w:name="_Toc404159198"/>
      <w:bookmarkStart w:id="380" w:name="_Toc435024587"/>
      <w:r>
        <w:rPr>
          <w:rStyle w:val="CharSClsNo"/>
        </w:rPr>
        <w:t>4</w:t>
      </w:r>
      <w:r>
        <w:rPr>
          <w:snapToGrid w:val="0"/>
        </w:rPr>
        <w:t>.</w:t>
      </w:r>
      <w:r>
        <w:rPr>
          <w:snapToGrid w:val="0"/>
        </w:rPr>
        <w:tab/>
        <w:t>Licence by reason of qualification under cl. 1(d)</w:t>
      </w:r>
      <w:bookmarkEnd w:id="379"/>
      <w:bookmarkEnd w:id="380"/>
    </w:p>
    <w:p>
      <w:pPr>
        <w:pStyle w:val="ySubsection"/>
        <w:rPr>
          <w:snapToGrid w:val="0"/>
        </w:rPr>
      </w:pPr>
      <w:r>
        <w:rPr>
          <w:snapToGrid w:val="0"/>
        </w:rPr>
        <w:tab/>
      </w:r>
      <w:r>
        <w:rPr>
          <w:snapToGrid w:val="0"/>
        </w:rPr>
        <w:tab/>
      </w:r>
      <w:r>
        <w:rPr>
          <w:szCs w:val="22"/>
        </w:rPr>
        <w:t xml:space="preserve">A licence applied for by a person who is qualified under clause 1(d)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[Clause 4 amended by No. 28 of 2003 s. 177(2); No. 19 of 2010 s. 51; No. 58 of 2010 s. 134; No. 23 of 2014 s. 83(4).]</w:t>
      </w:r>
    </w:p>
    <w:p>
      <w:pPr>
        <w:pStyle w:val="yHeading5"/>
        <w:rPr>
          <w:snapToGrid w:val="0"/>
        </w:rPr>
      </w:pPr>
      <w:bookmarkStart w:id="381" w:name="_Toc404159199"/>
      <w:bookmarkStart w:id="382" w:name="_Toc435024588"/>
      <w:r>
        <w:rPr>
          <w:rStyle w:val="CharSClsNo"/>
        </w:rPr>
        <w:t>5</w:t>
      </w:r>
      <w:r>
        <w:rPr>
          <w:snapToGrid w:val="0"/>
        </w:rPr>
        <w:t>.</w:t>
      </w:r>
      <w:r>
        <w:rPr>
          <w:snapToGrid w:val="0"/>
        </w:rPr>
        <w:tab/>
        <w:t>Dead or incapacitated licensee, conduct of business of</w:t>
      </w:r>
      <w:bookmarkEnd w:id="381"/>
      <w:bookmarkEnd w:id="382"/>
    </w:p>
    <w:p>
      <w:pPr>
        <w:pStyle w:val="ySubsection"/>
        <w:rPr>
          <w:snapToGrid w:val="0"/>
        </w:rPr>
      </w:pPr>
      <w:r>
        <w:rPr>
          <w:snapToGrid w:val="0"/>
        </w:rPr>
        <w:tab/>
        <w:t>(1)</w:t>
      </w:r>
      <w:r>
        <w:rPr>
          <w:snapToGrid w:val="0"/>
        </w:rPr>
        <w:tab/>
        <w:t>A person who is not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[Clause 5 amended by No. 28 of 2003 s. 177(3); No. 19 of 2010 s. 51; No. 58 of 2010 s. 134.]</w:t>
      </w:r>
    </w:p>
    <w:p>
      <w:pPr>
        <w:pStyle w:val="yHeading5"/>
        <w:rPr>
          <w:snapToGrid w:val="0"/>
        </w:rPr>
      </w:pPr>
      <w:bookmarkStart w:id="383" w:name="_Toc404159200"/>
      <w:bookmarkStart w:id="384" w:name="_Toc435024589"/>
      <w:r>
        <w:rPr>
          <w:rStyle w:val="CharSClsNo"/>
        </w:rPr>
        <w:t>6</w:t>
      </w:r>
      <w:r>
        <w:rPr>
          <w:snapToGrid w:val="0"/>
        </w:rPr>
        <w:t>.</w:t>
      </w:r>
      <w:r>
        <w:rPr>
          <w:snapToGrid w:val="0"/>
        </w:rPr>
        <w:tab/>
        <w:t>Death or withdrawal of partner in firm or director of body corporate, Commissioner to be notified</w:t>
      </w:r>
      <w:bookmarkEnd w:id="383"/>
      <w:bookmarkEnd w:id="384"/>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[Clause 6 amended by No. 74 of 1980 s. 13(c); No. 19 of 2010 s. 51; No. 58 of 2010 s. 134.]</w:t>
      </w:r>
    </w:p>
    <w:p>
      <w:pPr>
        <w:pStyle w:val="yEdnotedivision"/>
        <w:tabs>
          <w:tab w:val="left" w:pos="1418"/>
        </w:tabs>
      </w:pPr>
      <w:r>
        <w:rPr>
          <w:rFonts w:eastAsia="MS Mincho"/>
        </w:rPr>
        <w:t>[Division 2:</w:t>
      </w:r>
      <w:r>
        <w:rPr>
          <w:rFonts w:eastAsia="MS Mincho"/>
        </w:rPr>
        <w:tab/>
        <w:t xml:space="preserve">cl. 7, 9-12 and 15 </w:t>
      </w:r>
      <w:r>
        <w:t>deleted by No. 58 of 2010 s. 133;</w:t>
      </w:r>
      <w:r>
        <w:br/>
      </w:r>
      <w:r>
        <w:rPr>
          <w:rFonts w:eastAsia="MS Mincho"/>
        </w:rPr>
        <w:tab/>
        <w:t xml:space="preserve">balance deleted by No. 23 of 2014 s. 83(5); </w:t>
      </w:r>
      <w:r>
        <w:rPr>
          <w:rFonts w:eastAsia="MS Mincho"/>
        </w:rPr>
        <w:br/>
      </w:r>
      <w:r>
        <w:tab/>
        <w:t xml:space="preserve">Heading deleted by No. 55 of 2004 s. 1019; </w:t>
      </w:r>
      <w:r>
        <w:br/>
      </w:r>
      <w:r>
        <w:tab/>
        <w:t>cl. </w:t>
      </w:r>
      <w:r>
        <w:rPr>
          <w:bCs/>
        </w:rPr>
        <w:t>17</w:t>
      </w:r>
      <w:r>
        <w:rPr>
          <w:bCs/>
        </w:rPr>
        <w:noBreakHyphen/>
        <w:t>24 d</w:t>
      </w:r>
      <w:r>
        <w:t>eleted by No. 55 of 2004 s. 1019.]</w:t>
      </w:r>
    </w:p>
    <w:p>
      <w:pPr>
        <w:pStyle w:val="CentredBaseLine"/>
        <w:spacing w:before="1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outlineLvl w:val="0"/>
      </w:pPr>
      <w:bookmarkStart w:id="386" w:name="_Toc404159201"/>
      <w:bookmarkStart w:id="387" w:name="_Toc424293227"/>
      <w:bookmarkStart w:id="388" w:name="_Toc435024590"/>
      <w:r>
        <w:t>Notes</w:t>
      </w:r>
      <w:bookmarkEnd w:id="386"/>
      <w:bookmarkEnd w:id="387"/>
      <w:bookmarkEnd w:id="388"/>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9" w:name="_Toc404159202"/>
      <w:bookmarkStart w:id="390" w:name="_Toc435024591"/>
      <w:r>
        <w:rPr>
          <w:snapToGrid w:val="0"/>
        </w:rPr>
        <w:t>Compilation table</w:t>
      </w:r>
      <w:bookmarkEnd w:id="389"/>
      <w:bookmarkEnd w:id="390"/>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Real Estate and Business Agents Act 1978</w:t>
            </w:r>
          </w:p>
        </w:tc>
        <w:tc>
          <w:tcPr>
            <w:tcW w:w="1135" w:type="dxa"/>
          </w:tcPr>
          <w:p>
            <w:pPr>
              <w:pStyle w:val="nTable"/>
              <w:spacing w:after="40"/>
            </w:pPr>
            <w:r>
              <w:t>72 of 1978</w:t>
            </w:r>
          </w:p>
        </w:tc>
        <w:tc>
          <w:tcPr>
            <w:tcW w:w="1135" w:type="dxa"/>
          </w:tcPr>
          <w:p>
            <w:pPr>
              <w:pStyle w:val="nTable"/>
              <w:spacing w:after="40"/>
            </w:pPr>
            <w:r>
              <w:t>20 Oct 1978</w:t>
            </w:r>
          </w:p>
        </w:tc>
        <w:tc>
          <w:tcPr>
            <w:tcW w:w="2551" w:type="dxa"/>
          </w:tcPr>
          <w:p>
            <w:pPr>
              <w:pStyle w:val="nTable"/>
              <w:spacing w:after="40"/>
            </w:pPr>
            <w:r>
              <w:t>Act other than s. 5, 54, 55, 57</w:t>
            </w:r>
            <w:r>
              <w:noBreakHyphen/>
              <w:t>100, 102</w:t>
            </w:r>
            <w:r>
              <w:noBreakHyphen/>
              <w:t xml:space="preserve">131 and 135: 1 Sep 1979 (see s. 2(1) and </w:t>
            </w:r>
            <w:r>
              <w:rPr>
                <w:i/>
              </w:rPr>
              <w:t>Gazette</w:t>
            </w:r>
            <w:r>
              <w:t xml:space="preserve"> 31 Aug 1979 p. 2601);</w:t>
            </w:r>
            <w:r>
              <w:br/>
              <w:t xml:space="preserve">s. 5: 1 Dec 1979 (see s. 2(2) and </w:t>
            </w:r>
            <w:r>
              <w:rPr>
                <w:i/>
              </w:rPr>
              <w:t>Gazette</w:t>
            </w:r>
            <w:r>
              <w:t xml:space="preserve"> 31 Aug 1979 p. 2615); </w:t>
            </w:r>
            <w:r>
              <w:br/>
              <w:t>s. 54, 55, 57</w:t>
            </w:r>
            <w:r>
              <w:noBreakHyphen/>
              <w:t>100, 102</w:t>
            </w:r>
            <w:r>
              <w:noBreakHyphen/>
              <w:t xml:space="preserve">131 and 135: 1 Dec 1979 (see s. 2(1) and </w:t>
            </w:r>
            <w:r>
              <w:rPr>
                <w:i/>
              </w:rPr>
              <w:t>Gazette</w:t>
            </w:r>
            <w:r>
              <w:t xml:space="preserve"> 31 Aug 1979 p. 2601)</w:t>
            </w:r>
          </w:p>
        </w:tc>
      </w:tr>
      <w:tr>
        <w:trPr>
          <w:cantSplit/>
        </w:trPr>
        <w:tc>
          <w:tcPr>
            <w:tcW w:w="2268" w:type="dxa"/>
          </w:tcPr>
          <w:p>
            <w:pPr>
              <w:pStyle w:val="nTable"/>
              <w:spacing w:after="40"/>
              <w:ind w:right="113"/>
            </w:pPr>
            <w:r>
              <w:rPr>
                <w:i/>
              </w:rPr>
              <w:t>Real Estate and Business Agents Act Amendment Act 1979</w:t>
            </w:r>
          </w:p>
        </w:tc>
        <w:tc>
          <w:tcPr>
            <w:tcW w:w="1135" w:type="dxa"/>
          </w:tcPr>
          <w:p>
            <w:pPr>
              <w:pStyle w:val="nTable"/>
              <w:spacing w:after="40"/>
            </w:pPr>
            <w:r>
              <w:t>74 of 1979</w:t>
            </w:r>
          </w:p>
        </w:tc>
        <w:tc>
          <w:tcPr>
            <w:tcW w:w="1135" w:type="dxa"/>
          </w:tcPr>
          <w:p>
            <w:pPr>
              <w:pStyle w:val="nTable"/>
              <w:spacing w:after="40"/>
            </w:pPr>
            <w:r>
              <w:t>27 Nov 1979</w:t>
            </w:r>
          </w:p>
        </w:tc>
        <w:tc>
          <w:tcPr>
            <w:tcW w:w="2551" w:type="dxa"/>
          </w:tcPr>
          <w:p>
            <w:pPr>
              <w:pStyle w:val="nTable"/>
              <w:spacing w:after="40"/>
            </w:pPr>
            <w:r>
              <w:t>27 Nov 1979</w:t>
            </w:r>
          </w:p>
        </w:tc>
      </w:tr>
      <w:tr>
        <w:trPr>
          <w:cantSplit/>
        </w:trPr>
        <w:tc>
          <w:tcPr>
            <w:tcW w:w="2268" w:type="dxa"/>
          </w:tcPr>
          <w:p>
            <w:pPr>
              <w:pStyle w:val="nTable"/>
              <w:spacing w:after="40"/>
              <w:ind w:right="113"/>
            </w:pPr>
            <w:r>
              <w:rPr>
                <w:i/>
              </w:rPr>
              <w:t>Real Estate and Business Agents Amendment Act 1980</w:t>
            </w:r>
          </w:p>
        </w:tc>
        <w:tc>
          <w:tcPr>
            <w:tcW w:w="1135" w:type="dxa"/>
          </w:tcPr>
          <w:p>
            <w:pPr>
              <w:pStyle w:val="nTable"/>
              <w:spacing w:after="40"/>
            </w:pPr>
            <w:r>
              <w:t>74 of 1980</w:t>
            </w:r>
          </w:p>
        </w:tc>
        <w:tc>
          <w:tcPr>
            <w:tcW w:w="1135" w:type="dxa"/>
          </w:tcPr>
          <w:p>
            <w:pPr>
              <w:pStyle w:val="nTable"/>
              <w:spacing w:after="40"/>
            </w:pPr>
            <w:r>
              <w:t>5 Dec 1980</w:t>
            </w:r>
          </w:p>
        </w:tc>
        <w:tc>
          <w:tcPr>
            <w:tcW w:w="2551" w:type="dxa"/>
          </w:tcPr>
          <w:p>
            <w:pPr>
              <w:pStyle w:val="nTable"/>
              <w:spacing w:after="40"/>
            </w:pPr>
            <w:r>
              <w:t xml:space="preserve">s. 13: 1 Dec 1980 (see s. 2(2)); </w:t>
            </w:r>
            <w:r>
              <w:br/>
              <w:t>Act other than s. 13: 2 Jan 1981 (see s. 2(1))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approved 23 Feb 1982</w:t>
            </w:r>
            <w:r>
              <w:t xml:space="preserve"> (includes amendments listed above)</w:t>
            </w:r>
          </w:p>
        </w:tc>
      </w:tr>
      <w:tr>
        <w:trPr>
          <w:cantSplit/>
        </w:trPr>
        <w:tc>
          <w:tcPr>
            <w:tcW w:w="2268" w:type="dxa"/>
          </w:tcPr>
          <w:p>
            <w:pPr>
              <w:pStyle w:val="nTable"/>
              <w:spacing w:after="40"/>
              <w:ind w:right="113"/>
            </w:pPr>
            <w:r>
              <w:rPr>
                <w:i/>
              </w:rPr>
              <w:t>Companies (Consequential Amendments) Act 1982</w:t>
            </w:r>
            <w:r>
              <w:t xml:space="preserve"> s. 28</w:t>
            </w:r>
          </w:p>
        </w:tc>
        <w:tc>
          <w:tcPr>
            <w:tcW w:w="1135" w:type="dxa"/>
          </w:tcPr>
          <w:p>
            <w:pPr>
              <w:pStyle w:val="nTable"/>
              <w:spacing w:after="40"/>
            </w:pPr>
            <w:r>
              <w:t>10 of 1982</w:t>
            </w:r>
          </w:p>
        </w:tc>
        <w:tc>
          <w:tcPr>
            <w:tcW w:w="1135"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keepNext/>
              <w:keepLines/>
              <w:spacing w:after="40"/>
              <w:ind w:right="113"/>
            </w:pPr>
            <w:r>
              <w:rPr>
                <w:i/>
              </w:rPr>
              <w:t>Real Estate and Business Agents Amendment Act 1982</w:t>
            </w:r>
          </w:p>
        </w:tc>
        <w:tc>
          <w:tcPr>
            <w:tcW w:w="1135" w:type="dxa"/>
          </w:tcPr>
          <w:p>
            <w:pPr>
              <w:pStyle w:val="nTable"/>
              <w:keepNext/>
              <w:keepLines/>
              <w:spacing w:after="40"/>
            </w:pPr>
            <w:r>
              <w:t>29 of 1982</w:t>
            </w:r>
          </w:p>
        </w:tc>
        <w:tc>
          <w:tcPr>
            <w:tcW w:w="1135" w:type="dxa"/>
          </w:tcPr>
          <w:p>
            <w:pPr>
              <w:pStyle w:val="nTable"/>
              <w:keepNext/>
              <w:keepLines/>
              <w:spacing w:after="40"/>
            </w:pPr>
            <w:r>
              <w:t>27 May 1982</w:t>
            </w:r>
          </w:p>
        </w:tc>
        <w:tc>
          <w:tcPr>
            <w:tcW w:w="2551" w:type="dxa"/>
          </w:tcPr>
          <w:p>
            <w:pPr>
              <w:pStyle w:val="nTable"/>
              <w:keepNext/>
              <w:keepLines/>
              <w:spacing w:after="40"/>
            </w:pPr>
            <w:r>
              <w:t xml:space="preserve">25 Jun 1982 (see s. 2 and </w:t>
            </w:r>
            <w:r>
              <w:rPr>
                <w:i/>
              </w:rPr>
              <w:t>Gazette</w:t>
            </w:r>
            <w:r>
              <w:t xml:space="preserve"> 25 Jun 1982 p. 2091)</w:t>
            </w:r>
          </w:p>
        </w:tc>
      </w:tr>
      <w:tr>
        <w:trPr>
          <w:cantSplit/>
        </w:trPr>
        <w:tc>
          <w:tcPr>
            <w:tcW w:w="2268" w:type="dxa"/>
          </w:tcPr>
          <w:p>
            <w:pPr>
              <w:pStyle w:val="nTable"/>
              <w:spacing w:after="40"/>
              <w:ind w:right="113"/>
            </w:pPr>
            <w:r>
              <w:rPr>
                <w:i/>
              </w:rPr>
              <w:t>Real Estate and Business Agents Amendment Act 1984</w:t>
            </w:r>
          </w:p>
        </w:tc>
        <w:tc>
          <w:tcPr>
            <w:tcW w:w="1135" w:type="dxa"/>
          </w:tcPr>
          <w:p>
            <w:pPr>
              <w:pStyle w:val="nTable"/>
              <w:spacing w:after="40"/>
            </w:pPr>
            <w:r>
              <w:t>77 of 1984</w:t>
            </w:r>
          </w:p>
        </w:tc>
        <w:tc>
          <w:tcPr>
            <w:tcW w:w="1135" w:type="dxa"/>
          </w:tcPr>
          <w:p>
            <w:pPr>
              <w:pStyle w:val="nTable"/>
              <w:spacing w:after="40"/>
            </w:pPr>
            <w:r>
              <w:t>26 Nov 1984</w:t>
            </w:r>
          </w:p>
        </w:tc>
        <w:tc>
          <w:tcPr>
            <w:tcW w:w="2551" w:type="dxa"/>
          </w:tcPr>
          <w:p>
            <w:pPr>
              <w:pStyle w:val="nTable"/>
              <w:spacing w:after="40"/>
            </w:pPr>
            <w:r>
              <w:t>26 Nov 1984 (see s. 2)</w:t>
            </w:r>
          </w:p>
        </w:tc>
      </w:tr>
      <w:tr>
        <w:trPr>
          <w:cantSplit/>
        </w:trPr>
        <w:tc>
          <w:tcPr>
            <w:tcW w:w="2268" w:type="dxa"/>
          </w:tcPr>
          <w:p>
            <w:pPr>
              <w:pStyle w:val="nTable"/>
              <w:spacing w:after="40"/>
              <w:ind w:right="113"/>
            </w:pPr>
            <w:r>
              <w:rPr>
                <w:i/>
              </w:rPr>
              <w:t>Acts Amendment (Strata Titles) Act 1985</w:t>
            </w:r>
            <w:r>
              <w:t xml:space="preserve"> Pt. III</w:t>
            </w:r>
          </w:p>
        </w:tc>
        <w:tc>
          <w:tcPr>
            <w:tcW w:w="1135" w:type="dxa"/>
          </w:tcPr>
          <w:p>
            <w:pPr>
              <w:pStyle w:val="nTable"/>
              <w:spacing w:after="40"/>
            </w:pPr>
            <w:r>
              <w:t>40 of 1985</w:t>
            </w:r>
          </w:p>
        </w:tc>
        <w:tc>
          <w:tcPr>
            <w:tcW w:w="1135" w:type="dxa"/>
          </w:tcPr>
          <w:p>
            <w:pPr>
              <w:pStyle w:val="nTable"/>
              <w:spacing w:after="40"/>
            </w:pPr>
            <w:r>
              <w:t>13 May 1985</w:t>
            </w:r>
          </w:p>
        </w:tc>
        <w:tc>
          <w:tcPr>
            <w:tcW w:w="2551" w:type="dxa"/>
          </w:tcPr>
          <w:p>
            <w:pPr>
              <w:pStyle w:val="nTable"/>
              <w:spacing w:after="40"/>
            </w:pPr>
            <w:r>
              <w:t xml:space="preserve">30 Jun 1985 (see s. 2 and </w:t>
            </w:r>
            <w:r>
              <w:rPr>
                <w:i/>
              </w:rPr>
              <w:t>Gazette</w:t>
            </w:r>
            <w:r>
              <w:t xml:space="preserve"> 21 Jun 1985 p. 2188)</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7 Nov 1985</w:t>
            </w:r>
            <w:r>
              <w:t xml:space="preserve"> (includes amendments listed above)</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5"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State Government Insurance Commission Act 1986</w:t>
            </w:r>
            <w:r>
              <w:t xml:space="preserve"> s. 46(2)</w:t>
            </w:r>
          </w:p>
        </w:tc>
        <w:tc>
          <w:tcPr>
            <w:tcW w:w="1135" w:type="dxa"/>
          </w:tcPr>
          <w:p>
            <w:pPr>
              <w:pStyle w:val="nTable"/>
              <w:spacing w:after="40"/>
            </w:pPr>
            <w:r>
              <w:t>51 of 1986</w:t>
            </w:r>
          </w:p>
        </w:tc>
        <w:tc>
          <w:tcPr>
            <w:tcW w:w="1135" w:type="dxa"/>
          </w:tcPr>
          <w:p>
            <w:pPr>
              <w:pStyle w:val="nTable"/>
              <w:spacing w:after="40"/>
            </w:pPr>
            <w:r>
              <w:t>5 Aug 1986</w:t>
            </w:r>
          </w:p>
        </w:tc>
        <w:tc>
          <w:tcPr>
            <w:tcW w:w="2551" w:type="dxa"/>
          </w:tcPr>
          <w:p>
            <w:pPr>
              <w:pStyle w:val="nTable"/>
              <w:spacing w:after="40"/>
            </w:pPr>
            <w:r>
              <w:t xml:space="preserve">1 Jan 1987 (see s. 2 and </w:t>
            </w:r>
            <w:r>
              <w:rPr>
                <w:i/>
              </w:rPr>
              <w:t>Gazette</w:t>
            </w:r>
            <w:r>
              <w:t xml:space="preserve"> 19 Dec 1986 p. 4859)</w:t>
            </w:r>
          </w:p>
        </w:tc>
      </w:tr>
      <w:tr>
        <w:trPr>
          <w:cantSplit/>
        </w:trPr>
        <w:tc>
          <w:tcPr>
            <w:tcW w:w="2268" w:type="dxa"/>
          </w:tcPr>
          <w:p>
            <w:pPr>
              <w:pStyle w:val="nTable"/>
              <w:spacing w:after="40"/>
              <w:ind w:right="113"/>
            </w:pPr>
            <w:r>
              <w:rPr>
                <w:i/>
              </w:rPr>
              <w:t>Acts Amendment (Legal Practitioners, Costs and Taxation) Act 1987</w:t>
            </w:r>
            <w:r>
              <w:t xml:space="preserve"> Pt. XV</w:t>
            </w:r>
          </w:p>
        </w:tc>
        <w:tc>
          <w:tcPr>
            <w:tcW w:w="1135" w:type="dxa"/>
          </w:tcPr>
          <w:p>
            <w:pPr>
              <w:pStyle w:val="nTable"/>
              <w:spacing w:after="40"/>
            </w:pPr>
            <w:r>
              <w:t>65 of 1987</w:t>
            </w:r>
          </w:p>
        </w:tc>
        <w:tc>
          <w:tcPr>
            <w:tcW w:w="1135"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Residential Tenancies Act 1987</w:t>
            </w:r>
            <w:r>
              <w:t xml:space="preserve"> s. 89</w:t>
            </w:r>
          </w:p>
        </w:tc>
        <w:tc>
          <w:tcPr>
            <w:tcW w:w="1135" w:type="dxa"/>
          </w:tcPr>
          <w:p>
            <w:pPr>
              <w:pStyle w:val="nTable"/>
              <w:spacing w:after="40"/>
            </w:pPr>
            <w:r>
              <w:t>128 of 1987</w:t>
            </w:r>
          </w:p>
        </w:tc>
        <w:tc>
          <w:tcPr>
            <w:tcW w:w="1135" w:type="dxa"/>
          </w:tcPr>
          <w:p>
            <w:pPr>
              <w:pStyle w:val="nTable"/>
              <w:spacing w:after="40"/>
            </w:pPr>
            <w:r>
              <w:t>21 Jan 1988</w:t>
            </w:r>
          </w:p>
        </w:tc>
        <w:tc>
          <w:tcPr>
            <w:tcW w:w="2551" w:type="dxa"/>
          </w:tcPr>
          <w:p>
            <w:pPr>
              <w:pStyle w:val="nTable"/>
              <w:spacing w:after="40"/>
            </w:pPr>
            <w:r>
              <w:t xml:space="preserve">1 Oct 1989 (see s. 2 and </w:t>
            </w:r>
            <w:r>
              <w:rPr>
                <w:i/>
              </w:rPr>
              <w:t>Gazette</w:t>
            </w:r>
            <w:r>
              <w:t xml:space="preserve"> 18 Aug 1989 p. 2748)</w:t>
            </w:r>
          </w:p>
        </w:tc>
      </w:tr>
      <w:tr>
        <w:trPr>
          <w:cantSplit/>
        </w:trPr>
        <w:tc>
          <w:tcPr>
            <w:tcW w:w="2268" w:type="dxa"/>
          </w:tcPr>
          <w:p>
            <w:pPr>
              <w:pStyle w:val="nTable"/>
              <w:spacing w:after="40"/>
              <w:ind w:right="113"/>
            </w:pPr>
            <w:r>
              <w:rPr>
                <w:i/>
              </w:rPr>
              <w:t>Real Estate and Business Agents Amendment Act 1988</w:t>
            </w:r>
          </w:p>
        </w:tc>
        <w:tc>
          <w:tcPr>
            <w:tcW w:w="1135" w:type="dxa"/>
          </w:tcPr>
          <w:p>
            <w:pPr>
              <w:pStyle w:val="nTable"/>
              <w:spacing w:after="40"/>
            </w:pPr>
            <w:r>
              <w:t>18 of 1988</w:t>
            </w:r>
          </w:p>
        </w:tc>
        <w:tc>
          <w:tcPr>
            <w:tcW w:w="1135" w:type="dxa"/>
          </w:tcPr>
          <w:p>
            <w:pPr>
              <w:pStyle w:val="nTable"/>
              <w:spacing w:after="40"/>
            </w:pPr>
            <w:r>
              <w:t>9 Sep 1988</w:t>
            </w:r>
          </w:p>
        </w:tc>
        <w:tc>
          <w:tcPr>
            <w:tcW w:w="2551" w:type="dxa"/>
          </w:tcPr>
          <w:p>
            <w:pPr>
              <w:pStyle w:val="nTable"/>
              <w:spacing w:after="40"/>
            </w:pPr>
            <w:r>
              <w:t>s. 1 and 2: 9 Sep 1988;</w:t>
            </w:r>
            <w:r>
              <w:br/>
              <w:t xml:space="preserve">Act other than s. 1 and 2: 28 Oct 1988 (see s. 2 and </w:t>
            </w:r>
            <w:r>
              <w:rPr>
                <w:i/>
              </w:rPr>
              <w:t>Gazette</w:t>
            </w:r>
            <w:r>
              <w:t xml:space="preserve"> 28 Oct 1988 p. 4327)</w:t>
            </w:r>
          </w:p>
        </w:tc>
      </w:tr>
      <w:tr>
        <w:trPr>
          <w:cantSplit/>
        </w:trPr>
        <w:tc>
          <w:tcPr>
            <w:tcW w:w="2268" w:type="dxa"/>
          </w:tcPr>
          <w:p>
            <w:pPr>
              <w:pStyle w:val="nTable"/>
              <w:spacing w:after="40"/>
              <w:ind w:right="113"/>
            </w:pPr>
            <w:r>
              <w:rPr>
                <w:i/>
              </w:rPr>
              <w:t>R &amp; I Bank Act 1990</w:t>
            </w:r>
            <w:r>
              <w:t xml:space="preserve"> s. 45(1)</w:t>
            </w:r>
          </w:p>
        </w:tc>
        <w:tc>
          <w:tcPr>
            <w:tcW w:w="1135" w:type="dxa"/>
          </w:tcPr>
          <w:p>
            <w:pPr>
              <w:pStyle w:val="nTable"/>
              <w:spacing w:after="40"/>
            </w:pPr>
            <w:r>
              <w:t>73 of 1990</w:t>
            </w:r>
          </w:p>
        </w:tc>
        <w:tc>
          <w:tcPr>
            <w:tcW w:w="1135" w:type="dxa"/>
          </w:tcPr>
          <w:p>
            <w:pPr>
              <w:pStyle w:val="nTable"/>
              <w:spacing w:after="40"/>
            </w:pPr>
            <w:r>
              <w:t>20 Dec 1990</w:t>
            </w:r>
          </w:p>
        </w:tc>
        <w:tc>
          <w:tcPr>
            <w:tcW w:w="2551" w:type="dxa"/>
          </w:tcPr>
          <w:p>
            <w:pPr>
              <w:pStyle w:val="nTable"/>
              <w:spacing w:after="40"/>
            </w:pPr>
            <w:r>
              <w:t xml:space="preserve">1 Jan 1991 (see s. 2(2) and </w:t>
            </w:r>
            <w:r>
              <w:rPr>
                <w:i/>
              </w:rPr>
              <w:t>Gazette</w:t>
            </w:r>
            <w:r>
              <w:t xml:space="preserve"> 28 Dec 1990 p. 6369)</w:t>
            </w:r>
          </w:p>
        </w:tc>
      </w:tr>
      <w:tr>
        <w:trPr>
          <w:cantSplit/>
        </w:trPr>
        <w:tc>
          <w:tcPr>
            <w:tcW w:w="2268" w:type="dxa"/>
          </w:tcPr>
          <w:p>
            <w:pPr>
              <w:pStyle w:val="nTable"/>
              <w:spacing w:after="40"/>
              <w:ind w:right="113"/>
            </w:pPr>
            <w:r>
              <w:rPr>
                <w:i/>
              </w:rPr>
              <w:t>R &amp; I Bank Amendment Act 1994</w:t>
            </w:r>
            <w:r>
              <w:t xml:space="preserve"> s. 13</w:t>
            </w:r>
          </w:p>
        </w:tc>
        <w:tc>
          <w:tcPr>
            <w:tcW w:w="1135" w:type="dxa"/>
          </w:tcPr>
          <w:p>
            <w:pPr>
              <w:pStyle w:val="nTable"/>
              <w:spacing w:after="40"/>
            </w:pPr>
            <w:r>
              <w:t>6 of 1994</w:t>
            </w:r>
          </w:p>
        </w:tc>
        <w:tc>
          <w:tcPr>
            <w:tcW w:w="1135" w:type="dxa"/>
          </w:tcPr>
          <w:p>
            <w:pPr>
              <w:pStyle w:val="nTable"/>
              <w:spacing w:after="40"/>
            </w:pPr>
            <w:r>
              <w:t>11 Apr 1994</w:t>
            </w:r>
          </w:p>
        </w:tc>
        <w:tc>
          <w:tcPr>
            <w:tcW w:w="2551" w:type="dxa"/>
          </w:tcPr>
          <w:p>
            <w:pPr>
              <w:pStyle w:val="nTable"/>
              <w:spacing w:after="40"/>
            </w:pPr>
            <w:r>
              <w:t xml:space="preserve">26 Apr 1994 (see s. 2(2) and </w:t>
            </w:r>
            <w:r>
              <w:rPr>
                <w:i/>
              </w:rPr>
              <w:t>Gazette</w:t>
            </w:r>
            <w:r>
              <w:t xml:space="preserve"> 26 Apr 1994 p. 1743)</w:t>
            </w:r>
          </w:p>
        </w:tc>
      </w:tr>
      <w:tr>
        <w:trPr>
          <w:cantSplit/>
        </w:trPr>
        <w:tc>
          <w:tcPr>
            <w:tcW w:w="2268" w:type="dxa"/>
          </w:tcPr>
          <w:p>
            <w:pPr>
              <w:pStyle w:val="nTable"/>
              <w:spacing w:after="40"/>
              <w:ind w:right="113"/>
            </w:pPr>
            <w:r>
              <w:rPr>
                <w:i/>
              </w:rPr>
              <w:t>Acts Amendment (Public Sector Management) Act 1994</w:t>
            </w:r>
            <w:r>
              <w:t xml:space="preserve"> s. 3(2)</w:t>
            </w:r>
          </w:p>
        </w:tc>
        <w:tc>
          <w:tcPr>
            <w:tcW w:w="1135"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Real Estate and Business Agents Amendment Act 1994</w:t>
            </w:r>
          </w:p>
        </w:tc>
        <w:tc>
          <w:tcPr>
            <w:tcW w:w="1135" w:type="dxa"/>
          </w:tcPr>
          <w:p>
            <w:pPr>
              <w:pStyle w:val="nTable"/>
              <w:spacing w:after="40"/>
            </w:pPr>
            <w:r>
              <w:t>43 of 1994</w:t>
            </w:r>
          </w:p>
        </w:tc>
        <w:tc>
          <w:tcPr>
            <w:tcW w:w="1135" w:type="dxa"/>
          </w:tcPr>
          <w:p>
            <w:pPr>
              <w:pStyle w:val="nTable"/>
              <w:spacing w:after="40"/>
            </w:pPr>
            <w:r>
              <w:t>31 Aug 1994</w:t>
            </w:r>
          </w:p>
        </w:tc>
        <w:tc>
          <w:tcPr>
            <w:tcW w:w="2551" w:type="dxa"/>
          </w:tcPr>
          <w:p>
            <w:pPr>
              <w:pStyle w:val="nTable"/>
              <w:spacing w:after="40"/>
            </w:pPr>
            <w:r>
              <w:t>Act other than s. 7 and 8(b)(i): 31 Aug 1994 (see s. 2(1));</w:t>
            </w:r>
            <w:r>
              <w:br/>
              <w:t xml:space="preserve">s. 7 and 8(b)(i): 6 Oct 1994 (see s. 2(2) and </w:t>
            </w:r>
            <w:r>
              <w:rPr>
                <w:i/>
              </w:rPr>
              <w:t>Gazette</w:t>
            </w:r>
            <w:r>
              <w:t xml:space="preserve"> 30 Sep 1994 p. 4947)</w:t>
            </w:r>
          </w:p>
        </w:tc>
      </w:tr>
      <w:tr>
        <w:trPr>
          <w:cantSplit/>
        </w:trPr>
        <w:tc>
          <w:tcPr>
            <w:tcW w:w="2268"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44(1)</w:t>
            </w:r>
          </w:p>
        </w:tc>
        <w:tc>
          <w:tcPr>
            <w:tcW w:w="1135" w:type="dxa"/>
          </w:tcPr>
          <w:p>
            <w:pPr>
              <w:pStyle w:val="nTable"/>
              <w:spacing w:after="40"/>
            </w:pPr>
            <w:r>
              <w:t>14 of 1995</w:t>
            </w:r>
          </w:p>
        </w:tc>
        <w:tc>
          <w:tcPr>
            <w:tcW w:w="1135" w:type="dxa"/>
          </w:tcPr>
          <w:p>
            <w:pPr>
              <w:pStyle w:val="nTable"/>
              <w:spacing w:after="40"/>
            </w:pPr>
            <w:r>
              <w:t>4 Jul 1995</w:t>
            </w:r>
          </w:p>
        </w:tc>
        <w:tc>
          <w:tcPr>
            <w:tcW w:w="2551" w:type="dxa"/>
          </w:tcPr>
          <w:p>
            <w:pPr>
              <w:pStyle w:val="nTable"/>
              <w:spacing w:after="40"/>
            </w:pPr>
            <w:r>
              <w:t xml:space="preserve">1 Dec 1995 (see s. 2(3) and 9(1) and </w:t>
            </w:r>
            <w:r>
              <w:rPr>
                <w:i/>
              </w:rPr>
              <w:t>Gazette</w:t>
            </w:r>
            <w:r>
              <w:t xml:space="preserve"> 29 Nov 1995 p. 5529)</w:t>
            </w:r>
          </w:p>
        </w:tc>
      </w:tr>
      <w:tr>
        <w:trPr>
          <w:cantSplit/>
        </w:trPr>
        <w:tc>
          <w:tcPr>
            <w:tcW w:w="2268" w:type="dxa"/>
          </w:tcPr>
          <w:p>
            <w:pPr>
              <w:pStyle w:val="nTable"/>
              <w:spacing w:after="40"/>
              <w:ind w:right="113"/>
              <w:rPr>
                <w:rFonts w:ascii="Times" w:hAnsi="Times"/>
                <w:vertAlign w:val="superscript"/>
              </w:rPr>
            </w:pPr>
            <w:r>
              <w:rPr>
                <w:i/>
              </w:rPr>
              <w:t>Business Licensing Amendment Act 1995</w:t>
            </w:r>
            <w:r>
              <w:t xml:space="preserve"> Pt. 8</w:t>
            </w:r>
            <w:r>
              <w:rPr>
                <w:vertAlign w:val="superscript"/>
              </w:rPr>
              <w:t> 7</w:t>
            </w:r>
          </w:p>
        </w:tc>
        <w:tc>
          <w:tcPr>
            <w:tcW w:w="1135" w:type="dxa"/>
          </w:tcPr>
          <w:p>
            <w:pPr>
              <w:pStyle w:val="nTable"/>
              <w:spacing w:after="40"/>
            </w:pPr>
            <w:r>
              <w:t>56 of 1995</w:t>
            </w:r>
          </w:p>
        </w:tc>
        <w:tc>
          <w:tcPr>
            <w:tcW w:w="1135" w:type="dxa"/>
          </w:tcPr>
          <w:p>
            <w:pPr>
              <w:pStyle w:val="nTable"/>
              <w:spacing w:after="40"/>
            </w:pPr>
            <w:r>
              <w:t>20 Dec 1995</w:t>
            </w:r>
          </w:p>
        </w:tc>
        <w:tc>
          <w:tcPr>
            <w:tcW w:w="2551" w:type="dxa"/>
          </w:tcPr>
          <w:p>
            <w:pPr>
              <w:pStyle w:val="nTable"/>
              <w:spacing w:after="40"/>
            </w:pPr>
            <w:r>
              <w:t xml:space="preserve">1 Jul 1996 (see s. 2(2) and </w:t>
            </w:r>
            <w:r>
              <w:rPr>
                <w:i/>
              </w:rPr>
              <w:t>Gazette</w:t>
            </w:r>
            <w:r>
              <w:t xml:space="preserve"> 1 Jul 1996 p. 3179)</w:t>
            </w:r>
          </w:p>
        </w:tc>
      </w:tr>
      <w:tr>
        <w:trPr>
          <w:cantSplit/>
        </w:trPr>
        <w:tc>
          <w:tcPr>
            <w:tcW w:w="2268" w:type="dxa"/>
          </w:tcPr>
          <w:p>
            <w:pPr>
              <w:pStyle w:val="nTable"/>
              <w:spacing w:after="40"/>
              <w:ind w:right="113"/>
            </w:pPr>
            <w:r>
              <w:rPr>
                <w:i/>
              </w:rPr>
              <w:t>Real Estate Legislation Amendment Act 1995</w:t>
            </w:r>
            <w:r>
              <w:t xml:space="preserve"> Pt. 2</w:t>
            </w:r>
            <w:r>
              <w:rPr>
                <w:vertAlign w:val="superscript"/>
              </w:rPr>
              <w:t> 8</w:t>
            </w:r>
          </w:p>
        </w:tc>
        <w:tc>
          <w:tcPr>
            <w:tcW w:w="1135" w:type="dxa"/>
          </w:tcPr>
          <w:p>
            <w:pPr>
              <w:pStyle w:val="nTable"/>
              <w:spacing w:after="40"/>
            </w:pPr>
            <w:r>
              <w:t>59 of 1995</w:t>
            </w:r>
          </w:p>
        </w:tc>
        <w:tc>
          <w:tcPr>
            <w:tcW w:w="1135" w:type="dxa"/>
          </w:tcPr>
          <w:p>
            <w:pPr>
              <w:pStyle w:val="nTable"/>
              <w:spacing w:after="40"/>
            </w:pPr>
            <w:r>
              <w:t>20 Dec 1995</w:t>
            </w:r>
          </w:p>
        </w:tc>
        <w:tc>
          <w:tcPr>
            <w:tcW w:w="2551" w:type="dxa"/>
          </w:tcPr>
          <w:p>
            <w:pPr>
              <w:pStyle w:val="nTable"/>
              <w:spacing w:after="40"/>
            </w:pPr>
            <w:r>
              <w:t>Pt. 2, other than s. 11: 1 Jul 1996 (see s. 2 and </w:t>
            </w:r>
            <w:r>
              <w:rPr>
                <w:i/>
              </w:rPr>
              <w:t>Gazette</w:t>
            </w:r>
            <w:r>
              <w:t xml:space="preserve"> 25 Jun 1996 p. 2902 and 6 Sep 1996 p. 4405);</w:t>
            </w:r>
            <w:r>
              <w:br/>
              <w:t xml:space="preserve">s. 11: 5 Apr 2007 (see s. 2 and </w:t>
            </w:r>
            <w:r>
              <w:rPr>
                <w:i/>
                <w:iCs/>
              </w:rPr>
              <w:t>Gazette</w:t>
            </w:r>
            <w:r>
              <w:t xml:space="preserve"> 30 Mar 2007 p. 1451)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6 Sep 1996</w:t>
            </w:r>
            <w:r>
              <w:t xml:space="preserve"> (includes amendments listed above except those in the </w:t>
            </w:r>
            <w:r>
              <w:rPr>
                <w:i/>
              </w:rPr>
              <w:t>Real Estate Legislation Amendment Act 1995</w:t>
            </w:r>
            <w:r>
              <w:t xml:space="preserve"> s. 11) (correction in </w:t>
            </w:r>
            <w:r>
              <w:rPr>
                <w:i/>
              </w:rPr>
              <w:t>Gazette</w:t>
            </w:r>
            <w:r>
              <w:t xml:space="preserve"> 11 Oct 1996 p. 5396)</w:t>
            </w:r>
          </w:p>
        </w:tc>
      </w:tr>
      <w:tr>
        <w:trPr>
          <w:cantSplit/>
        </w:trPr>
        <w:tc>
          <w:tcPr>
            <w:tcW w:w="2268" w:type="dxa"/>
          </w:tcPr>
          <w:p>
            <w:pPr>
              <w:pStyle w:val="nTable"/>
              <w:spacing w:after="40"/>
              <w:ind w:right="113"/>
              <w:rPr>
                <w:i/>
              </w:rPr>
            </w:pPr>
            <w:r>
              <w:rPr>
                <w:i/>
              </w:rPr>
              <w:t>Real Estate and Business Agents Amendment Act 1998</w:t>
            </w:r>
          </w:p>
        </w:tc>
        <w:tc>
          <w:tcPr>
            <w:tcW w:w="1135" w:type="dxa"/>
          </w:tcPr>
          <w:p>
            <w:pPr>
              <w:pStyle w:val="nTable"/>
              <w:spacing w:after="40"/>
            </w:pPr>
            <w:r>
              <w:t>34 of 1998</w:t>
            </w:r>
          </w:p>
        </w:tc>
        <w:tc>
          <w:tcPr>
            <w:tcW w:w="1135" w:type="dxa"/>
          </w:tcPr>
          <w:p>
            <w:pPr>
              <w:pStyle w:val="nTable"/>
              <w:spacing w:after="40"/>
            </w:pPr>
            <w:r>
              <w:t>6 Jul 1998</w:t>
            </w:r>
          </w:p>
        </w:tc>
        <w:tc>
          <w:tcPr>
            <w:tcW w:w="2551" w:type="dxa"/>
          </w:tcPr>
          <w:p>
            <w:pPr>
              <w:pStyle w:val="nTable"/>
              <w:spacing w:after="40"/>
            </w:pPr>
            <w:r>
              <w:t>s. 1 and 2: 6 Jul 1998;</w:t>
            </w:r>
            <w:r>
              <w:br/>
              <w:t xml:space="preserve">Act other than s. 1 and 2: 1 Nov 1998 (see s. 2 and </w:t>
            </w:r>
            <w:r>
              <w:rPr>
                <w:i/>
              </w:rPr>
              <w:t>Gazette</w:t>
            </w:r>
            <w:r>
              <w:t xml:space="preserve"> 16 Oct 1998 p. 5729)</w:t>
            </w:r>
          </w:p>
        </w:tc>
      </w:tr>
      <w:tr>
        <w:trPr>
          <w:cantSplit/>
        </w:trPr>
        <w:tc>
          <w:tcPr>
            <w:tcW w:w="2268" w:type="dxa"/>
          </w:tcPr>
          <w:p>
            <w:pPr>
              <w:pStyle w:val="nTable"/>
              <w:spacing w:after="40"/>
              <w:ind w:right="113"/>
            </w:pPr>
            <w:r>
              <w:rPr>
                <w:i/>
              </w:rPr>
              <w:t>Acts Amendment and Repeal (Financial Sector Reform) Act 1999</w:t>
            </w:r>
            <w:r>
              <w:t xml:space="preserve"> s. 99</w:t>
            </w:r>
          </w:p>
        </w:tc>
        <w:tc>
          <w:tcPr>
            <w:tcW w:w="1135" w:type="dxa"/>
          </w:tcPr>
          <w:p>
            <w:pPr>
              <w:pStyle w:val="nTable"/>
              <w:spacing w:after="40"/>
            </w:pPr>
            <w:r>
              <w:t>26 of 1999</w:t>
            </w:r>
          </w:p>
        </w:tc>
        <w:tc>
          <w:tcPr>
            <w:tcW w:w="1135"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tcPr>
          <w:p>
            <w:pPr>
              <w:pStyle w:val="nTable"/>
              <w:spacing w:after="40"/>
              <w:ind w:right="113"/>
            </w:pPr>
            <w:r>
              <w:rPr>
                <w:i/>
              </w:rPr>
              <w:t>Real Estate Legislation (Fidelity Guarantee Funds) Amendment Act 2000</w:t>
            </w:r>
            <w:r>
              <w:t xml:space="preserve"> Pt. 2</w:t>
            </w:r>
            <w:r>
              <w:rPr>
                <w:vertAlign w:val="superscript"/>
              </w:rPr>
              <w:t> 9</w:t>
            </w:r>
          </w:p>
        </w:tc>
        <w:tc>
          <w:tcPr>
            <w:tcW w:w="1135" w:type="dxa"/>
          </w:tcPr>
          <w:p>
            <w:pPr>
              <w:pStyle w:val="nTable"/>
              <w:spacing w:after="40"/>
            </w:pPr>
            <w:r>
              <w:t>3 of 2000</w:t>
            </w:r>
          </w:p>
        </w:tc>
        <w:tc>
          <w:tcPr>
            <w:tcW w:w="1135" w:type="dxa"/>
          </w:tcPr>
          <w:p>
            <w:pPr>
              <w:pStyle w:val="nTable"/>
              <w:spacing w:after="40"/>
            </w:pPr>
            <w:r>
              <w:t>12 Apr 2000</w:t>
            </w:r>
          </w:p>
        </w:tc>
        <w:tc>
          <w:tcPr>
            <w:tcW w:w="2551" w:type="dxa"/>
          </w:tcPr>
          <w:p>
            <w:pPr>
              <w:pStyle w:val="nTable"/>
              <w:spacing w:after="40"/>
            </w:pPr>
            <w:r>
              <w:t>12 Apr 2000 (see s. 2)</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9 Mar 2001</w:t>
            </w:r>
            <w:r>
              <w:t xml:space="preserve"> (includes amendments listed above except those in the </w:t>
            </w:r>
            <w:r>
              <w:rPr>
                <w:i/>
              </w:rPr>
              <w:t>Real Estate Legislation Amendment Act 1995</w:t>
            </w:r>
            <w:r>
              <w:t xml:space="preserve"> s. 11)</w:t>
            </w:r>
          </w:p>
        </w:tc>
      </w:tr>
      <w:tr>
        <w:trPr>
          <w:cantSplit/>
        </w:trPr>
        <w:tc>
          <w:tcPr>
            <w:tcW w:w="2268" w:type="dxa"/>
          </w:tcPr>
          <w:p>
            <w:pPr>
              <w:pStyle w:val="nTable"/>
              <w:spacing w:after="40"/>
              <w:ind w:right="113"/>
              <w:rPr>
                <w:i/>
              </w:rPr>
            </w:pPr>
            <w:r>
              <w:rPr>
                <w:i/>
              </w:rPr>
              <w:t>Corporations (Consequential Amendments) Act 2001</w:t>
            </w:r>
            <w:r>
              <w:t xml:space="preserve"> s. 220 and 222</w:t>
            </w:r>
          </w:p>
        </w:tc>
        <w:tc>
          <w:tcPr>
            <w:tcW w:w="1135"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i/>
              </w:rPr>
            </w:pPr>
            <w:r>
              <w:rPr>
                <w:i/>
              </w:rPr>
              <w:t xml:space="preserve">Building Societies Amendment Act 2001 </w:t>
            </w:r>
            <w:r>
              <w:t>s. 50 and 51</w:t>
            </w:r>
          </w:p>
        </w:tc>
        <w:tc>
          <w:tcPr>
            <w:tcW w:w="1135" w:type="dxa"/>
          </w:tcPr>
          <w:p>
            <w:pPr>
              <w:pStyle w:val="nTable"/>
              <w:spacing w:after="40"/>
            </w:pPr>
            <w:r>
              <w:t>12 of 2001</w:t>
            </w:r>
          </w:p>
        </w:tc>
        <w:tc>
          <w:tcPr>
            <w:tcW w:w="1135" w:type="dxa"/>
          </w:tcPr>
          <w:p>
            <w:pPr>
              <w:pStyle w:val="nTable"/>
              <w:spacing w:after="40"/>
            </w:pPr>
            <w:r>
              <w:t>13 Jul 2001</w:t>
            </w:r>
          </w:p>
        </w:tc>
        <w:tc>
          <w:tcPr>
            <w:tcW w:w="2551" w:type="dxa"/>
          </w:tcPr>
          <w:p>
            <w:pPr>
              <w:pStyle w:val="nTable"/>
              <w:spacing w:after="40"/>
            </w:pPr>
            <w:r>
              <w:t>13 Jul 2001 (see s. 2)</w:t>
            </w:r>
          </w:p>
        </w:tc>
      </w:tr>
      <w:tr>
        <w:trPr>
          <w:cantSplit/>
        </w:trPr>
        <w:tc>
          <w:tcPr>
            <w:tcW w:w="2268" w:type="dxa"/>
          </w:tcPr>
          <w:p>
            <w:pPr>
              <w:pStyle w:val="nTable"/>
              <w:spacing w:after="40"/>
              <w:ind w:right="170"/>
              <w:rPr>
                <w:i/>
              </w:rPr>
            </w:pPr>
            <w:r>
              <w:rPr>
                <w:i/>
              </w:rPr>
              <w:t xml:space="preserve">Corporations (Consequential Amendments) Act (No. 3) 2003 </w:t>
            </w:r>
            <w:r>
              <w:t>Pt. 12 </w:t>
            </w:r>
            <w:r>
              <w:rPr>
                <w:vertAlign w:val="superscript"/>
              </w:rPr>
              <w:t>10</w:t>
            </w:r>
          </w:p>
        </w:tc>
        <w:tc>
          <w:tcPr>
            <w:tcW w:w="1135" w:type="dxa"/>
          </w:tcPr>
          <w:p>
            <w:pPr>
              <w:pStyle w:val="nTable"/>
              <w:spacing w:after="40"/>
            </w:pPr>
            <w:r>
              <w:t>21 of 2003</w:t>
            </w:r>
          </w:p>
        </w:tc>
        <w:tc>
          <w:tcPr>
            <w:tcW w:w="1135" w:type="dxa"/>
          </w:tcPr>
          <w:p>
            <w:pPr>
              <w:pStyle w:val="nTable"/>
              <w:spacing w:after="40"/>
            </w:pPr>
            <w:r>
              <w:t>23 Apr 2003</w:t>
            </w:r>
          </w:p>
        </w:tc>
        <w:tc>
          <w:tcPr>
            <w:tcW w:w="2551"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ind w:right="170"/>
            </w:pPr>
            <w:r>
              <w:rPr>
                <w:i/>
              </w:rPr>
              <w:t>Acts Amendment (Equality of Status) Act 2003</w:t>
            </w:r>
            <w:r>
              <w:t xml:space="preserve"> Pt. 51</w:t>
            </w:r>
          </w:p>
        </w:tc>
        <w:tc>
          <w:tcPr>
            <w:tcW w:w="1135"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70"/>
              <w:rPr>
                <w:i/>
              </w:rPr>
            </w:pPr>
            <w:r>
              <w:rPr>
                <w:i/>
              </w:rPr>
              <w:t xml:space="preserve">Sentencing Legislation Amendment and Repeal Act 2003 </w:t>
            </w:r>
            <w:r>
              <w:t>s. 88</w:t>
            </w:r>
          </w:p>
        </w:tc>
        <w:tc>
          <w:tcPr>
            <w:tcW w:w="1135"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pPr>
            <w:r>
              <w:rPr>
                <w:i/>
              </w:rPr>
              <w:t>Acts Amendment and Repeal (Courts and Legal Practice) Act 2003</w:t>
            </w:r>
            <w:r>
              <w:t xml:space="preserve"> s. 59</w:t>
            </w:r>
          </w:p>
        </w:tc>
        <w:tc>
          <w:tcPr>
            <w:tcW w:w="1135"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101</w:t>
            </w:r>
          </w:p>
        </w:tc>
        <w:tc>
          <w:tcPr>
            <w:tcW w:w="1135"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5"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vertAlign w:val="superscript"/>
              </w:rPr>
            </w:pPr>
            <w:r>
              <w:rPr>
                <w:i/>
              </w:rPr>
              <w:t xml:space="preserve">State Administrative Tribunal (Conferral of Jurisdiction) Amendment and Repeal Act 2004 </w:t>
            </w:r>
            <w:r>
              <w:t>Pt. 2 Div. 112</w:t>
            </w:r>
            <w:r>
              <w:rPr>
                <w:vertAlign w:val="superscript"/>
              </w:rPr>
              <w:t> 11</w:t>
            </w:r>
          </w:p>
        </w:tc>
        <w:tc>
          <w:tcPr>
            <w:tcW w:w="1135"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8" w:type="dxa"/>
          </w:tcPr>
          <w:p>
            <w:pPr>
              <w:pStyle w:val="nTable"/>
              <w:spacing w:after="40"/>
              <w:ind w:right="170"/>
              <w:rPr>
                <w:i/>
                <w:vertAlign w:val="superscript"/>
              </w:rPr>
            </w:pPr>
            <w:r>
              <w:rPr>
                <w:i/>
                <w:snapToGrid w:val="0"/>
              </w:rPr>
              <w:t>Criminal Procedure and Appeals (Consequential and Other Provisions) Act 2004</w:t>
            </w:r>
            <w:r>
              <w:rPr>
                <w:snapToGrid w:val="0"/>
              </w:rPr>
              <w:t xml:space="preserve"> s. 80 and 82</w:t>
            </w:r>
          </w:p>
        </w:tc>
        <w:tc>
          <w:tcPr>
            <w:tcW w:w="1135" w:type="dxa"/>
          </w:tcPr>
          <w:p>
            <w:pPr>
              <w:pStyle w:val="nTable"/>
              <w:spacing w:after="40"/>
            </w:pPr>
            <w:r>
              <w:rPr>
                <w:snapToGrid w:val="0"/>
              </w:rPr>
              <w:t>84 of 2004</w:t>
            </w:r>
          </w:p>
        </w:tc>
        <w:tc>
          <w:tcPr>
            <w:tcW w:w="1135"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pacing w:val="-2"/>
              </w:rPr>
            </w:pPr>
            <w:r>
              <w:rPr>
                <w:b/>
              </w:rPr>
              <w:t xml:space="preserve">Reprint 5: The </w:t>
            </w:r>
            <w:r>
              <w:rPr>
                <w:b/>
                <w:i/>
              </w:rPr>
              <w:t>Real Estate and Business Agents Act 1978</w:t>
            </w:r>
            <w:r>
              <w:rPr>
                <w:b/>
              </w:rPr>
              <w:t xml:space="preserve"> as at 8 Apr 2005</w:t>
            </w:r>
            <w:r>
              <w:t xml:space="preserve"> (includes amendments listed above except those in the </w:t>
            </w:r>
            <w:r>
              <w:rPr>
                <w:i/>
              </w:rPr>
              <w:t>Real Estate Legislation Amendment Act 1995</w:t>
            </w:r>
            <w:r>
              <w:t xml:space="preserve"> s. 11, </w:t>
            </w:r>
            <w:r>
              <w:rPr>
                <w:i/>
                <w:snapToGrid w:val="0"/>
              </w:rPr>
              <w:t>Courts Legislation Amendment and Repeal Act 2004</w:t>
            </w:r>
            <w:r>
              <w:rPr>
                <w:iCs/>
                <w:snapToGrid w:val="0"/>
              </w:rPr>
              <w:t xml:space="preserve"> and the </w:t>
            </w:r>
            <w:r>
              <w:rPr>
                <w:i/>
                <w:snapToGrid w:val="0"/>
              </w:rPr>
              <w:t>Criminal Procedure and Appeals (Consequential and Other Provisions) Act 2004</w:t>
            </w:r>
            <w:r>
              <w:t>)</w:t>
            </w:r>
          </w:p>
        </w:tc>
      </w:tr>
      <w:tr>
        <w:trPr>
          <w:cantSplit/>
        </w:trPr>
        <w:tc>
          <w:tcPr>
            <w:tcW w:w="2268" w:type="dxa"/>
          </w:tcPr>
          <w:p>
            <w:pPr>
              <w:pStyle w:val="nTable"/>
              <w:spacing w:after="40"/>
              <w:ind w:right="113"/>
              <w:rPr>
                <w:i/>
              </w:rPr>
            </w:pPr>
            <w:r>
              <w:rPr>
                <w:i/>
              </w:rPr>
              <w:t>Housing Societies Repeal Act 2005</w:t>
            </w:r>
            <w:r>
              <w:t xml:space="preserve"> s. 29</w:t>
            </w:r>
          </w:p>
        </w:tc>
        <w:tc>
          <w:tcPr>
            <w:tcW w:w="1135" w:type="dxa"/>
          </w:tcPr>
          <w:p>
            <w:pPr>
              <w:pStyle w:val="nTable"/>
              <w:spacing w:after="40"/>
            </w:pPr>
            <w:r>
              <w:t>17 of 2005</w:t>
            </w:r>
          </w:p>
        </w:tc>
        <w:tc>
          <w:tcPr>
            <w:tcW w:w="1135" w:type="dxa"/>
          </w:tcPr>
          <w:p>
            <w:pPr>
              <w:pStyle w:val="nTable"/>
              <w:spacing w:after="40"/>
            </w:pPr>
            <w:r>
              <w:t>5 Oct 2005</w:t>
            </w:r>
          </w:p>
        </w:tc>
        <w:tc>
          <w:tcPr>
            <w:tcW w:w="2551" w:type="dxa"/>
          </w:tcPr>
          <w:p>
            <w:pPr>
              <w:pStyle w:val="nTable"/>
              <w:spacing w:after="40"/>
            </w:pPr>
            <w:r>
              <w:t xml:space="preserve">10 Jul 2010 (see s. 2(3) and </w:t>
            </w:r>
            <w:r>
              <w:rPr>
                <w:i/>
                <w:iCs/>
              </w:rPr>
              <w:t>Gazette</w:t>
            </w:r>
            <w:r>
              <w:t xml:space="preserve"> 9 Jul 2010 p. 3239)</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s. 63</w:t>
            </w:r>
          </w:p>
        </w:tc>
        <w:tc>
          <w:tcPr>
            <w:tcW w:w="1135" w:type="dxa"/>
          </w:tcPr>
          <w:p>
            <w:pPr>
              <w:pStyle w:val="nTable"/>
              <w:spacing w:after="40"/>
            </w:pPr>
            <w:r>
              <w:t>24 of 2005</w:t>
            </w:r>
          </w:p>
        </w:tc>
        <w:tc>
          <w:tcPr>
            <w:tcW w:w="1135"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 xml:space="preserve">Machinery of Government (Miscellaneous Amendments) Act 2006 </w:t>
            </w:r>
            <w:r>
              <w:t>Pt. 4 Div. 19</w:t>
            </w:r>
          </w:p>
        </w:tc>
        <w:tc>
          <w:tcPr>
            <w:tcW w:w="1135" w:type="dxa"/>
          </w:tcPr>
          <w:p>
            <w:pPr>
              <w:pStyle w:val="nTable"/>
              <w:spacing w:after="40"/>
            </w:pPr>
            <w: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right="113"/>
              <w:rPr>
                <w:i/>
              </w:rPr>
            </w:pPr>
            <w:r>
              <w:rPr>
                <w:i/>
                <w:snapToGrid w:val="0"/>
              </w:rPr>
              <w:t xml:space="preserve">Consumer Protection Legislation Amendment and Repeal Act 2006 </w:t>
            </w:r>
            <w:r>
              <w:rPr>
                <w:snapToGrid w:val="0"/>
              </w:rPr>
              <w:t>Pt. 8</w:t>
            </w:r>
          </w:p>
        </w:tc>
        <w:tc>
          <w:tcPr>
            <w:tcW w:w="1135" w:type="dxa"/>
          </w:tcPr>
          <w:p>
            <w:pPr>
              <w:pStyle w:val="nTable"/>
              <w:spacing w:after="40"/>
            </w:pPr>
            <w:r>
              <w:t>69 of 2006</w:t>
            </w:r>
          </w:p>
        </w:tc>
        <w:tc>
          <w:tcPr>
            <w:tcW w:w="1135" w:type="dxa"/>
          </w:tcPr>
          <w:p>
            <w:pPr>
              <w:pStyle w:val="nTable"/>
              <w:spacing w:after="40"/>
            </w:pPr>
            <w:r>
              <w:rPr>
                <w:snapToGrid w:val="0"/>
              </w:rPr>
              <w:t>13 Dec 2006</w:t>
            </w:r>
          </w:p>
        </w:tc>
        <w:tc>
          <w:tcPr>
            <w:tcW w:w="2551" w:type="dxa"/>
          </w:tcPr>
          <w:p>
            <w:pPr>
              <w:pStyle w:val="nTable"/>
              <w:spacing w:after="40"/>
            </w:pPr>
            <w:r>
              <w:rPr>
                <w:snapToGrid w:val="0"/>
              </w:rPr>
              <w:t xml:space="preserve">25 Jul 2007 (see s. 2 and </w:t>
            </w:r>
            <w:r>
              <w:rPr>
                <w:i/>
                <w:iCs/>
                <w:snapToGrid w:val="0"/>
              </w:rPr>
              <w:t>Gazette</w:t>
            </w:r>
            <w:r>
              <w:rPr>
                <w:snapToGrid w:val="0"/>
              </w:rPr>
              <w:t xml:space="preserve"> 24 Jul 2007 p. 3657)</w:t>
            </w:r>
          </w:p>
        </w:tc>
      </w:tr>
      <w:tr>
        <w:trPr>
          <w:cantSplit/>
        </w:trPr>
        <w:tc>
          <w:tcPr>
            <w:tcW w:w="2268" w:type="dxa"/>
          </w:tcPr>
          <w:p>
            <w:pPr>
              <w:pStyle w:val="nTable"/>
              <w:spacing w:after="40"/>
              <w:ind w:right="113"/>
              <w:rPr>
                <w:i/>
              </w:rPr>
            </w:pPr>
            <w:r>
              <w:rPr>
                <w:i/>
                <w:snapToGrid w:val="0"/>
              </w:rPr>
              <w:t>Financial Legislation Amendment and Repeal Act 2006</w:t>
            </w:r>
            <w:r>
              <w:rPr>
                <w:snapToGrid w:val="0"/>
              </w:rPr>
              <w:t xml:space="preserve"> Sch. 1 cl. 147</w:t>
            </w:r>
          </w:p>
        </w:tc>
        <w:tc>
          <w:tcPr>
            <w:tcW w:w="1135" w:type="dxa"/>
          </w:tcPr>
          <w:p>
            <w:pPr>
              <w:pStyle w:val="nTable"/>
              <w:spacing w:after="40"/>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6: The </w:t>
            </w:r>
            <w:r>
              <w:rPr>
                <w:b/>
                <w:i/>
              </w:rPr>
              <w:t>Real Estate and Business Agents Act 1978</w:t>
            </w:r>
            <w:r>
              <w:rPr>
                <w:b/>
              </w:rPr>
              <w:t xml:space="preserve"> as at 24 Aug 2007</w:t>
            </w:r>
            <w:r>
              <w:t xml:space="preserve"> (includes amendments listed above </w:t>
            </w:r>
            <w:r>
              <w:rPr>
                <w:snapToGrid w:val="0"/>
              </w:rPr>
              <w:t xml:space="preserve">except those in the </w:t>
            </w:r>
            <w:r>
              <w:rPr>
                <w:i/>
                <w:iCs/>
              </w:rPr>
              <w:t>Housing Societies Repeal Act 2005</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32</w:t>
            </w:r>
          </w:p>
        </w:tc>
        <w:tc>
          <w:tcPr>
            <w:tcW w:w="1135" w:type="dxa"/>
          </w:tcPr>
          <w:p>
            <w:pPr>
              <w:pStyle w:val="nTable"/>
              <w:spacing w:after="40"/>
            </w:pPr>
            <w:r>
              <w:t>12 of 2008</w:t>
            </w:r>
          </w:p>
        </w:tc>
        <w:tc>
          <w:tcPr>
            <w:tcW w:w="1135"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snapToGrid w:val="0"/>
              </w:rPr>
              <w:t xml:space="preserve"> s. 696</w:t>
            </w:r>
          </w:p>
        </w:tc>
        <w:tc>
          <w:tcPr>
            <w:tcW w:w="1135"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74</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28 and 51</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iCs/>
                <w:snapToGrid w:val="0"/>
              </w:rPr>
              <w:t>Acts Amendment (Fair Trading) Act 2010</w:t>
            </w:r>
            <w:r>
              <w:rPr>
                <w:iCs/>
                <w:snapToGrid w:val="0"/>
              </w:rPr>
              <w:t xml:space="preserve"> Pt. 6</w:t>
            </w:r>
          </w:p>
        </w:tc>
        <w:tc>
          <w:tcPr>
            <w:tcW w:w="1135" w:type="dxa"/>
            <w:shd w:val="clear" w:color="auto" w:fill="auto"/>
          </w:tcPr>
          <w:p>
            <w:pPr>
              <w:pStyle w:val="nTable"/>
              <w:spacing w:after="40"/>
              <w:rPr>
                <w:snapToGrid w:val="0"/>
              </w:rPr>
            </w:pPr>
            <w:r>
              <w:rPr>
                <w:snapToGrid w:val="0"/>
              </w:rPr>
              <w:t>58 of 2010</w:t>
            </w:r>
          </w:p>
        </w:tc>
        <w:tc>
          <w:tcPr>
            <w:tcW w:w="1135" w:type="dxa"/>
            <w:shd w:val="clear" w:color="auto" w:fill="auto"/>
          </w:tcPr>
          <w:p>
            <w:pPr>
              <w:pStyle w:val="nTable"/>
              <w:spacing w:after="40"/>
              <w:rPr>
                <w:snapToGrid w:val="0"/>
              </w:rPr>
            </w:pPr>
            <w:r>
              <w:rPr>
                <w:snapToGrid w:val="0"/>
              </w:rPr>
              <w:t>8 Dec 2010</w:t>
            </w:r>
          </w:p>
        </w:tc>
        <w:tc>
          <w:tcPr>
            <w:tcW w:w="2551" w:type="dxa"/>
            <w:shd w:val="clear" w:color="auto" w:fill="auto"/>
          </w:tcPr>
          <w:p>
            <w:pPr>
              <w:pStyle w:val="nTable"/>
              <w:spacing w:after="40"/>
              <w:rPr>
                <w:snapToGrid w:val="0"/>
              </w:rPr>
            </w:pPr>
            <w:r>
              <w:rPr>
                <w:snapToGrid w:val="0"/>
              </w:rPr>
              <w:t xml:space="preserve">1 Jul 2011 (see s. 2(c) and </w:t>
            </w:r>
            <w:r>
              <w:rPr>
                <w:i/>
                <w:snapToGrid w:val="0"/>
              </w:rPr>
              <w:t xml:space="preserve">Gazette </w:t>
            </w:r>
            <w:r>
              <w:rPr>
                <w:snapToGrid w:val="0"/>
              </w:rPr>
              <w:t>7 Jun 2011 p. 2057)</w:t>
            </w:r>
          </w:p>
        </w:tc>
      </w:tr>
      <w:tr>
        <w:trPr>
          <w:cantSplit/>
        </w:trPr>
        <w:tc>
          <w:tcPr>
            <w:tcW w:w="2268" w:type="dxa"/>
            <w:shd w:val="clear" w:color="auto" w:fill="auto"/>
          </w:tcPr>
          <w:p>
            <w:pPr>
              <w:pStyle w:val="nTable"/>
              <w:spacing w:after="40"/>
              <w:ind w:right="113"/>
              <w:rPr>
                <w:i/>
                <w:iCs/>
                <w:snapToGrid w:val="0"/>
              </w:rPr>
            </w:pPr>
            <w:r>
              <w:rPr>
                <w:i/>
                <w:iCs/>
                <w:snapToGrid w:val="0"/>
              </w:rPr>
              <w:t>Statutes (Repeals and Minor Amendments) Act 2011</w:t>
            </w:r>
            <w:r>
              <w:t xml:space="preserve"> s. 25</w:t>
            </w:r>
          </w:p>
        </w:tc>
        <w:tc>
          <w:tcPr>
            <w:tcW w:w="1135" w:type="dxa"/>
            <w:shd w:val="clear" w:color="auto" w:fill="auto"/>
          </w:tcPr>
          <w:p>
            <w:pPr>
              <w:pStyle w:val="nTable"/>
              <w:spacing w:after="40"/>
              <w:rPr>
                <w:snapToGrid w:val="0"/>
              </w:rPr>
            </w:pPr>
            <w:r>
              <w:rPr>
                <w:snapToGrid w:val="0"/>
              </w:rPr>
              <w:t>47 of 2011</w:t>
            </w:r>
          </w:p>
        </w:tc>
        <w:tc>
          <w:tcPr>
            <w:tcW w:w="1135" w:type="dxa"/>
            <w:shd w:val="clear" w:color="auto" w:fill="auto"/>
          </w:tcPr>
          <w:p>
            <w:pPr>
              <w:pStyle w:val="nTable"/>
              <w:spacing w:after="40"/>
              <w:rPr>
                <w:snapToGrid w:val="0"/>
              </w:rPr>
            </w:pPr>
            <w:r>
              <w:rPr>
                <w:snapToGrid w:val="0"/>
              </w:rPr>
              <w:t>25 Oct 2011</w:t>
            </w:r>
          </w:p>
        </w:tc>
        <w:tc>
          <w:tcPr>
            <w:tcW w:w="2551" w:type="dxa"/>
            <w:shd w:val="clear" w:color="auto" w:fill="auto"/>
          </w:tcPr>
          <w:p>
            <w:pPr>
              <w:pStyle w:val="nTable"/>
              <w:spacing w:after="40"/>
              <w:rPr>
                <w:snapToGrid w:val="0"/>
              </w:rPr>
            </w:pPr>
            <w:r>
              <w:rPr>
                <w:snapToGrid w:val="0"/>
              </w:rPr>
              <w:t>26 Oct 2011 (see s. 2(b))</w:t>
            </w:r>
          </w:p>
        </w:tc>
      </w:tr>
      <w:tr>
        <w:trPr>
          <w:cantSplit/>
        </w:trPr>
        <w:tc>
          <w:tcPr>
            <w:tcW w:w="7089" w:type="dxa"/>
            <w:gridSpan w:val="4"/>
            <w:shd w:val="clear" w:color="auto" w:fill="auto"/>
          </w:tcPr>
          <w:p>
            <w:pPr>
              <w:pStyle w:val="nTable"/>
              <w:spacing w:after="40"/>
              <w:rPr>
                <w:snapToGrid w:val="0"/>
              </w:rPr>
            </w:pPr>
            <w:r>
              <w:rPr>
                <w:b/>
              </w:rPr>
              <w:t xml:space="preserve">Reprint 7: The </w:t>
            </w:r>
            <w:r>
              <w:rPr>
                <w:b/>
                <w:i/>
              </w:rPr>
              <w:t>Real Estate and Business Agents Act 1978</w:t>
            </w:r>
            <w:r>
              <w:rPr>
                <w:b/>
              </w:rPr>
              <w:t xml:space="preserve"> as at 18 Nov 2011</w:t>
            </w:r>
            <w: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i/>
                <w:iCs/>
                <w:snapToGrid w:val="0"/>
              </w:rPr>
            </w:pPr>
            <w:r>
              <w:rPr>
                <w:i/>
                <w:iCs/>
                <w:snapToGrid w:val="0"/>
              </w:rPr>
              <w:t>Consumer Protection Legislation Amendment Act 2014</w:t>
            </w:r>
            <w:r>
              <w:rPr>
                <w:iCs/>
                <w:snapToGrid w:val="0"/>
              </w:rPr>
              <w:t xml:space="preserve"> Pt. 10</w:t>
            </w:r>
          </w:p>
        </w:tc>
        <w:tc>
          <w:tcPr>
            <w:tcW w:w="1135" w:type="dxa"/>
            <w:tcBorders>
              <w:bottom w:val="single" w:sz="4" w:space="0" w:color="auto"/>
            </w:tcBorders>
            <w:shd w:val="clear" w:color="auto" w:fill="auto"/>
          </w:tcPr>
          <w:p>
            <w:pPr>
              <w:pStyle w:val="nTable"/>
              <w:spacing w:after="40"/>
              <w:rPr>
                <w:snapToGrid w:val="0"/>
              </w:rPr>
            </w:pPr>
            <w:r>
              <w:rPr>
                <w:snapToGrid w:val="0"/>
              </w:rPr>
              <w:t>23 of 2014</w:t>
            </w:r>
          </w:p>
        </w:tc>
        <w:tc>
          <w:tcPr>
            <w:tcW w:w="1135" w:type="dxa"/>
            <w:tcBorders>
              <w:bottom w:val="single" w:sz="4" w:space="0" w:color="auto"/>
            </w:tcBorders>
            <w:shd w:val="clear" w:color="auto" w:fill="auto"/>
          </w:tcPr>
          <w:p>
            <w:pPr>
              <w:pStyle w:val="nTable"/>
              <w:spacing w:after="40"/>
              <w:rPr>
                <w:snapToGrid w:val="0"/>
              </w:rPr>
            </w:pPr>
            <w:r>
              <w:rPr>
                <w:snapToGrid w:val="0"/>
              </w:rPr>
              <w:t>9 Oct 2014</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BlankOpen"/>
        <w:rPr>
          <w:snapToGrid w:val="0"/>
        </w:rPr>
      </w:pP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BlankOpen"/>
        <w:rPr>
          <w:snapToGrid w:val="0"/>
        </w:rPr>
      </w:pP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BlankClose"/>
        <w:rPr>
          <w:snapToGrid w:val="0"/>
        </w:rPr>
      </w:pPr>
    </w:p>
    <w:p>
      <w:pPr>
        <w:pStyle w:val="nSubsection"/>
      </w:pPr>
      <w:r>
        <w:rPr>
          <w:vertAlign w:val="superscript"/>
        </w:rPr>
        <w:t>10</w:t>
      </w:r>
      <w:r>
        <w:tab/>
        <w:t xml:space="preserve">The </w:t>
      </w:r>
      <w:r>
        <w:rPr>
          <w:i/>
        </w:rPr>
        <w:t>Corporations (Consequential Amendments) Act (No. 3) 2003</w:t>
      </w:r>
      <w:r>
        <w:t xml:space="preserve"> s. 2</w:t>
      </w:r>
      <w:r>
        <w:noBreakHyphen/>
        <w:t>4 contain validation provisions which may be relevant to this Act.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392" w:name="_Toc435024592"/>
      <w:r>
        <w:rPr>
          <w:sz w:val="28"/>
        </w:rPr>
        <w:t>Defined terms</w:t>
      </w:r>
      <w:bookmarkEnd w:id="3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4(1), 92(5)</w:t>
      </w:r>
    </w:p>
    <w:p>
      <w:pPr>
        <w:pStyle w:val="DefinedTerms"/>
      </w:pPr>
      <w:r>
        <w:t>agents code of conduct</w:t>
      </w:r>
      <w:r>
        <w:tab/>
        <w:t>4(1)</w:t>
      </w:r>
    </w:p>
    <w:p>
      <w:pPr>
        <w:pStyle w:val="DefinedTerms"/>
      </w:pPr>
      <w:r>
        <w:t>applicant</w:t>
      </w:r>
      <w:r>
        <w:tab/>
        <w:t>131A</w:t>
      </w:r>
    </w:p>
    <w:p>
      <w:pPr>
        <w:pStyle w:val="DefinedTerms"/>
      </w:pPr>
      <w:r>
        <w:t>appointed day</w:t>
      </w:r>
      <w:r>
        <w:tab/>
        <w:t>4(1)</w:t>
      </w:r>
    </w:p>
    <w:p>
      <w:pPr>
        <w:pStyle w:val="DefinedTerms"/>
      </w:pPr>
      <w:r>
        <w:t>approved</w:t>
      </w:r>
      <w:r>
        <w:tab/>
        <w:t>4(1)</w:t>
      </w:r>
    </w:p>
    <w:p>
      <w:pPr>
        <w:pStyle w:val="DefinedTerms"/>
      </w:pPr>
      <w:r>
        <w:t>Assistance Account</w:t>
      </w:r>
      <w:r>
        <w:tab/>
        <w:t>4(1)</w:t>
      </w:r>
    </w:p>
    <w:p>
      <w:pPr>
        <w:pStyle w:val="DefinedTerms"/>
      </w:pPr>
      <w:r>
        <w:t>assisted person</w:t>
      </w:r>
      <w:r>
        <w:tab/>
        <w:t>131A</w:t>
      </w:r>
    </w:p>
    <w:p>
      <w:pPr>
        <w:pStyle w:val="DefinedTerms"/>
      </w:pPr>
      <w:r>
        <w:t>auditor</w:t>
      </w:r>
      <w:r>
        <w:tab/>
        <w:t>4(1)</w:t>
      </w:r>
    </w:p>
    <w:p>
      <w:pPr>
        <w:pStyle w:val="DefinedTerms"/>
      </w:pPr>
      <w:r>
        <w:t>authorised financial institution</w:t>
      </w:r>
      <w:r>
        <w:tab/>
        <w:t>67</w:t>
      </w:r>
    </w:p>
    <w:p>
      <w:pPr>
        <w:pStyle w:val="DefinedTerms"/>
      </w:pPr>
      <w:r>
        <w:t>bank</w:t>
      </w:r>
      <w:r>
        <w:tab/>
        <w:t>4(1)</w:t>
      </w:r>
    </w:p>
    <w:p>
      <w:pPr>
        <w:pStyle w:val="DefinedTerms"/>
      </w:pPr>
      <w:r>
        <w:t>bank account</w:t>
      </w:r>
      <w:r>
        <w:tab/>
        <w:t>67</w:t>
      </w:r>
    </w:p>
    <w:p>
      <w:pPr>
        <w:pStyle w:val="DefinedTerms"/>
      </w:pPr>
      <w:r>
        <w:t>banker</w:t>
      </w:r>
      <w:r>
        <w:tab/>
        <w:t>67</w:t>
      </w:r>
    </w:p>
    <w:p>
      <w:pPr>
        <w:pStyle w:val="DefinedTerms"/>
      </w:pPr>
      <w:r>
        <w:t>business</w:t>
      </w:r>
      <w:r>
        <w:tab/>
        <w:t>4(1), 4(1)</w:t>
      </w:r>
    </w:p>
    <w:p>
      <w:pPr>
        <w:pStyle w:val="DefinedTerms"/>
      </w:pPr>
      <w:r>
        <w:t>business agent</w:t>
      </w:r>
      <w:r>
        <w:tab/>
        <w:t>4(1)</w:t>
      </w:r>
    </w:p>
    <w:p>
      <w:pPr>
        <w:pStyle w:val="DefinedTerms"/>
      </w:pPr>
      <w:r>
        <w:t>business day</w:t>
      </w:r>
      <w:r>
        <w:tab/>
        <w:t>67</w:t>
      </w:r>
    </w:p>
    <w:p>
      <w:pPr>
        <w:pStyle w:val="DefinedTerms"/>
      </w:pPr>
      <w:r>
        <w:t>business sales representative</w:t>
      </w:r>
      <w:r>
        <w:tab/>
        <w:t>4(1)</w:t>
      </w:r>
    </w:p>
    <w:p>
      <w:pPr>
        <w:pStyle w:val="DefinedTerms"/>
      </w:pPr>
      <w:r>
        <w:t>business transaction</w:t>
      </w:r>
      <w:r>
        <w:tab/>
        <w:t>4(1)</w:t>
      </w:r>
    </w:p>
    <w:p>
      <w:pPr>
        <w:pStyle w:val="DefinedTerms"/>
      </w:pPr>
      <w:r>
        <w:t>certificate of registration</w:t>
      </w:r>
      <w:r>
        <w:tab/>
        <w:t>4(1)</w:t>
      </w:r>
    </w:p>
    <w:p>
      <w:pPr>
        <w:pStyle w:val="DefinedTerms"/>
      </w:pPr>
      <w:r>
        <w:t>code of conduct for sales representatives</w:t>
      </w:r>
      <w:r>
        <w:tab/>
        <w:t>4(1)</w:t>
      </w:r>
    </w:p>
    <w:p>
      <w:pPr>
        <w:pStyle w:val="DefinedTerms"/>
      </w:pPr>
      <w:r>
        <w:t>commencement day</w:t>
      </w:r>
      <w:r>
        <w:tab/>
        <w:t>148</w:t>
      </w:r>
    </w:p>
    <w:p>
      <w:pPr>
        <w:pStyle w:val="DefinedTerms"/>
      </w:pPr>
      <w:r>
        <w:t>Commissioner</w:t>
      </w:r>
      <w:r>
        <w:tab/>
        <w:t>4(1)</w:t>
      </w:r>
    </w:p>
    <w:p>
      <w:pPr>
        <w:pStyle w:val="DefinedTerms"/>
      </w:pPr>
      <w:r>
        <w:t>committee</w:t>
      </w:r>
      <w:r>
        <w:tab/>
        <w:t>23A(1)</w:t>
      </w:r>
    </w:p>
    <w:p>
      <w:pPr>
        <w:pStyle w:val="DefinedTerms"/>
      </w:pPr>
      <w:r>
        <w:t>defalcation by a licensee</w:t>
      </w:r>
      <w:r>
        <w:tab/>
        <w:t>4(1)</w:t>
      </w:r>
    </w:p>
    <w:p>
      <w:pPr>
        <w:pStyle w:val="DefinedTerms"/>
      </w:pPr>
      <w:r>
        <w:t>department</w:t>
      </w:r>
      <w:r>
        <w:tab/>
        <w:t>4(1)</w:t>
      </w:r>
    </w:p>
    <w:p>
      <w:pPr>
        <w:pStyle w:val="DefinedTerms"/>
      </w:pPr>
      <w:r>
        <w:t>developer</w:t>
      </w:r>
      <w:r>
        <w:tab/>
        <w:t>4(1)</w:t>
      </w:r>
    </w:p>
    <w:p>
      <w:pPr>
        <w:pStyle w:val="DefinedTerms"/>
      </w:pPr>
      <w:r>
        <w:t>dwelling</w:t>
      </w:r>
      <w:r>
        <w:tab/>
        <w:t>131A</w:t>
      </w:r>
    </w:p>
    <w:p>
      <w:pPr>
        <w:pStyle w:val="DefinedTerms"/>
      </w:pPr>
      <w:r>
        <w:t>Fidelity Account</w:t>
      </w:r>
      <w:r>
        <w:tab/>
        <w:t>4(1)</w:t>
      </w:r>
    </w:p>
    <w:p>
      <w:pPr>
        <w:pStyle w:val="DefinedTerms"/>
      </w:pPr>
      <w:r>
        <w:t>fit and proper</w:t>
      </w:r>
      <w:r>
        <w:tab/>
        <w:t>27(2), 47(2)</w:t>
      </w:r>
    </w:p>
    <w:p>
      <w:pPr>
        <w:pStyle w:val="DefinedTerms"/>
      </w:pPr>
      <w:r>
        <w:t>former Board</w:t>
      </w:r>
      <w:r>
        <w:tab/>
        <w:t>148</w:t>
      </w:r>
    </w:p>
    <w:p>
      <w:pPr>
        <w:pStyle w:val="DefinedTerms"/>
      </w:pPr>
      <w:r>
        <w:t>former Registrar</w:t>
      </w:r>
      <w:r>
        <w:tab/>
        <w:t>148</w:t>
      </w:r>
    </w:p>
    <w:p>
      <w:pPr>
        <w:pStyle w:val="DefinedTerms"/>
      </w:pPr>
      <w:r>
        <w:t>franchising agreement</w:t>
      </w:r>
      <w:r>
        <w:tab/>
        <w:t>4(1)</w:t>
      </w:r>
    </w:p>
    <w:p>
      <w:pPr>
        <w:pStyle w:val="DefinedTerms"/>
      </w:pPr>
      <w:r>
        <w:t>General Purpose Account</w:t>
      </w:r>
      <w:r>
        <w:tab/>
        <w:t>4(1)</w:t>
      </w:r>
    </w:p>
    <w:p>
      <w:pPr>
        <w:pStyle w:val="DefinedTerms"/>
      </w:pPr>
      <w:r>
        <w:t>incidental expenses</w:t>
      </w:r>
      <w:r>
        <w:tab/>
        <w:t>131A</w:t>
      </w:r>
    </w:p>
    <w:p>
      <w:pPr>
        <w:pStyle w:val="DefinedTerms"/>
      </w:pPr>
      <w:r>
        <w:t>Interest Account</w:t>
      </w:r>
      <w:r>
        <w:tab/>
        <w:t>4(1)</w:t>
      </w:r>
    </w:p>
    <w:p>
      <w:pPr>
        <w:pStyle w:val="DefinedTerms"/>
      </w:pPr>
      <w:r>
        <w:t>legal practitioner</w:t>
      </w:r>
      <w:r>
        <w:tab/>
        <w:t>4(1)</w:t>
      </w:r>
    </w:p>
    <w:p>
      <w:pPr>
        <w:pStyle w:val="DefinedTerms"/>
      </w:pPr>
      <w:r>
        <w:t>lending institution</w:t>
      </w:r>
      <w:r>
        <w:tab/>
        <w:t>131A</w:t>
      </w:r>
    </w:p>
    <w:p>
      <w:pPr>
        <w:pStyle w:val="DefinedTerms"/>
      </w:pPr>
      <w:r>
        <w:t>liability</w:t>
      </w:r>
      <w:r>
        <w:tab/>
        <w:t>148</w:t>
      </w:r>
    </w:p>
    <w:p>
      <w:pPr>
        <w:pStyle w:val="DefinedTerms"/>
      </w:pPr>
      <w:r>
        <w:t>licence</w:t>
      </w:r>
      <w:r>
        <w:tab/>
        <w:t>4(1)</w:t>
      </w:r>
    </w:p>
    <w:p>
      <w:pPr>
        <w:pStyle w:val="DefinedTerms"/>
      </w:pPr>
      <w:r>
        <w:t>licensed</w:t>
      </w:r>
      <w:r>
        <w:tab/>
        <w:t>4(1)</w:t>
      </w:r>
    </w:p>
    <w:p>
      <w:pPr>
        <w:pStyle w:val="DefinedTerms"/>
      </w:pPr>
      <w:r>
        <w:t>licensee</w:t>
      </w:r>
      <w:r>
        <w:tab/>
        <w:t>4(1)</w:t>
      </w:r>
    </w:p>
    <w:p>
      <w:pPr>
        <w:pStyle w:val="DefinedTerms"/>
      </w:pPr>
      <w:r>
        <w:t>member</w:t>
      </w:r>
      <w:r>
        <w:tab/>
        <w:t>4(1)</w:t>
      </w:r>
    </w:p>
    <w:p>
      <w:pPr>
        <w:pStyle w:val="DefinedTerms"/>
      </w:pPr>
      <w:r>
        <w:t>party</w:t>
      </w:r>
      <w:r>
        <w:tab/>
        <w:t>23C(7)</w:t>
      </w:r>
    </w:p>
    <w:p>
      <w:pPr>
        <w:pStyle w:val="DefinedTerms"/>
      </w:pPr>
      <w:r>
        <w:t>person aggrieved</w:t>
      </w:r>
      <w:r>
        <w:tab/>
        <w:t>23(2)</w:t>
      </w:r>
    </w:p>
    <w:p>
      <w:pPr>
        <w:pStyle w:val="DefinedTerms"/>
      </w:pPr>
      <w:r>
        <w:t>real estate</w:t>
      </w:r>
      <w:r>
        <w:tab/>
        <w:t>4(1)</w:t>
      </w:r>
    </w:p>
    <w:p>
      <w:pPr>
        <w:pStyle w:val="DefinedTerms"/>
      </w:pPr>
      <w:r>
        <w:t>real estate agent</w:t>
      </w:r>
      <w:r>
        <w:tab/>
        <w:t>4(1)</w:t>
      </w:r>
    </w:p>
    <w:p>
      <w:pPr>
        <w:pStyle w:val="DefinedTerms"/>
      </w:pPr>
      <w:r>
        <w:t>real estate sales representative</w:t>
      </w:r>
      <w:r>
        <w:tab/>
        <w:t>4(1)</w:t>
      </w:r>
    </w:p>
    <w:p>
      <w:pPr>
        <w:pStyle w:val="DefinedTerms"/>
      </w:pPr>
      <w:r>
        <w:t>real estate transaction</w:t>
      </w:r>
      <w:r>
        <w:tab/>
        <w:t>4(1)</w:t>
      </w:r>
    </w:p>
    <w:p>
      <w:pPr>
        <w:pStyle w:val="DefinedTerms"/>
      </w:pPr>
      <w:r>
        <w:t>registered</w:t>
      </w:r>
      <w:r>
        <w:tab/>
        <w:t>4(1)</w:t>
      </w:r>
    </w:p>
    <w:p>
      <w:pPr>
        <w:pStyle w:val="DefinedTerms"/>
      </w:pPr>
      <w:r>
        <w:t>registered sales representative</w:t>
      </w:r>
      <w:r>
        <w:tab/>
        <w:t>4(1)</w:t>
      </w:r>
    </w:p>
    <w:p>
      <w:pPr>
        <w:pStyle w:val="DefinedTerms"/>
      </w:pPr>
      <w:r>
        <w:t>registration</w:t>
      </w:r>
      <w:r>
        <w:tab/>
        <w:t>4(1)</w:t>
      </w:r>
    </w:p>
    <w:p>
      <w:pPr>
        <w:pStyle w:val="DefinedTerms"/>
      </w:pPr>
      <w:r>
        <w:t>renewal</w:t>
      </w:r>
      <w:r>
        <w:tab/>
        <w:t>4(1)</w:t>
      </w:r>
    </w:p>
    <w:p>
      <w:pPr>
        <w:pStyle w:val="DefinedTerms"/>
      </w:pPr>
      <w:r>
        <w:t>repealed Act</w:t>
      </w:r>
      <w:r>
        <w:tab/>
        <w:t>4(1)</w:t>
      </w:r>
    </w:p>
    <w:p>
      <w:pPr>
        <w:pStyle w:val="DefinedTerms"/>
      </w:pPr>
      <w:r>
        <w:t>request</w:t>
      </w:r>
      <w:r>
        <w:tab/>
        <w:t>68A(7)</w:t>
      </w:r>
    </w:p>
    <w:p>
      <w:pPr>
        <w:pStyle w:val="DefinedTerms"/>
      </w:pPr>
      <w:r>
        <w:t>residential premises</w:t>
      </w:r>
      <w:r>
        <w:tab/>
        <w:t>61A(3)</w:t>
      </w:r>
    </w:p>
    <w:p>
      <w:pPr>
        <w:pStyle w:val="DefinedTerms"/>
      </w:pPr>
      <w:r>
        <w:t>reviewable decision</w:t>
      </w:r>
      <w:r>
        <w:tab/>
        <w:t>23(2)</w:t>
      </w:r>
    </w:p>
    <w:p>
      <w:pPr>
        <w:pStyle w:val="DefinedTerms"/>
      </w:pPr>
      <w:r>
        <w:t>right</w:t>
      </w:r>
      <w:r>
        <w:tab/>
        <w:t>148</w:t>
      </w:r>
    </w:p>
    <w:p>
      <w:pPr>
        <w:pStyle w:val="DefinedTerms"/>
      </w:pPr>
      <w:r>
        <w:t>sales representative</w:t>
      </w:r>
      <w:r>
        <w:tab/>
        <w:t>4(1)</w:t>
      </w:r>
    </w:p>
    <w:p>
      <w:pPr>
        <w:pStyle w:val="DefinedTerms"/>
      </w:pPr>
      <w:r>
        <w:t>separate account</w:t>
      </w:r>
      <w:r>
        <w:tab/>
        <w:t>67</w:t>
      </w:r>
    </w:p>
    <w:p>
      <w:pPr>
        <w:pStyle w:val="DefinedTerms"/>
      </w:pPr>
      <w:r>
        <w:t>settlement</w:t>
      </w:r>
      <w:r>
        <w:tab/>
        <w:t>61(4a)</w:t>
      </w:r>
    </w:p>
    <w:p>
      <w:pPr>
        <w:pStyle w:val="DefinedTerms"/>
      </w:pPr>
      <w:r>
        <w:t>specified</w:t>
      </w:r>
      <w:r>
        <w:tab/>
        <w:t>159(6)</w:t>
      </w:r>
    </w:p>
    <w:p>
      <w:pPr>
        <w:pStyle w:val="DefinedTerms"/>
      </w:pPr>
      <w:r>
        <w:t>strata company</w:t>
      </w:r>
      <w:r>
        <w:tab/>
        <w:t>4(1)</w:t>
      </w:r>
    </w:p>
    <w:p>
      <w:pPr>
        <w:pStyle w:val="DefinedTerms"/>
      </w:pPr>
      <w:r>
        <w:t>subsection</w:t>
      </w:r>
      <w:r>
        <w:tab/>
        <w:t>103(1)</w:t>
      </w:r>
    </w:p>
    <w:p>
      <w:pPr>
        <w:pStyle w:val="DefinedTerms"/>
      </w:pPr>
      <w:r>
        <w:t>supervisor</w:t>
      </w:r>
      <w:r>
        <w:tab/>
        <w:t>4(1)</w:t>
      </w:r>
    </w:p>
    <w:p>
      <w:pPr>
        <w:pStyle w:val="DefinedTerms"/>
      </w:pPr>
      <w:r>
        <w:t>tenancy</w:t>
      </w:r>
      <w:r>
        <w:tab/>
        <w:t>61A(3)</w:t>
      </w:r>
    </w:p>
    <w:p>
      <w:pPr>
        <w:pStyle w:val="DefinedTerms"/>
      </w:pPr>
      <w:r>
        <w:t>tenant</w:t>
      </w:r>
      <w:r>
        <w:tab/>
        <w:t>61A(3)</w:t>
      </w:r>
    </w:p>
    <w:p>
      <w:pPr>
        <w:pStyle w:val="DefinedTerms"/>
      </w:pPr>
      <w:r>
        <w:t>transaction</w:t>
      </w:r>
      <w:r>
        <w:tab/>
        <w:t>4(1), 61(4a)</w:t>
      </w:r>
    </w:p>
    <w:p>
      <w:pPr>
        <w:pStyle w:val="DefinedTerms"/>
      </w:pPr>
      <w:r>
        <w:t>transitional matter</w:t>
      </w:r>
      <w:r>
        <w:tab/>
        <w:t>159(2)</w:t>
      </w:r>
    </w:p>
    <w:p>
      <w:pPr>
        <w:pStyle w:val="DefinedTerms"/>
      </w:pPr>
      <w:r>
        <w:t>Treasurer</w:t>
      </w:r>
      <w:r>
        <w:tab/>
        <w:t>4(1)</w:t>
      </w:r>
    </w:p>
    <w:p>
      <w:pPr>
        <w:pStyle w:val="DefinedTerms"/>
      </w:pPr>
      <w:r>
        <w:t>Treasury</w:t>
      </w:r>
      <w:r>
        <w:tab/>
        <w:t>4(1)</w:t>
      </w:r>
    </w:p>
    <w:p>
      <w:pPr>
        <w:pStyle w:val="DefinedTerms"/>
      </w:pPr>
      <w:r>
        <w:t>triennial certificate</w:t>
      </w:r>
      <w:r>
        <w:tab/>
        <w:t>4(1)</w:t>
      </w:r>
    </w:p>
    <w:p>
      <w:pPr>
        <w:pStyle w:val="DefinedTerms"/>
      </w:pPr>
      <w:r>
        <w:t>trust account</w:t>
      </w:r>
      <w:r>
        <w:tab/>
        <w:t>92(5)</w:t>
      </w:r>
    </w:p>
    <w:p>
      <w:pPr>
        <w:pStyle w:val="DefinedTerms"/>
      </w:pPr>
      <w:r>
        <w:t>trust accounts</w:t>
      </w:r>
      <w:r>
        <w:tab/>
        <w:t>67</w:t>
      </w:r>
    </w:p>
    <w:p>
      <w:pPr>
        <w:pStyle w:val="DefinedTerms"/>
      </w:pPr>
      <w:r>
        <w:t>year</w:t>
      </w:r>
      <w:r>
        <w:tab/>
        <w:t>67</w:t>
      </w:r>
    </w:p>
    <w:p>
      <w:pPr>
        <w:rPr>
          <w:rFonts w:ascii="Arial" w:hAnsi="Arial" w:cs="Arial"/>
          <w:sz w:val="12"/>
        </w:rPr>
        <w:sectPr>
          <w:headerReference w:type="even" r:id="rId32"/>
          <w:headerReference w:type="default" r:id="rId33"/>
          <w:pgSz w:w="11907" w:h="16840" w:code="9"/>
          <w:pgMar w:top="2381" w:right="2409" w:bottom="3543" w:left="2409" w:header="720" w:footer="3380" w:gutter="0"/>
          <w:cols w:space="720"/>
          <w:noEndnote/>
          <w:docGrid w:linePitch="326"/>
        </w:sectPr>
      </w:pPr>
      <w:bookmarkStart w:id="394" w:name="UpToHere"/>
    </w:p>
    <w:bookmarkEnd w:id="394"/>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85" w:name="Schedule"/>
    <w:bookmarkEnd w:id="3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91" w:name="Compilation"/>
    <w:bookmarkEnd w:id="39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3" w:name="DefinedTerms"/>
    <w:bookmarkEnd w:id="39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5" w:name="Coversheet"/>
    <w:bookmarkEnd w:id="3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160B9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724"/>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41015123210" w:val="RemoveTocBookmarks,RemoveUnusedBookmarks,RemoveLanguageTags,UsedStyles,ResetPageSize,UpdateArrangement"/>
    <w:docVar w:name="WAFER_20141015123210_GUID" w:val="64a3355d-7a26-45e2-bd22-de9f30038f17"/>
    <w:docVar w:name="WAFER_20141119103439" w:val="RemoveTocBookmarks,RunningHeaders"/>
    <w:docVar w:name="WAFER_20141119103439_GUID" w:val="238c4c98-8065-46db-ab23-ff5cff7f0da8"/>
    <w:docVar w:name="WAFER_20150710114227" w:val="ResetPageSize,UpdateArrangement,UpdateNTable"/>
    <w:docVar w:name="WAFER_20150710114227_GUID" w:val="ad99801e-4621-4a3b-873d-a113a8440bd8"/>
    <w:docVar w:name="WAFER_20151111162724" w:val="UpdateStyles,UsedStyles"/>
    <w:docVar w:name="WAFER_20151111162724_GUID" w:val="18489fbf-4911-4b9f-a5b9-fc67e4ffc4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137</Pages>
  <Words>36067</Words>
  <Characters>169156</Characters>
  <Application>Microsoft Office Word</Application>
  <DocSecurity>0</DocSecurity>
  <Lines>4451</Lines>
  <Paragraphs>2206</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203017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1978 - 07-c0-03</dc:title>
  <dc:subject/>
  <dc:creator/>
  <cp:keywords/>
  <dc:description/>
  <cp:lastModifiedBy>svcMRProcess</cp:lastModifiedBy>
  <cp:revision>4</cp:revision>
  <cp:lastPrinted>2014-11-19T02:18:00Z</cp:lastPrinted>
  <dcterms:created xsi:type="dcterms:W3CDTF">2018-09-07T23:22:00Z</dcterms:created>
  <dcterms:modified xsi:type="dcterms:W3CDTF">2018-09-07T23:22:00Z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20141119</vt:lpwstr>
  </property>
  <property fmtid="{D5CDD505-2E9C-101B-9397-08002B2CF9AE}" pid="4" name="DocumentType">
    <vt:lpwstr>Act</vt:lpwstr>
  </property>
  <property fmtid="{D5CDD505-2E9C-101B-9397-08002B2CF9AE}" pid="5" name="OwlsUID">
    <vt:i4>672</vt:i4>
  </property>
  <property fmtid="{D5CDD505-2E9C-101B-9397-08002B2CF9AE}" pid="6" name="ReprintNo">
    <vt:lpwstr>7</vt:lpwstr>
  </property>
  <property fmtid="{D5CDD505-2E9C-101B-9397-08002B2CF9AE}" pid="7" name="ReprintedAsAt">
    <vt:filetime>2011-11-17T16:00:00Z</vt:filetime>
  </property>
  <property fmtid="{D5CDD505-2E9C-101B-9397-08002B2CF9AE}" pid="8" name="AsAtDate">
    <vt:lpwstr>19 Nov 2014</vt:lpwstr>
  </property>
  <property fmtid="{D5CDD505-2E9C-101B-9397-08002B2CF9AE}" pid="9" name="Suffix">
    <vt:lpwstr>07-c0-03</vt:lpwstr>
  </property>
</Properties>
</file>