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Settlement Agents Act 1981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_Toc413403555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_Toc413403556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_Toc413403557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 used: settlement agent</w:t>
      </w:r>
      <w:r>
        <w:tab/>
      </w:r>
      <w:r>
        <w:fldChar w:fldCharType="begin"/>
      </w:r>
      <w:r>
        <w:instrText xml:space="preserve"> PAGEREF _Toc413403558 \h </w:instrText>
      </w:r>
      <w:r>
        <w:fldChar w:fldCharType="separate"/>
      </w:r>
      <w:r>
        <w:t>6</w:t>
      </w:r>
      <w:r>
        <w:fldChar w:fldCharType="end"/>
      </w:r>
    </w:p>
    <w:p>
      <w:pPr>
        <w:pStyle w:val="TOC8"/>
        <w:rPr>
          <w:rFonts w:asciiTheme="minorHAnsi" w:eastAsiaTheme="minorEastAsia" w:hAnsiTheme="minorHAnsi" w:cstheme="minorBidi"/>
          <w:szCs w:val="22"/>
        </w:rPr>
      </w:pPr>
      <w:r>
        <w:t>22.</w:t>
      </w:r>
      <w:r>
        <w:tab/>
        <w:t>Powers of investigation</w:t>
      </w:r>
      <w:r>
        <w:tab/>
      </w:r>
      <w:r>
        <w:fldChar w:fldCharType="begin"/>
      </w:r>
      <w:r>
        <w:instrText xml:space="preserve"> PAGEREF _Toc413403559 \h </w:instrText>
      </w:r>
      <w:r>
        <w:fldChar w:fldCharType="separate"/>
      </w:r>
      <w:r>
        <w:t>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 review by SAT</w:t>
      </w:r>
      <w:r>
        <w:tab/>
      </w:r>
      <w:r>
        <w:fldChar w:fldCharType="begin"/>
      </w:r>
      <w:r>
        <w:instrText xml:space="preserve"> PAGEREF _Toc413403560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III — Licensing</w:t>
      </w:r>
    </w:p>
    <w:p>
      <w:pPr>
        <w:pStyle w:val="TOC8"/>
        <w:rPr>
          <w:rFonts w:asciiTheme="minorHAnsi" w:eastAsiaTheme="minorEastAsia" w:hAnsiTheme="minorHAnsi" w:cstheme="minorBidi"/>
          <w:szCs w:val="22"/>
        </w:rPr>
      </w:pPr>
      <w:r>
        <w:t>24</w:t>
      </w:r>
      <w:r>
        <w:rPr>
          <w:snapToGrid w:val="0"/>
        </w:rPr>
        <w:t>.</w:t>
      </w:r>
      <w:r>
        <w:rPr>
          <w:snapToGrid w:val="0"/>
        </w:rPr>
        <w:tab/>
        <w:t>Applications for licences</w:t>
      </w:r>
      <w:r>
        <w:tab/>
      </w:r>
      <w:r>
        <w:fldChar w:fldCharType="begin"/>
      </w:r>
      <w:r>
        <w:instrText xml:space="preserve"> PAGEREF _Toc413403562 \h </w:instrText>
      </w:r>
      <w:r>
        <w:fldChar w:fldCharType="separate"/>
      </w:r>
      <w:r>
        <w:t>10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Settlement agents must be licensed</w:t>
      </w:r>
      <w:r>
        <w:tab/>
      </w:r>
      <w:r>
        <w:fldChar w:fldCharType="begin"/>
      </w:r>
      <w:r>
        <w:instrText xml:space="preserve"> PAGEREF _Toc413403563 \h </w:instrText>
      </w:r>
      <w:r>
        <w:fldChar w:fldCharType="separate"/>
      </w:r>
      <w:r>
        <w:t>10</w:t>
      </w:r>
      <w:r>
        <w:fldChar w:fldCharType="end"/>
      </w:r>
    </w:p>
    <w:p>
      <w:pPr>
        <w:pStyle w:val="TOC8"/>
        <w:rPr>
          <w:rFonts w:asciiTheme="minorHAnsi" w:eastAsiaTheme="minorEastAsia" w:hAnsiTheme="minorHAnsi" w:cstheme="minorBidi"/>
          <w:szCs w:val="22"/>
        </w:rPr>
      </w:pPr>
      <w:r>
        <w:t>26A</w:t>
      </w:r>
      <w:r>
        <w:rPr>
          <w:snapToGrid w:val="0"/>
        </w:rPr>
        <w:t xml:space="preserve">. </w:t>
      </w:r>
      <w:r>
        <w:rPr>
          <w:snapToGrid w:val="0"/>
        </w:rPr>
        <w:tab/>
        <w:t>Licensed real estate agent may be exempted for certain settlements</w:t>
      </w:r>
      <w:r>
        <w:tab/>
      </w:r>
      <w:r>
        <w:fldChar w:fldCharType="begin"/>
      </w:r>
      <w:r>
        <w:instrText xml:space="preserve"> PAGEREF _Toc413403564 \h </w:instrText>
      </w:r>
      <w:r>
        <w:fldChar w:fldCharType="separate"/>
      </w:r>
      <w:r>
        <w:t>11</w:t>
      </w:r>
      <w:r>
        <w:fldChar w:fldCharType="end"/>
      </w:r>
    </w:p>
    <w:p>
      <w:pPr>
        <w:pStyle w:val="TOC8"/>
        <w:rPr>
          <w:rFonts w:asciiTheme="minorHAnsi" w:eastAsiaTheme="minorEastAsia" w:hAnsiTheme="minorHAnsi" w:cstheme="minorBidi"/>
          <w:szCs w:val="22"/>
        </w:rPr>
      </w:pPr>
      <w:r>
        <w:t>26B</w:t>
      </w:r>
      <w:r>
        <w:rPr>
          <w:snapToGrid w:val="0"/>
        </w:rPr>
        <w:t xml:space="preserve">. </w:t>
      </w:r>
      <w:r>
        <w:rPr>
          <w:snapToGrid w:val="0"/>
        </w:rPr>
        <w:tab/>
        <w:t>Licensed business agent may be exempted for certain settlements</w:t>
      </w:r>
      <w:r>
        <w:tab/>
      </w:r>
      <w:r>
        <w:fldChar w:fldCharType="begin"/>
      </w:r>
      <w:r>
        <w:instrText xml:space="preserve"> PAGEREF _Toc413403565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Natural persons, licensing of</w:t>
      </w:r>
      <w:r>
        <w:tab/>
      </w:r>
      <w:r>
        <w:fldChar w:fldCharType="begin"/>
      </w:r>
      <w:r>
        <w:instrText xml:space="preserve"> PAGEREF _Toc413403566 \h </w:instrText>
      </w:r>
      <w:r>
        <w:fldChar w:fldCharType="separate"/>
      </w:r>
      <w:r>
        <w:t>16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Firms, licensing of</w:t>
      </w:r>
      <w:r>
        <w:tab/>
      </w:r>
      <w:r>
        <w:fldChar w:fldCharType="begin"/>
      </w:r>
      <w:r>
        <w:instrText xml:space="preserve"> PAGEREF _Toc413403567 \h </w:instrText>
      </w:r>
      <w:r>
        <w:fldChar w:fldCharType="separate"/>
      </w:r>
      <w:r>
        <w:t>16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Bodies corporate, licensing of</w:t>
      </w:r>
      <w:r>
        <w:tab/>
      </w:r>
      <w:r>
        <w:fldChar w:fldCharType="begin"/>
      </w:r>
      <w:r>
        <w:instrText xml:space="preserve"> PAGEREF _Toc413403568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Licence, effect of</w:t>
      </w:r>
      <w:r>
        <w:tab/>
      </w:r>
      <w:r>
        <w:fldChar w:fldCharType="begin"/>
      </w:r>
      <w:r>
        <w:instrText xml:space="preserve"> PAGEREF _Toc413403569 \h </w:instrText>
      </w:r>
      <w:r>
        <w:fldChar w:fldCharType="separate"/>
      </w:r>
      <w:r>
        <w:t>18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Triennial certificates, grant and renewal of</w:t>
      </w:r>
      <w:r>
        <w:tab/>
      </w:r>
      <w:r>
        <w:fldChar w:fldCharType="begin"/>
      </w:r>
      <w:r>
        <w:instrText xml:space="preserve"> PAGEREF _Toc413403570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Triennial certificates, late renewal of</w:t>
      </w:r>
      <w:r>
        <w:tab/>
      </w:r>
      <w:r>
        <w:fldChar w:fldCharType="begin"/>
      </w:r>
      <w:r>
        <w:instrText xml:space="preserve"> PAGEREF _Toc413403571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Triennial certificates expired for over a year, applications to renew</w:t>
      </w:r>
      <w:r>
        <w:tab/>
      </w:r>
      <w:r>
        <w:fldChar w:fldCharType="begin"/>
      </w:r>
      <w:r>
        <w:instrText xml:space="preserve"> PAGEREF _Toc413403572 \h </w:instrText>
      </w:r>
      <w:r>
        <w:fldChar w:fldCharType="separate"/>
      </w:r>
      <w:r>
        <w:t>21</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Conditions on licences and triennial certificates</w:t>
      </w:r>
      <w:r>
        <w:tab/>
      </w:r>
      <w:r>
        <w:fldChar w:fldCharType="begin"/>
      </w:r>
      <w:r>
        <w:instrText xml:space="preserve"> PAGEREF _Toc413403573 \h </w:instrText>
      </w:r>
      <w:r>
        <w:fldChar w:fldCharType="separate"/>
      </w:r>
      <w:r>
        <w:t>22</w:t>
      </w:r>
      <w:r>
        <w:fldChar w:fldCharType="end"/>
      </w:r>
    </w:p>
    <w:p>
      <w:pPr>
        <w:pStyle w:val="TOC8"/>
        <w:rPr>
          <w:rFonts w:asciiTheme="minorHAnsi" w:eastAsiaTheme="minorEastAsia" w:hAnsiTheme="minorHAnsi" w:cstheme="minorBidi"/>
          <w:szCs w:val="22"/>
        </w:rPr>
      </w:pPr>
      <w:r>
        <w:t>34A</w:t>
      </w:r>
      <w:r>
        <w:rPr>
          <w:snapToGrid w:val="0"/>
        </w:rPr>
        <w:t>.</w:t>
      </w:r>
      <w:r>
        <w:tab/>
        <w:t>Commissioner may grant licence or triennial certificate without notice to applicant</w:t>
      </w:r>
      <w:r>
        <w:tab/>
      </w:r>
      <w:r>
        <w:fldChar w:fldCharType="begin"/>
      </w:r>
      <w:r>
        <w:instrText xml:space="preserve"> PAGEREF _Toc413403574 \h </w:instrText>
      </w:r>
      <w:r>
        <w:fldChar w:fldCharType="separate"/>
      </w:r>
      <w:r>
        <w:t>22</w:t>
      </w:r>
      <w:r>
        <w:fldChar w:fldCharType="end"/>
      </w:r>
    </w:p>
    <w:p>
      <w:pPr>
        <w:pStyle w:val="TOC8"/>
        <w:rPr>
          <w:rFonts w:asciiTheme="minorHAnsi" w:eastAsiaTheme="minorEastAsia" w:hAnsiTheme="minorHAnsi" w:cstheme="minorBidi"/>
          <w:szCs w:val="22"/>
        </w:rPr>
      </w:pPr>
      <w:r>
        <w:t>34B.</w:t>
      </w:r>
      <w:r>
        <w:tab/>
        <w:t>SAT may suspend licence in some cases</w:t>
      </w:r>
      <w:r>
        <w:tab/>
      </w:r>
      <w:r>
        <w:fldChar w:fldCharType="begin"/>
      </w:r>
      <w:r>
        <w:instrText xml:space="preserve"> PAGEREF _Toc413403575 \h </w:instrText>
      </w:r>
      <w:r>
        <w:fldChar w:fldCharType="separate"/>
      </w:r>
      <w:r>
        <w:t>22</w:t>
      </w:r>
      <w:r>
        <w:fldChar w:fldCharType="end"/>
      </w:r>
    </w:p>
    <w:p>
      <w:pPr>
        <w:pStyle w:val="TOC8"/>
        <w:rPr>
          <w:rFonts w:asciiTheme="minorHAnsi" w:eastAsiaTheme="minorEastAsia" w:hAnsiTheme="minorHAnsi" w:cstheme="minorBidi"/>
          <w:szCs w:val="22"/>
        </w:rPr>
      </w:pPr>
      <w:r>
        <w:lastRenderedPageBreak/>
        <w:t>35</w:t>
      </w:r>
      <w:r>
        <w:rPr>
          <w:snapToGrid w:val="0"/>
        </w:rPr>
        <w:t>.</w:t>
      </w:r>
      <w:r>
        <w:rPr>
          <w:snapToGrid w:val="0"/>
        </w:rPr>
        <w:tab/>
        <w:t>Fidelity insurance and professional indemnity insurance for licensees</w:t>
      </w:r>
      <w:r>
        <w:tab/>
      </w:r>
      <w:r>
        <w:fldChar w:fldCharType="begin"/>
      </w:r>
      <w:r>
        <w:instrText xml:space="preserve"> PAGEREF _Toc413403576 \h </w:instrText>
      </w:r>
      <w:r>
        <w:fldChar w:fldCharType="separate"/>
      </w:r>
      <w:r>
        <w:t>23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Licensees to notify Commissioner of certain changes</w:t>
      </w:r>
      <w:r>
        <w:tab/>
      </w:r>
      <w:r>
        <w:fldChar w:fldCharType="begin"/>
      </w:r>
      <w:r>
        <w:instrText xml:space="preserve"> PAGEREF _Toc413403577 \h </w:instrText>
      </w:r>
      <w:r>
        <w:fldChar w:fldCharType="separate"/>
      </w:r>
      <w:r>
        <w:t>25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Registered office of licensee</w:t>
      </w:r>
      <w:r>
        <w:tab/>
      </w:r>
      <w:r>
        <w:fldChar w:fldCharType="begin"/>
      </w:r>
      <w:r>
        <w:instrText xml:space="preserve"> PAGEREF _Toc413403578 \h </w:instrText>
      </w:r>
      <w:r>
        <w:fldChar w:fldCharType="separate"/>
      </w:r>
      <w:r>
        <w:t>26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Branch office of licensee</w:t>
      </w:r>
      <w:r>
        <w:tab/>
      </w:r>
      <w:r>
        <w:fldChar w:fldCharType="begin"/>
      </w:r>
      <w:r>
        <w:instrText xml:space="preserve"> PAGEREF _Toc413403579 \h </w:instrText>
      </w:r>
      <w:r>
        <w:fldChar w:fldCharType="separate"/>
      </w:r>
      <w:r>
        <w:t>27</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Triennial certificates, contents of</w:t>
      </w:r>
      <w:r>
        <w:tab/>
      </w:r>
      <w:r>
        <w:fldChar w:fldCharType="begin"/>
      </w:r>
      <w:r>
        <w:instrText xml:space="preserve"> PAGEREF _Toc413403580 \h </w:instrText>
      </w:r>
      <w:r>
        <w:fldChar w:fldCharType="separate"/>
      </w:r>
      <w:r>
        <w:t>27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Licence and triennial certificate not transferable etc.</w:t>
      </w:r>
      <w:r>
        <w:tab/>
      </w:r>
      <w:r>
        <w:fldChar w:fldCharType="begin"/>
      </w:r>
      <w:r>
        <w:instrText xml:space="preserve"> PAGEREF _Toc413403581 \h </w:instrText>
      </w:r>
      <w:r>
        <w:fldChar w:fldCharType="separate"/>
      </w:r>
      <w:r>
        <w:t>28</w:t>
      </w:r>
      <w:r>
        <w:fldChar w:fldCharType="end"/>
      </w:r>
    </w:p>
    <w:p>
      <w:pPr>
        <w:pStyle w:val="TOC8"/>
        <w:rPr>
          <w:rFonts w:asciiTheme="minorHAnsi" w:eastAsiaTheme="minorEastAsia" w:hAnsiTheme="minorHAnsi" w:cstheme="minorBidi"/>
          <w:szCs w:val="22"/>
        </w:rPr>
      </w:pPr>
      <w:r>
        <w:t>41A.</w:t>
      </w:r>
      <w:r>
        <w:tab/>
        <w:t>Duplicate licence or triennial certificate</w:t>
      </w:r>
      <w:r>
        <w:tab/>
      </w:r>
      <w:r>
        <w:fldChar w:fldCharType="begin"/>
      </w:r>
      <w:r>
        <w:instrText xml:space="preserve"> PAGEREF _Toc413403582 \h </w:instrText>
      </w:r>
      <w:r>
        <w:fldChar w:fldCharType="separate"/>
      </w:r>
      <w:r>
        <w:t>28</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Use of business names by licensees</w:t>
      </w:r>
      <w:r>
        <w:tab/>
      </w:r>
      <w:r>
        <w:fldChar w:fldCharType="begin"/>
      </w:r>
      <w:r>
        <w:instrText xml:space="preserve"> PAGEREF _Toc413403583 \h </w:instrText>
      </w:r>
      <w:r>
        <w:fldChar w:fldCharType="separate"/>
      </w:r>
      <w:r>
        <w:t>28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Notices to be exhibited at offices; particulars to appear on documents</w:t>
      </w:r>
      <w:r>
        <w:tab/>
      </w:r>
      <w:r>
        <w:fldChar w:fldCharType="begin"/>
      </w:r>
      <w:r>
        <w:instrText xml:space="preserve"> PAGEREF _Toc413403584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IV — Controls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43</w:t>
      </w:r>
      <w:r>
        <w:rPr>
          <w:snapToGrid w:val="0"/>
        </w:rPr>
        <w:t>.</w:t>
      </w:r>
      <w:r>
        <w:rPr>
          <w:snapToGrid w:val="0"/>
        </w:rPr>
        <w:tab/>
        <w:t>Remuneration of settlement agents</w:t>
      </w:r>
      <w:r>
        <w:tab/>
      </w:r>
      <w:r>
        <w:fldChar w:fldCharType="begin"/>
      </w:r>
      <w:r>
        <w:instrText xml:space="preserve"> PAGEREF _Toc413403587 \h </w:instrText>
      </w:r>
      <w:r>
        <w:fldChar w:fldCharType="separate"/>
      </w:r>
      <w:r>
        <w:t>31</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Maximum remuneration, disputes over remuneration etc.</w:t>
      </w:r>
      <w:r>
        <w:tab/>
      </w:r>
      <w:r>
        <w:fldChar w:fldCharType="begin"/>
      </w:r>
      <w:r>
        <w:instrText xml:space="preserve"> PAGEREF _Toc413403588 \h </w:instrText>
      </w:r>
      <w:r>
        <w:fldChar w:fldCharType="separate"/>
      </w:r>
      <w:r>
        <w:t>33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Records and premises, licensees’ duties as to</w:t>
      </w:r>
      <w:r>
        <w:tab/>
      </w:r>
      <w:r>
        <w:fldChar w:fldCharType="begin"/>
      </w:r>
      <w:r>
        <w:instrText xml:space="preserve"> PAGEREF _Toc413403589 \h </w:instrText>
      </w:r>
      <w:r>
        <w:fldChar w:fldCharType="separate"/>
      </w:r>
      <w:r>
        <w:t>35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Real estate settlement agents, functions of</w:t>
      </w:r>
      <w:r>
        <w:tab/>
      </w:r>
      <w:r>
        <w:fldChar w:fldCharType="begin"/>
      </w:r>
      <w:r>
        <w:instrText xml:space="preserve"> PAGEREF _Toc413403590 \h </w:instrText>
      </w:r>
      <w:r>
        <w:fldChar w:fldCharType="separate"/>
      </w:r>
      <w:r>
        <w:t>35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Business settlement agents, functions of</w:t>
      </w:r>
      <w:r>
        <w:tab/>
      </w:r>
      <w:r>
        <w:fldChar w:fldCharType="begin"/>
      </w:r>
      <w:r>
        <w:instrText xml:space="preserve"> PAGEREF _Toc413403591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Trust accounts</w:t>
      </w:r>
    </w:p>
    <w:p>
      <w:pPr>
        <w:pStyle w:val="TOC8"/>
        <w:rPr>
          <w:rFonts w:asciiTheme="minorHAnsi" w:eastAsiaTheme="minorEastAsia" w:hAnsiTheme="minorHAnsi" w:cstheme="minorBidi"/>
          <w:szCs w:val="22"/>
        </w:rPr>
      </w:pPr>
      <w:r>
        <w:t>48</w:t>
      </w:r>
      <w:r>
        <w:rPr>
          <w:snapToGrid w:val="0"/>
        </w:rPr>
        <w:t>.</w:t>
      </w:r>
      <w:r>
        <w:rPr>
          <w:snapToGrid w:val="0"/>
        </w:rPr>
        <w:tab/>
        <w:t>Terms used</w:t>
      </w:r>
      <w:r>
        <w:tab/>
      </w:r>
      <w:r>
        <w:fldChar w:fldCharType="begin"/>
      </w:r>
      <w:r>
        <w:instrText xml:space="preserve"> PAGEREF _Toc413403593 \h </w:instrText>
      </w:r>
      <w:r>
        <w:fldChar w:fldCharType="separate"/>
      </w:r>
      <w:r>
        <w:t>38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Trust accounts etc. of licensees</w:t>
      </w:r>
      <w:r>
        <w:tab/>
      </w:r>
      <w:r>
        <w:fldChar w:fldCharType="begin"/>
      </w:r>
      <w:r>
        <w:instrText xml:space="preserve"> PAGEREF _Toc413403594 \h </w:instrText>
      </w:r>
      <w:r>
        <w:fldChar w:fldCharType="separate"/>
      </w:r>
      <w:r>
        <w:t>39</w:t>
      </w:r>
      <w:r>
        <w:fldChar w:fldCharType="end"/>
      </w:r>
    </w:p>
    <w:p>
      <w:pPr>
        <w:pStyle w:val="TOC8"/>
        <w:rPr>
          <w:rFonts w:asciiTheme="minorHAnsi" w:eastAsiaTheme="minorEastAsia" w:hAnsiTheme="minorHAnsi" w:cstheme="minorBidi"/>
          <w:szCs w:val="22"/>
        </w:rPr>
      </w:pPr>
      <w:r>
        <w:t>49A</w:t>
      </w:r>
      <w:r>
        <w:rPr>
          <w:snapToGrid w:val="0"/>
        </w:rPr>
        <w:t>.</w:t>
      </w:r>
      <w:r>
        <w:rPr>
          <w:snapToGrid w:val="0"/>
        </w:rPr>
        <w:tab/>
        <w:t>Client may ask settlement agent for separate trust account</w:t>
      </w:r>
      <w:r>
        <w:tab/>
      </w:r>
      <w:r>
        <w:fldChar w:fldCharType="begin"/>
      </w:r>
      <w:r>
        <w:instrText xml:space="preserve"> PAGEREF _Toc413403595 \h </w:instrText>
      </w:r>
      <w:r>
        <w:fldChar w:fldCharType="separate"/>
      </w:r>
      <w:r>
        <w:t>41</w:t>
      </w:r>
      <w:r>
        <w:fldChar w:fldCharType="end"/>
      </w:r>
    </w:p>
    <w:p>
      <w:pPr>
        <w:pStyle w:val="TOC8"/>
        <w:rPr>
          <w:rFonts w:asciiTheme="minorHAnsi" w:eastAsiaTheme="minorEastAsia" w:hAnsiTheme="minorHAnsi" w:cstheme="minorBidi"/>
          <w:szCs w:val="22"/>
        </w:rPr>
      </w:pPr>
      <w:r>
        <w:t>49B</w:t>
      </w:r>
      <w:r>
        <w:rPr>
          <w:snapToGrid w:val="0"/>
        </w:rPr>
        <w:t xml:space="preserve">. </w:t>
      </w:r>
      <w:r>
        <w:rPr>
          <w:snapToGrid w:val="0"/>
        </w:rPr>
        <w:tab/>
        <w:t>Interest on trust accounts</w:t>
      </w:r>
      <w:r>
        <w:tab/>
      </w:r>
      <w:r>
        <w:fldChar w:fldCharType="begin"/>
      </w:r>
      <w:r>
        <w:instrText xml:space="preserve"> PAGEREF _Toc413403596 \h </w:instrText>
      </w:r>
      <w:r>
        <w:fldChar w:fldCharType="separate"/>
      </w:r>
      <w:r>
        <w:t>42</w:t>
      </w:r>
      <w:r>
        <w:fldChar w:fldCharType="end"/>
      </w:r>
    </w:p>
    <w:p>
      <w:pPr>
        <w:pStyle w:val="TOC8"/>
        <w:rPr>
          <w:rFonts w:asciiTheme="minorHAnsi" w:eastAsiaTheme="minorEastAsia" w:hAnsiTheme="minorHAnsi" w:cstheme="minorBidi"/>
          <w:szCs w:val="22"/>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_Toc413403597 \h </w:instrText>
      </w:r>
      <w:r>
        <w:fldChar w:fldCharType="separate"/>
      </w:r>
      <w:r>
        <w:t>43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Receipts, accounts etc. by settlement agents</w:t>
      </w:r>
      <w:r>
        <w:tab/>
      </w:r>
      <w:r>
        <w:fldChar w:fldCharType="begin"/>
      </w:r>
      <w:r>
        <w:instrText xml:space="preserve"> PAGEREF _Toc413403598 \h </w:instrText>
      </w:r>
      <w:r>
        <w:fldChar w:fldCharType="separate"/>
      </w:r>
      <w:r>
        <w:t>43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Audits of trust accounts</w:t>
      </w:r>
      <w:r>
        <w:tab/>
      </w:r>
      <w:r>
        <w:fldChar w:fldCharType="begin"/>
      </w:r>
      <w:r>
        <w:instrText xml:space="preserve"> PAGEREF _Toc413403599 \h </w:instrText>
      </w:r>
      <w:r>
        <w:fldChar w:fldCharType="separate"/>
      </w:r>
      <w:r>
        <w:t>44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Date of audit, Commissioner may change</w:t>
      </w:r>
      <w:r>
        <w:tab/>
      </w:r>
      <w:r>
        <w:fldChar w:fldCharType="begin"/>
      </w:r>
      <w:r>
        <w:instrText xml:space="preserve"> PAGEREF _Toc413403600 \h </w:instrText>
      </w:r>
      <w:r>
        <w:fldChar w:fldCharType="separate"/>
      </w:r>
      <w:r>
        <w:t>46</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Auditors, qualification and approval of</w:t>
      </w:r>
      <w:r>
        <w:tab/>
      </w:r>
      <w:r>
        <w:fldChar w:fldCharType="begin"/>
      </w:r>
      <w:r>
        <w:instrText xml:space="preserve"> PAGEREF _Toc413403601 \h </w:instrText>
      </w:r>
      <w:r>
        <w:fldChar w:fldCharType="separate"/>
      </w:r>
      <w:r>
        <w:t>47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Auditors, appointment of</w:t>
      </w:r>
      <w:r>
        <w:tab/>
      </w:r>
      <w:r>
        <w:fldChar w:fldCharType="begin"/>
      </w:r>
      <w:r>
        <w:instrText xml:space="preserve"> PAGEREF _Toc413403602 \h </w:instrText>
      </w:r>
      <w:r>
        <w:fldChar w:fldCharType="separate"/>
      </w:r>
      <w:r>
        <w:t>47</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Audit of business carried on at more than one place, directions as to</w:t>
      </w:r>
      <w:r>
        <w:tab/>
      </w:r>
      <w:r>
        <w:fldChar w:fldCharType="begin"/>
      </w:r>
      <w:r>
        <w:instrText xml:space="preserve"> PAGEREF _Toc413403603 \h </w:instrText>
      </w:r>
      <w:r>
        <w:fldChar w:fldCharType="separate"/>
      </w:r>
      <w:r>
        <w:t>48</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Approvals etc. under this Division, Commissioner’s power to cancel etc.</w:t>
      </w:r>
      <w:r>
        <w:tab/>
      </w:r>
      <w:r>
        <w:fldChar w:fldCharType="begin"/>
      </w:r>
      <w:r>
        <w:instrText xml:space="preserve"> PAGEREF _Toc413403604 \h </w:instrText>
      </w:r>
      <w:r>
        <w:fldChar w:fldCharType="separate"/>
      </w:r>
      <w:r>
        <w:t>48</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Audits, settlement agents’ duties and auditors’ powers as to</w:t>
      </w:r>
      <w:r>
        <w:tab/>
      </w:r>
      <w:r>
        <w:fldChar w:fldCharType="begin"/>
      </w:r>
      <w:r>
        <w:instrText xml:space="preserve"> PAGEREF _Toc413403605 \h </w:instrText>
      </w:r>
      <w:r>
        <w:fldChar w:fldCharType="separate"/>
      </w:r>
      <w:r>
        <w:t>49</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Audits, bankers’ duties as to</w:t>
      </w:r>
      <w:r>
        <w:tab/>
      </w:r>
      <w:r>
        <w:fldChar w:fldCharType="begin"/>
      </w:r>
      <w:r>
        <w:instrText xml:space="preserve"> PAGEREF _Toc413403606 \h </w:instrText>
      </w:r>
      <w:r>
        <w:fldChar w:fldCharType="separate"/>
      </w:r>
      <w:r>
        <w:t>49</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Auditors’ reports, content of</w:t>
      </w:r>
      <w:r>
        <w:tab/>
      </w:r>
      <w:r>
        <w:fldChar w:fldCharType="begin"/>
      </w:r>
      <w:r>
        <w:instrText xml:space="preserve"> PAGEREF _Toc413403607 \h </w:instrText>
      </w:r>
      <w:r>
        <w:fldChar w:fldCharType="separate"/>
      </w:r>
      <w:r>
        <w:t>49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Moneys etc. held on trust, statement of by settlement agents</w:t>
      </w:r>
      <w:r>
        <w:tab/>
      </w:r>
      <w:r>
        <w:fldChar w:fldCharType="begin"/>
      </w:r>
      <w:r>
        <w:instrText xml:space="preserve"> PAGEREF _Toc413403608 \h </w:instrText>
      </w:r>
      <w:r>
        <w:fldChar w:fldCharType="separate"/>
      </w:r>
      <w:r>
        <w:t>50</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Auditor’s report to report breaches of law etc.</w:t>
      </w:r>
      <w:r>
        <w:tab/>
      </w:r>
      <w:r>
        <w:fldChar w:fldCharType="begin"/>
      </w:r>
      <w:r>
        <w:instrText xml:space="preserve"> PAGEREF _Toc413403609 \h </w:instrText>
      </w:r>
      <w:r>
        <w:fldChar w:fldCharType="separate"/>
      </w:r>
      <w:r>
        <w:t>51</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Auditors’ duty of confidentiality</w:t>
      </w:r>
      <w:r>
        <w:tab/>
      </w:r>
      <w:r>
        <w:fldChar w:fldCharType="begin"/>
      </w:r>
      <w:r>
        <w:instrText xml:space="preserve"> PAGEREF _Toc413403610 \h </w:instrText>
      </w:r>
      <w:r>
        <w:fldChar w:fldCharType="separate"/>
      </w:r>
      <w:r>
        <w:t>51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Right of some persons to information in auditors’ reports</w:t>
      </w:r>
      <w:r>
        <w:tab/>
      </w:r>
      <w:r>
        <w:fldChar w:fldCharType="begin"/>
      </w:r>
      <w:r>
        <w:instrText xml:space="preserve"> PAGEREF _Toc413403611 \h </w:instrText>
      </w:r>
      <w:r>
        <w:fldChar w:fldCharType="separate"/>
      </w:r>
      <w:r>
        <w:t>52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Offences under this Division</w:t>
      </w:r>
      <w:r>
        <w:tab/>
      </w:r>
      <w:r>
        <w:fldChar w:fldCharType="begin"/>
      </w:r>
      <w:r>
        <w:instrText xml:space="preserve"> PAGEREF _Toc413403612 \h </w:instrText>
      </w:r>
      <w:r>
        <w:fldChar w:fldCharType="separate"/>
      </w:r>
      <w:r>
        <w:t>52</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Auditors’ remuneration</w:t>
      </w:r>
      <w:r>
        <w:tab/>
      </w:r>
      <w:r>
        <w:fldChar w:fldCharType="begin"/>
      </w:r>
      <w:r>
        <w:instrText xml:space="preserve"> PAGEREF _Toc413403613 \h </w:instrText>
      </w:r>
      <w:r>
        <w:fldChar w:fldCharType="separate"/>
      </w:r>
      <w:r>
        <w:t>53</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Settlement agents with no accounts to audit</w:t>
      </w:r>
      <w:r>
        <w:tab/>
      </w:r>
      <w:r>
        <w:fldChar w:fldCharType="begin"/>
      </w:r>
      <w:r>
        <w:instrText xml:space="preserve"> PAGEREF _Toc413403614 \h </w:instrText>
      </w:r>
      <w:r>
        <w:fldChar w:fldCharType="separate"/>
      </w:r>
      <w:r>
        <w:t>53</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_Toc413403615 \h </w:instrText>
      </w:r>
      <w:r>
        <w:fldChar w:fldCharType="separate"/>
      </w:r>
      <w:r>
        <w:t>53</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Audit of trust account, Commissioner may do</w:t>
      </w:r>
      <w:r>
        <w:tab/>
      </w:r>
      <w:r>
        <w:fldChar w:fldCharType="begin"/>
      </w:r>
      <w:r>
        <w:instrText xml:space="preserve"> PAGEREF _Toc413403616 \h </w:instrText>
      </w:r>
      <w:r>
        <w:fldChar w:fldCharType="separate"/>
      </w:r>
      <w:r>
        <w:t>54</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Settlement agent to allow Commissioner’s auditor etc. to inspect accounts etc.</w:t>
      </w:r>
      <w:r>
        <w:tab/>
      </w:r>
      <w:r>
        <w:fldChar w:fldCharType="begin"/>
      </w:r>
      <w:r>
        <w:instrText xml:space="preserve"> PAGEREF _Toc413403617 \h </w:instrText>
      </w:r>
      <w:r>
        <w:fldChar w:fldCharType="separate"/>
      </w:r>
      <w:r>
        <w:t>54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Cost of audit done under s. 69</w:t>
      </w:r>
      <w:r>
        <w:tab/>
      </w:r>
      <w:r>
        <w:fldChar w:fldCharType="begin"/>
      </w:r>
      <w:r>
        <w:instrText xml:space="preserve"> PAGEREF _Toc413403618 \h </w:instrText>
      </w:r>
      <w:r>
        <w:fldChar w:fldCharType="separate"/>
      </w:r>
      <w:r>
        <w:t>54</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Application of s. 63 to certain persons</w:t>
      </w:r>
      <w:r>
        <w:tab/>
      </w:r>
      <w:r>
        <w:fldChar w:fldCharType="begin"/>
      </w:r>
      <w:r>
        <w:instrText xml:space="preserve"> PAGEREF _Toc413403619 \h </w:instrText>
      </w:r>
      <w:r>
        <w:fldChar w:fldCharType="separate"/>
      </w:r>
      <w:r>
        <w:t>55</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Restraining bank etc. from dealing with settlement agent’s account, SAT’s powers as to</w:t>
      </w:r>
      <w:r>
        <w:tab/>
      </w:r>
      <w:r>
        <w:fldChar w:fldCharType="begin"/>
      </w:r>
      <w:r>
        <w:instrText xml:space="preserve"> PAGEREF _Toc413403620 \h </w:instrText>
      </w:r>
      <w:r>
        <w:fldChar w:fldCharType="separate"/>
      </w:r>
      <w:r>
        <w:t>55</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Suspension of settlement agents, appointment of supervisors etc., SAT’s powers as to</w:t>
      </w:r>
      <w:r>
        <w:tab/>
      </w:r>
      <w:r>
        <w:fldChar w:fldCharType="begin"/>
      </w:r>
      <w:r>
        <w:instrText xml:space="preserve"> PAGEREF _Toc413403621 \h </w:instrText>
      </w:r>
      <w:r>
        <w:fldChar w:fldCharType="separate"/>
      </w:r>
      <w:r>
        <w:t>57</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s. 74 orders appointing supervisor</w:t>
      </w:r>
      <w:r>
        <w:tab/>
      </w:r>
      <w:r>
        <w:fldChar w:fldCharType="begin"/>
      </w:r>
      <w:r>
        <w:instrText xml:space="preserve"> PAGEREF _Toc413403622 \h </w:instrText>
      </w:r>
      <w:r>
        <w:fldChar w:fldCharType="separate"/>
      </w:r>
      <w:r>
        <w:t>59</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Supervisors’ duties</w:t>
      </w:r>
      <w:r>
        <w:tab/>
      </w:r>
      <w:r>
        <w:fldChar w:fldCharType="begin"/>
      </w:r>
      <w:r>
        <w:instrText xml:space="preserve"> PAGEREF _Toc413403623 \h </w:instrText>
      </w:r>
      <w:r>
        <w:fldChar w:fldCharType="separate"/>
      </w:r>
      <w:r>
        <w:t>60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Hindering etc. supervisors, offence</w:t>
      </w:r>
      <w:r>
        <w:tab/>
      </w:r>
      <w:r>
        <w:fldChar w:fldCharType="begin"/>
      </w:r>
      <w:r>
        <w:instrText xml:space="preserve"> PAGEREF _Toc413403624 \h </w:instrText>
      </w:r>
      <w:r>
        <w:fldChar w:fldCharType="separate"/>
      </w:r>
      <w:r>
        <w:t>61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Discharge or variation of s. 73 or 74 order</w:t>
      </w:r>
      <w:r>
        <w:tab/>
      </w:r>
      <w:r>
        <w:fldChar w:fldCharType="begin"/>
      </w:r>
      <w:r>
        <w:instrText xml:space="preserve"> PAGEREF _Toc413403625 \h </w:instrText>
      </w:r>
      <w:r>
        <w:fldChar w:fldCharType="separate"/>
      </w:r>
      <w:r>
        <w:t>61</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SAT’s additional powers as to s. 73, 74 or 78 orders</w:t>
      </w:r>
      <w:r>
        <w:tab/>
      </w:r>
      <w:r>
        <w:fldChar w:fldCharType="begin"/>
      </w:r>
      <w:r>
        <w:instrText xml:space="preserve"> PAGEREF _Toc413403626 \h </w:instrText>
      </w:r>
      <w:r>
        <w:fldChar w:fldCharType="separate"/>
      </w:r>
      <w:r>
        <w:t>61</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Service of s. 73, 74, 78 and 79 orders; penalty for breach of</w:t>
      </w:r>
      <w:r>
        <w:tab/>
      </w:r>
      <w:r>
        <w:fldChar w:fldCharType="begin"/>
      </w:r>
      <w:r>
        <w:instrText xml:space="preserve"> PAGEREF _Toc413403627 \h </w:instrText>
      </w:r>
      <w:r>
        <w:fldChar w:fldCharType="separate"/>
      </w:r>
      <w:r>
        <w:t>63</w:t>
      </w:r>
      <w:r>
        <w:fldChar w:fldCharType="end"/>
      </w:r>
    </w:p>
    <w:p>
      <w:pPr>
        <w:pStyle w:val="TOC8"/>
        <w:rPr>
          <w:rFonts w:asciiTheme="minorHAnsi" w:eastAsiaTheme="minorEastAsia" w:hAnsiTheme="minorHAnsi" w:cstheme="minorBidi"/>
          <w:szCs w:val="22"/>
        </w:rPr>
      </w:pPr>
      <w:r>
        <w:t>81.</w:t>
      </w:r>
      <w:r>
        <w:tab/>
        <w:t>Banks etc., duty to disclose certain accounts etc. if required to by authorised person</w:t>
      </w:r>
      <w:r>
        <w:tab/>
      </w:r>
      <w:r>
        <w:fldChar w:fldCharType="begin"/>
      </w:r>
      <w:r>
        <w:instrText xml:space="preserve"> PAGEREF _Toc413403628 \h </w:instrText>
      </w:r>
      <w:r>
        <w:fldChar w:fldCharType="separate"/>
      </w:r>
      <w:r>
        <w:t>64</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_Toc413403629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Discipline</w:t>
      </w:r>
    </w:p>
    <w:p>
      <w:pPr>
        <w:pStyle w:val="TOC8"/>
        <w:rPr>
          <w:rFonts w:asciiTheme="minorHAnsi" w:eastAsiaTheme="minorEastAsia" w:hAnsiTheme="minorHAnsi" w:cstheme="minorBidi"/>
          <w:szCs w:val="22"/>
        </w:rPr>
      </w:pPr>
      <w:r>
        <w:t>82</w:t>
      </w:r>
      <w:r>
        <w:rPr>
          <w:snapToGrid w:val="0"/>
        </w:rPr>
        <w:t>.</w:t>
      </w:r>
      <w:r>
        <w:rPr>
          <w:snapToGrid w:val="0"/>
        </w:rPr>
        <w:tab/>
        <w:t>Code of conduct for settlement agents</w:t>
      </w:r>
      <w:r>
        <w:tab/>
      </w:r>
      <w:r>
        <w:fldChar w:fldCharType="begin"/>
      </w:r>
      <w:r>
        <w:instrText xml:space="preserve"> PAGEREF _Toc413403631 \h </w:instrText>
      </w:r>
      <w:r>
        <w:fldChar w:fldCharType="separate"/>
      </w:r>
      <w:r>
        <w:t>67</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Disciplinary action by SAT, alleging cause for</w:t>
      </w:r>
      <w:r>
        <w:tab/>
      </w:r>
      <w:r>
        <w:fldChar w:fldCharType="begin"/>
      </w:r>
      <w:r>
        <w:instrText xml:space="preserve"> PAGEREF _Toc413403632 \h </w:instrText>
      </w:r>
      <w:r>
        <w:fldChar w:fldCharType="separate"/>
      </w:r>
      <w:r>
        <w:t>67</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Disciplinary action, SAT’s powers as to</w:t>
      </w:r>
      <w:r>
        <w:tab/>
      </w:r>
      <w:r>
        <w:fldChar w:fldCharType="begin"/>
      </w:r>
      <w:r>
        <w:instrText xml:space="preserve"> PAGEREF _Toc413403633 \h </w:instrText>
      </w:r>
      <w:r>
        <w:fldChar w:fldCharType="separate"/>
      </w:r>
      <w:r>
        <w:t>67</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Offences that cause licence and triennial certificate to be cancelled</w:t>
      </w:r>
      <w:r>
        <w:tab/>
      </w:r>
      <w:r>
        <w:fldChar w:fldCharType="begin"/>
      </w:r>
      <w:r>
        <w:instrText xml:space="preserve"> PAGEREF _Toc413403634 \h </w:instrText>
      </w:r>
      <w:r>
        <w:fldChar w:fldCharType="separate"/>
      </w:r>
      <w:r>
        <w:t>69</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Persons with cancelled licences etc., offences by and in respect of</w:t>
      </w:r>
      <w:r>
        <w:tab/>
      </w:r>
      <w:r>
        <w:fldChar w:fldCharType="begin"/>
      </w:r>
      <w:r>
        <w:instrText xml:space="preserve"> PAGEREF _Toc413403635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V — Fidelity Guarantee Account</w:t>
      </w:r>
    </w:p>
    <w:p>
      <w:pPr>
        <w:pStyle w:val="TOC8"/>
        <w:rPr>
          <w:rFonts w:asciiTheme="minorHAnsi" w:eastAsiaTheme="minorEastAsia" w:hAnsiTheme="minorHAnsi" w:cstheme="minorBidi"/>
          <w:szCs w:val="22"/>
        </w:rPr>
      </w:pPr>
      <w:r>
        <w:t>87.</w:t>
      </w:r>
      <w:r>
        <w:tab/>
        <w:t>Account established; administration of Account</w:t>
      </w:r>
      <w:r>
        <w:tab/>
      </w:r>
      <w:r>
        <w:fldChar w:fldCharType="begin"/>
      </w:r>
      <w:r>
        <w:instrText xml:space="preserve"> PAGEREF _Toc413403637 \h </w:instrText>
      </w:r>
      <w:r>
        <w:fldChar w:fldCharType="separate"/>
      </w:r>
      <w:r>
        <w:t>71</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 xml:space="preserve">Moneys to be credited to </w:t>
      </w:r>
      <w:r>
        <w:t>Account</w:t>
      </w:r>
      <w:r>
        <w:tab/>
      </w:r>
      <w:r>
        <w:fldChar w:fldCharType="begin"/>
      </w:r>
      <w:r>
        <w:instrText xml:space="preserve"> PAGEREF _Toc413403638 \h </w:instrText>
      </w:r>
      <w:r>
        <w:fldChar w:fldCharType="separate"/>
      </w:r>
      <w:r>
        <w:t>71</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 xml:space="preserve">Investment of moneys in </w:t>
      </w:r>
      <w:r>
        <w:t>Account</w:t>
      </w:r>
      <w:r>
        <w:tab/>
      </w:r>
      <w:r>
        <w:fldChar w:fldCharType="begin"/>
      </w:r>
      <w:r>
        <w:instrText xml:space="preserve"> PAGEREF _Toc413403639 \h </w:instrText>
      </w:r>
      <w:r>
        <w:fldChar w:fldCharType="separate"/>
      </w:r>
      <w:r>
        <w:t>72</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 xml:space="preserve">Expenditure from </w:t>
      </w:r>
      <w:r>
        <w:t>Account</w:t>
      </w:r>
      <w:r>
        <w:tab/>
      </w:r>
      <w:r>
        <w:fldChar w:fldCharType="begin"/>
      </w:r>
      <w:r>
        <w:instrText xml:space="preserve"> PAGEREF _Toc413403640 \h </w:instrText>
      </w:r>
      <w:r>
        <w:fldChar w:fldCharType="separate"/>
      </w:r>
      <w:r>
        <w:t>72</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 xml:space="preserve">Payments to </w:t>
      </w:r>
      <w:r>
        <w:t>Account by applicants for licences etc.</w:t>
      </w:r>
      <w:r>
        <w:tab/>
      </w:r>
      <w:r>
        <w:fldChar w:fldCharType="begin"/>
      </w:r>
      <w:r>
        <w:instrText xml:space="preserve"> PAGEREF _Toc413403641 \h </w:instrText>
      </w:r>
      <w:r>
        <w:fldChar w:fldCharType="separate"/>
      </w:r>
      <w:r>
        <w:t>73</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 xml:space="preserve">Purpose of </w:t>
      </w:r>
      <w:r>
        <w:t>Account; making claims against Account</w:t>
      </w:r>
      <w:r>
        <w:tab/>
      </w:r>
      <w:r>
        <w:fldChar w:fldCharType="begin"/>
      </w:r>
      <w:r>
        <w:instrText xml:space="preserve"> PAGEREF _Toc413403642 \h </w:instrText>
      </w:r>
      <w:r>
        <w:fldChar w:fldCharType="separate"/>
      </w:r>
      <w:r>
        <w:t>73</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Levies for Account against certificate holders</w:t>
      </w:r>
      <w:r>
        <w:tab/>
      </w:r>
      <w:r>
        <w:fldChar w:fldCharType="begin"/>
      </w:r>
      <w:r>
        <w:instrText xml:space="preserve"> PAGEREF _Toc413403643 \h </w:instrText>
      </w:r>
      <w:r>
        <w:fldChar w:fldCharType="separate"/>
      </w:r>
      <w:r>
        <w:t>74</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 xml:space="preserve">Claims against </w:t>
      </w:r>
      <w:r>
        <w:t>Account; recovery from Account</w:t>
      </w:r>
      <w:r>
        <w:tab/>
      </w:r>
      <w:r>
        <w:fldChar w:fldCharType="begin"/>
      </w:r>
      <w:r>
        <w:instrText xml:space="preserve"> PAGEREF _Toc413403644 \h </w:instrText>
      </w:r>
      <w:r>
        <w:fldChar w:fldCharType="separate"/>
      </w:r>
      <w:r>
        <w:t>75</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 xml:space="preserve">Defences to claims against </w:t>
      </w:r>
      <w:r>
        <w:t>Account</w:t>
      </w:r>
      <w:r>
        <w:tab/>
      </w:r>
      <w:r>
        <w:fldChar w:fldCharType="begin"/>
      </w:r>
      <w:r>
        <w:instrText xml:space="preserve"> PAGEREF _Toc413403645 \h </w:instrText>
      </w:r>
      <w:r>
        <w:fldChar w:fldCharType="separate"/>
      </w:r>
      <w:r>
        <w:t>76</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Subrogation of rights of claimant against Account</w:t>
      </w:r>
      <w:r>
        <w:tab/>
      </w:r>
      <w:r>
        <w:fldChar w:fldCharType="begin"/>
      </w:r>
      <w:r>
        <w:instrText xml:space="preserve"> PAGEREF _Toc413403646 \h </w:instrText>
      </w:r>
      <w:r>
        <w:fldChar w:fldCharType="separate"/>
      </w:r>
      <w:r>
        <w:t>76</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 xml:space="preserve">Insufficiency in </w:t>
      </w:r>
      <w:r>
        <w:t>Account</w:t>
      </w:r>
      <w:r>
        <w:tab/>
      </w:r>
      <w:r>
        <w:fldChar w:fldCharType="begin"/>
      </w:r>
      <w:r>
        <w:instrText xml:space="preserve"> PAGEREF _Toc413403647 \h </w:instrText>
      </w:r>
      <w:r>
        <w:fldChar w:fldCharType="separate"/>
      </w:r>
      <w:r>
        <w:t>76</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State may insure against claims</w:t>
      </w:r>
      <w:r>
        <w:tab/>
      </w:r>
      <w:r>
        <w:fldChar w:fldCharType="begin"/>
      </w:r>
      <w:r>
        <w:instrText xml:space="preserve"> PAGEREF _Toc413403648 \h </w:instrText>
      </w:r>
      <w:r>
        <w:fldChar w:fldCharType="separate"/>
      </w:r>
      <w:r>
        <w:t>77</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Application of insurance money</w:t>
      </w:r>
      <w:r>
        <w:tab/>
      </w:r>
      <w:r>
        <w:fldChar w:fldCharType="begin"/>
      </w:r>
      <w:r>
        <w:instrText xml:space="preserve"> PAGEREF _Toc413403649 \h </w:instrText>
      </w:r>
      <w:r>
        <w:fldChar w:fldCharType="separate"/>
      </w:r>
      <w:r>
        <w:t>78</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Advertising for claims in relation to defaulting licensee</w:t>
      </w:r>
      <w:r>
        <w:tab/>
      </w:r>
      <w:r>
        <w:fldChar w:fldCharType="begin"/>
      </w:r>
      <w:r>
        <w:instrText xml:space="preserve"> PAGEREF _Toc413403650 \h </w:instrText>
      </w:r>
      <w:r>
        <w:fldChar w:fldCharType="separate"/>
      </w:r>
      <w:r>
        <w:t>78</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Documents etc. to support claims, CEO may require</w:t>
      </w:r>
      <w:r>
        <w:tab/>
      </w:r>
      <w:r>
        <w:fldChar w:fldCharType="begin"/>
      </w:r>
      <w:r>
        <w:instrText xml:space="preserve"> PAGEREF _Toc413403651 \h </w:instrText>
      </w:r>
      <w:r>
        <w:fldChar w:fldCharType="separate"/>
      </w:r>
      <w:r>
        <w:t>79</w:t>
      </w:r>
      <w:r>
        <w:fldChar w:fldCharType="end"/>
      </w:r>
    </w:p>
    <w:p>
      <w:pPr>
        <w:pStyle w:val="TOC8"/>
        <w:rPr>
          <w:rFonts w:asciiTheme="minorHAnsi" w:eastAsiaTheme="minorEastAsia" w:hAnsiTheme="minorHAnsi" w:cstheme="minorBidi"/>
          <w:szCs w:val="22"/>
        </w:rPr>
      </w:pPr>
      <w:r>
        <w:t>102AA.</w:t>
      </w:r>
      <w:r>
        <w:tab/>
        <w:t>Commissioner may investigate claims against Fidelity Account</w:t>
      </w:r>
      <w:r>
        <w:tab/>
      </w:r>
      <w:r>
        <w:fldChar w:fldCharType="begin"/>
      </w:r>
      <w:r>
        <w:instrText xml:space="preserve"> PAGEREF _Toc413403652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VA — Education and General Purpose Account</w:t>
      </w:r>
    </w:p>
    <w:p>
      <w:pPr>
        <w:pStyle w:val="TOC8"/>
        <w:rPr>
          <w:rFonts w:asciiTheme="minorHAnsi" w:eastAsiaTheme="minorEastAsia" w:hAnsiTheme="minorHAnsi" w:cstheme="minorBidi"/>
          <w:szCs w:val="22"/>
        </w:rPr>
      </w:pPr>
      <w:r>
        <w:t>102A</w:t>
      </w:r>
      <w:r>
        <w:rPr>
          <w:snapToGrid w:val="0"/>
        </w:rPr>
        <w:t xml:space="preserve">. </w:t>
      </w:r>
      <w:r>
        <w:rPr>
          <w:snapToGrid w:val="0"/>
        </w:rPr>
        <w:tab/>
        <w:t>Account established; administration of account</w:t>
      </w:r>
      <w:r>
        <w:tab/>
      </w:r>
      <w:r>
        <w:fldChar w:fldCharType="begin"/>
      </w:r>
      <w:r>
        <w:instrText xml:space="preserve"> PAGEREF _Toc413403654 \h </w:instrText>
      </w:r>
      <w:r>
        <w:fldChar w:fldCharType="separate"/>
      </w:r>
      <w:r>
        <w:t>81</w:t>
      </w:r>
      <w:r>
        <w:fldChar w:fldCharType="end"/>
      </w:r>
    </w:p>
    <w:p>
      <w:pPr>
        <w:pStyle w:val="TOC8"/>
        <w:rPr>
          <w:rFonts w:asciiTheme="minorHAnsi" w:eastAsiaTheme="minorEastAsia" w:hAnsiTheme="minorHAnsi" w:cstheme="minorBidi"/>
          <w:szCs w:val="22"/>
        </w:rPr>
      </w:pPr>
      <w:r>
        <w:t>102B</w:t>
      </w:r>
      <w:r>
        <w:rPr>
          <w:snapToGrid w:val="0"/>
        </w:rPr>
        <w:t xml:space="preserve">. </w:t>
      </w:r>
      <w:r>
        <w:rPr>
          <w:snapToGrid w:val="0"/>
        </w:rPr>
        <w:tab/>
        <w:t>Moneys to be credited to a</w:t>
      </w:r>
      <w:r>
        <w:t>ccount</w:t>
      </w:r>
      <w:r>
        <w:tab/>
      </w:r>
      <w:r>
        <w:fldChar w:fldCharType="begin"/>
      </w:r>
      <w:r>
        <w:instrText xml:space="preserve"> PAGEREF _Toc413403655 \h </w:instrText>
      </w:r>
      <w:r>
        <w:fldChar w:fldCharType="separate"/>
      </w:r>
      <w:r>
        <w:t>81</w:t>
      </w:r>
      <w:r>
        <w:fldChar w:fldCharType="end"/>
      </w:r>
    </w:p>
    <w:p>
      <w:pPr>
        <w:pStyle w:val="TOC8"/>
        <w:rPr>
          <w:rFonts w:asciiTheme="minorHAnsi" w:eastAsiaTheme="minorEastAsia" w:hAnsiTheme="minorHAnsi" w:cstheme="minorBidi"/>
          <w:szCs w:val="22"/>
        </w:rPr>
      </w:pPr>
      <w:r>
        <w:t>102C</w:t>
      </w:r>
      <w:r>
        <w:rPr>
          <w:snapToGrid w:val="0"/>
        </w:rPr>
        <w:t xml:space="preserve">. </w:t>
      </w:r>
      <w:r>
        <w:rPr>
          <w:snapToGrid w:val="0"/>
        </w:rPr>
        <w:tab/>
        <w:t>Expenditure from a</w:t>
      </w:r>
      <w:r>
        <w:t>ccount</w:t>
      </w:r>
      <w:r>
        <w:tab/>
      </w:r>
      <w:r>
        <w:fldChar w:fldCharType="begin"/>
      </w:r>
      <w:r>
        <w:instrText xml:space="preserve"> PAGEREF _Toc413403656 \h </w:instrText>
      </w:r>
      <w:r>
        <w:fldChar w:fldCharType="separate"/>
      </w:r>
      <w:r>
        <w:t>82</w:t>
      </w:r>
      <w:r>
        <w:fldChar w:fldCharType="end"/>
      </w:r>
    </w:p>
    <w:p>
      <w:pPr>
        <w:pStyle w:val="TOC8"/>
        <w:rPr>
          <w:rFonts w:asciiTheme="minorHAnsi" w:eastAsiaTheme="minorEastAsia" w:hAnsiTheme="minorHAnsi" w:cstheme="minorBidi"/>
          <w:szCs w:val="22"/>
        </w:rPr>
      </w:pPr>
      <w:r>
        <w:t>102D</w:t>
      </w:r>
      <w:r>
        <w:rPr>
          <w:snapToGrid w:val="0"/>
        </w:rPr>
        <w:t xml:space="preserve">. </w:t>
      </w:r>
      <w:r>
        <w:rPr>
          <w:snapToGrid w:val="0"/>
        </w:rPr>
        <w:tab/>
        <w:t>Investment of moneys in a</w:t>
      </w:r>
      <w:r>
        <w:t>ccount</w:t>
      </w:r>
      <w:r>
        <w:tab/>
      </w:r>
      <w:r>
        <w:fldChar w:fldCharType="begin"/>
      </w:r>
      <w:r>
        <w:instrText xml:space="preserve"> PAGEREF _Toc413403657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VI — Settlement Agents Interest Account</w:t>
      </w:r>
    </w:p>
    <w:p>
      <w:pPr>
        <w:pStyle w:val="TOC8"/>
        <w:rPr>
          <w:rFonts w:asciiTheme="minorHAnsi" w:eastAsiaTheme="minorEastAsia" w:hAnsiTheme="minorHAnsi" w:cstheme="minorBidi"/>
          <w:szCs w:val="22"/>
        </w:rPr>
      </w:pPr>
      <w:r>
        <w:t>103</w:t>
      </w:r>
      <w:r>
        <w:rPr>
          <w:snapToGrid w:val="0"/>
        </w:rPr>
        <w:t>.</w:t>
      </w:r>
      <w:r>
        <w:rPr>
          <w:snapToGrid w:val="0"/>
        </w:rPr>
        <w:tab/>
        <w:t>Account established; administration of account</w:t>
      </w:r>
      <w:r>
        <w:tab/>
      </w:r>
      <w:r>
        <w:fldChar w:fldCharType="begin"/>
      </w:r>
      <w:r>
        <w:instrText xml:space="preserve"> PAGEREF _Toc413403659 \h </w:instrText>
      </w:r>
      <w:r>
        <w:fldChar w:fldCharType="separate"/>
      </w:r>
      <w:r>
        <w:t>84</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Moneys to be credited to a</w:t>
      </w:r>
      <w:r>
        <w:t>ccount</w:t>
      </w:r>
      <w:r>
        <w:tab/>
      </w:r>
      <w:r>
        <w:fldChar w:fldCharType="begin"/>
      </w:r>
      <w:r>
        <w:instrText xml:space="preserve"> PAGEREF _Toc413403660 \h </w:instrText>
      </w:r>
      <w:r>
        <w:fldChar w:fldCharType="separate"/>
      </w:r>
      <w:r>
        <w:t>84</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Expenditure from a</w:t>
      </w:r>
      <w:r>
        <w:t>ccount</w:t>
      </w:r>
      <w:r>
        <w:tab/>
      </w:r>
      <w:r>
        <w:fldChar w:fldCharType="begin"/>
      </w:r>
      <w:r>
        <w:instrText xml:space="preserve"> PAGEREF _Toc413403661 \h </w:instrText>
      </w:r>
      <w:r>
        <w:fldChar w:fldCharType="separate"/>
      </w:r>
      <w:r>
        <w:t>85</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Investment of moneys in a</w:t>
      </w:r>
      <w:r>
        <w:t>ccount</w:t>
      </w:r>
      <w:r>
        <w:tab/>
      </w:r>
      <w:r>
        <w:fldChar w:fldCharType="begin"/>
      </w:r>
      <w:r>
        <w:instrText xml:space="preserve"> PAGEREF _Toc413403662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110</w:t>
      </w:r>
      <w:r>
        <w:rPr>
          <w:snapToGrid w:val="0"/>
        </w:rPr>
        <w:t>.</w:t>
      </w:r>
      <w:r>
        <w:rPr>
          <w:snapToGrid w:val="0"/>
        </w:rPr>
        <w:tab/>
        <w:t>Registers of licensees etc., Commissioner to keep etc.</w:t>
      </w:r>
      <w:r>
        <w:tab/>
      </w:r>
      <w:r>
        <w:fldChar w:fldCharType="begin"/>
      </w:r>
      <w:r>
        <w:instrText xml:space="preserve"> PAGEREF _Toc413403664 \h </w:instrText>
      </w:r>
      <w:r>
        <w:fldChar w:fldCharType="separate"/>
      </w:r>
      <w:r>
        <w:t>86</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Commissioner’s certificate</w:t>
      </w:r>
      <w:r>
        <w:tab/>
      </w:r>
      <w:r>
        <w:fldChar w:fldCharType="begin"/>
      </w:r>
      <w:r>
        <w:instrText xml:space="preserve"> PAGEREF _Toc413403665 \h </w:instrText>
      </w:r>
      <w:r>
        <w:fldChar w:fldCharType="separate"/>
      </w:r>
      <w:r>
        <w:t>86</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Annual report by department</w:t>
      </w:r>
      <w:r>
        <w:tab/>
      </w:r>
      <w:r>
        <w:fldChar w:fldCharType="begin"/>
      </w:r>
      <w:r>
        <w:instrText xml:space="preserve"> PAGEREF _Toc413403666 \h </w:instrText>
      </w:r>
      <w:r>
        <w:fldChar w:fldCharType="separate"/>
      </w:r>
      <w:r>
        <w:t>87</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Reports by Commissioner to Minister</w:t>
      </w:r>
      <w:r>
        <w:tab/>
      </w:r>
      <w:r>
        <w:fldChar w:fldCharType="begin"/>
      </w:r>
      <w:r>
        <w:instrText xml:space="preserve"> PAGEREF _Toc413403667 \h </w:instrText>
      </w:r>
      <w:r>
        <w:fldChar w:fldCharType="separate"/>
      </w:r>
      <w:r>
        <w:t>87</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Refunds of fees, Commissioner’s powers as to</w:t>
      </w:r>
      <w:r>
        <w:tab/>
      </w:r>
      <w:r>
        <w:fldChar w:fldCharType="begin"/>
      </w:r>
      <w:r>
        <w:instrText xml:space="preserve"> PAGEREF _Toc413403668 \h </w:instrText>
      </w:r>
      <w:r>
        <w:fldChar w:fldCharType="separate"/>
      </w:r>
      <w:r>
        <w:t>88</w:t>
      </w:r>
      <w:r>
        <w:fldChar w:fldCharType="end"/>
      </w:r>
    </w:p>
    <w:p>
      <w:pPr>
        <w:pStyle w:val="TOC8"/>
        <w:rPr>
          <w:rFonts w:asciiTheme="minorHAnsi" w:eastAsiaTheme="minorEastAsia" w:hAnsiTheme="minorHAnsi" w:cstheme="minorBidi"/>
          <w:szCs w:val="22"/>
        </w:rPr>
      </w:pPr>
      <w:r>
        <w:t>115.</w:t>
      </w:r>
      <w:r>
        <w:tab/>
        <w:t>Protection from personal liability</w:t>
      </w:r>
      <w:r>
        <w:tab/>
      </w:r>
      <w:r>
        <w:fldChar w:fldCharType="begin"/>
      </w:r>
      <w:r>
        <w:instrText xml:space="preserve"> PAGEREF _Toc413403669 \h </w:instrText>
      </w:r>
      <w:r>
        <w:fldChar w:fldCharType="separate"/>
      </w:r>
      <w:r>
        <w:t>88</w:t>
      </w:r>
      <w:r>
        <w:fldChar w:fldCharType="end"/>
      </w:r>
    </w:p>
    <w:p>
      <w:pPr>
        <w:pStyle w:val="TOC8"/>
        <w:rPr>
          <w:rFonts w:asciiTheme="minorHAnsi" w:eastAsiaTheme="minorEastAsia" w:hAnsiTheme="minorHAnsi" w:cstheme="minorBidi"/>
          <w:szCs w:val="22"/>
        </w:rPr>
      </w:pPr>
      <w:r>
        <w:t>116.</w:t>
      </w:r>
      <w:r>
        <w:tab/>
        <w:t>Confidentiality of information officially obtained</w:t>
      </w:r>
      <w:r>
        <w:tab/>
      </w:r>
      <w:r>
        <w:fldChar w:fldCharType="begin"/>
      </w:r>
      <w:r>
        <w:instrText xml:space="preserve"> PAGEREF _Toc413403670 \h </w:instrText>
      </w:r>
      <w:r>
        <w:fldChar w:fldCharType="separate"/>
      </w:r>
      <w:r>
        <w:t>88</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Liability of directors of body corporate for defalcations</w:t>
      </w:r>
      <w:r>
        <w:tab/>
      </w:r>
      <w:r>
        <w:fldChar w:fldCharType="begin"/>
      </w:r>
      <w:r>
        <w:instrText xml:space="preserve"> PAGEREF _Toc413403671 \h </w:instrText>
      </w:r>
      <w:r>
        <w:fldChar w:fldCharType="separate"/>
      </w:r>
      <w:r>
        <w:t>88</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Other rights and remedies not affected by this Act</w:t>
      </w:r>
      <w:r>
        <w:tab/>
      </w:r>
      <w:r>
        <w:fldChar w:fldCharType="begin"/>
      </w:r>
      <w:r>
        <w:instrText xml:space="preserve"> PAGEREF _Toc413403672 \h </w:instrText>
      </w:r>
      <w:r>
        <w:fldChar w:fldCharType="separate"/>
      </w:r>
      <w:r>
        <w:t>88</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Rights conferred by Act cannot be waived</w:t>
      </w:r>
      <w:r>
        <w:tab/>
      </w:r>
      <w:r>
        <w:fldChar w:fldCharType="begin"/>
      </w:r>
      <w:r>
        <w:instrText xml:space="preserve"> PAGEREF _Toc413403673 \h </w:instrText>
      </w:r>
      <w:r>
        <w:fldChar w:fldCharType="separate"/>
      </w:r>
      <w:r>
        <w:t>89</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General penalty for offences</w:t>
      </w:r>
      <w:r>
        <w:tab/>
      </w:r>
      <w:r>
        <w:fldChar w:fldCharType="begin"/>
      </w:r>
      <w:r>
        <w:instrText xml:space="preserve"> PAGEREF _Toc413403674 \h </w:instrText>
      </w:r>
      <w:r>
        <w:fldChar w:fldCharType="separate"/>
      </w:r>
      <w:r>
        <w:t>89</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Proceedings for offences</w:t>
      </w:r>
      <w:r>
        <w:tab/>
      </w:r>
      <w:r>
        <w:fldChar w:fldCharType="begin"/>
      </w:r>
      <w:r>
        <w:instrText xml:space="preserve"> PAGEREF _Toc413403675 \h </w:instrText>
      </w:r>
      <w:r>
        <w:fldChar w:fldCharType="separate"/>
      </w:r>
      <w:r>
        <w:t>89</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Forms</w:t>
      </w:r>
      <w:r>
        <w:tab/>
      </w:r>
      <w:r>
        <w:fldChar w:fldCharType="begin"/>
      </w:r>
      <w:r>
        <w:instrText xml:space="preserve"> PAGEREF _Toc413403676 \h </w:instrText>
      </w:r>
      <w:r>
        <w:fldChar w:fldCharType="separate"/>
      </w:r>
      <w:r>
        <w:t>89</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Regulations</w:t>
      </w:r>
      <w:r>
        <w:tab/>
      </w:r>
      <w:r>
        <w:fldChar w:fldCharType="begin"/>
      </w:r>
      <w:r>
        <w:instrText xml:space="preserve"> PAGEREF _Toc413403677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VIII — Savings and transitional</w:t>
      </w:r>
    </w:p>
    <w:p>
      <w:pPr>
        <w:pStyle w:val="TOC8"/>
        <w:rPr>
          <w:rFonts w:asciiTheme="minorHAnsi" w:eastAsiaTheme="minorEastAsia" w:hAnsiTheme="minorHAnsi" w:cstheme="minorBidi"/>
          <w:szCs w:val="22"/>
        </w:rPr>
      </w:pPr>
      <w:r>
        <w:t>124.</w:t>
      </w:r>
      <w:r>
        <w:tab/>
        <w:t>Terms used</w:t>
      </w:r>
      <w:r>
        <w:tab/>
      </w:r>
      <w:r>
        <w:fldChar w:fldCharType="begin"/>
      </w:r>
      <w:r>
        <w:instrText xml:space="preserve"> PAGEREF _Toc413403679 \h </w:instrText>
      </w:r>
      <w:r>
        <w:fldChar w:fldCharType="separate"/>
      </w:r>
      <w:r>
        <w:t>92</w:t>
      </w:r>
      <w:r>
        <w:fldChar w:fldCharType="end"/>
      </w:r>
    </w:p>
    <w:p>
      <w:pPr>
        <w:pStyle w:val="TOC8"/>
        <w:rPr>
          <w:rFonts w:asciiTheme="minorHAnsi" w:eastAsiaTheme="minorEastAsia" w:hAnsiTheme="minorHAnsi" w:cstheme="minorBidi"/>
          <w:szCs w:val="22"/>
        </w:rPr>
      </w:pPr>
      <w:r>
        <w:t>125.</w:t>
      </w:r>
      <w:r>
        <w:tab/>
        <w:t>Former Board abolished</w:t>
      </w:r>
      <w:r>
        <w:tab/>
      </w:r>
      <w:r>
        <w:fldChar w:fldCharType="begin"/>
      </w:r>
      <w:r>
        <w:instrText xml:space="preserve"> PAGEREF _Toc413403680 \h </w:instrText>
      </w:r>
      <w:r>
        <w:fldChar w:fldCharType="separate"/>
      </w:r>
      <w:r>
        <w:t>92</w:t>
      </w:r>
      <w:r>
        <w:fldChar w:fldCharType="end"/>
      </w:r>
    </w:p>
    <w:p>
      <w:pPr>
        <w:pStyle w:val="TOC8"/>
        <w:rPr>
          <w:rFonts w:asciiTheme="minorHAnsi" w:eastAsiaTheme="minorEastAsia" w:hAnsiTheme="minorHAnsi" w:cstheme="minorBidi"/>
          <w:szCs w:val="22"/>
        </w:rPr>
      </w:pPr>
      <w:r>
        <w:t>126.</w:t>
      </w:r>
      <w:r>
        <w:tab/>
        <w:t>References to former Board</w:t>
      </w:r>
      <w:r>
        <w:tab/>
      </w:r>
      <w:r>
        <w:fldChar w:fldCharType="begin"/>
      </w:r>
      <w:r>
        <w:instrText xml:space="preserve"> PAGEREF _Toc413403681 \h </w:instrText>
      </w:r>
      <w:r>
        <w:fldChar w:fldCharType="separate"/>
      </w:r>
      <w:r>
        <w:t>92</w:t>
      </w:r>
      <w:r>
        <w:fldChar w:fldCharType="end"/>
      </w:r>
    </w:p>
    <w:p>
      <w:pPr>
        <w:pStyle w:val="TOC8"/>
        <w:rPr>
          <w:rFonts w:asciiTheme="minorHAnsi" w:eastAsiaTheme="minorEastAsia" w:hAnsiTheme="minorHAnsi" w:cstheme="minorBidi"/>
          <w:szCs w:val="22"/>
        </w:rPr>
      </w:pPr>
      <w:r>
        <w:t>127.</w:t>
      </w:r>
      <w:r>
        <w:tab/>
        <w:t>Immunity continues</w:t>
      </w:r>
      <w:r>
        <w:tab/>
      </w:r>
      <w:r>
        <w:fldChar w:fldCharType="begin"/>
      </w:r>
      <w:r>
        <w:instrText xml:space="preserve"> PAGEREF _Toc413403682 \h </w:instrText>
      </w:r>
      <w:r>
        <w:fldChar w:fldCharType="separate"/>
      </w:r>
      <w:r>
        <w:t>93</w:t>
      </w:r>
      <w:r>
        <w:fldChar w:fldCharType="end"/>
      </w:r>
    </w:p>
    <w:p>
      <w:pPr>
        <w:pStyle w:val="TOC8"/>
        <w:rPr>
          <w:rFonts w:asciiTheme="minorHAnsi" w:eastAsiaTheme="minorEastAsia" w:hAnsiTheme="minorHAnsi" w:cstheme="minorBidi"/>
          <w:szCs w:val="22"/>
        </w:rPr>
      </w:pPr>
      <w:r>
        <w:t>128.</w:t>
      </w:r>
      <w:r>
        <w:tab/>
        <w:t>Notices and rules made by former Board</w:t>
      </w:r>
      <w:r>
        <w:tab/>
      </w:r>
      <w:r>
        <w:fldChar w:fldCharType="begin"/>
      </w:r>
      <w:r>
        <w:instrText xml:space="preserve"> PAGEREF _Toc413403683 \h </w:instrText>
      </w:r>
      <w:r>
        <w:fldChar w:fldCharType="separate"/>
      </w:r>
      <w:r>
        <w:t>93</w:t>
      </w:r>
      <w:r>
        <w:fldChar w:fldCharType="end"/>
      </w:r>
    </w:p>
    <w:p>
      <w:pPr>
        <w:pStyle w:val="TOC8"/>
        <w:rPr>
          <w:rFonts w:asciiTheme="minorHAnsi" w:eastAsiaTheme="minorEastAsia" w:hAnsiTheme="minorHAnsi" w:cstheme="minorBidi"/>
          <w:szCs w:val="22"/>
        </w:rPr>
      </w:pPr>
      <w:r>
        <w:t>129.</w:t>
      </w:r>
      <w:r>
        <w:tab/>
        <w:t>References to former Registrar</w:t>
      </w:r>
      <w:r>
        <w:tab/>
      </w:r>
      <w:r>
        <w:fldChar w:fldCharType="begin"/>
      </w:r>
      <w:r>
        <w:instrText xml:space="preserve"> PAGEREF _Toc413403684 \h </w:instrText>
      </w:r>
      <w:r>
        <w:fldChar w:fldCharType="separate"/>
      </w:r>
      <w:r>
        <w:t>93</w:t>
      </w:r>
      <w:r>
        <w:fldChar w:fldCharType="end"/>
      </w:r>
    </w:p>
    <w:p>
      <w:pPr>
        <w:pStyle w:val="TOC8"/>
        <w:rPr>
          <w:rFonts w:asciiTheme="minorHAnsi" w:eastAsiaTheme="minorEastAsia" w:hAnsiTheme="minorHAnsi" w:cstheme="minorBidi"/>
          <w:szCs w:val="22"/>
        </w:rPr>
      </w:pPr>
      <w:r>
        <w:t>130.</w:t>
      </w:r>
      <w:r>
        <w:tab/>
        <w:t>Unfinished investigations by former Board</w:t>
      </w:r>
      <w:r>
        <w:tab/>
      </w:r>
      <w:r>
        <w:fldChar w:fldCharType="begin"/>
      </w:r>
      <w:r>
        <w:instrText xml:space="preserve"> PAGEREF _Toc413403685 \h </w:instrText>
      </w:r>
      <w:r>
        <w:fldChar w:fldCharType="separate"/>
      </w:r>
      <w:r>
        <w:t>94</w:t>
      </w:r>
      <w:r>
        <w:fldChar w:fldCharType="end"/>
      </w:r>
    </w:p>
    <w:p>
      <w:pPr>
        <w:pStyle w:val="TOC8"/>
        <w:rPr>
          <w:rFonts w:asciiTheme="minorHAnsi" w:eastAsiaTheme="minorEastAsia" w:hAnsiTheme="minorHAnsi" w:cstheme="minorBidi"/>
          <w:szCs w:val="22"/>
        </w:rPr>
      </w:pPr>
      <w:r>
        <w:t>131.</w:t>
      </w:r>
      <w:r>
        <w:tab/>
        <w:t>Unfinished proceedings by former Board</w:t>
      </w:r>
      <w:r>
        <w:tab/>
      </w:r>
      <w:r>
        <w:fldChar w:fldCharType="begin"/>
      </w:r>
      <w:r>
        <w:instrText xml:space="preserve"> PAGEREF _Toc413403686 \h </w:instrText>
      </w:r>
      <w:r>
        <w:fldChar w:fldCharType="separate"/>
      </w:r>
      <w:r>
        <w:t>94</w:t>
      </w:r>
      <w:r>
        <w:fldChar w:fldCharType="end"/>
      </w:r>
    </w:p>
    <w:p>
      <w:pPr>
        <w:pStyle w:val="TOC8"/>
        <w:rPr>
          <w:rFonts w:asciiTheme="minorHAnsi" w:eastAsiaTheme="minorEastAsia" w:hAnsiTheme="minorHAnsi" w:cstheme="minorBidi"/>
          <w:szCs w:val="22"/>
        </w:rPr>
      </w:pPr>
      <w:r>
        <w:t>132.</w:t>
      </w:r>
      <w:r>
        <w:tab/>
        <w:t>Winding</w:t>
      </w:r>
      <w:r>
        <w:noBreakHyphen/>
        <w:t>up former Board</w:t>
      </w:r>
      <w:r>
        <w:tab/>
      </w:r>
      <w:r>
        <w:fldChar w:fldCharType="begin"/>
      </w:r>
      <w:r>
        <w:instrText xml:space="preserve"> PAGEREF _Toc413403687 \h </w:instrText>
      </w:r>
      <w:r>
        <w:fldChar w:fldCharType="separate"/>
      </w:r>
      <w:r>
        <w:t>94</w:t>
      </w:r>
      <w:r>
        <w:fldChar w:fldCharType="end"/>
      </w:r>
    </w:p>
    <w:p>
      <w:pPr>
        <w:pStyle w:val="TOC8"/>
        <w:rPr>
          <w:rFonts w:asciiTheme="minorHAnsi" w:eastAsiaTheme="minorEastAsia" w:hAnsiTheme="minorHAnsi" w:cstheme="minorBidi"/>
          <w:szCs w:val="22"/>
        </w:rPr>
      </w:pPr>
      <w:r>
        <w:t>133.</w:t>
      </w:r>
      <w:r>
        <w:tab/>
        <w:t>Final report by former Board</w:t>
      </w:r>
      <w:r>
        <w:tab/>
      </w:r>
      <w:r>
        <w:fldChar w:fldCharType="begin"/>
      </w:r>
      <w:r>
        <w:instrText xml:space="preserve"> PAGEREF _Toc413403688 \h </w:instrText>
      </w:r>
      <w:r>
        <w:fldChar w:fldCharType="separate"/>
      </w:r>
      <w:r>
        <w:t>96</w:t>
      </w:r>
      <w:r>
        <w:fldChar w:fldCharType="end"/>
      </w:r>
    </w:p>
    <w:p>
      <w:pPr>
        <w:pStyle w:val="TOC8"/>
        <w:rPr>
          <w:rFonts w:asciiTheme="minorHAnsi" w:eastAsiaTheme="minorEastAsia" w:hAnsiTheme="minorHAnsi" w:cstheme="minorBidi"/>
          <w:szCs w:val="22"/>
        </w:rPr>
      </w:pPr>
      <w:r>
        <w:t>134.</w:t>
      </w:r>
      <w:r>
        <w:tab/>
        <w:t>Staff of former Board</w:t>
      </w:r>
      <w:r>
        <w:tab/>
      </w:r>
      <w:r>
        <w:fldChar w:fldCharType="begin"/>
      </w:r>
      <w:r>
        <w:instrText xml:space="preserve"> PAGEREF _Toc413403689 \h </w:instrText>
      </w:r>
      <w:r>
        <w:fldChar w:fldCharType="separate"/>
      </w:r>
      <w:r>
        <w:t>96</w:t>
      </w:r>
      <w:r>
        <w:fldChar w:fldCharType="end"/>
      </w:r>
    </w:p>
    <w:p>
      <w:pPr>
        <w:pStyle w:val="TOC8"/>
        <w:rPr>
          <w:rFonts w:asciiTheme="minorHAnsi" w:eastAsiaTheme="minorEastAsia" w:hAnsiTheme="minorHAnsi" w:cstheme="minorBidi"/>
          <w:szCs w:val="22"/>
        </w:rPr>
      </w:pPr>
      <w:r>
        <w:t>135.</w:t>
      </w:r>
      <w:r>
        <w:tab/>
        <w:t>Transitional regulations</w:t>
      </w:r>
      <w:r>
        <w:tab/>
      </w:r>
      <w:r>
        <w:fldChar w:fldCharType="begin"/>
      </w:r>
      <w:r>
        <w:instrText xml:space="preserve"> PAGEREF _Toc413403690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rPr>
          <w:rFonts w:eastAsia="MS Mincho"/>
        </w:rPr>
        <w:t>Schedule 1 — Grant of licence</w:t>
      </w:r>
    </w:p>
    <w:p>
      <w:pPr>
        <w:pStyle w:val="TOC4"/>
        <w:tabs>
          <w:tab w:val="right" w:leader="dot" w:pos="7077"/>
        </w:tabs>
        <w:rPr>
          <w:rFonts w:asciiTheme="minorHAnsi" w:eastAsiaTheme="minorEastAsia" w:hAnsiTheme="minorHAnsi" w:cstheme="minorBidi"/>
          <w:b w:val="0"/>
          <w:szCs w:val="22"/>
        </w:rPr>
      </w:pPr>
      <w:r>
        <w:rPr>
          <w:rFonts w:eastAsia="MS Mincho"/>
        </w:rPr>
        <w:t>Division 1</w:t>
      </w:r>
      <w:r>
        <w:rPr>
          <w:rFonts w:eastAsia="MS Mincho"/>
          <w:b w:val="0"/>
        </w:rPr>
        <w:t> — </w:t>
      </w:r>
      <w:r>
        <w:rPr>
          <w:rFonts w:eastAsia="MS Mincho"/>
        </w:rPr>
        <w:t>Qualifications</w:t>
      </w:r>
    </w:p>
    <w:p>
      <w:pPr>
        <w:pStyle w:val="TOC8"/>
        <w:rPr>
          <w:rFonts w:asciiTheme="minorHAnsi" w:eastAsiaTheme="minorEastAsia" w:hAnsiTheme="minorHAnsi" w:cstheme="minorBidi"/>
          <w:szCs w:val="22"/>
        </w:rPr>
      </w:pPr>
      <w:r>
        <w:t>1</w:t>
      </w:r>
      <w:r>
        <w:rPr>
          <w:snapToGrid w:val="0"/>
        </w:rPr>
        <w:t>.</w:t>
      </w:r>
      <w:r>
        <w:rPr>
          <w:snapToGrid w:val="0"/>
        </w:rPr>
        <w:tab/>
        <w:t>Real estate settlement agent</w:t>
      </w:r>
      <w:r>
        <w:tab/>
      </w:r>
      <w:r>
        <w:fldChar w:fldCharType="begin"/>
      </w:r>
      <w:r>
        <w:instrText xml:space="preserve"> PAGEREF _Toc413403693 \h </w:instrText>
      </w:r>
      <w:r>
        <w:fldChar w:fldCharType="separate"/>
      </w:r>
      <w:r>
        <w:t>98</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_Toc413403694 \h </w:instrText>
      </w:r>
      <w:r>
        <w:fldChar w:fldCharType="separate"/>
      </w:r>
      <w:r>
        <w:t>99</w:t>
      </w:r>
      <w:r>
        <w:fldChar w:fldCharType="end"/>
      </w:r>
    </w:p>
    <w:p>
      <w:pPr>
        <w:pStyle w:val="TOC8"/>
        <w:rPr>
          <w:rFonts w:asciiTheme="minorHAnsi" w:eastAsiaTheme="minorEastAsia" w:hAnsiTheme="minorHAnsi" w:cstheme="minorBidi"/>
          <w:szCs w:val="22"/>
        </w:rPr>
      </w:pPr>
      <w:r>
        <w:t xml:space="preserve">3. </w:t>
      </w:r>
      <w:r>
        <w:tab/>
        <w:t>Licence by reason of qualification under cl. 1(1)(c) and 2(1)(c)</w:t>
      </w:r>
      <w:r>
        <w:tab/>
      </w:r>
      <w:r>
        <w:fldChar w:fldCharType="begin"/>
      </w:r>
      <w:r>
        <w:instrText xml:space="preserve"> PAGEREF _Toc413403695 \h </w:instrText>
      </w:r>
      <w:r>
        <w:fldChar w:fldCharType="separate"/>
      </w:r>
      <w:r>
        <w:t>100</w:t>
      </w:r>
      <w:r>
        <w:fldChar w:fldCharType="end"/>
      </w:r>
    </w:p>
    <w:p>
      <w:pPr>
        <w:pStyle w:val="TOC8"/>
        <w:rPr>
          <w:rFonts w:asciiTheme="minorHAnsi" w:eastAsiaTheme="minorEastAsia" w:hAnsiTheme="minorHAnsi" w:cstheme="minorBidi"/>
          <w:szCs w:val="22"/>
        </w:rPr>
      </w:pPr>
      <w:r>
        <w:t>4.</w:t>
      </w:r>
      <w:r>
        <w:tab/>
        <w:t>Licence by reason of qualification under cl. 1(1)(d) and 2(1)(d)</w:t>
      </w:r>
      <w:r>
        <w:tab/>
      </w:r>
      <w:r>
        <w:fldChar w:fldCharType="begin"/>
      </w:r>
      <w:r>
        <w:instrText xml:space="preserve"> PAGEREF _Toc413403696 \h </w:instrText>
      </w:r>
      <w:r>
        <w:fldChar w:fldCharType="separate"/>
      </w:r>
      <w:r>
        <w:t>100</w:t>
      </w:r>
      <w:r>
        <w:fldChar w:fldCharType="end"/>
      </w:r>
    </w:p>
    <w:p>
      <w:pPr>
        <w:pStyle w:val="TOC8"/>
        <w:rPr>
          <w:rFonts w:asciiTheme="minorHAnsi" w:eastAsiaTheme="minorEastAsia" w:hAnsiTheme="minorHAnsi" w:cstheme="minorBidi"/>
          <w:szCs w:val="22"/>
        </w:rPr>
      </w:pPr>
      <w:r>
        <w:t xml:space="preserve">5. </w:t>
      </w:r>
      <w:r>
        <w:tab/>
        <w:t>Dead or incapacitated licensee, conduct of business of</w:t>
      </w:r>
      <w:r>
        <w:tab/>
      </w:r>
      <w:r>
        <w:fldChar w:fldCharType="begin"/>
      </w:r>
      <w:r>
        <w:instrText xml:space="preserve"> PAGEREF _Toc413403697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rPr>
          <w:rFonts w:eastAsia="MS Mincho"/>
        </w:rPr>
        <w:t>Division 2</w:t>
      </w:r>
      <w:r>
        <w:rPr>
          <w:rFonts w:eastAsia="MS Mincho"/>
          <w:b w:val="0"/>
        </w:rPr>
        <w:t> — </w:t>
      </w:r>
      <w:r>
        <w:rPr>
          <w:rFonts w:eastAsia="MS Mincho"/>
        </w:rPr>
        <w:t>Disqualification</w:t>
      </w:r>
    </w:p>
    <w:p>
      <w:pPr>
        <w:pStyle w:val="TOC8"/>
        <w:rPr>
          <w:rFonts w:asciiTheme="minorHAnsi" w:eastAsiaTheme="minorEastAsia" w:hAnsiTheme="minorHAnsi" w:cstheme="minorBidi"/>
          <w:szCs w:val="22"/>
        </w:rPr>
      </w:pPr>
      <w:r>
        <w:t>6.</w:t>
      </w:r>
      <w:r>
        <w:tab/>
        <w:t>Term used: business licence</w:t>
      </w:r>
      <w:r>
        <w:tab/>
      </w:r>
      <w:r>
        <w:fldChar w:fldCharType="begin"/>
      </w:r>
      <w:r>
        <w:instrText xml:space="preserve"> PAGEREF _Toc413403699 \h </w:instrText>
      </w:r>
      <w:r>
        <w:fldChar w:fldCharType="separate"/>
      </w:r>
      <w:r>
        <w:t>101</w:t>
      </w:r>
      <w:r>
        <w:fldChar w:fldCharType="end"/>
      </w:r>
    </w:p>
    <w:p>
      <w:pPr>
        <w:pStyle w:val="TOC8"/>
        <w:rPr>
          <w:rFonts w:asciiTheme="minorHAnsi" w:eastAsiaTheme="minorEastAsia" w:hAnsiTheme="minorHAnsi" w:cstheme="minorBidi"/>
          <w:szCs w:val="22"/>
        </w:rPr>
      </w:pPr>
      <w:r>
        <w:t xml:space="preserve">7. </w:t>
      </w:r>
      <w:r>
        <w:tab/>
        <w:t>Natural persons, disqualification of</w:t>
      </w:r>
      <w:r>
        <w:tab/>
      </w:r>
      <w:r>
        <w:fldChar w:fldCharType="begin"/>
      </w:r>
      <w:r>
        <w:instrText xml:space="preserve"> PAGEREF _Toc413403700 \h </w:instrText>
      </w:r>
      <w:r>
        <w:fldChar w:fldCharType="separate"/>
      </w:r>
      <w:r>
        <w:t>101</w:t>
      </w:r>
      <w:r>
        <w:fldChar w:fldCharType="end"/>
      </w:r>
    </w:p>
    <w:p>
      <w:pPr>
        <w:pStyle w:val="TOC8"/>
        <w:rPr>
          <w:rFonts w:asciiTheme="minorHAnsi" w:eastAsiaTheme="minorEastAsia" w:hAnsiTheme="minorHAnsi" w:cstheme="minorBidi"/>
          <w:szCs w:val="22"/>
        </w:rPr>
      </w:pPr>
      <w:r>
        <w:t xml:space="preserve">8. </w:t>
      </w:r>
      <w:r>
        <w:tab/>
        <w:t>Bodies corporate, disqualification of</w:t>
      </w:r>
      <w:r>
        <w:tab/>
      </w:r>
      <w:r>
        <w:fldChar w:fldCharType="begin"/>
      </w:r>
      <w:r>
        <w:instrText xml:space="preserve"> PAGEREF _Toc413403701 \h </w:instrText>
      </w:r>
      <w:r>
        <w:fldChar w:fldCharType="separate"/>
      </w:r>
      <w:r>
        <w:t>102</w:t>
      </w:r>
      <w:r>
        <w:fldChar w:fldCharType="end"/>
      </w:r>
    </w:p>
    <w:p>
      <w:pPr>
        <w:pStyle w:val="TOC8"/>
        <w:rPr>
          <w:rFonts w:asciiTheme="minorHAnsi" w:eastAsiaTheme="minorEastAsia" w:hAnsiTheme="minorHAnsi" w:cstheme="minorBidi"/>
          <w:szCs w:val="22"/>
        </w:rPr>
      </w:pPr>
      <w:r>
        <w:t xml:space="preserve">9. </w:t>
      </w:r>
      <w:r>
        <w:tab/>
        <w:t>Firms, disqualification of</w:t>
      </w:r>
      <w:r>
        <w:tab/>
      </w:r>
      <w:r>
        <w:fldChar w:fldCharType="begin"/>
      </w:r>
      <w:r>
        <w:instrText xml:space="preserve"> PAGEREF _Toc413403702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3 — Temporary arrangements</w:t>
      </w:r>
    </w:p>
    <w:p>
      <w:pPr>
        <w:pStyle w:val="TOC8"/>
        <w:rPr>
          <w:rFonts w:asciiTheme="minorHAnsi" w:eastAsiaTheme="minorEastAsia" w:hAnsiTheme="minorHAnsi" w:cstheme="minorBidi"/>
          <w:szCs w:val="22"/>
        </w:rPr>
      </w:pPr>
      <w:r>
        <w:t xml:space="preserve">10. </w:t>
      </w:r>
      <w:r>
        <w:tab/>
        <w:t>Death or withdrawal of partner in firm or director of body corporate, Commissioner to be notified etc.</w:t>
      </w:r>
      <w:r>
        <w:tab/>
      </w:r>
      <w:r>
        <w:fldChar w:fldCharType="begin"/>
      </w:r>
      <w:r>
        <w:instrText xml:space="preserve"> PAGEREF _Toc413403704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Schedule 2 — Functions of a settlement agent</w:t>
      </w:r>
    </w:p>
    <w:p>
      <w:pPr>
        <w:pStyle w:val="TOC8"/>
        <w:rPr>
          <w:rFonts w:asciiTheme="minorHAnsi" w:eastAsiaTheme="minorEastAsia" w:hAnsiTheme="minorHAnsi" w:cstheme="minorBidi"/>
          <w:szCs w:val="22"/>
        </w:rPr>
      </w:pPr>
      <w:r>
        <w:t>1.</w:t>
      </w:r>
      <w:r>
        <w:tab/>
        <w:t>Real estate settlement agent</w:t>
      </w:r>
      <w:r>
        <w:tab/>
      </w:r>
      <w:r>
        <w:fldChar w:fldCharType="begin"/>
      </w:r>
      <w:r>
        <w:instrText xml:space="preserve"> PAGEREF _Toc413403706 \h </w:instrText>
      </w:r>
      <w:r>
        <w:fldChar w:fldCharType="separate"/>
      </w:r>
      <w:r>
        <w:t>104</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_Toc413403707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_Toc413403709 \h </w:instrText>
      </w:r>
      <w:r>
        <w:fldChar w:fldCharType="separate"/>
      </w:r>
      <w:r>
        <w:t>108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88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3" w:name="_Toc404159245"/>
      <w:bookmarkStart w:id="4" w:name="_Toc413403554"/>
      <w:r>
        <w:rPr>
          <w:rStyle w:val="CharPartNo"/>
        </w:rPr>
        <w:t>Part I</w:t>
      </w:r>
      <w:r>
        <w:rPr>
          <w:rStyle w:val="CharDivNo"/>
        </w:rPr>
        <w:t> </w:t>
      </w:r>
      <w:r>
        <w:t>—</w:t>
      </w:r>
      <w:r>
        <w:rPr>
          <w:rStyle w:val="CharDivText"/>
        </w:rPr>
        <w:t> </w:t>
      </w:r>
      <w:r>
        <w:rPr>
          <w:rStyle w:val="CharPartText"/>
        </w:rPr>
        <w:t>Preliminary</w:t>
      </w:r>
      <w:bookmarkEnd w:id="3"/>
      <w:bookmarkEnd w:id="4"/>
    </w:p>
    <w:p>
      <w:pPr>
        <w:pStyle w:val="Heading5"/>
        <w:rPr>
          <w:snapToGrid w:val="0"/>
        </w:rPr>
      </w:pPr>
      <w:bookmarkStart w:id="5" w:name="_Toc404159246"/>
      <w:bookmarkStart w:id="6" w:name="_Toc413403555"/>
      <w:r>
        <w:rPr>
          <w:rStyle w:val="CharSectno"/>
        </w:rPr>
        <w:t>1</w:t>
      </w:r>
      <w:r>
        <w:rPr>
          <w:snapToGrid w:val="0"/>
        </w:rPr>
        <w:t>.</w:t>
      </w:r>
      <w:r>
        <w:rPr>
          <w:snapToGrid w:val="0"/>
        </w:rPr>
        <w:tab/>
        <w:t>Short title</w:t>
      </w:r>
      <w:bookmarkEnd w:id="5"/>
      <w:bookmarkEnd w:id="6"/>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7" w:name="_Toc404159247"/>
      <w:bookmarkStart w:id="8" w:name="_Toc413403556"/>
      <w:r>
        <w:rPr>
          <w:rStyle w:val="CharSectno"/>
        </w:rPr>
        <w:t>2</w:t>
      </w:r>
      <w:r>
        <w:rPr>
          <w:snapToGrid w:val="0"/>
        </w:rPr>
        <w:t>.</w:t>
      </w:r>
      <w:r>
        <w:rPr>
          <w:snapToGrid w:val="0"/>
        </w:rPr>
        <w:tab/>
        <w:t>Commencement</w:t>
      </w:r>
      <w:bookmarkEnd w:id="7"/>
      <w:bookmarkEnd w:id="8"/>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9" w:name="_Toc404159248"/>
      <w:bookmarkStart w:id="10" w:name="_Toc413403557"/>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11" w:name="_Toc404159249"/>
      <w:bookmarkStart w:id="12" w:name="_Toc413403558"/>
      <w:r>
        <w:rPr>
          <w:rStyle w:val="CharSectno"/>
        </w:rPr>
        <w:t>4</w:t>
      </w:r>
      <w:r>
        <w:rPr>
          <w:snapToGrid w:val="0"/>
        </w:rPr>
        <w:t>.</w:t>
      </w:r>
      <w:r>
        <w:rPr>
          <w:snapToGrid w:val="0"/>
        </w:rPr>
        <w:tab/>
        <w:t>Term used: settlement agent</w:t>
      </w:r>
      <w:bookmarkEnd w:id="11"/>
      <w:bookmarkEnd w:id="12"/>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r>
        <w:tab/>
        <w:t>[Division 3 heading deleted by No. 58 of 2010 s. 137(3).]</w:t>
      </w:r>
    </w:p>
    <w:p>
      <w:pPr>
        <w:pStyle w:val="Ednotesection"/>
      </w:pPr>
      <w:r>
        <w:t>[</w:t>
      </w:r>
      <w:r>
        <w:rPr>
          <w:b/>
        </w:rPr>
        <w:t>19</w:t>
      </w:r>
      <w:r>
        <w:rPr>
          <w:b/>
        </w:rPr>
        <w:noBreakHyphen/>
        <w:t>21.</w:t>
      </w:r>
      <w:r>
        <w:tab/>
        <w:t>Deleted by No. 58 of 2010 s. 138.]</w:t>
      </w:r>
    </w:p>
    <w:p>
      <w:pPr>
        <w:pStyle w:val="Heading5"/>
      </w:pPr>
      <w:bookmarkStart w:id="13" w:name="_Toc404159250"/>
      <w:bookmarkStart w:id="14" w:name="_Toc413403559"/>
      <w:r>
        <w:rPr>
          <w:rStyle w:val="CharSectno"/>
        </w:rPr>
        <w:t>22</w:t>
      </w:r>
      <w:r>
        <w:t>.</w:t>
      </w:r>
      <w:r>
        <w:tab/>
        <w:t>Powers of investigation</w:t>
      </w:r>
      <w:bookmarkEnd w:id="13"/>
      <w:bookmarkEnd w:id="14"/>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15" w:name="_Toc404159251"/>
      <w:bookmarkStart w:id="16" w:name="_Toc413403560"/>
      <w:r>
        <w:rPr>
          <w:rStyle w:val="CharSectno"/>
        </w:rPr>
        <w:t>23</w:t>
      </w:r>
      <w:r>
        <w:rPr>
          <w:snapToGrid w:val="0"/>
        </w:rPr>
        <w:t>.</w:t>
      </w:r>
      <w:r>
        <w:rPr>
          <w:snapToGrid w:val="0"/>
        </w:rPr>
        <w:tab/>
        <w:t>Application for review by SAT</w:t>
      </w:r>
      <w:bookmarkEnd w:id="15"/>
      <w:bookmarkEnd w:id="16"/>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by No. 55 of 2004 s. 1084; amended by No. 77 of 2006 Sch. 1 cl. 156(2); No. 58 of 2010 s. 140 and 176; No. 23 of 2014 s. 98.]</w:t>
      </w:r>
    </w:p>
    <w:p>
      <w:pPr>
        <w:pStyle w:val="Heading2"/>
      </w:pPr>
      <w:bookmarkStart w:id="17" w:name="_Toc404159252"/>
      <w:bookmarkStart w:id="18" w:name="_Toc413403561"/>
      <w:r>
        <w:rPr>
          <w:rStyle w:val="CharPartNo"/>
        </w:rPr>
        <w:t>Part III</w:t>
      </w:r>
      <w:r>
        <w:rPr>
          <w:rStyle w:val="CharDivNo"/>
        </w:rPr>
        <w:t> </w:t>
      </w:r>
      <w:r>
        <w:t>—</w:t>
      </w:r>
      <w:r>
        <w:rPr>
          <w:rStyle w:val="CharDivText"/>
        </w:rPr>
        <w:t> </w:t>
      </w:r>
      <w:r>
        <w:rPr>
          <w:rStyle w:val="CharPartText"/>
        </w:rPr>
        <w:t>Licensing</w:t>
      </w:r>
      <w:bookmarkEnd w:id="17"/>
      <w:bookmarkEnd w:id="18"/>
    </w:p>
    <w:p>
      <w:pPr>
        <w:pStyle w:val="Heading5"/>
        <w:spacing w:before="180"/>
        <w:rPr>
          <w:snapToGrid w:val="0"/>
        </w:rPr>
      </w:pPr>
      <w:bookmarkStart w:id="19" w:name="_Toc404159253"/>
      <w:bookmarkStart w:id="20" w:name="_Toc413403562"/>
      <w:r>
        <w:rPr>
          <w:rStyle w:val="CharSectno"/>
        </w:rPr>
        <w:t>24</w:t>
      </w:r>
      <w:r>
        <w:rPr>
          <w:snapToGrid w:val="0"/>
        </w:rPr>
        <w:t>.</w:t>
      </w:r>
      <w:r>
        <w:rPr>
          <w:snapToGrid w:val="0"/>
        </w:rPr>
        <w:tab/>
        <w:t>Applications for licences</w:t>
      </w:r>
      <w:bookmarkEnd w:id="19"/>
      <w:bookmarkEnd w:id="20"/>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w:t>
      </w:r>
      <w:r>
        <w:tab/>
        <w:t>deleted]</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 No. 23 of 2014 s. 99.]</w:t>
      </w:r>
    </w:p>
    <w:p>
      <w:pPr>
        <w:pStyle w:val="Ednotesection"/>
      </w:pPr>
      <w:r>
        <w:t>[</w:t>
      </w:r>
      <w:r>
        <w:rPr>
          <w:b/>
        </w:rPr>
        <w:t>25.</w:t>
      </w:r>
      <w:r>
        <w:tab/>
        <w:t>Deleted by No. 23 of 2014 s. 100.]</w:t>
      </w:r>
    </w:p>
    <w:p>
      <w:pPr>
        <w:pStyle w:val="Heading5"/>
        <w:rPr>
          <w:snapToGrid w:val="0"/>
        </w:rPr>
      </w:pPr>
      <w:bookmarkStart w:id="21" w:name="_Toc404159254"/>
      <w:bookmarkStart w:id="22" w:name="_Toc413403563"/>
      <w:r>
        <w:rPr>
          <w:rStyle w:val="CharSectno"/>
        </w:rPr>
        <w:t>26</w:t>
      </w:r>
      <w:r>
        <w:rPr>
          <w:snapToGrid w:val="0"/>
        </w:rPr>
        <w:t>.</w:t>
      </w:r>
      <w:r>
        <w:rPr>
          <w:snapToGrid w:val="0"/>
        </w:rPr>
        <w:tab/>
        <w:t>Settlement agents must be licensed</w:t>
      </w:r>
      <w:bookmarkEnd w:id="21"/>
      <w:bookmarkEnd w:id="22"/>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[Section 26 amended by No. 59 of 1995 s. 85.]</w:t>
      </w:r>
    </w:p>
    <w:p>
      <w:pPr>
        <w:pStyle w:val="Heading5"/>
        <w:spacing w:before="180"/>
        <w:rPr>
          <w:snapToGrid w:val="0"/>
        </w:rPr>
      </w:pPr>
      <w:bookmarkStart w:id="23" w:name="_Toc404159255"/>
      <w:bookmarkStart w:id="24" w:name="_Toc413403564"/>
      <w:r>
        <w:rPr>
          <w:rStyle w:val="CharSectno"/>
        </w:rPr>
        <w:t>26A</w:t>
      </w:r>
      <w:r>
        <w:rPr>
          <w:snapToGrid w:val="0"/>
        </w:rPr>
        <w:t xml:space="preserve">. </w:t>
      </w:r>
      <w:r>
        <w:rPr>
          <w:snapToGrid w:val="0"/>
        </w:rPr>
        <w:tab/>
        <w:t>Licensed real estate agent may be exempted for certain settlements</w:t>
      </w:r>
      <w:bookmarkEnd w:id="23"/>
      <w:bookmarkEnd w:id="24"/>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25" w:name="_Toc404159256"/>
      <w:bookmarkStart w:id="26" w:name="_Toc413403565"/>
      <w:r>
        <w:rPr>
          <w:rStyle w:val="CharSectno"/>
        </w:rPr>
        <w:t>26B</w:t>
      </w:r>
      <w:r>
        <w:rPr>
          <w:snapToGrid w:val="0"/>
        </w:rPr>
        <w:t xml:space="preserve">. </w:t>
      </w:r>
      <w:r>
        <w:rPr>
          <w:snapToGrid w:val="0"/>
        </w:rPr>
        <w:tab/>
        <w:t>Licensed business agent may be exempted for certain settlements</w:t>
      </w:r>
      <w:bookmarkEnd w:id="25"/>
      <w:bookmarkEnd w:id="26"/>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27" w:name="_Toc404159257"/>
      <w:bookmarkStart w:id="28" w:name="_Toc413403566"/>
      <w:r>
        <w:rPr>
          <w:rStyle w:val="CharSectno"/>
        </w:rPr>
        <w:t>27</w:t>
      </w:r>
      <w:r>
        <w:rPr>
          <w:snapToGrid w:val="0"/>
        </w:rPr>
        <w:t>.</w:t>
      </w:r>
      <w:r>
        <w:rPr>
          <w:snapToGrid w:val="0"/>
        </w:rPr>
        <w:tab/>
        <w:t>Natural persons, licensing of</w:t>
      </w:r>
      <w:bookmarkEnd w:id="27"/>
      <w:bookmarkEnd w:id="28"/>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he is of or over the age of 18 years; and</w:t>
      </w:r>
    </w:p>
    <w:p>
      <w:pPr>
        <w:pStyle w:val="Indenta"/>
        <w:rPr>
          <w:snapToGrid w:val="0"/>
        </w:rPr>
      </w:pPr>
      <w:r>
        <w:rPr>
          <w:snapToGrid w:val="0"/>
        </w:rPr>
        <w:tab/>
        <w:t>(b)</w:t>
      </w:r>
      <w:r>
        <w:rPr>
          <w:snapToGrid w:val="0"/>
        </w:rPr>
        <w:tab/>
        <w:t>he is a person of good character and repute and a fit and proper person to hold a licence; and</w:t>
      </w:r>
    </w:p>
    <w:p>
      <w:pPr>
        <w:pStyle w:val="Indenta"/>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29" w:name="_Toc404159258"/>
      <w:bookmarkStart w:id="30" w:name="_Toc413403567"/>
      <w:r>
        <w:rPr>
          <w:rStyle w:val="CharSectno"/>
        </w:rPr>
        <w:t>28</w:t>
      </w:r>
      <w:r>
        <w:rPr>
          <w:snapToGrid w:val="0"/>
        </w:rPr>
        <w:t>.</w:t>
      </w:r>
      <w:r>
        <w:rPr>
          <w:snapToGrid w:val="0"/>
        </w:rPr>
        <w:tab/>
        <w:t>Firms, licensing of</w:t>
      </w:r>
      <w:bookmarkEnd w:id="29"/>
      <w:bookmarkEnd w:id="30"/>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31" w:name="_Toc404159259"/>
      <w:bookmarkStart w:id="32" w:name="_Toc413403568"/>
      <w:r>
        <w:rPr>
          <w:rStyle w:val="CharSectno"/>
        </w:rPr>
        <w:t>29</w:t>
      </w:r>
      <w:r>
        <w:rPr>
          <w:snapToGrid w:val="0"/>
        </w:rPr>
        <w:t>.</w:t>
      </w:r>
      <w:r>
        <w:rPr>
          <w:snapToGrid w:val="0"/>
        </w:rPr>
        <w:tab/>
        <w:t>Bodies corporate, licensing of</w:t>
      </w:r>
      <w:bookmarkEnd w:id="31"/>
      <w:bookmarkEnd w:id="32"/>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33" w:name="_Toc404159260"/>
      <w:bookmarkStart w:id="34" w:name="_Toc413403569"/>
      <w:r>
        <w:rPr>
          <w:rStyle w:val="CharSectno"/>
        </w:rPr>
        <w:t>30</w:t>
      </w:r>
      <w:r>
        <w:rPr>
          <w:snapToGrid w:val="0"/>
        </w:rPr>
        <w:t>.</w:t>
      </w:r>
      <w:r>
        <w:rPr>
          <w:snapToGrid w:val="0"/>
        </w:rPr>
        <w:tab/>
        <w:t>Licence, effect of</w:t>
      </w:r>
      <w:bookmarkEnd w:id="33"/>
      <w:bookmarkEnd w:id="34"/>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35" w:name="_Toc404159261"/>
      <w:bookmarkStart w:id="36" w:name="_Toc413403570"/>
      <w:r>
        <w:rPr>
          <w:rStyle w:val="CharSectno"/>
        </w:rPr>
        <w:t>31</w:t>
      </w:r>
      <w:r>
        <w:rPr>
          <w:snapToGrid w:val="0"/>
        </w:rPr>
        <w:t>.</w:t>
      </w:r>
      <w:r>
        <w:rPr>
          <w:snapToGrid w:val="0"/>
        </w:rPr>
        <w:tab/>
        <w:t>Triennial certificates, grant and renewal of</w:t>
      </w:r>
      <w:bookmarkEnd w:id="35"/>
      <w:bookmarkEnd w:id="36"/>
    </w:p>
    <w:p>
      <w:pPr>
        <w:pStyle w:val="Subsection"/>
        <w:spacing w:before="140"/>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spacing w:before="60"/>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spacing w:before="60"/>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spacing w:before="140"/>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spacing w:before="60"/>
        <w:rPr>
          <w:snapToGrid w:val="0"/>
        </w:rPr>
      </w:pPr>
      <w:r>
        <w:rPr>
          <w:snapToGrid w:val="0"/>
        </w:rPr>
        <w:tab/>
        <w:t>(a)</w:t>
      </w:r>
      <w:r>
        <w:rPr>
          <w:snapToGrid w:val="0"/>
        </w:rPr>
        <w:tab/>
        <w:t>by the licensee, if the licensee is a person other than a firm or a body corporate; or</w:t>
      </w:r>
    </w:p>
    <w:p>
      <w:pPr>
        <w:pStyle w:val="Indenta"/>
        <w:spacing w:before="60"/>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The Commissioner may refuse to renew a licensee’s triennial certificate if —</w:t>
      </w:r>
    </w:p>
    <w:p>
      <w:pPr>
        <w:pStyle w:val="Indenta"/>
      </w:pPr>
      <w:r>
        <w:tab/>
        <w:t>(a)</w:t>
      </w:r>
      <w:r>
        <w:tab/>
        <w:t>the Commissioner is satisfied that section 27(1)(b), (c), (d) or (e), 28(1)(a), (b), (c) or (d) or 29(1)(a), (b), (c) or (d), as is relevant to the licensee, does not apply, or no longer applies, in relation to the licensee; or</w:t>
      </w:r>
    </w:p>
    <w:p>
      <w:pPr>
        <w:pStyle w:val="Indenta"/>
      </w:pPr>
      <w:r>
        <w:tab/>
        <w:t>(b)</w:t>
      </w:r>
      <w:r>
        <w:tab/>
        <w:t>the licensee has not met prescribed educational requirements.</w:t>
      </w:r>
    </w:p>
    <w:p>
      <w:pPr>
        <w:pStyle w:val="Subsection"/>
        <w:spacing w:before="140"/>
        <w:rPr>
          <w:snapToGrid w:val="0"/>
        </w:rPr>
      </w:pPr>
      <w:r>
        <w:rPr>
          <w:snapToGrid w:val="0"/>
        </w:rPr>
        <w:tab/>
        <w:t>(3)</w:t>
      </w:r>
      <w:r>
        <w:rPr>
          <w:snapToGrid w:val="0"/>
        </w:rPr>
        <w:tab/>
        <w:t>At all times during the currency of the triennial certificate —</w:t>
      </w:r>
    </w:p>
    <w:p>
      <w:pPr>
        <w:pStyle w:val="Indenta"/>
        <w:spacing w:before="60"/>
        <w:rPr>
          <w:snapToGrid w:val="0"/>
        </w:rPr>
      </w:pPr>
      <w:r>
        <w:rPr>
          <w:snapToGrid w:val="0"/>
        </w:rPr>
        <w:tab/>
        <w:t>(a)</w:t>
      </w:r>
      <w:r>
        <w:rPr>
          <w:snapToGrid w:val="0"/>
        </w:rPr>
        <w:tab/>
        <w:t>if the licensee is a person other than a firm or body corporate, that person; or</w:t>
      </w:r>
    </w:p>
    <w:p>
      <w:pPr>
        <w:pStyle w:val="Indenta"/>
        <w:spacing w:before="60"/>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spacing w:before="80"/>
        <w:ind w:left="890" w:hanging="890"/>
      </w:pPr>
      <w:r>
        <w:tab/>
        <w:t>[Section 31 amended by No. 62 of 1996 s. 4; No. 58 of 2010 s. 176; No. 23 of 2014 s. 101.]</w:t>
      </w:r>
    </w:p>
    <w:p>
      <w:pPr>
        <w:pStyle w:val="Heading5"/>
        <w:rPr>
          <w:snapToGrid w:val="0"/>
        </w:rPr>
      </w:pPr>
      <w:bookmarkStart w:id="37" w:name="_Toc404159262"/>
      <w:bookmarkStart w:id="38" w:name="_Toc413403571"/>
      <w:r>
        <w:rPr>
          <w:rStyle w:val="CharSectno"/>
        </w:rPr>
        <w:t>32</w:t>
      </w:r>
      <w:r>
        <w:rPr>
          <w:snapToGrid w:val="0"/>
        </w:rPr>
        <w:t>.</w:t>
      </w:r>
      <w:r>
        <w:rPr>
          <w:snapToGrid w:val="0"/>
        </w:rPr>
        <w:tab/>
        <w:t>Triennial certificates, late renewal of</w:t>
      </w:r>
      <w:bookmarkEnd w:id="37"/>
      <w:bookmarkEnd w:id="38"/>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39" w:name="_Toc404159263"/>
      <w:bookmarkStart w:id="40" w:name="_Toc413403572"/>
      <w:r>
        <w:rPr>
          <w:rStyle w:val="CharSectno"/>
        </w:rPr>
        <w:t>33</w:t>
      </w:r>
      <w:r>
        <w:rPr>
          <w:snapToGrid w:val="0"/>
        </w:rPr>
        <w:t>.</w:t>
      </w:r>
      <w:r>
        <w:rPr>
          <w:snapToGrid w:val="0"/>
        </w:rPr>
        <w:tab/>
        <w:t>Triennial certificates expired for over a year, applications to renew</w:t>
      </w:r>
      <w:bookmarkEnd w:id="39"/>
      <w:bookmarkEnd w:id="40"/>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by No. 58 of 2010 s. 143 and 176.]</w:t>
      </w:r>
    </w:p>
    <w:p>
      <w:pPr>
        <w:pStyle w:val="Heading5"/>
        <w:spacing w:before="180"/>
        <w:rPr>
          <w:snapToGrid w:val="0"/>
        </w:rPr>
      </w:pPr>
      <w:bookmarkStart w:id="41" w:name="_Toc404159264"/>
      <w:bookmarkStart w:id="42" w:name="_Toc413403573"/>
      <w:r>
        <w:rPr>
          <w:rStyle w:val="CharSectno"/>
        </w:rPr>
        <w:t>34</w:t>
      </w:r>
      <w:r>
        <w:rPr>
          <w:snapToGrid w:val="0"/>
        </w:rPr>
        <w:t>.</w:t>
      </w:r>
      <w:r>
        <w:rPr>
          <w:snapToGrid w:val="0"/>
        </w:rPr>
        <w:tab/>
        <w:t>Conditions on licences and triennial certificates</w:t>
      </w:r>
      <w:bookmarkEnd w:id="41"/>
      <w:bookmarkEnd w:id="42"/>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r>
        <w:tab/>
        <w:t>[Section 34 amended by No. 55 of 2004 s. 1086; No. 77 of 2006 Sch. 1 cl. 156(2); No. 58 of 2010 s. 176.]</w:t>
      </w:r>
    </w:p>
    <w:p>
      <w:pPr>
        <w:pStyle w:val="Heading5"/>
      </w:pPr>
      <w:bookmarkStart w:id="43" w:name="_Toc404159265"/>
      <w:bookmarkStart w:id="44" w:name="_Toc413403574"/>
      <w:r>
        <w:rPr>
          <w:rStyle w:val="CharSectno"/>
        </w:rPr>
        <w:t>34A</w:t>
      </w:r>
      <w:r>
        <w:rPr>
          <w:snapToGrid w:val="0"/>
        </w:rPr>
        <w:t>.</w:t>
      </w:r>
      <w:r>
        <w:tab/>
        <w:t>Commissioner may grant licence or triennial certificate without notice to applicant</w:t>
      </w:r>
      <w:bookmarkEnd w:id="43"/>
      <w:bookmarkEnd w:id="44"/>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spacing w:before="90"/>
        <w:ind w:left="890" w:hanging="890"/>
      </w:pPr>
      <w:r>
        <w:tab/>
        <w:t>[Section 34A inserted by No. 55 of 2004 s. 1087; amended by No. 58 of 2010 s. 144 and 176; No. 23 of 2014 s. 102.]</w:t>
      </w:r>
    </w:p>
    <w:p>
      <w:pPr>
        <w:pStyle w:val="Heading5"/>
      </w:pPr>
      <w:bookmarkStart w:id="45" w:name="_Toc404159266"/>
      <w:bookmarkStart w:id="46" w:name="_Toc413403575"/>
      <w:r>
        <w:rPr>
          <w:rStyle w:val="CharSectno"/>
        </w:rPr>
        <w:t>34B</w:t>
      </w:r>
      <w:r>
        <w:t>.</w:t>
      </w:r>
      <w:r>
        <w:tab/>
        <w:t>SAT may suspend licence in some cases</w:t>
      </w:r>
      <w:bookmarkEnd w:id="45"/>
      <w:bookmarkEnd w:id="46"/>
    </w:p>
    <w:p>
      <w:pPr>
        <w:pStyle w:val="Subsection"/>
        <w:spacing w:before="140"/>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4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90"/>
        <w:ind w:left="890" w:hanging="890"/>
      </w:pPr>
      <w:r>
        <w:tab/>
        <w:t>[Section 34B inserted by No. 55 of 2004 s. 1087.]</w:t>
      </w:r>
    </w:p>
    <w:p>
      <w:pPr>
        <w:pStyle w:val="Heading5"/>
        <w:rPr>
          <w:snapToGrid w:val="0"/>
        </w:rPr>
      </w:pPr>
      <w:bookmarkStart w:id="47" w:name="_Toc404159267"/>
      <w:bookmarkStart w:id="48" w:name="_Toc413403576"/>
      <w:r>
        <w:rPr>
          <w:rStyle w:val="CharSectno"/>
        </w:rPr>
        <w:t>35</w:t>
      </w:r>
      <w:r>
        <w:rPr>
          <w:snapToGrid w:val="0"/>
        </w:rPr>
        <w:t>.</w:t>
      </w:r>
      <w:r>
        <w:rPr>
          <w:snapToGrid w:val="0"/>
        </w:rPr>
        <w:tab/>
        <w:t>Fidelity insurance and professional indemnity insurance for licensees</w:t>
      </w:r>
      <w:bookmarkEnd w:id="47"/>
      <w:bookmarkEnd w:id="48"/>
    </w:p>
    <w:p>
      <w:pPr>
        <w:pStyle w:val="Subsection"/>
        <w:spacing w:before="14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40"/>
        <w:rPr>
          <w:snapToGrid w:val="0"/>
        </w:rPr>
      </w:pPr>
      <w:r>
        <w:rPr>
          <w:snapToGrid w:val="0"/>
        </w:rPr>
        <w:tab/>
        <w:t>(2)</w:t>
      </w:r>
      <w:r>
        <w:rPr>
          <w:snapToGrid w:val="0"/>
        </w:rPr>
        <w:tab/>
        <w:t>An arrangement in terms of subsection (1) may include provision with respect to any one or more of the following matters —</w:t>
      </w:r>
    </w:p>
    <w:p>
      <w:pPr>
        <w:pStyle w:val="Indenta"/>
        <w:rPr>
          <w:snapToGrid w:val="0"/>
        </w:rPr>
      </w:pPr>
      <w:r>
        <w:rPr>
          <w:snapToGrid w:val="0"/>
        </w:rPr>
        <w:tab/>
        <w:t>(a)</w:t>
      </w:r>
      <w:r>
        <w:rPr>
          <w:snapToGrid w:val="0"/>
        </w:rPr>
        <w:tab/>
        <w:t>the terms and conditions of the fidelity insurance and professional indemnity insurance; and</w:t>
      </w:r>
    </w:p>
    <w:p>
      <w:pPr>
        <w:pStyle w:val="Indenta"/>
        <w:rPr>
          <w:snapToGrid w:val="0"/>
        </w:rPr>
      </w:pPr>
      <w:r>
        <w:rPr>
          <w:snapToGrid w:val="0"/>
        </w:rPr>
        <w:tab/>
        <w:t>(b)</w:t>
      </w:r>
      <w:r>
        <w:rPr>
          <w:snapToGrid w:val="0"/>
        </w:rPr>
        <w:tab/>
        <w:t>subject to subsection (3), the amount or amounts of insurance cover to be provided; and</w:t>
      </w:r>
    </w:p>
    <w:p>
      <w:pPr>
        <w:pStyle w:val="Indenta"/>
        <w:spacing w:before="70"/>
        <w:rPr>
          <w:snapToGrid w:val="0"/>
        </w:rPr>
      </w:pPr>
      <w:r>
        <w:rPr>
          <w:snapToGrid w:val="0"/>
        </w:rPr>
        <w:tab/>
        <w:t>(c)</w:t>
      </w:r>
      <w:r>
        <w:rPr>
          <w:snapToGrid w:val="0"/>
        </w:rPr>
        <w:tab/>
        <w:t>the amount or amounts payable by way of premiums; and</w:t>
      </w:r>
    </w:p>
    <w:p>
      <w:pPr>
        <w:pStyle w:val="Indenta"/>
        <w:spacing w:before="70"/>
        <w:rPr>
          <w:snapToGrid w:val="0"/>
        </w:rPr>
      </w:pPr>
      <w:r>
        <w:rPr>
          <w:snapToGrid w:val="0"/>
        </w:rPr>
        <w:tab/>
        <w:t>(d)</w:t>
      </w:r>
      <w:r>
        <w:rPr>
          <w:snapToGrid w:val="0"/>
        </w:rPr>
        <w:tab/>
        <w:t>the period during which the insurance is to be provided; and</w:t>
      </w:r>
    </w:p>
    <w:p>
      <w:pPr>
        <w:pStyle w:val="Indenta"/>
        <w:spacing w:before="70"/>
        <w:rPr>
          <w:snapToGrid w:val="0"/>
        </w:rPr>
      </w:pPr>
      <w:r>
        <w:rPr>
          <w:snapToGrid w:val="0"/>
        </w:rPr>
        <w:tab/>
        <w:t>(e)</w:t>
      </w:r>
      <w:r>
        <w:rPr>
          <w:snapToGrid w:val="0"/>
        </w:rPr>
        <w:tab/>
        <w:t>the issue of certificates of insurance to licensees and the form of those certificates; and</w:t>
      </w:r>
    </w:p>
    <w:p>
      <w:pPr>
        <w:pStyle w:val="Indenta"/>
        <w:spacing w:before="7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49" w:name="_Toc404159268"/>
      <w:bookmarkStart w:id="50" w:name="_Toc413403577"/>
      <w:r>
        <w:rPr>
          <w:rStyle w:val="CharSectno"/>
        </w:rPr>
        <w:t>36</w:t>
      </w:r>
      <w:r>
        <w:rPr>
          <w:snapToGrid w:val="0"/>
        </w:rPr>
        <w:t>.</w:t>
      </w:r>
      <w:r>
        <w:rPr>
          <w:snapToGrid w:val="0"/>
        </w:rPr>
        <w:tab/>
        <w:t>Licensees to notify Commissioner of certain changes</w:t>
      </w:r>
      <w:bookmarkEnd w:id="49"/>
      <w:bookmarkEnd w:id="50"/>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 No. 23 of 2014 s. 103.]</w:t>
      </w:r>
    </w:p>
    <w:p>
      <w:pPr>
        <w:pStyle w:val="Heading5"/>
        <w:rPr>
          <w:snapToGrid w:val="0"/>
        </w:rPr>
      </w:pPr>
      <w:bookmarkStart w:id="51" w:name="_Toc404159269"/>
      <w:bookmarkStart w:id="52" w:name="_Toc413403578"/>
      <w:r>
        <w:rPr>
          <w:rStyle w:val="CharSectno"/>
        </w:rPr>
        <w:t>37</w:t>
      </w:r>
      <w:r>
        <w:rPr>
          <w:snapToGrid w:val="0"/>
        </w:rPr>
        <w:t>.</w:t>
      </w:r>
      <w:r>
        <w:rPr>
          <w:snapToGrid w:val="0"/>
        </w:rPr>
        <w:tab/>
        <w:t>Registered office of licensee</w:t>
      </w:r>
      <w:bookmarkEnd w:id="51"/>
      <w:bookmarkEnd w:id="52"/>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53" w:name="_Toc404159270"/>
      <w:bookmarkStart w:id="54" w:name="_Toc413403579"/>
      <w:r>
        <w:rPr>
          <w:rStyle w:val="CharSectno"/>
        </w:rPr>
        <w:t>38</w:t>
      </w:r>
      <w:r>
        <w:rPr>
          <w:snapToGrid w:val="0"/>
        </w:rPr>
        <w:t>.</w:t>
      </w:r>
      <w:r>
        <w:rPr>
          <w:snapToGrid w:val="0"/>
        </w:rPr>
        <w:tab/>
        <w:t>Branch office of licensee</w:t>
      </w:r>
      <w:bookmarkEnd w:id="53"/>
      <w:bookmarkEnd w:id="54"/>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55" w:name="_Toc404159271"/>
      <w:bookmarkStart w:id="56" w:name="_Toc413403580"/>
      <w:r>
        <w:rPr>
          <w:rStyle w:val="CharSectno"/>
        </w:rPr>
        <w:t>39</w:t>
      </w:r>
      <w:r>
        <w:rPr>
          <w:snapToGrid w:val="0"/>
        </w:rPr>
        <w:t>.</w:t>
      </w:r>
      <w:r>
        <w:rPr>
          <w:snapToGrid w:val="0"/>
        </w:rPr>
        <w:tab/>
        <w:t>Triennial certificates, contents of</w:t>
      </w:r>
      <w:bookmarkEnd w:id="55"/>
      <w:bookmarkEnd w:id="56"/>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57" w:name="_Toc404159272"/>
      <w:bookmarkStart w:id="58" w:name="_Toc413403581"/>
      <w:r>
        <w:rPr>
          <w:rStyle w:val="CharSectno"/>
        </w:rPr>
        <w:t>40</w:t>
      </w:r>
      <w:r>
        <w:rPr>
          <w:snapToGrid w:val="0"/>
        </w:rPr>
        <w:t>.</w:t>
      </w:r>
      <w:r>
        <w:rPr>
          <w:snapToGrid w:val="0"/>
        </w:rPr>
        <w:tab/>
        <w:t>Licence and triennial certificate not transferable etc.</w:t>
      </w:r>
      <w:bookmarkEnd w:id="57"/>
      <w:bookmarkEnd w:id="58"/>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pPr>
      <w:bookmarkStart w:id="59" w:name="_Toc404159273"/>
      <w:bookmarkStart w:id="60" w:name="_Toc413403582"/>
      <w:r>
        <w:rPr>
          <w:rStyle w:val="CharSectno"/>
        </w:rPr>
        <w:t>41A</w:t>
      </w:r>
      <w:r>
        <w:t>.</w:t>
      </w:r>
      <w:r>
        <w:tab/>
        <w:t>Duplicate licence or triennial certificate</w:t>
      </w:r>
      <w:bookmarkEnd w:id="59"/>
      <w:bookmarkEnd w:id="60"/>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by No. 23 of 2014 s. 104.]</w:t>
      </w:r>
    </w:p>
    <w:p>
      <w:pPr>
        <w:pStyle w:val="Heading5"/>
        <w:rPr>
          <w:snapToGrid w:val="0"/>
        </w:rPr>
      </w:pPr>
      <w:bookmarkStart w:id="61" w:name="_Toc404159274"/>
      <w:bookmarkStart w:id="62" w:name="_Toc413403583"/>
      <w:r>
        <w:rPr>
          <w:rStyle w:val="CharSectno"/>
        </w:rPr>
        <w:t>41</w:t>
      </w:r>
      <w:r>
        <w:rPr>
          <w:snapToGrid w:val="0"/>
        </w:rPr>
        <w:t>.</w:t>
      </w:r>
      <w:r>
        <w:rPr>
          <w:snapToGrid w:val="0"/>
        </w:rPr>
        <w:tab/>
        <w:t>Use of business names by licensees</w:t>
      </w:r>
      <w:bookmarkEnd w:id="61"/>
      <w:bookmarkEnd w:id="62"/>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63" w:name="_Toc404159275"/>
      <w:bookmarkStart w:id="64" w:name="_Toc413403584"/>
      <w:r>
        <w:rPr>
          <w:rStyle w:val="CharSectno"/>
        </w:rPr>
        <w:t>42</w:t>
      </w:r>
      <w:r>
        <w:rPr>
          <w:snapToGrid w:val="0"/>
        </w:rPr>
        <w:t>.</w:t>
      </w:r>
      <w:r>
        <w:rPr>
          <w:snapToGrid w:val="0"/>
        </w:rPr>
        <w:tab/>
        <w:t>Notices to be exhibited at offices; particulars to appear on documents</w:t>
      </w:r>
      <w:bookmarkEnd w:id="63"/>
      <w:bookmarkEnd w:id="64"/>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65" w:name="_Toc404159276"/>
      <w:bookmarkStart w:id="66" w:name="_Toc413403585"/>
      <w:r>
        <w:rPr>
          <w:rStyle w:val="CharPartNo"/>
        </w:rPr>
        <w:t>Part IV</w:t>
      </w:r>
      <w:r>
        <w:t> — </w:t>
      </w:r>
      <w:r>
        <w:rPr>
          <w:rStyle w:val="CharPartText"/>
        </w:rPr>
        <w:t>Controls</w:t>
      </w:r>
      <w:bookmarkEnd w:id="65"/>
      <w:bookmarkEnd w:id="66"/>
    </w:p>
    <w:p>
      <w:pPr>
        <w:pStyle w:val="Heading3"/>
      </w:pPr>
      <w:bookmarkStart w:id="67" w:name="_Toc404159277"/>
      <w:bookmarkStart w:id="68" w:name="_Toc413403586"/>
      <w:r>
        <w:rPr>
          <w:rStyle w:val="CharDivNo"/>
        </w:rPr>
        <w:t>Division 1</w:t>
      </w:r>
      <w:r>
        <w:rPr>
          <w:snapToGrid w:val="0"/>
        </w:rPr>
        <w:t> — </w:t>
      </w:r>
      <w:r>
        <w:rPr>
          <w:rStyle w:val="CharDivText"/>
        </w:rPr>
        <w:t>General</w:t>
      </w:r>
      <w:bookmarkEnd w:id="67"/>
      <w:bookmarkEnd w:id="68"/>
    </w:p>
    <w:p>
      <w:pPr>
        <w:pStyle w:val="Heading5"/>
        <w:rPr>
          <w:snapToGrid w:val="0"/>
        </w:rPr>
      </w:pPr>
      <w:bookmarkStart w:id="69" w:name="_Toc404159278"/>
      <w:bookmarkStart w:id="70" w:name="_Toc413403587"/>
      <w:r>
        <w:rPr>
          <w:rStyle w:val="CharSectno"/>
        </w:rPr>
        <w:t>43</w:t>
      </w:r>
      <w:r>
        <w:rPr>
          <w:snapToGrid w:val="0"/>
        </w:rPr>
        <w:t>.</w:t>
      </w:r>
      <w:r>
        <w:rPr>
          <w:snapToGrid w:val="0"/>
        </w:rPr>
        <w:tab/>
        <w:t>Remuneration of settlement agents</w:t>
      </w:r>
      <w:bookmarkEnd w:id="69"/>
      <w:bookmarkEnd w:id="70"/>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71" w:name="_Toc404159279"/>
      <w:bookmarkStart w:id="72" w:name="_Toc413403588"/>
      <w:r>
        <w:rPr>
          <w:rStyle w:val="CharSectno"/>
        </w:rPr>
        <w:t>44</w:t>
      </w:r>
      <w:r>
        <w:rPr>
          <w:snapToGrid w:val="0"/>
        </w:rPr>
        <w:t>.</w:t>
      </w:r>
      <w:r>
        <w:rPr>
          <w:snapToGrid w:val="0"/>
        </w:rPr>
        <w:tab/>
        <w:t>Maximum remuneration, disputes over remuneration etc.</w:t>
      </w:r>
      <w:bookmarkEnd w:id="71"/>
      <w:bookmarkEnd w:id="72"/>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73" w:name="_Toc404159280"/>
      <w:bookmarkStart w:id="74" w:name="_Toc413403589"/>
      <w:r>
        <w:rPr>
          <w:rStyle w:val="CharSectno"/>
        </w:rPr>
        <w:t>45</w:t>
      </w:r>
      <w:r>
        <w:rPr>
          <w:snapToGrid w:val="0"/>
        </w:rPr>
        <w:t>.</w:t>
      </w:r>
      <w:r>
        <w:rPr>
          <w:snapToGrid w:val="0"/>
        </w:rPr>
        <w:tab/>
        <w:t>Records and premises, licensees’ duties as to</w:t>
      </w:r>
      <w:bookmarkEnd w:id="73"/>
      <w:bookmarkEnd w:id="74"/>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75" w:name="_Toc404159281"/>
      <w:bookmarkStart w:id="76" w:name="_Toc413403590"/>
      <w:r>
        <w:rPr>
          <w:rStyle w:val="CharSectno"/>
        </w:rPr>
        <w:t>46</w:t>
      </w:r>
      <w:r>
        <w:rPr>
          <w:snapToGrid w:val="0"/>
        </w:rPr>
        <w:t>.</w:t>
      </w:r>
      <w:r>
        <w:rPr>
          <w:snapToGrid w:val="0"/>
        </w:rPr>
        <w:tab/>
        <w:t>Real estate settlement agents, functions of</w:t>
      </w:r>
      <w:bookmarkEnd w:id="75"/>
      <w:bookmarkEnd w:id="76"/>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by No. 31 of 1997 s. 141; No. 65 of 2003 s. 66(3); No. 38 of 2005 s. 15; No. 21 of 2008 s. 704(3); No. 19 of 2010 s. 51; No. 2 of 2014 s. 57.]</w:t>
      </w:r>
    </w:p>
    <w:p>
      <w:pPr>
        <w:pStyle w:val="Heading5"/>
        <w:rPr>
          <w:snapToGrid w:val="0"/>
        </w:rPr>
      </w:pPr>
      <w:bookmarkStart w:id="77" w:name="_Toc404159282"/>
      <w:bookmarkStart w:id="78" w:name="_Toc413403591"/>
      <w:r>
        <w:rPr>
          <w:rStyle w:val="CharSectno"/>
        </w:rPr>
        <w:t>47</w:t>
      </w:r>
      <w:r>
        <w:rPr>
          <w:snapToGrid w:val="0"/>
        </w:rPr>
        <w:t>.</w:t>
      </w:r>
      <w:r>
        <w:rPr>
          <w:snapToGrid w:val="0"/>
        </w:rPr>
        <w:tab/>
        <w:t>Business settlement agents, functions of</w:t>
      </w:r>
      <w:bookmarkEnd w:id="77"/>
      <w:bookmarkEnd w:id="78"/>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79" w:name="_Toc404159283"/>
      <w:bookmarkStart w:id="80" w:name="_Toc413403592"/>
      <w:r>
        <w:rPr>
          <w:rStyle w:val="CharDivNo"/>
        </w:rPr>
        <w:t>Division 2</w:t>
      </w:r>
      <w:r>
        <w:rPr>
          <w:snapToGrid w:val="0"/>
        </w:rPr>
        <w:t> — </w:t>
      </w:r>
      <w:r>
        <w:rPr>
          <w:rStyle w:val="CharDivText"/>
        </w:rPr>
        <w:t>Trust accounts</w:t>
      </w:r>
      <w:bookmarkEnd w:id="79"/>
      <w:bookmarkEnd w:id="80"/>
    </w:p>
    <w:p>
      <w:pPr>
        <w:pStyle w:val="Heading5"/>
        <w:rPr>
          <w:snapToGrid w:val="0"/>
        </w:rPr>
      </w:pPr>
      <w:bookmarkStart w:id="81" w:name="_Toc404159284"/>
      <w:bookmarkStart w:id="82" w:name="_Toc413403593"/>
      <w:r>
        <w:rPr>
          <w:rStyle w:val="CharSectno"/>
        </w:rPr>
        <w:t>48</w:t>
      </w:r>
      <w:r>
        <w:rPr>
          <w:snapToGrid w:val="0"/>
        </w:rPr>
        <w:t>.</w:t>
      </w:r>
      <w:r>
        <w:rPr>
          <w:snapToGrid w:val="0"/>
        </w:rPr>
        <w:tab/>
        <w:t>Terms used</w:t>
      </w:r>
      <w:bookmarkEnd w:id="81"/>
      <w:bookmarkEnd w:id="82"/>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83" w:name="_Toc404159285"/>
      <w:bookmarkStart w:id="84" w:name="_Toc413403594"/>
      <w:r>
        <w:rPr>
          <w:rStyle w:val="CharSectno"/>
        </w:rPr>
        <w:t>49</w:t>
      </w:r>
      <w:r>
        <w:rPr>
          <w:snapToGrid w:val="0"/>
        </w:rPr>
        <w:t>.</w:t>
      </w:r>
      <w:r>
        <w:rPr>
          <w:snapToGrid w:val="0"/>
        </w:rPr>
        <w:tab/>
        <w:t>Trust accounts etc. of licensees</w:t>
      </w:r>
      <w:bookmarkEnd w:id="83"/>
      <w:bookmarkEnd w:id="84"/>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85" w:name="_Toc404159286"/>
      <w:bookmarkStart w:id="86" w:name="_Toc413403595"/>
      <w:r>
        <w:rPr>
          <w:rStyle w:val="CharSectno"/>
        </w:rPr>
        <w:t>49A</w:t>
      </w:r>
      <w:r>
        <w:rPr>
          <w:snapToGrid w:val="0"/>
        </w:rPr>
        <w:t>.</w:t>
      </w:r>
      <w:r>
        <w:rPr>
          <w:snapToGrid w:val="0"/>
        </w:rPr>
        <w:tab/>
        <w:t>Client may ask settlement agent for separate trust account</w:t>
      </w:r>
      <w:bookmarkEnd w:id="85"/>
      <w:bookmarkEnd w:id="86"/>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87" w:name="_Toc404159287"/>
      <w:bookmarkStart w:id="88" w:name="_Toc413403596"/>
      <w:r>
        <w:rPr>
          <w:rStyle w:val="CharSectno"/>
        </w:rPr>
        <w:t>49B</w:t>
      </w:r>
      <w:r>
        <w:rPr>
          <w:snapToGrid w:val="0"/>
        </w:rPr>
        <w:t xml:space="preserve">. </w:t>
      </w:r>
      <w:r>
        <w:rPr>
          <w:snapToGrid w:val="0"/>
        </w:rPr>
        <w:tab/>
        <w:t>Interest on trust accounts</w:t>
      </w:r>
      <w:bookmarkEnd w:id="87"/>
      <w:bookmarkEnd w:id="88"/>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89" w:name="_Toc404159288"/>
      <w:bookmarkStart w:id="90" w:name="_Toc413403597"/>
      <w:r>
        <w:rPr>
          <w:rStyle w:val="CharSectno"/>
        </w:rPr>
        <w:t>49C</w:t>
      </w:r>
      <w:r>
        <w:rPr>
          <w:snapToGrid w:val="0"/>
        </w:rPr>
        <w:t xml:space="preserve">. </w:t>
      </w:r>
      <w:r>
        <w:rPr>
          <w:snapToGrid w:val="0"/>
        </w:rPr>
        <w:tab/>
        <w:t>Settlement agents to give Commissioner information about trust accounts</w:t>
      </w:r>
      <w:bookmarkEnd w:id="89"/>
      <w:bookmarkEnd w:id="90"/>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91" w:name="_Toc404159289"/>
      <w:bookmarkStart w:id="92" w:name="_Toc413403598"/>
      <w:r>
        <w:rPr>
          <w:rStyle w:val="CharSectno"/>
        </w:rPr>
        <w:t>50</w:t>
      </w:r>
      <w:r>
        <w:rPr>
          <w:snapToGrid w:val="0"/>
        </w:rPr>
        <w:t>.</w:t>
      </w:r>
      <w:r>
        <w:rPr>
          <w:snapToGrid w:val="0"/>
        </w:rPr>
        <w:tab/>
        <w:t>Receipts, accounts etc. by settlement agents</w:t>
      </w:r>
      <w:bookmarkEnd w:id="91"/>
      <w:bookmarkEnd w:id="92"/>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93" w:name="_Toc404159290"/>
      <w:bookmarkStart w:id="94" w:name="_Toc413403599"/>
      <w:r>
        <w:rPr>
          <w:rStyle w:val="CharSectno"/>
        </w:rPr>
        <w:t>51</w:t>
      </w:r>
      <w:r>
        <w:rPr>
          <w:snapToGrid w:val="0"/>
        </w:rPr>
        <w:t>.</w:t>
      </w:r>
      <w:r>
        <w:rPr>
          <w:snapToGrid w:val="0"/>
        </w:rPr>
        <w:tab/>
        <w:t>Audits of trust accounts</w:t>
      </w:r>
      <w:bookmarkEnd w:id="93"/>
      <w:bookmarkEnd w:id="94"/>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95" w:name="_Toc404159291"/>
      <w:bookmarkStart w:id="96" w:name="_Toc413403600"/>
      <w:r>
        <w:rPr>
          <w:rStyle w:val="CharSectno"/>
        </w:rPr>
        <w:t>52</w:t>
      </w:r>
      <w:r>
        <w:rPr>
          <w:snapToGrid w:val="0"/>
        </w:rPr>
        <w:t>.</w:t>
      </w:r>
      <w:r>
        <w:rPr>
          <w:snapToGrid w:val="0"/>
        </w:rPr>
        <w:tab/>
        <w:t>Date of audit, Commissioner may change</w:t>
      </w:r>
      <w:bookmarkEnd w:id="95"/>
      <w:bookmarkEnd w:id="96"/>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97" w:name="_Toc404159292"/>
      <w:bookmarkStart w:id="98" w:name="_Toc413403601"/>
      <w:r>
        <w:rPr>
          <w:rStyle w:val="CharSectno"/>
        </w:rPr>
        <w:t>53</w:t>
      </w:r>
      <w:r>
        <w:rPr>
          <w:snapToGrid w:val="0"/>
        </w:rPr>
        <w:t>.</w:t>
      </w:r>
      <w:r>
        <w:rPr>
          <w:snapToGrid w:val="0"/>
        </w:rPr>
        <w:tab/>
        <w:t>Auditors, qualification and approval of</w:t>
      </w:r>
      <w:bookmarkEnd w:id="97"/>
      <w:bookmarkEnd w:id="98"/>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 No. 58 of 2010 s. 176.]</w:t>
      </w:r>
    </w:p>
    <w:p>
      <w:pPr>
        <w:pStyle w:val="Heading5"/>
        <w:rPr>
          <w:snapToGrid w:val="0"/>
        </w:rPr>
      </w:pPr>
      <w:bookmarkStart w:id="99" w:name="_Toc404159293"/>
      <w:bookmarkStart w:id="100" w:name="_Toc413403602"/>
      <w:r>
        <w:rPr>
          <w:rStyle w:val="CharSectno"/>
        </w:rPr>
        <w:t>54</w:t>
      </w:r>
      <w:r>
        <w:rPr>
          <w:snapToGrid w:val="0"/>
        </w:rPr>
        <w:t>.</w:t>
      </w:r>
      <w:r>
        <w:rPr>
          <w:snapToGrid w:val="0"/>
        </w:rPr>
        <w:tab/>
        <w:t>Auditors, appointment of</w:t>
      </w:r>
      <w:bookmarkEnd w:id="99"/>
      <w:bookmarkEnd w:id="100"/>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101" w:name="_Toc404159294"/>
      <w:bookmarkStart w:id="102" w:name="_Toc413403603"/>
      <w:r>
        <w:rPr>
          <w:rStyle w:val="CharSectno"/>
        </w:rPr>
        <w:t>55</w:t>
      </w:r>
      <w:r>
        <w:rPr>
          <w:snapToGrid w:val="0"/>
        </w:rPr>
        <w:t>.</w:t>
      </w:r>
      <w:r>
        <w:rPr>
          <w:snapToGrid w:val="0"/>
        </w:rPr>
        <w:tab/>
        <w:t>Audit of business carried on at more than one place, directions as to</w:t>
      </w:r>
      <w:bookmarkEnd w:id="101"/>
      <w:bookmarkEnd w:id="102"/>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spacing w:before="120"/>
        <w:rPr>
          <w:snapToGrid w:val="0"/>
        </w:rPr>
      </w:pPr>
      <w:bookmarkStart w:id="103" w:name="_Toc404159295"/>
      <w:bookmarkStart w:id="104" w:name="_Toc413403604"/>
      <w:r>
        <w:rPr>
          <w:rStyle w:val="CharSectno"/>
        </w:rPr>
        <w:t>56</w:t>
      </w:r>
      <w:r>
        <w:rPr>
          <w:snapToGrid w:val="0"/>
        </w:rPr>
        <w:t>.</w:t>
      </w:r>
      <w:r>
        <w:rPr>
          <w:snapToGrid w:val="0"/>
        </w:rPr>
        <w:tab/>
        <w:t>Approvals etc. under this Division, Commissioner’s power to cancel etc.</w:t>
      </w:r>
      <w:bookmarkEnd w:id="103"/>
      <w:bookmarkEnd w:id="104"/>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r>
        <w:t>[</w:t>
      </w:r>
      <w:r>
        <w:rPr>
          <w:b/>
        </w:rPr>
        <w:t>57.</w:t>
      </w:r>
      <w:r>
        <w:tab/>
        <w:t>Deleted by No. 55 of 2004 s. 1088.]</w:t>
      </w:r>
    </w:p>
    <w:p>
      <w:pPr>
        <w:pStyle w:val="Heading5"/>
        <w:rPr>
          <w:snapToGrid w:val="0"/>
        </w:rPr>
      </w:pPr>
      <w:bookmarkStart w:id="105" w:name="_Toc404159296"/>
      <w:bookmarkStart w:id="106" w:name="_Toc413403605"/>
      <w:r>
        <w:rPr>
          <w:rStyle w:val="CharSectno"/>
        </w:rPr>
        <w:t>58</w:t>
      </w:r>
      <w:r>
        <w:rPr>
          <w:snapToGrid w:val="0"/>
        </w:rPr>
        <w:t>.</w:t>
      </w:r>
      <w:r>
        <w:rPr>
          <w:snapToGrid w:val="0"/>
        </w:rPr>
        <w:tab/>
        <w:t>Audits, settlement agents’ duties and auditors’ powers as to</w:t>
      </w:r>
      <w:bookmarkEnd w:id="105"/>
      <w:bookmarkEnd w:id="106"/>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107" w:name="_Toc404159297"/>
      <w:bookmarkStart w:id="108" w:name="_Toc413403606"/>
      <w:r>
        <w:rPr>
          <w:rStyle w:val="CharSectno"/>
        </w:rPr>
        <w:t>59</w:t>
      </w:r>
      <w:r>
        <w:rPr>
          <w:snapToGrid w:val="0"/>
        </w:rPr>
        <w:t>.</w:t>
      </w:r>
      <w:r>
        <w:rPr>
          <w:snapToGrid w:val="0"/>
        </w:rPr>
        <w:tab/>
        <w:t>Audits, bankers’ duties as to</w:t>
      </w:r>
      <w:bookmarkEnd w:id="107"/>
      <w:bookmarkEnd w:id="108"/>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109" w:name="_Toc404159298"/>
      <w:bookmarkStart w:id="110" w:name="_Toc413403607"/>
      <w:r>
        <w:rPr>
          <w:rStyle w:val="CharSectno"/>
        </w:rPr>
        <w:t>60</w:t>
      </w:r>
      <w:r>
        <w:rPr>
          <w:snapToGrid w:val="0"/>
        </w:rPr>
        <w:t>.</w:t>
      </w:r>
      <w:r>
        <w:rPr>
          <w:snapToGrid w:val="0"/>
        </w:rPr>
        <w:tab/>
        <w:t>Auditors’ reports, content of</w:t>
      </w:r>
      <w:bookmarkEnd w:id="109"/>
      <w:bookmarkEnd w:id="110"/>
    </w:p>
    <w:p>
      <w:pPr>
        <w:pStyle w:val="Subsection"/>
        <w:spacing w:before="140"/>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spacing w:before="60"/>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spacing w:before="60"/>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spacing w:before="60"/>
        <w:rPr>
          <w:snapToGrid w:val="0"/>
        </w:rPr>
      </w:pPr>
      <w:r>
        <w:rPr>
          <w:snapToGrid w:val="0"/>
        </w:rPr>
        <w:tab/>
        <w:t>(c)</w:t>
      </w:r>
      <w:r>
        <w:rPr>
          <w:snapToGrid w:val="0"/>
        </w:rPr>
        <w:tab/>
        <w:t>whether such settlement agent has complied with the auditor’s requirements; and</w:t>
      </w:r>
    </w:p>
    <w:p>
      <w:pPr>
        <w:pStyle w:val="Indenta"/>
        <w:spacing w:before="60"/>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60"/>
        <w:rPr>
          <w:snapToGrid w:val="0"/>
        </w:rPr>
      </w:pPr>
      <w:r>
        <w:rPr>
          <w:snapToGrid w:val="0"/>
        </w:rPr>
        <w:tab/>
        <w:t>[(e)</w:t>
      </w:r>
      <w:r>
        <w:rPr>
          <w:snapToGrid w:val="0"/>
        </w:rPr>
        <w:tab/>
        <w:t>deleted]</w:t>
      </w:r>
    </w:p>
    <w:p>
      <w:pPr>
        <w:pStyle w:val="Indenta"/>
        <w:spacing w:before="60"/>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111" w:name="_Toc404159299"/>
      <w:bookmarkStart w:id="112" w:name="_Toc413403608"/>
      <w:r>
        <w:rPr>
          <w:rStyle w:val="CharSectno"/>
        </w:rPr>
        <w:t>61</w:t>
      </w:r>
      <w:r>
        <w:rPr>
          <w:snapToGrid w:val="0"/>
        </w:rPr>
        <w:t>.</w:t>
      </w:r>
      <w:r>
        <w:rPr>
          <w:snapToGrid w:val="0"/>
        </w:rPr>
        <w:tab/>
        <w:t>Moneys etc. held on trust, statement of by settlement agents</w:t>
      </w:r>
      <w:bookmarkEnd w:id="111"/>
      <w:bookmarkEnd w:id="112"/>
    </w:p>
    <w:p>
      <w:pPr>
        <w:pStyle w:val="Subsection"/>
        <w:spacing w:before="14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113" w:name="_Toc404159300"/>
      <w:bookmarkStart w:id="114" w:name="_Toc413403609"/>
      <w:r>
        <w:rPr>
          <w:rStyle w:val="CharSectno"/>
        </w:rPr>
        <w:t>62</w:t>
      </w:r>
      <w:r>
        <w:rPr>
          <w:snapToGrid w:val="0"/>
        </w:rPr>
        <w:t>.</w:t>
      </w:r>
      <w:r>
        <w:rPr>
          <w:snapToGrid w:val="0"/>
        </w:rPr>
        <w:tab/>
        <w:t>Auditor’s report to report breaches of law etc.</w:t>
      </w:r>
      <w:bookmarkEnd w:id="113"/>
      <w:bookmarkEnd w:id="114"/>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115" w:name="_Toc404159301"/>
      <w:bookmarkStart w:id="116" w:name="_Toc413403610"/>
      <w:r>
        <w:rPr>
          <w:rStyle w:val="CharSectno"/>
        </w:rPr>
        <w:t>63</w:t>
      </w:r>
      <w:r>
        <w:rPr>
          <w:snapToGrid w:val="0"/>
        </w:rPr>
        <w:t>.</w:t>
      </w:r>
      <w:r>
        <w:rPr>
          <w:snapToGrid w:val="0"/>
        </w:rPr>
        <w:tab/>
        <w:t>Auditors’ duty of confidentiality</w:t>
      </w:r>
      <w:bookmarkEnd w:id="115"/>
      <w:bookmarkEnd w:id="116"/>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117" w:name="_Toc404159302"/>
      <w:bookmarkStart w:id="118" w:name="_Toc413403611"/>
      <w:r>
        <w:rPr>
          <w:rStyle w:val="CharSectno"/>
        </w:rPr>
        <w:t>64</w:t>
      </w:r>
      <w:r>
        <w:rPr>
          <w:snapToGrid w:val="0"/>
        </w:rPr>
        <w:t>.</w:t>
      </w:r>
      <w:r>
        <w:rPr>
          <w:snapToGrid w:val="0"/>
        </w:rPr>
        <w:tab/>
        <w:t>Right of some persons to information in auditors’ reports</w:t>
      </w:r>
      <w:bookmarkEnd w:id="117"/>
      <w:bookmarkEnd w:id="118"/>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119" w:name="_Toc404159303"/>
      <w:bookmarkStart w:id="120" w:name="_Toc413403612"/>
      <w:r>
        <w:rPr>
          <w:rStyle w:val="CharSectno"/>
        </w:rPr>
        <w:t>65</w:t>
      </w:r>
      <w:r>
        <w:rPr>
          <w:snapToGrid w:val="0"/>
        </w:rPr>
        <w:t>.</w:t>
      </w:r>
      <w:r>
        <w:rPr>
          <w:snapToGrid w:val="0"/>
        </w:rPr>
        <w:tab/>
        <w:t>Offences under this Division</w:t>
      </w:r>
      <w:bookmarkEnd w:id="119"/>
      <w:bookmarkEnd w:id="120"/>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121" w:name="_Toc404159304"/>
      <w:bookmarkStart w:id="122" w:name="_Toc413403613"/>
      <w:r>
        <w:rPr>
          <w:rStyle w:val="CharSectno"/>
        </w:rPr>
        <w:t>66</w:t>
      </w:r>
      <w:r>
        <w:rPr>
          <w:snapToGrid w:val="0"/>
        </w:rPr>
        <w:t>.</w:t>
      </w:r>
      <w:r>
        <w:rPr>
          <w:snapToGrid w:val="0"/>
        </w:rPr>
        <w:tab/>
        <w:t>Auditors’ remuneration</w:t>
      </w:r>
      <w:bookmarkEnd w:id="121"/>
      <w:bookmarkEnd w:id="122"/>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123" w:name="_Toc404159305"/>
      <w:bookmarkStart w:id="124" w:name="_Toc413403614"/>
      <w:r>
        <w:rPr>
          <w:rStyle w:val="CharSectno"/>
        </w:rPr>
        <w:t>67</w:t>
      </w:r>
      <w:r>
        <w:rPr>
          <w:snapToGrid w:val="0"/>
        </w:rPr>
        <w:t>.</w:t>
      </w:r>
      <w:r>
        <w:rPr>
          <w:snapToGrid w:val="0"/>
        </w:rPr>
        <w:tab/>
        <w:t>Settlement agents with no accounts to audit</w:t>
      </w:r>
      <w:bookmarkEnd w:id="123"/>
      <w:bookmarkEnd w:id="124"/>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125" w:name="_Toc404159306"/>
      <w:bookmarkStart w:id="126" w:name="_Toc413403615"/>
      <w:r>
        <w:rPr>
          <w:rStyle w:val="CharSectno"/>
        </w:rPr>
        <w:t>68</w:t>
      </w:r>
      <w:r>
        <w:rPr>
          <w:snapToGrid w:val="0"/>
        </w:rPr>
        <w:t>.</w:t>
      </w:r>
      <w:r>
        <w:rPr>
          <w:snapToGrid w:val="0"/>
        </w:rPr>
        <w:tab/>
        <w:t>Accounts of firm or body corporate or settlement agent with branch office, effect of audits as to</w:t>
      </w:r>
      <w:bookmarkEnd w:id="125"/>
      <w:bookmarkEnd w:id="126"/>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127" w:name="_Toc404159307"/>
      <w:bookmarkStart w:id="128" w:name="_Toc413403616"/>
      <w:r>
        <w:rPr>
          <w:rStyle w:val="CharSectno"/>
        </w:rPr>
        <w:t>69</w:t>
      </w:r>
      <w:r>
        <w:rPr>
          <w:snapToGrid w:val="0"/>
        </w:rPr>
        <w:t>.</w:t>
      </w:r>
      <w:r>
        <w:rPr>
          <w:snapToGrid w:val="0"/>
        </w:rPr>
        <w:tab/>
        <w:t>Audit of trust account, Commissioner may do</w:t>
      </w:r>
      <w:bookmarkEnd w:id="127"/>
      <w:bookmarkEnd w:id="128"/>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129" w:name="_Toc404159308"/>
      <w:bookmarkStart w:id="130" w:name="_Toc413403617"/>
      <w:r>
        <w:rPr>
          <w:rStyle w:val="CharSectno"/>
        </w:rPr>
        <w:t>70</w:t>
      </w:r>
      <w:r>
        <w:rPr>
          <w:snapToGrid w:val="0"/>
        </w:rPr>
        <w:t>.</w:t>
      </w:r>
      <w:r>
        <w:rPr>
          <w:snapToGrid w:val="0"/>
        </w:rPr>
        <w:tab/>
        <w:t>Settlement agent to allow Commissioner’s auditor etc. to inspect accounts etc.</w:t>
      </w:r>
      <w:bookmarkEnd w:id="129"/>
      <w:bookmarkEnd w:id="130"/>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131" w:name="_Toc404159309"/>
      <w:bookmarkStart w:id="132" w:name="_Toc413403618"/>
      <w:r>
        <w:rPr>
          <w:rStyle w:val="CharSectno"/>
        </w:rPr>
        <w:t>71</w:t>
      </w:r>
      <w:r>
        <w:rPr>
          <w:snapToGrid w:val="0"/>
        </w:rPr>
        <w:t>.</w:t>
      </w:r>
      <w:r>
        <w:rPr>
          <w:snapToGrid w:val="0"/>
        </w:rPr>
        <w:tab/>
        <w:t>Cost of audit done under s. 69</w:t>
      </w:r>
      <w:bookmarkEnd w:id="131"/>
      <w:bookmarkEnd w:id="132"/>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133" w:name="_Toc404159310"/>
      <w:bookmarkStart w:id="134" w:name="_Toc413403619"/>
      <w:r>
        <w:rPr>
          <w:rStyle w:val="CharSectno"/>
        </w:rPr>
        <w:t>72</w:t>
      </w:r>
      <w:r>
        <w:rPr>
          <w:snapToGrid w:val="0"/>
        </w:rPr>
        <w:t>.</w:t>
      </w:r>
      <w:r>
        <w:rPr>
          <w:snapToGrid w:val="0"/>
        </w:rPr>
        <w:tab/>
        <w:t>Application of s. 63 to certain persons</w:t>
      </w:r>
      <w:bookmarkEnd w:id="133"/>
      <w:bookmarkEnd w:id="134"/>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135" w:name="_Toc404159311"/>
      <w:bookmarkStart w:id="136" w:name="_Toc413403620"/>
      <w:r>
        <w:rPr>
          <w:rStyle w:val="CharSectno"/>
        </w:rPr>
        <w:t>73</w:t>
      </w:r>
      <w:r>
        <w:rPr>
          <w:snapToGrid w:val="0"/>
        </w:rPr>
        <w:t>.</w:t>
      </w:r>
      <w:r>
        <w:rPr>
          <w:snapToGrid w:val="0"/>
        </w:rPr>
        <w:tab/>
        <w:t>Restraining bank etc. from dealing with settlement agent’s account, SAT’s powers as to</w:t>
      </w:r>
      <w:bookmarkEnd w:id="135"/>
      <w:bookmarkEnd w:id="136"/>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137" w:name="_Toc404159312"/>
      <w:bookmarkStart w:id="138" w:name="_Toc413403621"/>
      <w:r>
        <w:rPr>
          <w:rStyle w:val="CharSectno"/>
        </w:rPr>
        <w:t>74</w:t>
      </w:r>
      <w:r>
        <w:rPr>
          <w:snapToGrid w:val="0"/>
        </w:rPr>
        <w:t>.</w:t>
      </w:r>
      <w:r>
        <w:rPr>
          <w:snapToGrid w:val="0"/>
        </w:rPr>
        <w:tab/>
        <w:t>Suspension of settlement agents, appointment of supervisors etc., SAT’s powers as to</w:t>
      </w:r>
      <w:bookmarkEnd w:id="137"/>
      <w:bookmarkEnd w:id="138"/>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139" w:name="_Toc404159313"/>
      <w:bookmarkStart w:id="140" w:name="_Toc413403622"/>
      <w:r>
        <w:rPr>
          <w:rStyle w:val="CharSectno"/>
        </w:rPr>
        <w:t>75</w:t>
      </w:r>
      <w:r>
        <w:rPr>
          <w:snapToGrid w:val="0"/>
        </w:rPr>
        <w:t>.</w:t>
      </w:r>
      <w:r>
        <w:rPr>
          <w:snapToGrid w:val="0"/>
        </w:rPr>
        <w:tab/>
        <w:t>Effect of s. 74 orders appointing supervisor</w:t>
      </w:r>
      <w:bookmarkEnd w:id="139"/>
      <w:bookmarkEnd w:id="140"/>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141" w:name="_Toc404159314"/>
      <w:bookmarkStart w:id="142" w:name="_Toc413403623"/>
      <w:r>
        <w:rPr>
          <w:rStyle w:val="CharSectno"/>
        </w:rPr>
        <w:t>76</w:t>
      </w:r>
      <w:r>
        <w:rPr>
          <w:snapToGrid w:val="0"/>
        </w:rPr>
        <w:t>.</w:t>
      </w:r>
      <w:r>
        <w:rPr>
          <w:snapToGrid w:val="0"/>
        </w:rPr>
        <w:tab/>
        <w:t>Supervisors’ duties</w:t>
      </w:r>
      <w:bookmarkEnd w:id="141"/>
      <w:bookmarkEnd w:id="142"/>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rPr>
          <w:snapToGrid w:val="0"/>
        </w:rPr>
      </w:pPr>
      <w:bookmarkStart w:id="143" w:name="_Toc404159315"/>
      <w:bookmarkStart w:id="144" w:name="_Toc413403624"/>
      <w:r>
        <w:rPr>
          <w:rStyle w:val="CharSectno"/>
        </w:rPr>
        <w:t>77</w:t>
      </w:r>
      <w:r>
        <w:rPr>
          <w:snapToGrid w:val="0"/>
        </w:rPr>
        <w:t>.</w:t>
      </w:r>
      <w:r>
        <w:rPr>
          <w:snapToGrid w:val="0"/>
        </w:rPr>
        <w:tab/>
        <w:t>Hindering etc. supervisors, offence</w:t>
      </w:r>
      <w:bookmarkEnd w:id="143"/>
      <w:bookmarkEnd w:id="144"/>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145" w:name="_Toc404159316"/>
      <w:bookmarkStart w:id="146" w:name="_Toc413403625"/>
      <w:r>
        <w:rPr>
          <w:rStyle w:val="CharSectno"/>
        </w:rPr>
        <w:t>78</w:t>
      </w:r>
      <w:r>
        <w:rPr>
          <w:snapToGrid w:val="0"/>
        </w:rPr>
        <w:t>.</w:t>
      </w:r>
      <w:r>
        <w:rPr>
          <w:snapToGrid w:val="0"/>
        </w:rPr>
        <w:tab/>
        <w:t>Discharge or variation of s. 73 or 74 order</w:t>
      </w:r>
      <w:bookmarkEnd w:id="145"/>
      <w:bookmarkEnd w:id="146"/>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147" w:name="_Toc404159317"/>
      <w:bookmarkStart w:id="148" w:name="_Toc413403626"/>
      <w:r>
        <w:rPr>
          <w:rStyle w:val="CharSectno"/>
        </w:rPr>
        <w:t>79</w:t>
      </w:r>
      <w:r>
        <w:rPr>
          <w:snapToGrid w:val="0"/>
        </w:rPr>
        <w:t>.</w:t>
      </w:r>
      <w:r>
        <w:rPr>
          <w:snapToGrid w:val="0"/>
        </w:rPr>
        <w:tab/>
        <w:t>SAT’s additional powers as to s. 73, 74 or 78 orders</w:t>
      </w:r>
      <w:bookmarkEnd w:id="147"/>
      <w:bookmarkEnd w:id="148"/>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spacing w:before="60"/>
        <w:rPr>
          <w:snapToGrid w:val="0"/>
        </w:rPr>
      </w:pPr>
      <w:r>
        <w:rPr>
          <w:snapToGrid w:val="0"/>
        </w:rPr>
        <w:tab/>
        <w:t>(a)</w:t>
      </w:r>
      <w:r>
        <w:rPr>
          <w:snapToGrid w:val="0"/>
        </w:rPr>
        <w:tab/>
        <w:t>discharging or varying any order so made; and</w:t>
      </w:r>
    </w:p>
    <w:p>
      <w:pPr>
        <w:pStyle w:val="Indenta"/>
        <w:spacing w:before="60"/>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spacing w:before="60"/>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spacing w:before="60"/>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149" w:name="_Toc404159318"/>
      <w:bookmarkStart w:id="150" w:name="_Toc413403627"/>
      <w:r>
        <w:rPr>
          <w:rStyle w:val="CharSectno"/>
        </w:rPr>
        <w:t>80</w:t>
      </w:r>
      <w:r>
        <w:rPr>
          <w:snapToGrid w:val="0"/>
        </w:rPr>
        <w:t>.</w:t>
      </w:r>
      <w:r>
        <w:rPr>
          <w:snapToGrid w:val="0"/>
        </w:rPr>
        <w:tab/>
        <w:t>Service of s. 73, 74, 78 and 79 orders; penalty for breach of</w:t>
      </w:r>
      <w:bookmarkEnd w:id="149"/>
      <w:bookmarkEnd w:id="150"/>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151" w:name="_Toc404159319"/>
      <w:bookmarkStart w:id="152" w:name="_Toc413403628"/>
      <w:r>
        <w:rPr>
          <w:rStyle w:val="CharSectno"/>
        </w:rPr>
        <w:t>81</w:t>
      </w:r>
      <w:r>
        <w:t>.</w:t>
      </w:r>
      <w:r>
        <w:tab/>
        <w:t>Banks etc., duty to disclose certain accounts etc. if required to by authorised person</w:t>
      </w:r>
      <w:bookmarkEnd w:id="151"/>
      <w:bookmarkEnd w:id="152"/>
    </w:p>
    <w:p>
      <w:pPr>
        <w:pStyle w:val="Subsection"/>
        <w:spacing w:before="180"/>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spacing w:before="280"/>
        <w:rPr>
          <w:snapToGrid w:val="0"/>
        </w:rPr>
      </w:pPr>
      <w:bookmarkStart w:id="153" w:name="_Toc404159320"/>
      <w:bookmarkStart w:id="154" w:name="_Toc413403629"/>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153"/>
      <w:bookmarkEnd w:id="154"/>
    </w:p>
    <w:p>
      <w:pPr>
        <w:pStyle w:val="Subsection"/>
        <w:spacing w:before="180"/>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spacing w:before="100"/>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0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spacing w:before="200"/>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120"/>
        <w:rPr>
          <w:snapToGrid w:val="0"/>
        </w:rPr>
      </w:pPr>
      <w:r>
        <w:rPr>
          <w:snapToGrid w:val="0"/>
        </w:rPr>
        <w:tab/>
        <w:t>(a)</w:t>
      </w:r>
      <w:r>
        <w:rPr>
          <w:snapToGrid w:val="0"/>
        </w:rPr>
        <w:tab/>
        <w:t>shall be given by notice in writing to the person required to give the information; and</w:t>
      </w:r>
    </w:p>
    <w:p>
      <w:pPr>
        <w:pStyle w:val="Indenta"/>
        <w:spacing w:before="120"/>
        <w:rPr>
          <w:snapToGrid w:val="0"/>
        </w:rPr>
      </w:pPr>
      <w:r>
        <w:rPr>
          <w:snapToGrid w:val="0"/>
        </w:rPr>
        <w:tab/>
        <w:t>(b)</w:t>
      </w:r>
      <w:r>
        <w:rPr>
          <w:snapToGrid w:val="0"/>
        </w:rPr>
        <w:tab/>
        <w:t>shall specify the time at or within which the information is to be given; and</w:t>
      </w:r>
    </w:p>
    <w:p>
      <w:pPr>
        <w:pStyle w:val="Indenta"/>
        <w:spacing w:before="120"/>
        <w:rPr>
          <w:snapToGrid w:val="0"/>
        </w:rPr>
      </w:pPr>
      <w:r>
        <w:rPr>
          <w:snapToGrid w:val="0"/>
        </w:rPr>
        <w:tab/>
        <w:t>(c)</w:t>
      </w:r>
      <w:r>
        <w:rPr>
          <w:snapToGrid w:val="0"/>
        </w:rPr>
        <w:tab/>
        <w:t>may, by its terms, require that the information be —</w:t>
      </w:r>
    </w:p>
    <w:p>
      <w:pPr>
        <w:pStyle w:val="Indenti"/>
        <w:spacing w:before="120"/>
        <w:rPr>
          <w:snapToGrid w:val="0"/>
        </w:rPr>
      </w:pPr>
      <w:r>
        <w:rPr>
          <w:snapToGrid w:val="0"/>
        </w:rPr>
        <w:tab/>
        <w:t>(i)</w:t>
      </w:r>
      <w:r>
        <w:rPr>
          <w:snapToGrid w:val="0"/>
        </w:rPr>
        <w:tab/>
        <w:t>given in writing; and</w:t>
      </w:r>
    </w:p>
    <w:p>
      <w:pPr>
        <w:pStyle w:val="Indenti"/>
        <w:spacing w:before="12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120"/>
        <w:rPr>
          <w:snapToGrid w:val="0"/>
        </w:rPr>
      </w:pPr>
      <w:r>
        <w:rPr>
          <w:snapToGrid w:val="0"/>
        </w:rPr>
        <w:tab/>
        <w:t>(iii)</w:t>
      </w:r>
      <w:r>
        <w:rPr>
          <w:snapToGrid w:val="0"/>
        </w:rPr>
        <w:tab/>
        <w:t>given at or sent or delivered to any place specified in the requirement; and</w:t>
      </w:r>
    </w:p>
    <w:p>
      <w:pPr>
        <w:pStyle w:val="Indenti"/>
        <w:spacing w:before="120"/>
        <w:rPr>
          <w:snapToGrid w:val="0"/>
        </w:rPr>
      </w:pPr>
      <w:r>
        <w:rPr>
          <w:snapToGrid w:val="0"/>
        </w:rPr>
        <w:tab/>
        <w:t>(iv)</w:t>
      </w:r>
      <w:r>
        <w:rPr>
          <w:snapToGrid w:val="0"/>
        </w:rPr>
        <w:tab/>
        <w:t>sent or delivered by any means specified in the requirement; and</w:t>
      </w:r>
    </w:p>
    <w:p>
      <w:pPr>
        <w:pStyle w:val="Indenti"/>
        <w:spacing w:before="120"/>
        <w:rPr>
          <w:snapToGrid w:val="0"/>
        </w:rPr>
      </w:pPr>
      <w:r>
        <w:rPr>
          <w:snapToGrid w:val="0"/>
        </w:rPr>
        <w:tab/>
        <w:t>(v)</w:t>
      </w:r>
      <w:r>
        <w:rPr>
          <w:snapToGrid w:val="0"/>
        </w:rPr>
        <w:tab/>
        <w:t>given on oath or affirmation or by statutory declaration;</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(d)</w:t>
      </w:r>
      <w:r>
        <w:rPr>
          <w:snapToGrid w:val="0"/>
        </w:rPr>
        <w:tab/>
        <w:t>shall state that the person to whom the notice is given is required under this Act to give the information.</w:t>
      </w:r>
    </w:p>
    <w:p>
      <w:pPr>
        <w:pStyle w:val="Subsection"/>
        <w:spacing w:before="200"/>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155" w:name="_Toc404159321"/>
      <w:bookmarkStart w:id="156" w:name="_Toc413403630"/>
      <w:r>
        <w:rPr>
          <w:rStyle w:val="CharDivNo"/>
        </w:rPr>
        <w:t>Division 3</w:t>
      </w:r>
      <w:r>
        <w:rPr>
          <w:snapToGrid w:val="0"/>
        </w:rPr>
        <w:t> — </w:t>
      </w:r>
      <w:r>
        <w:rPr>
          <w:rStyle w:val="CharDivText"/>
        </w:rPr>
        <w:t>Discipline</w:t>
      </w:r>
      <w:bookmarkEnd w:id="155"/>
      <w:bookmarkEnd w:id="156"/>
    </w:p>
    <w:p>
      <w:pPr>
        <w:pStyle w:val="Heading5"/>
        <w:rPr>
          <w:snapToGrid w:val="0"/>
        </w:rPr>
      </w:pPr>
      <w:bookmarkStart w:id="157" w:name="_Toc404159322"/>
      <w:bookmarkStart w:id="158" w:name="_Toc413403631"/>
      <w:r>
        <w:rPr>
          <w:rStyle w:val="CharSectno"/>
        </w:rPr>
        <w:t>82</w:t>
      </w:r>
      <w:r>
        <w:rPr>
          <w:snapToGrid w:val="0"/>
        </w:rPr>
        <w:t>.</w:t>
      </w:r>
      <w:r>
        <w:rPr>
          <w:snapToGrid w:val="0"/>
        </w:rPr>
        <w:tab/>
        <w:t>Code of conduct for settlement agents</w:t>
      </w:r>
      <w:bookmarkEnd w:id="157"/>
      <w:bookmarkEnd w:id="158"/>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159" w:name="_Toc404159323"/>
      <w:bookmarkStart w:id="160" w:name="_Toc413403632"/>
      <w:r>
        <w:rPr>
          <w:rStyle w:val="CharSectno"/>
        </w:rPr>
        <w:t>83</w:t>
      </w:r>
      <w:r>
        <w:rPr>
          <w:snapToGrid w:val="0"/>
        </w:rPr>
        <w:t>.</w:t>
      </w:r>
      <w:r>
        <w:rPr>
          <w:snapToGrid w:val="0"/>
        </w:rPr>
        <w:tab/>
        <w:t>Disciplinary action by SAT, alleging cause for</w:t>
      </w:r>
      <w:bookmarkEnd w:id="159"/>
      <w:bookmarkEnd w:id="160"/>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161" w:name="_Toc404159324"/>
      <w:bookmarkStart w:id="162" w:name="_Toc413403633"/>
      <w:r>
        <w:rPr>
          <w:rStyle w:val="CharSectno"/>
        </w:rPr>
        <w:t>84</w:t>
      </w:r>
      <w:r>
        <w:rPr>
          <w:snapToGrid w:val="0"/>
        </w:rPr>
        <w:t>.</w:t>
      </w:r>
      <w:r>
        <w:rPr>
          <w:snapToGrid w:val="0"/>
        </w:rPr>
        <w:tab/>
        <w:t>Disciplinary action, SAT’s powers as to</w:t>
      </w:r>
      <w:bookmarkEnd w:id="161"/>
      <w:bookmarkEnd w:id="162"/>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163" w:name="_Toc404159325"/>
      <w:bookmarkStart w:id="164" w:name="_Toc413403634"/>
      <w:r>
        <w:rPr>
          <w:rStyle w:val="CharSectno"/>
        </w:rPr>
        <w:t>85</w:t>
      </w:r>
      <w:r>
        <w:rPr>
          <w:snapToGrid w:val="0"/>
        </w:rPr>
        <w:t>.</w:t>
      </w:r>
      <w:r>
        <w:rPr>
          <w:snapToGrid w:val="0"/>
        </w:rPr>
        <w:tab/>
        <w:t>Offences that cause licence and triennial certificate to be cancelled</w:t>
      </w:r>
      <w:bookmarkEnd w:id="163"/>
      <w:bookmarkEnd w:id="164"/>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165" w:name="_Toc404159326"/>
      <w:bookmarkStart w:id="166" w:name="_Toc413403635"/>
      <w:r>
        <w:rPr>
          <w:rStyle w:val="CharSectno"/>
        </w:rPr>
        <w:t>86</w:t>
      </w:r>
      <w:r>
        <w:rPr>
          <w:snapToGrid w:val="0"/>
        </w:rPr>
        <w:t>.</w:t>
      </w:r>
      <w:r>
        <w:rPr>
          <w:snapToGrid w:val="0"/>
        </w:rPr>
        <w:tab/>
        <w:t>Persons with cancelled licences etc., offences by and in respect of</w:t>
      </w:r>
      <w:bookmarkEnd w:id="165"/>
      <w:bookmarkEnd w:id="166"/>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167" w:name="_Toc404159327"/>
      <w:bookmarkStart w:id="168" w:name="_Toc413403636"/>
      <w:r>
        <w:rPr>
          <w:rStyle w:val="CharPartNo"/>
        </w:rPr>
        <w:t>Part V</w:t>
      </w:r>
      <w:r>
        <w:rPr>
          <w:rStyle w:val="CharDivNo"/>
        </w:rPr>
        <w:t> </w:t>
      </w:r>
      <w:r>
        <w:t>—</w:t>
      </w:r>
      <w:r>
        <w:rPr>
          <w:rStyle w:val="CharDivText"/>
        </w:rPr>
        <w:t> </w:t>
      </w:r>
      <w:r>
        <w:rPr>
          <w:rStyle w:val="CharPartText"/>
        </w:rPr>
        <w:t>Fidelity Guarantee Account</w:t>
      </w:r>
      <w:bookmarkEnd w:id="167"/>
      <w:bookmarkEnd w:id="168"/>
    </w:p>
    <w:p>
      <w:pPr>
        <w:pStyle w:val="Footnoteheading"/>
      </w:pPr>
      <w:r>
        <w:tab/>
        <w:t>[Heading amended by No. 77 of 2006 Sch. 1 cl. 156(8).]</w:t>
      </w:r>
    </w:p>
    <w:p>
      <w:pPr>
        <w:pStyle w:val="Heading5"/>
      </w:pPr>
      <w:bookmarkStart w:id="169" w:name="_Toc404159328"/>
      <w:bookmarkStart w:id="170" w:name="_Toc413403637"/>
      <w:r>
        <w:rPr>
          <w:rStyle w:val="CharSectno"/>
        </w:rPr>
        <w:t>87</w:t>
      </w:r>
      <w:r>
        <w:t>.</w:t>
      </w:r>
      <w:r>
        <w:tab/>
        <w:t>Account established; administration of Account</w:t>
      </w:r>
      <w:bookmarkEnd w:id="169"/>
      <w:bookmarkEnd w:id="170"/>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171" w:name="_Toc404159329"/>
      <w:bookmarkStart w:id="172" w:name="_Toc413403638"/>
      <w:r>
        <w:rPr>
          <w:rStyle w:val="CharSectno"/>
        </w:rPr>
        <w:t>88</w:t>
      </w:r>
      <w:r>
        <w:rPr>
          <w:snapToGrid w:val="0"/>
        </w:rPr>
        <w:t>.</w:t>
      </w:r>
      <w:r>
        <w:rPr>
          <w:snapToGrid w:val="0"/>
        </w:rPr>
        <w:tab/>
        <w:t xml:space="preserve">Moneys to be credited to </w:t>
      </w:r>
      <w:r>
        <w:t>Account</w:t>
      </w:r>
      <w:bookmarkEnd w:id="171"/>
      <w:bookmarkEnd w:id="172"/>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173" w:name="_Toc404159330"/>
      <w:bookmarkStart w:id="174" w:name="_Toc413403639"/>
      <w:r>
        <w:rPr>
          <w:rStyle w:val="CharSectno"/>
        </w:rPr>
        <w:t>89</w:t>
      </w:r>
      <w:r>
        <w:rPr>
          <w:snapToGrid w:val="0"/>
        </w:rPr>
        <w:t>.</w:t>
      </w:r>
      <w:r>
        <w:rPr>
          <w:snapToGrid w:val="0"/>
        </w:rPr>
        <w:tab/>
        <w:t xml:space="preserve">Investment of moneys in </w:t>
      </w:r>
      <w:r>
        <w:t>Account</w:t>
      </w:r>
      <w:bookmarkEnd w:id="173"/>
      <w:bookmarkEnd w:id="174"/>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175" w:name="_Toc404159331"/>
      <w:bookmarkStart w:id="176" w:name="_Toc413403640"/>
      <w:r>
        <w:rPr>
          <w:rStyle w:val="CharSectno"/>
        </w:rPr>
        <w:t>90</w:t>
      </w:r>
      <w:r>
        <w:rPr>
          <w:snapToGrid w:val="0"/>
        </w:rPr>
        <w:t>.</w:t>
      </w:r>
      <w:r>
        <w:rPr>
          <w:snapToGrid w:val="0"/>
        </w:rPr>
        <w:tab/>
        <w:t xml:space="preserve">Expenditure from </w:t>
      </w:r>
      <w:r>
        <w:t>Account</w:t>
      </w:r>
      <w:bookmarkEnd w:id="175"/>
      <w:bookmarkEnd w:id="176"/>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177" w:name="_Toc404159332"/>
      <w:bookmarkStart w:id="178" w:name="_Toc413403641"/>
      <w:r>
        <w:rPr>
          <w:rStyle w:val="CharSectno"/>
        </w:rPr>
        <w:t>92</w:t>
      </w:r>
      <w:r>
        <w:rPr>
          <w:snapToGrid w:val="0"/>
        </w:rPr>
        <w:t>.</w:t>
      </w:r>
      <w:r>
        <w:rPr>
          <w:snapToGrid w:val="0"/>
        </w:rPr>
        <w:tab/>
        <w:t xml:space="preserve">Payments to </w:t>
      </w:r>
      <w:r>
        <w:t>Account by applicants for licences etc.</w:t>
      </w:r>
      <w:bookmarkEnd w:id="177"/>
      <w:bookmarkEnd w:id="178"/>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[Section 92 amended by No. 59 of 1995 s. 86; No. 77 of 2006 Sch. 1 cl. 156(2); No. 58 of 2010 s. 154.]</w:t>
      </w:r>
    </w:p>
    <w:p>
      <w:pPr>
        <w:pStyle w:val="Heading5"/>
        <w:rPr>
          <w:snapToGrid w:val="0"/>
        </w:rPr>
      </w:pPr>
      <w:bookmarkStart w:id="179" w:name="_Toc404159333"/>
      <w:bookmarkStart w:id="180" w:name="_Toc413403642"/>
      <w:r>
        <w:rPr>
          <w:rStyle w:val="CharSectno"/>
        </w:rPr>
        <w:t>93</w:t>
      </w:r>
      <w:r>
        <w:rPr>
          <w:snapToGrid w:val="0"/>
        </w:rPr>
        <w:t>.</w:t>
      </w:r>
      <w:r>
        <w:rPr>
          <w:snapToGrid w:val="0"/>
        </w:rPr>
        <w:tab/>
        <w:t xml:space="preserve">Purpose of </w:t>
      </w:r>
      <w:r>
        <w:t>Account; making claims against Account</w:t>
      </w:r>
      <w:bookmarkEnd w:id="179"/>
      <w:bookmarkEnd w:id="180"/>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(2A)</w:t>
      </w:r>
      <w:r>
        <w:tab/>
        <w:t>For the purposes of a claim against the Account, the reference in subsection (1) to any period when the licensee was the holder of a current triennial certificate includes a period when the licensee was not the holder of a current triennial certificate if the chief executive officer considers that it is just and reasonable in the circumstances of the claim.</w:t>
      </w:r>
    </w:p>
    <w:p>
      <w:pPr>
        <w:pStyle w:val="Subsection"/>
      </w:pPr>
      <w:r>
        <w:tab/>
        <w:t>(2)</w:t>
      </w:r>
      <w:r>
        <w:tab/>
        <w:t>The chief executive officer is to disallow a claim against the Account unless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the chief executive officer —</w:t>
      </w:r>
    </w:p>
    <w:p>
      <w:pPr>
        <w:pStyle w:val="Indenti"/>
        <w:spacing w:before="120"/>
      </w:pPr>
      <w:r>
        <w:tab/>
        <w:t>(i)</w:t>
      </w:r>
      <w:r>
        <w:tab/>
        <w:t>has been given notice in writing of the claim within 6 years after the day on which the claimant became aware of the defalcation; and</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 No. 23 of 2014 s. 105.]</w:t>
      </w:r>
    </w:p>
    <w:p>
      <w:pPr>
        <w:pStyle w:val="Heading5"/>
        <w:rPr>
          <w:snapToGrid w:val="0"/>
        </w:rPr>
      </w:pPr>
      <w:bookmarkStart w:id="181" w:name="_Toc404159334"/>
      <w:bookmarkStart w:id="182" w:name="_Toc413403643"/>
      <w:r>
        <w:rPr>
          <w:rStyle w:val="CharSectno"/>
        </w:rPr>
        <w:t>94</w:t>
      </w:r>
      <w:r>
        <w:rPr>
          <w:snapToGrid w:val="0"/>
        </w:rPr>
        <w:t>.</w:t>
      </w:r>
      <w:r>
        <w:rPr>
          <w:snapToGrid w:val="0"/>
        </w:rPr>
        <w:tab/>
        <w:t>Levies for Account against certificate holders</w:t>
      </w:r>
      <w:bookmarkEnd w:id="181"/>
      <w:bookmarkEnd w:id="182"/>
    </w:p>
    <w:p>
      <w:pPr>
        <w:pStyle w:val="Subsection"/>
        <w:spacing w:before="150"/>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spacing w:before="150"/>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spacing w:before="150"/>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183" w:name="_Toc404159335"/>
      <w:bookmarkStart w:id="184" w:name="_Toc413403644"/>
      <w:r>
        <w:rPr>
          <w:rStyle w:val="CharSectno"/>
        </w:rPr>
        <w:t>95</w:t>
      </w:r>
      <w:r>
        <w:rPr>
          <w:snapToGrid w:val="0"/>
        </w:rPr>
        <w:t>.</w:t>
      </w:r>
      <w:r>
        <w:rPr>
          <w:snapToGrid w:val="0"/>
        </w:rPr>
        <w:tab/>
        <w:t xml:space="preserve">Claims against </w:t>
      </w:r>
      <w:r>
        <w:t>Account; recovery from Account</w:t>
      </w:r>
      <w:bookmarkEnd w:id="183"/>
      <w:bookmarkEnd w:id="184"/>
    </w:p>
    <w:p>
      <w:pPr>
        <w:pStyle w:val="Subsection"/>
        <w:spacing w:before="140"/>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rPr>
          <w:snapToGrid w:val="0"/>
        </w:rPr>
      </w:pPr>
      <w:bookmarkStart w:id="185" w:name="_Toc404159336"/>
      <w:bookmarkStart w:id="186" w:name="_Toc413403645"/>
      <w:r>
        <w:rPr>
          <w:rStyle w:val="CharSectno"/>
        </w:rPr>
        <w:t>96</w:t>
      </w:r>
      <w:r>
        <w:rPr>
          <w:snapToGrid w:val="0"/>
        </w:rPr>
        <w:t>.</w:t>
      </w:r>
      <w:r>
        <w:rPr>
          <w:snapToGrid w:val="0"/>
        </w:rPr>
        <w:tab/>
        <w:t xml:space="preserve">Defences to claims against </w:t>
      </w:r>
      <w:r>
        <w:t>Account</w:t>
      </w:r>
      <w:bookmarkEnd w:id="185"/>
      <w:bookmarkEnd w:id="186"/>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by No. 77 of 2006 Sch. 1 cl. 156(2); No. 58 of 2010 s. 158.]</w:t>
      </w:r>
    </w:p>
    <w:p>
      <w:pPr>
        <w:pStyle w:val="Heading5"/>
        <w:rPr>
          <w:snapToGrid w:val="0"/>
        </w:rPr>
      </w:pPr>
      <w:bookmarkStart w:id="187" w:name="_Toc404159337"/>
      <w:bookmarkStart w:id="188" w:name="_Toc413403646"/>
      <w:r>
        <w:rPr>
          <w:rStyle w:val="CharSectno"/>
        </w:rPr>
        <w:t>97</w:t>
      </w:r>
      <w:r>
        <w:rPr>
          <w:snapToGrid w:val="0"/>
        </w:rPr>
        <w:t>.</w:t>
      </w:r>
      <w:r>
        <w:rPr>
          <w:snapToGrid w:val="0"/>
        </w:rPr>
        <w:tab/>
        <w:t>Subrogation of rights of claimant against Account</w:t>
      </w:r>
      <w:bookmarkEnd w:id="187"/>
      <w:bookmarkEnd w:id="188"/>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189" w:name="_Toc404159338"/>
      <w:bookmarkStart w:id="190" w:name="_Toc413403647"/>
      <w:r>
        <w:rPr>
          <w:rStyle w:val="CharSectno"/>
        </w:rPr>
        <w:t>98</w:t>
      </w:r>
      <w:r>
        <w:rPr>
          <w:snapToGrid w:val="0"/>
        </w:rPr>
        <w:t>.</w:t>
      </w:r>
      <w:r>
        <w:rPr>
          <w:snapToGrid w:val="0"/>
        </w:rPr>
        <w:tab/>
        <w:t xml:space="preserve">Insufficiency in </w:t>
      </w:r>
      <w:r>
        <w:t>Account</w:t>
      </w:r>
      <w:bookmarkEnd w:id="189"/>
      <w:bookmarkEnd w:id="190"/>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191" w:name="_Toc404159339"/>
      <w:bookmarkStart w:id="192" w:name="_Toc413403648"/>
      <w:r>
        <w:rPr>
          <w:rStyle w:val="CharSectno"/>
        </w:rPr>
        <w:t>99</w:t>
      </w:r>
      <w:r>
        <w:rPr>
          <w:snapToGrid w:val="0"/>
        </w:rPr>
        <w:t>.</w:t>
      </w:r>
      <w:r>
        <w:rPr>
          <w:snapToGrid w:val="0"/>
        </w:rPr>
        <w:tab/>
        <w:t>State may insure against claims</w:t>
      </w:r>
      <w:bookmarkEnd w:id="191"/>
      <w:bookmarkEnd w:id="192"/>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193" w:name="_Toc404159340"/>
      <w:bookmarkStart w:id="194" w:name="_Toc413403649"/>
      <w:r>
        <w:rPr>
          <w:rStyle w:val="CharSectno"/>
        </w:rPr>
        <w:t>100</w:t>
      </w:r>
      <w:r>
        <w:rPr>
          <w:snapToGrid w:val="0"/>
        </w:rPr>
        <w:t>.</w:t>
      </w:r>
      <w:r>
        <w:rPr>
          <w:snapToGrid w:val="0"/>
        </w:rPr>
        <w:tab/>
        <w:t>Application of insurance money</w:t>
      </w:r>
      <w:bookmarkEnd w:id="193"/>
      <w:bookmarkEnd w:id="194"/>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195" w:name="_Toc404159341"/>
      <w:bookmarkStart w:id="196" w:name="_Toc413403650"/>
      <w:r>
        <w:rPr>
          <w:rStyle w:val="CharSectno"/>
        </w:rPr>
        <w:t>101</w:t>
      </w:r>
      <w:r>
        <w:rPr>
          <w:snapToGrid w:val="0"/>
        </w:rPr>
        <w:t>.</w:t>
      </w:r>
      <w:r>
        <w:rPr>
          <w:snapToGrid w:val="0"/>
        </w:rPr>
        <w:tab/>
        <w:t>Advertising for claims in relation to defaulting licensee</w:t>
      </w:r>
      <w:bookmarkEnd w:id="195"/>
      <w:bookmarkEnd w:id="196"/>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r>
        <w:tab/>
        <w:t>[Section 101 amended by No. 77 of 2006 Sch. 1 cl. 156(2); No. 58 of 2010 s. 162.]</w:t>
      </w:r>
    </w:p>
    <w:p>
      <w:pPr>
        <w:pStyle w:val="Heading5"/>
        <w:rPr>
          <w:snapToGrid w:val="0"/>
        </w:rPr>
      </w:pPr>
      <w:bookmarkStart w:id="197" w:name="_Toc404159342"/>
      <w:bookmarkStart w:id="198" w:name="_Toc413403651"/>
      <w:r>
        <w:rPr>
          <w:rStyle w:val="CharSectno"/>
        </w:rPr>
        <w:t>102</w:t>
      </w:r>
      <w:r>
        <w:rPr>
          <w:snapToGrid w:val="0"/>
        </w:rPr>
        <w:t>.</w:t>
      </w:r>
      <w:r>
        <w:rPr>
          <w:snapToGrid w:val="0"/>
        </w:rPr>
        <w:tab/>
        <w:t>Documents etc. to support claims, CEO may require</w:t>
      </w:r>
      <w:bookmarkEnd w:id="197"/>
      <w:bookmarkEnd w:id="198"/>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5"/>
      </w:pPr>
      <w:bookmarkStart w:id="199" w:name="_Toc404159343"/>
      <w:bookmarkStart w:id="200" w:name="_Toc413403652"/>
      <w:r>
        <w:rPr>
          <w:rStyle w:val="CharSectno"/>
        </w:rPr>
        <w:t>102AA</w:t>
      </w:r>
      <w:r>
        <w:t>.</w:t>
      </w:r>
      <w:r>
        <w:tab/>
        <w:t>Commissioner may investigate claims against Fidelity Account</w:t>
      </w:r>
      <w:bookmarkEnd w:id="199"/>
      <w:bookmarkEnd w:id="200"/>
    </w:p>
    <w:p>
      <w:pPr>
        <w:pStyle w:val="Subsection"/>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pPr>
      <w:r>
        <w:tab/>
        <w:t>(2)</w:t>
      </w:r>
      <w:r>
        <w:tab/>
        <w:t>For the purposes of the investigation or inquiry, the administration of the Fidelity Account is taken to be a function of the Commissioner.</w:t>
      </w:r>
    </w:p>
    <w:p>
      <w:pPr>
        <w:pStyle w:val="Subsection"/>
      </w:pPr>
      <w:r>
        <w:tab/>
        <w:t>(3)</w:t>
      </w:r>
      <w:r>
        <w:tab/>
        <w:t>The Commissioner must, as soon as practicable after completing the investigation or inquiry, prepare a report on the findings of the investigation or inquiry and give it to the chief executive officer.</w:t>
      </w:r>
    </w:p>
    <w:p>
      <w:pPr>
        <w:pStyle w:val="Footnotesection"/>
      </w:pPr>
      <w:r>
        <w:tab/>
        <w:t>[Section 102AA inserted by No. 23 of 2014 s. 106.]</w:t>
      </w:r>
    </w:p>
    <w:p>
      <w:pPr>
        <w:pStyle w:val="Heading2"/>
      </w:pPr>
      <w:bookmarkStart w:id="201" w:name="_Toc404159344"/>
      <w:bookmarkStart w:id="202" w:name="_Toc413403653"/>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201"/>
      <w:bookmarkEnd w:id="202"/>
    </w:p>
    <w:p>
      <w:pPr>
        <w:pStyle w:val="Footnoteheading"/>
        <w:rPr>
          <w:snapToGrid w:val="0"/>
        </w:rPr>
      </w:pPr>
      <w:r>
        <w:rPr>
          <w:snapToGrid w:val="0"/>
        </w:rPr>
        <w:tab/>
        <w:t>[Heading inserted by No. 59 of 1995 s. 80; amended by No. 77 of 2006 Sch. 1 cl. 156(11).]</w:t>
      </w:r>
    </w:p>
    <w:p>
      <w:pPr>
        <w:pStyle w:val="Heading5"/>
        <w:rPr>
          <w:snapToGrid w:val="0"/>
        </w:rPr>
      </w:pPr>
      <w:bookmarkStart w:id="203" w:name="_Toc404159345"/>
      <w:bookmarkStart w:id="204" w:name="_Toc413403654"/>
      <w:r>
        <w:rPr>
          <w:rStyle w:val="CharSectno"/>
        </w:rPr>
        <w:t>102A</w:t>
      </w:r>
      <w:r>
        <w:rPr>
          <w:snapToGrid w:val="0"/>
        </w:rPr>
        <w:t xml:space="preserve">. </w:t>
      </w:r>
      <w:r>
        <w:rPr>
          <w:snapToGrid w:val="0"/>
        </w:rPr>
        <w:tab/>
        <w:t>Account established; administration of account</w:t>
      </w:r>
      <w:bookmarkEnd w:id="203"/>
      <w:bookmarkEnd w:id="204"/>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205" w:name="_Toc404159346"/>
      <w:bookmarkStart w:id="206" w:name="_Toc413403655"/>
      <w:r>
        <w:rPr>
          <w:rStyle w:val="CharSectno"/>
        </w:rPr>
        <w:t>102B</w:t>
      </w:r>
      <w:r>
        <w:rPr>
          <w:snapToGrid w:val="0"/>
        </w:rPr>
        <w:t xml:space="preserve">. </w:t>
      </w:r>
      <w:r>
        <w:rPr>
          <w:snapToGrid w:val="0"/>
        </w:rPr>
        <w:tab/>
        <w:t>Moneys to be credited to a</w:t>
      </w:r>
      <w:r>
        <w:t>ccount</w:t>
      </w:r>
      <w:bookmarkEnd w:id="205"/>
      <w:bookmarkEnd w:id="206"/>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207" w:name="_Toc404159347"/>
      <w:bookmarkStart w:id="208" w:name="_Toc413403656"/>
      <w:r>
        <w:rPr>
          <w:rStyle w:val="CharSectno"/>
        </w:rPr>
        <w:t>102C</w:t>
      </w:r>
      <w:r>
        <w:rPr>
          <w:snapToGrid w:val="0"/>
        </w:rPr>
        <w:t xml:space="preserve">. </w:t>
      </w:r>
      <w:r>
        <w:rPr>
          <w:snapToGrid w:val="0"/>
        </w:rPr>
        <w:tab/>
        <w:t>Expenditure from a</w:t>
      </w:r>
      <w:r>
        <w:t>ccount</w:t>
      </w:r>
      <w:bookmarkEnd w:id="207"/>
      <w:bookmarkEnd w:id="208"/>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by No. 59 of 1995 s. 80; amended by No. 77 of 2006 Sch. 1 cl. 156(2); No. 58 of 2010 s. 166; No. 23 of 2014 s. 107.]</w:t>
      </w:r>
    </w:p>
    <w:p>
      <w:pPr>
        <w:pStyle w:val="Heading5"/>
        <w:rPr>
          <w:snapToGrid w:val="0"/>
        </w:rPr>
      </w:pPr>
      <w:bookmarkStart w:id="209" w:name="_Toc404159348"/>
      <w:bookmarkStart w:id="210" w:name="_Toc413403657"/>
      <w:r>
        <w:rPr>
          <w:rStyle w:val="CharSectno"/>
        </w:rPr>
        <w:t>102D</w:t>
      </w:r>
      <w:r>
        <w:rPr>
          <w:snapToGrid w:val="0"/>
        </w:rPr>
        <w:t xml:space="preserve">. </w:t>
      </w:r>
      <w:r>
        <w:rPr>
          <w:snapToGrid w:val="0"/>
        </w:rPr>
        <w:tab/>
        <w:t>Investment of moneys in a</w:t>
      </w:r>
      <w:r>
        <w:t>ccount</w:t>
      </w:r>
      <w:bookmarkEnd w:id="209"/>
      <w:bookmarkEnd w:id="210"/>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211" w:name="_Toc404159349"/>
      <w:bookmarkStart w:id="212" w:name="_Toc413403658"/>
      <w:r>
        <w:rPr>
          <w:rStyle w:val="CharPartNo"/>
        </w:rPr>
        <w:t>Part VI</w:t>
      </w:r>
      <w:r>
        <w:rPr>
          <w:rStyle w:val="CharDivNo"/>
        </w:rPr>
        <w:t> </w:t>
      </w:r>
      <w:r>
        <w:t>—</w:t>
      </w:r>
      <w:r>
        <w:rPr>
          <w:rStyle w:val="CharDivText"/>
        </w:rPr>
        <w:t> </w:t>
      </w:r>
      <w:r>
        <w:rPr>
          <w:rStyle w:val="CharPartText"/>
        </w:rPr>
        <w:t>Settlement Agents Interest Account</w:t>
      </w:r>
      <w:bookmarkEnd w:id="211"/>
      <w:bookmarkEnd w:id="212"/>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213" w:name="_Toc404159350"/>
      <w:bookmarkStart w:id="214" w:name="_Toc413403659"/>
      <w:r>
        <w:rPr>
          <w:rStyle w:val="CharSectno"/>
        </w:rPr>
        <w:t>103</w:t>
      </w:r>
      <w:r>
        <w:rPr>
          <w:snapToGrid w:val="0"/>
        </w:rPr>
        <w:t>.</w:t>
      </w:r>
      <w:r>
        <w:rPr>
          <w:snapToGrid w:val="0"/>
        </w:rPr>
        <w:tab/>
        <w:t>Account established; administration of account</w:t>
      </w:r>
      <w:bookmarkEnd w:id="213"/>
      <w:bookmarkEnd w:id="214"/>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215" w:name="_Toc404159351"/>
      <w:bookmarkStart w:id="216" w:name="_Toc413403660"/>
      <w:r>
        <w:rPr>
          <w:rStyle w:val="CharSectno"/>
        </w:rPr>
        <w:t>104</w:t>
      </w:r>
      <w:r>
        <w:rPr>
          <w:snapToGrid w:val="0"/>
        </w:rPr>
        <w:t>.</w:t>
      </w:r>
      <w:r>
        <w:rPr>
          <w:snapToGrid w:val="0"/>
        </w:rPr>
        <w:tab/>
        <w:t>Moneys to be credited to a</w:t>
      </w:r>
      <w:r>
        <w:t>ccount</w:t>
      </w:r>
      <w:bookmarkEnd w:id="215"/>
      <w:bookmarkEnd w:id="216"/>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217" w:name="_Toc404159352"/>
      <w:bookmarkStart w:id="218" w:name="_Toc413403661"/>
      <w:r>
        <w:rPr>
          <w:rStyle w:val="CharSectno"/>
        </w:rPr>
        <w:t>105</w:t>
      </w:r>
      <w:r>
        <w:rPr>
          <w:snapToGrid w:val="0"/>
        </w:rPr>
        <w:t>.</w:t>
      </w:r>
      <w:r>
        <w:rPr>
          <w:snapToGrid w:val="0"/>
        </w:rPr>
        <w:tab/>
        <w:t>Expenditure from a</w:t>
      </w:r>
      <w:r>
        <w:t>ccount</w:t>
      </w:r>
      <w:bookmarkEnd w:id="217"/>
      <w:bookmarkEnd w:id="218"/>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219" w:name="_Toc404159353"/>
      <w:bookmarkStart w:id="220" w:name="_Toc413403662"/>
      <w:r>
        <w:rPr>
          <w:rStyle w:val="CharSectno"/>
        </w:rPr>
        <w:t>106</w:t>
      </w:r>
      <w:r>
        <w:rPr>
          <w:snapToGrid w:val="0"/>
        </w:rPr>
        <w:t>.</w:t>
      </w:r>
      <w:r>
        <w:rPr>
          <w:snapToGrid w:val="0"/>
        </w:rPr>
        <w:tab/>
        <w:t>Investment of moneys in a</w:t>
      </w:r>
      <w:r>
        <w:t>ccount</w:t>
      </w:r>
      <w:bookmarkEnd w:id="219"/>
      <w:bookmarkEnd w:id="220"/>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221" w:name="_Toc404159354"/>
      <w:bookmarkStart w:id="222" w:name="_Toc413403663"/>
      <w:r>
        <w:rPr>
          <w:rStyle w:val="CharPartNo"/>
        </w:rPr>
        <w:t>Part VII</w:t>
      </w:r>
      <w:r>
        <w:rPr>
          <w:rStyle w:val="CharDivNo"/>
        </w:rPr>
        <w:t> </w:t>
      </w:r>
      <w:r>
        <w:t>—</w:t>
      </w:r>
      <w:r>
        <w:rPr>
          <w:rStyle w:val="CharDivText"/>
        </w:rPr>
        <w:t> </w:t>
      </w:r>
      <w:r>
        <w:rPr>
          <w:rStyle w:val="CharPartText"/>
        </w:rPr>
        <w:t>Miscellaneous</w:t>
      </w:r>
      <w:bookmarkEnd w:id="221"/>
      <w:bookmarkEnd w:id="222"/>
    </w:p>
    <w:p>
      <w:pPr>
        <w:pStyle w:val="Heading5"/>
        <w:rPr>
          <w:snapToGrid w:val="0"/>
        </w:rPr>
      </w:pPr>
      <w:bookmarkStart w:id="223" w:name="_Toc404159355"/>
      <w:bookmarkStart w:id="224" w:name="_Toc413403664"/>
      <w:r>
        <w:rPr>
          <w:rStyle w:val="CharSectno"/>
        </w:rPr>
        <w:t>110</w:t>
      </w:r>
      <w:r>
        <w:rPr>
          <w:snapToGrid w:val="0"/>
        </w:rPr>
        <w:t>.</w:t>
      </w:r>
      <w:r>
        <w:rPr>
          <w:snapToGrid w:val="0"/>
        </w:rPr>
        <w:tab/>
        <w:t>Registers of licensees etc., Commissioner to keep etc.</w:t>
      </w:r>
      <w:bookmarkEnd w:id="223"/>
      <w:bookmarkEnd w:id="224"/>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225" w:name="_Toc404159356"/>
      <w:bookmarkStart w:id="226" w:name="_Toc413403665"/>
      <w:r>
        <w:rPr>
          <w:rStyle w:val="CharSectno"/>
        </w:rPr>
        <w:t>111</w:t>
      </w:r>
      <w:r>
        <w:rPr>
          <w:snapToGrid w:val="0"/>
        </w:rPr>
        <w:t>.</w:t>
      </w:r>
      <w:r>
        <w:rPr>
          <w:snapToGrid w:val="0"/>
        </w:rPr>
        <w:tab/>
        <w:t>Commissioner’s certificate</w:t>
      </w:r>
      <w:bookmarkEnd w:id="225"/>
      <w:bookmarkEnd w:id="226"/>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 No. 23 of 2014 s. 108.]</w:t>
      </w:r>
    </w:p>
    <w:p>
      <w:pPr>
        <w:pStyle w:val="Heading5"/>
        <w:rPr>
          <w:snapToGrid w:val="0"/>
        </w:rPr>
      </w:pPr>
      <w:bookmarkStart w:id="227" w:name="_Toc404159357"/>
      <w:bookmarkStart w:id="228" w:name="_Toc413403666"/>
      <w:r>
        <w:rPr>
          <w:rStyle w:val="CharSectno"/>
        </w:rPr>
        <w:t>112</w:t>
      </w:r>
      <w:r>
        <w:rPr>
          <w:snapToGrid w:val="0"/>
        </w:rPr>
        <w:t>.</w:t>
      </w:r>
      <w:r>
        <w:rPr>
          <w:snapToGrid w:val="0"/>
        </w:rPr>
        <w:tab/>
        <w:t>Annual report by department</w:t>
      </w:r>
      <w:bookmarkEnd w:id="227"/>
      <w:bookmarkEnd w:id="228"/>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229" w:name="_Toc404159358"/>
      <w:bookmarkStart w:id="230" w:name="_Toc413403667"/>
      <w:r>
        <w:rPr>
          <w:rStyle w:val="CharSectno"/>
        </w:rPr>
        <w:t>113</w:t>
      </w:r>
      <w:r>
        <w:rPr>
          <w:snapToGrid w:val="0"/>
        </w:rPr>
        <w:t>.</w:t>
      </w:r>
      <w:r>
        <w:rPr>
          <w:snapToGrid w:val="0"/>
        </w:rPr>
        <w:tab/>
        <w:t>Reports by Commissioner to Minister</w:t>
      </w:r>
      <w:bookmarkEnd w:id="229"/>
      <w:bookmarkEnd w:id="230"/>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231" w:name="_Toc404159359"/>
      <w:bookmarkStart w:id="232" w:name="_Toc413403668"/>
      <w:r>
        <w:rPr>
          <w:rStyle w:val="CharSectno"/>
        </w:rPr>
        <w:t>114</w:t>
      </w:r>
      <w:r>
        <w:rPr>
          <w:snapToGrid w:val="0"/>
        </w:rPr>
        <w:t>.</w:t>
      </w:r>
      <w:r>
        <w:rPr>
          <w:snapToGrid w:val="0"/>
        </w:rPr>
        <w:tab/>
        <w:t>Refunds of fees, Commissioner’s powers as to</w:t>
      </w:r>
      <w:bookmarkEnd w:id="231"/>
      <w:bookmarkEnd w:id="232"/>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by No. 77 of 2006 Sch. 1 cl. 156(2); No. 58 of 2010 s. 170 and 176.]</w:t>
      </w:r>
    </w:p>
    <w:p>
      <w:pPr>
        <w:pStyle w:val="Heading5"/>
      </w:pPr>
      <w:bookmarkStart w:id="233" w:name="_Toc404159360"/>
      <w:bookmarkStart w:id="234" w:name="_Toc413403669"/>
      <w:r>
        <w:rPr>
          <w:rStyle w:val="CharSectno"/>
        </w:rPr>
        <w:t>115</w:t>
      </w:r>
      <w:r>
        <w:t>.</w:t>
      </w:r>
      <w:r>
        <w:tab/>
        <w:t>Protection from personal liability</w:t>
      </w:r>
      <w:bookmarkEnd w:id="233"/>
      <w:bookmarkEnd w:id="234"/>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235" w:name="_Toc404159361"/>
      <w:bookmarkStart w:id="236" w:name="_Toc413403670"/>
      <w:r>
        <w:rPr>
          <w:rStyle w:val="CharSectno"/>
        </w:rPr>
        <w:t>116</w:t>
      </w:r>
      <w:r>
        <w:t>.</w:t>
      </w:r>
      <w:r>
        <w:tab/>
        <w:t>Confidentiality of information officially obtained</w:t>
      </w:r>
      <w:bookmarkEnd w:id="235"/>
      <w:bookmarkEnd w:id="236"/>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237" w:name="_Toc404159362"/>
      <w:bookmarkStart w:id="238" w:name="_Toc413403671"/>
      <w:r>
        <w:rPr>
          <w:rStyle w:val="CharSectno"/>
        </w:rPr>
        <w:t>117</w:t>
      </w:r>
      <w:r>
        <w:rPr>
          <w:snapToGrid w:val="0"/>
        </w:rPr>
        <w:t>.</w:t>
      </w:r>
      <w:r>
        <w:rPr>
          <w:snapToGrid w:val="0"/>
        </w:rPr>
        <w:tab/>
        <w:t>Liability of directors of body corporate for defalcations</w:t>
      </w:r>
      <w:bookmarkEnd w:id="237"/>
      <w:bookmarkEnd w:id="238"/>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239" w:name="_Toc404159363"/>
      <w:bookmarkStart w:id="240" w:name="_Toc413403672"/>
      <w:r>
        <w:rPr>
          <w:rStyle w:val="CharSectno"/>
        </w:rPr>
        <w:t>118</w:t>
      </w:r>
      <w:r>
        <w:rPr>
          <w:snapToGrid w:val="0"/>
        </w:rPr>
        <w:t>.</w:t>
      </w:r>
      <w:r>
        <w:rPr>
          <w:snapToGrid w:val="0"/>
        </w:rPr>
        <w:tab/>
        <w:t>Other rights and remedies not affected by this Act</w:t>
      </w:r>
      <w:bookmarkEnd w:id="239"/>
      <w:bookmarkEnd w:id="240"/>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241" w:name="_Toc404159364"/>
      <w:bookmarkStart w:id="242" w:name="_Toc413403673"/>
      <w:r>
        <w:rPr>
          <w:rStyle w:val="CharSectno"/>
        </w:rPr>
        <w:t>119</w:t>
      </w:r>
      <w:r>
        <w:rPr>
          <w:snapToGrid w:val="0"/>
        </w:rPr>
        <w:t>.</w:t>
      </w:r>
      <w:r>
        <w:rPr>
          <w:snapToGrid w:val="0"/>
        </w:rPr>
        <w:tab/>
        <w:t>Rights conferred by Act cannot be waived</w:t>
      </w:r>
      <w:bookmarkEnd w:id="241"/>
      <w:bookmarkEnd w:id="242"/>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243" w:name="_Toc404159365"/>
      <w:bookmarkStart w:id="244" w:name="_Toc413403674"/>
      <w:r>
        <w:rPr>
          <w:rStyle w:val="CharSectno"/>
        </w:rPr>
        <w:t>120</w:t>
      </w:r>
      <w:r>
        <w:rPr>
          <w:snapToGrid w:val="0"/>
        </w:rPr>
        <w:t>.</w:t>
      </w:r>
      <w:r>
        <w:rPr>
          <w:snapToGrid w:val="0"/>
        </w:rPr>
        <w:tab/>
        <w:t>General penalty for offences</w:t>
      </w:r>
      <w:bookmarkEnd w:id="243"/>
      <w:bookmarkEnd w:id="244"/>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120 amended by No. 59 of 1995 s. 85.]</w:t>
      </w:r>
    </w:p>
    <w:p>
      <w:pPr>
        <w:pStyle w:val="Heading5"/>
        <w:rPr>
          <w:snapToGrid w:val="0"/>
        </w:rPr>
      </w:pPr>
      <w:bookmarkStart w:id="245" w:name="_Toc404159366"/>
      <w:bookmarkStart w:id="246" w:name="_Toc413403675"/>
      <w:r>
        <w:rPr>
          <w:rStyle w:val="CharSectno"/>
        </w:rPr>
        <w:t>121</w:t>
      </w:r>
      <w:r>
        <w:rPr>
          <w:snapToGrid w:val="0"/>
        </w:rPr>
        <w:t>.</w:t>
      </w:r>
      <w:r>
        <w:rPr>
          <w:snapToGrid w:val="0"/>
        </w:rPr>
        <w:tab/>
        <w:t>Proceedings for offences</w:t>
      </w:r>
      <w:bookmarkEnd w:id="245"/>
      <w:bookmarkEnd w:id="246"/>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247" w:name="_Toc404159367"/>
      <w:bookmarkStart w:id="248" w:name="_Toc413403676"/>
      <w:r>
        <w:rPr>
          <w:rStyle w:val="CharSectno"/>
        </w:rPr>
        <w:t>122</w:t>
      </w:r>
      <w:r>
        <w:rPr>
          <w:snapToGrid w:val="0"/>
        </w:rPr>
        <w:t>.</w:t>
      </w:r>
      <w:r>
        <w:rPr>
          <w:snapToGrid w:val="0"/>
        </w:rPr>
        <w:tab/>
        <w:t>Forms</w:t>
      </w:r>
      <w:bookmarkEnd w:id="247"/>
      <w:bookmarkEnd w:id="248"/>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249" w:name="_Toc404159368"/>
      <w:bookmarkStart w:id="250" w:name="_Toc413403677"/>
      <w:r>
        <w:rPr>
          <w:rStyle w:val="CharSectno"/>
        </w:rPr>
        <w:t>123</w:t>
      </w:r>
      <w:r>
        <w:rPr>
          <w:snapToGrid w:val="0"/>
        </w:rPr>
        <w:t>.</w:t>
      </w:r>
      <w:r>
        <w:rPr>
          <w:snapToGrid w:val="0"/>
        </w:rPr>
        <w:tab/>
        <w:t>Regulations</w:t>
      </w:r>
      <w:bookmarkEnd w:id="249"/>
      <w:bookmarkEnd w:id="250"/>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251" w:name="_Toc404159369"/>
      <w:bookmarkStart w:id="252" w:name="_Toc413403678"/>
      <w:r>
        <w:rPr>
          <w:rStyle w:val="CharPartNo"/>
        </w:rPr>
        <w:t>Part VIII</w:t>
      </w:r>
      <w:r>
        <w:t> — </w:t>
      </w:r>
      <w:r>
        <w:rPr>
          <w:rStyle w:val="CharPartText"/>
        </w:rPr>
        <w:t>Savings and transitional</w:t>
      </w:r>
      <w:bookmarkEnd w:id="251"/>
      <w:bookmarkEnd w:id="252"/>
    </w:p>
    <w:p>
      <w:pPr>
        <w:pStyle w:val="Footnoteheading"/>
      </w:pPr>
      <w:r>
        <w:tab/>
        <w:t>[Heading inserted by No. 58 of 2010 s. 174.]</w:t>
      </w:r>
    </w:p>
    <w:p>
      <w:pPr>
        <w:pStyle w:val="Heading5"/>
      </w:pPr>
      <w:bookmarkStart w:id="253" w:name="_Toc404159370"/>
      <w:bookmarkStart w:id="254" w:name="_Toc413403679"/>
      <w:r>
        <w:rPr>
          <w:rStyle w:val="CharSectno"/>
        </w:rPr>
        <w:t>124</w:t>
      </w:r>
      <w:r>
        <w:t>.</w:t>
      </w:r>
      <w:r>
        <w:tab/>
        <w:t>Terms used</w:t>
      </w:r>
      <w:bookmarkEnd w:id="253"/>
      <w:bookmarkEnd w:id="254"/>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255" w:name="_Toc404159371"/>
      <w:bookmarkStart w:id="256" w:name="_Toc413403680"/>
      <w:r>
        <w:rPr>
          <w:rStyle w:val="CharSectno"/>
        </w:rPr>
        <w:t>125</w:t>
      </w:r>
      <w:r>
        <w:t>.</w:t>
      </w:r>
      <w:r>
        <w:tab/>
        <w:t>Former Board abolished</w:t>
      </w:r>
      <w:bookmarkEnd w:id="255"/>
      <w:bookmarkEnd w:id="256"/>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257" w:name="_Toc404159372"/>
      <w:bookmarkStart w:id="258" w:name="_Toc413403681"/>
      <w:r>
        <w:rPr>
          <w:rStyle w:val="CharSectno"/>
        </w:rPr>
        <w:t>126</w:t>
      </w:r>
      <w:r>
        <w:t>.</w:t>
      </w:r>
      <w:r>
        <w:tab/>
        <w:t>References to former Board</w:t>
      </w:r>
      <w:bookmarkEnd w:id="257"/>
      <w:bookmarkEnd w:id="258"/>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259" w:name="_Toc404159373"/>
      <w:bookmarkStart w:id="260" w:name="_Toc413403682"/>
      <w:r>
        <w:rPr>
          <w:rStyle w:val="CharSectno"/>
        </w:rPr>
        <w:t>127</w:t>
      </w:r>
      <w:r>
        <w:t>.</w:t>
      </w:r>
      <w:r>
        <w:tab/>
        <w:t>Immunity continues</w:t>
      </w:r>
      <w:bookmarkEnd w:id="259"/>
      <w:bookmarkEnd w:id="260"/>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261" w:name="_Toc404159374"/>
      <w:bookmarkStart w:id="262" w:name="_Toc413403683"/>
      <w:r>
        <w:rPr>
          <w:rStyle w:val="CharSectno"/>
        </w:rPr>
        <w:t>128</w:t>
      </w:r>
      <w:r>
        <w:t>.</w:t>
      </w:r>
      <w:r>
        <w:tab/>
        <w:t>Notices and rules made by former Board</w:t>
      </w:r>
      <w:bookmarkEnd w:id="261"/>
      <w:bookmarkEnd w:id="262"/>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263" w:name="_Toc404159375"/>
      <w:bookmarkStart w:id="264" w:name="_Toc413403684"/>
      <w:r>
        <w:rPr>
          <w:rStyle w:val="CharSectno"/>
        </w:rPr>
        <w:t>129</w:t>
      </w:r>
      <w:r>
        <w:t>.</w:t>
      </w:r>
      <w:r>
        <w:tab/>
        <w:t>References to former Registrar</w:t>
      </w:r>
      <w:bookmarkEnd w:id="263"/>
      <w:bookmarkEnd w:id="264"/>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265" w:name="_Toc404159376"/>
      <w:bookmarkStart w:id="266" w:name="_Toc413403685"/>
      <w:r>
        <w:rPr>
          <w:rStyle w:val="CharSectno"/>
        </w:rPr>
        <w:t>130</w:t>
      </w:r>
      <w:r>
        <w:t>.</w:t>
      </w:r>
      <w:r>
        <w:tab/>
        <w:t>Unfinished investigations by former Board</w:t>
      </w:r>
      <w:bookmarkEnd w:id="265"/>
      <w:bookmarkEnd w:id="266"/>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267" w:name="_Toc404159377"/>
      <w:bookmarkStart w:id="268" w:name="_Toc413403686"/>
      <w:r>
        <w:rPr>
          <w:rStyle w:val="CharSectno"/>
        </w:rPr>
        <w:t>131</w:t>
      </w:r>
      <w:r>
        <w:t>.</w:t>
      </w:r>
      <w:r>
        <w:tab/>
        <w:t>Unfinished proceedings by former Board</w:t>
      </w:r>
      <w:bookmarkEnd w:id="267"/>
      <w:bookmarkEnd w:id="268"/>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269" w:name="_Toc404159378"/>
      <w:bookmarkStart w:id="270" w:name="_Toc413403687"/>
      <w:r>
        <w:rPr>
          <w:rStyle w:val="CharSectno"/>
        </w:rPr>
        <w:t>132</w:t>
      </w:r>
      <w:r>
        <w:t>.</w:t>
      </w:r>
      <w:r>
        <w:tab/>
        <w:t>Winding</w:t>
      </w:r>
      <w:r>
        <w:noBreakHyphen/>
        <w:t>up former Board</w:t>
      </w:r>
      <w:bookmarkEnd w:id="269"/>
      <w:bookmarkEnd w:id="270"/>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271" w:name="_Toc404159379"/>
      <w:bookmarkStart w:id="272" w:name="_Toc413403688"/>
      <w:r>
        <w:rPr>
          <w:rStyle w:val="CharSectno"/>
        </w:rPr>
        <w:t>133</w:t>
      </w:r>
      <w:r>
        <w:t>.</w:t>
      </w:r>
      <w:r>
        <w:tab/>
        <w:t>Final report by former Board</w:t>
      </w:r>
      <w:bookmarkEnd w:id="271"/>
      <w:bookmarkEnd w:id="272"/>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273" w:name="_Toc404159380"/>
      <w:bookmarkStart w:id="274" w:name="_Toc413403689"/>
      <w:r>
        <w:rPr>
          <w:rStyle w:val="CharSectno"/>
        </w:rPr>
        <w:t>134</w:t>
      </w:r>
      <w:r>
        <w:t>.</w:t>
      </w:r>
      <w:r>
        <w:tab/>
        <w:t>Staff of former Board</w:t>
      </w:r>
      <w:bookmarkEnd w:id="273"/>
      <w:bookmarkEnd w:id="274"/>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275" w:name="_Toc404159381"/>
      <w:bookmarkStart w:id="276" w:name="_Toc413403690"/>
      <w:r>
        <w:rPr>
          <w:rStyle w:val="CharSectno"/>
        </w:rPr>
        <w:t>135</w:t>
      </w:r>
      <w:r>
        <w:t>.</w:t>
      </w:r>
      <w:r>
        <w:tab/>
        <w:t>Transitional regulations</w:t>
      </w:r>
      <w:bookmarkEnd w:id="275"/>
      <w:bookmarkEnd w:id="276"/>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21"/>
          <w:headerReference w:type="default" r:id="rId22"/>
          <w:footerReference w:type="even"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277" w:name="_Toc404159382"/>
      <w:bookmarkStart w:id="278" w:name="_Toc413403691"/>
      <w:r>
        <w:rPr>
          <w:rStyle w:val="CharSchNo"/>
          <w:rFonts w:eastAsia="MS Mincho"/>
        </w:rPr>
        <w:t>Schedule 1</w:t>
      </w:r>
      <w:r>
        <w:rPr>
          <w:rFonts w:eastAsia="MS Mincho"/>
        </w:rPr>
        <w:t> — </w:t>
      </w:r>
      <w:r>
        <w:rPr>
          <w:rStyle w:val="CharSchText"/>
          <w:rFonts w:eastAsia="MS Mincho"/>
        </w:rPr>
        <w:t>Grant of licence</w:t>
      </w:r>
      <w:bookmarkEnd w:id="277"/>
      <w:bookmarkEnd w:id="278"/>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279" w:name="_Toc404159383"/>
      <w:bookmarkStart w:id="280" w:name="_Toc413403692"/>
      <w:r>
        <w:rPr>
          <w:rStyle w:val="CharSDivNo"/>
          <w:rFonts w:eastAsia="MS Mincho"/>
        </w:rPr>
        <w:t>Division 1</w:t>
      </w:r>
      <w:r>
        <w:rPr>
          <w:rFonts w:eastAsia="MS Mincho"/>
          <w:b w:val="0"/>
        </w:rPr>
        <w:t> — </w:t>
      </w:r>
      <w:r>
        <w:rPr>
          <w:rStyle w:val="CharSDivText"/>
          <w:rFonts w:eastAsia="MS Mincho"/>
        </w:rPr>
        <w:t>Qualifications</w:t>
      </w:r>
      <w:bookmarkEnd w:id="279"/>
      <w:bookmarkEnd w:id="280"/>
    </w:p>
    <w:p>
      <w:pPr>
        <w:pStyle w:val="yFootnoteheading"/>
        <w:rPr>
          <w:rFonts w:eastAsia="MS Mincho"/>
        </w:rPr>
      </w:pPr>
      <w:r>
        <w:rPr>
          <w:rFonts w:eastAsia="MS Mincho"/>
        </w:rPr>
        <w:tab/>
        <w:t>[Heading inserted by No. 19 of 2010 s. 35(2).]</w:t>
      </w:r>
    </w:p>
    <w:p>
      <w:pPr>
        <w:pStyle w:val="yHeading5"/>
        <w:outlineLvl w:val="0"/>
        <w:rPr>
          <w:snapToGrid w:val="0"/>
        </w:rPr>
      </w:pPr>
      <w:bookmarkStart w:id="281" w:name="_Toc404159384"/>
      <w:bookmarkStart w:id="282" w:name="_Toc413403693"/>
      <w:r>
        <w:rPr>
          <w:rStyle w:val="CharSClsNo"/>
        </w:rPr>
        <w:t>1</w:t>
      </w:r>
      <w:r>
        <w:rPr>
          <w:snapToGrid w:val="0"/>
        </w:rPr>
        <w:t>.</w:t>
      </w:r>
      <w:r>
        <w:rPr>
          <w:snapToGrid w:val="0"/>
        </w:rPr>
        <w:tab/>
        <w:t>Real estate settlement agent</w:t>
      </w:r>
      <w:bookmarkEnd w:id="281"/>
      <w:bookmarkEnd w:id="282"/>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283" w:name="_Toc404159385"/>
      <w:bookmarkStart w:id="284" w:name="_Toc413403694"/>
      <w:r>
        <w:rPr>
          <w:rStyle w:val="CharSClsNo"/>
        </w:rPr>
        <w:t>2</w:t>
      </w:r>
      <w:r>
        <w:t xml:space="preserve">. </w:t>
      </w:r>
      <w:r>
        <w:tab/>
        <w:t>Business settlement agent</w:t>
      </w:r>
      <w:bookmarkEnd w:id="283"/>
      <w:bookmarkEnd w:id="284"/>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by No. 64 of 1982 s. 5(b); No. 28 of 2003 s. 183(2); No. 58 of 2010 s. 175 and 176.]</w:t>
      </w:r>
    </w:p>
    <w:p>
      <w:pPr>
        <w:pStyle w:val="yHeading5"/>
        <w:outlineLvl w:val="0"/>
      </w:pPr>
      <w:bookmarkStart w:id="285" w:name="_Toc404159386"/>
      <w:bookmarkStart w:id="286" w:name="_Toc413403695"/>
      <w:r>
        <w:rPr>
          <w:rStyle w:val="CharSClsNo"/>
        </w:rPr>
        <w:t>3</w:t>
      </w:r>
      <w:r>
        <w:t xml:space="preserve">. </w:t>
      </w:r>
      <w:r>
        <w:tab/>
        <w:t>Licence by reason of qualification under cl. 1(1)(c) and 2(1)(c)</w:t>
      </w:r>
      <w:bookmarkEnd w:id="285"/>
      <w:bookmarkEnd w:id="286"/>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287" w:name="_Toc404159387"/>
      <w:bookmarkStart w:id="288" w:name="_Toc413403696"/>
      <w:r>
        <w:rPr>
          <w:rStyle w:val="CharSClsNo"/>
        </w:rPr>
        <w:t>4</w:t>
      </w:r>
      <w:r>
        <w:t>.</w:t>
      </w:r>
      <w:r>
        <w:tab/>
        <w:t>Licence by reason of qualification under cl. 1(1)(d) and 2(1)(d)</w:t>
      </w:r>
      <w:bookmarkEnd w:id="287"/>
      <w:bookmarkEnd w:id="288"/>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by No. 28 of 2003 s. 183(3); No. 58 of 2010 s. 176.]</w:t>
      </w:r>
    </w:p>
    <w:p>
      <w:pPr>
        <w:pStyle w:val="yHeading5"/>
        <w:outlineLvl w:val="0"/>
      </w:pPr>
      <w:bookmarkStart w:id="289" w:name="_Toc404159388"/>
      <w:bookmarkStart w:id="290" w:name="_Toc413403697"/>
      <w:r>
        <w:rPr>
          <w:rStyle w:val="CharSClsNo"/>
        </w:rPr>
        <w:t>5</w:t>
      </w:r>
      <w:r>
        <w:t xml:space="preserve">. </w:t>
      </w:r>
      <w:r>
        <w:tab/>
        <w:t>Dead or incapacitated licensee, conduct of business of</w:t>
      </w:r>
      <w:bookmarkEnd w:id="289"/>
      <w:bookmarkEnd w:id="290"/>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291" w:name="_Toc404159389"/>
      <w:bookmarkStart w:id="292" w:name="_Toc413403698"/>
      <w:r>
        <w:rPr>
          <w:rStyle w:val="CharSDivNo"/>
          <w:rFonts w:eastAsia="MS Mincho"/>
        </w:rPr>
        <w:t>Division 2</w:t>
      </w:r>
      <w:r>
        <w:rPr>
          <w:rFonts w:eastAsia="MS Mincho"/>
          <w:b w:val="0"/>
        </w:rPr>
        <w:t> — </w:t>
      </w:r>
      <w:r>
        <w:rPr>
          <w:rStyle w:val="CharSDivText"/>
          <w:rFonts w:eastAsia="MS Mincho"/>
        </w:rPr>
        <w:t>Disqualification</w:t>
      </w:r>
      <w:bookmarkEnd w:id="291"/>
      <w:bookmarkEnd w:id="292"/>
    </w:p>
    <w:p>
      <w:pPr>
        <w:pStyle w:val="yFootnoteheading"/>
        <w:rPr>
          <w:rFonts w:eastAsia="MS Mincho"/>
        </w:rPr>
      </w:pPr>
      <w:r>
        <w:rPr>
          <w:rFonts w:eastAsia="MS Mincho"/>
        </w:rPr>
        <w:tab/>
        <w:t>[Heading inserted by No. 19 of 2010 s. 35(3).]</w:t>
      </w:r>
    </w:p>
    <w:p>
      <w:pPr>
        <w:pStyle w:val="yHeading5"/>
        <w:outlineLvl w:val="0"/>
      </w:pPr>
      <w:bookmarkStart w:id="293" w:name="_Toc404159390"/>
      <w:bookmarkStart w:id="294" w:name="_Toc413403699"/>
      <w:r>
        <w:rPr>
          <w:rStyle w:val="CharSClsNo"/>
        </w:rPr>
        <w:t>6</w:t>
      </w:r>
      <w:r>
        <w:t>.</w:t>
      </w:r>
      <w:r>
        <w:tab/>
        <w:t>Term used: business licence</w:t>
      </w:r>
      <w:bookmarkEnd w:id="293"/>
      <w:bookmarkEnd w:id="294"/>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295" w:name="_Toc404159391"/>
      <w:bookmarkStart w:id="296" w:name="_Toc413403700"/>
      <w:r>
        <w:rPr>
          <w:rStyle w:val="CharSClsNo"/>
        </w:rPr>
        <w:t>7</w:t>
      </w:r>
      <w:r>
        <w:t xml:space="preserve">. </w:t>
      </w:r>
      <w:r>
        <w:tab/>
        <w:t>Natural persons, disqualification of</w:t>
      </w:r>
      <w:bookmarkEnd w:id="295"/>
      <w:bookmarkEnd w:id="296"/>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297" w:name="_Toc404159392"/>
      <w:bookmarkStart w:id="298" w:name="_Toc413403701"/>
      <w:r>
        <w:rPr>
          <w:rStyle w:val="CharSClsNo"/>
        </w:rPr>
        <w:t>8</w:t>
      </w:r>
      <w:r>
        <w:t xml:space="preserve">. </w:t>
      </w:r>
      <w:r>
        <w:tab/>
        <w:t>Bodies corporate, disqualification of</w:t>
      </w:r>
      <w:bookmarkEnd w:id="297"/>
      <w:bookmarkEnd w:id="298"/>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299" w:name="_Toc404159393"/>
      <w:bookmarkStart w:id="300" w:name="_Toc413403702"/>
      <w:r>
        <w:rPr>
          <w:rStyle w:val="CharSClsNo"/>
        </w:rPr>
        <w:t>9</w:t>
      </w:r>
      <w:r>
        <w:t xml:space="preserve">. </w:t>
      </w:r>
      <w:r>
        <w:tab/>
        <w:t>Firms, disqualification of</w:t>
      </w:r>
      <w:bookmarkEnd w:id="299"/>
      <w:bookmarkEnd w:id="300"/>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301" w:name="_Toc404159394"/>
      <w:bookmarkStart w:id="302" w:name="_Toc413403703"/>
      <w:r>
        <w:rPr>
          <w:rStyle w:val="CharSDivNo"/>
        </w:rPr>
        <w:t>Division 3</w:t>
      </w:r>
      <w:r>
        <w:t> — </w:t>
      </w:r>
      <w:r>
        <w:rPr>
          <w:rStyle w:val="CharSDivText"/>
        </w:rPr>
        <w:t>Temporary arrangements</w:t>
      </w:r>
      <w:bookmarkEnd w:id="301"/>
      <w:bookmarkEnd w:id="302"/>
    </w:p>
    <w:p>
      <w:pPr>
        <w:pStyle w:val="yFootnoteheading"/>
        <w:rPr>
          <w:rFonts w:eastAsia="MS Mincho"/>
        </w:rPr>
      </w:pPr>
      <w:r>
        <w:rPr>
          <w:rFonts w:eastAsia="MS Mincho"/>
        </w:rPr>
        <w:tab/>
        <w:t>[Heading inserted by No. 19 of 2010 s. 35(4).]</w:t>
      </w:r>
    </w:p>
    <w:p>
      <w:pPr>
        <w:pStyle w:val="yHeading5"/>
        <w:outlineLvl w:val="0"/>
      </w:pPr>
      <w:bookmarkStart w:id="303" w:name="_Toc404159395"/>
      <w:bookmarkStart w:id="304" w:name="_Toc413403704"/>
      <w:r>
        <w:rPr>
          <w:rStyle w:val="CharSClsNo"/>
        </w:rPr>
        <w:t>10</w:t>
      </w:r>
      <w:r>
        <w:t xml:space="preserve">. </w:t>
      </w:r>
      <w:r>
        <w:tab/>
        <w:t>Death or withdrawal of partner in firm or director of body corporate, Commissioner to be notified etc.</w:t>
      </w:r>
      <w:bookmarkEnd w:id="303"/>
      <w:bookmarkEnd w:id="304"/>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305" w:name="_Toc404159396"/>
      <w:bookmarkStart w:id="306" w:name="_Toc413403705"/>
      <w:r>
        <w:rPr>
          <w:rStyle w:val="CharSchNo"/>
        </w:rPr>
        <w:t>Schedule 2</w:t>
      </w:r>
      <w:r>
        <w:rPr>
          <w:rStyle w:val="CharSDivNo"/>
        </w:rPr>
        <w:t> </w:t>
      </w:r>
      <w:r>
        <w:t>—</w:t>
      </w:r>
      <w:r>
        <w:rPr>
          <w:rStyle w:val="CharSDivText"/>
        </w:rPr>
        <w:t xml:space="preserve"> </w:t>
      </w:r>
      <w:r>
        <w:rPr>
          <w:rStyle w:val="CharSchText"/>
        </w:rPr>
        <w:t>Functions of a settlement agent</w:t>
      </w:r>
      <w:bookmarkEnd w:id="305"/>
      <w:bookmarkEnd w:id="306"/>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307" w:name="_Toc404159397"/>
      <w:bookmarkStart w:id="308" w:name="_Toc413403706"/>
      <w:r>
        <w:rPr>
          <w:rStyle w:val="CharSClsNo"/>
        </w:rPr>
        <w:t>1</w:t>
      </w:r>
      <w:r>
        <w:t>.</w:t>
      </w:r>
      <w:r>
        <w:tab/>
        <w:t>Real estate settlement agent</w:t>
      </w:r>
      <w:bookmarkEnd w:id="307"/>
      <w:bookmarkEnd w:id="308"/>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 No. 2 of 2014 s. 58.]</w:t>
      </w:r>
    </w:p>
    <w:p>
      <w:pPr>
        <w:pStyle w:val="yHeading5"/>
        <w:outlineLvl w:val="0"/>
      </w:pPr>
      <w:bookmarkStart w:id="309" w:name="_Toc404159398"/>
      <w:bookmarkStart w:id="310" w:name="_Toc413403707"/>
      <w:r>
        <w:rPr>
          <w:rStyle w:val="CharSClsNo"/>
        </w:rPr>
        <w:t>2</w:t>
      </w:r>
      <w:r>
        <w:t xml:space="preserve">. </w:t>
      </w:r>
      <w:r>
        <w:tab/>
        <w:t>Business settlement agent</w:t>
      </w:r>
      <w:bookmarkEnd w:id="309"/>
      <w:bookmarkEnd w:id="310"/>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Ednotepara"/>
        <w:rPr>
          <w:snapToGrid w:val="0"/>
        </w:rPr>
      </w:pPr>
      <w:r>
        <w:rPr>
          <w:snapToGrid w:val="0"/>
        </w:rPr>
        <w:tab/>
        <w:t>[(fa)</w:t>
      </w:r>
      <w:r>
        <w:rPr>
          <w:snapToGrid w:val="0"/>
        </w:rPr>
        <w:tab/>
        <w:t>deleted]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outlineLvl w:val="0"/>
      </w:pPr>
      <w:bookmarkStart w:id="312" w:name="_Toc404159399"/>
      <w:bookmarkStart w:id="313" w:name="_Toc413403708"/>
      <w:r>
        <w:t>Notes</w:t>
      </w:r>
      <w:bookmarkEnd w:id="312"/>
      <w:bookmarkEnd w:id="313"/>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14" w:name="_Toc404159400"/>
      <w:bookmarkStart w:id="315" w:name="_Toc413403709"/>
      <w:r>
        <w:rPr>
          <w:snapToGrid w:val="0"/>
        </w:rPr>
        <w:t>Compilation table</w:t>
      </w:r>
      <w:bookmarkEnd w:id="314"/>
      <w:bookmarkEnd w:id="31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before="68" w:after="68"/>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before="68" w:after="68"/>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before="68" w:after="68"/>
              <w:rPr>
                <w:b/>
              </w:rPr>
            </w:pPr>
            <w:r>
              <w:rPr>
                <w:b/>
              </w:rPr>
              <w:t>Assent</w:t>
            </w:r>
          </w:p>
        </w:tc>
        <w:tc>
          <w:tcPr>
            <w:tcW w:w="2552" w:type="dxa"/>
            <w:tcBorders>
              <w:top w:val="single" w:sz="8" w:space="0" w:color="auto"/>
              <w:bottom w:val="single" w:sz="8" w:space="0" w:color="auto"/>
            </w:tcBorders>
            <w:shd w:val="clear" w:color="auto" w:fill="auto"/>
          </w:tcPr>
          <w:p>
            <w:pPr>
              <w:pStyle w:val="nTable"/>
              <w:spacing w:before="68" w:after="68"/>
              <w:rPr>
                <w:b/>
              </w:rPr>
            </w:pPr>
            <w:r>
              <w:rPr>
                <w:b/>
              </w:rPr>
              <w:t>Commencement</w:t>
            </w:r>
          </w:p>
        </w:tc>
      </w:tr>
      <w:tr>
        <w:trPr>
          <w:cantSplit/>
        </w:trPr>
        <w:tc>
          <w:tcPr>
            <w:tcW w:w="2269" w:type="dxa"/>
          </w:tcPr>
          <w:p>
            <w:pPr>
              <w:pStyle w:val="nTable"/>
              <w:spacing w:before="68" w:after="68"/>
              <w:ind w:right="113"/>
            </w:pPr>
            <w:r>
              <w:rPr>
                <w:i/>
              </w:rPr>
              <w:t>Settlement Agents Act 1981</w:t>
            </w:r>
          </w:p>
        </w:tc>
        <w:tc>
          <w:tcPr>
            <w:tcW w:w="1134" w:type="dxa"/>
          </w:tcPr>
          <w:p>
            <w:pPr>
              <w:pStyle w:val="nTable"/>
              <w:spacing w:before="68" w:after="68"/>
            </w:pPr>
            <w:r>
              <w:t>33 of 1981</w:t>
            </w:r>
          </w:p>
        </w:tc>
        <w:tc>
          <w:tcPr>
            <w:tcW w:w="1134" w:type="dxa"/>
          </w:tcPr>
          <w:p>
            <w:pPr>
              <w:pStyle w:val="nTable"/>
              <w:spacing w:before="68" w:after="68"/>
            </w:pPr>
            <w:r>
              <w:t>26 May 1981</w:t>
            </w:r>
          </w:p>
        </w:tc>
        <w:tc>
          <w:tcPr>
            <w:tcW w:w="2552" w:type="dxa"/>
          </w:tcPr>
          <w:p>
            <w:pPr>
              <w:pStyle w:val="nTable"/>
              <w:spacing w:before="68" w:after="68"/>
            </w:pPr>
            <w:r>
              <w:t xml:space="preserve">1 Jul 1981 (see s. 2 and </w:t>
            </w:r>
            <w:r>
              <w:rPr>
                <w:i/>
              </w:rPr>
              <w:t>Gazette</w:t>
            </w:r>
            <w:r>
              <w:t xml:space="preserve"> 26 Jun 1981 p. 2285)</w:t>
            </w:r>
          </w:p>
        </w:tc>
      </w:tr>
      <w:tr>
        <w:trPr>
          <w:cantSplit/>
        </w:trPr>
        <w:tc>
          <w:tcPr>
            <w:tcW w:w="2269" w:type="dxa"/>
          </w:tcPr>
          <w:p>
            <w:pPr>
              <w:pStyle w:val="nTable"/>
              <w:spacing w:before="68" w:after="68"/>
              <w:ind w:right="113"/>
            </w:pPr>
            <w:r>
              <w:rPr>
                <w:i/>
              </w:rPr>
              <w:t xml:space="preserve">Companies (Consequential Amendments) Act 1982 </w:t>
            </w:r>
            <w:r>
              <w:t>s. 28</w:t>
            </w:r>
          </w:p>
        </w:tc>
        <w:tc>
          <w:tcPr>
            <w:tcW w:w="1134" w:type="dxa"/>
          </w:tcPr>
          <w:p>
            <w:pPr>
              <w:pStyle w:val="nTable"/>
              <w:spacing w:before="68" w:after="68"/>
            </w:pPr>
            <w:r>
              <w:t>10 of 1982</w:t>
            </w:r>
          </w:p>
        </w:tc>
        <w:tc>
          <w:tcPr>
            <w:tcW w:w="1134" w:type="dxa"/>
          </w:tcPr>
          <w:p>
            <w:pPr>
              <w:pStyle w:val="nTable"/>
              <w:spacing w:before="68" w:after="68"/>
            </w:pPr>
            <w:r>
              <w:t>14 May 1982</w:t>
            </w:r>
          </w:p>
        </w:tc>
        <w:tc>
          <w:tcPr>
            <w:tcW w:w="2552" w:type="dxa"/>
          </w:tcPr>
          <w:p>
            <w:pPr>
              <w:pStyle w:val="nTable"/>
              <w:spacing w:before="68" w:after="68"/>
            </w:pPr>
            <w:r>
              <w:t xml:space="preserve">1 Jul 1982 (see s. 2(1) and </w:t>
            </w:r>
            <w:r>
              <w:rPr>
                <w:i/>
              </w:rPr>
              <w:t>Gazette</w:t>
            </w:r>
            <w:r>
              <w:t xml:space="preserve"> 25 Jun 1982 p. 2079)</w:t>
            </w:r>
          </w:p>
        </w:tc>
      </w:tr>
      <w:tr>
        <w:trPr>
          <w:cantSplit/>
        </w:trPr>
        <w:tc>
          <w:tcPr>
            <w:tcW w:w="2269" w:type="dxa"/>
          </w:tcPr>
          <w:p>
            <w:pPr>
              <w:pStyle w:val="nTable"/>
              <w:spacing w:before="68" w:after="68"/>
              <w:ind w:right="113"/>
            </w:pPr>
            <w:r>
              <w:rPr>
                <w:i/>
              </w:rPr>
              <w:t>Settlement Agents Amendment Act 1982</w:t>
            </w:r>
          </w:p>
        </w:tc>
        <w:tc>
          <w:tcPr>
            <w:tcW w:w="1134" w:type="dxa"/>
          </w:tcPr>
          <w:p>
            <w:pPr>
              <w:pStyle w:val="nTable"/>
              <w:spacing w:before="68" w:after="68"/>
            </w:pPr>
            <w:r>
              <w:t>64 of 1982</w:t>
            </w:r>
          </w:p>
        </w:tc>
        <w:tc>
          <w:tcPr>
            <w:tcW w:w="1134" w:type="dxa"/>
          </w:tcPr>
          <w:p>
            <w:pPr>
              <w:pStyle w:val="nTable"/>
              <w:spacing w:before="68" w:after="68"/>
            </w:pPr>
            <w:r>
              <w:t>19 Oct 1982</w:t>
            </w:r>
          </w:p>
        </w:tc>
        <w:tc>
          <w:tcPr>
            <w:tcW w:w="2552" w:type="dxa"/>
          </w:tcPr>
          <w:p>
            <w:pPr>
              <w:pStyle w:val="nTable"/>
              <w:spacing w:before="68" w:after="68"/>
            </w:pPr>
            <w:r>
              <w:t>19 Oct 1982</w:t>
            </w:r>
          </w:p>
        </w:tc>
      </w:tr>
      <w:tr>
        <w:trPr>
          <w:cantSplit/>
        </w:trPr>
        <w:tc>
          <w:tcPr>
            <w:tcW w:w="2269" w:type="dxa"/>
          </w:tcPr>
          <w:p>
            <w:pPr>
              <w:pStyle w:val="nTable"/>
              <w:spacing w:before="68" w:after="68"/>
              <w:ind w:right="113"/>
            </w:pPr>
            <w:r>
              <w:rPr>
                <w:i/>
              </w:rPr>
              <w:t xml:space="preserve">Acts Amendment (Financial Administration and Audit) Act 1985 </w:t>
            </w:r>
            <w:r>
              <w:t>s. 3</w:t>
            </w:r>
          </w:p>
        </w:tc>
        <w:tc>
          <w:tcPr>
            <w:tcW w:w="1134" w:type="dxa"/>
          </w:tcPr>
          <w:p>
            <w:pPr>
              <w:pStyle w:val="nTable"/>
              <w:spacing w:before="68" w:after="68"/>
            </w:pPr>
            <w:r>
              <w:t>98 of 1985</w:t>
            </w:r>
          </w:p>
        </w:tc>
        <w:tc>
          <w:tcPr>
            <w:tcW w:w="1134" w:type="dxa"/>
          </w:tcPr>
          <w:p>
            <w:pPr>
              <w:pStyle w:val="nTable"/>
              <w:spacing w:before="68" w:after="68"/>
            </w:pPr>
            <w:r>
              <w:t>4 Dec 1985</w:t>
            </w:r>
          </w:p>
        </w:tc>
        <w:tc>
          <w:tcPr>
            <w:tcW w:w="2552" w:type="dxa"/>
          </w:tcPr>
          <w:p>
            <w:pPr>
              <w:pStyle w:val="nTable"/>
              <w:spacing w:before="68" w:after="68"/>
            </w:pPr>
            <w:r>
              <w:t xml:space="preserve">1 Jul 1986 (see s. 2 and </w:t>
            </w:r>
            <w:r>
              <w:rPr>
                <w:i/>
              </w:rPr>
              <w:t>Gazette</w:t>
            </w:r>
            <w:r>
              <w:t xml:space="preserve"> 30 Jun 1986 p. 2255)</w:t>
            </w:r>
          </w:p>
        </w:tc>
      </w:tr>
      <w:tr>
        <w:trPr>
          <w:cantSplit/>
        </w:trPr>
        <w:tc>
          <w:tcPr>
            <w:tcW w:w="2269" w:type="dxa"/>
          </w:tcPr>
          <w:p>
            <w:pPr>
              <w:pStyle w:val="nTable"/>
              <w:spacing w:before="68" w:after="68"/>
              <w:ind w:right="113"/>
            </w:pPr>
            <w:r>
              <w:rPr>
                <w:i/>
              </w:rPr>
              <w:t xml:space="preserve">State Government Insurance Commission Act 1986 </w:t>
            </w:r>
            <w:r>
              <w:t>s. 46(2)</w:t>
            </w:r>
          </w:p>
        </w:tc>
        <w:tc>
          <w:tcPr>
            <w:tcW w:w="1134" w:type="dxa"/>
          </w:tcPr>
          <w:p>
            <w:pPr>
              <w:pStyle w:val="nTable"/>
              <w:spacing w:before="68" w:after="68"/>
            </w:pPr>
            <w:r>
              <w:t>51 of 1986</w:t>
            </w:r>
          </w:p>
        </w:tc>
        <w:tc>
          <w:tcPr>
            <w:tcW w:w="1134" w:type="dxa"/>
          </w:tcPr>
          <w:p>
            <w:pPr>
              <w:pStyle w:val="nTable"/>
              <w:spacing w:before="68" w:after="68"/>
            </w:pPr>
            <w:r>
              <w:t>5 Aug 1986</w:t>
            </w:r>
          </w:p>
        </w:tc>
        <w:tc>
          <w:tcPr>
            <w:tcW w:w="2552" w:type="dxa"/>
          </w:tcPr>
          <w:p>
            <w:pPr>
              <w:pStyle w:val="nTable"/>
              <w:spacing w:before="68" w:after="68"/>
            </w:pPr>
            <w:r>
              <w:t xml:space="preserve">1 Jan 1987 (see s. 2 and </w:t>
            </w:r>
            <w:r>
              <w:rPr>
                <w:i/>
              </w:rPr>
              <w:t>Gazette</w:t>
            </w:r>
            <w:r>
              <w:t xml:space="preserve"> 19 Dec 1986 p. 4859)</w:t>
            </w:r>
          </w:p>
        </w:tc>
      </w:tr>
      <w:tr>
        <w:trPr>
          <w:cantSplit/>
        </w:trPr>
        <w:tc>
          <w:tcPr>
            <w:tcW w:w="2269" w:type="dxa"/>
          </w:tcPr>
          <w:p>
            <w:pPr>
              <w:pStyle w:val="nTable"/>
              <w:spacing w:before="68" w:after="68"/>
              <w:ind w:right="113"/>
            </w:pPr>
            <w:r>
              <w:rPr>
                <w:i/>
              </w:rPr>
              <w:t xml:space="preserve">Acts Amendment (Legal Practitioners, Costs and Taxation) Act 1987 </w:t>
            </w:r>
            <w:r>
              <w:t>Pt. XVI</w:t>
            </w:r>
          </w:p>
        </w:tc>
        <w:tc>
          <w:tcPr>
            <w:tcW w:w="1134" w:type="dxa"/>
          </w:tcPr>
          <w:p>
            <w:pPr>
              <w:pStyle w:val="nTable"/>
              <w:spacing w:before="68" w:after="68"/>
            </w:pPr>
            <w:r>
              <w:t>65 of 1987</w:t>
            </w:r>
          </w:p>
        </w:tc>
        <w:tc>
          <w:tcPr>
            <w:tcW w:w="1134" w:type="dxa"/>
          </w:tcPr>
          <w:p>
            <w:pPr>
              <w:pStyle w:val="nTable"/>
              <w:spacing w:before="68" w:after="68"/>
            </w:pPr>
            <w:r>
              <w:t>1 Dec 1987</w:t>
            </w:r>
          </w:p>
        </w:tc>
        <w:tc>
          <w:tcPr>
            <w:tcW w:w="2552" w:type="dxa"/>
          </w:tcPr>
          <w:p>
            <w:pPr>
              <w:pStyle w:val="nTable"/>
              <w:spacing w:before="68" w:after="68"/>
            </w:pPr>
            <w:r>
              <w:t xml:space="preserve">12 Feb 1988 (see s. 2(2) and </w:t>
            </w:r>
            <w:r>
              <w:rPr>
                <w:i/>
              </w:rPr>
              <w:t>Gazette</w:t>
            </w:r>
            <w:r>
              <w:t xml:space="preserve"> 12 Feb 1988 p. 397)</w:t>
            </w:r>
          </w:p>
        </w:tc>
      </w:tr>
      <w:tr>
        <w:trPr>
          <w:cantSplit/>
        </w:trPr>
        <w:tc>
          <w:tcPr>
            <w:tcW w:w="2269" w:type="dxa"/>
          </w:tcPr>
          <w:p>
            <w:pPr>
              <w:pStyle w:val="nTable"/>
              <w:spacing w:before="68" w:after="68"/>
              <w:ind w:right="113"/>
            </w:pPr>
            <w:r>
              <w:rPr>
                <w:i/>
              </w:rPr>
              <w:t xml:space="preserve">R &amp; I Bank Act 1990 </w:t>
            </w:r>
            <w:r>
              <w:t>s. 45(1)</w:t>
            </w:r>
          </w:p>
        </w:tc>
        <w:tc>
          <w:tcPr>
            <w:tcW w:w="1134" w:type="dxa"/>
          </w:tcPr>
          <w:p>
            <w:pPr>
              <w:pStyle w:val="nTable"/>
              <w:spacing w:before="68" w:after="68"/>
            </w:pPr>
            <w:r>
              <w:t>73 of 1990</w:t>
            </w:r>
          </w:p>
        </w:tc>
        <w:tc>
          <w:tcPr>
            <w:tcW w:w="1134" w:type="dxa"/>
          </w:tcPr>
          <w:p>
            <w:pPr>
              <w:pStyle w:val="nTable"/>
              <w:spacing w:before="68" w:after="68"/>
            </w:pPr>
            <w:r>
              <w:t>20 Dec 1990</w:t>
            </w:r>
          </w:p>
        </w:tc>
        <w:tc>
          <w:tcPr>
            <w:tcW w:w="2552" w:type="dxa"/>
          </w:tcPr>
          <w:p>
            <w:pPr>
              <w:pStyle w:val="nTable"/>
              <w:spacing w:before="68" w:after="68"/>
            </w:pPr>
            <w:r>
              <w:t xml:space="preserve">1 Jan 1991 (see s. 2(2) and </w:t>
            </w:r>
            <w:r>
              <w:rPr>
                <w:i/>
              </w:rPr>
              <w:t>Gazette</w:t>
            </w:r>
            <w:r>
              <w:t xml:space="preserve"> 28 Dec 1990 p. 6369)</w:t>
            </w:r>
          </w:p>
        </w:tc>
      </w:tr>
      <w:tr>
        <w:trPr>
          <w:cantSplit/>
        </w:trPr>
        <w:tc>
          <w:tcPr>
            <w:tcW w:w="2269" w:type="dxa"/>
          </w:tcPr>
          <w:p>
            <w:pPr>
              <w:pStyle w:val="nTable"/>
              <w:spacing w:before="68" w:after="68"/>
              <w:ind w:right="113"/>
            </w:pPr>
            <w:r>
              <w:rPr>
                <w:i/>
              </w:rPr>
              <w:t xml:space="preserve">Acts Amendment (Public Sector Management) Act 1994 </w:t>
            </w:r>
            <w:r>
              <w:t>s. 3(2)</w:t>
            </w:r>
          </w:p>
        </w:tc>
        <w:tc>
          <w:tcPr>
            <w:tcW w:w="1134" w:type="dxa"/>
          </w:tcPr>
          <w:p>
            <w:pPr>
              <w:pStyle w:val="nTable"/>
              <w:keepNext/>
              <w:spacing w:before="68" w:after="68"/>
            </w:pPr>
            <w:r>
              <w:t>32 of 1994</w:t>
            </w:r>
          </w:p>
        </w:tc>
        <w:tc>
          <w:tcPr>
            <w:tcW w:w="1134" w:type="dxa"/>
          </w:tcPr>
          <w:p>
            <w:pPr>
              <w:pStyle w:val="nTable"/>
              <w:keepNext/>
              <w:spacing w:before="68" w:after="68"/>
            </w:pPr>
            <w:r>
              <w:t>29 Jun 1994</w:t>
            </w:r>
          </w:p>
        </w:tc>
        <w:tc>
          <w:tcPr>
            <w:tcW w:w="2552" w:type="dxa"/>
          </w:tcPr>
          <w:p>
            <w:pPr>
              <w:pStyle w:val="nTable"/>
              <w:keepNext/>
              <w:spacing w:before="68" w:after="68"/>
            </w:pPr>
            <w:r>
              <w:t xml:space="preserve">1 Oct 1994 (see s. 2 and </w:t>
            </w:r>
            <w:r>
              <w:rPr>
                <w:i/>
              </w:rPr>
              <w:t>Gazette</w:t>
            </w:r>
            <w:r>
              <w:t xml:space="preserve"> 30 Sep 1994 p. 4948)</w:t>
            </w:r>
          </w:p>
        </w:tc>
      </w:tr>
      <w:tr>
        <w:trPr>
          <w:cantSplit/>
        </w:trPr>
        <w:tc>
          <w:tcPr>
            <w:tcW w:w="2269" w:type="dxa"/>
          </w:tcPr>
          <w:p>
            <w:pPr>
              <w:pStyle w:val="nTable"/>
              <w:spacing w:before="68" w:after="68"/>
              <w:ind w:right="113"/>
            </w:pPr>
            <w:r>
              <w:rPr>
                <w:i/>
              </w:rPr>
              <w:t xml:space="preserve">Statutes (Repeals and Minor Amendments) Act 1994 </w:t>
            </w:r>
            <w:r>
              <w:t>s. 4</w:t>
            </w:r>
          </w:p>
        </w:tc>
        <w:tc>
          <w:tcPr>
            <w:tcW w:w="1134" w:type="dxa"/>
          </w:tcPr>
          <w:p>
            <w:pPr>
              <w:pStyle w:val="nTable"/>
              <w:spacing w:before="68" w:after="68"/>
            </w:pPr>
            <w:r>
              <w:t>73 of 1994</w:t>
            </w:r>
          </w:p>
        </w:tc>
        <w:tc>
          <w:tcPr>
            <w:tcW w:w="1134" w:type="dxa"/>
          </w:tcPr>
          <w:p>
            <w:pPr>
              <w:pStyle w:val="nTable"/>
              <w:spacing w:before="68" w:after="68"/>
            </w:pPr>
            <w:r>
              <w:t>9 Dec 1994</w:t>
            </w:r>
          </w:p>
        </w:tc>
        <w:tc>
          <w:tcPr>
            <w:tcW w:w="2552" w:type="dxa"/>
          </w:tcPr>
          <w:p>
            <w:pPr>
              <w:pStyle w:val="nTable"/>
              <w:spacing w:before="68" w:after="68"/>
            </w:pPr>
            <w:r>
              <w:t>9 Dec 1994 (see s. 2)</w:t>
            </w:r>
          </w:p>
        </w:tc>
      </w:tr>
      <w:tr>
        <w:trPr>
          <w:cantSplit/>
        </w:trPr>
        <w:tc>
          <w:tcPr>
            <w:tcW w:w="2269" w:type="dxa"/>
          </w:tcPr>
          <w:p>
            <w:pPr>
              <w:pStyle w:val="nTable"/>
              <w:spacing w:before="68" w:after="68"/>
              <w:ind w:right="113"/>
            </w:pPr>
            <w:r>
              <w:rPr>
                <w:i/>
              </w:rPr>
              <w:t xml:space="preserve">Business Licensing Amendment Act 1995 </w:t>
            </w:r>
            <w:r>
              <w:t>Pt. 9</w:t>
            </w:r>
          </w:p>
        </w:tc>
        <w:tc>
          <w:tcPr>
            <w:tcW w:w="1134" w:type="dxa"/>
          </w:tcPr>
          <w:p>
            <w:pPr>
              <w:pStyle w:val="nTable"/>
              <w:spacing w:before="68" w:after="68"/>
            </w:pPr>
            <w:r>
              <w:t>56 of 1995</w:t>
            </w:r>
          </w:p>
        </w:tc>
        <w:tc>
          <w:tcPr>
            <w:tcW w:w="1134" w:type="dxa"/>
          </w:tcPr>
          <w:p>
            <w:pPr>
              <w:pStyle w:val="nTable"/>
              <w:spacing w:before="68" w:after="68"/>
            </w:pPr>
            <w:r>
              <w:t>20 Dec 1995</w:t>
            </w:r>
          </w:p>
        </w:tc>
        <w:tc>
          <w:tcPr>
            <w:tcW w:w="2552" w:type="dxa"/>
          </w:tcPr>
          <w:p>
            <w:pPr>
              <w:pStyle w:val="nTable"/>
              <w:spacing w:before="68" w:after="68"/>
            </w:pPr>
            <w:r>
              <w:t xml:space="preserve">1 Jul 1996 (see s. 2(2) and </w:t>
            </w:r>
            <w:r>
              <w:rPr>
                <w:i/>
              </w:rPr>
              <w:t>Gazette</w:t>
            </w:r>
            <w:r>
              <w:t xml:space="preserve"> 1 Jul 1996 p. 3179)</w:t>
            </w:r>
          </w:p>
        </w:tc>
      </w:tr>
      <w:tr>
        <w:trPr>
          <w:cantSplit/>
        </w:trPr>
        <w:tc>
          <w:tcPr>
            <w:tcW w:w="2269" w:type="dxa"/>
          </w:tcPr>
          <w:p>
            <w:pPr>
              <w:pStyle w:val="nTable"/>
              <w:spacing w:before="68" w:after="68"/>
              <w:ind w:right="113"/>
              <w:rPr>
                <w:vertAlign w:val="superscript"/>
              </w:rPr>
            </w:pPr>
            <w:r>
              <w:rPr>
                <w:i/>
              </w:rPr>
              <w:t xml:space="preserve">Strata Titles Amendment Act 1995 </w:t>
            </w:r>
            <w:r>
              <w:t>s. 98</w:t>
            </w:r>
          </w:p>
        </w:tc>
        <w:tc>
          <w:tcPr>
            <w:tcW w:w="1134" w:type="dxa"/>
          </w:tcPr>
          <w:p>
            <w:pPr>
              <w:pStyle w:val="nTable"/>
              <w:spacing w:before="68" w:after="68"/>
            </w:pPr>
            <w:r>
              <w:t>58 of 1995</w:t>
            </w:r>
          </w:p>
        </w:tc>
        <w:tc>
          <w:tcPr>
            <w:tcW w:w="1134" w:type="dxa"/>
          </w:tcPr>
          <w:p>
            <w:pPr>
              <w:pStyle w:val="nTable"/>
              <w:spacing w:before="68" w:after="68"/>
            </w:pPr>
            <w:r>
              <w:t>20 Dec 1995</w:t>
            </w:r>
          </w:p>
        </w:tc>
        <w:tc>
          <w:tcPr>
            <w:tcW w:w="2552" w:type="dxa"/>
          </w:tcPr>
          <w:p>
            <w:pPr>
              <w:pStyle w:val="nTable"/>
              <w:spacing w:before="68" w:after="68"/>
            </w:pPr>
            <w:r>
              <w:t xml:space="preserve">14 Apr 1996 (see s. 2 and </w:t>
            </w:r>
            <w:r>
              <w:rPr>
                <w:i/>
              </w:rPr>
              <w:t>Gazette</w:t>
            </w:r>
            <w:r>
              <w:t xml:space="preserve"> 15 Mar 1996 p. 981)</w:t>
            </w:r>
          </w:p>
        </w:tc>
      </w:tr>
      <w:tr>
        <w:trPr>
          <w:cantSplit/>
        </w:trPr>
        <w:tc>
          <w:tcPr>
            <w:tcW w:w="2269" w:type="dxa"/>
          </w:tcPr>
          <w:p>
            <w:pPr>
              <w:pStyle w:val="nTable"/>
              <w:spacing w:before="68" w:after="68"/>
              <w:ind w:right="113"/>
              <w:rPr>
                <w:vertAlign w:val="superscript"/>
              </w:rPr>
            </w:pPr>
            <w:r>
              <w:rPr>
                <w:i/>
              </w:rPr>
              <w:t xml:space="preserve">Real Estate Legislation Amendment Act 1995 </w:t>
            </w:r>
            <w:r>
              <w:t>Pt. 4</w:t>
            </w:r>
            <w:r>
              <w:rPr>
                <w:vertAlign w:val="superscript"/>
              </w:rPr>
              <w:t> 6</w:t>
            </w:r>
          </w:p>
        </w:tc>
        <w:tc>
          <w:tcPr>
            <w:tcW w:w="1134" w:type="dxa"/>
          </w:tcPr>
          <w:p>
            <w:pPr>
              <w:pStyle w:val="nTable"/>
              <w:spacing w:before="68" w:after="68"/>
            </w:pPr>
            <w:r>
              <w:t>59 of 1995</w:t>
            </w:r>
          </w:p>
        </w:tc>
        <w:tc>
          <w:tcPr>
            <w:tcW w:w="1134" w:type="dxa"/>
          </w:tcPr>
          <w:p>
            <w:pPr>
              <w:pStyle w:val="nTable"/>
              <w:spacing w:before="68" w:after="68"/>
            </w:pPr>
            <w:r>
              <w:t>20 Dec 1995</w:t>
            </w:r>
          </w:p>
        </w:tc>
        <w:tc>
          <w:tcPr>
            <w:tcW w:w="2552" w:type="dxa"/>
          </w:tcPr>
          <w:p>
            <w:pPr>
              <w:pStyle w:val="nTable"/>
              <w:spacing w:before="68" w:after="68"/>
            </w:pPr>
            <w:r>
              <w:t xml:space="preserve">1 Jul 1996 (see s. 2 and </w:t>
            </w:r>
            <w:r>
              <w:rPr>
                <w:i/>
              </w:rPr>
              <w:t>Gazette</w:t>
            </w:r>
            <w:r>
              <w:t xml:space="preserve"> 25 Jun 1996 p. 2902)</w:t>
            </w:r>
          </w:p>
        </w:tc>
      </w:tr>
      <w:tr>
        <w:trPr>
          <w:cantSplit/>
        </w:trPr>
        <w:tc>
          <w:tcPr>
            <w:tcW w:w="2269" w:type="dxa"/>
          </w:tcPr>
          <w:p>
            <w:pPr>
              <w:pStyle w:val="nTable"/>
              <w:spacing w:before="68" w:after="68"/>
              <w:ind w:right="113"/>
            </w:pPr>
            <w:r>
              <w:rPr>
                <w:i/>
              </w:rPr>
              <w:t xml:space="preserve">Local Government (Consequential Amendments) Act 1996 </w:t>
            </w:r>
            <w:r>
              <w:t>s. 4</w:t>
            </w:r>
          </w:p>
        </w:tc>
        <w:tc>
          <w:tcPr>
            <w:tcW w:w="1134" w:type="dxa"/>
          </w:tcPr>
          <w:p>
            <w:pPr>
              <w:pStyle w:val="nTable"/>
              <w:spacing w:before="68" w:after="68"/>
            </w:pPr>
            <w:r>
              <w:t>14 of 1996</w:t>
            </w:r>
          </w:p>
        </w:tc>
        <w:tc>
          <w:tcPr>
            <w:tcW w:w="1134" w:type="dxa"/>
          </w:tcPr>
          <w:p>
            <w:pPr>
              <w:pStyle w:val="nTable"/>
              <w:spacing w:before="68" w:after="68"/>
            </w:pPr>
            <w:r>
              <w:t>28 Jun 1996</w:t>
            </w:r>
          </w:p>
        </w:tc>
        <w:tc>
          <w:tcPr>
            <w:tcW w:w="2552" w:type="dxa"/>
          </w:tcPr>
          <w:p>
            <w:pPr>
              <w:pStyle w:val="nTable"/>
              <w:spacing w:before="68" w:after="68"/>
            </w:pPr>
            <w:r>
              <w:t>1 Jul 1996 (see s. 2)</w:t>
            </w:r>
          </w:p>
        </w:tc>
      </w:tr>
      <w:tr>
        <w:trPr>
          <w:cantSplit/>
        </w:trPr>
        <w:tc>
          <w:tcPr>
            <w:tcW w:w="7089" w:type="dxa"/>
            <w:gridSpan w:val="4"/>
          </w:tcPr>
          <w:p>
            <w:pPr>
              <w:pStyle w:val="nTable"/>
              <w:spacing w:before="68" w:after="68"/>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9" w:type="dxa"/>
          </w:tcPr>
          <w:p>
            <w:pPr>
              <w:pStyle w:val="nTable"/>
              <w:spacing w:before="68" w:after="68"/>
              <w:ind w:right="113"/>
            </w:pPr>
            <w:r>
              <w:rPr>
                <w:i/>
              </w:rPr>
              <w:t>Settlement Agents Amendment Act 1996</w:t>
            </w:r>
          </w:p>
        </w:tc>
        <w:tc>
          <w:tcPr>
            <w:tcW w:w="1134" w:type="dxa"/>
          </w:tcPr>
          <w:p>
            <w:pPr>
              <w:pStyle w:val="nTable"/>
              <w:spacing w:before="68" w:after="68"/>
            </w:pPr>
            <w:r>
              <w:t>62 of 1996</w:t>
            </w:r>
          </w:p>
        </w:tc>
        <w:tc>
          <w:tcPr>
            <w:tcW w:w="1134" w:type="dxa"/>
          </w:tcPr>
          <w:p>
            <w:pPr>
              <w:pStyle w:val="nTable"/>
              <w:spacing w:before="68" w:after="68"/>
            </w:pPr>
            <w:r>
              <w:t>11 Nov 1996</w:t>
            </w:r>
          </w:p>
        </w:tc>
        <w:tc>
          <w:tcPr>
            <w:tcW w:w="2552" w:type="dxa"/>
          </w:tcPr>
          <w:p>
            <w:pPr>
              <w:pStyle w:val="nTable"/>
              <w:spacing w:before="68" w:after="68"/>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9" w:type="dxa"/>
          </w:tcPr>
          <w:p>
            <w:pPr>
              <w:pStyle w:val="nTable"/>
              <w:spacing w:before="68" w:after="68"/>
              <w:ind w:right="113"/>
            </w:pPr>
            <w:r>
              <w:rPr>
                <w:i/>
              </w:rPr>
              <w:t xml:space="preserve">Transfer of Land Amendment Act 1996 </w:t>
            </w:r>
            <w:r>
              <w:t>s. 153(1) and (2)</w:t>
            </w:r>
          </w:p>
        </w:tc>
        <w:tc>
          <w:tcPr>
            <w:tcW w:w="1134" w:type="dxa"/>
          </w:tcPr>
          <w:p>
            <w:pPr>
              <w:pStyle w:val="nTable"/>
              <w:spacing w:before="68" w:after="68"/>
            </w:pPr>
            <w:r>
              <w:t>81 of 1996</w:t>
            </w:r>
          </w:p>
        </w:tc>
        <w:tc>
          <w:tcPr>
            <w:tcW w:w="1134" w:type="dxa"/>
          </w:tcPr>
          <w:p>
            <w:pPr>
              <w:pStyle w:val="nTable"/>
              <w:spacing w:before="68" w:after="68"/>
            </w:pPr>
            <w:r>
              <w:t>14 Nov 1996</w:t>
            </w:r>
          </w:p>
        </w:tc>
        <w:tc>
          <w:tcPr>
            <w:tcW w:w="2552" w:type="dxa"/>
          </w:tcPr>
          <w:p>
            <w:pPr>
              <w:pStyle w:val="nTable"/>
              <w:spacing w:before="68" w:after="68"/>
            </w:pPr>
            <w:r>
              <w:t>14 Nov 1996 (see s. 2(1))</w:t>
            </w:r>
          </w:p>
        </w:tc>
      </w:tr>
      <w:tr>
        <w:trPr>
          <w:cantSplit/>
        </w:trPr>
        <w:tc>
          <w:tcPr>
            <w:tcW w:w="2269" w:type="dxa"/>
          </w:tcPr>
          <w:p>
            <w:pPr>
              <w:pStyle w:val="nTable"/>
              <w:spacing w:before="68" w:after="68"/>
              <w:ind w:right="113"/>
            </w:pPr>
            <w:r>
              <w:rPr>
                <w:i/>
              </w:rPr>
              <w:t xml:space="preserve">Acts Amendment (Land Administration) Act 1997 </w:t>
            </w:r>
            <w:r>
              <w:t>s. 141</w:t>
            </w:r>
          </w:p>
        </w:tc>
        <w:tc>
          <w:tcPr>
            <w:tcW w:w="1134" w:type="dxa"/>
          </w:tcPr>
          <w:p>
            <w:pPr>
              <w:pStyle w:val="nTable"/>
              <w:keepNext/>
              <w:keepLines/>
              <w:spacing w:before="68" w:after="68"/>
            </w:pPr>
            <w:r>
              <w:t>31 of 1997</w:t>
            </w:r>
          </w:p>
        </w:tc>
        <w:tc>
          <w:tcPr>
            <w:tcW w:w="1134" w:type="dxa"/>
          </w:tcPr>
          <w:p>
            <w:pPr>
              <w:pStyle w:val="nTable"/>
              <w:keepNext/>
              <w:keepLines/>
              <w:spacing w:before="68" w:after="68"/>
            </w:pPr>
            <w:r>
              <w:t>3 Oct 1997</w:t>
            </w:r>
          </w:p>
        </w:tc>
        <w:tc>
          <w:tcPr>
            <w:tcW w:w="2552" w:type="dxa"/>
          </w:tcPr>
          <w:p>
            <w:pPr>
              <w:pStyle w:val="nTable"/>
              <w:keepNext/>
              <w:keepLines/>
              <w:spacing w:before="68" w:after="68"/>
            </w:pPr>
            <w:r>
              <w:t xml:space="preserve">30 Mar 1998 (see s. 2 and </w:t>
            </w:r>
            <w:r>
              <w:rPr>
                <w:i/>
              </w:rPr>
              <w:t>Gazette</w:t>
            </w:r>
            <w:r>
              <w:t xml:space="preserve"> 27 Mar 1998 p. 1765)</w:t>
            </w:r>
          </w:p>
        </w:tc>
      </w:tr>
      <w:tr>
        <w:trPr>
          <w:cantSplit/>
        </w:trPr>
        <w:tc>
          <w:tcPr>
            <w:tcW w:w="2269" w:type="dxa"/>
          </w:tcPr>
          <w:p>
            <w:pPr>
              <w:pStyle w:val="nTable"/>
              <w:spacing w:before="68" w:after="68"/>
              <w:ind w:right="113"/>
            </w:pPr>
            <w:r>
              <w:rPr>
                <w:i/>
              </w:rPr>
              <w:t xml:space="preserve">Acts Amendment and Repeal (Financial Sector Reform) Act 1999 </w:t>
            </w:r>
            <w:r>
              <w:t>s. 102</w:t>
            </w:r>
          </w:p>
        </w:tc>
        <w:tc>
          <w:tcPr>
            <w:tcW w:w="1134" w:type="dxa"/>
          </w:tcPr>
          <w:p>
            <w:pPr>
              <w:pStyle w:val="nTable"/>
              <w:keepNext/>
              <w:keepLines/>
              <w:spacing w:before="68" w:after="68"/>
            </w:pPr>
            <w:r>
              <w:t>26 of 1999</w:t>
            </w:r>
          </w:p>
        </w:tc>
        <w:tc>
          <w:tcPr>
            <w:tcW w:w="1134" w:type="dxa"/>
          </w:tcPr>
          <w:p>
            <w:pPr>
              <w:pStyle w:val="nTable"/>
              <w:keepNext/>
              <w:keepLines/>
              <w:spacing w:before="68" w:after="68"/>
            </w:pPr>
            <w:r>
              <w:t>29 Jun 1999</w:t>
            </w:r>
          </w:p>
        </w:tc>
        <w:tc>
          <w:tcPr>
            <w:tcW w:w="2552" w:type="dxa"/>
          </w:tcPr>
          <w:p>
            <w:pPr>
              <w:pStyle w:val="nTable"/>
              <w:keepNext/>
              <w:keepLines/>
              <w:spacing w:before="68" w:after="68"/>
            </w:pPr>
            <w:r>
              <w:t xml:space="preserve">1 Jul 1999 (see s. 2(1) and </w:t>
            </w:r>
            <w:r>
              <w:rPr>
                <w:i/>
              </w:rPr>
              <w:t>Gazette</w:t>
            </w:r>
            <w:r>
              <w:t xml:space="preserve"> 30 Jun 1999 p. 2905)</w:t>
            </w:r>
          </w:p>
        </w:tc>
      </w:tr>
      <w:tr>
        <w:trPr>
          <w:cantSplit/>
        </w:trPr>
        <w:tc>
          <w:tcPr>
            <w:tcW w:w="2269" w:type="dxa"/>
          </w:tcPr>
          <w:p>
            <w:pPr>
              <w:pStyle w:val="nTable"/>
              <w:spacing w:before="68" w:after="68"/>
              <w:ind w:right="113"/>
              <w:rPr>
                <w:vertAlign w:val="superscript"/>
              </w:rPr>
            </w:pPr>
            <w:r>
              <w:rPr>
                <w:i/>
              </w:rPr>
              <w:t xml:space="preserve">Real Estate Legislation (Fidelity Guarantee Funds) Amendment Act 2000 </w:t>
            </w:r>
            <w:r>
              <w:t>Pt. 3</w:t>
            </w:r>
            <w:r>
              <w:rPr>
                <w:vertAlign w:val="superscript"/>
              </w:rPr>
              <w:t> 3</w:t>
            </w:r>
          </w:p>
        </w:tc>
        <w:tc>
          <w:tcPr>
            <w:tcW w:w="1134" w:type="dxa"/>
          </w:tcPr>
          <w:p>
            <w:pPr>
              <w:pStyle w:val="nTable"/>
              <w:keepNext/>
              <w:keepLines/>
              <w:spacing w:before="68" w:after="68"/>
            </w:pPr>
            <w:r>
              <w:t>3 of 2000</w:t>
            </w:r>
          </w:p>
        </w:tc>
        <w:tc>
          <w:tcPr>
            <w:tcW w:w="1134" w:type="dxa"/>
          </w:tcPr>
          <w:p>
            <w:pPr>
              <w:pStyle w:val="nTable"/>
              <w:keepNext/>
              <w:keepLines/>
              <w:spacing w:before="68" w:after="68"/>
            </w:pPr>
            <w:r>
              <w:t>12 Apr 2000</w:t>
            </w:r>
          </w:p>
        </w:tc>
        <w:tc>
          <w:tcPr>
            <w:tcW w:w="2552" w:type="dxa"/>
          </w:tcPr>
          <w:p>
            <w:pPr>
              <w:pStyle w:val="nTable"/>
              <w:keepNext/>
              <w:keepLines/>
              <w:spacing w:before="68" w:after="68"/>
            </w:pPr>
            <w:r>
              <w:t>12 Apr 2000 (see s. 2)</w:t>
            </w:r>
          </w:p>
        </w:tc>
      </w:tr>
      <w:tr>
        <w:trPr>
          <w:cantSplit/>
        </w:trPr>
        <w:tc>
          <w:tcPr>
            <w:tcW w:w="7089" w:type="dxa"/>
            <w:gridSpan w:val="4"/>
          </w:tcPr>
          <w:p>
            <w:pPr>
              <w:pStyle w:val="nTable"/>
              <w:spacing w:before="68" w:after="68"/>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9" w:type="dxa"/>
          </w:tcPr>
          <w:p>
            <w:pPr>
              <w:pStyle w:val="nTable"/>
              <w:spacing w:before="68" w:after="68"/>
              <w:ind w:right="113"/>
              <w:rPr>
                <w:i/>
              </w:rPr>
            </w:pPr>
            <w:r>
              <w:rPr>
                <w:i/>
              </w:rPr>
              <w:t xml:space="preserve">Corporations (Consequential Amendments) Act 2001 </w:t>
            </w:r>
            <w:r>
              <w:t>s. 220 and 222</w:t>
            </w:r>
          </w:p>
        </w:tc>
        <w:tc>
          <w:tcPr>
            <w:tcW w:w="1134" w:type="dxa"/>
          </w:tcPr>
          <w:p>
            <w:pPr>
              <w:pStyle w:val="nTable"/>
              <w:keepNext/>
              <w:keepLines/>
              <w:spacing w:before="68" w:after="68"/>
            </w:pPr>
            <w:r>
              <w:t>10 of 2001</w:t>
            </w:r>
          </w:p>
        </w:tc>
        <w:tc>
          <w:tcPr>
            <w:tcW w:w="1134" w:type="dxa"/>
          </w:tcPr>
          <w:p>
            <w:pPr>
              <w:pStyle w:val="nTable"/>
              <w:keepNext/>
              <w:keepLines/>
              <w:spacing w:before="68" w:after="68"/>
            </w:pPr>
            <w:r>
              <w:t>28 Jun 2001</w:t>
            </w:r>
          </w:p>
        </w:tc>
        <w:tc>
          <w:tcPr>
            <w:tcW w:w="2552" w:type="dxa"/>
          </w:tcPr>
          <w:p>
            <w:pPr>
              <w:pStyle w:val="nTable"/>
              <w:keepNext/>
              <w:keepLines/>
              <w:spacing w:before="68" w:after="68"/>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9" w:type="dxa"/>
          </w:tcPr>
          <w:p>
            <w:pPr>
              <w:pStyle w:val="nTable"/>
              <w:spacing w:before="68" w:after="68"/>
              <w:ind w:right="113"/>
              <w:rPr>
                <w:i/>
              </w:rPr>
            </w:pPr>
            <w:r>
              <w:rPr>
                <w:i/>
              </w:rPr>
              <w:t xml:space="preserve">Corporations (Consequential Amendments) Act (No. 3) 2003 </w:t>
            </w:r>
            <w:r>
              <w:t>Pt. 13 </w:t>
            </w:r>
            <w:r>
              <w:rPr>
                <w:vertAlign w:val="superscript"/>
              </w:rPr>
              <w:t>7</w:t>
            </w:r>
          </w:p>
        </w:tc>
        <w:tc>
          <w:tcPr>
            <w:tcW w:w="1134" w:type="dxa"/>
          </w:tcPr>
          <w:p>
            <w:pPr>
              <w:pStyle w:val="nTable"/>
              <w:keepNext/>
              <w:keepLines/>
              <w:spacing w:before="68" w:after="68"/>
            </w:pPr>
            <w:r>
              <w:t>21 of 2003</w:t>
            </w:r>
          </w:p>
        </w:tc>
        <w:tc>
          <w:tcPr>
            <w:tcW w:w="1134" w:type="dxa"/>
          </w:tcPr>
          <w:p>
            <w:pPr>
              <w:pStyle w:val="nTable"/>
              <w:keepNext/>
              <w:keepLines/>
              <w:spacing w:before="68" w:after="68"/>
            </w:pPr>
            <w:r>
              <w:t>23 Apr 2003</w:t>
            </w:r>
          </w:p>
        </w:tc>
        <w:tc>
          <w:tcPr>
            <w:tcW w:w="2552" w:type="dxa"/>
          </w:tcPr>
          <w:p>
            <w:pPr>
              <w:pStyle w:val="nTable"/>
              <w:keepNext/>
              <w:keepLines/>
              <w:spacing w:before="68" w:after="68"/>
            </w:pPr>
            <w:r>
              <w:t xml:space="preserve">11 Mar 2002 (see s. 2 and Cwlth. </w:t>
            </w:r>
            <w:r>
              <w:rPr>
                <w:i/>
              </w:rPr>
              <w:t>Gazette</w:t>
            </w:r>
            <w:r>
              <w:t xml:space="preserve"> 24 Oct 2001 No. GN42)</w:t>
            </w:r>
          </w:p>
        </w:tc>
      </w:tr>
      <w:tr>
        <w:trPr>
          <w:cantSplit/>
        </w:trPr>
        <w:tc>
          <w:tcPr>
            <w:tcW w:w="2269" w:type="dxa"/>
          </w:tcPr>
          <w:p>
            <w:pPr>
              <w:pStyle w:val="nTable"/>
              <w:spacing w:before="68" w:after="68"/>
              <w:ind w:right="113"/>
            </w:pPr>
            <w:r>
              <w:rPr>
                <w:i/>
              </w:rPr>
              <w:t>Acts Amendment (Equality of Status) Act 2003</w:t>
            </w:r>
            <w:r>
              <w:t xml:space="preserve"> Pt. 53</w:t>
            </w:r>
          </w:p>
        </w:tc>
        <w:tc>
          <w:tcPr>
            <w:tcW w:w="1134" w:type="dxa"/>
          </w:tcPr>
          <w:p>
            <w:pPr>
              <w:pStyle w:val="nTable"/>
              <w:keepNext/>
              <w:keepLines/>
              <w:spacing w:before="68" w:after="68"/>
            </w:pPr>
            <w:r>
              <w:t>28 of 2003</w:t>
            </w:r>
          </w:p>
        </w:tc>
        <w:tc>
          <w:tcPr>
            <w:tcW w:w="1134" w:type="dxa"/>
          </w:tcPr>
          <w:p>
            <w:pPr>
              <w:pStyle w:val="nTable"/>
              <w:keepNext/>
              <w:keepLines/>
              <w:spacing w:before="68" w:after="68"/>
            </w:pPr>
            <w:r>
              <w:t>22 May 2003</w:t>
            </w:r>
          </w:p>
        </w:tc>
        <w:tc>
          <w:tcPr>
            <w:tcW w:w="2552" w:type="dxa"/>
          </w:tcPr>
          <w:p>
            <w:pPr>
              <w:pStyle w:val="nTable"/>
              <w:keepNext/>
              <w:keepLines/>
              <w:spacing w:before="68" w:after="68"/>
            </w:pPr>
            <w:r>
              <w:t xml:space="preserve">1 Jul 2003 (see s. 2 and </w:t>
            </w:r>
            <w:r>
              <w:rPr>
                <w:i/>
              </w:rPr>
              <w:t xml:space="preserve">Gazette </w:t>
            </w:r>
            <w:r>
              <w:t>30 Jun 2003 p. 2579)</w:t>
            </w:r>
          </w:p>
        </w:tc>
      </w:tr>
      <w:tr>
        <w:trPr>
          <w:cantSplit/>
        </w:trPr>
        <w:tc>
          <w:tcPr>
            <w:tcW w:w="2269" w:type="dxa"/>
          </w:tcPr>
          <w:p>
            <w:pPr>
              <w:pStyle w:val="nTable"/>
              <w:spacing w:before="68" w:after="68"/>
              <w:ind w:right="113"/>
              <w:rPr>
                <w:i/>
              </w:rPr>
            </w:pPr>
            <w:r>
              <w:rPr>
                <w:i/>
              </w:rPr>
              <w:t>Acts Amendment and Repeal (Courts and Legal Practice) Act 2003</w:t>
            </w:r>
            <w:r>
              <w:t xml:space="preserve"> s</w:t>
            </w:r>
            <w:r>
              <w:rPr>
                <w:i/>
              </w:rPr>
              <w:t>.</w:t>
            </w:r>
            <w:r>
              <w:t> 66</w:t>
            </w:r>
          </w:p>
        </w:tc>
        <w:tc>
          <w:tcPr>
            <w:tcW w:w="1134" w:type="dxa"/>
          </w:tcPr>
          <w:p>
            <w:pPr>
              <w:pStyle w:val="nTable"/>
              <w:keepNext/>
              <w:keepLines/>
              <w:spacing w:before="68" w:after="68"/>
            </w:pPr>
            <w:r>
              <w:t>65 of 2003</w:t>
            </w:r>
          </w:p>
        </w:tc>
        <w:tc>
          <w:tcPr>
            <w:tcW w:w="1134" w:type="dxa"/>
          </w:tcPr>
          <w:p>
            <w:pPr>
              <w:pStyle w:val="nTable"/>
              <w:keepNext/>
              <w:keepLines/>
              <w:spacing w:before="68" w:after="68"/>
            </w:pPr>
            <w:r>
              <w:t>4 Dec 2003</w:t>
            </w:r>
          </w:p>
        </w:tc>
        <w:tc>
          <w:tcPr>
            <w:tcW w:w="2552" w:type="dxa"/>
          </w:tcPr>
          <w:p>
            <w:pPr>
              <w:pStyle w:val="nTable"/>
              <w:keepNext/>
              <w:keepLines/>
              <w:spacing w:before="68" w:after="68"/>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before="68" w:after="68"/>
              <w:ind w:right="113"/>
            </w:pPr>
            <w:r>
              <w:rPr>
                <w:i/>
              </w:rPr>
              <w:t>Statutes (Repeals and Minor Amendments) Act 2003</w:t>
            </w:r>
            <w:r>
              <w:t xml:space="preserve"> s. 109</w:t>
            </w:r>
          </w:p>
        </w:tc>
        <w:tc>
          <w:tcPr>
            <w:tcW w:w="1134" w:type="dxa"/>
          </w:tcPr>
          <w:p>
            <w:pPr>
              <w:pStyle w:val="nTable"/>
              <w:keepNext/>
              <w:keepLines/>
              <w:spacing w:before="68" w:after="68"/>
            </w:pPr>
            <w:r>
              <w:t>74 of 2003</w:t>
            </w:r>
          </w:p>
        </w:tc>
        <w:tc>
          <w:tcPr>
            <w:tcW w:w="1134" w:type="dxa"/>
          </w:tcPr>
          <w:p>
            <w:pPr>
              <w:pStyle w:val="nTable"/>
              <w:keepNext/>
              <w:keepLines/>
              <w:spacing w:before="68" w:after="68"/>
            </w:pPr>
            <w:r>
              <w:t>15 Dec 2003</w:t>
            </w:r>
          </w:p>
        </w:tc>
        <w:tc>
          <w:tcPr>
            <w:tcW w:w="2552" w:type="dxa"/>
          </w:tcPr>
          <w:p>
            <w:pPr>
              <w:pStyle w:val="nTable"/>
              <w:keepNext/>
              <w:keepLines/>
              <w:spacing w:before="68" w:after="68"/>
            </w:pPr>
            <w:r>
              <w:rPr>
                <w:spacing w:val="-2"/>
              </w:rPr>
              <w:t>15 Dec 2003 (see s. 2)</w:t>
            </w:r>
          </w:p>
        </w:tc>
      </w:tr>
      <w:tr>
        <w:trPr>
          <w:cantSplit/>
        </w:trPr>
        <w:tc>
          <w:tcPr>
            <w:tcW w:w="2269" w:type="dxa"/>
          </w:tcPr>
          <w:p>
            <w:pPr>
              <w:pStyle w:val="nTable"/>
              <w:spacing w:before="68" w:after="68"/>
              <w:ind w:right="113"/>
              <w:rPr>
                <w:i/>
              </w:rPr>
            </w:pPr>
            <w:r>
              <w:rPr>
                <w:i/>
                <w:snapToGrid w:val="0"/>
              </w:rPr>
              <w:t>Courts Legislation Amendment and Repeal Act 2004</w:t>
            </w:r>
            <w:r>
              <w:rPr>
                <w:snapToGrid w:val="0"/>
              </w:rPr>
              <w:t xml:space="preserve"> s. 141</w:t>
            </w:r>
          </w:p>
        </w:tc>
        <w:tc>
          <w:tcPr>
            <w:tcW w:w="1134" w:type="dxa"/>
          </w:tcPr>
          <w:p>
            <w:pPr>
              <w:pStyle w:val="nTable"/>
              <w:spacing w:before="68" w:after="68"/>
            </w:pPr>
            <w:r>
              <w:rPr>
                <w:snapToGrid w:val="0"/>
              </w:rPr>
              <w:t>59 of 2004</w:t>
            </w:r>
          </w:p>
        </w:tc>
        <w:tc>
          <w:tcPr>
            <w:tcW w:w="1134" w:type="dxa"/>
          </w:tcPr>
          <w:p>
            <w:pPr>
              <w:pStyle w:val="nTable"/>
              <w:spacing w:before="68" w:after="68"/>
            </w:pPr>
            <w:r>
              <w:t>23 Nov 2004</w:t>
            </w:r>
          </w:p>
        </w:tc>
        <w:tc>
          <w:tcPr>
            <w:tcW w:w="2552" w:type="dxa"/>
          </w:tcPr>
          <w:p>
            <w:pPr>
              <w:pStyle w:val="nTable"/>
              <w:spacing w:before="68" w:after="68"/>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before="68" w:after="68"/>
              <w:ind w:right="113"/>
              <w:rPr>
                <w:i/>
              </w:rPr>
            </w:pPr>
            <w:r>
              <w:rPr>
                <w:i/>
              </w:rPr>
              <w:t xml:space="preserve">State Administrative Tribunal (Conferral of Jurisdiction) Amendment and Repeal Act 2004 </w:t>
            </w:r>
            <w:r>
              <w:t>Pt. 2 Div. 118</w:t>
            </w:r>
            <w:r>
              <w:rPr>
                <w:vertAlign w:val="superscript"/>
              </w:rPr>
              <w:t> 8</w:t>
            </w:r>
          </w:p>
        </w:tc>
        <w:tc>
          <w:tcPr>
            <w:tcW w:w="1134" w:type="dxa"/>
          </w:tcPr>
          <w:p>
            <w:pPr>
              <w:pStyle w:val="nTable"/>
              <w:keepNext/>
              <w:keepLines/>
              <w:spacing w:before="68" w:after="68"/>
            </w:pPr>
            <w:r>
              <w:t>55 of 2004</w:t>
            </w:r>
          </w:p>
        </w:tc>
        <w:tc>
          <w:tcPr>
            <w:tcW w:w="1134" w:type="dxa"/>
          </w:tcPr>
          <w:p>
            <w:pPr>
              <w:pStyle w:val="nTable"/>
              <w:keepNext/>
              <w:keepLines/>
              <w:spacing w:before="68" w:after="68"/>
            </w:pPr>
            <w:r>
              <w:t>24 Nov 2004</w:t>
            </w:r>
          </w:p>
        </w:tc>
        <w:tc>
          <w:tcPr>
            <w:tcW w:w="2552" w:type="dxa"/>
          </w:tcPr>
          <w:p>
            <w:pPr>
              <w:pStyle w:val="nTable"/>
              <w:keepNext/>
              <w:keepLines/>
              <w:spacing w:before="68" w:after="68"/>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9" w:type="dxa"/>
          </w:tcPr>
          <w:p>
            <w:pPr>
              <w:pStyle w:val="nTable"/>
              <w:spacing w:before="68" w:after="68"/>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before="68" w:after="68"/>
            </w:pPr>
            <w:r>
              <w:rPr>
                <w:snapToGrid w:val="0"/>
              </w:rPr>
              <w:t>84 of 2004</w:t>
            </w:r>
          </w:p>
        </w:tc>
        <w:tc>
          <w:tcPr>
            <w:tcW w:w="1134" w:type="dxa"/>
          </w:tcPr>
          <w:p>
            <w:pPr>
              <w:pStyle w:val="nTable"/>
              <w:keepNext/>
              <w:keepLines/>
              <w:spacing w:before="68" w:after="68"/>
            </w:pPr>
            <w:r>
              <w:t>16 Dec 2004</w:t>
            </w:r>
          </w:p>
        </w:tc>
        <w:tc>
          <w:tcPr>
            <w:tcW w:w="2552" w:type="dxa"/>
          </w:tcPr>
          <w:p>
            <w:pPr>
              <w:pStyle w:val="nTable"/>
              <w:keepNext/>
              <w:keepLines/>
              <w:spacing w:before="68" w:after="68"/>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9" w:type="dxa"/>
            <w:gridSpan w:val="4"/>
          </w:tcPr>
          <w:p>
            <w:pPr>
              <w:pStyle w:val="nTable"/>
              <w:spacing w:before="68" w:after="68"/>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9" w:type="dxa"/>
          </w:tcPr>
          <w:p>
            <w:pPr>
              <w:pStyle w:val="nTable"/>
              <w:spacing w:before="68" w:after="68"/>
              <w:ind w:right="113"/>
              <w:rPr>
                <w:i/>
              </w:rPr>
            </w:pPr>
            <w:r>
              <w:rPr>
                <w:i/>
              </w:rPr>
              <w:t>Oaths, Affidavits and Statutory Declarations (Consequential Provisions) Act 2005</w:t>
            </w:r>
            <w:r>
              <w:t xml:space="preserve"> s. 63</w:t>
            </w:r>
          </w:p>
        </w:tc>
        <w:tc>
          <w:tcPr>
            <w:tcW w:w="1134" w:type="dxa"/>
          </w:tcPr>
          <w:p>
            <w:pPr>
              <w:pStyle w:val="nTable"/>
              <w:spacing w:before="68" w:after="68"/>
            </w:pPr>
            <w:r>
              <w:t>24 of 2005</w:t>
            </w:r>
          </w:p>
        </w:tc>
        <w:tc>
          <w:tcPr>
            <w:tcW w:w="1134" w:type="dxa"/>
          </w:tcPr>
          <w:p>
            <w:pPr>
              <w:pStyle w:val="nTable"/>
              <w:spacing w:before="68" w:after="68"/>
            </w:pPr>
            <w:r>
              <w:t>2 Dec 2005</w:t>
            </w:r>
          </w:p>
        </w:tc>
        <w:tc>
          <w:tcPr>
            <w:tcW w:w="2552" w:type="dxa"/>
          </w:tcPr>
          <w:p>
            <w:pPr>
              <w:pStyle w:val="nTable"/>
              <w:spacing w:before="68" w:after="68"/>
            </w:pPr>
            <w:r>
              <w:t xml:space="preserve">1 Jan 2006 (see s. 2 and </w:t>
            </w:r>
            <w:r>
              <w:rPr>
                <w:i/>
              </w:rPr>
              <w:t>Gazette</w:t>
            </w:r>
            <w:r>
              <w:t xml:space="preserve"> 23 Dec 2005 p. 6244)</w:t>
            </w:r>
          </w:p>
        </w:tc>
      </w:tr>
      <w:tr>
        <w:trPr>
          <w:cantSplit/>
        </w:trPr>
        <w:tc>
          <w:tcPr>
            <w:tcW w:w="2269" w:type="dxa"/>
          </w:tcPr>
          <w:p>
            <w:pPr>
              <w:pStyle w:val="nTable"/>
              <w:spacing w:before="68" w:after="68"/>
              <w:ind w:right="113"/>
              <w:rPr>
                <w:i/>
              </w:rPr>
            </w:pPr>
            <w:r>
              <w:rPr>
                <w:i/>
                <w:snapToGrid w:val="0"/>
              </w:rPr>
              <w:t>Planning and Development (Consequential and Transitional Provisions) Act 2005</w:t>
            </w:r>
            <w:r>
              <w:t xml:space="preserve"> s. 15</w:t>
            </w:r>
          </w:p>
        </w:tc>
        <w:tc>
          <w:tcPr>
            <w:tcW w:w="1134" w:type="dxa"/>
          </w:tcPr>
          <w:p>
            <w:pPr>
              <w:pStyle w:val="nTable"/>
              <w:spacing w:before="68" w:after="68"/>
            </w:pPr>
            <w:r>
              <w:rPr>
                <w:snapToGrid w:val="0"/>
              </w:rPr>
              <w:t>38 of 2005</w:t>
            </w:r>
          </w:p>
        </w:tc>
        <w:tc>
          <w:tcPr>
            <w:tcW w:w="1134" w:type="dxa"/>
          </w:tcPr>
          <w:p>
            <w:pPr>
              <w:pStyle w:val="nTable"/>
              <w:spacing w:before="68" w:after="68"/>
            </w:pPr>
            <w:r>
              <w:t>12 Dec 2005</w:t>
            </w:r>
          </w:p>
        </w:tc>
        <w:tc>
          <w:tcPr>
            <w:tcW w:w="2552" w:type="dxa"/>
          </w:tcPr>
          <w:p>
            <w:pPr>
              <w:pStyle w:val="nTable"/>
              <w:spacing w:before="68" w:after="68"/>
            </w:pPr>
            <w:r>
              <w:t xml:space="preserve">9 Apr 2006 (see s. 2 and </w:t>
            </w:r>
            <w:r>
              <w:rPr>
                <w:i/>
              </w:rPr>
              <w:t>Gazette</w:t>
            </w:r>
            <w:r>
              <w:t xml:space="preserve"> 21 Mar 2006 p. 1078)</w:t>
            </w:r>
          </w:p>
        </w:tc>
      </w:tr>
      <w:tr>
        <w:trPr>
          <w:cantSplit/>
        </w:trPr>
        <w:tc>
          <w:tcPr>
            <w:tcW w:w="2269" w:type="dxa"/>
          </w:tcPr>
          <w:p>
            <w:pPr>
              <w:pStyle w:val="nTable"/>
              <w:spacing w:before="68" w:after="68"/>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before="68" w:after="68"/>
              <w:rPr>
                <w:snapToGrid w:val="0"/>
              </w:rPr>
            </w:pPr>
            <w:r>
              <w:rPr>
                <w:snapToGrid w:val="0"/>
              </w:rPr>
              <w:t>60 of 2006</w:t>
            </w:r>
          </w:p>
        </w:tc>
        <w:tc>
          <w:tcPr>
            <w:tcW w:w="1134" w:type="dxa"/>
          </w:tcPr>
          <w:p>
            <w:pPr>
              <w:pStyle w:val="nTable"/>
              <w:spacing w:before="68" w:after="68"/>
            </w:pPr>
            <w:r>
              <w:rPr>
                <w:snapToGrid w:val="0"/>
              </w:rPr>
              <w:t>16 Nov 2006</w:t>
            </w:r>
          </w:p>
        </w:tc>
        <w:tc>
          <w:tcPr>
            <w:tcW w:w="2552" w:type="dxa"/>
          </w:tcPr>
          <w:p>
            <w:pPr>
              <w:pStyle w:val="nTable"/>
              <w:spacing w:before="68" w:after="68"/>
            </w:pPr>
            <w:r>
              <w:t xml:space="preserve">1 Jan 2007 (see s. 2(1) and </w:t>
            </w:r>
            <w:r>
              <w:rPr>
                <w:i/>
              </w:rPr>
              <w:t xml:space="preserve">Gazette </w:t>
            </w:r>
            <w:r>
              <w:t>8 Dec 2006 p. 5369)</w:t>
            </w:r>
          </w:p>
        </w:tc>
      </w:tr>
      <w:tr>
        <w:trPr>
          <w:cantSplit/>
        </w:trPr>
        <w:tc>
          <w:tcPr>
            <w:tcW w:w="2269" w:type="dxa"/>
          </w:tcPr>
          <w:p>
            <w:pPr>
              <w:pStyle w:val="nTable"/>
              <w:spacing w:before="68" w:after="68"/>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before="68" w:after="68"/>
              <w:rPr>
                <w:snapToGrid w:val="0"/>
              </w:rPr>
            </w:pPr>
            <w:r>
              <w:rPr>
                <w:snapToGrid w:val="0"/>
              </w:rPr>
              <w:t>69 of 2006</w:t>
            </w:r>
          </w:p>
        </w:tc>
        <w:tc>
          <w:tcPr>
            <w:tcW w:w="1134" w:type="dxa"/>
          </w:tcPr>
          <w:p>
            <w:pPr>
              <w:pStyle w:val="nTable"/>
              <w:spacing w:before="68" w:after="68"/>
              <w:ind w:right="15"/>
              <w:rPr>
                <w:snapToGrid w:val="0"/>
              </w:rPr>
            </w:pPr>
            <w:r>
              <w:rPr>
                <w:snapToGrid w:val="0"/>
              </w:rPr>
              <w:t>13 Dec 2006</w:t>
            </w:r>
          </w:p>
        </w:tc>
        <w:tc>
          <w:tcPr>
            <w:tcW w:w="2552" w:type="dxa"/>
          </w:tcPr>
          <w:p>
            <w:pPr>
              <w:pStyle w:val="nTable"/>
              <w:keepLines/>
              <w:spacing w:before="68" w:after="68"/>
            </w:pPr>
            <w:r>
              <w:t xml:space="preserve">14 Jul 2007 (see s. 2 and </w:t>
            </w:r>
            <w:r>
              <w:rPr>
                <w:i/>
                <w:iCs/>
              </w:rPr>
              <w:t>Gazette</w:t>
            </w:r>
            <w:r>
              <w:t xml:space="preserve"> 13 Jul 2007 p. 3453)</w:t>
            </w:r>
          </w:p>
        </w:tc>
      </w:tr>
      <w:tr>
        <w:trPr>
          <w:cantSplit/>
        </w:trPr>
        <w:tc>
          <w:tcPr>
            <w:tcW w:w="2269" w:type="dxa"/>
          </w:tcPr>
          <w:p>
            <w:pPr>
              <w:pStyle w:val="nTable"/>
              <w:spacing w:before="68" w:after="68"/>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before="68" w:after="68"/>
              <w:rPr>
                <w:snapToGrid w:val="0"/>
              </w:rPr>
            </w:pPr>
            <w:r>
              <w:rPr>
                <w:snapToGrid w:val="0"/>
              </w:rPr>
              <w:t>77 of 2006</w:t>
            </w:r>
          </w:p>
        </w:tc>
        <w:tc>
          <w:tcPr>
            <w:tcW w:w="1134" w:type="dxa"/>
          </w:tcPr>
          <w:p>
            <w:pPr>
              <w:pStyle w:val="nTable"/>
              <w:spacing w:before="68" w:after="68"/>
              <w:rPr>
                <w:snapToGrid w:val="0"/>
              </w:rPr>
            </w:pPr>
            <w:r>
              <w:rPr>
                <w:snapToGrid w:val="0"/>
              </w:rPr>
              <w:t>21 Dec 2006</w:t>
            </w:r>
          </w:p>
        </w:tc>
        <w:tc>
          <w:tcPr>
            <w:tcW w:w="2552" w:type="dxa"/>
          </w:tcPr>
          <w:p>
            <w:pPr>
              <w:pStyle w:val="nTable"/>
              <w:spacing w:before="68" w:after="68"/>
            </w:pPr>
            <w:r>
              <w:rPr>
                <w:snapToGrid w:val="0"/>
              </w:rPr>
              <w:t xml:space="preserve">1 Feb 2007 (see s. 2(1) and </w:t>
            </w:r>
            <w:r>
              <w:rPr>
                <w:i/>
                <w:snapToGrid w:val="0"/>
              </w:rPr>
              <w:t>Gazette</w:t>
            </w:r>
            <w:r>
              <w:rPr>
                <w:snapToGrid w:val="0"/>
              </w:rPr>
              <w:t xml:space="preserve"> 19 Jan 2007 p. 137)</w:t>
            </w:r>
          </w:p>
        </w:tc>
      </w:tr>
      <w:tr>
        <w:trPr>
          <w:cantSplit/>
        </w:trPr>
        <w:tc>
          <w:tcPr>
            <w:tcW w:w="7089" w:type="dxa"/>
            <w:gridSpan w:val="4"/>
          </w:tcPr>
          <w:p>
            <w:pPr>
              <w:pStyle w:val="nTable"/>
              <w:spacing w:before="68" w:after="68"/>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9" w:type="dxa"/>
          </w:tcPr>
          <w:p>
            <w:pPr>
              <w:pStyle w:val="nTable"/>
              <w:spacing w:before="68" w:after="68"/>
              <w:rPr>
                <w:iCs/>
                <w:vertAlign w:val="superscript"/>
              </w:rPr>
            </w:pPr>
            <w:r>
              <w:rPr>
                <w:i/>
              </w:rPr>
              <w:t>Duties Legislation Amendment Act 2008</w:t>
            </w:r>
            <w:r>
              <w:rPr>
                <w:iCs/>
              </w:rPr>
              <w:t xml:space="preserve"> Sch. 1 cl. 34</w:t>
            </w:r>
          </w:p>
        </w:tc>
        <w:tc>
          <w:tcPr>
            <w:tcW w:w="1134" w:type="dxa"/>
          </w:tcPr>
          <w:p>
            <w:pPr>
              <w:pStyle w:val="nTable"/>
              <w:spacing w:before="68" w:after="68"/>
            </w:pPr>
            <w:r>
              <w:t>12 of 2008</w:t>
            </w:r>
          </w:p>
        </w:tc>
        <w:tc>
          <w:tcPr>
            <w:tcW w:w="1134" w:type="dxa"/>
          </w:tcPr>
          <w:p>
            <w:pPr>
              <w:pStyle w:val="nTable"/>
              <w:spacing w:before="68" w:after="68"/>
            </w:pPr>
            <w:r>
              <w:t>14 Apr 2008</w:t>
            </w:r>
          </w:p>
        </w:tc>
        <w:tc>
          <w:tcPr>
            <w:tcW w:w="2552" w:type="dxa"/>
          </w:tcPr>
          <w:p>
            <w:pPr>
              <w:pStyle w:val="nTable"/>
              <w:spacing w:before="68" w:after="68"/>
            </w:pPr>
            <w:r>
              <w:t>1 Jul 2008 (see s. 2(d))</w:t>
            </w:r>
          </w:p>
        </w:tc>
      </w:tr>
      <w:tr>
        <w:trPr>
          <w:cantSplit/>
        </w:trPr>
        <w:tc>
          <w:tcPr>
            <w:tcW w:w="2269" w:type="dxa"/>
          </w:tcPr>
          <w:p>
            <w:pPr>
              <w:pStyle w:val="nTable"/>
              <w:spacing w:before="68" w:after="68"/>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before="68" w:after="68"/>
            </w:pPr>
            <w:r>
              <w:t>21 of 2008</w:t>
            </w:r>
          </w:p>
        </w:tc>
        <w:tc>
          <w:tcPr>
            <w:tcW w:w="1134" w:type="dxa"/>
          </w:tcPr>
          <w:p>
            <w:pPr>
              <w:pStyle w:val="nTable"/>
              <w:spacing w:before="68" w:after="68"/>
            </w:pPr>
            <w:r>
              <w:t>27 May 2008</w:t>
            </w:r>
          </w:p>
        </w:tc>
        <w:tc>
          <w:tcPr>
            <w:tcW w:w="2552" w:type="dxa"/>
          </w:tcPr>
          <w:p>
            <w:pPr>
              <w:pStyle w:val="nTable"/>
              <w:spacing w:before="68" w:after="68"/>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9" w:type="dxa"/>
          </w:tcPr>
          <w:p>
            <w:pPr>
              <w:pStyle w:val="nTable"/>
              <w:spacing w:before="68" w:after="68"/>
              <w:ind w:right="113"/>
              <w:rPr>
                <w:iCs/>
              </w:rPr>
            </w:pPr>
            <w:r>
              <w:rPr>
                <w:i/>
              </w:rPr>
              <w:t>Statutes (Repeals and Miscellaneous Amendments) Act 2009</w:t>
            </w:r>
            <w:r>
              <w:rPr>
                <w:iCs/>
              </w:rPr>
              <w:t xml:space="preserve"> s. 117</w:t>
            </w:r>
          </w:p>
        </w:tc>
        <w:tc>
          <w:tcPr>
            <w:tcW w:w="1134" w:type="dxa"/>
          </w:tcPr>
          <w:p>
            <w:pPr>
              <w:pStyle w:val="nTable"/>
              <w:spacing w:before="68" w:after="68"/>
            </w:pPr>
            <w:r>
              <w:t xml:space="preserve">8 of 2009 </w:t>
            </w:r>
          </w:p>
        </w:tc>
        <w:tc>
          <w:tcPr>
            <w:tcW w:w="1134" w:type="dxa"/>
          </w:tcPr>
          <w:p>
            <w:pPr>
              <w:pStyle w:val="nTable"/>
              <w:spacing w:before="68" w:after="68"/>
            </w:pPr>
            <w:r>
              <w:t>21 May 2009</w:t>
            </w:r>
          </w:p>
        </w:tc>
        <w:tc>
          <w:tcPr>
            <w:tcW w:w="2552" w:type="dxa"/>
          </w:tcPr>
          <w:p>
            <w:pPr>
              <w:pStyle w:val="nTable"/>
              <w:spacing w:before="68" w:after="68"/>
            </w:pPr>
            <w:r>
              <w:t>22 May 2009 (see s. 2(b))</w:t>
            </w:r>
          </w:p>
        </w:tc>
      </w:tr>
      <w:tr>
        <w:trPr>
          <w:cantSplit/>
        </w:trPr>
        <w:tc>
          <w:tcPr>
            <w:tcW w:w="2269" w:type="dxa"/>
          </w:tcPr>
          <w:p>
            <w:pPr>
              <w:pStyle w:val="nTable"/>
              <w:spacing w:before="68" w:after="68"/>
              <w:rPr>
                <w:iCs/>
                <w:snapToGrid w:val="0"/>
              </w:rPr>
            </w:pPr>
            <w:r>
              <w:rPr>
                <w:i/>
                <w:snapToGrid w:val="0"/>
              </w:rPr>
              <w:t>Acts Amendment (Bankruptcy) Act 2009</w:t>
            </w:r>
            <w:r>
              <w:rPr>
                <w:iCs/>
                <w:snapToGrid w:val="0"/>
              </w:rPr>
              <w:t xml:space="preserve"> s. 80</w:t>
            </w:r>
          </w:p>
        </w:tc>
        <w:tc>
          <w:tcPr>
            <w:tcW w:w="1134" w:type="dxa"/>
          </w:tcPr>
          <w:p>
            <w:pPr>
              <w:pStyle w:val="nTable"/>
              <w:spacing w:before="68" w:after="68"/>
            </w:pPr>
            <w:r>
              <w:t>18 of 2009</w:t>
            </w:r>
          </w:p>
        </w:tc>
        <w:tc>
          <w:tcPr>
            <w:tcW w:w="1134" w:type="dxa"/>
          </w:tcPr>
          <w:p>
            <w:pPr>
              <w:pStyle w:val="nTable"/>
              <w:spacing w:before="68" w:after="68"/>
            </w:pPr>
            <w:r>
              <w:t>16 Sep 2009</w:t>
            </w:r>
          </w:p>
        </w:tc>
        <w:tc>
          <w:tcPr>
            <w:tcW w:w="2552" w:type="dxa"/>
          </w:tcPr>
          <w:p>
            <w:pPr>
              <w:pStyle w:val="nTable"/>
              <w:spacing w:before="68" w:after="68"/>
            </w:pPr>
            <w:r>
              <w:t>17 Sep 2009 (see s. 2(b))</w:t>
            </w:r>
          </w:p>
        </w:tc>
      </w:tr>
      <w:tr>
        <w:trPr>
          <w:cantSplit/>
        </w:trPr>
        <w:tc>
          <w:tcPr>
            <w:tcW w:w="2269" w:type="dxa"/>
          </w:tcPr>
          <w:p>
            <w:pPr>
              <w:pStyle w:val="nTable"/>
              <w:spacing w:before="68" w:after="68"/>
              <w:rPr>
                <w:iCs/>
                <w:snapToGrid w:val="0"/>
              </w:rPr>
            </w:pPr>
            <w:r>
              <w:rPr>
                <w:i/>
                <w:snapToGrid w:val="0"/>
              </w:rPr>
              <w:t>Statutes (Repeals and Minor Amendments) Act 2009</w:t>
            </w:r>
            <w:r>
              <w:rPr>
                <w:iCs/>
                <w:snapToGrid w:val="0"/>
              </w:rPr>
              <w:t xml:space="preserve"> s. 15</w:t>
            </w:r>
          </w:p>
        </w:tc>
        <w:tc>
          <w:tcPr>
            <w:tcW w:w="1134" w:type="dxa"/>
          </w:tcPr>
          <w:p>
            <w:pPr>
              <w:pStyle w:val="nTable"/>
              <w:spacing w:before="68" w:after="68"/>
            </w:pPr>
            <w:r>
              <w:t>46 of 2009</w:t>
            </w:r>
          </w:p>
        </w:tc>
        <w:tc>
          <w:tcPr>
            <w:tcW w:w="1134" w:type="dxa"/>
          </w:tcPr>
          <w:p>
            <w:pPr>
              <w:pStyle w:val="nTable"/>
              <w:spacing w:before="68" w:after="68"/>
            </w:pPr>
            <w:r>
              <w:t>3 Dec 2009</w:t>
            </w:r>
          </w:p>
        </w:tc>
        <w:tc>
          <w:tcPr>
            <w:tcW w:w="2552" w:type="dxa"/>
          </w:tcPr>
          <w:p>
            <w:pPr>
              <w:pStyle w:val="nTable"/>
              <w:spacing w:before="68" w:after="68"/>
            </w:pPr>
            <w:r>
              <w:t>4 Dec 2009 (see s. 2(b))</w:t>
            </w:r>
          </w:p>
        </w:tc>
      </w:tr>
      <w:tr>
        <w:trPr>
          <w:cantSplit/>
        </w:trPr>
        <w:tc>
          <w:tcPr>
            <w:tcW w:w="7089" w:type="dxa"/>
            <w:gridSpan w:val="4"/>
          </w:tcPr>
          <w:p>
            <w:pPr>
              <w:pStyle w:val="nTable"/>
              <w:spacing w:before="68" w:after="68"/>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9" w:type="dxa"/>
          </w:tcPr>
          <w:p>
            <w:pPr>
              <w:pStyle w:val="nTable"/>
              <w:spacing w:before="68" w:after="68"/>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before="68" w:after="68"/>
            </w:pPr>
            <w:r>
              <w:t>14 of 2010</w:t>
            </w:r>
          </w:p>
        </w:tc>
        <w:tc>
          <w:tcPr>
            <w:tcW w:w="1134" w:type="dxa"/>
          </w:tcPr>
          <w:p>
            <w:pPr>
              <w:pStyle w:val="nTable"/>
              <w:spacing w:before="68" w:after="68"/>
            </w:pPr>
            <w:r>
              <w:t>25 Jun 2010</w:t>
            </w:r>
          </w:p>
        </w:tc>
        <w:tc>
          <w:tcPr>
            <w:tcW w:w="2552" w:type="dxa"/>
          </w:tcPr>
          <w:p>
            <w:pPr>
              <w:pStyle w:val="nTable"/>
              <w:spacing w:before="68" w:after="68"/>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before="68" w:after="68"/>
              <w:rPr>
                <w:snapToGrid w:val="0"/>
              </w:rPr>
            </w:pPr>
            <w:r>
              <w:rPr>
                <w:snapToGrid w:val="0"/>
              </w:rPr>
              <w:t>19 of 2010</w:t>
            </w:r>
          </w:p>
        </w:tc>
        <w:tc>
          <w:tcPr>
            <w:tcW w:w="1134" w:type="dxa"/>
            <w:tcBorders>
              <w:top w:val="nil"/>
              <w:bottom w:val="nil"/>
            </w:tcBorders>
          </w:tcPr>
          <w:p>
            <w:pPr>
              <w:pStyle w:val="nTable"/>
              <w:spacing w:before="68" w:after="68"/>
              <w:rPr>
                <w:snapToGrid w:val="0"/>
              </w:rPr>
            </w:pPr>
            <w:r>
              <w:rPr>
                <w:snapToGrid w:val="0"/>
              </w:rPr>
              <w:t>28 Jun 2010</w:t>
            </w:r>
          </w:p>
        </w:tc>
        <w:tc>
          <w:tcPr>
            <w:tcW w:w="2552" w:type="dxa"/>
            <w:tcBorders>
              <w:top w:val="nil"/>
              <w:bottom w:val="nil"/>
            </w:tcBorders>
          </w:tcPr>
          <w:p>
            <w:pPr>
              <w:pStyle w:val="nTable"/>
              <w:spacing w:before="68" w:after="68"/>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before="68" w:after="68"/>
              <w:rPr>
                <w:snapToGrid w:val="0"/>
              </w:rPr>
            </w:pPr>
            <w:r>
              <w:rPr>
                <w:snapToGrid w:val="0"/>
              </w:rPr>
              <w:t>39 of 2010</w:t>
            </w:r>
          </w:p>
        </w:tc>
        <w:tc>
          <w:tcPr>
            <w:tcW w:w="1134" w:type="dxa"/>
            <w:tcBorders>
              <w:top w:val="nil"/>
              <w:bottom w:val="nil"/>
            </w:tcBorders>
          </w:tcPr>
          <w:p>
            <w:pPr>
              <w:pStyle w:val="nTable"/>
              <w:spacing w:before="68" w:after="68"/>
              <w:rPr>
                <w:snapToGrid w:val="0"/>
              </w:rPr>
            </w:pPr>
            <w:r>
              <w:rPr>
                <w:snapToGrid w:val="0"/>
              </w:rPr>
              <w:t>1 Oct 2010</w:t>
            </w:r>
          </w:p>
        </w:tc>
        <w:tc>
          <w:tcPr>
            <w:tcW w:w="2552" w:type="dxa"/>
            <w:tcBorders>
              <w:top w:val="nil"/>
              <w:bottom w:val="nil"/>
            </w:tcBorders>
          </w:tcPr>
          <w:p>
            <w:pPr>
              <w:pStyle w:val="nTable"/>
              <w:spacing w:before="68" w:after="68"/>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rPr>
            </w:pPr>
            <w:r>
              <w:rPr>
                <w:i/>
                <w:noProof/>
                <w:snapToGrid w:val="0"/>
              </w:rPr>
              <w:t>Acts Amendment (Fair Trading) Act 2010</w:t>
            </w:r>
            <w:r>
              <w:rPr>
                <w:iCs/>
                <w:noProof/>
                <w:snapToGrid w:val="0"/>
              </w:rPr>
              <w:t xml:space="preserve"> Pt. 7</w:t>
            </w:r>
            <w:r>
              <w:rPr>
                <w:i/>
                <w:noProof/>
                <w:snapToGrid w:val="0"/>
              </w:rPr>
              <w:t> </w:t>
            </w:r>
          </w:p>
        </w:tc>
        <w:tc>
          <w:tcPr>
            <w:tcW w:w="1134" w:type="dxa"/>
            <w:tcBorders>
              <w:top w:val="nil"/>
              <w:bottom w:val="nil"/>
            </w:tcBorders>
            <w:shd w:val="clear" w:color="auto" w:fill="auto"/>
          </w:tcPr>
          <w:p>
            <w:pPr>
              <w:pStyle w:val="nTable"/>
              <w:spacing w:before="68" w:after="68"/>
              <w:rPr>
                <w:snapToGrid w:val="0"/>
              </w:rPr>
            </w:pPr>
            <w:r>
              <w:t>58 of 2010</w:t>
            </w:r>
          </w:p>
        </w:tc>
        <w:tc>
          <w:tcPr>
            <w:tcW w:w="1134" w:type="dxa"/>
            <w:tcBorders>
              <w:top w:val="nil"/>
              <w:bottom w:val="nil"/>
            </w:tcBorders>
            <w:shd w:val="clear" w:color="auto" w:fill="auto"/>
          </w:tcPr>
          <w:p>
            <w:pPr>
              <w:pStyle w:val="nTable"/>
              <w:spacing w:before="68" w:after="68"/>
              <w:rPr>
                <w:snapToGrid w:val="0"/>
              </w:rPr>
            </w:pPr>
            <w:r>
              <w:t>8 Dec 2010</w:t>
            </w:r>
          </w:p>
        </w:tc>
        <w:tc>
          <w:tcPr>
            <w:tcW w:w="2552" w:type="dxa"/>
            <w:tcBorders>
              <w:top w:val="nil"/>
              <w:bottom w:val="nil"/>
            </w:tcBorders>
            <w:shd w:val="clear" w:color="auto" w:fill="auto"/>
          </w:tcPr>
          <w:p>
            <w:pPr>
              <w:pStyle w:val="nTable"/>
              <w:spacing w:before="68" w:after="68"/>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before="68" w:after="68"/>
              <w:rPr>
                <w:snapToGrid w:val="0"/>
              </w:rPr>
            </w:pPr>
            <w:r>
              <w:rPr>
                <w:snapToGrid w:val="0"/>
              </w:rPr>
              <w:t>42 of 2011</w:t>
            </w:r>
          </w:p>
        </w:tc>
        <w:tc>
          <w:tcPr>
            <w:tcW w:w="1134" w:type="dxa"/>
            <w:tcBorders>
              <w:top w:val="nil"/>
              <w:bottom w:val="nil"/>
            </w:tcBorders>
            <w:shd w:val="clear" w:color="auto" w:fill="auto"/>
          </w:tcPr>
          <w:p>
            <w:pPr>
              <w:pStyle w:val="nTable"/>
              <w:spacing w:before="68" w:after="68"/>
              <w:rPr>
                <w:snapToGrid w:val="0"/>
              </w:rPr>
            </w:pPr>
            <w:r>
              <w:t>4 Oct 2011</w:t>
            </w:r>
          </w:p>
        </w:tc>
        <w:tc>
          <w:tcPr>
            <w:tcW w:w="2552" w:type="dxa"/>
            <w:tcBorders>
              <w:top w:val="nil"/>
              <w:bottom w:val="nil"/>
            </w:tcBorders>
            <w:shd w:val="clear" w:color="auto" w:fill="auto"/>
          </w:tcPr>
          <w:p>
            <w:pPr>
              <w:pStyle w:val="nTable"/>
              <w:spacing w:before="68" w:after="68"/>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spacing w:before="68" w:after="68"/>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before="68" w:after="68"/>
              <w:rPr>
                <w:snapToGrid w:val="0"/>
              </w:rPr>
            </w:pPr>
            <w:r>
              <w:rPr>
                <w:snapToGrid w:val="0"/>
              </w:rPr>
              <w:t>6 of 2012</w:t>
            </w:r>
          </w:p>
        </w:tc>
        <w:tc>
          <w:tcPr>
            <w:tcW w:w="1134" w:type="dxa"/>
            <w:tcBorders>
              <w:top w:val="nil"/>
              <w:bottom w:val="nil"/>
            </w:tcBorders>
            <w:shd w:val="clear" w:color="auto" w:fill="auto"/>
          </w:tcPr>
          <w:p>
            <w:pPr>
              <w:pStyle w:val="nTable"/>
              <w:spacing w:before="68" w:after="68"/>
              <w:rPr>
                <w:snapToGrid w:val="0"/>
              </w:rPr>
            </w:pPr>
            <w:r>
              <w:t>10 Apr 2012</w:t>
            </w:r>
          </w:p>
        </w:tc>
        <w:tc>
          <w:tcPr>
            <w:tcW w:w="2552" w:type="dxa"/>
            <w:tcBorders>
              <w:top w:val="nil"/>
              <w:bottom w:val="nil"/>
            </w:tcBorders>
            <w:shd w:val="clear" w:color="auto" w:fill="auto"/>
          </w:tcPr>
          <w:p>
            <w:pPr>
              <w:pStyle w:val="nTable"/>
              <w:spacing w:before="68" w:after="68"/>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9" w:type="dxa"/>
            <w:tcBorders>
              <w:top w:val="nil"/>
              <w:bottom w:val="nil"/>
              <w:right w:val="nil"/>
            </w:tcBorders>
            <w:shd w:val="clear" w:color="auto" w:fill="auto"/>
          </w:tcPr>
          <w:p>
            <w:pPr>
              <w:pStyle w:val="nTable"/>
              <w:spacing w:before="68" w:after="68"/>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before="68" w:after="68"/>
              <w:rPr>
                <w:snapToGrid w:val="0"/>
              </w:rPr>
            </w:pPr>
            <w:r>
              <w:rPr>
                <w:snapToGrid w:val="0"/>
              </w:rPr>
              <w:t>2 of 2014</w:t>
            </w:r>
          </w:p>
        </w:tc>
        <w:tc>
          <w:tcPr>
            <w:tcW w:w="1134" w:type="dxa"/>
            <w:tcBorders>
              <w:top w:val="nil"/>
              <w:left w:val="nil"/>
              <w:bottom w:val="nil"/>
              <w:right w:val="nil"/>
            </w:tcBorders>
            <w:shd w:val="clear" w:color="auto" w:fill="auto"/>
          </w:tcPr>
          <w:p>
            <w:pPr>
              <w:pStyle w:val="nTable"/>
              <w:spacing w:before="68" w:after="68"/>
            </w:pPr>
            <w:r>
              <w:t>24 Mar 2014</w:t>
            </w:r>
          </w:p>
        </w:tc>
        <w:tc>
          <w:tcPr>
            <w:tcW w:w="2552" w:type="dxa"/>
            <w:tcBorders>
              <w:top w:val="nil"/>
              <w:left w:val="nil"/>
              <w:bottom w:val="nil"/>
            </w:tcBorders>
            <w:shd w:val="clear" w:color="auto" w:fill="auto"/>
          </w:tcPr>
          <w:p>
            <w:pPr>
              <w:pStyle w:val="nTable"/>
              <w:spacing w:before="68" w:after="68"/>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right w:val="nil"/>
            </w:tcBorders>
            <w:shd w:val="clear" w:color="auto" w:fill="auto"/>
          </w:tcPr>
          <w:p>
            <w:pPr>
              <w:pStyle w:val="nTable"/>
              <w:spacing w:before="68" w:after="68"/>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single" w:sz="4" w:space="0" w:color="auto"/>
              <w:right w:val="nil"/>
            </w:tcBorders>
            <w:shd w:val="clear" w:color="auto" w:fill="auto"/>
          </w:tcPr>
          <w:p>
            <w:pPr>
              <w:pStyle w:val="nTable"/>
              <w:spacing w:before="68" w:after="68"/>
              <w:rPr>
                <w:snapToGrid w:val="0"/>
              </w:rPr>
            </w:pPr>
            <w:r>
              <w:rPr>
                <w:snapToGrid w:val="0"/>
              </w:rPr>
              <w:t>23 of 2014</w:t>
            </w:r>
          </w:p>
        </w:tc>
        <w:tc>
          <w:tcPr>
            <w:tcW w:w="1134" w:type="dxa"/>
            <w:tcBorders>
              <w:top w:val="nil"/>
              <w:left w:val="nil"/>
              <w:bottom w:val="single" w:sz="4" w:space="0" w:color="auto"/>
              <w:right w:val="nil"/>
            </w:tcBorders>
            <w:shd w:val="clear" w:color="auto" w:fill="auto"/>
          </w:tcPr>
          <w:p>
            <w:pPr>
              <w:pStyle w:val="nTable"/>
              <w:spacing w:before="68" w:after="68"/>
            </w:pPr>
            <w:r>
              <w:rPr>
                <w:snapToGrid w:val="0"/>
              </w:rPr>
              <w:t>9 Oct 2014</w:t>
            </w:r>
          </w:p>
        </w:tc>
        <w:tc>
          <w:tcPr>
            <w:tcW w:w="2552" w:type="dxa"/>
            <w:tcBorders>
              <w:top w:val="nil"/>
              <w:left w:val="nil"/>
              <w:bottom w:val="single" w:sz="4" w:space="0" w:color="auto"/>
            </w:tcBorders>
            <w:shd w:val="clear" w:color="auto" w:fill="auto"/>
          </w:tcPr>
          <w:p>
            <w:pPr>
              <w:pStyle w:val="nTable"/>
              <w:spacing w:before="68" w:after="68"/>
              <w:rPr>
                <w:snapToGrid w:val="0"/>
              </w:rPr>
            </w:pPr>
            <w:r>
              <w:rPr>
                <w:snapToGrid w:val="0"/>
              </w:rPr>
              <w:t xml:space="preserve">19 Nov 2014 (see s. 2(b) and </w:t>
            </w:r>
            <w:r>
              <w:rPr>
                <w:i/>
                <w:snapToGrid w:val="0"/>
              </w:rPr>
              <w:t>Gazette</w:t>
            </w:r>
            <w:r>
              <w:rPr>
                <w:snapToGrid w:val="0"/>
              </w:rPr>
              <w:t xml:space="preserve"> 18 Nov 2014 p. 4315)</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114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06-h0-01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19 Nov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11" w:name="Schedule"/>
    <w:bookmarkEnd w:id="31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16" w:name="Compilation"/>
    <w:bookmarkEnd w:id="31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17" w:name="DefinedTerms"/>
    <w:bookmarkEnd w:id="31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8" w:name="Coversheet"/>
    <w:bookmarkEnd w:id="31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1C5F213C"/>
    <w:multiLevelType w:val="multilevel"/>
    <w:tmpl w:val="83EECB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30"/>
  </w:num>
  <w:num w:numId="15">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6110947"/>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character" w:customStyle="1" w:styleId="Heading5Char">
    <w:name w:val="Heading 5 Char"/>
    <w:basedOn w:val="DefaultParagraphFont"/>
    <w:link w:val="Heading5"/>
    <w:rPr>
      <w:b/>
      <w:sz w:val="24"/>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character" w:customStyle="1" w:styleId="Heading5Char">
    <w:name w:val="Heading 5 Char"/>
    <w:basedOn w:val="DefaultParagraphFont"/>
    <w:link w:val="Heading5"/>
    <w:rPr>
      <w:b/>
      <w:sz w:val="24"/>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123</Pages>
  <Words>32032</Words>
  <Characters>151835</Characters>
  <Application>Microsoft Office Word</Application>
  <DocSecurity>0</DocSecurity>
  <Lines>3995</Lines>
  <Paragraphs>1977</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181890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1981 - 06-h0-01</dc:title>
  <dc:subject/>
  <dc:creator/>
  <cp:keywords/>
  <dc:description/>
  <cp:lastModifiedBy>svcMRProcess</cp:lastModifiedBy>
  <cp:revision>4</cp:revision>
  <cp:lastPrinted>2011-11-15T03:58:00Z</cp:lastPrinted>
  <dcterms:created xsi:type="dcterms:W3CDTF">2018-09-08T16:06:00Z</dcterms:created>
  <dcterms:modified xsi:type="dcterms:W3CDTF">2018-09-08T16:06:00Z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20141119</vt:lpwstr>
  </property>
  <property fmtid="{D5CDD505-2E9C-101B-9397-08002B2CF9AE}" pid="4" name="DocumentType">
    <vt:lpwstr>Act</vt:lpwstr>
  </property>
  <property fmtid="{D5CDD505-2E9C-101B-9397-08002B2CF9AE}" pid="5" name="OwlsUID">
    <vt:i4>744</vt:i4>
  </property>
  <property fmtid="{D5CDD505-2E9C-101B-9397-08002B2CF9AE}" pid="6" name="ReprintNo">
    <vt:lpwstr>6</vt:lpwstr>
  </property>
  <property fmtid="{D5CDD505-2E9C-101B-9397-08002B2CF9AE}" pid="7" name="ReprintedAsAt">
    <vt:filetime>2011-11-10T16:00:00Z</vt:filetime>
  </property>
  <property fmtid="{D5CDD505-2E9C-101B-9397-08002B2CF9AE}" pid="8" name="AsAtDate">
    <vt:lpwstr>19 Nov 2014</vt:lpwstr>
  </property>
  <property fmtid="{D5CDD505-2E9C-101B-9397-08002B2CF9AE}" pid="9" name="Suffix">
    <vt:lpwstr>06-h0-01</vt:lpwstr>
  </property>
</Properties>
</file>