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Superannuation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_Toc418675171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_Toc418675172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Interpretative provisions</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_Toc418675174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FES employees</w:t>
      </w:r>
      <w:r>
        <w:tab/>
      </w:r>
      <w:r>
        <w:fldChar w:fldCharType="begin"/>
      </w:r>
      <w:r>
        <w:instrText xml:space="preserve"> PAGEREF _Toc418675175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w:t>
      </w:r>
      <w:r>
        <w:tab/>
      </w:r>
      <w:r>
        <w:fldChar w:fldCharType="begin"/>
      </w:r>
      <w:r>
        <w:instrText xml:space="preserve"> PAGEREF _Toc418675176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Total permanent disablement</w:t>
      </w:r>
      <w:r>
        <w:tab/>
      </w:r>
      <w:r>
        <w:fldChar w:fldCharType="begin"/>
      </w:r>
      <w:r>
        <w:instrText xml:space="preserve"> PAGEREF _Toc418675177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Partial permanent disablement</w:t>
      </w:r>
      <w:r>
        <w:tab/>
      </w:r>
      <w:r>
        <w:fldChar w:fldCharType="begin"/>
      </w:r>
      <w:r>
        <w:instrText xml:space="preserve"> PAGEREF _Toc418675178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Superannuation salary</w:t>
      </w:r>
      <w:r>
        <w:tab/>
      </w:r>
      <w:r>
        <w:fldChar w:fldCharType="begin"/>
      </w:r>
      <w:r>
        <w:instrText xml:space="preserve"> PAGEREF _Toc418675179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Final average salary</w:t>
      </w:r>
      <w:r>
        <w:tab/>
      </w:r>
      <w:r>
        <w:fldChar w:fldCharType="begin"/>
      </w:r>
      <w:r>
        <w:instrText xml:space="preserve"> PAGEREF _Toc418675180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Dependants</w:t>
      </w:r>
      <w:r>
        <w:tab/>
      </w:r>
      <w:r>
        <w:fldChar w:fldCharType="begin"/>
      </w:r>
      <w:r>
        <w:instrText xml:space="preserve"> PAGEREF _Toc418675181 \h </w:instrText>
      </w:r>
      <w:r>
        <w:fldChar w:fldCharType="separate"/>
      </w:r>
      <w:r>
        <w:t>11</w:t>
      </w:r>
      <w:r>
        <w:fldChar w:fldCharType="end"/>
      </w:r>
    </w:p>
    <w:p>
      <w:pPr>
        <w:pStyle w:val="TOC8"/>
        <w:rPr>
          <w:rFonts w:asciiTheme="minorHAnsi" w:eastAsiaTheme="minorEastAsia" w:hAnsiTheme="minorHAnsi" w:cstheme="minorBidi"/>
          <w:szCs w:val="22"/>
        </w:rPr>
      </w:pPr>
      <w:r>
        <w:t>9B.</w:t>
      </w:r>
      <w:r>
        <w:tab/>
        <w:t>Earnings rate</w:t>
      </w:r>
      <w:r>
        <w:tab/>
      </w:r>
      <w:r>
        <w:fldChar w:fldCharType="begin"/>
      </w:r>
      <w:r>
        <w:instrText xml:space="preserve"> PAGEREF _Toc418675182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Membership of the Superannuation Fund</w:t>
      </w:r>
    </w:p>
    <w:p>
      <w:pPr>
        <w:pStyle w:val="TOC8"/>
        <w:rPr>
          <w:rFonts w:asciiTheme="minorHAnsi" w:eastAsiaTheme="minorEastAsia" w:hAnsiTheme="minorHAnsi" w:cstheme="minorBidi"/>
          <w:szCs w:val="22"/>
        </w:rPr>
      </w:pPr>
      <w:r>
        <w:t>11.</w:t>
      </w:r>
      <w:r>
        <w:tab/>
        <w:t>Membership of eligible FES employee</w:t>
      </w:r>
      <w:r>
        <w:tab/>
      </w:r>
      <w:r>
        <w:fldChar w:fldCharType="begin"/>
      </w:r>
      <w:r>
        <w:instrText xml:space="preserve"> PAGEREF _Toc418675184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Associated employees</w:t>
      </w:r>
      <w:r>
        <w:tab/>
      </w:r>
      <w:r>
        <w:fldChar w:fldCharType="begin"/>
      </w:r>
      <w:r>
        <w:instrText xml:space="preserve"> PAGEREF _Toc418675185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Temporary and casual employees</w:t>
      </w:r>
      <w:r>
        <w:tab/>
      </w:r>
      <w:r>
        <w:fldChar w:fldCharType="begin"/>
      </w:r>
      <w:r>
        <w:instrText xml:space="preserve"> PAGEREF _Toc418675186 \h </w:instrText>
      </w:r>
      <w:r>
        <w:fldChar w:fldCharType="separate"/>
      </w:r>
      <w:r>
        <w:t>15</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Board members etc.</w:t>
      </w:r>
      <w:r>
        <w:tab/>
      </w:r>
      <w:r>
        <w:fldChar w:fldCharType="begin"/>
      </w:r>
      <w:r>
        <w:instrText xml:space="preserve"> PAGEREF _Toc418675187 \h </w:instrText>
      </w:r>
      <w:r>
        <w:fldChar w:fldCharType="separate"/>
      </w:r>
      <w:r>
        <w:t>16</w:t>
      </w:r>
      <w:r>
        <w:fldChar w:fldCharType="end"/>
      </w:r>
    </w:p>
    <w:p>
      <w:pPr>
        <w:pStyle w:val="TOC8"/>
        <w:rPr>
          <w:rFonts w:asciiTheme="minorHAnsi" w:eastAsiaTheme="minorEastAsia" w:hAnsiTheme="minorHAnsi" w:cstheme="minorBidi"/>
          <w:szCs w:val="22"/>
        </w:rPr>
      </w:pPr>
      <w:r>
        <w:t>12C.</w:t>
      </w:r>
      <w:r>
        <w:tab/>
        <w:t>Spouses and de facto partners of members</w:t>
      </w:r>
      <w:r>
        <w:tab/>
      </w:r>
      <w:r>
        <w:fldChar w:fldCharType="begin"/>
      </w:r>
      <w:r>
        <w:instrText xml:space="preserve"> PAGEREF _Toc418675188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Transfer of employment</w:t>
      </w:r>
      <w:r>
        <w:tab/>
      </w:r>
      <w:r>
        <w:fldChar w:fldCharType="begin"/>
      </w:r>
      <w:r>
        <w:instrText xml:space="preserve"> PAGEREF _Toc418675189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Category transfers</w:t>
      </w:r>
      <w:r>
        <w:tab/>
      </w:r>
      <w:r>
        <w:fldChar w:fldCharType="begin"/>
      </w:r>
      <w:r>
        <w:instrText xml:space="preserve"> PAGEREF _Toc418675190 \h </w:instrText>
      </w:r>
      <w:r>
        <w:fldChar w:fldCharType="separate"/>
      </w:r>
      <w:r>
        <w:t>18</w:t>
      </w:r>
      <w:r>
        <w:fldChar w:fldCharType="end"/>
      </w:r>
    </w:p>
    <w:p>
      <w:pPr>
        <w:pStyle w:val="TOC8"/>
        <w:rPr>
          <w:rFonts w:asciiTheme="minorHAnsi" w:eastAsiaTheme="minorEastAsia" w:hAnsiTheme="minorHAnsi" w:cstheme="minorBidi"/>
          <w:szCs w:val="22"/>
        </w:rPr>
      </w:pPr>
      <w:r>
        <w:t>14A.</w:t>
      </w:r>
      <w:r>
        <w:tab/>
        <w:t>Category A member may elect to transfer notional defined benefit to accumulation account</w:t>
      </w:r>
      <w:r>
        <w:tab/>
      </w:r>
      <w:r>
        <w:fldChar w:fldCharType="begin"/>
      </w:r>
      <w:r>
        <w:instrText xml:space="preserve"> PAGEREF _Toc418675191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Contributions to the Fund</w:t>
      </w:r>
    </w:p>
    <w:p>
      <w:pPr>
        <w:pStyle w:val="TOC8"/>
        <w:rPr>
          <w:rFonts w:asciiTheme="minorHAnsi" w:eastAsiaTheme="minorEastAsia" w:hAnsiTheme="minorHAnsi" w:cstheme="minorBidi"/>
          <w:szCs w:val="22"/>
        </w:rPr>
      </w:pPr>
      <w:r>
        <w:t>15</w:t>
      </w:r>
      <w:r>
        <w:rPr>
          <w:snapToGrid w:val="0"/>
        </w:rPr>
        <w:t>.</w:t>
      </w:r>
      <w:r>
        <w:rPr>
          <w:snapToGrid w:val="0"/>
        </w:rPr>
        <w:tab/>
        <w:t>Contributions by members</w:t>
      </w:r>
      <w:r>
        <w:tab/>
      </w:r>
      <w:r>
        <w:fldChar w:fldCharType="begin"/>
      </w:r>
      <w:r>
        <w:instrText xml:space="preserve"> PAGEREF _Toc418675193 \h </w:instrText>
      </w:r>
      <w:r>
        <w:fldChar w:fldCharType="separate"/>
      </w:r>
      <w:r>
        <w:t>21</w:t>
      </w:r>
      <w:r>
        <w:fldChar w:fldCharType="end"/>
      </w:r>
    </w:p>
    <w:p>
      <w:pPr>
        <w:pStyle w:val="TOC8"/>
        <w:rPr>
          <w:rFonts w:asciiTheme="minorHAnsi" w:eastAsiaTheme="minorEastAsia" w:hAnsiTheme="minorHAnsi" w:cstheme="minorBidi"/>
          <w:szCs w:val="22"/>
        </w:rPr>
      </w:pPr>
      <w:r>
        <w:t>15A.</w:t>
      </w:r>
      <w:r>
        <w:tab/>
        <w:t>Contributions for Category C member</w:t>
      </w:r>
      <w:r>
        <w:tab/>
      </w:r>
      <w:r>
        <w:fldChar w:fldCharType="begin"/>
      </w:r>
      <w:r>
        <w:instrText xml:space="preserve"> PAGEREF _Toc418675194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Contributions by employers — Category A members</w:t>
      </w:r>
      <w:r>
        <w:tab/>
      </w:r>
      <w:r>
        <w:fldChar w:fldCharType="begin"/>
      </w:r>
      <w:r>
        <w:instrText xml:space="preserve"> PAGEREF _Toc418675195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Contributions by employers — Category B members</w:t>
      </w:r>
      <w:r>
        <w:tab/>
      </w:r>
      <w:r>
        <w:fldChar w:fldCharType="begin"/>
      </w:r>
      <w:r>
        <w:instrText xml:space="preserve"> PAGEREF _Toc418675196 \h </w:instrText>
      </w:r>
      <w:r>
        <w:fldChar w:fldCharType="separate"/>
      </w:r>
      <w:r>
        <w:t>25</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Contributions by employers — supplementary disablement benefits</w:t>
      </w:r>
      <w:r>
        <w:tab/>
      </w:r>
      <w:r>
        <w:fldChar w:fldCharType="begin"/>
      </w:r>
      <w:r>
        <w:instrText xml:space="preserve"> PAGEREF _Toc418675197 \h </w:instrText>
      </w:r>
      <w:r>
        <w:fldChar w:fldCharType="separate"/>
      </w:r>
      <w:r>
        <w:t>26</w:t>
      </w:r>
      <w:r>
        <w:fldChar w:fldCharType="end"/>
      </w:r>
    </w:p>
    <w:p>
      <w:pPr>
        <w:pStyle w:val="TOC8"/>
        <w:rPr>
          <w:rFonts w:asciiTheme="minorHAnsi" w:eastAsiaTheme="minorEastAsia" w:hAnsiTheme="minorHAnsi" w:cstheme="minorBidi"/>
          <w:szCs w:val="22"/>
        </w:rPr>
      </w:pPr>
      <w:r>
        <w:t>16BA.</w:t>
      </w:r>
      <w:r>
        <w:tab/>
        <w:t>Acceptance of Commonwealth payments</w:t>
      </w:r>
      <w:r>
        <w:tab/>
      </w:r>
      <w:r>
        <w:fldChar w:fldCharType="begin"/>
      </w:r>
      <w:r>
        <w:instrText xml:space="preserve"> PAGEREF _Toc418675198 \h </w:instrText>
      </w:r>
      <w:r>
        <w:fldChar w:fldCharType="separate"/>
      </w:r>
      <w:r>
        <w:t>26</w:t>
      </w:r>
      <w:r>
        <w:fldChar w:fldCharType="end"/>
      </w:r>
    </w:p>
    <w:p>
      <w:pPr>
        <w:pStyle w:val="TOC8"/>
        <w:rPr>
          <w:rFonts w:asciiTheme="minorHAnsi" w:eastAsiaTheme="minorEastAsia" w:hAnsiTheme="minorHAnsi" w:cstheme="minorBidi"/>
          <w:szCs w:val="22"/>
        </w:rPr>
      </w:pPr>
      <w:r>
        <w:t>16BB.</w:t>
      </w:r>
      <w:r>
        <w:tab/>
        <w:t>Contribution splitting</w:t>
      </w:r>
      <w:r>
        <w:tab/>
      </w:r>
      <w:r>
        <w:fldChar w:fldCharType="begin"/>
      </w:r>
      <w:r>
        <w:instrText xml:space="preserve"> PAGEREF _Toc418675199 \h </w:instrText>
      </w:r>
      <w:r>
        <w:fldChar w:fldCharType="separate"/>
      </w:r>
      <w:r>
        <w:t>27</w:t>
      </w:r>
      <w:r>
        <w:fldChar w:fldCharType="end"/>
      </w:r>
    </w:p>
    <w:p>
      <w:pPr>
        <w:pStyle w:val="TOC8"/>
        <w:rPr>
          <w:rFonts w:asciiTheme="minorHAnsi" w:eastAsiaTheme="minorEastAsia" w:hAnsiTheme="minorHAnsi" w:cstheme="minorBidi"/>
          <w:szCs w:val="22"/>
        </w:rPr>
      </w:pPr>
      <w:r>
        <w:t>16C.</w:t>
      </w:r>
      <w:r>
        <w:tab/>
        <w:t>Accumulation accounts</w:t>
      </w:r>
      <w:r>
        <w:tab/>
      </w:r>
      <w:r>
        <w:fldChar w:fldCharType="begin"/>
      </w:r>
      <w:r>
        <w:instrText xml:space="preserve"> PAGEREF _Toc418675200 \h </w:instrText>
      </w:r>
      <w:r>
        <w:fldChar w:fldCharType="separate"/>
      </w:r>
      <w:r>
        <w:t>27</w:t>
      </w:r>
      <w:r>
        <w:fldChar w:fldCharType="end"/>
      </w:r>
    </w:p>
    <w:p>
      <w:pPr>
        <w:pStyle w:val="TOC8"/>
        <w:rPr>
          <w:rFonts w:asciiTheme="minorHAnsi" w:eastAsiaTheme="minorEastAsia" w:hAnsiTheme="minorHAnsi" w:cstheme="minorBidi"/>
          <w:szCs w:val="22"/>
        </w:rPr>
      </w:pPr>
      <w:r>
        <w:t>16D.</w:t>
      </w:r>
      <w:r>
        <w:tab/>
        <w:t>Insurance for Category B members</w:t>
      </w:r>
      <w:r>
        <w:tab/>
      </w:r>
      <w:r>
        <w:fldChar w:fldCharType="begin"/>
      </w:r>
      <w:r>
        <w:instrText xml:space="preserve"> PAGEREF _Toc418675201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Benefits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Entitlement to benefits</w:t>
      </w:r>
    </w:p>
    <w:p>
      <w:pPr>
        <w:pStyle w:val="TOC8"/>
        <w:rPr>
          <w:rFonts w:asciiTheme="minorHAnsi" w:eastAsiaTheme="minorEastAsia" w:hAnsiTheme="minorHAnsi" w:cstheme="minorBidi"/>
          <w:szCs w:val="22"/>
        </w:rPr>
      </w:pPr>
      <w:r>
        <w:t>17.</w:t>
      </w:r>
      <w:r>
        <w:tab/>
        <w:t>Death benefit — Category A</w:t>
      </w:r>
      <w:r>
        <w:tab/>
      </w:r>
      <w:r>
        <w:fldChar w:fldCharType="begin"/>
      </w:r>
      <w:r>
        <w:instrText xml:space="preserve"> PAGEREF _Toc418675204 \h </w:instrText>
      </w:r>
      <w:r>
        <w:fldChar w:fldCharType="separate"/>
      </w:r>
      <w:r>
        <w:t>31</w:t>
      </w:r>
      <w:r>
        <w:fldChar w:fldCharType="end"/>
      </w:r>
    </w:p>
    <w:p>
      <w:pPr>
        <w:pStyle w:val="TOC8"/>
        <w:rPr>
          <w:rFonts w:asciiTheme="minorHAnsi" w:eastAsiaTheme="minorEastAsia" w:hAnsiTheme="minorHAnsi" w:cstheme="minorBidi"/>
          <w:szCs w:val="22"/>
        </w:rPr>
      </w:pPr>
      <w:r>
        <w:t>18.</w:t>
      </w:r>
      <w:r>
        <w:tab/>
        <w:t>Total and permanent disablement benefit — Category A</w:t>
      </w:r>
      <w:r>
        <w:tab/>
      </w:r>
      <w:r>
        <w:fldChar w:fldCharType="begin"/>
      </w:r>
      <w:r>
        <w:instrText xml:space="preserve"> PAGEREF _Toc418675205 \h </w:instrText>
      </w:r>
      <w:r>
        <w:fldChar w:fldCharType="separate"/>
      </w:r>
      <w:r>
        <w:t>31</w:t>
      </w:r>
      <w:r>
        <w:fldChar w:fldCharType="end"/>
      </w:r>
    </w:p>
    <w:p>
      <w:pPr>
        <w:pStyle w:val="TOC8"/>
        <w:rPr>
          <w:rFonts w:asciiTheme="minorHAnsi" w:eastAsiaTheme="minorEastAsia" w:hAnsiTheme="minorHAnsi" w:cstheme="minorBidi"/>
          <w:szCs w:val="22"/>
        </w:rPr>
      </w:pPr>
      <w:r>
        <w:t>19.</w:t>
      </w:r>
      <w:r>
        <w:tab/>
        <w:t>Partial and permanent disablement benefit — Category A</w:t>
      </w:r>
      <w:r>
        <w:tab/>
      </w:r>
      <w:r>
        <w:fldChar w:fldCharType="begin"/>
      </w:r>
      <w:r>
        <w:instrText xml:space="preserve"> PAGEREF _Toc418675206 \h </w:instrText>
      </w:r>
      <w:r>
        <w:fldChar w:fldCharType="separate"/>
      </w:r>
      <w:r>
        <w:t>32</w:t>
      </w:r>
      <w:r>
        <w:fldChar w:fldCharType="end"/>
      </w:r>
    </w:p>
    <w:p>
      <w:pPr>
        <w:pStyle w:val="TOC8"/>
        <w:rPr>
          <w:rFonts w:asciiTheme="minorHAnsi" w:eastAsiaTheme="minorEastAsia" w:hAnsiTheme="minorHAnsi" w:cstheme="minorBidi"/>
          <w:szCs w:val="22"/>
        </w:rPr>
      </w:pPr>
      <w:r>
        <w:t>20.</w:t>
      </w:r>
      <w:r>
        <w:tab/>
        <w:t>Continuing in employment after 65 — Category A</w:t>
      </w:r>
      <w:r>
        <w:tab/>
      </w:r>
      <w:r>
        <w:fldChar w:fldCharType="begin"/>
      </w:r>
      <w:r>
        <w:instrText xml:space="preserve"> PAGEREF _Toc418675207 \h </w:instrText>
      </w:r>
      <w:r>
        <w:fldChar w:fldCharType="separate"/>
      </w:r>
      <w:r>
        <w:t>32</w:t>
      </w:r>
      <w:r>
        <w:fldChar w:fldCharType="end"/>
      </w:r>
    </w:p>
    <w:p>
      <w:pPr>
        <w:pStyle w:val="TOC8"/>
        <w:rPr>
          <w:rFonts w:asciiTheme="minorHAnsi" w:eastAsiaTheme="minorEastAsia" w:hAnsiTheme="minorHAnsi" w:cstheme="minorBidi"/>
          <w:szCs w:val="22"/>
        </w:rPr>
      </w:pPr>
      <w:r>
        <w:t>21.</w:t>
      </w:r>
      <w:r>
        <w:tab/>
        <w:t>Leaving service benefit — Category A</w:t>
      </w:r>
      <w:r>
        <w:tab/>
      </w:r>
      <w:r>
        <w:fldChar w:fldCharType="begin"/>
      </w:r>
      <w:r>
        <w:instrText xml:space="preserve"> PAGEREF _Toc418675208 \h </w:instrText>
      </w:r>
      <w:r>
        <w:fldChar w:fldCharType="separate"/>
      </w:r>
      <w:r>
        <w:t>32</w:t>
      </w:r>
      <w:r>
        <w:fldChar w:fldCharType="end"/>
      </w:r>
    </w:p>
    <w:p>
      <w:pPr>
        <w:pStyle w:val="TOC8"/>
        <w:rPr>
          <w:rFonts w:asciiTheme="minorHAnsi" w:eastAsiaTheme="minorEastAsia" w:hAnsiTheme="minorHAnsi" w:cstheme="minorBidi"/>
          <w:szCs w:val="22"/>
        </w:rPr>
      </w:pPr>
      <w:r>
        <w:t>21A.</w:t>
      </w:r>
      <w:r>
        <w:tab/>
        <w:t>Benefit — Category B</w:t>
      </w:r>
      <w:r>
        <w:tab/>
      </w:r>
      <w:r>
        <w:fldChar w:fldCharType="begin"/>
      </w:r>
      <w:r>
        <w:instrText xml:space="preserve"> PAGEREF _Toc418675209 \h </w:instrText>
      </w:r>
      <w:r>
        <w:fldChar w:fldCharType="separate"/>
      </w:r>
      <w:r>
        <w:t>33</w:t>
      </w:r>
      <w:r>
        <w:fldChar w:fldCharType="end"/>
      </w:r>
    </w:p>
    <w:p>
      <w:pPr>
        <w:pStyle w:val="TOC8"/>
        <w:rPr>
          <w:rFonts w:asciiTheme="minorHAnsi" w:eastAsiaTheme="minorEastAsia" w:hAnsiTheme="minorHAnsi" w:cstheme="minorBidi"/>
          <w:szCs w:val="22"/>
        </w:rPr>
      </w:pPr>
      <w:r>
        <w:t>21AA.</w:t>
      </w:r>
      <w:r>
        <w:tab/>
        <w:t>Benefit — Category C</w:t>
      </w:r>
      <w:r>
        <w:tab/>
      </w:r>
      <w:r>
        <w:fldChar w:fldCharType="begin"/>
      </w:r>
      <w:r>
        <w:instrText xml:space="preserve"> PAGEREF _Toc418675210 \h </w:instrText>
      </w:r>
      <w:r>
        <w:fldChar w:fldCharType="separate"/>
      </w:r>
      <w:r>
        <w:t>34</w:t>
      </w:r>
      <w:r>
        <w:fldChar w:fldCharType="end"/>
      </w:r>
    </w:p>
    <w:p>
      <w:pPr>
        <w:pStyle w:val="TOC8"/>
        <w:rPr>
          <w:rFonts w:asciiTheme="minorHAnsi" w:eastAsiaTheme="minorEastAsia" w:hAnsiTheme="minorHAnsi" w:cstheme="minorBidi"/>
          <w:szCs w:val="22"/>
        </w:rPr>
      </w:pPr>
      <w:r>
        <w:t>21AB.</w:t>
      </w:r>
      <w:r>
        <w:tab/>
        <w:t>Phased retirement benefit</w:t>
      </w:r>
      <w:r>
        <w:tab/>
      </w:r>
      <w:r>
        <w:fldChar w:fldCharType="begin"/>
      </w:r>
      <w:r>
        <w:instrText xml:space="preserve"> PAGEREF _Toc418675211 \h </w:instrText>
      </w:r>
      <w:r>
        <w:fldChar w:fldCharType="separate"/>
      </w:r>
      <w:r>
        <w:t>34</w:t>
      </w:r>
      <w:r>
        <w:fldChar w:fldCharType="end"/>
      </w:r>
    </w:p>
    <w:p>
      <w:pPr>
        <w:pStyle w:val="TOC8"/>
        <w:rPr>
          <w:rFonts w:asciiTheme="minorHAnsi" w:eastAsiaTheme="minorEastAsia" w:hAnsiTheme="minorHAnsi" w:cstheme="minorBidi"/>
          <w:szCs w:val="22"/>
        </w:rPr>
      </w:pPr>
      <w:r>
        <w:t>21AC.</w:t>
      </w:r>
      <w:r>
        <w:tab/>
        <w:t>Increased death benefit in certain cases</w:t>
      </w:r>
      <w:r>
        <w:tab/>
      </w:r>
      <w:r>
        <w:fldChar w:fldCharType="begin"/>
      </w:r>
      <w:r>
        <w:instrText xml:space="preserve"> PAGEREF _Toc418675212 \h </w:instrText>
      </w:r>
      <w:r>
        <w:fldChar w:fldCharType="separate"/>
      </w:r>
      <w:r>
        <w:t>35</w:t>
      </w:r>
      <w:r>
        <w:fldChar w:fldCharType="end"/>
      </w:r>
    </w:p>
    <w:p>
      <w:pPr>
        <w:pStyle w:val="TOC8"/>
        <w:rPr>
          <w:rFonts w:asciiTheme="minorHAnsi" w:eastAsiaTheme="minorEastAsia" w:hAnsiTheme="minorHAnsi" w:cstheme="minorBidi"/>
          <w:szCs w:val="22"/>
        </w:rPr>
      </w:pPr>
      <w:r>
        <w:t>21B.</w:t>
      </w:r>
      <w:r>
        <w:tab/>
        <w:t>Payment of benefits</w:t>
      </w:r>
      <w:r>
        <w:tab/>
      </w:r>
      <w:r>
        <w:fldChar w:fldCharType="begin"/>
      </w:r>
      <w:r>
        <w:instrText xml:space="preserve"> PAGEREF _Toc418675213 \h </w:instrText>
      </w:r>
      <w:r>
        <w:fldChar w:fldCharType="separate"/>
      </w:r>
      <w:r>
        <w:t>36</w:t>
      </w:r>
      <w:r>
        <w:fldChar w:fldCharType="end"/>
      </w:r>
    </w:p>
    <w:p>
      <w:pPr>
        <w:pStyle w:val="TOC8"/>
        <w:rPr>
          <w:rFonts w:asciiTheme="minorHAnsi" w:eastAsiaTheme="minorEastAsia" w:hAnsiTheme="minorHAnsi" w:cstheme="minorBidi"/>
          <w:szCs w:val="22"/>
        </w:rPr>
      </w:pPr>
      <w:r>
        <w:t>21C.</w:t>
      </w:r>
      <w:r>
        <w:tab/>
        <w:t>Preservation</w:t>
      </w:r>
      <w:r>
        <w:tab/>
      </w:r>
      <w:r>
        <w:fldChar w:fldCharType="begin"/>
      </w:r>
      <w:r>
        <w:instrText xml:space="preserve"> PAGEREF _Toc418675214 \h </w:instrText>
      </w:r>
      <w:r>
        <w:fldChar w:fldCharType="separate"/>
      </w:r>
      <w:r>
        <w:t>37</w:t>
      </w:r>
      <w:r>
        <w:fldChar w:fldCharType="end"/>
      </w:r>
    </w:p>
    <w:p>
      <w:pPr>
        <w:pStyle w:val="TOC8"/>
        <w:rPr>
          <w:rFonts w:asciiTheme="minorHAnsi" w:eastAsiaTheme="minorEastAsia" w:hAnsiTheme="minorHAnsi" w:cstheme="minorBidi"/>
          <w:szCs w:val="22"/>
        </w:rPr>
      </w:pPr>
      <w:r>
        <w:t>21D.</w:t>
      </w:r>
      <w:r>
        <w:tab/>
        <w:t>Delay in payment of benefit</w:t>
      </w:r>
      <w:r>
        <w:tab/>
      </w:r>
      <w:r>
        <w:fldChar w:fldCharType="begin"/>
      </w:r>
      <w:r>
        <w:instrText xml:space="preserve"> PAGEREF _Toc418675215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Retirement benefits — pension option</w:t>
      </w:r>
      <w:r>
        <w:tab/>
      </w:r>
      <w:r>
        <w:fldChar w:fldCharType="begin"/>
      </w:r>
      <w:r>
        <w:instrText xml:space="preserve"> PAGEREF _Toc418675216 \h </w:instrText>
      </w:r>
      <w:r>
        <w:fldChar w:fldCharType="separate"/>
      </w:r>
      <w:r>
        <w:t>38</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Supplementary disablement benefits</w:t>
      </w:r>
      <w:r>
        <w:tab/>
      </w:r>
      <w:r>
        <w:fldChar w:fldCharType="begin"/>
      </w:r>
      <w:r>
        <w:instrText xml:space="preserve"> PAGEREF _Toc418675217 \h </w:instrText>
      </w:r>
      <w:r>
        <w:fldChar w:fldCharType="separate"/>
      </w:r>
      <w:r>
        <w:t>39</w:t>
      </w:r>
      <w:r>
        <w:fldChar w:fldCharType="end"/>
      </w:r>
    </w:p>
    <w:p>
      <w:pPr>
        <w:pStyle w:val="TOC8"/>
        <w:rPr>
          <w:rFonts w:asciiTheme="minorHAnsi" w:eastAsiaTheme="minorEastAsia" w:hAnsiTheme="minorHAnsi" w:cstheme="minorBidi"/>
          <w:szCs w:val="22"/>
        </w:rPr>
      </w:pPr>
      <w:r>
        <w:t>23BA</w:t>
      </w:r>
      <w:r>
        <w:rPr>
          <w:snapToGrid w:val="0"/>
        </w:rPr>
        <w:t>.</w:t>
      </w:r>
      <w:r>
        <w:rPr>
          <w:snapToGrid w:val="0"/>
        </w:rPr>
        <w:tab/>
        <w:t>Electing another method of payment — supplementary disablement benefits</w:t>
      </w:r>
      <w:r>
        <w:tab/>
      </w:r>
      <w:r>
        <w:fldChar w:fldCharType="begin"/>
      </w:r>
      <w:r>
        <w:instrText xml:space="preserve"> PAGEREF _Toc418675218 \h </w:instrText>
      </w:r>
      <w:r>
        <w:fldChar w:fldCharType="separate"/>
      </w:r>
      <w:r>
        <w:t>42</w:t>
      </w:r>
      <w:r>
        <w:fldChar w:fldCharType="end"/>
      </w:r>
    </w:p>
    <w:p>
      <w:pPr>
        <w:pStyle w:val="TOC8"/>
        <w:rPr>
          <w:rFonts w:asciiTheme="minorHAnsi" w:eastAsiaTheme="minorEastAsia" w:hAnsiTheme="minorHAnsi" w:cstheme="minorBidi"/>
          <w:szCs w:val="22"/>
        </w:rPr>
      </w:pPr>
      <w:r>
        <w:t>23C.</w:t>
      </w:r>
      <w:r>
        <w:tab/>
        <w:t>Benefit on death of supplementary disablement beneficiary</w:t>
      </w:r>
      <w:r>
        <w:tab/>
      </w:r>
      <w:r>
        <w:fldChar w:fldCharType="begin"/>
      </w:r>
      <w:r>
        <w:instrText xml:space="preserve"> PAGEREF _Toc418675219 \h </w:instrText>
      </w:r>
      <w:r>
        <w:fldChar w:fldCharType="separate"/>
      </w:r>
      <w:r>
        <w:t>44</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Review of supplementary disablement benefits</w:t>
      </w:r>
      <w:r>
        <w:tab/>
      </w:r>
      <w:r>
        <w:fldChar w:fldCharType="begin"/>
      </w:r>
      <w:r>
        <w:instrText xml:space="preserve"> PAGEREF _Toc418675220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Payment of benefits</w:t>
      </w:r>
    </w:p>
    <w:p>
      <w:pPr>
        <w:pStyle w:val="TOC8"/>
        <w:rPr>
          <w:rFonts w:asciiTheme="minorHAnsi" w:eastAsiaTheme="minorEastAsia" w:hAnsiTheme="minorHAnsi" w:cstheme="minorBidi"/>
          <w:szCs w:val="22"/>
        </w:rPr>
      </w:pPr>
      <w:r>
        <w:t>24</w:t>
      </w:r>
      <w:r>
        <w:rPr>
          <w:snapToGrid w:val="0"/>
        </w:rPr>
        <w:t>.</w:t>
      </w:r>
      <w:r>
        <w:rPr>
          <w:snapToGrid w:val="0"/>
        </w:rPr>
        <w:tab/>
        <w:t>Term used: benefit</w:t>
      </w:r>
      <w:r>
        <w:tab/>
      </w:r>
      <w:r>
        <w:fldChar w:fldCharType="begin"/>
      </w:r>
      <w:r>
        <w:instrText xml:space="preserve"> PAGEREF _Toc418675222 \h </w:instrText>
      </w:r>
      <w:r>
        <w:fldChar w:fldCharType="separate"/>
      </w:r>
      <w:r>
        <w:t>46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Payment of benefits in respect of deceased members</w:t>
      </w:r>
      <w:r>
        <w:tab/>
      </w:r>
      <w:r>
        <w:fldChar w:fldCharType="begin"/>
      </w:r>
      <w:r>
        <w:instrText xml:space="preserve"> PAGEREF _Toc418675223 \h </w:instrText>
      </w:r>
      <w:r>
        <w:fldChar w:fldCharType="separate"/>
      </w:r>
      <w:r>
        <w:t>47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Nomination of dependants to receive benefits</w:t>
      </w:r>
      <w:r>
        <w:tab/>
      </w:r>
      <w:r>
        <w:fldChar w:fldCharType="begin"/>
      </w:r>
      <w:r>
        <w:instrText xml:space="preserve"> PAGEREF _Toc418675224 \h </w:instrText>
      </w:r>
      <w:r>
        <w:fldChar w:fldCharType="separate"/>
      </w:r>
      <w:r>
        <w:t>48</w:t>
      </w:r>
      <w:r>
        <w:fldChar w:fldCharType="end"/>
      </w:r>
    </w:p>
    <w:p>
      <w:pPr>
        <w:pStyle w:val="TOC8"/>
        <w:rPr>
          <w:rFonts w:asciiTheme="minorHAnsi" w:eastAsiaTheme="minorEastAsia" w:hAnsiTheme="minorHAnsi" w:cstheme="minorBidi"/>
          <w:szCs w:val="22"/>
        </w:rPr>
      </w:pPr>
      <w:r>
        <w:t>26.</w:t>
      </w:r>
      <w:r>
        <w:tab/>
        <w:t>Death benefits — direction as to payment</w:t>
      </w:r>
      <w:r>
        <w:tab/>
      </w:r>
      <w:r>
        <w:fldChar w:fldCharType="begin"/>
      </w:r>
      <w:r>
        <w:instrText xml:space="preserve"> PAGEREF _Toc418675225 \h </w:instrText>
      </w:r>
      <w:r>
        <w:fldChar w:fldCharType="separate"/>
      </w:r>
      <w:r>
        <w:t>48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Time and mode of payment of benefits</w:t>
      </w:r>
      <w:r>
        <w:tab/>
      </w:r>
      <w:r>
        <w:fldChar w:fldCharType="begin"/>
      </w:r>
      <w:r>
        <w:instrText xml:space="preserve"> PAGEREF _Toc418675226 \h </w:instrText>
      </w:r>
      <w:r>
        <w:fldChar w:fldCharType="separate"/>
      </w:r>
      <w:r>
        <w:t>49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Proofs</w:t>
      </w:r>
      <w:r>
        <w:tab/>
      </w:r>
      <w:r>
        <w:fldChar w:fldCharType="begin"/>
      </w:r>
      <w:r>
        <w:instrText xml:space="preserve"> PAGEREF _Toc418675227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29.</w:t>
      </w:r>
      <w:r>
        <w:tab/>
        <w:t>Unclaimed benefits</w:t>
      </w:r>
      <w:r>
        <w:tab/>
      </w:r>
      <w:r>
        <w:fldChar w:fldCharType="begin"/>
      </w:r>
      <w:r>
        <w:instrText xml:space="preserve"> PAGEREF _Toc418675229 \h </w:instrText>
      </w:r>
      <w:r>
        <w:fldChar w:fldCharType="separate"/>
      </w:r>
      <w:r>
        <w:t>50</w:t>
      </w:r>
      <w:r>
        <w:fldChar w:fldCharType="end"/>
      </w:r>
    </w:p>
    <w:p>
      <w:pPr>
        <w:pStyle w:val="TOC8"/>
        <w:rPr>
          <w:rFonts w:asciiTheme="minorHAnsi" w:eastAsiaTheme="minorEastAsia" w:hAnsiTheme="minorHAnsi" w:cstheme="minorBidi"/>
          <w:szCs w:val="22"/>
        </w:rPr>
      </w:pPr>
      <w:r>
        <w:t>30.</w:t>
      </w:r>
      <w:r>
        <w:tab/>
        <w:t>Assignment or charge of benefit prohibited</w:t>
      </w:r>
      <w:r>
        <w:tab/>
      </w:r>
      <w:r>
        <w:fldChar w:fldCharType="begin"/>
      </w:r>
      <w:r>
        <w:instrText xml:space="preserve"> PAGEREF _Toc418675230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Deduction of tax from benefits</w:t>
      </w:r>
      <w:r>
        <w:tab/>
      </w:r>
      <w:r>
        <w:fldChar w:fldCharType="begin"/>
      </w:r>
      <w:r>
        <w:instrText xml:space="preserve"> PAGEREF _Toc418675231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Reduction of benefits to the extent of any amount not insured</w:t>
      </w:r>
      <w:r>
        <w:tab/>
      </w:r>
      <w:r>
        <w:fldChar w:fldCharType="begin"/>
      </w:r>
      <w:r>
        <w:instrText xml:space="preserve"> PAGEREF _Toc418675232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Reduction of benefits in case of previous disease or disability</w:t>
      </w:r>
      <w:r>
        <w:tab/>
      </w:r>
      <w:r>
        <w:fldChar w:fldCharType="begin"/>
      </w:r>
      <w:r>
        <w:instrText xml:space="preserve"> PAGEREF _Toc418675233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VI — Associated employers</w:t>
      </w:r>
    </w:p>
    <w:p>
      <w:pPr>
        <w:pStyle w:val="TOC8"/>
        <w:rPr>
          <w:rFonts w:asciiTheme="minorHAnsi" w:eastAsiaTheme="minorEastAsia" w:hAnsiTheme="minorHAnsi" w:cstheme="minorBidi"/>
          <w:szCs w:val="22"/>
        </w:rPr>
      </w:pPr>
      <w:r>
        <w:t>34</w:t>
      </w:r>
      <w:r>
        <w:rPr>
          <w:snapToGrid w:val="0"/>
        </w:rPr>
        <w:t>.</w:t>
      </w:r>
      <w:r>
        <w:rPr>
          <w:snapToGrid w:val="0"/>
        </w:rPr>
        <w:tab/>
        <w:t>Superannuation Board is an associated employer</w:t>
      </w:r>
      <w:r>
        <w:tab/>
      </w:r>
      <w:r>
        <w:fldChar w:fldCharType="begin"/>
      </w:r>
      <w:r>
        <w:instrText xml:space="preserve"> PAGEREF _Toc418675235 \h </w:instrText>
      </w:r>
      <w:r>
        <w:fldChar w:fldCharType="separate"/>
      </w:r>
      <w:r>
        <w:t>54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Admission of other associated employers</w:t>
      </w:r>
      <w:r>
        <w:tab/>
      </w:r>
      <w:r>
        <w:fldChar w:fldCharType="begin"/>
      </w:r>
      <w:r>
        <w:instrText xml:space="preserve"> PAGEREF _Toc418675236 \h </w:instrText>
      </w:r>
      <w:r>
        <w:fldChar w:fldCharType="separate"/>
      </w:r>
      <w:r>
        <w:t>54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Release of associated employers</w:t>
      </w:r>
      <w:r>
        <w:tab/>
      </w:r>
      <w:r>
        <w:fldChar w:fldCharType="begin"/>
      </w:r>
      <w:r>
        <w:instrText xml:space="preserve"> PAGEREF _Toc418675237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associated employers</w:t>
      </w:r>
      <w:r>
        <w:tab/>
      </w:r>
      <w:r>
        <w:fldChar w:fldCharType="begin"/>
      </w:r>
      <w:r>
        <w:instrText xml:space="preserve"> PAGEREF _Toc418675238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37</w:t>
      </w:r>
      <w:r>
        <w:rPr>
          <w:snapToGrid w:val="0"/>
        </w:rPr>
        <w:t>.</w:t>
      </w:r>
      <w:r>
        <w:rPr>
          <w:snapToGrid w:val="0"/>
        </w:rPr>
        <w:tab/>
        <w:t>Contributions for additional benefits</w:t>
      </w:r>
      <w:r>
        <w:tab/>
      </w:r>
      <w:r>
        <w:fldChar w:fldCharType="begin"/>
      </w:r>
      <w:r>
        <w:instrText xml:space="preserve"> PAGEREF _Toc418675240 \h </w:instrText>
      </w:r>
      <w:r>
        <w:fldChar w:fldCharType="separate"/>
      </w:r>
      <w:r>
        <w:t>57</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Distribution of surplus funds</w:t>
      </w:r>
      <w:r>
        <w:tab/>
      </w:r>
      <w:r>
        <w:fldChar w:fldCharType="begin"/>
      </w:r>
      <w:r>
        <w:instrText xml:space="preserve"> PAGEREF _Toc418675241 \h </w:instrText>
      </w:r>
      <w:r>
        <w:fldChar w:fldCharType="separate"/>
      </w:r>
      <w:r>
        <w:t>57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Transfers from other funds</w:t>
      </w:r>
      <w:r>
        <w:tab/>
      </w:r>
      <w:r>
        <w:fldChar w:fldCharType="begin"/>
      </w:r>
      <w:r>
        <w:instrText xml:space="preserve"> PAGEREF _Toc418675242 \h </w:instrText>
      </w:r>
      <w:r>
        <w:fldChar w:fldCharType="separate"/>
      </w:r>
      <w:r>
        <w:t>58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Transfers to other funds</w:t>
      </w:r>
      <w:r>
        <w:tab/>
      </w:r>
      <w:r>
        <w:fldChar w:fldCharType="begin"/>
      </w:r>
      <w:r>
        <w:instrText xml:space="preserve"> PAGEREF _Toc418675243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Temporary cessation of employment and leave without pay</w:t>
      </w:r>
      <w:r>
        <w:tab/>
      </w:r>
      <w:r>
        <w:fldChar w:fldCharType="begin"/>
      </w:r>
      <w:r>
        <w:instrText xml:space="preserve"> PAGEREF _Toc418675244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of regulations to members employed part</w:t>
      </w:r>
      <w:r>
        <w:rPr>
          <w:snapToGrid w:val="0"/>
        </w:rPr>
        <w:noBreakHyphen/>
        <w:t>time</w:t>
      </w:r>
      <w:r>
        <w:tab/>
      </w:r>
      <w:r>
        <w:fldChar w:fldCharType="begin"/>
      </w:r>
      <w:r>
        <w:instrText xml:space="preserve"> PAGEREF _Toc418675245 \h </w:instrText>
      </w:r>
      <w:r>
        <w:fldChar w:fldCharType="separate"/>
      </w:r>
      <w:r>
        <w:t>62</w:t>
      </w:r>
      <w:r>
        <w:fldChar w:fldCharType="end"/>
      </w:r>
    </w:p>
    <w:p>
      <w:pPr>
        <w:pStyle w:val="TOC8"/>
        <w:rPr>
          <w:rFonts w:asciiTheme="minorHAnsi" w:eastAsiaTheme="minorEastAsia" w:hAnsiTheme="minorHAnsi" w:cstheme="minorBidi"/>
          <w:szCs w:val="22"/>
        </w:rPr>
      </w:pPr>
      <w:r>
        <w:t>41A.</w:t>
      </w:r>
      <w:r>
        <w:tab/>
        <w:t>Application of regulations to members reduced in rank</w:t>
      </w:r>
      <w:r>
        <w:tab/>
      </w:r>
      <w:r>
        <w:fldChar w:fldCharType="begin"/>
      </w:r>
      <w:r>
        <w:instrText xml:space="preserve"> PAGEREF _Toc418675246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Requirements for insurance</w:t>
      </w:r>
      <w:r>
        <w:tab/>
      </w:r>
      <w:r>
        <w:fldChar w:fldCharType="begin"/>
      </w:r>
      <w:r>
        <w:instrText xml:space="preserve"> PAGEREF _Toc418675247 \h </w:instrText>
      </w:r>
      <w:r>
        <w:fldChar w:fldCharType="separate"/>
      </w:r>
      <w:r>
        <w:t>65</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Medical examinations</w:t>
      </w:r>
      <w:r>
        <w:tab/>
      </w:r>
      <w:r>
        <w:fldChar w:fldCharType="begin"/>
      </w:r>
      <w:r>
        <w:instrText xml:space="preserve"> PAGEREF _Toc418675248 \h </w:instrText>
      </w:r>
      <w:r>
        <w:fldChar w:fldCharType="separate"/>
      </w:r>
      <w:r>
        <w:t>66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personal claim</w:t>
      </w:r>
      <w:r>
        <w:tab/>
      </w:r>
      <w:r>
        <w:fldChar w:fldCharType="begin"/>
      </w:r>
      <w:r>
        <w:instrText xml:space="preserve"> PAGEREF _Toc418675249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Notices</w:t>
      </w:r>
      <w:r>
        <w:tab/>
      </w:r>
      <w:r>
        <w:fldChar w:fldCharType="begin"/>
      </w:r>
      <w:r>
        <w:instrText xml:space="preserve"> PAGEREF _Toc418675250 \h </w:instrText>
      </w:r>
      <w:r>
        <w:fldChar w:fldCharType="separate"/>
      </w:r>
      <w:r>
        <w:t>67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General meetings of members</w:t>
      </w:r>
      <w:r>
        <w:tab/>
      </w:r>
      <w:r>
        <w:fldChar w:fldCharType="begin"/>
      </w:r>
      <w:r>
        <w:instrText xml:space="preserve"> PAGEREF _Toc418675251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Provision of information to members</w:t>
      </w:r>
      <w:r>
        <w:tab/>
      </w:r>
      <w:r>
        <w:fldChar w:fldCharType="begin"/>
      </w:r>
      <w:r>
        <w:instrText xml:space="preserve"> PAGEREF _Toc418675252 \h </w:instrText>
      </w:r>
      <w:r>
        <w:fldChar w:fldCharType="separate"/>
      </w:r>
      <w:r>
        <w:t>67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Elections of members of the Superannuation Board</w:t>
      </w:r>
      <w:r>
        <w:tab/>
      </w:r>
      <w:r>
        <w:fldChar w:fldCharType="begin"/>
      </w:r>
      <w:r>
        <w:instrText xml:space="preserve"> PAGEREF _Toc418675253 \h </w:instrText>
      </w:r>
      <w:r>
        <w:fldChar w:fldCharType="separate"/>
      </w:r>
      <w:r>
        <w:t>69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Removal of elected member</w:t>
      </w:r>
      <w:r>
        <w:tab/>
      </w:r>
      <w:r>
        <w:fldChar w:fldCharType="begin"/>
      </w:r>
      <w:r>
        <w:instrText xml:space="preserve"> PAGEREF _Toc418675254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Amendments to these regulations</w:t>
      </w:r>
      <w:r>
        <w:tab/>
      </w:r>
      <w:r>
        <w:fldChar w:fldCharType="begin"/>
      </w:r>
      <w:r>
        <w:instrText xml:space="preserve"> PAGEREF _Toc418675255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Defined benefit: death or total and permanent disablement</w:t>
      </w:r>
    </w:p>
    <w:p>
      <w:pPr>
        <w:pStyle w:val="TOC2"/>
        <w:tabs>
          <w:tab w:val="right" w:leader="dot" w:pos="7077"/>
        </w:tabs>
        <w:rPr>
          <w:rFonts w:asciiTheme="minorHAnsi" w:eastAsiaTheme="minorEastAsia" w:hAnsiTheme="minorHAnsi" w:cstheme="minorBidi"/>
          <w:b w:val="0"/>
          <w:sz w:val="22"/>
          <w:szCs w:val="22"/>
        </w:rPr>
      </w:pPr>
      <w:r>
        <w:t>Schedule 1A — Defined benefit: partial and permanent disablement or leaving service</w:t>
      </w:r>
    </w:p>
    <w:p>
      <w:pPr>
        <w:pStyle w:val="TOC2"/>
        <w:tabs>
          <w:tab w:val="right" w:leader="dot" w:pos="7077"/>
        </w:tabs>
        <w:rPr>
          <w:rFonts w:asciiTheme="minorHAnsi" w:eastAsiaTheme="minorEastAsia" w:hAnsiTheme="minorHAnsi" w:cstheme="minorBidi"/>
          <w:b w:val="0"/>
          <w:sz w:val="22"/>
          <w:szCs w:val="22"/>
        </w:rPr>
      </w:pPr>
      <w:r>
        <w:t>Schedule 2 — Membership period for death benefits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General meetings of members of the Superannuation Fund</w:t>
      </w:r>
    </w:p>
    <w:p>
      <w:pPr>
        <w:pStyle w:val="TOC8"/>
        <w:rPr>
          <w:rFonts w:asciiTheme="minorHAnsi" w:eastAsiaTheme="minorEastAsia" w:hAnsiTheme="minorHAnsi" w:cstheme="minorBidi"/>
          <w:szCs w:val="22"/>
        </w:rPr>
      </w:pPr>
      <w:r>
        <w:t>1</w:t>
      </w:r>
      <w:r>
        <w:rPr>
          <w:snapToGrid w:val="0"/>
        </w:rPr>
        <w:t>.</w:t>
      </w:r>
      <w:r>
        <w:rPr>
          <w:snapToGrid w:val="0"/>
        </w:rPr>
        <w:tab/>
        <w:t>Notice of meeting</w:t>
      </w:r>
      <w:r>
        <w:tab/>
      </w:r>
      <w:r>
        <w:fldChar w:fldCharType="begin"/>
      </w:r>
      <w:r>
        <w:instrText xml:space="preserve"> PAGEREF _Toc418675261 \h </w:instrText>
      </w:r>
      <w:r>
        <w:fldChar w:fldCharType="separate"/>
      </w:r>
      <w:r>
        <w:t>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_Toc418675262 \h </w:instrText>
      </w:r>
      <w:r>
        <w:fldChar w:fldCharType="separate"/>
      </w:r>
      <w:r>
        <w:t>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Board members may attend</w:t>
      </w:r>
      <w:r>
        <w:tab/>
      </w:r>
      <w:r>
        <w:fldChar w:fldCharType="begin"/>
      </w:r>
      <w:r>
        <w:instrText xml:space="preserve"> PAGEREF _Toc418675263 \h </w:instrText>
      </w:r>
      <w:r>
        <w:fldChar w:fldCharType="separate"/>
      </w:r>
      <w:r>
        <w:t>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Annual general meeting</w:t>
      </w:r>
      <w:r>
        <w:tab/>
      </w:r>
      <w:r>
        <w:fldChar w:fldCharType="begin"/>
      </w:r>
      <w:r>
        <w:instrText xml:space="preserve"> PAGEREF _Toc418675264 \h </w:instrText>
      </w:r>
      <w:r>
        <w:fldChar w:fldCharType="separate"/>
      </w:r>
      <w:r>
        <w:t>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Special general meeting</w:t>
      </w:r>
      <w:r>
        <w:tab/>
      </w:r>
      <w:r>
        <w:fldChar w:fldCharType="begin"/>
      </w:r>
      <w:r>
        <w:instrText xml:space="preserve"> PAGEREF _Toc418675265 \h </w:instrText>
      </w:r>
      <w:r>
        <w:fldChar w:fldCharType="separate"/>
      </w:r>
      <w:r>
        <w:t>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Mode of voting on motions</w:t>
      </w:r>
      <w:r>
        <w:tab/>
      </w:r>
      <w:r>
        <w:fldChar w:fldCharType="begin"/>
      </w:r>
      <w:r>
        <w:instrText xml:space="preserve"> PAGEREF _Toc418675266 \h </w:instrText>
      </w:r>
      <w:r>
        <w:fldChar w:fldCharType="separate"/>
      </w:r>
      <w:r>
        <w:t>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Voting rights</w:t>
      </w:r>
      <w:r>
        <w:tab/>
      </w:r>
      <w:r>
        <w:fldChar w:fldCharType="begin"/>
      </w:r>
      <w:r>
        <w:instrText xml:space="preserve"> PAGEREF _Toc418675267 \h </w:instrText>
      </w:r>
      <w:r>
        <w:fldChar w:fldCharType="separate"/>
      </w:r>
      <w:r>
        <w:t>77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_Toc418675268 \h </w:instrText>
      </w:r>
      <w:r>
        <w:fldChar w:fldCharType="separate"/>
      </w:r>
      <w:r>
        <w:t>77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w:t>
      </w:r>
      <w:r>
        <w:tab/>
      </w:r>
      <w:r>
        <w:fldChar w:fldCharType="begin"/>
      </w:r>
      <w:r>
        <w:instrText xml:space="preserve"> PAGEREF _Toc418675269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4 — Leaving service benefit — Category A</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Calculation of monthly benefit</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Calculation of annual benefit</w:t>
      </w:r>
    </w:p>
    <w:p>
      <w:pPr>
        <w:pStyle w:val="TOC2"/>
        <w:tabs>
          <w:tab w:val="right" w:leader="dot" w:pos="7077"/>
        </w:tabs>
        <w:rPr>
          <w:rFonts w:asciiTheme="minorHAnsi" w:eastAsiaTheme="minorEastAsia" w:hAnsiTheme="minorHAnsi" w:cstheme="minorBidi"/>
          <w:b w:val="0"/>
          <w:sz w:val="22"/>
          <w:szCs w:val="22"/>
        </w:rPr>
      </w:pPr>
      <w:r>
        <w:t>Schedule 6A</w:t>
      </w:r>
    </w:p>
    <w:p>
      <w:pPr>
        <w:pStyle w:val="TOC2"/>
        <w:tabs>
          <w:tab w:val="right" w:leader="dot" w:pos="7077"/>
        </w:tabs>
        <w:rPr>
          <w:rFonts w:asciiTheme="minorHAnsi" w:eastAsiaTheme="minorEastAsia" w:hAnsiTheme="minorHAnsi" w:cstheme="minorBidi"/>
          <w:b w:val="0"/>
          <w:sz w:val="22"/>
          <w:szCs w:val="22"/>
        </w:rPr>
      </w:pPr>
      <w:r>
        <w:t>Calculation of lump sum benefit</w:t>
      </w:r>
    </w:p>
    <w:p>
      <w:pPr>
        <w:pStyle w:val="TOC2"/>
        <w:tabs>
          <w:tab w:val="right" w:leader="dot" w:pos="7077"/>
        </w:tabs>
        <w:rPr>
          <w:rFonts w:asciiTheme="minorHAnsi" w:eastAsiaTheme="minorEastAsia" w:hAnsiTheme="minorHAnsi" w:cstheme="minorBidi"/>
          <w:b w:val="0"/>
          <w:sz w:val="22"/>
          <w:szCs w:val="22"/>
        </w:rPr>
      </w:pPr>
      <w:r>
        <w:t>Schedule 6B</w:t>
      </w:r>
    </w:p>
    <w:p>
      <w:pPr>
        <w:pStyle w:val="TOC2"/>
        <w:tabs>
          <w:tab w:val="right" w:leader="dot" w:pos="7077"/>
        </w:tabs>
        <w:rPr>
          <w:rFonts w:asciiTheme="minorHAnsi" w:eastAsiaTheme="minorEastAsia" w:hAnsiTheme="minorHAnsi" w:cstheme="minorBidi"/>
          <w:b w:val="0"/>
          <w:sz w:val="22"/>
          <w:szCs w:val="22"/>
        </w:rPr>
      </w:pPr>
      <w:r>
        <w:t>Calculation of monthly benefit instead of lump sum benefit</w:t>
      </w:r>
    </w:p>
    <w:p>
      <w:pPr>
        <w:pStyle w:val="TOC2"/>
        <w:tabs>
          <w:tab w:val="right" w:leader="dot" w:pos="7077"/>
        </w:tabs>
        <w:rPr>
          <w:rFonts w:asciiTheme="minorHAnsi" w:eastAsiaTheme="minorEastAsia" w:hAnsiTheme="minorHAnsi" w:cstheme="minorBidi"/>
          <w:b w:val="0"/>
          <w:sz w:val="22"/>
          <w:szCs w:val="22"/>
        </w:rPr>
      </w:pPr>
      <w:r>
        <w:t>Schedule 6C</w:t>
      </w:r>
    </w:p>
    <w:p>
      <w:pPr>
        <w:pStyle w:val="TOC2"/>
        <w:tabs>
          <w:tab w:val="right" w:leader="dot" w:pos="7077"/>
        </w:tabs>
        <w:rPr>
          <w:rFonts w:asciiTheme="minorHAnsi" w:eastAsiaTheme="minorEastAsia" w:hAnsiTheme="minorHAnsi" w:cstheme="minorBidi"/>
          <w:b w:val="0"/>
          <w:sz w:val="22"/>
          <w:szCs w:val="22"/>
        </w:rPr>
      </w:pPr>
      <w:r>
        <w:t>Calculation of a lump sum benefit instead of monthly benefits</w:t>
      </w:r>
    </w:p>
    <w:p>
      <w:pPr>
        <w:pStyle w:val="TOC2"/>
        <w:tabs>
          <w:tab w:val="right" w:leader="dot" w:pos="7077"/>
        </w:tabs>
        <w:rPr>
          <w:rFonts w:asciiTheme="minorHAnsi" w:eastAsiaTheme="minorEastAsia" w:hAnsiTheme="minorHAnsi" w:cstheme="minorBidi"/>
          <w:b w:val="0"/>
          <w:sz w:val="22"/>
          <w:szCs w:val="22"/>
        </w:rPr>
      </w:pPr>
      <w:r>
        <w:t>Schedule 6D</w:t>
      </w:r>
    </w:p>
    <w:p>
      <w:pPr>
        <w:pStyle w:val="TOC2"/>
        <w:tabs>
          <w:tab w:val="right" w:leader="dot" w:pos="7077"/>
        </w:tabs>
        <w:rPr>
          <w:rFonts w:asciiTheme="minorHAnsi" w:eastAsiaTheme="minorEastAsia" w:hAnsiTheme="minorHAnsi" w:cstheme="minorBidi"/>
          <w:b w:val="0"/>
          <w:sz w:val="22"/>
          <w:szCs w:val="22"/>
        </w:rPr>
      </w:pPr>
      <w:r>
        <w:t>Calculation of a lump sum benefit instead of annual benefits</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Calculation of lump sum or death benefit after election of monthly benefits</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Calculation of lump sum or death benefit after election of annual benefits</w:t>
      </w:r>
    </w:p>
    <w:p>
      <w:pPr>
        <w:pStyle w:val="TOC2"/>
        <w:tabs>
          <w:tab w:val="right" w:leader="dot" w:pos="7077"/>
        </w:tabs>
        <w:rPr>
          <w:rFonts w:asciiTheme="minorHAnsi" w:eastAsiaTheme="minorEastAsia" w:hAnsiTheme="minorHAnsi" w:cstheme="minorBidi"/>
          <w:b w:val="0"/>
          <w:sz w:val="22"/>
          <w:szCs w:val="22"/>
        </w:rPr>
      </w:pPr>
      <w:r>
        <w:t>Schedule 9</w:t>
      </w:r>
    </w:p>
    <w:p>
      <w:pPr>
        <w:pStyle w:val="TOC2"/>
        <w:tabs>
          <w:tab w:val="right" w:leader="dot" w:pos="7077"/>
        </w:tabs>
        <w:rPr>
          <w:rFonts w:asciiTheme="minorHAnsi" w:eastAsiaTheme="minorEastAsia" w:hAnsiTheme="minorHAnsi" w:cstheme="minorBidi"/>
          <w:b w:val="0"/>
          <w:sz w:val="22"/>
          <w:szCs w:val="22"/>
        </w:rPr>
      </w:pPr>
      <w:r>
        <w:t>Calculation of lump sum or death benefit after election of lump sum benefit after 5 years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_Toc418675290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r>
        <w:rPr>
          <w:snapToGrid w:val="0"/>
        </w:rPr>
        <w:t>Fire and Emergency Services Superannuation Act 1985</w:t>
      </w:r>
    </w:p>
    <w:p>
      <w:pPr>
        <w:pStyle w:val="NameofActReg"/>
        <w:spacing w:before="600" w:after="720"/>
      </w:pPr>
      <w:r>
        <w:t>Fire and Emergency Services (Superannuation Fund) Regulations 1986</w:t>
      </w:r>
    </w:p>
    <w:p>
      <w:pPr>
        <w:pStyle w:val="Heading2"/>
        <w:pageBreakBefore w:val="0"/>
        <w:spacing w:before="240"/>
      </w:pPr>
      <w:bookmarkStart w:id="3" w:name="_Toc404668395"/>
      <w:bookmarkStart w:id="4" w:name="_Toc418675049"/>
      <w:bookmarkStart w:id="5" w:name="_Toc418675170"/>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404668396"/>
      <w:bookmarkStart w:id="7" w:name="_Toc41867517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Gazette 2 May 2003 p. 1492.]</w:t>
      </w:r>
    </w:p>
    <w:p>
      <w:pPr>
        <w:pStyle w:val="Heading5"/>
        <w:rPr>
          <w:snapToGrid w:val="0"/>
        </w:rPr>
      </w:pPr>
      <w:bookmarkStart w:id="8" w:name="_Toc404668397"/>
      <w:bookmarkStart w:id="9" w:name="_Toc41867517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10" w:name="_Toc404668398"/>
      <w:bookmarkStart w:id="11" w:name="_Toc418675052"/>
      <w:bookmarkStart w:id="12" w:name="_Toc418675173"/>
      <w:r>
        <w:rPr>
          <w:rStyle w:val="CharPartNo"/>
        </w:rPr>
        <w:t>Part II</w:t>
      </w:r>
      <w:r>
        <w:rPr>
          <w:rStyle w:val="CharDivNo"/>
        </w:rPr>
        <w:t> </w:t>
      </w:r>
      <w:r>
        <w:t>—</w:t>
      </w:r>
      <w:r>
        <w:rPr>
          <w:rStyle w:val="CharDivText"/>
        </w:rPr>
        <w:t> </w:t>
      </w:r>
      <w:r>
        <w:rPr>
          <w:rStyle w:val="CharPartText"/>
        </w:rPr>
        <w:t>Interpretative provisions</w:t>
      </w:r>
      <w:bookmarkEnd w:id="10"/>
      <w:bookmarkEnd w:id="11"/>
      <w:bookmarkEnd w:id="12"/>
      <w:r>
        <w:rPr>
          <w:rStyle w:val="CharPartText"/>
        </w:rPr>
        <w:t xml:space="preserve"> </w:t>
      </w:r>
    </w:p>
    <w:p>
      <w:pPr>
        <w:pStyle w:val="Heading5"/>
        <w:rPr>
          <w:snapToGrid w:val="0"/>
        </w:rPr>
      </w:pPr>
      <w:bookmarkStart w:id="13" w:name="_Toc404668399"/>
      <w:bookmarkStart w:id="14" w:name="_Toc41867517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rStyle w:val="CharDefText"/>
        </w:rPr>
        <w:t>accumulation account</w:t>
      </w:r>
      <w:r>
        <w:t xml:space="preserve"> means the account kept for a member under regulation 16C;</w:t>
      </w:r>
    </w:p>
    <w:p>
      <w:pPr>
        <w:pStyle w:val="Defstart"/>
      </w:pPr>
      <w:r>
        <w:rPr>
          <w:b/>
        </w:rPr>
        <w:tab/>
      </w:r>
      <w:r>
        <w:rPr>
          <w:rStyle w:val="CharDefText"/>
        </w:rPr>
        <w:t>actuarial report</w:t>
      </w:r>
      <w:r>
        <w:t xml:space="preserve"> means a report received by the Superannuation Board under section 17(3) of the Act;</w:t>
      </w:r>
    </w:p>
    <w:p>
      <w:pPr>
        <w:pStyle w:val="Defstart"/>
      </w:pPr>
      <w:r>
        <w:rPr>
          <w:b/>
        </w:rPr>
        <w:tab/>
      </w:r>
      <w:r>
        <w:rPr>
          <w:rStyle w:val="CharDefText"/>
        </w:rPr>
        <w:t>Category A member</w:t>
      </w:r>
      <w:r>
        <w:t xml:space="preserve"> means a member other than — </w:t>
      </w:r>
    </w:p>
    <w:p>
      <w:pPr>
        <w:pStyle w:val="Defpara"/>
      </w:pPr>
      <w:r>
        <w:tab/>
        <w:t>(a)</w:t>
      </w:r>
      <w:r>
        <w:tab/>
        <w:t>a Category B member; or</w:t>
      </w:r>
    </w:p>
    <w:p>
      <w:pPr>
        <w:pStyle w:val="Defpara"/>
      </w:pPr>
      <w:r>
        <w:tab/>
        <w:t>(aa)</w:t>
      </w:r>
      <w:r>
        <w:tab/>
        <w:t>a Category C member; or</w:t>
      </w:r>
    </w:p>
    <w:p>
      <w:pPr>
        <w:pStyle w:val="Defpara"/>
      </w:pPr>
      <w:r>
        <w:tab/>
        <w:t>(b)</w:t>
      </w:r>
      <w:r>
        <w:tab/>
        <w:t xml:space="preserve">a member referred to in paragraph (b) of the definition of </w:t>
      </w:r>
      <w:r>
        <w:rPr>
          <w:b/>
          <w:i/>
        </w:rPr>
        <w:t>member</w:t>
      </w:r>
      <w:r>
        <w:t xml:space="preserve"> in this subregulation;</w:t>
      </w:r>
    </w:p>
    <w:p>
      <w:pPr>
        <w:pStyle w:val="Defstart"/>
      </w:pPr>
      <w:r>
        <w:rPr>
          <w:b/>
        </w:rPr>
        <w:tab/>
      </w:r>
      <w:r>
        <w:rPr>
          <w:rStyle w:val="CharDefText"/>
        </w:rPr>
        <w:t>Category B member</w:t>
      </w:r>
      <w:r>
        <w:t xml:space="preserve"> means a member under regulation 11(2), 12A(2) or 12B;</w:t>
      </w:r>
    </w:p>
    <w:p>
      <w:pPr>
        <w:pStyle w:val="Defstart"/>
      </w:pPr>
      <w:r>
        <w:rPr>
          <w:b/>
        </w:rPr>
        <w:tab/>
      </w:r>
      <w:r>
        <w:rPr>
          <w:rStyle w:val="CharDefText"/>
        </w:rPr>
        <w:t>Category C member</w:t>
      </w:r>
      <w:r>
        <w:t xml:space="preserve"> means a member under regulation 12C;</w:t>
      </w:r>
    </w:p>
    <w:p>
      <w:pPr>
        <w:pStyle w:val="Defstart"/>
      </w:pPr>
      <w:r>
        <w:rPr>
          <w:b/>
        </w:rPr>
        <w:tab/>
      </w:r>
      <w:r>
        <w:rPr>
          <w:rStyle w:val="CharDefText"/>
        </w:rPr>
        <w:t>complying superannuation fund</w:t>
      </w:r>
      <w:r>
        <w:t xml:space="preserve"> and </w:t>
      </w:r>
      <w:r>
        <w:rPr>
          <w:rStyle w:val="CharDefText"/>
        </w:rPr>
        <w:t>complying superannuation scheme</w:t>
      </w:r>
      <w:r>
        <w:t xml:space="preserve"> have the same meanings as they have in the </w:t>
      </w:r>
      <w:r>
        <w:rPr>
          <w:i/>
        </w:rPr>
        <w:t>Superannuation Guarantee (Administration) Act 1992</w:t>
      </w:r>
      <w:r>
        <w:t xml:space="preserve"> (Cwlth);</w:t>
      </w:r>
    </w:p>
    <w:p>
      <w:pPr>
        <w:pStyle w:val="Defstart"/>
      </w:pPr>
      <w:r>
        <w:tab/>
      </w:r>
      <w:r>
        <w:rPr>
          <w:rStyle w:val="CharDefText"/>
        </w:rPr>
        <w:t>death benefit</w:t>
      </w:r>
      <w:r>
        <w:t xml:space="preserve"> means a benefit payable in respect of a member on or after his death;</w:t>
      </w:r>
    </w:p>
    <w:p>
      <w:pPr>
        <w:pStyle w:val="Defstart"/>
      </w:pPr>
      <w:r>
        <w:rPr>
          <w:b/>
        </w:rPr>
        <w:tab/>
      </w:r>
      <w:r>
        <w:rPr>
          <w:rStyle w:val="CharDefText"/>
        </w:rPr>
        <w:t>earnings rate</w:t>
      </w:r>
      <w:r>
        <w:t>, in respect of a member, means the earnings rate determined by the Superannuation Board under regulation 9B for the member;</w:t>
      </w:r>
    </w:p>
    <w:p>
      <w:pPr>
        <w:pStyle w:val="Defstart"/>
      </w:pPr>
      <w:r>
        <w:rPr>
          <w:b/>
        </w:rPr>
        <w:tab/>
      </w:r>
      <w:r>
        <w:rPr>
          <w:rStyle w:val="CharDefText"/>
        </w:rPr>
        <w:t>employer</w:t>
      </w:r>
      <w:r>
        <w:t>, in relation to a member, means — </w:t>
      </w:r>
    </w:p>
    <w:p>
      <w:pPr>
        <w:pStyle w:val="Defpara"/>
      </w:pPr>
      <w:r>
        <w:tab/>
        <w:t>(a)</w:t>
      </w:r>
      <w:r>
        <w:tab/>
        <w:t xml:space="preserve">in the case of an eligible </w:t>
      </w:r>
      <w:smartTag w:uri="urn:schemas-microsoft-com:office:smarttags" w:element="place">
        <w:r>
          <w:t>FES</w:t>
        </w:r>
      </w:smartTag>
      <w:r>
        <w:t xml:space="preserve"> employee, the FES Commissioner;</w:t>
      </w:r>
    </w:p>
    <w:p>
      <w:pPr>
        <w:pStyle w:val="Defpara"/>
        <w:rPr>
          <w:b/>
        </w:rPr>
      </w:pPr>
      <w:r>
        <w:tab/>
        <w:t>(b)</w:t>
      </w:r>
      <w:r>
        <w:tab/>
        <w:t>in the case of an associated employee, the associated employer which employs him;</w:t>
      </w:r>
    </w:p>
    <w:p>
      <w:pPr>
        <w:pStyle w:val="Defstart"/>
        <w:keepNext/>
      </w:pPr>
      <w:r>
        <w:rPr>
          <w:b/>
        </w:rPr>
        <w:tab/>
      </w:r>
      <w:r>
        <w:rPr>
          <w:rStyle w:val="CharDefText"/>
        </w:rPr>
        <w:t>instalment benefit</w:t>
      </w:r>
      <w:r>
        <w:t xml:space="preserve"> means a benefit payable from the Superannuation Fund under regulation 23B;</w:t>
      </w:r>
    </w:p>
    <w:p>
      <w:pPr>
        <w:pStyle w:val="Defstart"/>
      </w:pPr>
      <w:r>
        <w:rPr>
          <w:b/>
        </w:rPr>
        <w:tab/>
      </w:r>
      <w:r>
        <w:rPr>
          <w:rStyle w:val="CharDefText"/>
        </w:rPr>
        <w:t>maximum benefit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 </w:t>
      </w:r>
    </w:p>
    <w:p>
      <w:pPr>
        <w:pStyle w:val="Defpara"/>
      </w:pPr>
      <w:r>
        <w:tab/>
        <w:t>(a)</w:t>
      </w:r>
      <w:r>
        <w:tab/>
        <w:t>the member had become totally and permanently disabled; and</w:t>
      </w:r>
    </w:p>
    <w:p>
      <w:pPr>
        <w:pStyle w:val="Defpara"/>
      </w:pPr>
      <w:r>
        <w:tab/>
        <w:t>(b)</w:t>
      </w:r>
      <w:r>
        <w:tab/>
        <w:t>each reference in Schedule 2 to 12 783 days were a reference to 10 958 days;</w:t>
      </w:r>
    </w:p>
    <w:p>
      <w:pPr>
        <w:pStyle w:val="Defstart"/>
      </w:pPr>
      <w:r>
        <w:rPr>
          <w:b/>
        </w:rPr>
        <w:tab/>
      </w:r>
      <w:r>
        <w:rPr>
          <w:rStyle w:val="CharDefText"/>
        </w:rPr>
        <w:t>maximum percentage</w:t>
      </w:r>
      <w:r>
        <w:t xml:space="preserve"> means 100% or such lesser percentage as may be determined under regulation 23D;</w:t>
      </w:r>
    </w:p>
    <w:p>
      <w:pPr>
        <w:pStyle w:val="Defstart"/>
      </w:pPr>
      <w:r>
        <w:rPr>
          <w:b/>
        </w:rPr>
        <w:tab/>
      </w:r>
      <w:r>
        <w:rPr>
          <w:rStyle w:val="CharDefText"/>
        </w:rPr>
        <w:t>member</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t>whichever is indicated by the context, or where the context indicates, either or both of those persons;</w:t>
      </w:r>
    </w:p>
    <w:p>
      <w:pPr>
        <w:pStyle w:val="Defstart"/>
      </w:pPr>
      <w:r>
        <w:rPr>
          <w:b/>
        </w:rPr>
        <w:tab/>
      </w:r>
      <w:r>
        <w:rPr>
          <w:rStyle w:val="CharDefText"/>
        </w:rPr>
        <w:t>non</w:t>
      </w:r>
      <w:r>
        <w:rPr>
          <w:rStyle w:val="CharDefText"/>
        </w:rPr>
        <w:noBreakHyphen/>
        <w:t>C member</w:t>
      </w:r>
      <w:r>
        <w:t xml:space="preserve"> means —</w:t>
      </w:r>
    </w:p>
    <w:p>
      <w:pPr>
        <w:pStyle w:val="Defpara"/>
      </w:pPr>
      <w:r>
        <w:tab/>
        <w:t>(a)</w:t>
      </w:r>
      <w:r>
        <w:tab/>
        <w:t>a Category A member; or</w:t>
      </w:r>
    </w:p>
    <w:p>
      <w:pPr>
        <w:pStyle w:val="Defpara"/>
      </w:pPr>
      <w:r>
        <w:tab/>
        <w:t>(b)</w:t>
      </w:r>
      <w:r>
        <w:tab/>
        <w:t>a Category B member; or</w:t>
      </w:r>
    </w:p>
    <w:p>
      <w:pPr>
        <w:pStyle w:val="Defpara"/>
      </w:pPr>
      <w:r>
        <w:tab/>
        <w:t>(c)</w:t>
      </w:r>
      <w:r>
        <w:tab/>
        <w:t>a person —</w:t>
      </w:r>
    </w:p>
    <w:p>
      <w:pPr>
        <w:pStyle w:val="Defsubpara"/>
      </w:pPr>
      <w:r>
        <w:tab/>
        <w:t>(i)</w:t>
      </w:r>
      <w:r>
        <w:tab/>
        <w:t xml:space="preserve">who is a member within the meaning of paragraph (b) of the definition of </w:t>
      </w:r>
      <w:r>
        <w:rPr>
          <w:b/>
          <w:i/>
        </w:rPr>
        <w:t>member</w:t>
      </w:r>
      <w:r>
        <w:t>; and</w:t>
      </w:r>
    </w:p>
    <w:p>
      <w:pPr>
        <w:pStyle w:val="Defsubpara"/>
      </w:pPr>
      <w:r>
        <w:tab/>
        <w:t>(ii)</w:t>
      </w:r>
      <w:r>
        <w:tab/>
        <w:t>who, immediately before becoming such a member, was not a Category C member;</w:t>
      </w:r>
    </w:p>
    <w:p>
      <w:pPr>
        <w:pStyle w:val="Defstart"/>
      </w:pPr>
      <w:r>
        <w:rPr>
          <w:b/>
        </w:rPr>
        <w:tab/>
      </w:r>
      <w:r>
        <w:rPr>
          <w:rStyle w:val="CharDefText"/>
        </w:rPr>
        <w:t>partial and permanent disablement benefit</w:t>
      </w:r>
      <w:r>
        <w:t xml:space="preserve"> means a benefit payable under regulation 19;</w:t>
      </w:r>
    </w:p>
    <w:p>
      <w:pPr>
        <w:pStyle w:val="Defstart"/>
        <w:keepNext/>
      </w:pPr>
      <w:r>
        <w:rPr>
          <w:b/>
        </w:rPr>
        <w:tab/>
      </w:r>
      <w:r>
        <w:rPr>
          <w:rStyle w:val="CharDefText"/>
        </w:rPr>
        <w:t>partner</w:t>
      </w:r>
      <w:r>
        <w:t xml:space="preserve"> means — </w:t>
      </w:r>
    </w:p>
    <w:p>
      <w:pPr>
        <w:pStyle w:val="Defpara"/>
      </w:pPr>
      <w:r>
        <w:tab/>
        <w:t>(a)</w:t>
      </w:r>
      <w:r>
        <w:tab/>
        <w:t>a spouse; or</w:t>
      </w:r>
    </w:p>
    <w:p>
      <w:pPr>
        <w:pStyle w:val="Defpara"/>
      </w:pPr>
      <w:r>
        <w:tab/>
        <w:t>(b)</w:t>
      </w:r>
      <w:r>
        <w:tab/>
        <w:t>a de facto partner who is a spouse as defined in section 10 of the SIS Act;</w:t>
      </w:r>
    </w:p>
    <w:p>
      <w:pPr>
        <w:pStyle w:val="Defstart"/>
      </w:pPr>
      <w:r>
        <w:tab/>
      </w:r>
      <w:r>
        <w:rPr>
          <w:rStyle w:val="CharDefText"/>
        </w:rPr>
        <w:t>payment period</w:t>
      </w:r>
      <w:r>
        <w:t xml:space="preserve">, in relation to a member who is entitled to be paid a supplementary disablement benefit, means the period beginning on the first day of the month following the relevant month and ending on — </w:t>
      </w:r>
    </w:p>
    <w:p>
      <w:pPr>
        <w:pStyle w:val="Defpara"/>
      </w:pPr>
      <w:r>
        <w:tab/>
        <w:t>(a)</w:t>
      </w:r>
      <w:r>
        <w:tab/>
        <w:t>the day before the fifth anniversary of that day; or</w:t>
      </w:r>
    </w:p>
    <w:p>
      <w:pPr>
        <w:pStyle w:val="Defpara"/>
      </w:pPr>
      <w:r>
        <w:tab/>
        <w:t>(b)</w:t>
      </w:r>
      <w:r>
        <w:tab/>
        <w:t>the member’s 55th birthday,</w:t>
      </w:r>
    </w:p>
    <w:p>
      <w:pPr>
        <w:pStyle w:val="Defstart"/>
      </w:pPr>
      <w:r>
        <w:tab/>
        <w:t>whichever is the later;</w:t>
      </w:r>
    </w:p>
    <w:p>
      <w:pPr>
        <w:pStyle w:val="Defstart"/>
      </w:pPr>
      <w:r>
        <w:rPr>
          <w:b/>
        </w:rPr>
        <w:tab/>
      </w:r>
      <w:r>
        <w:rPr>
          <w:rStyle w:val="CharDefText"/>
        </w:rPr>
        <w:t>preservation age</w:t>
      </w:r>
      <w:r>
        <w:t xml:space="preserve"> means, for a person who was born — </w:t>
      </w:r>
    </w:p>
    <w:p>
      <w:pPr>
        <w:pStyle w:val="Defpara"/>
      </w:pPr>
      <w:r>
        <w:tab/>
        <w:t>(a)</w:t>
      </w:r>
      <w:r>
        <w:tab/>
        <w:t>before 1 July 1960, 55 years of age;</w:t>
      </w:r>
    </w:p>
    <w:p>
      <w:pPr>
        <w:pStyle w:val="Defpara"/>
      </w:pPr>
      <w:r>
        <w:tab/>
        <w:t>(b)</w:t>
      </w:r>
      <w:r>
        <w:tab/>
        <w:t>during the year 1 July 1960 to 30 June 1961, 56 years of age;</w:t>
      </w:r>
    </w:p>
    <w:p>
      <w:pPr>
        <w:pStyle w:val="Defpara"/>
      </w:pPr>
      <w:r>
        <w:tab/>
        <w:t>(c)</w:t>
      </w:r>
      <w:r>
        <w:tab/>
        <w:t>during the year 1 July 1961 to 30 June 1962, 57 years of age;</w:t>
      </w:r>
    </w:p>
    <w:p>
      <w:pPr>
        <w:pStyle w:val="Defpara"/>
      </w:pPr>
      <w:r>
        <w:tab/>
        <w:t>(d)</w:t>
      </w:r>
      <w:r>
        <w:tab/>
        <w:t>during the year 1 July 1962 to 30 June 1963, 58 years of age;</w:t>
      </w:r>
    </w:p>
    <w:p>
      <w:pPr>
        <w:pStyle w:val="Defpara"/>
      </w:pPr>
      <w:r>
        <w:tab/>
        <w:t>(e)</w:t>
      </w:r>
      <w:r>
        <w:tab/>
        <w:t>during the year 1 July 1963 to 30 June 1964, 59 years of age;</w:t>
      </w:r>
    </w:p>
    <w:p>
      <w:pPr>
        <w:pStyle w:val="Defpara"/>
      </w:pPr>
      <w:r>
        <w:tab/>
        <w:t>(f)</w:t>
      </w:r>
      <w:r>
        <w:tab/>
        <w:t>after 30 June 1964, 60 years of age;</w:t>
      </w:r>
    </w:p>
    <w:p>
      <w:pPr>
        <w:pStyle w:val="Defstart"/>
      </w:pPr>
      <w:r>
        <w:rPr>
          <w:b/>
        </w:rPr>
        <w:tab/>
      </w:r>
      <w:r>
        <w:rPr>
          <w:rStyle w:val="CharDefText"/>
        </w:rPr>
        <w:t>previous superannuation fund</w:t>
      </w:r>
      <w:r>
        <w:t xml:space="preserve"> has the same meaning as in Part I of Schedule 3 to the Act;</w:t>
      </w:r>
    </w:p>
    <w:p>
      <w:pPr>
        <w:pStyle w:val="Defstart"/>
      </w:pPr>
      <w:r>
        <w:rPr>
          <w:b/>
        </w:rPr>
        <w:tab/>
      </w:r>
      <w:r>
        <w:rPr>
          <w:rStyle w:val="CharDefText"/>
        </w:rPr>
        <w:t>relevant month</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keepNext/>
      </w:pPr>
      <w:r>
        <w:tab/>
      </w:r>
      <w:r>
        <w:rPr>
          <w:rStyle w:val="CharDefText"/>
        </w:rPr>
        <w:t>SIS standards</w:t>
      </w:r>
      <w:r>
        <w:t xml:space="preserve"> means the standards in force under the SIS Act;</w:t>
      </w:r>
    </w:p>
    <w:p>
      <w:pPr>
        <w:pStyle w:val="Defstart"/>
      </w:pPr>
      <w:r>
        <w:rPr>
          <w:b/>
        </w:rPr>
        <w:tab/>
      </w:r>
      <w:r>
        <w:rPr>
          <w:rStyle w:val="CharDefText"/>
        </w:rPr>
        <w:t>splittable contribution</w:t>
      </w:r>
      <w:r>
        <w:t xml:space="preserve"> has the same meaning as it has in Division 6.7 of the SIS Regulations;</w:t>
      </w:r>
    </w:p>
    <w:p>
      <w:pPr>
        <w:pStyle w:val="Defstart"/>
      </w:pPr>
      <w:r>
        <w:rPr>
          <w:b/>
        </w:rPr>
        <w:tab/>
      </w:r>
      <w:r>
        <w:rPr>
          <w:rStyle w:val="CharDefText"/>
        </w:rPr>
        <w:t>Superannuation Guarantee Charge</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r>
      <w:r>
        <w:rPr>
          <w:rStyle w:val="CharDefText"/>
        </w:rPr>
        <w:t>supplementary disablement benefit</w:t>
      </w:r>
      <w:r>
        <w:t xml:space="preserve"> means a benefit payable under regulation 23B or 23BA;</w:t>
      </w:r>
    </w:p>
    <w:p>
      <w:pPr>
        <w:pStyle w:val="Defstart"/>
      </w:pPr>
      <w:r>
        <w:rPr>
          <w:b/>
        </w:rPr>
        <w:tab/>
      </w:r>
      <w:r>
        <w:rPr>
          <w:rStyle w:val="CharDefText"/>
        </w:rPr>
        <w:t>temporary or casual employee</w:t>
      </w:r>
      <w:r>
        <w:t xml:space="preserve"> means an eligible </w:t>
      </w:r>
      <w:smartTag w:uri="urn:schemas-microsoft-com:office:smarttags" w:element="place">
        <w:r>
          <w:t>FES</w:t>
        </w:r>
      </w:smartTag>
      <w:r>
        <w:t xml:space="preserve"> employee or an associated employee who is determined by the Superannuation Board to be a temporary or casual employee.</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Gazette 18 Aug 1989 p. 2766; 15 Dec 1992 p. 6021; 29 Jun 1994 p. 3206</w:t>
      </w:r>
      <w:r>
        <w:noBreakHyphen/>
        <w:t>7; 21 Nov 1995 p. 5356; 17 Apr 1998 p. 2098; 22 Dec 1998 p. 6850 and 6852</w:t>
      </w:r>
      <w:r>
        <w:noBreakHyphen/>
        <w:t>3; 23 Jul 1999 p. 3386; 18 Aug 2000 p. 4783; 30 Mar 2001 p. 1761; 2 May 2003 p. 1492; 15 Jul 2003 p. 2832; 1 Apr 2008 p. 1271-2; 21 Aug 2009 p. 3268; 31 </w:t>
      </w:r>
      <w:r>
        <w:rPr>
          <w:szCs w:val="24"/>
        </w:rPr>
        <w:t>Oct 2012 p. 5245, 5248 and 5249; 25 Nov 2014 p. 4371</w:t>
      </w:r>
      <w:r>
        <w:t>.]</w:t>
      </w:r>
    </w:p>
    <w:p>
      <w:pPr>
        <w:pStyle w:val="Heading5"/>
      </w:pPr>
      <w:bookmarkStart w:id="15" w:name="_Toc404668400"/>
      <w:bookmarkStart w:id="16" w:name="_Toc418675175"/>
      <w:r>
        <w:rPr>
          <w:rStyle w:val="CharSectno"/>
        </w:rPr>
        <w:t>3A</w:t>
      </w:r>
      <w:r>
        <w:t>.</w:t>
      </w:r>
      <w:r>
        <w:tab/>
        <w:t xml:space="preserve">Eligible </w:t>
      </w:r>
      <w:smartTag w:uri="urn:schemas-microsoft-com:office:smarttags" w:element="place">
        <w:r>
          <w:t>FES</w:t>
        </w:r>
      </w:smartTag>
      <w:r>
        <w:t xml:space="preserve"> employees</w:t>
      </w:r>
      <w:bookmarkEnd w:id="15"/>
      <w:bookmarkEnd w:id="16"/>
    </w:p>
    <w:p>
      <w:pPr>
        <w:pStyle w:val="Subsection"/>
      </w:pPr>
      <w:r>
        <w:tab/>
      </w:r>
      <w:r>
        <w:tab/>
        <w:t xml:space="preserve">For the purposes of the definition of </w:t>
      </w:r>
      <w:r>
        <w:rPr>
          <w:b/>
          <w:i/>
        </w:rPr>
        <w:t xml:space="preserve">eligible </w:t>
      </w:r>
      <w:smartTag w:uri="urn:schemas-microsoft-com:office:smarttags" w:element="place">
        <w:r>
          <w:rPr>
            <w:b/>
            <w:i/>
          </w:rPr>
          <w:t>FES</w:t>
        </w:r>
      </w:smartTag>
      <w:r>
        <w:rPr>
          <w:b/>
          <w:i/>
        </w:rPr>
        <w:t xml:space="preserve"> employee</w:t>
      </w:r>
      <w:r>
        <w:t xml:space="preserve"> in section 3(1) of the Act — </w:t>
      </w:r>
    </w:p>
    <w:p>
      <w:pPr>
        <w:pStyle w:val="Indenta"/>
      </w:pPr>
      <w:r>
        <w:tab/>
        <w:t>(a)</w:t>
      </w:r>
      <w:r>
        <w:tab/>
        <w:t>a person holds a prescribed office if the person holds office as the FES Commissioner; and</w:t>
      </w:r>
    </w:p>
    <w:p>
      <w:pPr>
        <w:pStyle w:val="Indenta"/>
      </w:pPr>
      <w:r>
        <w:tab/>
        <w:t>(b)</w:t>
      </w:r>
      <w:r>
        <w:tab/>
        <w:t>a person is of a prescribed class if the person is employed or engaged as described in the FES Act section 20.</w:t>
      </w:r>
    </w:p>
    <w:p>
      <w:pPr>
        <w:pStyle w:val="Footnotesection"/>
      </w:pPr>
      <w:r>
        <w:tab/>
        <w:t>[Regulation 3A inserted: Gazette 31 Oct 2012 p. 5246.]</w:t>
      </w:r>
    </w:p>
    <w:p>
      <w:pPr>
        <w:pStyle w:val="Heading5"/>
        <w:keepLines w:val="0"/>
        <w:pageBreakBefore/>
        <w:spacing w:before="120"/>
        <w:rPr>
          <w:snapToGrid w:val="0"/>
        </w:rPr>
      </w:pPr>
      <w:bookmarkStart w:id="17" w:name="_Toc404668401"/>
      <w:bookmarkStart w:id="18" w:name="_Toc418675176"/>
      <w:r>
        <w:rPr>
          <w:rStyle w:val="CharSectno"/>
        </w:rPr>
        <w:t>4</w:t>
      </w:r>
      <w:r>
        <w:rPr>
          <w:snapToGrid w:val="0"/>
        </w:rPr>
        <w:t>.</w:t>
      </w:r>
      <w:r>
        <w:rPr>
          <w:snapToGrid w:val="0"/>
        </w:rPr>
        <w:tab/>
        <w:t>Membership</w:t>
      </w:r>
      <w:bookmarkEnd w:id="17"/>
      <w:bookmarkEnd w:id="18"/>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19" w:name="_Toc404668402"/>
      <w:bookmarkStart w:id="20" w:name="_Toc418675177"/>
      <w:r>
        <w:rPr>
          <w:rStyle w:val="CharSectno"/>
        </w:rPr>
        <w:t>5</w:t>
      </w:r>
      <w:r>
        <w:rPr>
          <w:snapToGrid w:val="0"/>
        </w:rPr>
        <w:t>.</w:t>
      </w:r>
      <w:r>
        <w:rPr>
          <w:snapToGrid w:val="0"/>
        </w:rPr>
        <w:tab/>
        <w:t>Total permanent disablement</w:t>
      </w:r>
      <w:bookmarkEnd w:id="19"/>
      <w:bookmarkEnd w:id="20"/>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 or</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keepNext/>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21" w:name="_Toc404668403"/>
      <w:bookmarkStart w:id="22" w:name="_Toc418675178"/>
      <w:r>
        <w:rPr>
          <w:rStyle w:val="CharSectno"/>
        </w:rPr>
        <w:t>6</w:t>
      </w:r>
      <w:r>
        <w:rPr>
          <w:snapToGrid w:val="0"/>
        </w:rPr>
        <w:t>.</w:t>
      </w:r>
      <w:r>
        <w:rPr>
          <w:snapToGrid w:val="0"/>
        </w:rPr>
        <w:tab/>
        <w:t>Partial permanent disablement</w:t>
      </w:r>
      <w:bookmarkEnd w:id="21"/>
      <w:bookmarkEnd w:id="22"/>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FES employee to whom regulation 132B of the </w:t>
      </w:r>
      <w:r>
        <w:rPr>
          <w:i/>
        </w:rPr>
        <w:t>Fire Brigades Regulations 1943</w:t>
      </w:r>
      <w:r>
        <w:t xml:space="preserve"> applies, if his employment is terminated on medical grounds by the </w:t>
      </w:r>
      <w:smartTag w:uri="urn:schemas-microsoft-com:office:smarttags" w:element="place">
        <w:r>
          <w:t>FES</w:t>
        </w:r>
      </w:smartTag>
      <w:r>
        <w:t xml:space="preserve"> Commissioner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w:t>
      </w:r>
      <w:smartTag w:uri="urn:schemas-microsoft-com:office:smarttags" w:element="place">
        <w:r>
          <w:t>FES</w:t>
        </w:r>
      </w:smartTag>
      <w:r>
        <w:t xml:space="preserve">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ind w:left="890" w:hanging="890"/>
      </w:pPr>
      <w:r>
        <w:tab/>
        <w:t>[Regulation 6 amended: Gazette 22 Dec 1998 p. 6850; 31 </w:t>
      </w:r>
      <w:r>
        <w:rPr>
          <w:szCs w:val="24"/>
        </w:rPr>
        <w:t>Oct 2012 p. 524</w:t>
      </w:r>
      <w:r>
        <w:t>8 and 5249.]</w:t>
      </w:r>
    </w:p>
    <w:p>
      <w:pPr>
        <w:pStyle w:val="Heading5"/>
        <w:rPr>
          <w:snapToGrid w:val="0"/>
        </w:rPr>
      </w:pPr>
      <w:bookmarkStart w:id="23" w:name="_Toc404668404"/>
      <w:bookmarkStart w:id="24" w:name="_Toc418675179"/>
      <w:r>
        <w:rPr>
          <w:rStyle w:val="CharSectno"/>
        </w:rPr>
        <w:t>7</w:t>
      </w:r>
      <w:r>
        <w:rPr>
          <w:snapToGrid w:val="0"/>
        </w:rPr>
        <w:t>.</w:t>
      </w:r>
      <w:r>
        <w:rPr>
          <w:snapToGrid w:val="0"/>
        </w:rPr>
        <w:tab/>
        <w:t>Superannuation salary</w:t>
      </w:r>
      <w:bookmarkEnd w:id="23"/>
      <w:bookmarkEnd w:id="2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normal rate of remuneration</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 xml:space="preserve">an eligible </w:t>
      </w:r>
      <w:smartTag w:uri="urn:schemas-microsoft-com:office:smarttags" w:element="place">
        <w:r>
          <w:t>FES</w:t>
        </w:r>
      </w:smartTag>
      <w:r>
        <w:t xml:space="preserve">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 and</w:t>
      </w:r>
    </w:p>
    <w:p>
      <w:pPr>
        <w:pStyle w:val="Indenti"/>
        <w:rPr>
          <w:snapToGrid w:val="0"/>
        </w:rPr>
      </w:pPr>
      <w:r>
        <w:rPr>
          <w:snapToGrid w:val="0"/>
        </w:rPr>
        <w:tab/>
        <w:t>(ii)</w:t>
      </w:r>
      <w:r>
        <w:rPr>
          <w:snapToGrid w:val="0"/>
        </w:rPr>
        <w:tab/>
        <w:t>an industry allowance; and</w:t>
      </w:r>
    </w:p>
    <w:p>
      <w:pPr>
        <w:pStyle w:val="Indenti"/>
        <w:rPr>
          <w:snapToGrid w:val="0"/>
        </w:rPr>
      </w:pPr>
      <w:r>
        <w:rPr>
          <w:snapToGrid w:val="0"/>
        </w:rPr>
        <w:tab/>
        <w:t>(iii)</w:t>
      </w:r>
      <w:r>
        <w:rPr>
          <w:snapToGrid w:val="0"/>
        </w:rPr>
        <w:tab/>
        <w:t>a shift penalty; and</w:t>
      </w:r>
    </w:p>
    <w:p>
      <w:pPr>
        <w:pStyle w:val="Indenti"/>
        <w:rPr>
          <w:snapToGrid w:val="0"/>
        </w:rPr>
      </w:pPr>
      <w:r>
        <w:rPr>
          <w:snapToGrid w:val="0"/>
        </w:rPr>
        <w:tab/>
        <w:t>(iv)</w:t>
      </w:r>
      <w:r>
        <w:rPr>
          <w:snapToGrid w:val="0"/>
        </w:rPr>
        <w:tab/>
        <w:t>a leading hand allowance; and</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 xml:space="preserve">the </w:t>
      </w:r>
      <w:smartTag w:uri="urn:schemas-microsoft-com:office:smarttags" w:element="place">
        <w:r>
          <w:t>FES</w:t>
        </w:r>
      </w:smartTag>
      <w:r>
        <w:t xml:space="preserve"> Commissioner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w:t>
      </w:r>
      <w:r>
        <w:t>called the</w:t>
      </w:r>
      <w:r>
        <w:rPr>
          <w:rStyle w:val="CharDefText"/>
        </w:rPr>
        <w:t xml:space="preserve"> original rate</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rStyle w:val="CharDefText"/>
        </w:rPr>
        <w:t>original salary</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Gazette 29 Jun 1994 p. 3208</w:t>
      </w:r>
      <w:r>
        <w:noBreakHyphen/>
        <w:t>9; 22 Dec 1998 p. 6851 and 6852; 31 </w:t>
      </w:r>
      <w:r>
        <w:rPr>
          <w:szCs w:val="24"/>
        </w:rPr>
        <w:t>Oct 2012 p. 524</w:t>
      </w:r>
      <w:r>
        <w:t xml:space="preserve">8 and 5249.] </w:t>
      </w:r>
    </w:p>
    <w:p>
      <w:pPr>
        <w:pStyle w:val="Heading5"/>
        <w:rPr>
          <w:snapToGrid w:val="0"/>
        </w:rPr>
      </w:pPr>
      <w:bookmarkStart w:id="25" w:name="_Toc404668405"/>
      <w:bookmarkStart w:id="26" w:name="_Toc418675180"/>
      <w:r>
        <w:rPr>
          <w:rStyle w:val="CharSectno"/>
        </w:rPr>
        <w:t>8</w:t>
      </w:r>
      <w:r>
        <w:rPr>
          <w:snapToGrid w:val="0"/>
        </w:rPr>
        <w:t>.</w:t>
      </w:r>
      <w:r>
        <w:rPr>
          <w:snapToGrid w:val="0"/>
        </w:rPr>
        <w:tab/>
        <w:t>Final average salary</w:t>
      </w:r>
      <w:bookmarkEnd w:id="25"/>
      <w:bookmarkEnd w:id="26"/>
      <w:r>
        <w:rPr>
          <w:snapToGrid w:val="0"/>
        </w:rPr>
        <w:t xml:space="preserve"> </w:t>
      </w:r>
    </w:p>
    <w:p>
      <w:pPr>
        <w:pStyle w:val="Subsection"/>
        <w:rPr>
          <w:snapToGrid w:val="0"/>
        </w:rPr>
      </w:pPr>
      <w:r>
        <w:rPr>
          <w:snapToGrid w:val="0"/>
        </w:rPr>
        <w:tab/>
        <w:t>(1)</w:t>
      </w:r>
      <w:r>
        <w:rPr>
          <w:snapToGrid w:val="0"/>
        </w:rPr>
        <w:tab/>
        <w:t xml:space="preserve">In this </w:t>
      </w:r>
      <w:r>
        <w:t xml:space="preserve">regulation the </w:t>
      </w:r>
      <w:r>
        <w:rPr>
          <w:rStyle w:val="CharDefText"/>
        </w:rPr>
        <w:t>relevant date</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keepNext/>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27" w:name="_Toc404668406"/>
      <w:bookmarkStart w:id="28" w:name="_Toc418675181"/>
      <w:r>
        <w:rPr>
          <w:rStyle w:val="CharSectno"/>
        </w:rPr>
        <w:t>9</w:t>
      </w:r>
      <w:r>
        <w:rPr>
          <w:snapToGrid w:val="0"/>
        </w:rPr>
        <w:t>.</w:t>
      </w:r>
      <w:r>
        <w:rPr>
          <w:snapToGrid w:val="0"/>
        </w:rPr>
        <w:tab/>
        <w:t>Dependants</w:t>
      </w:r>
      <w:bookmarkEnd w:id="27"/>
      <w:bookmarkEnd w:id="2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 and</w:t>
      </w:r>
    </w:p>
    <w:p>
      <w:pPr>
        <w:pStyle w:val="Defpara"/>
      </w:pPr>
      <w:r>
        <w:tab/>
        <w:t>(b)</w:t>
      </w:r>
      <w:r>
        <w:tab/>
        <w:t>an adopted child of the member irrespective of the date of adoption; and</w:t>
      </w:r>
    </w:p>
    <w:p>
      <w:pPr>
        <w:pStyle w:val="Defpara"/>
      </w:pPr>
      <w:r>
        <w:tab/>
        <w:t>(c)</w:t>
      </w:r>
      <w:r>
        <w:tab/>
        <w:t>a child of a spouse or de facto partner of the member; and</w:t>
      </w:r>
    </w:p>
    <w:p>
      <w:pPr>
        <w:pStyle w:val="Defpara"/>
      </w:pPr>
      <w:r>
        <w:tab/>
        <w:t>(d)</w:t>
      </w:r>
      <w:r>
        <w:tab/>
        <w:t>a child recognized by the Superannuation Board as an adopted child of the member; and</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 and</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Gazette 2 May 2003 p. 1493.]</w:t>
      </w:r>
    </w:p>
    <w:p>
      <w:pPr>
        <w:pStyle w:val="Ednotesection"/>
      </w:pPr>
      <w:r>
        <w:t>[</w:t>
      </w:r>
      <w:r>
        <w:rPr>
          <w:b/>
        </w:rPr>
        <w:t>9A.</w:t>
      </w:r>
      <w:r>
        <w:tab/>
        <w:t>Deleted: Gazette 23 Jul 1999 p. 3386.]</w:t>
      </w:r>
    </w:p>
    <w:p>
      <w:pPr>
        <w:pStyle w:val="Heading5"/>
      </w:pPr>
      <w:bookmarkStart w:id="29" w:name="_Toc404668407"/>
      <w:bookmarkStart w:id="30" w:name="_Toc418675182"/>
      <w:r>
        <w:rPr>
          <w:rStyle w:val="CharSectno"/>
        </w:rPr>
        <w:t>9B</w:t>
      </w:r>
      <w:r>
        <w:t>.</w:t>
      </w:r>
      <w:r>
        <w:tab/>
        <w:t>Earnings rate</w:t>
      </w:r>
      <w:bookmarkEnd w:id="29"/>
      <w:bookmarkEnd w:id="30"/>
    </w:p>
    <w:p>
      <w:pPr>
        <w:pStyle w:val="Subsection"/>
      </w:pPr>
      <w:r>
        <w:tab/>
        <w:t>(1)</w:t>
      </w:r>
      <w:r>
        <w:tab/>
        <w:t>From time to time the Superannuation Board, on the advice of an actuary, is to determine an earnings rate for members.</w:t>
      </w:r>
    </w:p>
    <w:p>
      <w:pPr>
        <w:pStyle w:val="Subsection"/>
      </w:pPr>
      <w:r>
        <w:tab/>
        <w:t>(2)</w:t>
      </w:r>
      <w:r>
        <w:tab/>
        <w:t>The Superannuation Board may determine different earnings rates for different members or different classes of members.</w:t>
      </w:r>
    </w:p>
    <w:p>
      <w:pPr>
        <w:pStyle w:val="Subsection"/>
      </w:pPr>
      <w:r>
        <w:tab/>
        <w:t>(3)</w:t>
      </w:r>
      <w:r>
        <w:tab/>
        <w:t>An earnings rate may be positive or negative.</w:t>
      </w:r>
    </w:p>
    <w:p>
      <w:pPr>
        <w:pStyle w:val="Subsection"/>
      </w:pPr>
      <w:r>
        <w:tab/>
        <w:t>(4)</w:t>
      </w:r>
      <w:r>
        <w:tab/>
        <w:t>In determining an earnings rate the Superannuation Board is to have regard to —</w:t>
      </w:r>
    </w:p>
    <w:p>
      <w:pPr>
        <w:pStyle w:val="Indenta"/>
      </w:pPr>
      <w:r>
        <w:tab/>
        <w:t>(a)</w:t>
      </w:r>
      <w:r>
        <w:tab/>
        <w:t>the net earnings income derived from the investment of assets in the Superannuation Fund; and</w:t>
      </w:r>
    </w:p>
    <w:p>
      <w:pPr>
        <w:pStyle w:val="Indenta"/>
      </w:pPr>
      <w:r>
        <w:tab/>
        <w:t>(b)</w:t>
      </w:r>
      <w:r>
        <w:tab/>
        <w:t>costs and expenses; and</w:t>
      </w:r>
    </w:p>
    <w:p>
      <w:pPr>
        <w:pStyle w:val="Indenta"/>
      </w:pPr>
      <w:r>
        <w:tab/>
        <w:t>(c)</w:t>
      </w:r>
      <w:r>
        <w:tab/>
        <w:t>the desirability of averaging earnings in order to reduce fluctuations in earnings rates; and</w:t>
      </w:r>
    </w:p>
    <w:p>
      <w:pPr>
        <w:pStyle w:val="Indenta"/>
      </w:pPr>
      <w:r>
        <w:tab/>
        <w:t>(d)</w:t>
      </w:r>
      <w:r>
        <w:tab/>
        <w:t>investment choices made by members; and</w:t>
      </w:r>
    </w:p>
    <w:p>
      <w:pPr>
        <w:pStyle w:val="Indenta"/>
      </w:pPr>
      <w:r>
        <w:tab/>
        <w:t>(e)</w:t>
      </w:r>
      <w:r>
        <w:tab/>
        <w:t>any other matters that appear to the Superannuation Board to be relevant.</w:t>
      </w:r>
    </w:p>
    <w:p>
      <w:pPr>
        <w:pStyle w:val="Footnotesection"/>
      </w:pPr>
      <w:r>
        <w:tab/>
        <w:t>[Regulation 9B inserted: Gazette 1 Apr 2008 p. 1272-3.]</w:t>
      </w:r>
    </w:p>
    <w:p>
      <w:pPr>
        <w:pStyle w:val="Heading2"/>
      </w:pPr>
      <w:bookmarkStart w:id="31" w:name="_Toc404668408"/>
      <w:bookmarkStart w:id="32" w:name="_Toc418675062"/>
      <w:bookmarkStart w:id="33" w:name="_Toc418675183"/>
      <w:r>
        <w:rPr>
          <w:rStyle w:val="CharPartNo"/>
        </w:rPr>
        <w:t>Part III</w:t>
      </w:r>
      <w:r>
        <w:rPr>
          <w:rStyle w:val="CharDivNo"/>
        </w:rPr>
        <w:t> </w:t>
      </w:r>
      <w:r>
        <w:t>—</w:t>
      </w:r>
      <w:r>
        <w:rPr>
          <w:rStyle w:val="CharDivText"/>
        </w:rPr>
        <w:t> </w:t>
      </w:r>
      <w:r>
        <w:rPr>
          <w:rStyle w:val="CharPartText"/>
        </w:rPr>
        <w:t>Membership of the Superannuation Fund</w:t>
      </w:r>
      <w:bookmarkEnd w:id="31"/>
      <w:bookmarkEnd w:id="32"/>
      <w:bookmarkEnd w:id="33"/>
      <w:r>
        <w:rPr>
          <w:rStyle w:val="CharPartText"/>
        </w:rPr>
        <w:t xml:space="preserve"> </w:t>
      </w:r>
    </w:p>
    <w:p>
      <w:pPr>
        <w:pStyle w:val="Ednotesection"/>
      </w:pPr>
      <w:r>
        <w:t>[</w:t>
      </w:r>
      <w:r>
        <w:rPr>
          <w:b/>
        </w:rPr>
        <w:t>10.</w:t>
      </w:r>
      <w:r>
        <w:rPr>
          <w:b/>
        </w:rPr>
        <w:tab/>
      </w:r>
      <w:r>
        <w:t>Deleted: Gazette 31 </w:t>
      </w:r>
      <w:r>
        <w:rPr>
          <w:szCs w:val="24"/>
        </w:rPr>
        <w:t xml:space="preserve">Oct 2012 p. </w:t>
      </w:r>
      <w:r>
        <w:t>5246.]</w:t>
      </w:r>
    </w:p>
    <w:p>
      <w:pPr>
        <w:pStyle w:val="Heading5"/>
      </w:pPr>
      <w:bookmarkStart w:id="34" w:name="_Toc404668409"/>
      <w:bookmarkStart w:id="35" w:name="_Toc418675184"/>
      <w:r>
        <w:rPr>
          <w:rStyle w:val="CharSectno"/>
        </w:rPr>
        <w:t>11</w:t>
      </w:r>
      <w:r>
        <w:t>.</w:t>
      </w:r>
      <w:r>
        <w:tab/>
        <w:t xml:space="preserve">Membership of eligible </w:t>
      </w:r>
      <w:smartTag w:uri="urn:schemas-microsoft-com:office:smarttags" w:element="place">
        <w:r>
          <w:t>FES</w:t>
        </w:r>
      </w:smartTag>
      <w:r>
        <w:t xml:space="preserve"> employee</w:t>
      </w:r>
      <w:bookmarkEnd w:id="34"/>
      <w:bookmarkEnd w:id="35"/>
    </w:p>
    <w:p>
      <w:pPr>
        <w:pStyle w:val="Subsection"/>
      </w:pPr>
      <w:r>
        <w:tab/>
        <w:t>(1)</w:t>
      </w:r>
      <w:r>
        <w:tab/>
        <w:t xml:space="preserve">A person becomes a Category A member when he or she becomes an eligible </w:t>
      </w:r>
      <w:smartTag w:uri="urn:schemas-microsoft-com:office:smarttags" w:element="place">
        <w:r>
          <w:t>FES</w:t>
        </w:r>
      </w:smartTag>
      <w:r>
        <w:t xml:space="preserve"> employee unless he or she —</w:t>
      </w:r>
    </w:p>
    <w:p>
      <w:pPr>
        <w:pStyle w:val="Indenta"/>
      </w:pPr>
      <w:r>
        <w:tab/>
        <w:t>(a)</w:t>
      </w:r>
      <w:r>
        <w:tab/>
        <w:t>is already a Category A member; or</w:t>
      </w:r>
    </w:p>
    <w:p>
      <w:pPr>
        <w:pStyle w:val="Indenta"/>
      </w:pPr>
      <w:r>
        <w:tab/>
        <w:t>(b)</w:t>
      </w:r>
      <w:r>
        <w:tab/>
        <w:t>is a temporary or casual employee as defined in regulation 12A; or</w:t>
      </w:r>
    </w:p>
    <w:p>
      <w:pPr>
        <w:pStyle w:val="Indenta"/>
      </w:pPr>
      <w:r>
        <w:tab/>
        <w:t>(c)</w:t>
      </w:r>
      <w:r>
        <w:tab/>
        <w:t>is a person to whom regulation 12B applies; or</w:t>
      </w:r>
    </w:p>
    <w:p>
      <w:pPr>
        <w:pStyle w:val="Indenta"/>
      </w:pPr>
      <w:r>
        <w:tab/>
        <w:t>(d)</w:t>
      </w:r>
      <w:r>
        <w:tab/>
        <w:t xml:space="preserve">is not covered by the Western Australian Fire Services Award 1996 and, at the time of becoming an eligible </w:t>
      </w:r>
      <w:smartTag w:uri="urn:schemas-microsoft-com:office:smarttags" w:element="place">
        <w:r>
          <w:t>FES</w:t>
        </w:r>
      </w:smartTag>
      <w:r>
        <w:t xml:space="preserve">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 xml:space="preserve">A person who makes an election under subregulation (1)(d)(i) is taken to have become a Category B member when he or she became an eligible </w:t>
      </w:r>
      <w:smartTag w:uri="urn:schemas-microsoft-com:office:smarttags" w:element="place">
        <w:r>
          <w:t>FES</w:t>
        </w:r>
      </w:smartTag>
      <w:r>
        <w:t xml:space="preserve"> employee.</w:t>
      </w:r>
    </w:p>
    <w:p>
      <w:pPr>
        <w:pStyle w:val="Subsection"/>
      </w:pPr>
      <w:r>
        <w:tab/>
        <w:t>(3)</w:t>
      </w:r>
      <w:r>
        <w:tab/>
        <w:t>A person who became a Category B member under subregulation (2) may, by giving notice to the employer, become a Category A member.</w:t>
      </w:r>
    </w:p>
    <w:p>
      <w:pPr>
        <w:pStyle w:val="Subsection"/>
      </w:pPr>
      <w:r>
        <w:tab/>
        <w:t>(4)</w:t>
      </w:r>
      <w:r>
        <w:tab/>
        <w:t xml:space="preserve">If an eligible FES employee who made an election under subregulation (1)(d)(ii) ceases to be a GES member, subregulation (1) applies as if the employee had become an eligible </w:t>
      </w:r>
      <w:smartTag w:uri="urn:schemas-microsoft-com:office:smarttags" w:element="place">
        <w:r>
          <w:t>FES</w:t>
        </w:r>
      </w:smartTag>
      <w:r>
        <w:t xml:space="preserve"> employee when he or she ceased to be a GES member.</w:t>
      </w:r>
    </w:p>
    <w:p>
      <w:pPr>
        <w:pStyle w:val="Subsection"/>
      </w:pPr>
      <w:r>
        <w:tab/>
        <w:t>(5)</w:t>
      </w:r>
      <w:r>
        <w:tab/>
        <w:t xml:space="preserve">A person who becomes a member under this regulation remains a member while he or she remains an eligible </w:t>
      </w:r>
      <w:smartTag w:uri="urn:schemas-microsoft-com:office:smarttags" w:element="place">
        <w:r>
          <w:t>FES</w:t>
        </w:r>
      </w:smartTag>
      <w:r>
        <w:t xml:space="preserve"> employee or an associated employee.</w:t>
      </w:r>
    </w:p>
    <w:p>
      <w:pPr>
        <w:pStyle w:val="Subsection"/>
        <w:keepNext/>
      </w:pPr>
      <w:r>
        <w:tab/>
        <w:t>(6)</w:t>
      </w:r>
      <w:r>
        <w:tab/>
        <w:t>In this regulation —</w:t>
      </w:r>
    </w:p>
    <w:p>
      <w:pPr>
        <w:pStyle w:val="Defstart"/>
      </w:pPr>
      <w:r>
        <w:rPr>
          <w:b/>
        </w:rPr>
        <w:tab/>
      </w:r>
      <w:r>
        <w:rPr>
          <w:rStyle w:val="CharDefText"/>
        </w:rPr>
        <w:t>GES member</w:t>
      </w:r>
      <w:r>
        <w:t xml:space="preserve"> means a Gold State Super Member or a West State Super Member, within the meaning of the </w:t>
      </w:r>
      <w:r>
        <w:rPr>
          <w:i/>
        </w:rPr>
        <w:t>State Superannuation Regulations 2001</w:t>
      </w:r>
      <w:r>
        <w:t>.</w:t>
      </w:r>
    </w:p>
    <w:p>
      <w:pPr>
        <w:pStyle w:val="Footnotesection"/>
      </w:pPr>
      <w:r>
        <w:tab/>
        <w:t>[Regulation 11 inserted: Gazette 18 Aug 2000 p. 4783</w:t>
      </w:r>
      <w:r>
        <w:noBreakHyphen/>
        <w:t>4; amended: Gazette 15 Jul 2003 p. 2832; 31 </w:t>
      </w:r>
      <w:r>
        <w:rPr>
          <w:szCs w:val="24"/>
        </w:rPr>
        <w:t>Oct 2012 p. 5246 and 5248</w:t>
      </w:r>
      <w:r>
        <w:t>.]</w:t>
      </w:r>
    </w:p>
    <w:p>
      <w:pPr>
        <w:pStyle w:val="Heading5"/>
        <w:rPr>
          <w:snapToGrid w:val="0"/>
        </w:rPr>
      </w:pPr>
      <w:bookmarkStart w:id="36" w:name="_Toc404668410"/>
      <w:bookmarkStart w:id="37" w:name="_Toc418675185"/>
      <w:r>
        <w:rPr>
          <w:rStyle w:val="CharSectno"/>
        </w:rPr>
        <w:t>12</w:t>
      </w:r>
      <w:r>
        <w:rPr>
          <w:snapToGrid w:val="0"/>
        </w:rPr>
        <w:t>.</w:t>
      </w:r>
      <w:r>
        <w:rPr>
          <w:snapToGrid w:val="0"/>
        </w:rPr>
        <w:tab/>
        <w:t>Associated employees</w:t>
      </w:r>
      <w:bookmarkEnd w:id="36"/>
      <w:bookmarkEnd w:id="37"/>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r>
      <w:r>
        <w:rPr>
          <w:rStyle w:val="CharDefText"/>
        </w:rPr>
        <w:t>associated employee</w:t>
      </w:r>
      <w:r>
        <w:t xml:space="preserve"> does not include a temporary or casual employee or a person to whom regulation 12B applies; </w:t>
      </w:r>
    </w:p>
    <w:p>
      <w:pPr>
        <w:pStyle w:val="Defstart"/>
      </w:pPr>
      <w:r>
        <w:rPr>
          <w:b/>
        </w:rPr>
        <w:tab/>
      </w:r>
      <w:r>
        <w:rPr>
          <w:rStyle w:val="CharDefText"/>
        </w:rPr>
        <w:t>employment</w:t>
      </w:r>
      <w:r>
        <w:t xml:space="preserve"> does not include temporary or casual employment or employment as a person to whom regulation 12B applies.</w:t>
      </w:r>
    </w:p>
    <w:p>
      <w:pPr>
        <w:pStyle w:val="Footnotesection"/>
      </w:pPr>
      <w:r>
        <w:tab/>
        <w:t>[Regulation 12 amended: Gazette 29 Jun 1994 p. 3210; 22 Dec 1998 p. 6852</w:t>
      </w:r>
      <w:r>
        <w:noBreakHyphen/>
        <w:t>3; 31 </w:t>
      </w:r>
      <w:r>
        <w:rPr>
          <w:szCs w:val="24"/>
        </w:rPr>
        <w:t>Oct 2012 p. 524</w:t>
      </w:r>
      <w:r>
        <w:t xml:space="preserve">9.] </w:t>
      </w:r>
    </w:p>
    <w:p>
      <w:pPr>
        <w:pStyle w:val="Heading5"/>
        <w:rPr>
          <w:snapToGrid w:val="0"/>
        </w:rPr>
      </w:pPr>
      <w:bookmarkStart w:id="38" w:name="_Toc404668411"/>
      <w:bookmarkStart w:id="39" w:name="_Toc418675186"/>
      <w:r>
        <w:rPr>
          <w:rStyle w:val="CharSectno"/>
        </w:rPr>
        <w:t>12A</w:t>
      </w:r>
      <w:r>
        <w:rPr>
          <w:snapToGrid w:val="0"/>
        </w:rPr>
        <w:t>.</w:t>
      </w:r>
      <w:r>
        <w:rPr>
          <w:snapToGrid w:val="0"/>
        </w:rPr>
        <w:tab/>
        <w:t>Temporary and casual employees</w:t>
      </w:r>
      <w:bookmarkEnd w:id="38"/>
      <w:bookmarkEnd w:id="39"/>
      <w:r>
        <w:rPr>
          <w:snapToGrid w:val="0"/>
        </w:rPr>
        <w:t xml:space="preserve"> </w:t>
      </w:r>
    </w:p>
    <w:p>
      <w:pPr>
        <w:pStyle w:val="Subsection"/>
        <w:spacing w:before="180"/>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 xml:space="preserve">the </w:t>
      </w:r>
      <w:smartTag w:uri="urn:schemas-microsoft-com:office:smarttags" w:element="place">
        <w:r>
          <w:t>FES</w:t>
        </w:r>
      </w:smartTag>
      <w:r>
        <w:t xml:space="preserve"> Commissioner</w:t>
      </w:r>
      <w:r>
        <w:rPr>
          <w:snapToGrid w:val="0"/>
        </w:rPr>
        <w:t xml:space="preserve"> or an associated employer.</w:t>
      </w:r>
    </w:p>
    <w:p>
      <w:pPr>
        <w:pStyle w:val="Subsection"/>
        <w:spacing w:before="180"/>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spacing w:before="180"/>
        <w:rPr>
          <w:snapToGrid w:val="0"/>
        </w:rPr>
      </w:pPr>
      <w:r>
        <w:rPr>
          <w:snapToGrid w:val="0"/>
        </w:rPr>
        <w:tab/>
        <w:t>(3)</w:t>
      </w:r>
      <w:r>
        <w:rPr>
          <w:snapToGrid w:val="0"/>
        </w:rPr>
        <w:tab/>
        <w:t xml:space="preserve">In subregulation (2) </w:t>
      </w:r>
      <w:r>
        <w:rPr>
          <w:rStyle w:val="CharDefText"/>
        </w:rPr>
        <w:t>temporary or casual employee</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 xml:space="preserve">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Gazette 29 Jun 1994 p. 3210</w:t>
      </w:r>
      <w:r>
        <w:noBreakHyphen/>
        <w:t>11; amended: Gazette 22 Dec 1998 p. 6852</w:t>
      </w:r>
      <w:r>
        <w:noBreakHyphen/>
        <w:t>3; 31 </w:t>
      </w:r>
      <w:r>
        <w:rPr>
          <w:szCs w:val="24"/>
        </w:rPr>
        <w:t>Oct 2012 p. 524</w:t>
      </w:r>
      <w:r>
        <w:t xml:space="preserve">9.] </w:t>
      </w:r>
    </w:p>
    <w:p>
      <w:pPr>
        <w:pStyle w:val="Heading5"/>
        <w:rPr>
          <w:snapToGrid w:val="0"/>
        </w:rPr>
      </w:pPr>
      <w:bookmarkStart w:id="40" w:name="_Toc404668412"/>
      <w:bookmarkStart w:id="41" w:name="_Toc418675187"/>
      <w:r>
        <w:rPr>
          <w:rStyle w:val="CharSectno"/>
        </w:rPr>
        <w:t>12B</w:t>
      </w:r>
      <w:r>
        <w:rPr>
          <w:snapToGrid w:val="0"/>
        </w:rPr>
        <w:t>.</w:t>
      </w:r>
      <w:r>
        <w:rPr>
          <w:snapToGrid w:val="0"/>
        </w:rPr>
        <w:tab/>
        <w:t>Board members etc.</w:t>
      </w:r>
      <w:bookmarkEnd w:id="40"/>
      <w:bookmarkEnd w:id="41"/>
      <w:r>
        <w:rPr>
          <w:snapToGrid w:val="0"/>
        </w:rPr>
        <w:t xml:space="preserve"> </w:t>
      </w:r>
    </w:p>
    <w:p>
      <w:pPr>
        <w:pStyle w:val="Subsection"/>
        <w:keepNext/>
        <w:keepLines/>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 xml:space="preserve">a member of the Superannuation </w:t>
      </w:r>
      <w:r>
        <w:t>Board</w:t>
      </w:r>
      <w:r>
        <w:rPr>
          <w:snapToGrid w:val="0"/>
        </w:rPr>
        <w:t xml:space="preserve"> or the executive body (whether described as the board of directors or otherwise) of an associated employer; and</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 xml:space="preserve">(Cwlth)) of the </w:t>
      </w:r>
      <w:smartTag w:uri="urn:schemas-microsoft-com:office:smarttags" w:element="place">
        <w:r>
          <w:t>FES</w:t>
        </w:r>
      </w:smartTag>
      <w:r>
        <w:t xml:space="preserve"> Commissioner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Gazette 29 Jun 1994 p. 3211</w:t>
      </w:r>
      <w:r>
        <w:noBreakHyphen/>
        <w:t>12; amended: Gazette 22 Dec 1998 p. 6851; 31 </w:t>
      </w:r>
      <w:r>
        <w:rPr>
          <w:szCs w:val="24"/>
        </w:rPr>
        <w:t>Oct 2012 p. 5247</w:t>
      </w:r>
      <w:r>
        <w:t xml:space="preserve">.] </w:t>
      </w:r>
    </w:p>
    <w:p>
      <w:pPr>
        <w:pStyle w:val="Heading5"/>
      </w:pPr>
      <w:bookmarkStart w:id="42" w:name="_Toc404668413"/>
      <w:bookmarkStart w:id="43" w:name="_Toc418675188"/>
      <w:r>
        <w:rPr>
          <w:rStyle w:val="CharSectno"/>
        </w:rPr>
        <w:t>12C</w:t>
      </w:r>
      <w:r>
        <w:t>.</w:t>
      </w:r>
      <w:r>
        <w:tab/>
        <w:t>Spouses and de facto partners of members</w:t>
      </w:r>
      <w:bookmarkEnd w:id="42"/>
      <w:bookmarkEnd w:id="43"/>
    </w:p>
    <w:p>
      <w:pPr>
        <w:pStyle w:val="Subsection"/>
      </w:pPr>
      <w:r>
        <w:tab/>
        <w:t>(1)</w:t>
      </w:r>
      <w:r>
        <w:tab/>
        <w:t>A non</w:t>
      </w:r>
      <w:r>
        <w:noBreakHyphen/>
        <w:t xml:space="preserve">C member (the </w:t>
      </w:r>
      <w:r>
        <w:rPr>
          <w:rStyle w:val="CharDefText"/>
        </w:rPr>
        <w:t>nominator</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 or</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Gazette 2 May 2003 p. 1493-4; amended: Gazette 15 Jul 2003 p. 2832.]</w:t>
      </w:r>
    </w:p>
    <w:p>
      <w:pPr>
        <w:pStyle w:val="Heading5"/>
        <w:rPr>
          <w:snapToGrid w:val="0"/>
        </w:rPr>
      </w:pPr>
      <w:bookmarkStart w:id="44" w:name="_Toc404668414"/>
      <w:bookmarkStart w:id="45" w:name="_Toc418675189"/>
      <w:r>
        <w:rPr>
          <w:rStyle w:val="CharSectno"/>
        </w:rPr>
        <w:t>13</w:t>
      </w:r>
      <w:r>
        <w:rPr>
          <w:snapToGrid w:val="0"/>
        </w:rPr>
        <w:t>.</w:t>
      </w:r>
      <w:r>
        <w:rPr>
          <w:snapToGrid w:val="0"/>
        </w:rPr>
        <w:tab/>
        <w:t>Transfer of employment</w:t>
      </w:r>
      <w:bookmarkEnd w:id="44"/>
      <w:bookmarkEnd w:id="45"/>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 xml:space="preserve">the </w:t>
      </w:r>
      <w:smartTag w:uri="urn:schemas-microsoft-com:office:smarttags" w:element="place">
        <w:r>
          <w:t>FES</w:t>
        </w:r>
      </w:smartTag>
      <w:r>
        <w:t xml:space="preserve"> Commissioner</w:t>
      </w:r>
      <w:r>
        <w:rPr>
          <w:snapToGrid w:val="0"/>
        </w:rPr>
        <w:t xml:space="preserve"> to enter the employment of an associated employer; or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 xml:space="preserve">the </w:t>
      </w:r>
      <w:smartTag w:uri="urn:schemas-microsoft-com:office:smarttags" w:element="place">
        <w:r>
          <w:t>FES</w:t>
        </w:r>
      </w:smartTag>
      <w:r>
        <w:t xml:space="preserve"> Commissioner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Gazette 4 Nov 1988 p. 4371; 22 Dec 1998 p. 6852</w:t>
      </w:r>
      <w:r>
        <w:noBreakHyphen/>
        <w:t>3; 31 </w:t>
      </w:r>
      <w:r>
        <w:rPr>
          <w:szCs w:val="24"/>
        </w:rPr>
        <w:t>Oct 2012 p. 524</w:t>
      </w:r>
      <w:r>
        <w:t xml:space="preserve">9.] </w:t>
      </w:r>
    </w:p>
    <w:p>
      <w:pPr>
        <w:pStyle w:val="Heading5"/>
        <w:rPr>
          <w:snapToGrid w:val="0"/>
        </w:rPr>
      </w:pPr>
      <w:bookmarkStart w:id="46" w:name="_Toc404668415"/>
      <w:bookmarkStart w:id="47" w:name="_Toc418675190"/>
      <w:r>
        <w:rPr>
          <w:rStyle w:val="CharSectno"/>
        </w:rPr>
        <w:t>14</w:t>
      </w:r>
      <w:r>
        <w:rPr>
          <w:snapToGrid w:val="0"/>
        </w:rPr>
        <w:t>.</w:t>
      </w:r>
      <w:r>
        <w:rPr>
          <w:snapToGrid w:val="0"/>
        </w:rPr>
        <w:tab/>
        <w:t>Category transfers</w:t>
      </w:r>
      <w:bookmarkEnd w:id="46"/>
      <w:bookmarkEnd w:id="47"/>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r>
        <w:tab/>
        <w:t>(b)</w:t>
      </w:r>
      <w:r>
        <w:tab/>
        <w:t>the balance of the member’s accumulation account is less than the benefit (in this subregulation called the</w:t>
      </w:r>
      <w:r>
        <w:rPr>
          <w:rStyle w:val="CharDefText"/>
        </w:rPr>
        <w:t xml:space="preserve"> member’s notional benefit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 (3)</w:t>
      </w:r>
      <w:r>
        <w:tab/>
        <w:t>deleted]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Gazette 29 Jun 1994 p. 3212; amended: Gazette 23 Jul 1999 p. 3387; 18 Aug 2000 p. 4784</w:t>
      </w:r>
      <w:r>
        <w:noBreakHyphen/>
        <w:t xml:space="preserve">5.] </w:t>
      </w:r>
    </w:p>
    <w:p>
      <w:pPr>
        <w:pStyle w:val="Heading5"/>
      </w:pPr>
      <w:bookmarkStart w:id="48" w:name="_Toc404668416"/>
      <w:bookmarkStart w:id="49" w:name="_Toc418675191"/>
      <w:r>
        <w:rPr>
          <w:rStyle w:val="CharSectno"/>
        </w:rPr>
        <w:t>14A</w:t>
      </w:r>
      <w:r>
        <w:t>.</w:t>
      </w:r>
      <w:r>
        <w:tab/>
        <w:t>Category A member may elect to transfer notional defined benefit to accumulation account</w:t>
      </w:r>
      <w:bookmarkEnd w:id="48"/>
      <w:bookmarkEnd w:id="49"/>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keepNext/>
      </w:pPr>
      <w:r>
        <w:tab/>
        <w:t>(4)</w:t>
      </w:r>
      <w:r>
        <w:tab/>
        <w:t xml:space="preserve">In this regulation — </w:t>
      </w:r>
    </w:p>
    <w:p>
      <w:pPr>
        <w:pStyle w:val="Defstart"/>
      </w:pPr>
      <w:r>
        <w:tab/>
      </w:r>
      <w:r>
        <w:rPr>
          <w:rStyle w:val="CharDefText"/>
        </w:rPr>
        <w:t>election day</w:t>
      </w:r>
      <w:r>
        <w:t xml:space="preserve"> means the day on which the member makes an election under subregulation (1);</w:t>
      </w:r>
    </w:p>
    <w:p>
      <w:pPr>
        <w:pStyle w:val="Defstart"/>
      </w:pPr>
      <w:r>
        <w:tab/>
      </w:r>
      <w:r>
        <w:rPr>
          <w:rStyle w:val="CharDefText"/>
        </w:rPr>
        <w:t>member’s notional defined benefit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Footnotesection"/>
      </w:pPr>
      <w:r>
        <w:tab/>
        <w:t>[Regulation 14A inserted: Gazette 18 Aug 2000 p. 4785; amended: Gazette 29 Jun 2004 p. 2521.]</w:t>
      </w:r>
    </w:p>
    <w:p>
      <w:pPr>
        <w:pStyle w:val="Heading2"/>
      </w:pPr>
      <w:bookmarkStart w:id="50" w:name="_Toc404668417"/>
      <w:bookmarkStart w:id="51" w:name="_Toc418675071"/>
      <w:bookmarkStart w:id="52" w:name="_Toc418675192"/>
      <w:r>
        <w:rPr>
          <w:rStyle w:val="CharPartNo"/>
        </w:rPr>
        <w:t>Part IV</w:t>
      </w:r>
      <w:r>
        <w:rPr>
          <w:rStyle w:val="CharDivNo"/>
        </w:rPr>
        <w:t> </w:t>
      </w:r>
      <w:r>
        <w:t>—</w:t>
      </w:r>
      <w:r>
        <w:rPr>
          <w:rStyle w:val="CharDivText"/>
        </w:rPr>
        <w:t> </w:t>
      </w:r>
      <w:r>
        <w:rPr>
          <w:rStyle w:val="CharPartText"/>
        </w:rPr>
        <w:t>Contributions to the Fund</w:t>
      </w:r>
      <w:bookmarkEnd w:id="50"/>
      <w:bookmarkEnd w:id="51"/>
      <w:bookmarkEnd w:id="52"/>
      <w:r>
        <w:rPr>
          <w:rStyle w:val="CharPartText"/>
        </w:rPr>
        <w:t xml:space="preserve"> </w:t>
      </w:r>
    </w:p>
    <w:p>
      <w:pPr>
        <w:pStyle w:val="Heading5"/>
        <w:rPr>
          <w:snapToGrid w:val="0"/>
        </w:rPr>
      </w:pPr>
      <w:bookmarkStart w:id="53" w:name="_Toc404668418"/>
      <w:bookmarkStart w:id="54" w:name="_Toc418675193"/>
      <w:r>
        <w:rPr>
          <w:rStyle w:val="CharSectno"/>
        </w:rPr>
        <w:t>15</w:t>
      </w:r>
      <w:r>
        <w:rPr>
          <w:snapToGrid w:val="0"/>
        </w:rPr>
        <w:t>.</w:t>
      </w:r>
      <w:r>
        <w:rPr>
          <w:snapToGrid w:val="0"/>
        </w:rPr>
        <w:tab/>
        <w:t>Contributions by members</w:t>
      </w:r>
      <w:bookmarkEnd w:id="53"/>
      <w:bookmarkEnd w:id="54"/>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Gazette 18 Aug 1989 p. 2766; 15 Dec 1992 p. 6022; 29 Jun 1994 p. 3212</w:t>
      </w:r>
      <w:r>
        <w:noBreakHyphen/>
        <w:t xml:space="preserve">14; 21 Nov 1995 p. 5357; 17 Apr 1998 p. 2098; 23 Jul 1999 p. 3387; 21 Jan 2005 p. 260-1.] </w:t>
      </w:r>
    </w:p>
    <w:p>
      <w:pPr>
        <w:pStyle w:val="Heading5"/>
      </w:pPr>
      <w:bookmarkStart w:id="55" w:name="_Toc404668419"/>
      <w:bookmarkStart w:id="56" w:name="_Toc418675194"/>
      <w:r>
        <w:rPr>
          <w:rStyle w:val="CharSectno"/>
        </w:rPr>
        <w:t>15A</w:t>
      </w:r>
      <w:r>
        <w:t>.</w:t>
      </w:r>
      <w:r>
        <w:tab/>
        <w:t>Contributions for Category C member</w:t>
      </w:r>
      <w:bookmarkEnd w:id="55"/>
      <w:bookmarkEnd w:id="56"/>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Gazette 21 Jan 2005 p. 261.]</w:t>
      </w:r>
    </w:p>
    <w:p>
      <w:pPr>
        <w:pStyle w:val="Heading5"/>
        <w:rPr>
          <w:snapToGrid w:val="0"/>
        </w:rPr>
      </w:pPr>
      <w:bookmarkStart w:id="57" w:name="_Toc404668420"/>
      <w:bookmarkStart w:id="58" w:name="_Toc418675195"/>
      <w:r>
        <w:rPr>
          <w:rStyle w:val="CharSectno"/>
        </w:rPr>
        <w:t>16</w:t>
      </w:r>
      <w:r>
        <w:rPr>
          <w:snapToGrid w:val="0"/>
        </w:rPr>
        <w:t>.</w:t>
      </w:r>
      <w:r>
        <w:rPr>
          <w:snapToGrid w:val="0"/>
        </w:rPr>
        <w:tab/>
        <w:t>Contributions by employers — Category A members</w:t>
      </w:r>
      <w:bookmarkEnd w:id="57"/>
      <w:bookmarkEnd w:id="58"/>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r>
      <w:r>
        <w:rPr>
          <w:rStyle w:val="CharDefText"/>
        </w:rPr>
        <w:t>actuarial amount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 xml:space="preserve">the amount equal to any other amount or rate of contribution agreed on (instead of the amount referred to in paragraph (a)) by the </w:t>
      </w:r>
      <w:smartTag w:uri="urn:schemas-microsoft-com:office:smarttags" w:element="place">
        <w:r>
          <w:t>FES</w:t>
        </w:r>
      </w:smartTag>
      <w:r>
        <w:t xml:space="preserve"> Commissioner, the Superannuation Board and the actuary;</w:t>
      </w:r>
    </w:p>
    <w:p>
      <w:pPr>
        <w:pStyle w:val="Defstart"/>
      </w:pPr>
      <w:r>
        <w:rPr>
          <w:b/>
        </w:rPr>
        <w:tab/>
      </w:r>
      <w:r>
        <w:rPr>
          <w:rStyle w:val="CharDefText"/>
        </w:rPr>
        <w:t>employer</w:t>
      </w:r>
      <w:r>
        <w:t xml:space="preserve"> means the </w:t>
      </w:r>
      <w:smartTag w:uri="urn:schemas-microsoft-com:office:smarttags" w:element="place">
        <w:r>
          <w:t>FES</w:t>
        </w:r>
      </w:smartTag>
      <w:r>
        <w:t xml:space="preserve"> Commissioner or an associated employer;</w:t>
      </w:r>
    </w:p>
    <w:p>
      <w:pPr>
        <w:pStyle w:val="Defstart"/>
      </w:pPr>
      <w:r>
        <w:rPr>
          <w:b/>
        </w:rPr>
        <w:tab/>
      </w:r>
      <w:r>
        <w:rPr>
          <w:rStyle w:val="CharDefText"/>
        </w:rPr>
        <w:t>salary day</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 xml:space="preserve">the </w:t>
      </w:r>
      <w:smartTag w:uri="urn:schemas-microsoft-com:office:smarttags" w:element="place">
        <w:r>
          <w:t>FES</w:t>
        </w:r>
      </w:smartTag>
      <w:r>
        <w:t xml:space="preserve"> Commissioner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deleted] </w:t>
      </w:r>
    </w:p>
    <w:p>
      <w:pPr>
        <w:pStyle w:val="Subsection"/>
        <w:rPr>
          <w:snapToGrid w:val="0"/>
        </w:rPr>
      </w:pPr>
      <w:r>
        <w:rPr>
          <w:snapToGrid w:val="0"/>
        </w:rPr>
        <w:tab/>
        <w:t>(6)</w:t>
      </w:r>
      <w:r>
        <w:rPr>
          <w:snapToGrid w:val="0"/>
        </w:rPr>
        <w:tab/>
        <w:t xml:space="preserve">Notwithstanding subregulation (3) </w:t>
      </w:r>
      <w:r>
        <w:t xml:space="preserve">the </w:t>
      </w:r>
      <w:smartTag w:uri="urn:schemas-microsoft-com:office:smarttags" w:element="place">
        <w:r>
          <w:t>FES</w:t>
        </w:r>
      </w:smartTag>
      <w:r>
        <w:t xml:space="preserve"> Commissioner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 xml:space="preserve">the </w:t>
      </w:r>
      <w:smartTag w:uri="urn:schemas-microsoft-com:office:smarttags" w:element="place">
        <w:r>
          <w:t>FES</w:t>
        </w:r>
      </w:smartTag>
      <w:r>
        <w:t xml:space="preserve"> Commissioner</w:t>
      </w:r>
      <w:r>
        <w:rPr>
          <w:snapToGrid w:val="0"/>
        </w:rPr>
        <w:t xml:space="preserve"> in relation to that salary day bear to the amounts or rates of contribution payable under regulation 15 in relation to that salary day by Category A members in the employment of </w:t>
      </w:r>
      <w:r>
        <w:t xml:space="preserve">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Gazette 15 Dec 1992 p. 6022; 29 Jun 1994 p. 3214; 17 Apr 1998 p. 2098</w:t>
      </w:r>
      <w:r>
        <w:noBreakHyphen/>
        <w:t>9; 22 Dec 1998 p. 6852</w:t>
      </w:r>
      <w:r>
        <w:noBreakHyphen/>
        <w:t>3; 31 </w:t>
      </w:r>
      <w:r>
        <w:rPr>
          <w:szCs w:val="24"/>
        </w:rPr>
        <w:t>Oct 2012 p. 524</w:t>
      </w:r>
      <w:r>
        <w:t xml:space="preserve">9.] </w:t>
      </w:r>
    </w:p>
    <w:p>
      <w:pPr>
        <w:pStyle w:val="Heading5"/>
        <w:rPr>
          <w:snapToGrid w:val="0"/>
        </w:rPr>
      </w:pPr>
      <w:bookmarkStart w:id="59" w:name="_Toc404668421"/>
      <w:bookmarkStart w:id="60" w:name="_Toc418675196"/>
      <w:r>
        <w:rPr>
          <w:rStyle w:val="CharSectno"/>
        </w:rPr>
        <w:t>16A</w:t>
      </w:r>
      <w:r>
        <w:rPr>
          <w:snapToGrid w:val="0"/>
        </w:rPr>
        <w:t>.</w:t>
      </w:r>
      <w:r>
        <w:rPr>
          <w:snapToGrid w:val="0"/>
        </w:rPr>
        <w:tab/>
        <w:t>Contributions by employers — Category B members</w:t>
      </w:r>
      <w:bookmarkEnd w:id="59"/>
      <w:bookmarkEnd w:id="60"/>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Gazette 29 Jun 1994 p. 3215.] </w:t>
      </w:r>
    </w:p>
    <w:p>
      <w:pPr>
        <w:pStyle w:val="Heading5"/>
        <w:rPr>
          <w:snapToGrid w:val="0"/>
        </w:rPr>
      </w:pPr>
      <w:bookmarkStart w:id="61" w:name="_Toc404668422"/>
      <w:bookmarkStart w:id="62" w:name="_Toc418675197"/>
      <w:r>
        <w:rPr>
          <w:rStyle w:val="CharSectno"/>
        </w:rPr>
        <w:t>16B</w:t>
      </w:r>
      <w:r>
        <w:rPr>
          <w:snapToGrid w:val="0"/>
        </w:rPr>
        <w:t>.</w:t>
      </w:r>
      <w:r>
        <w:rPr>
          <w:snapToGrid w:val="0"/>
        </w:rPr>
        <w:tab/>
        <w:t>Contributions by employers — supplementary disablement benefits</w:t>
      </w:r>
      <w:bookmarkEnd w:id="61"/>
      <w:bookmarkEnd w:id="62"/>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Gazette 29 Jun 1994 p. 3215; amended: Gazette 17 Apr 1998 p. 2099.] </w:t>
      </w:r>
    </w:p>
    <w:p>
      <w:pPr>
        <w:pStyle w:val="Heading5"/>
        <w:spacing w:before="180"/>
      </w:pPr>
      <w:bookmarkStart w:id="63" w:name="_Toc404668423"/>
      <w:bookmarkStart w:id="64" w:name="_Toc418675198"/>
      <w:r>
        <w:rPr>
          <w:rStyle w:val="CharSectno"/>
        </w:rPr>
        <w:t>16BA</w:t>
      </w:r>
      <w:r>
        <w:t>.</w:t>
      </w:r>
      <w:r>
        <w:tab/>
        <w:t>Acceptance of Commonwealth payments</w:t>
      </w:r>
      <w:bookmarkEnd w:id="63"/>
      <w:bookmarkEnd w:id="64"/>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Gazette 21 Jan 2005 p. 261.]</w:t>
      </w:r>
    </w:p>
    <w:p>
      <w:pPr>
        <w:pStyle w:val="Heading5"/>
        <w:spacing w:before="180"/>
      </w:pPr>
      <w:bookmarkStart w:id="65" w:name="_Toc404668424"/>
      <w:bookmarkStart w:id="66" w:name="_Toc418675199"/>
      <w:r>
        <w:rPr>
          <w:rStyle w:val="CharSectno"/>
        </w:rPr>
        <w:t>16BB</w:t>
      </w:r>
      <w:r>
        <w:t>.</w:t>
      </w:r>
      <w:r>
        <w:tab/>
        <w:t>Contribution splitting</w:t>
      </w:r>
      <w:bookmarkEnd w:id="65"/>
      <w:bookmarkEnd w:id="66"/>
    </w:p>
    <w:p>
      <w:pPr>
        <w:pStyle w:val="Subsection"/>
      </w:pPr>
      <w:r>
        <w:tab/>
        <w:t>(1)</w:t>
      </w:r>
      <w:r>
        <w:tab/>
        <w:t xml:space="preserve">A member — </w:t>
      </w:r>
    </w:p>
    <w:p>
      <w:pPr>
        <w:pStyle w:val="Indenta"/>
      </w:pPr>
      <w:r>
        <w:tab/>
        <w:t>(a)</w:t>
      </w:r>
      <w:r>
        <w:tab/>
        <w:t>for whom splittable contributions have been made to the Superannuation Fund; and</w:t>
      </w:r>
    </w:p>
    <w:p>
      <w:pPr>
        <w:pStyle w:val="Indenta"/>
      </w:pPr>
      <w:r>
        <w:tab/>
        <w:t>(b)</w:t>
      </w:r>
      <w:r>
        <w:tab/>
        <w:t>whose partner is also a member,</w:t>
      </w:r>
    </w:p>
    <w:p>
      <w:pPr>
        <w:pStyle w:val="Subsection"/>
      </w:pPr>
      <w:r>
        <w:tab/>
      </w:r>
      <w:r>
        <w:tab/>
        <w:t>may apply to the Superannuation Board to transfer some or all of those contributions to the partner’s accumulation account in accordance with Division 6.7 of the SIS Regulations.</w:t>
      </w:r>
    </w:p>
    <w:p>
      <w:pPr>
        <w:pStyle w:val="Subsection"/>
      </w:pPr>
      <w:r>
        <w:tab/>
        <w:t>(2)</w:t>
      </w:r>
      <w:r>
        <w:tab/>
        <w:t>The Superannuation Board may accept an application under subregulation (1) if it is satisfied that the application complies with Division 6.7 of the SIS Regulations.</w:t>
      </w:r>
    </w:p>
    <w:p>
      <w:pPr>
        <w:pStyle w:val="Subsection"/>
      </w:pPr>
      <w:r>
        <w:tab/>
        <w:t>(3)</w:t>
      </w:r>
      <w:r>
        <w:tab/>
        <w:t>On acceptance of an application under subregulation (1) the Superannuation Board is to transfer the contributions as requested.</w:t>
      </w:r>
    </w:p>
    <w:p>
      <w:pPr>
        <w:pStyle w:val="Footnotesection"/>
      </w:pPr>
      <w:r>
        <w:tab/>
        <w:t>[Regulation 16BB inserted: Gazette 1 Apr 2008 p. 1273.]</w:t>
      </w:r>
    </w:p>
    <w:p>
      <w:pPr>
        <w:pStyle w:val="Heading5"/>
        <w:spacing w:before="180"/>
      </w:pPr>
      <w:bookmarkStart w:id="67" w:name="_Toc404668425"/>
      <w:bookmarkStart w:id="68" w:name="_Toc418675200"/>
      <w:r>
        <w:rPr>
          <w:rStyle w:val="CharSectno"/>
        </w:rPr>
        <w:t>16C</w:t>
      </w:r>
      <w:r>
        <w:t>.</w:t>
      </w:r>
      <w:r>
        <w:tab/>
        <w:t>Accumulation accounts</w:t>
      </w:r>
      <w:bookmarkEnd w:id="67"/>
      <w:bookmarkEnd w:id="68"/>
    </w:p>
    <w:p>
      <w:pPr>
        <w:pStyle w:val="Subsection"/>
        <w:spacing w:before="120"/>
      </w:pPr>
      <w:r>
        <w:tab/>
        <w:t>(1)</w:t>
      </w:r>
      <w:r>
        <w:tab/>
        <w:t>The Superannuation Board is to establish and maintain an accumulation account for each member.</w:t>
      </w:r>
    </w:p>
    <w:p>
      <w:pPr>
        <w:pStyle w:val="Subsection"/>
        <w:spacing w:before="120"/>
      </w:pPr>
      <w:r>
        <w:tab/>
        <w:t>(2)</w:t>
      </w:r>
      <w:r>
        <w:tab/>
        <w:t xml:space="preserve">The Superannuation Board is to credit to a member’s accumulation account — </w:t>
      </w:r>
    </w:p>
    <w:p>
      <w:pPr>
        <w:pStyle w:val="Indenta"/>
      </w:pPr>
      <w:r>
        <w:tab/>
        <w:t>(a)</w:t>
      </w:r>
      <w:r>
        <w:tab/>
        <w:t>any amounts to be credited to the member’s accumulation account under regulation 14, 14A, or 20; and</w:t>
      </w:r>
    </w:p>
    <w:p>
      <w:pPr>
        <w:pStyle w:val="Indenta"/>
      </w:pPr>
      <w:r>
        <w:tab/>
        <w:t>(aa)</w:t>
      </w:r>
      <w:r>
        <w:tab/>
        <w:t>the amount of any splittable contributions transferred to the member under regulation 16BB; and</w:t>
      </w:r>
    </w:p>
    <w:p>
      <w:pPr>
        <w:pStyle w:val="Indenta"/>
      </w:pPr>
      <w:r>
        <w:tab/>
        <w:t>(b)</w:t>
      </w:r>
      <w:r>
        <w:tab/>
        <w:t>any contributions made by the member under an agreement under regulation 37; and</w:t>
      </w:r>
    </w:p>
    <w:p>
      <w:pPr>
        <w:pStyle w:val="Indenta"/>
      </w:pPr>
      <w:r>
        <w:tab/>
        <w:t>(c)</w:t>
      </w:r>
      <w:r>
        <w:tab/>
        <w:t>any surplus funds allocated to the member under regulation 37A; and</w:t>
      </w:r>
    </w:p>
    <w:p>
      <w:pPr>
        <w:pStyle w:val="Indenta"/>
      </w:pPr>
      <w:r>
        <w:tab/>
        <w:t>(d)</w:t>
      </w:r>
      <w:r>
        <w:tab/>
        <w:t>any amounts transferred from other superannuation funds under regulation 38 that the Superannuation Board determines are to be credited to the member’s accumulation account; and</w:t>
      </w:r>
    </w:p>
    <w:p>
      <w:pPr>
        <w:pStyle w:val="Indenta"/>
      </w:pPr>
      <w:r>
        <w:tab/>
        <w:t>(da)</w:t>
      </w:r>
      <w:r>
        <w:tab/>
        <w:t>for a Category A member who has made an election under regulation 14A, all contributions made by or for the member after the election is made except contributions under regulation 16B; and</w:t>
      </w:r>
    </w:p>
    <w:p>
      <w:pPr>
        <w:pStyle w:val="Indenta"/>
      </w:pPr>
      <w:r>
        <w:tab/>
        <w:t>(e)</w:t>
      </w:r>
      <w:r>
        <w:tab/>
        <w:t>for any other Category A member, all contributions made by or for the member after the member has reached 65 years of age; and</w:t>
      </w:r>
    </w:p>
    <w:p>
      <w:pPr>
        <w:pStyle w:val="Indenta"/>
      </w:pPr>
      <w:r>
        <w:tab/>
        <w:t>(f)</w:t>
      </w:r>
      <w:r>
        <w:tab/>
        <w:t>for a Category B member, all contributions made by or for the member; and</w:t>
      </w:r>
    </w:p>
    <w:p>
      <w:pPr>
        <w:pStyle w:val="Indenta"/>
        <w:spacing w:before="70"/>
      </w:pPr>
      <w:r>
        <w:tab/>
        <w:t>(fa)</w:t>
      </w:r>
      <w:r>
        <w:tab/>
        <w:t>for a Category B member, the proceeds received by the Superannuation Board from any insurance policies taken out under regulation 16D in respect of the member; and</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 and</w:t>
      </w:r>
    </w:p>
    <w:p>
      <w:pPr>
        <w:pStyle w:val="Indenta"/>
        <w:spacing w:before="70"/>
      </w:pPr>
      <w:r>
        <w:tab/>
        <w:t>(g)</w:t>
      </w:r>
      <w:r>
        <w:tab/>
        <w:t>earnings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any tax payable by the Superannuation Board in respect of contributions credited to the account; and</w:t>
      </w:r>
    </w:p>
    <w:p>
      <w:pPr>
        <w:pStyle w:val="Indenta"/>
        <w:spacing w:before="70"/>
      </w:pPr>
      <w:r>
        <w:tab/>
        <w:t>(aa)</w:t>
      </w:r>
      <w:r>
        <w:tab/>
        <w:t>for a Category B member, the costs and premiums payable by the Superannuation Board for any insurance policies taken out under regulation 16D in respect of the member; and</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 and</w:t>
      </w:r>
    </w:p>
    <w:p>
      <w:pPr>
        <w:pStyle w:val="Indenta"/>
      </w:pPr>
      <w:r>
        <w:tab/>
        <w:t>(ac)</w:t>
      </w:r>
      <w:r>
        <w:tab/>
        <w:t>the amount of any splittable contribution transferred by the member under regulation 16BB; and</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At least once every year the Superannuation Board must, for each member —</w:t>
      </w:r>
    </w:p>
    <w:p>
      <w:pPr>
        <w:pStyle w:val="Indenta"/>
      </w:pPr>
      <w:r>
        <w:tab/>
        <w:t>(a)</w:t>
      </w:r>
      <w:r>
        <w:tab/>
        <w:t>calculate the member’s earnings for the period since earnings were last credited to the member’s accumulation account (or if no earnings have been credited, since the account was opened) by applying the member’s earnings rate to the balance in the account; and</w:t>
      </w:r>
    </w:p>
    <w:p>
      <w:pPr>
        <w:pStyle w:val="Indenta"/>
      </w:pPr>
      <w:r>
        <w:tab/>
        <w:t>(b)</w:t>
      </w:r>
      <w:r>
        <w:tab/>
        <w:t>credit the amount of the member’s earnings to the member’s accumulation account.</w:t>
      </w:r>
    </w:p>
    <w:p>
      <w:pPr>
        <w:pStyle w:val="Subsection"/>
      </w:pPr>
      <w:r>
        <w:tab/>
        <w:t>(5)</w:t>
      </w:r>
      <w:r>
        <w:tab/>
        <w:t>When making a calculation under subregulation (4)(a) the Superannuation Board may apply the earnings rate to daily balances, average balances or on such other basis as it considers appropriate.</w:t>
      </w:r>
    </w:p>
    <w:p>
      <w:pPr>
        <w:pStyle w:val="Footnotesection"/>
      </w:pPr>
      <w:r>
        <w:tab/>
        <w:t>[Regulation 16C inserted: Gazette 23 Jul 1999 p. 3387; amended: Gazette 18 Aug 2000 p. 4786; 2 May 2003 p. 1494; 21 Jan 2005 p. 262; 1 Apr 2008 p. 1273-4.]</w:t>
      </w:r>
    </w:p>
    <w:p>
      <w:pPr>
        <w:pStyle w:val="Heading5"/>
      </w:pPr>
      <w:bookmarkStart w:id="69" w:name="_Toc404668426"/>
      <w:bookmarkStart w:id="70" w:name="_Toc418675201"/>
      <w:r>
        <w:rPr>
          <w:rStyle w:val="CharSectno"/>
        </w:rPr>
        <w:t>16D</w:t>
      </w:r>
      <w:r>
        <w:t>.</w:t>
      </w:r>
      <w:r>
        <w:tab/>
        <w:t>Insurance for Category B members</w:t>
      </w:r>
      <w:bookmarkEnd w:id="69"/>
      <w:bookmarkEnd w:id="70"/>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rStyle w:val="CharDefText"/>
        </w:rPr>
        <w:t>insurance</w:t>
      </w:r>
      <w:r>
        <w:t xml:space="preserve"> means life insurance, disability insurance or life and disability insurance.</w:t>
      </w:r>
    </w:p>
    <w:p>
      <w:pPr>
        <w:pStyle w:val="Footnotesection"/>
      </w:pPr>
      <w:r>
        <w:tab/>
        <w:t>[Regulation 16D inserted: Gazette 18 Aug 2000 p. 4786</w:t>
      </w:r>
      <w:r>
        <w:noBreakHyphen/>
        <w:t>7.]</w:t>
      </w:r>
    </w:p>
    <w:p>
      <w:pPr>
        <w:pStyle w:val="Heading2"/>
      </w:pPr>
      <w:bookmarkStart w:id="71" w:name="_Toc404668427"/>
      <w:bookmarkStart w:id="72" w:name="_Toc418675081"/>
      <w:bookmarkStart w:id="73" w:name="_Toc418675202"/>
      <w:r>
        <w:rPr>
          <w:rStyle w:val="CharPartNo"/>
        </w:rPr>
        <w:t>Part V</w:t>
      </w:r>
      <w:r>
        <w:t> — </w:t>
      </w:r>
      <w:r>
        <w:rPr>
          <w:rStyle w:val="CharPartText"/>
        </w:rPr>
        <w:t>Benefits</w:t>
      </w:r>
      <w:bookmarkEnd w:id="71"/>
      <w:bookmarkEnd w:id="72"/>
      <w:bookmarkEnd w:id="73"/>
    </w:p>
    <w:p>
      <w:pPr>
        <w:pStyle w:val="Heading3"/>
        <w:rPr>
          <w:snapToGrid w:val="0"/>
        </w:rPr>
      </w:pPr>
      <w:bookmarkStart w:id="74" w:name="_Toc404668428"/>
      <w:bookmarkStart w:id="75" w:name="_Toc418675082"/>
      <w:bookmarkStart w:id="76" w:name="_Toc418675203"/>
      <w:r>
        <w:rPr>
          <w:rStyle w:val="CharDivNo"/>
        </w:rPr>
        <w:t>Division 1</w:t>
      </w:r>
      <w:r>
        <w:rPr>
          <w:snapToGrid w:val="0"/>
        </w:rPr>
        <w:t> — </w:t>
      </w:r>
      <w:r>
        <w:rPr>
          <w:rStyle w:val="CharDivText"/>
        </w:rPr>
        <w:t>Entitlement to benefits</w:t>
      </w:r>
      <w:bookmarkEnd w:id="74"/>
      <w:bookmarkEnd w:id="75"/>
      <w:bookmarkEnd w:id="76"/>
      <w:r>
        <w:rPr>
          <w:rStyle w:val="CharDivText"/>
        </w:rPr>
        <w:t xml:space="preserve"> </w:t>
      </w:r>
    </w:p>
    <w:p>
      <w:pPr>
        <w:pStyle w:val="Heading5"/>
        <w:spacing w:before="200"/>
      </w:pPr>
      <w:bookmarkStart w:id="77" w:name="_Toc404668429"/>
      <w:bookmarkStart w:id="78" w:name="_Toc418675204"/>
      <w:r>
        <w:rPr>
          <w:rStyle w:val="CharSectno"/>
        </w:rPr>
        <w:t>17</w:t>
      </w:r>
      <w:r>
        <w:t>.</w:t>
      </w:r>
      <w:r>
        <w:tab/>
        <w:t>Death benefit — Category A</w:t>
      </w:r>
      <w:bookmarkEnd w:id="77"/>
      <w:bookmarkEnd w:id="78"/>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Gazette 23 Jul 1999 p. 3388; amended: Gazette 18 Aug 2000 p. 4787.]</w:t>
      </w:r>
    </w:p>
    <w:p>
      <w:pPr>
        <w:pStyle w:val="Heading5"/>
        <w:spacing w:before="180"/>
      </w:pPr>
      <w:bookmarkStart w:id="79" w:name="_Toc404668430"/>
      <w:bookmarkStart w:id="80" w:name="_Toc418675205"/>
      <w:r>
        <w:rPr>
          <w:rStyle w:val="CharSectno"/>
        </w:rPr>
        <w:t>18</w:t>
      </w:r>
      <w:r>
        <w:t>.</w:t>
      </w:r>
      <w:r>
        <w:tab/>
        <w:t>Total and permanent disablement benefit — Category A</w:t>
      </w:r>
      <w:bookmarkEnd w:id="79"/>
      <w:bookmarkEnd w:id="80"/>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spacing w:before="80"/>
        <w:ind w:left="890" w:hanging="890"/>
      </w:pPr>
      <w:r>
        <w:tab/>
        <w:t>[Regulation 18 inserted: Gazette 23 Jul 1999 p. 3388.]</w:t>
      </w:r>
    </w:p>
    <w:p>
      <w:pPr>
        <w:pStyle w:val="Heading5"/>
        <w:spacing w:before="240"/>
      </w:pPr>
      <w:bookmarkStart w:id="81" w:name="_Toc404668431"/>
      <w:bookmarkStart w:id="82" w:name="_Toc418675206"/>
      <w:r>
        <w:rPr>
          <w:rStyle w:val="CharSectno"/>
        </w:rPr>
        <w:t>19</w:t>
      </w:r>
      <w:r>
        <w:t>.</w:t>
      </w:r>
      <w:r>
        <w:tab/>
        <w:t>Partial and permanent disablement benefit — Category A</w:t>
      </w:r>
      <w:bookmarkEnd w:id="81"/>
      <w:bookmarkEnd w:id="82"/>
    </w:p>
    <w:p>
      <w:pPr>
        <w:pStyle w:val="Subsection"/>
        <w:spacing w:before="12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2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spacing w:before="80"/>
        <w:ind w:left="890" w:hanging="890"/>
      </w:pPr>
      <w:r>
        <w:tab/>
        <w:t>[Regulation 19 inserted: Gazette 23 Jul 1999 p. 3389; amended: Gazette 18 Aug 2000 p. 4787</w:t>
      </w:r>
      <w:r>
        <w:noBreakHyphen/>
        <w:t>8; 29 Jun 2004 p. 2521.]</w:t>
      </w:r>
    </w:p>
    <w:p>
      <w:pPr>
        <w:pStyle w:val="Heading5"/>
        <w:spacing w:before="180"/>
      </w:pPr>
      <w:bookmarkStart w:id="83" w:name="_Toc404668432"/>
      <w:bookmarkStart w:id="84" w:name="_Toc418675207"/>
      <w:r>
        <w:rPr>
          <w:rStyle w:val="CharSectno"/>
        </w:rPr>
        <w:t>20</w:t>
      </w:r>
      <w:r>
        <w:t>.</w:t>
      </w:r>
      <w:r>
        <w:tab/>
        <w:t>Continuing in employment after 65 — Category A</w:t>
      </w:r>
      <w:bookmarkEnd w:id="83"/>
      <w:bookmarkEnd w:id="84"/>
    </w:p>
    <w:p>
      <w:pPr>
        <w:pStyle w:val="Subsection"/>
        <w:spacing w:before="12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spacing w:before="80"/>
        <w:ind w:left="890" w:hanging="890"/>
      </w:pPr>
      <w:r>
        <w:tab/>
        <w:t>[Regulation 20 inserted: Gazette 23 Jul 1999 p. 3389; amended: Gazette 18 Aug 2000 p. 4788; 29 Jun 2004 p. 2521.]</w:t>
      </w:r>
    </w:p>
    <w:p>
      <w:pPr>
        <w:pStyle w:val="Heading5"/>
        <w:spacing w:before="180"/>
      </w:pPr>
      <w:bookmarkStart w:id="85" w:name="_Toc404668433"/>
      <w:bookmarkStart w:id="86" w:name="_Toc418675208"/>
      <w:r>
        <w:rPr>
          <w:rStyle w:val="CharSectno"/>
        </w:rPr>
        <w:t>21</w:t>
      </w:r>
      <w:r>
        <w:t>.</w:t>
      </w:r>
      <w:r>
        <w:tab/>
        <w:t>Leaving service benefit — Category A</w:t>
      </w:r>
      <w:bookmarkEnd w:id="85"/>
      <w:bookmarkEnd w:id="86"/>
    </w:p>
    <w:p>
      <w:pPr>
        <w:pStyle w:val="Subsection"/>
        <w:spacing w:before="12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spacing w:before="60"/>
      </w:pPr>
      <w:r>
        <w:tab/>
        <w:t>(a)</w:t>
      </w:r>
      <w:r>
        <w:tab/>
        <w:t>if the member is 65 years of age or older, the balance of the member’s accumulation account; or</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ind w:left="890" w:hanging="890"/>
      </w:pPr>
      <w:r>
        <w:tab/>
        <w:t>[Regulation 21 inserted: Gazette 23 Jul 1999 p. 3389; amended: Gazette 18 Aug 2000 p. 4788; 29 Jun 2004 p. 2521]</w:t>
      </w:r>
    </w:p>
    <w:p>
      <w:pPr>
        <w:pStyle w:val="Heading5"/>
        <w:spacing w:before="240"/>
      </w:pPr>
      <w:bookmarkStart w:id="87" w:name="_Toc404668434"/>
      <w:bookmarkStart w:id="88" w:name="_Toc418675209"/>
      <w:r>
        <w:rPr>
          <w:rStyle w:val="CharSectno"/>
        </w:rPr>
        <w:t>21A</w:t>
      </w:r>
      <w:r>
        <w:t>.</w:t>
      </w:r>
      <w:r>
        <w:tab/>
        <w:t>Benefit — Category B</w:t>
      </w:r>
      <w:bookmarkEnd w:id="87"/>
      <w:bookmarkEnd w:id="88"/>
    </w:p>
    <w:p>
      <w:pPr>
        <w:pStyle w:val="Subsection"/>
      </w:pPr>
      <w:r>
        <w:tab/>
        <w:t>(1)</w:t>
      </w:r>
      <w:r>
        <w:tab/>
        <w:t>If a Category B member dies while still in the employment of the employer the Superannuation Board is to pay a benefit equal to the balance of the member’s accumulation account.</w:t>
      </w:r>
    </w:p>
    <w:p>
      <w:pPr>
        <w:pStyle w:val="Subsection"/>
        <w:keepNext/>
      </w:pPr>
      <w:r>
        <w:tab/>
        <w:t>(2)</w:t>
      </w:r>
      <w:r>
        <w:tab/>
        <w:t>If a Category B member —</w:t>
      </w:r>
    </w:p>
    <w:p>
      <w:pPr>
        <w:pStyle w:val="Indenta"/>
      </w:pPr>
      <w:r>
        <w:tab/>
        <w:t>(a)</w:t>
      </w:r>
      <w:r>
        <w:tab/>
        <w:t>ceases to be in the employment of the employer other than as a result of death; or</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Gazette 23 Jul 1999 p. 3390; amended: Gazette 18 Aug 2000 p. 4788.]</w:t>
      </w:r>
    </w:p>
    <w:p>
      <w:pPr>
        <w:pStyle w:val="Heading5"/>
      </w:pPr>
      <w:bookmarkStart w:id="89" w:name="_Toc404668435"/>
      <w:bookmarkStart w:id="90" w:name="_Toc418675210"/>
      <w:r>
        <w:rPr>
          <w:rStyle w:val="CharSectno"/>
        </w:rPr>
        <w:t>21AA</w:t>
      </w:r>
      <w:r>
        <w:t>.</w:t>
      </w:r>
      <w:r>
        <w:tab/>
        <w:t>Benefit — Category C</w:t>
      </w:r>
      <w:bookmarkEnd w:id="89"/>
      <w:bookmarkEnd w:id="90"/>
    </w:p>
    <w:p>
      <w:pPr>
        <w:pStyle w:val="Subsection"/>
      </w:pPr>
      <w:r>
        <w:tab/>
        <w:t>(1)</w:t>
      </w:r>
      <w:r>
        <w:tab/>
        <w:t>If a Category C member —</w:t>
      </w:r>
    </w:p>
    <w:p>
      <w:pPr>
        <w:pStyle w:val="Indenta"/>
      </w:pPr>
      <w:r>
        <w:tab/>
        <w:t>(a)</w:t>
      </w:r>
      <w:r>
        <w:tab/>
        <w:t>withdraws from the Superannuation Fund under regulation 12C(4); or</w:t>
      </w:r>
    </w:p>
    <w:p>
      <w:pPr>
        <w:pStyle w:val="Indenta"/>
      </w:pPr>
      <w:r>
        <w:tab/>
        <w:t>(b)</w:t>
      </w:r>
      <w:r>
        <w:tab/>
        <w:t>satisfies a condition of release within the meaning of Part 6 of the SIS Regulations in respect of which the cashing restriction specified in the SIS Regulations Schedule 1 is nil,</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Gazette 2 May 2003 p. 1494-5; amended: Gazette 1 Apr 2008 p. 1274.]</w:t>
      </w:r>
    </w:p>
    <w:p>
      <w:pPr>
        <w:pStyle w:val="Heading5"/>
      </w:pPr>
      <w:bookmarkStart w:id="91" w:name="_Toc404668436"/>
      <w:bookmarkStart w:id="92" w:name="_Toc418675211"/>
      <w:r>
        <w:rPr>
          <w:rStyle w:val="CharSectno"/>
        </w:rPr>
        <w:t>21AB</w:t>
      </w:r>
      <w:r>
        <w:t>.</w:t>
      </w:r>
      <w:r>
        <w:tab/>
        <w:t>Phased retirement benefit</w:t>
      </w:r>
      <w:bookmarkEnd w:id="91"/>
      <w:bookmarkEnd w:id="92"/>
    </w:p>
    <w:p>
      <w:pPr>
        <w:pStyle w:val="Subsection"/>
      </w:pPr>
      <w:r>
        <w:tab/>
        <w:t>(1)</w:t>
      </w:r>
      <w:r>
        <w:tab/>
        <w:t xml:space="preserve">A member who — </w:t>
      </w:r>
    </w:p>
    <w:p>
      <w:pPr>
        <w:pStyle w:val="Indenta"/>
      </w:pPr>
      <w:r>
        <w:tab/>
        <w:t>(a)</w:t>
      </w:r>
      <w:r>
        <w:tab/>
        <w:t xml:space="preserve">is at least the preservation age; and </w:t>
      </w:r>
    </w:p>
    <w:p>
      <w:pPr>
        <w:pStyle w:val="Indenta"/>
      </w:pPr>
      <w:r>
        <w:tab/>
        <w:t>(b)</w:t>
      </w:r>
      <w:r>
        <w:tab/>
        <w:t xml:space="preserve">applies to the Superannuation Board for payment of a benefit under this regulation, </w:t>
      </w:r>
    </w:p>
    <w:p>
      <w:pPr>
        <w:pStyle w:val="Subsection"/>
      </w:pPr>
      <w:r>
        <w:tab/>
      </w:r>
      <w:r>
        <w:tab/>
        <w:t>is entitled to a benefit of the amount specified in the member’s application, which must not exceed the balance of the member’s accumulation account.</w:t>
      </w:r>
    </w:p>
    <w:p>
      <w:pPr>
        <w:pStyle w:val="Subsection"/>
      </w:pPr>
      <w:r>
        <w:tab/>
        <w:t>(2)</w:t>
      </w:r>
      <w:r>
        <w:tab/>
        <w:t xml:space="preserve">A benefit under this regulation is to be paid — </w:t>
      </w:r>
    </w:p>
    <w:p>
      <w:pPr>
        <w:pStyle w:val="Indenta"/>
      </w:pPr>
      <w:r>
        <w:tab/>
        <w:t>(a)</w:t>
      </w:r>
      <w:r>
        <w:tab/>
        <w:t xml:space="preserve">under regulation 22 as a pension benefit; and </w:t>
      </w:r>
    </w:p>
    <w:p>
      <w:pPr>
        <w:pStyle w:val="Indenta"/>
      </w:pPr>
      <w:r>
        <w:tab/>
        <w:t>(b)</w:t>
      </w:r>
      <w:r>
        <w:tab/>
        <w:t xml:space="preserve">on terms and conditions that ensure that the benefit is — </w:t>
      </w:r>
    </w:p>
    <w:p>
      <w:pPr>
        <w:pStyle w:val="Indenti"/>
      </w:pPr>
      <w:r>
        <w:tab/>
        <w:t>(i)</w:t>
      </w:r>
      <w:r>
        <w:tab/>
        <w:t>a non</w:t>
      </w:r>
      <w:r>
        <w:noBreakHyphen/>
        <w:t>commutable allocated annuity; or</w:t>
      </w:r>
    </w:p>
    <w:p>
      <w:pPr>
        <w:pStyle w:val="Indenti"/>
      </w:pPr>
      <w:r>
        <w:tab/>
        <w:t>(ii)</w:t>
      </w:r>
      <w:r>
        <w:tab/>
        <w:t>a non</w:t>
      </w:r>
      <w:r>
        <w:noBreakHyphen/>
        <w:t>commutable allocated pension; or</w:t>
      </w:r>
    </w:p>
    <w:p>
      <w:pPr>
        <w:pStyle w:val="Indenti"/>
      </w:pPr>
      <w:r>
        <w:tab/>
        <w:t>(iii)</w:t>
      </w:r>
      <w:r>
        <w:tab/>
        <w:t>a non</w:t>
      </w:r>
      <w:r>
        <w:noBreakHyphen/>
        <w:t>commutable annuity; or</w:t>
      </w:r>
    </w:p>
    <w:p>
      <w:pPr>
        <w:pStyle w:val="Indenti"/>
      </w:pPr>
      <w:r>
        <w:tab/>
        <w:t>(iv)</w:t>
      </w:r>
      <w:r>
        <w:tab/>
        <w:t>a non</w:t>
      </w:r>
      <w:r>
        <w:noBreakHyphen/>
        <w:t>commutable pension,</w:t>
      </w:r>
    </w:p>
    <w:p>
      <w:pPr>
        <w:pStyle w:val="Indenta"/>
      </w:pPr>
      <w:r>
        <w:tab/>
      </w:r>
      <w:r>
        <w:tab/>
        <w:t>(all as defined in the SIS Regulations).</w:t>
      </w:r>
    </w:p>
    <w:p>
      <w:pPr>
        <w:pStyle w:val="Subsection"/>
      </w:pPr>
      <w:r>
        <w:tab/>
        <w:t>(3)</w:t>
      </w:r>
      <w:r>
        <w:tab/>
        <w:t>For the purposes of regulation 22, an application under subregulation (1)(b) for payment of a benefit is taken to also be an application under regulation 22(1) for the benefit to be paid as a pension benefit.</w:t>
      </w:r>
    </w:p>
    <w:p>
      <w:pPr>
        <w:pStyle w:val="Footnotesection"/>
      </w:pPr>
      <w:r>
        <w:tab/>
        <w:t>[Regulation 21AB inserted: Gazette 1 Apr 2008 p. 1275.]</w:t>
      </w:r>
    </w:p>
    <w:p>
      <w:pPr>
        <w:pStyle w:val="Heading5"/>
      </w:pPr>
      <w:bookmarkStart w:id="93" w:name="_Toc404668437"/>
      <w:bookmarkStart w:id="94" w:name="_Toc418675212"/>
      <w:r>
        <w:rPr>
          <w:rStyle w:val="CharSectno"/>
        </w:rPr>
        <w:t>21AC</w:t>
      </w:r>
      <w:r>
        <w:t>.</w:t>
      </w:r>
      <w:r>
        <w:tab/>
        <w:t>Increased death benefit in certain cases</w:t>
      </w:r>
      <w:bookmarkEnd w:id="93"/>
      <w:bookmarkEnd w:id="94"/>
    </w:p>
    <w:p>
      <w:pPr>
        <w:pStyle w:val="Subsection"/>
      </w:pPr>
      <w:r>
        <w:tab/>
      </w:r>
      <w:r>
        <w:tab/>
        <w:t xml:space="preserve">If — </w:t>
      </w:r>
    </w:p>
    <w:p>
      <w:pPr>
        <w:pStyle w:val="Indenta"/>
      </w:pPr>
      <w:r>
        <w:tab/>
        <w:t>(a)</w:t>
      </w:r>
      <w:r>
        <w:tab/>
        <w:t>a death benefit becomes payable; and</w:t>
      </w:r>
    </w:p>
    <w:p>
      <w:pPr>
        <w:pStyle w:val="Indenta"/>
      </w:pPr>
      <w:r>
        <w:tab/>
        <w:t>(b)</w:t>
      </w:r>
      <w:r>
        <w:tab/>
        <w:t xml:space="preserve">the Superannuation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Superannuation Board may, if it considers it appropriate to do so, increase the amount of the death benefit by an amount not exceeding the amount of the deduction to which the Superannuation Board would be entitled.</w:t>
      </w:r>
    </w:p>
    <w:p>
      <w:pPr>
        <w:pStyle w:val="Footnotesection"/>
      </w:pPr>
      <w:r>
        <w:tab/>
        <w:t>[Regulation 21AC inserted: Gazette 21 Aug 2009 p. 3268.]</w:t>
      </w:r>
    </w:p>
    <w:p>
      <w:pPr>
        <w:pStyle w:val="Heading5"/>
      </w:pPr>
      <w:bookmarkStart w:id="95" w:name="_Toc404668438"/>
      <w:bookmarkStart w:id="96" w:name="_Toc418675213"/>
      <w:r>
        <w:rPr>
          <w:rStyle w:val="CharSectno"/>
        </w:rPr>
        <w:t>21B</w:t>
      </w:r>
      <w:r>
        <w:t>.</w:t>
      </w:r>
      <w:r>
        <w:tab/>
        <w:t>Payment of benefits</w:t>
      </w:r>
      <w:bookmarkEnd w:id="95"/>
      <w:bookmarkEnd w:id="96"/>
    </w:p>
    <w:p>
      <w:pPr>
        <w:pStyle w:val="Subsection"/>
        <w:spacing w:before="180"/>
      </w:pPr>
      <w:r>
        <w:tab/>
        <w:t>(1)</w:t>
      </w:r>
      <w:r>
        <w:tab/>
        <w:t>Subject to this regulation and regulations 21C, 22, 23B and 23BA, when a member becomes entitled to a benefit the Superannuation Board is to pay it to the member as a lump sum.</w:t>
      </w:r>
    </w:p>
    <w:p>
      <w:pPr>
        <w:pStyle w:val="Subsection"/>
        <w:spacing w:before="180"/>
      </w:pPr>
      <w:r>
        <w:tab/>
        <w:t>(2)</w:t>
      </w:r>
      <w:r>
        <w:tab/>
        <w:t xml:space="preserve">The Superannuation Board may, at the request of a member, transfer a benefit to which the member is entitled to another complying superannuation fund. </w:t>
      </w:r>
    </w:p>
    <w:p>
      <w:pPr>
        <w:pStyle w:val="Subsection"/>
        <w:spacing w:before="180"/>
      </w:pPr>
      <w:r>
        <w:tab/>
        <w:t>(3)</w:t>
      </w:r>
      <w:r>
        <w:tab/>
        <w:t xml:space="preserve">The Superannuation Board may transfer a benefit that is payable to or in respect of a member to an eligible rollover fund (as defined in the SIS Act) if that complies with the SIS standards. </w:t>
      </w:r>
    </w:p>
    <w:p>
      <w:pPr>
        <w:pStyle w:val="Subsection"/>
        <w:spacing w:before="180"/>
      </w:pPr>
      <w:r>
        <w:tab/>
        <w:t>(3a)</w:t>
      </w:r>
      <w:r>
        <w:tab/>
        <w:t xml:space="preserve">The Board must not transfer a supplementary disablement benefit under subregulation (2) or (3) unless the benefit is to be paid as a lump sum and has become payable to the member. </w:t>
      </w:r>
    </w:p>
    <w:p>
      <w:pPr>
        <w:pStyle w:val="Subsection"/>
        <w:spacing w:before="180"/>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rStyle w:val="CharDefText"/>
        </w:rPr>
        <w:t>complying superannuation fund</w:t>
      </w:r>
      <w:r>
        <w:t xml:space="preserve"> means —</w:t>
      </w:r>
    </w:p>
    <w:p>
      <w:pPr>
        <w:pStyle w:val="Defpara"/>
      </w:pPr>
      <w:r>
        <w:tab/>
        <w:t>(a)</w:t>
      </w:r>
      <w:r>
        <w:tab/>
        <w:t>a regulated superannuation fund (as defined in the SIS Act); or</w:t>
      </w:r>
    </w:p>
    <w:p>
      <w:pPr>
        <w:pStyle w:val="Defpara"/>
      </w:pPr>
      <w:r>
        <w:tab/>
        <w:t>(b)</w:t>
      </w:r>
      <w:r>
        <w:tab/>
        <w:t>an exempt public sector superannuation scheme (as defined in the SIS Act); or</w:t>
      </w:r>
    </w:p>
    <w:p>
      <w:pPr>
        <w:pStyle w:val="Defpara"/>
      </w:pPr>
      <w:r>
        <w:tab/>
        <w:t>(c)</w:t>
      </w:r>
      <w:r>
        <w:tab/>
        <w:t xml:space="preserve">a regulated approved deposit (as defined in the SIS Act); or </w:t>
      </w:r>
    </w:p>
    <w:p>
      <w:pPr>
        <w:pStyle w:val="Defpara"/>
        <w:keepNext/>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Gazette 23 Jul 1999 p. 3390</w:t>
      </w:r>
      <w:r>
        <w:noBreakHyphen/>
        <w:t>1; amended: Gazette 30 Mar 2001 p. 1761.]</w:t>
      </w:r>
    </w:p>
    <w:p>
      <w:pPr>
        <w:pStyle w:val="Heading5"/>
      </w:pPr>
      <w:bookmarkStart w:id="97" w:name="_Toc404668439"/>
      <w:bookmarkStart w:id="98" w:name="_Toc418675214"/>
      <w:r>
        <w:rPr>
          <w:rStyle w:val="CharSectno"/>
        </w:rPr>
        <w:t>21C</w:t>
      </w:r>
      <w:r>
        <w:t>.</w:t>
      </w:r>
      <w:r>
        <w:tab/>
        <w:t>Preservation</w:t>
      </w:r>
      <w:bookmarkEnd w:id="97"/>
      <w:bookmarkEnd w:id="98"/>
    </w:p>
    <w:p>
      <w:pPr>
        <w:pStyle w:val="Subsection"/>
      </w:pPr>
      <w:r>
        <w:tab/>
        <w:t>(1)</w:t>
      </w:r>
      <w:r>
        <w:tab/>
        <w:t xml:space="preserve">Despite any other provision in these regulations, the Superannuation Board must not pay a benefit to a member if that would be contrary to the SIS standards. </w:t>
      </w:r>
    </w:p>
    <w:p>
      <w:pPr>
        <w:pStyle w:val="Ednotesubsection"/>
      </w:pPr>
      <w:r>
        <w:tab/>
        <w:t>[(2)</w:t>
      </w:r>
      <w:r>
        <w:tab/>
        <w:t>deleted]</w:t>
      </w:r>
    </w:p>
    <w:p>
      <w:pPr>
        <w:pStyle w:val="Footnotesection"/>
      </w:pPr>
      <w:r>
        <w:tab/>
        <w:t>[Regulation 21C inserted: Gazette 23 Jul 1999 p. 3391; amended: Gazette 2 May 2003 p. 1495; 1 Apr 2008 p. 1275.]</w:t>
      </w:r>
    </w:p>
    <w:p>
      <w:pPr>
        <w:pStyle w:val="Heading5"/>
      </w:pPr>
      <w:bookmarkStart w:id="99" w:name="_Toc404668440"/>
      <w:bookmarkStart w:id="100" w:name="_Toc418675215"/>
      <w:r>
        <w:rPr>
          <w:rStyle w:val="CharSectno"/>
        </w:rPr>
        <w:t>21D</w:t>
      </w:r>
      <w:r>
        <w:t>.</w:t>
      </w:r>
      <w:r>
        <w:tab/>
        <w:t>Delay in payment of benefit</w:t>
      </w:r>
      <w:bookmarkEnd w:id="99"/>
      <w:bookmarkEnd w:id="100"/>
    </w:p>
    <w:p>
      <w:pPr>
        <w:pStyle w:val="Subsection"/>
      </w:pPr>
      <w:r>
        <w:tab/>
        <w:t>(1)</w:t>
      </w:r>
      <w:r>
        <w:tab/>
        <w:t xml:space="preserve">If a benefit to which a member is entitled or which has become payable is not paid or transferred under regulation 21B(2) or (3) as soon as is permitted by these regulations, the Superannuation Board is to — </w:t>
      </w:r>
    </w:p>
    <w:p>
      <w:pPr>
        <w:pStyle w:val="Indenta"/>
      </w:pPr>
      <w:r>
        <w:tab/>
        <w:t>(a)</w:t>
      </w:r>
      <w:r>
        <w:tab/>
        <w:t>retain the accumulation component of the benefit in the member’s accumulation account; and</w:t>
      </w:r>
    </w:p>
    <w:p>
      <w:pPr>
        <w:pStyle w:val="Indenta"/>
      </w:pPr>
      <w:r>
        <w:tab/>
        <w:t>(b)</w:t>
      </w:r>
      <w:r>
        <w:tab/>
        <w:t>if the benefit includes a defined benefit component, credit the amount of that component to the member’s accumulation account; and</w:t>
      </w:r>
    </w:p>
    <w:p>
      <w:pPr>
        <w:pStyle w:val="Indenta"/>
      </w:pPr>
      <w:r>
        <w:tab/>
        <w:t>(c)</w:t>
      </w:r>
      <w:r>
        <w:tab/>
        <w:t xml:space="preserve">maintain the member’s accumulation account in accordance with these regulations until the benefit is paid or transferred, </w:t>
      </w:r>
    </w:p>
    <w:p>
      <w:pPr>
        <w:pStyle w:val="Subsection"/>
      </w:pPr>
      <w:r>
        <w:tab/>
      </w:r>
      <w:r>
        <w:tab/>
        <w:t xml:space="preserve">and when the benefit is paid or transferred, the amount to be paid or transferred is the balance in the account at that time. </w:t>
      </w:r>
    </w:p>
    <w:p>
      <w:pPr>
        <w:pStyle w:val="Subsection"/>
      </w:pPr>
      <w:r>
        <w:tab/>
        <w:t>(2)</w:t>
      </w:r>
      <w:r>
        <w:tab/>
        <w:t xml:space="preserve">This regulation does not apply to — </w:t>
      </w:r>
    </w:p>
    <w:p>
      <w:pPr>
        <w:pStyle w:val="Indenta"/>
      </w:pPr>
      <w:r>
        <w:tab/>
        <w:t>(a)</w:t>
      </w:r>
      <w:r>
        <w:tab/>
        <w:t xml:space="preserve">a supplementary disablement benefit; or </w:t>
      </w:r>
    </w:p>
    <w:p>
      <w:pPr>
        <w:pStyle w:val="Indenta"/>
      </w:pPr>
      <w:r>
        <w:tab/>
        <w:t>(b)</w:t>
      </w:r>
      <w:r>
        <w:tab/>
        <w:t xml:space="preserve">any part of a benefit that a person has elected under regulation 22 to receive as a pension. </w:t>
      </w:r>
    </w:p>
    <w:p>
      <w:pPr>
        <w:pStyle w:val="Footnotesection"/>
      </w:pPr>
      <w:r>
        <w:tab/>
        <w:t>[Regulation 21D inserted: Gazette 1 Apr 2008 p. 1275-6.]</w:t>
      </w:r>
    </w:p>
    <w:p>
      <w:pPr>
        <w:pStyle w:val="Heading5"/>
        <w:spacing w:before="240"/>
        <w:rPr>
          <w:snapToGrid w:val="0"/>
        </w:rPr>
      </w:pPr>
      <w:bookmarkStart w:id="101" w:name="_Toc404668441"/>
      <w:bookmarkStart w:id="102" w:name="_Toc418675216"/>
      <w:r>
        <w:rPr>
          <w:rStyle w:val="CharSectno"/>
        </w:rPr>
        <w:t>22</w:t>
      </w:r>
      <w:r>
        <w:rPr>
          <w:snapToGrid w:val="0"/>
        </w:rPr>
        <w:t>.</w:t>
      </w:r>
      <w:r>
        <w:rPr>
          <w:snapToGrid w:val="0"/>
        </w:rPr>
        <w:tab/>
        <w:t>Retirement benefits — pension option</w:t>
      </w:r>
      <w:bookmarkEnd w:id="101"/>
      <w:bookmarkEnd w:id="102"/>
      <w:r>
        <w:rPr>
          <w:snapToGrid w:val="0"/>
        </w:rPr>
        <w:t xml:space="preserve"> </w:t>
      </w:r>
    </w:p>
    <w:p>
      <w:pPr>
        <w:pStyle w:val="Subsection"/>
        <w:spacing w:before="180"/>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w:t>
      </w:r>
      <w:r>
        <w:t>called the</w:t>
      </w:r>
      <w:r>
        <w:rPr>
          <w:rStyle w:val="CharDefText"/>
        </w:rPr>
        <w:t xml:space="preserve"> amount commuted</w:t>
      </w:r>
      <w:r>
        <w:rPr>
          <w:snapToGrid w:val="0"/>
        </w:rPr>
        <w:t>).</w:t>
      </w:r>
    </w:p>
    <w:p>
      <w:pPr>
        <w:pStyle w:val="Subsection"/>
        <w:spacing w:before="180"/>
        <w:rPr>
          <w:snapToGrid w:val="0"/>
        </w:rPr>
      </w:pPr>
      <w:r>
        <w:rPr>
          <w:snapToGrid w:val="0"/>
        </w:rPr>
        <w:tab/>
        <w:t>(2)</w:t>
      </w:r>
      <w:r>
        <w:rPr>
          <w:snapToGrid w:val="0"/>
        </w:rPr>
        <w:tab/>
      </w:r>
      <w:r>
        <w:t>Subject to regulation 21AB(2)(b), if</w:t>
      </w:r>
      <w:r>
        <w:rPr>
          <w:snapToGrid w:val="0"/>
        </w:rPr>
        <w:t xml:space="preserve">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spacing w:before="180"/>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spacing w:before="180"/>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spacing w:before="180"/>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deleted]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Gazette 29 Jun 1994 p. 3204</w:t>
      </w:r>
      <w:r>
        <w:noBreakHyphen/>
        <w:t>5; 21 Nov 1995 p. 5357</w:t>
      </w:r>
      <w:r>
        <w:noBreakHyphen/>
        <w:t xml:space="preserve">8; 2 May 2003 p. 1495; 1 Apr 2008 p. 1276.] </w:t>
      </w:r>
    </w:p>
    <w:p>
      <w:pPr>
        <w:pStyle w:val="Ednotesection"/>
      </w:pPr>
      <w:r>
        <w:t>[</w:t>
      </w:r>
      <w:r>
        <w:rPr>
          <w:b/>
          <w:bCs/>
        </w:rPr>
        <w:t>23.</w:t>
      </w:r>
      <w:r>
        <w:tab/>
        <w:t>Deleted: Gazette 1 Apr 2008 p. 1276.]</w:t>
      </w:r>
    </w:p>
    <w:p>
      <w:pPr>
        <w:pStyle w:val="Ednotesection"/>
      </w:pPr>
      <w:r>
        <w:t>[</w:t>
      </w:r>
      <w:r>
        <w:rPr>
          <w:b/>
          <w:bCs/>
        </w:rPr>
        <w:t>23A.</w:t>
      </w:r>
      <w:r>
        <w:tab/>
        <w:t>Deleted: Gazette 23 Jul 1999 p. 3391.]</w:t>
      </w:r>
    </w:p>
    <w:p>
      <w:pPr>
        <w:pStyle w:val="Heading5"/>
        <w:rPr>
          <w:snapToGrid w:val="0"/>
        </w:rPr>
      </w:pPr>
      <w:bookmarkStart w:id="103" w:name="_Toc404668442"/>
      <w:bookmarkStart w:id="104" w:name="_Toc418675217"/>
      <w:r>
        <w:rPr>
          <w:rStyle w:val="CharSectno"/>
        </w:rPr>
        <w:t>23B</w:t>
      </w:r>
      <w:r>
        <w:rPr>
          <w:snapToGrid w:val="0"/>
        </w:rPr>
        <w:t>.</w:t>
      </w:r>
      <w:r>
        <w:rPr>
          <w:snapToGrid w:val="0"/>
        </w:rPr>
        <w:tab/>
        <w:t>Supplementary disablement benefits</w:t>
      </w:r>
      <w:bookmarkEnd w:id="103"/>
      <w:bookmarkEnd w:id="104"/>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 and</w:t>
      </w:r>
    </w:p>
    <w:p>
      <w:pPr>
        <w:pStyle w:val="Indenta"/>
      </w:pPr>
      <w:r>
        <w:tab/>
        <w:t>(ba)</w:t>
      </w:r>
      <w:r>
        <w:tab/>
        <w:t>the Board has determined that the member is not to be regarded as being totally and permanently disabled; and</w:t>
      </w:r>
    </w:p>
    <w:p>
      <w:pPr>
        <w:pStyle w:val="Indenta"/>
      </w:pPr>
      <w:r>
        <w:tab/>
        <w:t>(bb)</w:t>
      </w:r>
      <w:r>
        <w:tab/>
        <w:t>between the day the member ceased to be in the employment of the employer and the day the Board determined that the member was not to be regarded as being totally and permanently disabled the member did not engage in any employment; and</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 xml:space="preserve">in monthly instalments payable on the first day of each month </w:t>
      </w:r>
      <w:r>
        <w:t>during the payment period; or</w:t>
      </w:r>
    </w:p>
    <w:p>
      <w:pPr>
        <w:pStyle w:val="Indenta"/>
        <w:rPr>
          <w:rFonts w:eastAsia="MS Mincho"/>
        </w:rPr>
      </w:pPr>
      <w:r>
        <w:rPr>
          <w:rFonts w:eastAsia="MS Mincho"/>
        </w:rPr>
        <w:tab/>
        <w:t>(b)</w:t>
      </w:r>
      <w:r>
        <w:rPr>
          <w:rFonts w:eastAsia="MS Mincho"/>
        </w:rPr>
        <w:tab/>
        <w:t xml:space="preserve">in annual instalments payable on the first day of the month following the month one year after the relevant month and on </w:t>
      </w:r>
      <w:r>
        <w:t>each anniversary of that day during the payment period; or</w:t>
      </w:r>
    </w:p>
    <w:p>
      <w:pPr>
        <w:pStyle w:val="Indenta"/>
        <w:rPr>
          <w:rFonts w:eastAsia="MS Mincho"/>
        </w:rPr>
      </w:pPr>
      <w:r>
        <w:rPr>
          <w:rFonts w:eastAsia="MS Mincho"/>
        </w:rPr>
        <w:tab/>
        <w:t>(c)</w:t>
      </w:r>
      <w:r>
        <w:rPr>
          <w:rFonts w:eastAsia="MS Mincho"/>
        </w:rPr>
        <w:tab/>
        <w:t xml:space="preserve">in a lump sum payable 5 years after the end of the relevant </w:t>
      </w:r>
      <w:r>
        <w:t>month; or</w:t>
      </w:r>
      <w:r>
        <w:rPr>
          <w:rFonts w:eastAsia="MS Mincho"/>
        </w:rPr>
        <w:t xml:space="preserve"> </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keepNext/>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 xml:space="preserve">The amount of the lump sum of supplementary disablement benefit payable to a beneficiary under an election under </w:t>
      </w:r>
      <w:r>
        <w:t xml:space="preserve">subregulation (3a)(c) </w:t>
      </w:r>
      <w:r>
        <w:rPr>
          <w:snapToGrid w:val="0"/>
        </w:rPr>
        <w:t>is calculated in accordance with Schedule 6A.</w:t>
      </w:r>
    </w:p>
    <w:p>
      <w:pPr>
        <w:pStyle w:val="Subsection"/>
      </w:pPr>
      <w:r>
        <w:tab/>
        <w:t>(7a)</w:t>
      </w:r>
      <w:r>
        <w:tab/>
        <w:t>The amount of the lump sum of supplementary disablement benefit payable to a beneficiary under an election under subregulation (3a)(d)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r>
      <w:r>
        <w:rPr>
          <w:rStyle w:val="CharDefText"/>
        </w:rPr>
        <w:t>satisfactory alternative employment</w:t>
      </w:r>
      <w:r>
        <w:t xml:space="preserve">, in relation to a member, means alternative employment by the </w:t>
      </w:r>
      <w:smartTag w:uri="urn:schemas-microsoft-com:office:smarttags" w:element="place">
        <w:r>
          <w:t>FES</w:t>
        </w:r>
      </w:smartTag>
      <w:r>
        <w:t xml:space="preserve"> Commissioner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keepLines w:val="0"/>
        <w:spacing w:before="80"/>
        <w:ind w:left="890" w:hanging="890"/>
      </w:pPr>
      <w:r>
        <w:tab/>
        <w:t>[Regulation 23B inserted: Gazette 17 Apr 1998 p. 2100; amended: Gazette 22 Dec 1998 p. 6852</w:t>
      </w:r>
      <w:r>
        <w:noBreakHyphen/>
        <w:t>3; 23 Jul 1999 p. 3391; 30 Mar 2001 p. 1761</w:t>
      </w:r>
      <w:r>
        <w:noBreakHyphen/>
        <w:t>2; 22 May 2001 p. 2576; 21 Jan 2005 p. 262-3; 31 </w:t>
      </w:r>
      <w:r>
        <w:rPr>
          <w:szCs w:val="24"/>
        </w:rPr>
        <w:t>Oct 2012 p. 524</w:t>
      </w:r>
      <w:r>
        <w:t xml:space="preserve">9; 25 Nov 2014 p. 4372.] </w:t>
      </w:r>
    </w:p>
    <w:p>
      <w:pPr>
        <w:pStyle w:val="Heading5"/>
        <w:spacing w:before="180"/>
        <w:rPr>
          <w:snapToGrid w:val="0"/>
        </w:rPr>
      </w:pPr>
      <w:bookmarkStart w:id="105" w:name="_Toc404668443"/>
      <w:bookmarkStart w:id="106" w:name="_Toc418675218"/>
      <w:r>
        <w:rPr>
          <w:rStyle w:val="CharSectno"/>
        </w:rPr>
        <w:t>23BA</w:t>
      </w:r>
      <w:r>
        <w:rPr>
          <w:snapToGrid w:val="0"/>
        </w:rPr>
        <w:t>.</w:t>
      </w:r>
      <w:r>
        <w:rPr>
          <w:snapToGrid w:val="0"/>
        </w:rPr>
        <w:tab/>
        <w:t>Electing another method of payment — supplementary disablement benefits</w:t>
      </w:r>
      <w:bookmarkEnd w:id="105"/>
      <w:bookmarkEnd w:id="106"/>
      <w:r>
        <w:rPr>
          <w:snapToGrid w:val="0"/>
        </w:rPr>
        <w:t xml:space="preserve"> </w:t>
      </w:r>
    </w:p>
    <w:p>
      <w:pPr>
        <w:pStyle w:val="Subsection"/>
        <w:spacing w:before="120"/>
      </w:pPr>
      <w:r>
        <w:rPr>
          <w:snapToGrid w:val="0"/>
        </w:rPr>
        <w:tab/>
        <w:t>(1)</w:t>
      </w:r>
      <w:r>
        <w:rPr>
          <w:snapToGrid w:val="0"/>
        </w:rPr>
        <w:tab/>
        <w:t xml:space="preserve">A beneficiary who elected under </w:t>
      </w:r>
      <w:r>
        <w:t xml:space="preserve">regulation 23B(3a)(c) </w:t>
      </w:r>
      <w:r>
        <w:rPr>
          <w:snapToGrid w:val="0"/>
        </w:rPr>
        <w:t xml:space="preserve">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23B(3a)(c); or</w:t>
      </w:r>
    </w:p>
    <w:p>
      <w:pPr>
        <w:pStyle w:val="Indenta"/>
        <w:rPr>
          <w:snapToGrid w:val="0"/>
        </w:rPr>
      </w:pPr>
      <w:r>
        <w:tab/>
        <w:t>(b)</w:t>
      </w:r>
      <w:r>
        <w:tab/>
        <w:t>if the Superannuation Board agrees, in a lump sum payable as soon as practicable after the election is made.</w:t>
      </w:r>
    </w:p>
    <w:p>
      <w:pPr>
        <w:pStyle w:val="Subsection"/>
        <w:spacing w:before="120"/>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spacing w:before="120"/>
      </w:pPr>
      <w:r>
        <w:tab/>
        <w:t>(2a)</w:t>
      </w:r>
      <w:r>
        <w:tab/>
        <w:t>The amount of the lump sum payable to a beneficiary who elects to be paid a lump sum under subregulation (1)(b) is calculated in accordance with Schedule 9.</w:t>
      </w:r>
    </w:p>
    <w:p>
      <w:pPr>
        <w:pStyle w:val="Subsection"/>
        <w:spacing w:before="120"/>
      </w:pPr>
      <w:r>
        <w:rPr>
          <w:snapToGrid w:val="0"/>
        </w:rPr>
        <w:tab/>
        <w:t>(3)</w:t>
      </w:r>
      <w:r>
        <w:rPr>
          <w:snapToGrid w:val="0"/>
        </w:rPr>
        <w:tab/>
        <w:t xml:space="preserve">A beneficiary who elected under </w:t>
      </w:r>
      <w:r>
        <w:t xml:space="preserve">regulation 23B(3a)(a) </w:t>
      </w:r>
      <w:r>
        <w:rPr>
          <w:snapToGrid w:val="0"/>
        </w:rPr>
        <w:t xml:space="preserve">to be paid a supplementary disablement benefit in monthly instalments may, at any time before the </w:t>
      </w:r>
      <w:r>
        <w:t>final instalment</w:t>
      </w:r>
      <w:r>
        <w:rPr>
          <w:snapToGrid w:val="0"/>
        </w:rPr>
        <w:t xml:space="preserve"> is paid, elect to be paid the remainder of the </w:t>
      </w:r>
      <w:r>
        <w:t>benefit —</w:t>
      </w:r>
    </w:p>
    <w:p>
      <w:pPr>
        <w:pStyle w:val="Indenta"/>
      </w:pPr>
      <w:r>
        <w:tab/>
        <w:t>(a)</w:t>
      </w:r>
      <w:r>
        <w:tab/>
        <w:t>in a lump sum payable on the last day of the payment period;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23B(3a)(b) to be paid a supplementary disablement benefit in annual instalments may —</w:t>
      </w:r>
    </w:p>
    <w:p>
      <w:pPr>
        <w:pStyle w:val="Indenta"/>
      </w:pPr>
      <w:r>
        <w:tab/>
        <w:t>(a)</w:t>
      </w:r>
      <w:r>
        <w:tab/>
        <w:t>at any time before the second last instalment is paid, elect to be paid the remainder of the benefit in a lump sum payable on the last day of the payment period;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w:t>
      </w:r>
      <w:r>
        <w:t xml:space="preserve">regulation 23B(3a) </w:t>
      </w:r>
      <w:r>
        <w:rPr>
          <w:snapToGrid w:val="0"/>
        </w:rPr>
        <w:t xml:space="preserve">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Gazette 17 Apr 1998 p. 2100</w:t>
      </w:r>
      <w:r>
        <w:noBreakHyphen/>
        <w:t>1; amended: Gazette 30 Mar 2001 p. 1762</w:t>
      </w:r>
      <w:r>
        <w:noBreakHyphen/>
        <w:t>3; 22 May 2001 p. 2577; 1 Apr 2008 p. 1276; 25 Nov 2014 p. 4373.]</w:t>
      </w:r>
    </w:p>
    <w:p>
      <w:pPr>
        <w:pStyle w:val="Heading5"/>
      </w:pPr>
      <w:bookmarkStart w:id="107" w:name="_Toc404668444"/>
      <w:bookmarkStart w:id="108" w:name="_Toc418675219"/>
      <w:r>
        <w:rPr>
          <w:rStyle w:val="CharSectno"/>
        </w:rPr>
        <w:t>23C</w:t>
      </w:r>
      <w:r>
        <w:t>.</w:t>
      </w:r>
      <w:r>
        <w:tab/>
        <w:t>Benefit on death of supplementary disablement beneficiary</w:t>
      </w:r>
      <w:bookmarkEnd w:id="107"/>
      <w:bookmarkEnd w:id="108"/>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if the member’s last election was an election under regulation 23B(3a)(a) or 23BA(1)(a) for the benefit to be paid in monthly instalments — Schedule 7; or</w:t>
      </w:r>
    </w:p>
    <w:p>
      <w:pPr>
        <w:pStyle w:val="Indenta"/>
      </w:pPr>
      <w:r>
        <w:tab/>
        <w:t>(b)</w:t>
      </w:r>
      <w:r>
        <w:tab/>
        <w:t>if the member’s last election was an election under regulation 23B(3a)(b) for the benefit to be paid in annual instalments — Schedule 8; or</w:t>
      </w:r>
    </w:p>
    <w:p>
      <w:pPr>
        <w:pStyle w:val="Indenta"/>
      </w:pPr>
      <w:r>
        <w:tab/>
        <w:t>(c)</w:t>
      </w:r>
      <w:r>
        <w:tab/>
        <w:t>if the member’s last election was an election under regulation 23B(3a)(c) or 23BA(3)(a) or (5)(a) for the benefit to be paid as a lump sum after 5 years — Schedule 9.</w:t>
      </w:r>
    </w:p>
    <w:p>
      <w:pPr>
        <w:pStyle w:val="Subsection"/>
      </w:pPr>
      <w:r>
        <w:tab/>
        <w:t>(3)</w:t>
      </w:r>
      <w:r>
        <w:tab/>
        <w:t>In this regulation —</w:t>
      </w:r>
    </w:p>
    <w:p>
      <w:pPr>
        <w:pStyle w:val="Defstart"/>
      </w:pPr>
      <w:r>
        <w:tab/>
      </w:r>
      <w:r>
        <w:rPr>
          <w:rStyle w:val="CharDefText"/>
        </w:rPr>
        <w:t>last election</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Gazette 30 Mar 2001 p. 1763</w:t>
      </w:r>
      <w:r>
        <w:noBreakHyphen/>
        <w:t>4; amended: Gazette 1 Apr 2008 p. 1276-7.]</w:t>
      </w:r>
    </w:p>
    <w:p>
      <w:pPr>
        <w:pStyle w:val="Heading5"/>
        <w:spacing w:before="120"/>
        <w:rPr>
          <w:snapToGrid w:val="0"/>
        </w:rPr>
      </w:pPr>
      <w:bookmarkStart w:id="109" w:name="_Toc404668445"/>
      <w:bookmarkStart w:id="110" w:name="_Toc418675220"/>
      <w:r>
        <w:rPr>
          <w:rStyle w:val="CharSectno"/>
        </w:rPr>
        <w:t>23D</w:t>
      </w:r>
      <w:r>
        <w:rPr>
          <w:snapToGrid w:val="0"/>
        </w:rPr>
        <w:t>.</w:t>
      </w:r>
      <w:r>
        <w:rPr>
          <w:snapToGrid w:val="0"/>
        </w:rPr>
        <w:tab/>
        <w:t>Review of supplementary disablement benefits</w:t>
      </w:r>
      <w:bookmarkEnd w:id="109"/>
      <w:bookmarkEnd w:id="110"/>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Gazette 29 Jun 1994 p. 3220</w:t>
      </w:r>
      <w:r>
        <w:noBreakHyphen/>
        <w:t xml:space="preserve">1; amended: Gazette 21 Nov 1995 p. 5358; 30 Mar 2001 p. 1764.] </w:t>
      </w:r>
    </w:p>
    <w:p>
      <w:pPr>
        <w:pStyle w:val="Heading3"/>
        <w:rPr>
          <w:snapToGrid w:val="0"/>
        </w:rPr>
      </w:pPr>
      <w:bookmarkStart w:id="111" w:name="_Toc404668446"/>
      <w:bookmarkStart w:id="112" w:name="_Toc418675100"/>
      <w:bookmarkStart w:id="113" w:name="_Toc418675221"/>
      <w:r>
        <w:rPr>
          <w:rStyle w:val="CharDivNo"/>
        </w:rPr>
        <w:t>Division 2</w:t>
      </w:r>
      <w:r>
        <w:rPr>
          <w:snapToGrid w:val="0"/>
        </w:rPr>
        <w:t> — </w:t>
      </w:r>
      <w:r>
        <w:rPr>
          <w:rStyle w:val="CharDivText"/>
        </w:rPr>
        <w:t>Payment of benefits</w:t>
      </w:r>
      <w:bookmarkEnd w:id="111"/>
      <w:bookmarkEnd w:id="112"/>
      <w:bookmarkEnd w:id="113"/>
      <w:r>
        <w:rPr>
          <w:rStyle w:val="CharDivText"/>
        </w:rPr>
        <w:t xml:space="preserve"> </w:t>
      </w:r>
    </w:p>
    <w:p>
      <w:pPr>
        <w:pStyle w:val="Heading5"/>
        <w:spacing w:before="180"/>
        <w:rPr>
          <w:snapToGrid w:val="0"/>
        </w:rPr>
      </w:pPr>
      <w:bookmarkStart w:id="114" w:name="_Toc404668447"/>
      <w:bookmarkStart w:id="115" w:name="_Toc418675222"/>
      <w:r>
        <w:rPr>
          <w:rStyle w:val="CharSectno"/>
        </w:rPr>
        <w:t>24</w:t>
      </w:r>
      <w:r>
        <w:rPr>
          <w:snapToGrid w:val="0"/>
        </w:rPr>
        <w:t>.</w:t>
      </w:r>
      <w:r>
        <w:rPr>
          <w:snapToGrid w:val="0"/>
        </w:rPr>
        <w:tab/>
        <w:t>Term used: benefit</w:t>
      </w:r>
      <w:bookmarkEnd w:id="114"/>
      <w:bookmarkEnd w:id="115"/>
    </w:p>
    <w:p>
      <w:pPr>
        <w:pStyle w:val="Subsection"/>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spacing w:before="180"/>
        <w:rPr>
          <w:snapToGrid w:val="0"/>
        </w:rPr>
      </w:pPr>
      <w:bookmarkStart w:id="116" w:name="_Toc404668448"/>
      <w:bookmarkStart w:id="117" w:name="_Toc418675223"/>
      <w:r>
        <w:rPr>
          <w:rStyle w:val="CharSectno"/>
        </w:rPr>
        <w:t>25</w:t>
      </w:r>
      <w:r>
        <w:rPr>
          <w:snapToGrid w:val="0"/>
        </w:rPr>
        <w:t>.</w:t>
      </w:r>
      <w:r>
        <w:rPr>
          <w:snapToGrid w:val="0"/>
        </w:rPr>
        <w:tab/>
        <w:t>Payment of benefits in respect of deceased members</w:t>
      </w:r>
      <w:bookmarkEnd w:id="116"/>
      <w:bookmarkEnd w:id="117"/>
      <w:r>
        <w:rPr>
          <w:snapToGrid w:val="0"/>
        </w:rPr>
        <w:t xml:space="preserve"> </w:t>
      </w:r>
    </w:p>
    <w:p>
      <w:pPr>
        <w:pStyle w:val="Subsection"/>
        <w:rPr>
          <w:snapToGrid w:val="0"/>
        </w:rPr>
      </w:pPr>
      <w:r>
        <w:rPr>
          <w:snapToGrid w:val="0"/>
        </w:rPr>
        <w:tab/>
        <w:t>(1)</w:t>
      </w:r>
      <w:r>
        <w:rPr>
          <w:snapToGrid w:val="0"/>
        </w:rPr>
        <w:tab/>
        <w:t>A death benefit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Unless the SIS Regulations require otherwise, a death benefit may, at the discretion of the Superannuation Board, be paid —</w:t>
      </w:r>
    </w:p>
    <w:p>
      <w:pPr>
        <w:pStyle w:val="Indenta"/>
        <w:rPr>
          <w:snapToGrid w:val="0"/>
        </w:rPr>
      </w:pPr>
      <w:r>
        <w:rPr>
          <w:snapToGrid w:val="0"/>
        </w:rPr>
        <w:tab/>
        <w:t>(a)</w:t>
      </w:r>
      <w:r>
        <w:rPr>
          <w:snapToGrid w:val="0"/>
        </w:rPr>
        <w:tab/>
        <w:t xml:space="preserve">to either the dependants of the member or his legal personal representative or </w:t>
      </w:r>
      <w:r>
        <w:t>both; and</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 xml:space="preserve">the will (if available) of the </w:t>
      </w:r>
      <w:r>
        <w:t>member; and</w:t>
      </w:r>
    </w:p>
    <w:p>
      <w:pPr>
        <w:pStyle w:val="Indenta"/>
        <w:rPr>
          <w:snapToGrid w:val="0"/>
        </w:rPr>
      </w:pPr>
      <w:r>
        <w:rPr>
          <w:snapToGrid w:val="0"/>
        </w:rPr>
        <w:tab/>
        <w:t>(b)</w:t>
      </w:r>
      <w:r>
        <w:rPr>
          <w:snapToGrid w:val="0"/>
        </w:rPr>
        <w:tab/>
        <w:t>any request made by the member as to the payment of his death benefit, other than a notice under regulation 26 that the SIS Regulations require the Superannuation Board to comply with;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spacing w:before="4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Footnotesection"/>
      </w:pPr>
      <w:r>
        <w:tab/>
        <w:t>[Regulation 25 amended: Gazette 21 Aug 2009 p. 3268-9.]</w:t>
      </w:r>
    </w:p>
    <w:p>
      <w:pPr>
        <w:pStyle w:val="Heading5"/>
        <w:rPr>
          <w:snapToGrid w:val="0"/>
        </w:rPr>
      </w:pPr>
      <w:bookmarkStart w:id="118" w:name="_Toc404668449"/>
      <w:bookmarkStart w:id="119" w:name="_Toc418675224"/>
      <w:r>
        <w:rPr>
          <w:rStyle w:val="CharSectno"/>
        </w:rPr>
        <w:t>26</w:t>
      </w:r>
      <w:r>
        <w:rPr>
          <w:snapToGrid w:val="0"/>
        </w:rPr>
        <w:t>.</w:t>
      </w:r>
      <w:r>
        <w:rPr>
          <w:snapToGrid w:val="0"/>
        </w:rPr>
        <w:tab/>
        <w:t>Nomination of dependants to receive benefits</w:t>
      </w:r>
      <w:bookmarkEnd w:id="118"/>
      <w:bookmarkEnd w:id="119"/>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pPr>
      <w:bookmarkStart w:id="120" w:name="_Toc404668450"/>
      <w:bookmarkStart w:id="121" w:name="_Toc418675225"/>
      <w:r>
        <w:rPr>
          <w:rStyle w:val="CharSectno"/>
        </w:rPr>
        <w:t>26</w:t>
      </w:r>
      <w:r>
        <w:t>.</w:t>
      </w:r>
      <w:r>
        <w:tab/>
        <w:t>Death benefits — direction as to payment</w:t>
      </w:r>
      <w:bookmarkEnd w:id="120"/>
      <w:bookmarkEnd w:id="121"/>
    </w:p>
    <w:p>
      <w:pPr>
        <w:pStyle w:val="Subsection"/>
      </w:pPr>
      <w:r>
        <w:tab/>
        <w:t>(1)</w:t>
      </w:r>
      <w:r>
        <w:tab/>
        <w:t>A member may give written notice to the Superannuation Board requiring the Superannuation Board to pay any death benefit that becomes payable in respect of the member to the legal personal representative or a dependant of the member.</w:t>
      </w:r>
    </w:p>
    <w:p>
      <w:pPr>
        <w:pStyle w:val="PermNoteHeading"/>
      </w:pPr>
      <w:r>
        <w:tab/>
        <w:t>Note for this subregulation:</w:t>
      </w:r>
    </w:p>
    <w:p>
      <w:pPr>
        <w:pStyle w:val="PermNoteText"/>
      </w:pPr>
      <w:r>
        <w:tab/>
      </w:r>
      <w:r>
        <w:tab/>
        <w:t>The SIS Regulations r. 6.17A to 6.17B make provision in respect of notices and as to their effect.</w:t>
      </w:r>
    </w:p>
    <w:p>
      <w:pPr>
        <w:pStyle w:val="Subsection"/>
      </w:pPr>
      <w:r>
        <w:tab/>
        <w:t>(2)</w:t>
      </w:r>
      <w:r>
        <w:tab/>
        <w:t>A member cannot give a notice under subregulation (1) unless the Superannuation Board has given to the member any information that the SIS Regulations require to be given to the member before he can give a notice of that kind.</w:t>
      </w:r>
    </w:p>
    <w:p>
      <w:pPr>
        <w:pStyle w:val="Subsection"/>
      </w:pPr>
      <w:r>
        <w:tab/>
        <w:t>(3)</w:t>
      </w:r>
      <w:r>
        <w:tab/>
        <w:t xml:space="preserve">The Superannuation Board must give the information mentioned in subregulation (2) to a member — </w:t>
      </w:r>
    </w:p>
    <w:p>
      <w:pPr>
        <w:pStyle w:val="Indenta"/>
      </w:pPr>
      <w:r>
        <w:tab/>
        <w:t>(a)</w:t>
      </w:r>
      <w:r>
        <w:tab/>
        <w:t>when he becomes a member; and</w:t>
      </w:r>
    </w:p>
    <w:p>
      <w:pPr>
        <w:pStyle w:val="Indenta"/>
      </w:pPr>
      <w:r>
        <w:tab/>
        <w:t>(b)</w:t>
      </w:r>
      <w:r>
        <w:tab/>
        <w:t>at the request of the member; and</w:t>
      </w:r>
    </w:p>
    <w:p>
      <w:pPr>
        <w:pStyle w:val="Indenta"/>
      </w:pPr>
      <w:r>
        <w:tab/>
        <w:t>(c)</w:t>
      </w:r>
      <w:r>
        <w:tab/>
        <w:t>at such other times as the Superannuation Board thinks fit.</w:t>
      </w:r>
    </w:p>
    <w:p>
      <w:pPr>
        <w:pStyle w:val="Footnotesection"/>
      </w:pPr>
      <w:r>
        <w:tab/>
        <w:t>[Regulation 26 inserted: Gazette 21 Aug 2009 p. 3269-70.]</w:t>
      </w:r>
    </w:p>
    <w:p>
      <w:pPr>
        <w:pStyle w:val="Heading5"/>
        <w:rPr>
          <w:snapToGrid w:val="0"/>
        </w:rPr>
      </w:pPr>
      <w:bookmarkStart w:id="122" w:name="_Toc404668451"/>
      <w:bookmarkStart w:id="123" w:name="_Toc418675226"/>
      <w:r>
        <w:rPr>
          <w:rStyle w:val="CharSectno"/>
        </w:rPr>
        <w:t>27</w:t>
      </w:r>
      <w:r>
        <w:rPr>
          <w:snapToGrid w:val="0"/>
        </w:rPr>
        <w:t>.</w:t>
      </w:r>
      <w:r>
        <w:rPr>
          <w:snapToGrid w:val="0"/>
        </w:rPr>
        <w:tab/>
        <w:t>Time and mode of payment of benefits</w:t>
      </w:r>
      <w:bookmarkEnd w:id="122"/>
      <w:bookmarkEnd w:id="123"/>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Ednotesubsection"/>
        <w:spacing w:before="120"/>
      </w:pPr>
      <w:r>
        <w:tab/>
        <w:t>[(2)</w:t>
      </w:r>
      <w:r>
        <w:tab/>
        <w:t>deleted]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spacing w:before="120"/>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Gazette 15 Dec 1992 p. 6024; 29 Jun 1994 p. 3221; 23 Jul 1999 p. 3391; 1 Apr 2008 p. 1277.] </w:t>
      </w:r>
    </w:p>
    <w:p>
      <w:pPr>
        <w:pStyle w:val="Heading5"/>
        <w:spacing w:before="180"/>
        <w:rPr>
          <w:snapToGrid w:val="0"/>
        </w:rPr>
      </w:pPr>
      <w:bookmarkStart w:id="124" w:name="_Toc404668452"/>
      <w:bookmarkStart w:id="125" w:name="_Toc418675227"/>
      <w:r>
        <w:rPr>
          <w:rStyle w:val="CharSectno"/>
        </w:rPr>
        <w:t>28</w:t>
      </w:r>
      <w:r>
        <w:rPr>
          <w:snapToGrid w:val="0"/>
        </w:rPr>
        <w:t>.</w:t>
      </w:r>
      <w:r>
        <w:rPr>
          <w:snapToGrid w:val="0"/>
        </w:rPr>
        <w:tab/>
        <w:t>Proofs</w:t>
      </w:r>
      <w:bookmarkEnd w:id="124"/>
      <w:bookmarkEnd w:id="125"/>
      <w:r>
        <w:rPr>
          <w:snapToGrid w:val="0"/>
        </w:rPr>
        <w:t xml:space="preserve"> </w:t>
      </w:r>
    </w:p>
    <w:p>
      <w:pPr>
        <w:pStyle w:val="Subsection"/>
        <w:spacing w:before="120"/>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spacing w:before="120"/>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pPr>
      <w:bookmarkStart w:id="126" w:name="_Toc404668453"/>
      <w:bookmarkStart w:id="127" w:name="_Toc418675107"/>
      <w:bookmarkStart w:id="128" w:name="_Toc418675228"/>
      <w:r>
        <w:rPr>
          <w:rStyle w:val="CharDivNo"/>
        </w:rPr>
        <w:t>Division 3</w:t>
      </w:r>
      <w:r>
        <w:t> — </w:t>
      </w:r>
      <w:r>
        <w:rPr>
          <w:rStyle w:val="CharDivText"/>
        </w:rPr>
        <w:t>Miscellaneous</w:t>
      </w:r>
      <w:bookmarkEnd w:id="126"/>
      <w:bookmarkEnd w:id="127"/>
      <w:bookmarkEnd w:id="128"/>
    </w:p>
    <w:p>
      <w:pPr>
        <w:pStyle w:val="Footnoteheading"/>
      </w:pPr>
      <w:r>
        <w:tab/>
        <w:t>[Heading inserted: Gazette 1 Apr 2008 p. 1277.]</w:t>
      </w:r>
    </w:p>
    <w:p>
      <w:pPr>
        <w:pStyle w:val="Heading5"/>
        <w:spacing w:before="180"/>
      </w:pPr>
      <w:bookmarkStart w:id="129" w:name="_Toc404668454"/>
      <w:bookmarkStart w:id="130" w:name="_Toc418675229"/>
      <w:r>
        <w:rPr>
          <w:rStyle w:val="CharSectno"/>
        </w:rPr>
        <w:t>29</w:t>
      </w:r>
      <w:r>
        <w:t>.</w:t>
      </w:r>
      <w:r>
        <w:tab/>
        <w:t>Unclaimed benefits</w:t>
      </w:r>
      <w:bookmarkEnd w:id="129"/>
      <w:bookmarkEnd w:id="130"/>
    </w:p>
    <w:p>
      <w:pPr>
        <w:pStyle w:val="Subsection"/>
        <w:spacing w:before="120"/>
      </w:pPr>
      <w:r>
        <w:tab/>
      </w:r>
      <w:r>
        <w:tab/>
        <w:t xml:space="preserve">If a benefit that is payable to or in respect of a member becomes unclaimed money that the Superannuation Board is required — </w:t>
      </w:r>
    </w:p>
    <w:p>
      <w:pPr>
        <w:pStyle w:val="Indenta"/>
      </w:pPr>
      <w:r>
        <w:tab/>
        <w:t>(a)</w:t>
      </w:r>
      <w:r>
        <w:tab/>
        <w:t xml:space="preserve">by the </w:t>
      </w:r>
      <w:r>
        <w:rPr>
          <w:i/>
        </w:rPr>
        <w:t xml:space="preserve">Superannuation (Unclaimed Money and Lost Members) Act 1999 </w:t>
      </w:r>
      <w:r>
        <w:t>(Commonwealth) to pay to the Commonwealth Commissioner of Taxation; or</w:t>
      </w:r>
    </w:p>
    <w:p>
      <w:pPr>
        <w:pStyle w:val="Indenta"/>
      </w:pPr>
      <w:r>
        <w:tab/>
        <w:t>(b)</w:t>
      </w:r>
      <w:r>
        <w:tab/>
        <w:t xml:space="preserve">by the </w:t>
      </w:r>
      <w:r>
        <w:rPr>
          <w:i/>
          <w:iCs/>
        </w:rPr>
        <w:t>Unclaimed Money (Superannuation and RSA Providers) Act 2003</w:t>
      </w:r>
      <w:r>
        <w:t xml:space="preserve"> to pay to the Treasurer, </w:t>
      </w:r>
    </w:p>
    <w:p>
      <w:pPr>
        <w:pStyle w:val="Subsection"/>
        <w:spacing w:before="120"/>
      </w:pPr>
      <w:r>
        <w:tab/>
      </w:r>
      <w:r>
        <w:tab/>
        <w:t xml:space="preserve">the Superannuation Board is to pay the benefit in accordance with that Act. </w:t>
      </w:r>
    </w:p>
    <w:p>
      <w:pPr>
        <w:pStyle w:val="Footnotesection"/>
        <w:spacing w:before="80"/>
        <w:ind w:left="890" w:hanging="890"/>
      </w:pPr>
      <w:r>
        <w:tab/>
        <w:t>[Regulation 29 inserted: Gazette 1 Apr 2008 p. 1277.]</w:t>
      </w:r>
    </w:p>
    <w:p>
      <w:pPr>
        <w:pStyle w:val="Heading5"/>
      </w:pPr>
      <w:bookmarkStart w:id="131" w:name="_Toc404668455"/>
      <w:bookmarkStart w:id="132" w:name="_Toc418675230"/>
      <w:r>
        <w:rPr>
          <w:rStyle w:val="CharSectno"/>
        </w:rPr>
        <w:t>30</w:t>
      </w:r>
      <w:r>
        <w:t>.</w:t>
      </w:r>
      <w:r>
        <w:tab/>
        <w:t>Assignment or charge of benefit prohibited</w:t>
      </w:r>
      <w:bookmarkEnd w:id="131"/>
      <w:bookmarkEnd w:id="132"/>
    </w:p>
    <w:p>
      <w:pPr>
        <w:pStyle w:val="Subsection"/>
      </w:pPr>
      <w:r>
        <w:tab/>
      </w:r>
      <w:r>
        <w:tab/>
        <w:t>A person who is, or may become, entitled to a benefit cannot assign the person’s right to, or create a charge over, the benefit, and any purported assignment or charge is void.</w:t>
      </w:r>
    </w:p>
    <w:p>
      <w:pPr>
        <w:pStyle w:val="Footnotesection"/>
      </w:pPr>
      <w:r>
        <w:tab/>
        <w:t>[Regulation 30 inserted: Gazette 1 Apr 2008 p. 1277.]</w:t>
      </w:r>
    </w:p>
    <w:p>
      <w:pPr>
        <w:pStyle w:val="Heading5"/>
        <w:rPr>
          <w:snapToGrid w:val="0"/>
        </w:rPr>
      </w:pPr>
      <w:bookmarkStart w:id="133" w:name="_Toc404668456"/>
      <w:bookmarkStart w:id="134" w:name="_Toc418675231"/>
      <w:r>
        <w:rPr>
          <w:rStyle w:val="CharSectno"/>
        </w:rPr>
        <w:t>31</w:t>
      </w:r>
      <w:r>
        <w:rPr>
          <w:snapToGrid w:val="0"/>
        </w:rPr>
        <w:t>.</w:t>
      </w:r>
      <w:r>
        <w:rPr>
          <w:snapToGrid w:val="0"/>
        </w:rPr>
        <w:tab/>
        <w:t>Deduction of tax from benefits</w:t>
      </w:r>
      <w:bookmarkEnd w:id="133"/>
      <w:bookmarkEnd w:id="134"/>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Gazette 29 Jun 1994 p. 3222; amended: Gazette 17 Apr 1998 p. 2101.] </w:t>
      </w:r>
    </w:p>
    <w:p>
      <w:pPr>
        <w:pStyle w:val="Heading5"/>
        <w:rPr>
          <w:snapToGrid w:val="0"/>
        </w:rPr>
      </w:pPr>
      <w:bookmarkStart w:id="135" w:name="_Toc404668457"/>
      <w:bookmarkStart w:id="136" w:name="_Toc418675232"/>
      <w:r>
        <w:rPr>
          <w:rStyle w:val="CharSectno"/>
        </w:rPr>
        <w:t>32</w:t>
      </w:r>
      <w:r>
        <w:rPr>
          <w:snapToGrid w:val="0"/>
        </w:rPr>
        <w:t>.</w:t>
      </w:r>
      <w:r>
        <w:rPr>
          <w:snapToGrid w:val="0"/>
        </w:rPr>
        <w:tab/>
        <w:t>Reduction of benefits to the extent of any amount not insured</w:t>
      </w:r>
      <w:bookmarkEnd w:id="135"/>
      <w:bookmarkEnd w:id="136"/>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Gazette 29 Jun 1994 p. 3222; 23 Jul 1999 p. 3392; 18 Aug 2000 p. 4789; 29 Jun 2004 p. 2521.] </w:t>
      </w:r>
    </w:p>
    <w:p>
      <w:pPr>
        <w:pStyle w:val="Heading5"/>
        <w:rPr>
          <w:snapToGrid w:val="0"/>
        </w:rPr>
      </w:pPr>
      <w:bookmarkStart w:id="137" w:name="_Toc404668458"/>
      <w:bookmarkStart w:id="138" w:name="_Toc418675233"/>
      <w:r>
        <w:rPr>
          <w:rStyle w:val="CharSectno"/>
        </w:rPr>
        <w:t>33</w:t>
      </w:r>
      <w:r>
        <w:rPr>
          <w:snapToGrid w:val="0"/>
        </w:rPr>
        <w:t>.</w:t>
      </w:r>
      <w:r>
        <w:rPr>
          <w:snapToGrid w:val="0"/>
        </w:rPr>
        <w:tab/>
        <w:t>Reduction of benefits in case of previous disease or disability</w:t>
      </w:r>
      <w:bookmarkEnd w:id="137"/>
      <w:bookmarkEnd w:id="138"/>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Gazette 29 Jun 1994 p. 3222.] </w:t>
      </w:r>
    </w:p>
    <w:p>
      <w:pPr>
        <w:pStyle w:val="Heading2"/>
      </w:pPr>
      <w:bookmarkStart w:id="139" w:name="_Toc404668459"/>
      <w:bookmarkStart w:id="140" w:name="_Toc418675113"/>
      <w:bookmarkStart w:id="141" w:name="_Toc418675234"/>
      <w:r>
        <w:rPr>
          <w:rStyle w:val="CharPartNo"/>
        </w:rPr>
        <w:t>Part VI</w:t>
      </w:r>
      <w:r>
        <w:rPr>
          <w:rStyle w:val="CharDivNo"/>
        </w:rPr>
        <w:t> </w:t>
      </w:r>
      <w:r>
        <w:t>—</w:t>
      </w:r>
      <w:r>
        <w:rPr>
          <w:rStyle w:val="CharDivText"/>
        </w:rPr>
        <w:t> </w:t>
      </w:r>
      <w:r>
        <w:rPr>
          <w:rStyle w:val="CharPartText"/>
        </w:rPr>
        <w:t>Associated employers</w:t>
      </w:r>
      <w:bookmarkEnd w:id="139"/>
      <w:bookmarkEnd w:id="140"/>
      <w:bookmarkEnd w:id="141"/>
      <w:r>
        <w:rPr>
          <w:rStyle w:val="CharPartText"/>
        </w:rPr>
        <w:t xml:space="preserve"> </w:t>
      </w:r>
    </w:p>
    <w:p>
      <w:pPr>
        <w:pStyle w:val="Heading5"/>
        <w:rPr>
          <w:snapToGrid w:val="0"/>
        </w:rPr>
      </w:pPr>
      <w:bookmarkStart w:id="142" w:name="_Toc404668460"/>
      <w:bookmarkStart w:id="143" w:name="_Toc418675235"/>
      <w:r>
        <w:rPr>
          <w:rStyle w:val="CharSectno"/>
        </w:rPr>
        <w:t>34</w:t>
      </w:r>
      <w:r>
        <w:rPr>
          <w:snapToGrid w:val="0"/>
        </w:rPr>
        <w:t>.</w:t>
      </w:r>
      <w:r>
        <w:rPr>
          <w:snapToGrid w:val="0"/>
        </w:rPr>
        <w:tab/>
        <w:t>Superannuation Board is an associated employer</w:t>
      </w:r>
      <w:bookmarkEnd w:id="142"/>
      <w:bookmarkEnd w:id="143"/>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Gazette 14 Aug 1987 p. 3162.] </w:t>
      </w:r>
    </w:p>
    <w:p>
      <w:pPr>
        <w:pStyle w:val="Heading5"/>
        <w:rPr>
          <w:snapToGrid w:val="0"/>
        </w:rPr>
      </w:pPr>
      <w:bookmarkStart w:id="144" w:name="_Toc404668461"/>
      <w:bookmarkStart w:id="145" w:name="_Toc418675236"/>
      <w:r>
        <w:rPr>
          <w:rStyle w:val="CharSectno"/>
        </w:rPr>
        <w:t>34A</w:t>
      </w:r>
      <w:r>
        <w:rPr>
          <w:snapToGrid w:val="0"/>
        </w:rPr>
        <w:t>.</w:t>
      </w:r>
      <w:r>
        <w:rPr>
          <w:snapToGrid w:val="0"/>
        </w:rPr>
        <w:tab/>
        <w:t>Admission of other associated employers</w:t>
      </w:r>
      <w:bookmarkEnd w:id="144"/>
      <w:bookmarkEnd w:id="145"/>
      <w:r>
        <w:rPr>
          <w:snapToGrid w:val="0"/>
        </w:rPr>
        <w:t xml:space="preserve"> </w:t>
      </w:r>
    </w:p>
    <w:p>
      <w:pPr>
        <w:pStyle w:val="Subsection"/>
        <w:rPr>
          <w:snapToGrid w:val="0"/>
        </w:rPr>
      </w:pPr>
      <w:r>
        <w:rPr>
          <w:snapToGrid w:val="0"/>
        </w:rPr>
        <w:tab/>
        <w:t>(1)</w:t>
      </w:r>
      <w:r>
        <w:rPr>
          <w:snapToGrid w:val="0"/>
        </w:rPr>
        <w:tab/>
        <w:t xml:space="preserve">The </w:t>
      </w:r>
      <w:smartTag w:uri="urn:schemas-microsoft-com:office:smarttags" w:element="place">
        <w:r>
          <w:t>FES</w:t>
        </w:r>
      </w:smartTag>
      <w:r>
        <w:t xml:space="preserve"> Commissioner</w:t>
      </w:r>
      <w:r>
        <w:rPr>
          <w:snapToGrid w:val="0"/>
        </w:rPr>
        <w:t>,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[Regulation 34A inserted: Gazette 14 Aug 1987 p. 3162; amended: Gazette 4 Nov 1988 p. 4371; 22 Dec 1998 p. 6852; 31 </w:t>
      </w:r>
      <w:r>
        <w:rPr>
          <w:szCs w:val="24"/>
        </w:rPr>
        <w:t>Oct 2012 p. 524</w:t>
      </w:r>
      <w:r>
        <w:t xml:space="preserve">9.] </w:t>
      </w:r>
    </w:p>
    <w:p>
      <w:pPr>
        <w:pStyle w:val="Heading5"/>
        <w:rPr>
          <w:snapToGrid w:val="0"/>
        </w:rPr>
      </w:pPr>
      <w:bookmarkStart w:id="146" w:name="_Toc404668462"/>
      <w:bookmarkStart w:id="147" w:name="_Toc418675237"/>
      <w:r>
        <w:rPr>
          <w:rStyle w:val="CharSectno"/>
        </w:rPr>
        <w:t>35</w:t>
      </w:r>
      <w:r>
        <w:rPr>
          <w:snapToGrid w:val="0"/>
        </w:rPr>
        <w:t>.</w:t>
      </w:r>
      <w:r>
        <w:rPr>
          <w:snapToGrid w:val="0"/>
        </w:rPr>
        <w:tab/>
        <w:t>Release of associated employers</w:t>
      </w:r>
      <w:bookmarkEnd w:id="146"/>
      <w:bookmarkEnd w:id="147"/>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w:t>
      </w:r>
      <w:smartTag w:uri="urn:schemas-microsoft-com:office:smarttags" w:element="place">
        <w:r>
          <w:t>FES</w:t>
        </w:r>
      </w:smartTag>
      <w:r>
        <w:t xml:space="preserve"> Commissioner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Gazette 14 Aug 1987 p. 3162; 22 Dec 1998 p. 6852</w:t>
      </w:r>
      <w:r>
        <w:noBreakHyphen/>
        <w:t>3; 31 </w:t>
      </w:r>
      <w:r>
        <w:rPr>
          <w:szCs w:val="24"/>
        </w:rPr>
        <w:t>Oct 2012 p. 524</w:t>
      </w:r>
      <w:r>
        <w:t xml:space="preserve">9.] </w:t>
      </w:r>
    </w:p>
    <w:p>
      <w:pPr>
        <w:pStyle w:val="Heading5"/>
        <w:rPr>
          <w:snapToGrid w:val="0"/>
        </w:rPr>
      </w:pPr>
      <w:bookmarkStart w:id="148" w:name="_Toc404668463"/>
      <w:bookmarkStart w:id="149" w:name="_Toc418675238"/>
      <w:r>
        <w:rPr>
          <w:rStyle w:val="CharSectno"/>
        </w:rPr>
        <w:t>36</w:t>
      </w:r>
      <w:r>
        <w:rPr>
          <w:snapToGrid w:val="0"/>
        </w:rPr>
        <w:t>.</w:t>
      </w:r>
      <w:r>
        <w:rPr>
          <w:snapToGrid w:val="0"/>
        </w:rPr>
        <w:tab/>
        <w:t>Dissolution of associated employers</w:t>
      </w:r>
      <w:bookmarkEnd w:id="148"/>
      <w:bookmarkEnd w:id="149"/>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 xml:space="preserve">the </w:t>
      </w:r>
      <w:smartTag w:uri="urn:schemas-microsoft-com:office:smarttags" w:element="place">
        <w:r>
          <w:t>FES</w:t>
        </w:r>
      </w:smartTag>
      <w:r>
        <w:t xml:space="preserve"> Commissioner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Gazette 22 Dec 1998 p. 6852</w:t>
      </w:r>
      <w:r>
        <w:noBreakHyphen/>
        <w:t>3; 31 </w:t>
      </w:r>
      <w:r>
        <w:rPr>
          <w:szCs w:val="24"/>
        </w:rPr>
        <w:t>Oct 2012 p. 524</w:t>
      </w:r>
      <w:r>
        <w:t>9.]</w:t>
      </w:r>
    </w:p>
    <w:p>
      <w:pPr>
        <w:pStyle w:val="Heading2"/>
      </w:pPr>
      <w:bookmarkStart w:id="150" w:name="_Toc404668464"/>
      <w:bookmarkStart w:id="151" w:name="_Toc418675118"/>
      <w:bookmarkStart w:id="152" w:name="_Toc418675239"/>
      <w:r>
        <w:rPr>
          <w:rStyle w:val="CharPartNo"/>
        </w:rPr>
        <w:t>Part VII</w:t>
      </w:r>
      <w:r>
        <w:rPr>
          <w:rStyle w:val="CharDivNo"/>
        </w:rPr>
        <w:t> </w:t>
      </w:r>
      <w:r>
        <w:t>—</w:t>
      </w:r>
      <w:r>
        <w:rPr>
          <w:rStyle w:val="CharDivText"/>
        </w:rPr>
        <w:t> </w:t>
      </w:r>
      <w:r>
        <w:rPr>
          <w:rStyle w:val="CharPartText"/>
        </w:rPr>
        <w:t>Miscellaneous</w:t>
      </w:r>
      <w:bookmarkEnd w:id="150"/>
      <w:bookmarkEnd w:id="151"/>
      <w:bookmarkEnd w:id="152"/>
      <w:r>
        <w:rPr>
          <w:rStyle w:val="CharPartText"/>
        </w:rPr>
        <w:t xml:space="preserve"> </w:t>
      </w:r>
    </w:p>
    <w:p>
      <w:pPr>
        <w:pStyle w:val="Heading5"/>
        <w:rPr>
          <w:snapToGrid w:val="0"/>
        </w:rPr>
      </w:pPr>
      <w:bookmarkStart w:id="153" w:name="_Toc404668465"/>
      <w:bookmarkStart w:id="154" w:name="_Toc418675240"/>
      <w:r>
        <w:rPr>
          <w:rStyle w:val="CharSectno"/>
        </w:rPr>
        <w:t>37</w:t>
      </w:r>
      <w:r>
        <w:rPr>
          <w:snapToGrid w:val="0"/>
        </w:rPr>
        <w:t>.</w:t>
      </w:r>
      <w:r>
        <w:rPr>
          <w:snapToGrid w:val="0"/>
        </w:rPr>
        <w:tab/>
        <w:t>Contributions for additional benefits</w:t>
      </w:r>
      <w:bookmarkEnd w:id="153"/>
      <w:bookmarkEnd w:id="154"/>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 and</w:t>
      </w:r>
    </w:p>
    <w:p>
      <w:pPr>
        <w:pStyle w:val="Indenta"/>
        <w:rPr>
          <w:snapToGrid w:val="0"/>
        </w:rPr>
      </w:pPr>
      <w:r>
        <w:rPr>
          <w:snapToGrid w:val="0"/>
        </w:rPr>
        <w:tab/>
        <w:t>(b)</w:t>
      </w:r>
      <w:r>
        <w:rPr>
          <w:snapToGrid w:val="0"/>
        </w:rPr>
        <w:tab/>
        <w:t>the intervals at which, or manner in which, contributions payable under the agreement are to be varied; and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Gazette 15 Dec 1992 p. 6024; 29 Jun 1994 p. 3222; 21 Nov 1995 p. 5358; 17 Apr 1998 p. 2101; 23 Jul 1999 p. 3392; 2 May 2003 p. 1495.] </w:t>
      </w:r>
    </w:p>
    <w:p>
      <w:pPr>
        <w:pStyle w:val="Heading5"/>
        <w:rPr>
          <w:snapToGrid w:val="0"/>
        </w:rPr>
      </w:pPr>
      <w:bookmarkStart w:id="155" w:name="_Toc404668466"/>
      <w:bookmarkStart w:id="156" w:name="_Toc418675241"/>
      <w:r>
        <w:rPr>
          <w:rStyle w:val="CharSectno"/>
        </w:rPr>
        <w:t>37A</w:t>
      </w:r>
      <w:r>
        <w:rPr>
          <w:snapToGrid w:val="0"/>
        </w:rPr>
        <w:t>.</w:t>
      </w:r>
      <w:r>
        <w:rPr>
          <w:snapToGrid w:val="0"/>
        </w:rPr>
        <w:tab/>
        <w:t>Distribution of surplus funds</w:t>
      </w:r>
      <w:bookmarkEnd w:id="155"/>
      <w:bookmarkEnd w:id="156"/>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Gazette 17 Apr 1998 p. 2101; amended: Gazette 23 Jul 1999 p. 3392; 18 Aug 2000 p. 4789.] </w:t>
      </w:r>
    </w:p>
    <w:p>
      <w:pPr>
        <w:pStyle w:val="Ednotesection"/>
      </w:pPr>
      <w:r>
        <w:t>[</w:t>
      </w:r>
      <w:r>
        <w:rPr>
          <w:b/>
        </w:rPr>
        <w:t>37B.</w:t>
      </w:r>
      <w:r>
        <w:tab/>
        <w:t>Deleted: Gazette 23 Jul 1999 p. 3392.]</w:t>
      </w:r>
    </w:p>
    <w:p>
      <w:pPr>
        <w:pStyle w:val="Heading5"/>
        <w:rPr>
          <w:snapToGrid w:val="0"/>
        </w:rPr>
      </w:pPr>
      <w:bookmarkStart w:id="157" w:name="_Toc404668467"/>
      <w:bookmarkStart w:id="158" w:name="_Toc418675242"/>
      <w:r>
        <w:rPr>
          <w:rStyle w:val="CharSectno"/>
        </w:rPr>
        <w:t>38</w:t>
      </w:r>
      <w:r>
        <w:rPr>
          <w:snapToGrid w:val="0"/>
        </w:rPr>
        <w:t>.</w:t>
      </w:r>
      <w:r>
        <w:rPr>
          <w:snapToGrid w:val="0"/>
        </w:rPr>
        <w:tab/>
        <w:t>Transfers from other funds</w:t>
      </w:r>
      <w:bookmarkEnd w:id="157"/>
      <w:bookmarkEnd w:id="158"/>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Gazette 15 Dec 1992 p. 6024; 23 Jul 1999 p. 3392.] </w:t>
      </w:r>
    </w:p>
    <w:p>
      <w:pPr>
        <w:pStyle w:val="Heading5"/>
        <w:spacing w:before="180"/>
        <w:rPr>
          <w:snapToGrid w:val="0"/>
        </w:rPr>
      </w:pPr>
      <w:bookmarkStart w:id="159" w:name="_Toc404668468"/>
      <w:bookmarkStart w:id="160" w:name="_Toc418675243"/>
      <w:r>
        <w:rPr>
          <w:rStyle w:val="CharSectno"/>
        </w:rPr>
        <w:t>39</w:t>
      </w:r>
      <w:r>
        <w:rPr>
          <w:snapToGrid w:val="0"/>
        </w:rPr>
        <w:t>.</w:t>
      </w:r>
      <w:r>
        <w:rPr>
          <w:snapToGrid w:val="0"/>
        </w:rPr>
        <w:tab/>
        <w:t>Transfers to other funds</w:t>
      </w:r>
      <w:bookmarkEnd w:id="159"/>
      <w:bookmarkEnd w:id="160"/>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Gazette 29 Jun 1994 p. 3222; 17 Apr 1998 p. 2102; 23 Jul 1999 p. 3392.] </w:t>
      </w:r>
    </w:p>
    <w:p>
      <w:pPr>
        <w:pStyle w:val="Heading5"/>
        <w:rPr>
          <w:snapToGrid w:val="0"/>
        </w:rPr>
      </w:pPr>
      <w:bookmarkStart w:id="161" w:name="_Toc404668469"/>
      <w:bookmarkStart w:id="162" w:name="_Toc418675244"/>
      <w:r>
        <w:rPr>
          <w:rStyle w:val="CharSectno"/>
        </w:rPr>
        <w:t>40</w:t>
      </w:r>
      <w:r>
        <w:rPr>
          <w:snapToGrid w:val="0"/>
        </w:rPr>
        <w:t>.</w:t>
      </w:r>
      <w:r>
        <w:rPr>
          <w:snapToGrid w:val="0"/>
        </w:rPr>
        <w:tab/>
        <w:t>Temporary cessation of employment and leave without pay</w:t>
      </w:r>
      <w:bookmarkEnd w:id="161"/>
      <w:bookmarkEnd w:id="162"/>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 and</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rStyle w:val="CharDefText"/>
        </w:rPr>
        <w:t>salary day</w:t>
      </w:r>
      <w:r>
        <w:rPr>
          <w:snapToGrid w:val="0"/>
        </w:rPr>
        <w:t xml:space="preserve"> has the meaning given by regulation 16(1).</w:t>
      </w:r>
    </w:p>
    <w:p>
      <w:pPr>
        <w:pStyle w:val="Footnotesection"/>
      </w:pPr>
      <w:r>
        <w:tab/>
        <w:t>[Regulation 40 amended: Gazette 15 Dec 1992 p. 6024</w:t>
      </w:r>
      <w:r>
        <w:noBreakHyphen/>
        <w:t xml:space="preserve">5; 23 Jul 1999 p. 3392.] </w:t>
      </w:r>
    </w:p>
    <w:p>
      <w:pPr>
        <w:pStyle w:val="Heading5"/>
        <w:rPr>
          <w:snapToGrid w:val="0"/>
        </w:rPr>
      </w:pPr>
      <w:bookmarkStart w:id="163" w:name="_Toc404668470"/>
      <w:bookmarkStart w:id="164" w:name="_Toc418675245"/>
      <w:r>
        <w:rPr>
          <w:rStyle w:val="CharSectno"/>
        </w:rPr>
        <w:t>41</w:t>
      </w:r>
      <w:r>
        <w:rPr>
          <w:snapToGrid w:val="0"/>
        </w:rPr>
        <w:t>.</w:t>
      </w:r>
      <w:r>
        <w:rPr>
          <w:snapToGrid w:val="0"/>
        </w:rPr>
        <w:tab/>
        <w:t>Application of regulations to members employed part</w:t>
      </w:r>
      <w:r>
        <w:rPr>
          <w:snapToGrid w:val="0"/>
        </w:rPr>
        <w:noBreakHyphen/>
        <w:t>time</w:t>
      </w:r>
      <w:bookmarkEnd w:id="163"/>
      <w:bookmarkEnd w:id="164"/>
      <w:r>
        <w:rPr>
          <w:snapToGrid w:val="0"/>
        </w:rPr>
        <w:t xml:space="preserve"> </w:t>
      </w:r>
    </w:p>
    <w:p>
      <w:pPr>
        <w:pStyle w:val="Subsection"/>
        <w:spacing w:before="180"/>
        <w:rPr>
          <w:snapToGrid w:val="0"/>
        </w:rPr>
      </w:pPr>
      <w:r>
        <w:rPr>
          <w:snapToGrid w:val="0"/>
        </w:rPr>
        <w:tab/>
        <w:t>(1)</w:t>
      </w:r>
      <w:r>
        <w:rPr>
          <w:snapToGrid w:val="0"/>
        </w:rPr>
        <w:tab/>
        <w:t xml:space="preserve">If at any time a member (in this regulation called a </w:t>
      </w:r>
      <w:r>
        <w:rPr>
          <w:rStyle w:val="CharDefText"/>
        </w:rPr>
        <w:t>prescribed member</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spacing w:before="180"/>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t xml:space="preserve">the </w:t>
      </w:r>
      <w:r>
        <w:rPr>
          <w:rStyle w:val="CharDefText"/>
        </w:rPr>
        <w:t>service percentage</w:t>
      </w:r>
      <w:r>
        <w:rPr>
          <w:snapToGrid w:val="0"/>
        </w:rPr>
        <w:t>) of full</w:t>
      </w:r>
      <w:r>
        <w:rPr>
          <w:snapToGrid w:val="0"/>
        </w:rPr>
        <w:noBreakHyphen/>
        <w:t>time employment being worked by that member during that period.</w:t>
      </w:r>
    </w:p>
    <w:p>
      <w:pPr>
        <w:pStyle w:val="Subsection"/>
        <w:spacing w:before="180"/>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spacing w:before="180"/>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spacing w:before="180"/>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spacing w:before="180"/>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spacing w:before="180"/>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Gazette 29 Dec 1989 p. 4681; 1 Nov 1991 p. 5609; 15 Dec 1992 p. 6025; 23 Jul 1999 p. 3393; 18 Aug 2000 p. 4789</w:t>
      </w:r>
      <w:r>
        <w:noBreakHyphen/>
        <w:t xml:space="preserve">90; 29 Jun 2004 p. 2521; 1 Apr 2008 p. 1277.] </w:t>
      </w:r>
    </w:p>
    <w:p>
      <w:pPr>
        <w:pStyle w:val="Heading5"/>
        <w:spacing w:before="240"/>
      </w:pPr>
      <w:bookmarkStart w:id="165" w:name="_Toc404668471"/>
      <w:bookmarkStart w:id="166" w:name="_Toc418675246"/>
      <w:r>
        <w:rPr>
          <w:rStyle w:val="CharSectno"/>
        </w:rPr>
        <w:t>41A</w:t>
      </w:r>
      <w:r>
        <w:t>.</w:t>
      </w:r>
      <w:r>
        <w:tab/>
        <w:t>Application of regulations to members reduced in rank</w:t>
      </w:r>
      <w:bookmarkEnd w:id="165"/>
      <w:bookmarkEnd w:id="166"/>
    </w:p>
    <w:p>
      <w:pPr>
        <w:pStyle w:val="Subsection"/>
      </w:pPr>
      <w:r>
        <w:tab/>
        <w:t>(1)</w:t>
      </w:r>
      <w:r>
        <w:tab/>
        <w:t xml:space="preserve">In this regulation — </w:t>
      </w:r>
    </w:p>
    <w:p>
      <w:pPr>
        <w:pStyle w:val="Defstart"/>
      </w:pPr>
      <w:r>
        <w:rPr>
          <w:b/>
        </w:rPr>
        <w:tab/>
      </w:r>
      <w:r>
        <w:rPr>
          <w:rStyle w:val="CharDefText"/>
        </w:rPr>
        <w:t>highest rank</w:t>
      </w:r>
      <w:r>
        <w:rPr>
          <w:bCs/>
        </w:rPr>
        <w:t xml:space="preserve">, in relation to a member, </w:t>
      </w:r>
      <w:r>
        <w:t xml:space="preserve">means the highest rank at which the member has, at any time been employed by the member’s current employer; </w:t>
      </w:r>
    </w:p>
    <w:p>
      <w:pPr>
        <w:pStyle w:val="Defstart"/>
      </w:pPr>
      <w:r>
        <w:rPr>
          <w:b/>
        </w:rPr>
        <w:tab/>
      </w:r>
      <w:r>
        <w:rPr>
          <w:rStyle w:val="CharDefText"/>
        </w:rPr>
        <w:t>highest rank salary</w:t>
      </w:r>
      <w:r>
        <w:rPr>
          <w:bCs/>
        </w:rPr>
        <w:t>, in relation to a member,</w:t>
      </w:r>
      <w:r>
        <w:t xml:space="preserve"> means the annual rate of remuneration payable to an employee on the member’s highest rank; </w:t>
      </w:r>
    </w:p>
    <w:p>
      <w:pPr>
        <w:pStyle w:val="Defstart"/>
      </w:pPr>
      <w:r>
        <w:rPr>
          <w:b/>
        </w:rPr>
        <w:tab/>
      </w:r>
      <w:r>
        <w:rPr>
          <w:rStyle w:val="CharDefText"/>
        </w:rPr>
        <w:t>prescribed member</w:t>
      </w:r>
      <w:r>
        <w:t xml:space="preserve"> means a member referred to in subregulation (2);</w:t>
      </w:r>
    </w:p>
    <w:p>
      <w:pPr>
        <w:pStyle w:val="Defstart"/>
      </w:pPr>
      <w:r>
        <w:rPr>
          <w:b/>
        </w:rPr>
        <w:tab/>
      </w:r>
      <w:r>
        <w:rPr>
          <w:rStyle w:val="CharDefText"/>
        </w:rPr>
        <w:t>relevant percentage</w:t>
      </w:r>
      <w:r>
        <w:rPr>
          <w:bCs/>
        </w:rPr>
        <w:t>,</w:t>
      </w:r>
      <w:r>
        <w:t xml:space="preserve"> in relation to a member, means — </w:t>
      </w:r>
    </w:p>
    <w:p>
      <w:pPr>
        <w:pStyle w:val="Defpara"/>
      </w:pPr>
      <w:r>
        <w:tab/>
        <w:t>(a)</w:t>
      </w:r>
      <w:r>
        <w:tab/>
        <w:t xml:space="preserve">in respect of any period during which a prescribed member is classified as being employed at a rank lower than the member’s highest rank, the member’s actual annual rate of remuneration for that period expressed as a percentage of the member’s highest rank salary for that period; </w:t>
      </w:r>
    </w:p>
    <w:p>
      <w:pPr>
        <w:pStyle w:val="Defpara"/>
        <w:keepNext/>
      </w:pPr>
      <w:r>
        <w:tab/>
        <w:t>(b)</w:t>
      </w:r>
      <w:r>
        <w:tab/>
        <w:t>in respect of any other period, 100%.</w:t>
      </w:r>
    </w:p>
    <w:p>
      <w:pPr>
        <w:pStyle w:val="Subsection"/>
        <w:spacing w:before="180"/>
        <w:rPr>
          <w:snapToGrid w:val="0"/>
        </w:rPr>
      </w:pPr>
      <w:r>
        <w:rPr>
          <w:snapToGrid w:val="0"/>
        </w:rPr>
        <w:tab/>
        <w:t>(2)</w:t>
      </w:r>
      <w:r>
        <w:rPr>
          <w:snapToGrid w:val="0"/>
        </w:rPr>
        <w:tab/>
        <w:t>If at any time a member is or has been classified by the employer as being employed at a rank lower than that at which the member was previously employed these regulations shall apply to that member with the modifications and variations set out in this regulation.</w:t>
      </w:r>
    </w:p>
    <w:p>
      <w:pPr>
        <w:pStyle w:val="Subsection"/>
        <w:spacing w:before="180"/>
        <w:rPr>
          <w:snapToGrid w:val="0"/>
        </w:rPr>
      </w:pPr>
      <w:r>
        <w:rPr>
          <w:snapToGrid w:val="0"/>
        </w:rPr>
        <w:tab/>
        <w:t>(3)</w:t>
      </w:r>
      <w:r>
        <w:rPr>
          <w:snapToGrid w:val="0"/>
        </w:rPr>
        <w:tab/>
        <w:t xml:space="preserve">The employer shall advise the Superannuation Board and the member of a relevant percentage of a prescribed member — </w:t>
      </w:r>
    </w:p>
    <w:p>
      <w:pPr>
        <w:pStyle w:val="Indenta"/>
      </w:pPr>
      <w:r>
        <w:rPr>
          <w:snapToGrid w:val="0"/>
        </w:rPr>
        <w:tab/>
        <w:t>(a)</w:t>
      </w:r>
      <w:r>
        <w:rPr>
          <w:snapToGrid w:val="0"/>
        </w:rPr>
        <w:tab/>
      </w:r>
      <w:r>
        <w:t xml:space="preserve">when the member becomes a prescribed member; and </w:t>
      </w:r>
    </w:p>
    <w:p>
      <w:pPr>
        <w:pStyle w:val="Indenta"/>
      </w:pPr>
      <w:r>
        <w:rPr>
          <w:snapToGrid w:val="0"/>
        </w:rPr>
        <w:tab/>
        <w:t>(b)</w:t>
      </w:r>
      <w:r>
        <w:rPr>
          <w:snapToGrid w:val="0"/>
        </w:rPr>
        <w:tab/>
      </w:r>
      <w:r>
        <w:t xml:space="preserve">whenever there is any change in that percentage. </w:t>
      </w:r>
    </w:p>
    <w:p>
      <w:pPr>
        <w:pStyle w:val="Subsection"/>
        <w:spacing w:before="180"/>
        <w:rPr>
          <w:snapToGrid w:val="0"/>
        </w:rPr>
      </w:pPr>
      <w:r>
        <w:rPr>
          <w:snapToGrid w:val="0"/>
        </w:rPr>
        <w:tab/>
        <w:t>(4)</w:t>
      </w:r>
      <w:r>
        <w:rPr>
          <w:snapToGrid w:val="0"/>
        </w:rPr>
        <w:tab/>
        <w:t>For the purposes of determining the superannuation salary of a prescribed member the annual rate of remuneration of the member shall be deemed to be the actual annual rate of remuneration adjusted in the ratio that 100% bears to the relevant percentage of the member.</w:t>
      </w:r>
    </w:p>
    <w:p>
      <w:pPr>
        <w:pStyle w:val="Subsection"/>
        <w:spacing w:before="180"/>
        <w:rPr>
          <w:snapToGrid w:val="0"/>
        </w:rPr>
      </w:pPr>
      <w:r>
        <w:rPr>
          <w:snapToGrid w:val="0"/>
        </w:rPr>
        <w:tab/>
        <w:t>(5)</w:t>
      </w:r>
      <w:r>
        <w:rPr>
          <w:snapToGrid w:val="0"/>
        </w:rPr>
        <w:tab/>
        <w:t>During any period of membership during which the relevant percentage of a prescribed member is less than 100% the contributions that would otherwise have been payable by the member under regulation 15 or by the employer under regulation 16 shall be reduced in the ratio that the relevant percentage of the member bears to 100%.</w:t>
      </w:r>
    </w:p>
    <w:p>
      <w:pPr>
        <w:pStyle w:val="Subsection"/>
        <w:spacing w:before="180"/>
        <w:rPr>
          <w:snapToGrid w:val="0"/>
        </w:rPr>
      </w:pPr>
      <w:r>
        <w:rPr>
          <w:snapToGrid w:val="0"/>
        </w:rPr>
        <w:tab/>
        <w:t>(6)</w:t>
      </w:r>
      <w:r>
        <w:rPr>
          <w:snapToGrid w:val="0"/>
        </w:rPr>
        <w:tab/>
        <w:t>Where any benefit calculated under Schedule 1, Schedule 1A or Schedule 4 is payable to or in respect of a prescribed member in respect of any period of membership during which the relevant percentage of the member was less than 100%, that benefit shall be reduced in the ratio that the relevant percentage of the member during that period bears to 100%.</w:t>
      </w:r>
    </w:p>
    <w:p>
      <w:pPr>
        <w:pStyle w:val="Subsection"/>
        <w:spacing w:before="180"/>
        <w:rPr>
          <w:snapToGrid w:val="0"/>
        </w:rPr>
      </w:pPr>
      <w:r>
        <w:rPr>
          <w:snapToGrid w:val="0"/>
        </w:rPr>
        <w:tab/>
        <w:t>(7)</w:t>
      </w:r>
      <w:r>
        <w:rPr>
          <w:snapToGrid w:val="0"/>
        </w:rPr>
        <w:tab/>
        <w:t xml:space="preserve">Where </w:t>
      </w:r>
      <w:r>
        <w:t>an amount has to be calculated using a membership period determined under Schedule 2 in order to determine a benefit under or by reference to regulation 17 that</w:t>
      </w:r>
      <w:r>
        <w:rPr>
          <w:snapToGrid w:val="0"/>
        </w:rPr>
        <w:t xml:space="preserve"> is payable to or in respect of a prescribed member and, immediately before the benefit became payable, the member was classified </w:t>
      </w:r>
      <w:r>
        <w:t xml:space="preserve">as being employed at a rank lower than the member’s highest rank, </w:t>
      </w:r>
      <w:r>
        <w:rPr>
          <w:snapToGrid w:val="0"/>
        </w:rPr>
        <w:t>that amount shall be reduced in the ratio that the relevant percentage of the member immediately before the benefit became payable bears to 100%.</w:t>
      </w:r>
    </w:p>
    <w:p>
      <w:pPr>
        <w:pStyle w:val="Footnotesection"/>
      </w:pPr>
      <w:r>
        <w:tab/>
        <w:t>[Regulation 41A inserted: Gazette 1 Apr 2008 p. 1277-9.]</w:t>
      </w:r>
    </w:p>
    <w:p>
      <w:pPr>
        <w:pStyle w:val="Heading5"/>
        <w:spacing w:before="240"/>
        <w:rPr>
          <w:snapToGrid w:val="0"/>
        </w:rPr>
      </w:pPr>
      <w:bookmarkStart w:id="167" w:name="_Toc404668472"/>
      <w:bookmarkStart w:id="168" w:name="_Toc418675247"/>
      <w:r>
        <w:rPr>
          <w:rStyle w:val="CharSectno"/>
        </w:rPr>
        <w:t>42</w:t>
      </w:r>
      <w:r>
        <w:rPr>
          <w:snapToGrid w:val="0"/>
        </w:rPr>
        <w:t>.</w:t>
      </w:r>
      <w:r>
        <w:rPr>
          <w:snapToGrid w:val="0"/>
        </w:rPr>
        <w:tab/>
        <w:t>Requirements for insurance</w:t>
      </w:r>
      <w:bookmarkEnd w:id="167"/>
      <w:bookmarkEnd w:id="168"/>
      <w:r>
        <w:rPr>
          <w:snapToGrid w:val="0"/>
        </w:rPr>
        <w:t xml:space="preserve"> </w:t>
      </w:r>
    </w:p>
    <w:p>
      <w:pPr>
        <w:pStyle w:val="Subsection"/>
        <w:spacing w:before="180"/>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spacing w:before="180"/>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 xml:space="preserve">the </w:t>
      </w:r>
      <w:smartTag w:uri="urn:schemas-microsoft-com:office:smarttags" w:element="place">
        <w:r>
          <w:t>FES</w:t>
        </w:r>
      </w:smartTag>
      <w:r>
        <w:t xml:space="preserve"> Commissioner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spacing w:before="180"/>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42 amended: Gazette 22 Dec 1998 p. 6852</w:t>
      </w:r>
      <w:r>
        <w:noBreakHyphen/>
        <w:t>3; 31 </w:t>
      </w:r>
      <w:r>
        <w:rPr>
          <w:szCs w:val="24"/>
        </w:rPr>
        <w:t>Oct 2012 p. 524</w:t>
      </w:r>
      <w:r>
        <w:t>9.]</w:t>
      </w:r>
    </w:p>
    <w:p>
      <w:pPr>
        <w:pStyle w:val="Heading5"/>
        <w:spacing w:before="240"/>
        <w:rPr>
          <w:snapToGrid w:val="0"/>
        </w:rPr>
      </w:pPr>
      <w:bookmarkStart w:id="169" w:name="_Toc404668473"/>
      <w:bookmarkStart w:id="170" w:name="_Toc418675248"/>
      <w:r>
        <w:rPr>
          <w:rStyle w:val="CharSectno"/>
        </w:rPr>
        <w:t>42A</w:t>
      </w:r>
      <w:r>
        <w:rPr>
          <w:snapToGrid w:val="0"/>
        </w:rPr>
        <w:t>.</w:t>
      </w:r>
      <w:r>
        <w:rPr>
          <w:snapToGrid w:val="0"/>
        </w:rPr>
        <w:tab/>
        <w:t>Medical examinations</w:t>
      </w:r>
      <w:bookmarkEnd w:id="169"/>
      <w:bookmarkEnd w:id="170"/>
      <w:r>
        <w:rPr>
          <w:snapToGrid w:val="0"/>
        </w:rPr>
        <w:t xml:space="preserve"> </w:t>
      </w:r>
    </w:p>
    <w:p>
      <w:pPr>
        <w:pStyle w:val="Subsection"/>
        <w:spacing w:before="180"/>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 and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spacing w:before="180"/>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Gazette 29 Jun 1994 p. 3223.] </w:t>
      </w:r>
    </w:p>
    <w:p>
      <w:pPr>
        <w:pStyle w:val="Heading5"/>
        <w:rPr>
          <w:snapToGrid w:val="0"/>
        </w:rPr>
      </w:pPr>
      <w:bookmarkStart w:id="171" w:name="_Toc404668474"/>
      <w:bookmarkStart w:id="172" w:name="_Toc418675249"/>
      <w:r>
        <w:rPr>
          <w:rStyle w:val="CharSectno"/>
        </w:rPr>
        <w:t>43</w:t>
      </w:r>
      <w:r>
        <w:rPr>
          <w:snapToGrid w:val="0"/>
        </w:rPr>
        <w:t>.</w:t>
      </w:r>
      <w:r>
        <w:rPr>
          <w:snapToGrid w:val="0"/>
        </w:rPr>
        <w:tab/>
        <w:t>No personal claim</w:t>
      </w:r>
      <w:bookmarkEnd w:id="171"/>
      <w:bookmarkEnd w:id="172"/>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173" w:name="_Toc404668475"/>
      <w:bookmarkStart w:id="174" w:name="_Toc418675250"/>
      <w:r>
        <w:rPr>
          <w:rStyle w:val="CharSectno"/>
        </w:rPr>
        <w:t>44</w:t>
      </w:r>
      <w:r>
        <w:rPr>
          <w:snapToGrid w:val="0"/>
        </w:rPr>
        <w:t>.</w:t>
      </w:r>
      <w:r>
        <w:rPr>
          <w:snapToGrid w:val="0"/>
        </w:rPr>
        <w:tab/>
        <w:t>Notices</w:t>
      </w:r>
      <w:bookmarkEnd w:id="173"/>
      <w:bookmarkEnd w:id="174"/>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175" w:name="_Toc404668476"/>
      <w:bookmarkStart w:id="176" w:name="_Toc418675251"/>
      <w:r>
        <w:rPr>
          <w:rStyle w:val="CharSectno"/>
        </w:rPr>
        <w:t>45</w:t>
      </w:r>
      <w:r>
        <w:rPr>
          <w:snapToGrid w:val="0"/>
        </w:rPr>
        <w:t>.</w:t>
      </w:r>
      <w:r>
        <w:rPr>
          <w:snapToGrid w:val="0"/>
        </w:rPr>
        <w:tab/>
        <w:t>General meetings of members</w:t>
      </w:r>
      <w:bookmarkEnd w:id="175"/>
      <w:bookmarkEnd w:id="176"/>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177" w:name="_Toc404668477"/>
      <w:bookmarkStart w:id="178" w:name="_Toc418675252"/>
      <w:r>
        <w:rPr>
          <w:rStyle w:val="CharSectno"/>
        </w:rPr>
        <w:t>46</w:t>
      </w:r>
      <w:r>
        <w:rPr>
          <w:snapToGrid w:val="0"/>
        </w:rPr>
        <w:t>.</w:t>
      </w:r>
      <w:r>
        <w:rPr>
          <w:snapToGrid w:val="0"/>
        </w:rPr>
        <w:tab/>
        <w:t>Provision of information to members</w:t>
      </w:r>
      <w:bookmarkEnd w:id="177"/>
      <w:bookmarkEnd w:id="178"/>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 </w:t>
      </w:r>
      <w:r>
        <w:rPr>
          <w:snapToGrid w:val="0"/>
          <w:vertAlign w:val="superscript"/>
        </w:rPr>
        <w:t>2</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 and</w:t>
      </w:r>
    </w:p>
    <w:p>
      <w:pPr>
        <w:pStyle w:val="Indenta"/>
        <w:rPr>
          <w:snapToGrid w:val="0"/>
        </w:rPr>
      </w:pPr>
      <w:r>
        <w:rPr>
          <w:snapToGrid w:val="0"/>
        </w:rPr>
        <w:tab/>
        <w:t>(b)</w:t>
      </w:r>
      <w:r>
        <w:rPr>
          <w:snapToGrid w:val="0"/>
        </w:rPr>
        <w:tab/>
        <w:t>information to members on a regular basis regarding the operation of the Superannuation Fund; and</w:t>
      </w:r>
    </w:p>
    <w:p>
      <w:pPr>
        <w:pStyle w:val="Indenta"/>
        <w:rPr>
          <w:snapToGrid w:val="0"/>
        </w:rPr>
      </w:pPr>
      <w:r>
        <w:rPr>
          <w:snapToGrid w:val="0"/>
        </w:rPr>
        <w:tab/>
        <w:t>(c)</w:t>
      </w:r>
      <w:r>
        <w:rPr>
          <w:snapToGrid w:val="0"/>
        </w:rPr>
        <w:tab/>
        <w:t>information to employees becoming members; and</w:t>
      </w:r>
    </w:p>
    <w:p>
      <w:pPr>
        <w:pStyle w:val="Indenta"/>
        <w:rPr>
          <w:snapToGrid w:val="0"/>
        </w:rPr>
      </w:pPr>
      <w:r>
        <w:rPr>
          <w:snapToGrid w:val="0"/>
        </w:rPr>
        <w:tab/>
        <w:t>(d)</w:t>
      </w:r>
      <w:r>
        <w:rPr>
          <w:snapToGrid w:val="0"/>
        </w:rPr>
        <w:tab/>
        <w:t>information to members ceasing in the employment of the employer; and</w:t>
      </w:r>
    </w:p>
    <w:p>
      <w:pPr>
        <w:pStyle w:val="Indenta"/>
        <w:rPr>
          <w:snapToGrid w:val="0"/>
        </w:rPr>
      </w:pPr>
      <w:r>
        <w:rPr>
          <w:snapToGrid w:val="0"/>
        </w:rPr>
        <w:tab/>
        <w:t>(e)</w:t>
      </w:r>
      <w:r>
        <w:rPr>
          <w:snapToGrid w:val="0"/>
        </w:rPr>
        <w:tab/>
        <w:t>information relating to any amendment to these regulations; and</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Australian Prudential Regulation Authority established by the </w:t>
      </w:r>
      <w:r>
        <w:rPr>
          <w:i/>
          <w:iCs/>
        </w:rPr>
        <w:t xml:space="preserve">Australian Prudential Regulation Authority Act 1998 </w:t>
      </w:r>
      <w:r>
        <w:t xml:space="preserve"> (Commonwealth) </w:t>
      </w:r>
      <w:r>
        <w:rPr>
          <w:snapToGrid w:val="0"/>
        </w:rPr>
        <w:t>and any notices which the Commissioner may provide to the Superannuation Board in relation to those returns and certificates; and</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Gazette 15 Dec 1992 p. 6025</w:t>
      </w:r>
      <w:r>
        <w:noBreakHyphen/>
        <w:t xml:space="preserve">6; amended: Gazette 23 Jul 1999 p. 3393; 1 Apr 2008 p. 1279.] </w:t>
      </w:r>
    </w:p>
    <w:p>
      <w:pPr>
        <w:pStyle w:val="Heading5"/>
        <w:rPr>
          <w:snapToGrid w:val="0"/>
        </w:rPr>
      </w:pPr>
      <w:bookmarkStart w:id="179" w:name="_Toc404668478"/>
      <w:bookmarkStart w:id="180" w:name="_Toc418675253"/>
      <w:r>
        <w:rPr>
          <w:rStyle w:val="CharSectno"/>
        </w:rPr>
        <w:t>47</w:t>
      </w:r>
      <w:r>
        <w:rPr>
          <w:snapToGrid w:val="0"/>
        </w:rPr>
        <w:t>.</w:t>
      </w:r>
      <w:r>
        <w:rPr>
          <w:snapToGrid w:val="0"/>
        </w:rPr>
        <w:tab/>
        <w:t>Elections of members of the Superannuation Board</w:t>
      </w:r>
      <w:bookmarkEnd w:id="179"/>
      <w:bookmarkEnd w:id="180"/>
      <w:r>
        <w:rPr>
          <w:snapToGrid w:val="0"/>
        </w:rPr>
        <w:t xml:space="preserve"> </w:t>
      </w:r>
    </w:p>
    <w:p>
      <w:pPr>
        <w:pStyle w:val="Subsection"/>
        <w:rPr>
          <w:snapToGrid w:val="0"/>
        </w:rPr>
      </w:pPr>
      <w:r>
        <w:rPr>
          <w:snapToGrid w:val="0"/>
        </w:rPr>
        <w:tab/>
        <w:t>(1)</w:t>
      </w:r>
      <w:r>
        <w:rPr>
          <w:snapToGrid w:val="0"/>
        </w:rPr>
        <w:tab/>
        <w:t xml:space="preserve">Elections under clause 2 of Schedule 2 to the Act to elect members of the Superannuation Board shall be conducted by the </w:t>
      </w:r>
      <w:smartTag w:uri="urn:schemas-microsoft-com:office:smarttags" w:element="place">
        <w:r>
          <w:t>FES</w:t>
        </w:r>
      </w:smartTag>
      <w:r>
        <w:t xml:space="preserve"> Commissioner</w:t>
      </w:r>
      <w:r>
        <w:rPr>
          <w:snapToGrid w:val="0"/>
        </w:rPr>
        <w:t xml:space="preserve"> by secret ballot using an optional preferential system of voting.</w:t>
      </w:r>
    </w:p>
    <w:p>
      <w:pPr>
        <w:pStyle w:val="Subsection"/>
        <w:rPr>
          <w:snapToGrid w:val="0"/>
        </w:rPr>
      </w:pPr>
      <w:r>
        <w:tab/>
        <w:t>(2)</w:t>
      </w:r>
      <w:r>
        <w:tab/>
        <w:t xml:space="preserve">The FES Commissioner may, instead of conducting the election, engage the Electoral Commissioner under the </w:t>
      </w:r>
      <w:r>
        <w:rPr>
          <w:i/>
        </w:rPr>
        <w:t>Electoral Act 1907</w:t>
      </w:r>
      <w:r>
        <w:t xml:space="preserve"> or any other independent person to conduct the election on behalf of the </w:t>
      </w:r>
      <w:smartTag w:uri="urn:schemas-microsoft-com:office:smarttags" w:element="place">
        <w:r>
          <w:t>FES</w:t>
        </w:r>
      </w:smartTag>
      <w:r>
        <w:t xml:space="preserve"> Commissioner.</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 or</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Gazette 13 Jul 1990 p. 3375</w:t>
      </w:r>
      <w:r>
        <w:noBreakHyphen/>
        <w:t>6; 29 Jun 1994 p. 3223</w:t>
      </w:r>
      <w:r>
        <w:softHyphen/>
      </w:r>
      <w:r>
        <w:noBreakHyphen/>
        <w:t>4; 22 Dec 1998 p. 6853; 23 Jul 1999 p. 3393; 31 </w:t>
      </w:r>
      <w:r>
        <w:rPr>
          <w:szCs w:val="24"/>
        </w:rPr>
        <w:t>Oct 2012 p. 524</w:t>
      </w:r>
      <w:r>
        <w:t xml:space="preserve">7.] </w:t>
      </w:r>
    </w:p>
    <w:p>
      <w:pPr>
        <w:pStyle w:val="Heading5"/>
        <w:rPr>
          <w:snapToGrid w:val="0"/>
        </w:rPr>
      </w:pPr>
      <w:bookmarkStart w:id="181" w:name="_Toc404668479"/>
      <w:bookmarkStart w:id="182" w:name="_Toc418675254"/>
      <w:r>
        <w:rPr>
          <w:rStyle w:val="CharSectno"/>
        </w:rPr>
        <w:t>47A</w:t>
      </w:r>
      <w:r>
        <w:rPr>
          <w:snapToGrid w:val="0"/>
        </w:rPr>
        <w:t>.</w:t>
      </w:r>
      <w:r>
        <w:rPr>
          <w:snapToGrid w:val="0"/>
        </w:rPr>
        <w:tab/>
        <w:t>Removal of elected member</w:t>
      </w:r>
      <w:bookmarkEnd w:id="181"/>
      <w:bookmarkEnd w:id="182"/>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 xml:space="preserve">A secret ballot for the purposes of subregulation (1) shall be conducted by the </w:t>
      </w:r>
      <w:smartTag w:uri="urn:schemas-microsoft-com:office:smarttags" w:element="place">
        <w:r>
          <w:t>FES</w:t>
        </w:r>
      </w:smartTag>
      <w:r>
        <w:t xml:space="preserve"> Commissioner</w:t>
      </w:r>
      <w:r>
        <w:rPr>
          <w:snapToGrid w:val="0"/>
        </w:rPr>
        <w:t xml:space="preserve"> at the written request of not less than 5% of all members.</w:t>
      </w:r>
    </w:p>
    <w:p>
      <w:pPr>
        <w:pStyle w:val="Subsection"/>
        <w:spacing w:before="100"/>
        <w:rPr>
          <w:snapToGrid w:val="0"/>
        </w:rPr>
      </w:pPr>
      <w:r>
        <w:tab/>
        <w:t>(2a)</w:t>
      </w:r>
      <w:r>
        <w:tab/>
        <w:t xml:space="preserve">The FES Commissioner may, instead of conducting the ballot, engage the Electoral Commissioner under </w:t>
      </w:r>
      <w:r>
        <w:rPr>
          <w:snapToGrid w:val="0"/>
        </w:rPr>
        <w:t>the</w:t>
      </w:r>
      <w:r>
        <w:t xml:space="preserve"> </w:t>
      </w:r>
      <w:r>
        <w:rPr>
          <w:i/>
        </w:rPr>
        <w:t>Electoral Act 1907</w:t>
      </w:r>
      <w:r>
        <w:t xml:space="preserve"> or any other independent person to conduct the ballot on behalf of the FES Commissioner.</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[Regulation 47A inserted: Gazette 29 Jun 1994 p. 3224; amended: Gazette 22 Dec 1998 p. 6853; 23 Jul 1999 p. 3393; 31 </w:t>
      </w:r>
      <w:r>
        <w:rPr>
          <w:szCs w:val="24"/>
        </w:rPr>
        <w:t>Oct 2012 p. 524</w:t>
      </w:r>
      <w:r>
        <w:t xml:space="preserve">8.] </w:t>
      </w:r>
    </w:p>
    <w:p>
      <w:pPr>
        <w:pStyle w:val="Heading5"/>
        <w:rPr>
          <w:snapToGrid w:val="0"/>
        </w:rPr>
      </w:pPr>
      <w:bookmarkStart w:id="183" w:name="_Toc404668480"/>
      <w:bookmarkStart w:id="184" w:name="_Toc418675255"/>
      <w:r>
        <w:rPr>
          <w:rStyle w:val="CharSectno"/>
        </w:rPr>
        <w:t>48</w:t>
      </w:r>
      <w:r>
        <w:rPr>
          <w:snapToGrid w:val="0"/>
        </w:rPr>
        <w:t>.</w:t>
      </w:r>
      <w:r>
        <w:rPr>
          <w:snapToGrid w:val="0"/>
        </w:rPr>
        <w:tab/>
        <w:t>Amendments to these regulations</w:t>
      </w:r>
      <w:bookmarkEnd w:id="183"/>
      <w:bookmarkEnd w:id="184"/>
      <w:r>
        <w:rPr>
          <w:snapToGrid w:val="0"/>
        </w:rPr>
        <w:t xml:space="preserve"> </w:t>
      </w:r>
    </w:p>
    <w:p>
      <w:pPr>
        <w:pStyle w:val="Subsection"/>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w:t>
      </w:r>
      <w:smartTag w:uri="urn:schemas-microsoft-com:office:smarttags" w:element="place">
        <w:r>
          <w:t>FES</w:t>
        </w:r>
      </w:smartTag>
      <w:r>
        <w:t xml:space="preserve"> Commissioner</w:t>
      </w:r>
      <w:r>
        <w:rPr>
          <w:snapToGrid w:val="0"/>
        </w:rPr>
        <w:t xml:space="preserve"> and associated employers (if any) to the Superannuation Fund shall not be made under the Act unless 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 xml:space="preserve">the </w:t>
      </w:r>
      <w:smartTag w:uri="urn:schemas-microsoft-com:office:smarttags" w:element="place">
        <w:r>
          <w:t>FES</w:t>
        </w:r>
      </w:smartTag>
      <w:r>
        <w:t xml:space="preserve"> Commissioner</w:t>
      </w:r>
      <w:r>
        <w:rPr>
          <w:snapToGrid w:val="0"/>
        </w:rPr>
        <w:t xml:space="preserve"> and associated employers (if any) to the Superannuation Fund; or</w:t>
      </w:r>
    </w:p>
    <w:p>
      <w:pPr>
        <w:pStyle w:val="Indenta"/>
        <w:rPr>
          <w:snapToGrid w:val="0"/>
        </w:rPr>
      </w:pPr>
      <w:r>
        <w:rPr>
          <w:snapToGrid w:val="0"/>
        </w:rPr>
        <w:tab/>
        <w:t>(b)</w:t>
      </w:r>
      <w:r>
        <w:rPr>
          <w:snapToGrid w:val="0"/>
        </w:rPr>
        <w:tab/>
        <w:t xml:space="preserve">the </w:t>
      </w:r>
      <w:smartTag w:uri="urn:schemas-microsoft-com:office:smarttags" w:element="place">
        <w:r>
          <w:t>FES</w:t>
        </w:r>
      </w:smartTag>
      <w:r>
        <w:t xml:space="preserve"> Commissioner</w:t>
      </w:r>
      <w:r>
        <w:rPr>
          <w:snapToGrid w:val="0"/>
        </w:rPr>
        <w:t xml:space="preserve">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Gazette 22 Dec 1998 p. 6852</w:t>
      </w:r>
      <w:r>
        <w:noBreakHyphen/>
        <w:t>3; 31 </w:t>
      </w:r>
      <w:r>
        <w:rPr>
          <w:szCs w:val="24"/>
        </w:rPr>
        <w:t>Oct 2012 p. 524</w:t>
      </w:r>
      <w:r>
        <w:t>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85" w:name="_Toc404668481"/>
      <w:bookmarkStart w:id="186" w:name="_Toc418675135"/>
      <w:bookmarkStart w:id="187" w:name="_Toc418675256"/>
      <w:r>
        <w:rPr>
          <w:rStyle w:val="CharSchNo"/>
        </w:rPr>
        <w:t>Schedule 1</w:t>
      </w:r>
      <w:r>
        <w:t> — </w:t>
      </w:r>
      <w:r>
        <w:rPr>
          <w:rStyle w:val="CharSchText"/>
        </w:rPr>
        <w:t>Defined benefit: death or total and permanent disablement</w:t>
      </w:r>
      <w:bookmarkEnd w:id="185"/>
      <w:bookmarkEnd w:id="186"/>
      <w:bookmarkEnd w:id="187"/>
    </w:p>
    <w:p>
      <w:pPr>
        <w:pStyle w:val="yFootnotesection"/>
      </w:pPr>
      <w:r>
        <w:tab/>
        <w:t>[Heading inserted: Gazette 29 Jun 2004 p. 2521.]</w:t>
      </w:r>
    </w:p>
    <w:p>
      <w:pPr>
        <w:pStyle w:val="yShoulderClause"/>
      </w:pPr>
      <w:r>
        <w:t>[r. 17 and 18]</w:t>
      </w:r>
    </w:p>
    <w:p>
      <w:pPr>
        <w:pStyle w:val="ySubsection"/>
      </w:pPr>
      <w:r>
        <w:tab/>
      </w:r>
      <w:r>
        <w:tab/>
        <w:t>The amount calculated in accordance with this Schedule is B in the formula —</w:t>
      </w:r>
    </w:p>
    <w:p>
      <w:pPr>
        <w:pStyle w:val="Equation"/>
        <w:jc w:val="center"/>
      </w:pPr>
      <w:r>
        <w:rPr>
          <w:position w:val="-22"/>
        </w:rPr>
        <w:object w:dxaOrig="21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o:ole="">
            <v:imagedata r:id="rId25" o:title=""/>
          </v:shape>
          <o:OLEObject Type="Embed" ProgID="Equation.3" ShapeID="_x0000_i1025" DrawAspect="Content" ObjectID="_1643724014" r:id="rId26"/>
        </w:obje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Gazette 23 Jul 1999 p. 3394; amended: Gazette 29 Jun 2004 p. 2521.]</w:t>
      </w:r>
    </w:p>
    <w:p>
      <w:pPr>
        <w:pStyle w:val="yScheduleHeading"/>
      </w:pPr>
      <w:bookmarkStart w:id="188" w:name="_Toc404668482"/>
      <w:bookmarkStart w:id="189" w:name="_Toc418675136"/>
      <w:bookmarkStart w:id="190" w:name="_Toc418675257"/>
      <w:r>
        <w:rPr>
          <w:rStyle w:val="CharSchNo"/>
        </w:rPr>
        <w:t>Schedule 1A</w:t>
      </w:r>
      <w:r>
        <w:t> — </w:t>
      </w:r>
      <w:r>
        <w:rPr>
          <w:rStyle w:val="CharSchText"/>
        </w:rPr>
        <w:t>Defined benefit: partial and permanent disablement or leaving service</w:t>
      </w:r>
      <w:bookmarkEnd w:id="188"/>
      <w:bookmarkEnd w:id="189"/>
      <w:bookmarkEnd w:id="190"/>
    </w:p>
    <w:p>
      <w:pPr>
        <w:pStyle w:val="yShoulderClause"/>
      </w:pPr>
      <w:r>
        <w:t>[r. 14A and 19 — 21]</w:t>
      </w:r>
    </w:p>
    <w:p>
      <w:pPr>
        <w:pStyle w:val="ySubsection"/>
      </w:pPr>
      <w:r>
        <w:tab/>
      </w:r>
      <w:r>
        <w:tab/>
        <w:t>The amount calculated in accordance with this Schedule is B in the formula —</w:t>
      </w:r>
    </w:p>
    <w:p>
      <w:pPr>
        <w:pStyle w:val="Equation"/>
        <w:jc w:val="center"/>
      </w:pPr>
      <w:r>
        <w:rPr>
          <w:position w:val="-22"/>
        </w:rPr>
        <w:object w:dxaOrig="3700" w:dyaOrig="580">
          <v:shape id="_x0000_i1026" type="#_x0000_t75" style="width:185.25pt;height:29.25pt" o:ole="">
            <v:imagedata r:id="rId27" o:title=""/>
          </v:shape>
          <o:OLEObject Type="Embed" ProgID="Equation.3" ShapeID="_x0000_i1026" DrawAspect="Content" ObjectID="_1643724015" r:id="rId28"/>
        </w:obje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Footnotesection"/>
      </w:pPr>
      <w:r>
        <w:tab/>
        <w:t>[Schedule 1A inserted: Gazette 29 Jun 2004 p. 2521; amended: Gazette 21 Jan 2005 p. 263.]</w:t>
      </w:r>
    </w:p>
    <w:p>
      <w:pPr>
        <w:pStyle w:val="yScheduleHeading"/>
      </w:pPr>
      <w:bookmarkStart w:id="191" w:name="_Toc404668483"/>
      <w:bookmarkStart w:id="192" w:name="_Toc418675137"/>
      <w:bookmarkStart w:id="193" w:name="_Toc418675258"/>
      <w:r>
        <w:rPr>
          <w:rStyle w:val="CharSchNo"/>
        </w:rPr>
        <w:t>Schedule 2</w:t>
      </w:r>
      <w:r>
        <w:t xml:space="preserve"> — </w:t>
      </w:r>
      <w:r>
        <w:rPr>
          <w:rStyle w:val="CharSchText"/>
        </w:rPr>
        <w:t>Membership period for death benefits</w:t>
      </w:r>
      <w:bookmarkEnd w:id="191"/>
      <w:bookmarkEnd w:id="192"/>
      <w:bookmarkEnd w:id="193"/>
    </w:p>
    <w:p>
      <w:pPr>
        <w:pStyle w:val="yShoulderClause"/>
      </w:pPr>
      <w:r>
        <w:t>[r. 17]</w:t>
      </w: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 and</w:t>
      </w:r>
    </w:p>
    <w:p>
      <w:pPr>
        <w:pStyle w:val="yIndenti0"/>
      </w:pPr>
      <w:r>
        <w:tab/>
        <w:t>(ii)</w:t>
      </w:r>
      <w:r>
        <w:tab/>
        <w:t>the lesser of —</w:t>
      </w:r>
    </w:p>
    <w:p>
      <w:pPr>
        <w:pStyle w:val="yIndentI"/>
      </w:pPr>
      <w:r>
        <w:tab/>
        <w:t>(A)</w:t>
      </w:r>
      <w:r>
        <w:tab/>
        <w:t>M + F; and</w:t>
      </w:r>
    </w:p>
    <w:p>
      <w:pPr>
        <w:pStyle w:val="yIndentI"/>
      </w:pPr>
      <w:r>
        <w:tab/>
        <w:t>(B)</w:t>
      </w:r>
      <w:r>
        <w:tab/>
        <w:t>12 783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12 783 days;</w:t>
      </w:r>
    </w:p>
    <w:p>
      <w:pPr>
        <w:pStyle w:val="yIndenta"/>
      </w:pPr>
      <w:r>
        <w:tab/>
      </w:r>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12 783 days,</w:t>
      </w:r>
    </w:p>
    <w:p>
      <w:pPr>
        <w:pStyle w:val="ySubsection"/>
      </w:pPr>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Gazette 23 Jul 1999 p. 3394; amended: Gazette 1 Apr 2008 p. 1279.]</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95" w:name="_Toc404668484"/>
      <w:bookmarkStart w:id="196" w:name="_Toc418675138"/>
      <w:bookmarkStart w:id="197" w:name="_Toc418675259"/>
      <w:r>
        <w:rPr>
          <w:rStyle w:val="CharSchNo"/>
        </w:rPr>
        <w:t>Schedule 3</w:t>
      </w:r>
      <w:bookmarkEnd w:id="195"/>
      <w:bookmarkEnd w:id="196"/>
      <w:bookmarkEnd w:id="197"/>
    </w:p>
    <w:p>
      <w:pPr>
        <w:pStyle w:val="yShoulderClause"/>
        <w:rPr>
          <w:snapToGrid w:val="0"/>
        </w:rPr>
      </w:pPr>
      <w:r>
        <w:rPr>
          <w:snapToGrid w:val="0"/>
        </w:rPr>
        <w:t>[Regulation 45]</w:t>
      </w:r>
    </w:p>
    <w:p>
      <w:pPr>
        <w:pStyle w:val="yScheduleHeading"/>
        <w:pageBreakBefore w:val="0"/>
        <w:spacing w:before="240"/>
        <w:outlineLvl w:val="9"/>
      </w:pPr>
      <w:bookmarkStart w:id="198" w:name="_Toc404668485"/>
      <w:bookmarkStart w:id="199" w:name="_Toc418675139"/>
      <w:bookmarkStart w:id="200" w:name="_Toc418675260"/>
      <w:r>
        <w:rPr>
          <w:rStyle w:val="CharSchText"/>
        </w:rPr>
        <w:t>General meetings of members of the Superannuation Fund</w:t>
      </w:r>
      <w:bookmarkEnd w:id="198"/>
      <w:bookmarkEnd w:id="199"/>
      <w:bookmarkEnd w:id="200"/>
    </w:p>
    <w:p>
      <w:pPr>
        <w:pStyle w:val="yHeading5"/>
        <w:spacing w:before="180"/>
        <w:outlineLvl w:val="9"/>
        <w:rPr>
          <w:snapToGrid w:val="0"/>
        </w:rPr>
      </w:pPr>
      <w:bookmarkStart w:id="201" w:name="_Toc404668486"/>
      <w:bookmarkStart w:id="202" w:name="_Toc418675261"/>
      <w:r>
        <w:rPr>
          <w:rStyle w:val="CharSClsNo"/>
        </w:rPr>
        <w:t>1</w:t>
      </w:r>
      <w:r>
        <w:rPr>
          <w:snapToGrid w:val="0"/>
        </w:rPr>
        <w:t>.</w:t>
      </w:r>
      <w:r>
        <w:rPr>
          <w:snapToGrid w:val="0"/>
        </w:rPr>
        <w:tab/>
        <w:t>Notice of meeting</w:t>
      </w:r>
      <w:bookmarkEnd w:id="201"/>
      <w:bookmarkEnd w:id="202"/>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spacing w:before="180"/>
      </w:pPr>
      <w:r>
        <w:t>[</w:t>
      </w:r>
      <w:r>
        <w:rPr>
          <w:b/>
        </w:rPr>
        <w:t>2.</w:t>
      </w:r>
      <w:r>
        <w:tab/>
        <w:t xml:space="preserve">Deleted: Gazette 29 Jun 1994 p. 3225.] </w:t>
      </w:r>
    </w:p>
    <w:p>
      <w:pPr>
        <w:pStyle w:val="yHeading5"/>
        <w:spacing w:before="180"/>
        <w:outlineLvl w:val="9"/>
        <w:rPr>
          <w:snapToGrid w:val="0"/>
        </w:rPr>
      </w:pPr>
      <w:bookmarkStart w:id="203" w:name="_Toc404668487"/>
      <w:bookmarkStart w:id="204" w:name="_Toc418675262"/>
      <w:r>
        <w:rPr>
          <w:rStyle w:val="CharSClsNo"/>
        </w:rPr>
        <w:t>3</w:t>
      </w:r>
      <w:r>
        <w:rPr>
          <w:snapToGrid w:val="0"/>
        </w:rPr>
        <w:t>.</w:t>
      </w:r>
      <w:r>
        <w:rPr>
          <w:snapToGrid w:val="0"/>
        </w:rPr>
        <w:tab/>
        <w:t>Chairman</w:t>
      </w:r>
      <w:bookmarkEnd w:id="203"/>
      <w:bookmarkEnd w:id="204"/>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spacing w:before="180"/>
        <w:outlineLvl w:val="9"/>
        <w:rPr>
          <w:snapToGrid w:val="0"/>
        </w:rPr>
      </w:pPr>
      <w:bookmarkStart w:id="205" w:name="_Toc404668488"/>
      <w:bookmarkStart w:id="206" w:name="_Toc418675263"/>
      <w:r>
        <w:rPr>
          <w:rStyle w:val="CharSClsNo"/>
        </w:rPr>
        <w:t>4</w:t>
      </w:r>
      <w:r>
        <w:rPr>
          <w:snapToGrid w:val="0"/>
        </w:rPr>
        <w:t>.</w:t>
      </w:r>
      <w:r>
        <w:rPr>
          <w:snapToGrid w:val="0"/>
        </w:rPr>
        <w:tab/>
        <w:t>Board members may attend</w:t>
      </w:r>
      <w:bookmarkEnd w:id="205"/>
      <w:bookmarkEnd w:id="206"/>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spacing w:before="180"/>
        <w:outlineLvl w:val="9"/>
        <w:rPr>
          <w:snapToGrid w:val="0"/>
        </w:rPr>
      </w:pPr>
      <w:bookmarkStart w:id="207" w:name="_Toc404668489"/>
      <w:bookmarkStart w:id="208" w:name="_Toc418675264"/>
      <w:r>
        <w:rPr>
          <w:rStyle w:val="CharSClsNo"/>
        </w:rPr>
        <w:t>5</w:t>
      </w:r>
      <w:r>
        <w:rPr>
          <w:snapToGrid w:val="0"/>
        </w:rPr>
        <w:t>.</w:t>
      </w:r>
      <w:r>
        <w:rPr>
          <w:snapToGrid w:val="0"/>
        </w:rPr>
        <w:tab/>
        <w:t>Annual general meeting</w:t>
      </w:r>
      <w:bookmarkEnd w:id="207"/>
      <w:bookmarkEnd w:id="208"/>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vertAlign w:val="superscript"/>
        </w:rPr>
        <w:t> 2</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vertAlign w:val="superscript"/>
        </w:rPr>
        <w:t> 2</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spacing w:before="80"/>
      </w:pPr>
      <w:r>
        <w:tab/>
        <w:t>[Clause 5 amended: Gazette 15 Dec 1992 p. 6026.]</w:t>
      </w:r>
    </w:p>
    <w:p>
      <w:pPr>
        <w:pStyle w:val="yHeading5"/>
        <w:outlineLvl w:val="9"/>
        <w:rPr>
          <w:snapToGrid w:val="0"/>
        </w:rPr>
      </w:pPr>
      <w:bookmarkStart w:id="209" w:name="_Toc404668490"/>
      <w:bookmarkStart w:id="210" w:name="_Toc418675265"/>
      <w:r>
        <w:rPr>
          <w:rStyle w:val="CharSClsNo"/>
        </w:rPr>
        <w:t>6</w:t>
      </w:r>
      <w:r>
        <w:rPr>
          <w:snapToGrid w:val="0"/>
        </w:rPr>
        <w:t>.</w:t>
      </w:r>
      <w:r>
        <w:rPr>
          <w:snapToGrid w:val="0"/>
        </w:rPr>
        <w:tab/>
        <w:t>Special general meeting</w:t>
      </w:r>
      <w:bookmarkEnd w:id="209"/>
      <w:bookmarkEnd w:id="210"/>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211" w:name="_Toc404668491"/>
      <w:bookmarkStart w:id="212" w:name="_Toc418675266"/>
      <w:r>
        <w:rPr>
          <w:rStyle w:val="CharSClsNo"/>
        </w:rPr>
        <w:t>7</w:t>
      </w:r>
      <w:r>
        <w:rPr>
          <w:snapToGrid w:val="0"/>
        </w:rPr>
        <w:t>.</w:t>
      </w:r>
      <w:r>
        <w:rPr>
          <w:snapToGrid w:val="0"/>
        </w:rPr>
        <w:tab/>
        <w:t>Mode of voting on motions</w:t>
      </w:r>
      <w:bookmarkEnd w:id="211"/>
      <w:bookmarkEnd w:id="212"/>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outlineLvl w:val="9"/>
        <w:rPr>
          <w:snapToGrid w:val="0"/>
        </w:rPr>
      </w:pPr>
      <w:bookmarkStart w:id="213" w:name="_Toc404668492"/>
      <w:bookmarkStart w:id="214" w:name="_Toc418675267"/>
      <w:r>
        <w:rPr>
          <w:rStyle w:val="CharSClsNo"/>
        </w:rPr>
        <w:t>8</w:t>
      </w:r>
      <w:r>
        <w:rPr>
          <w:snapToGrid w:val="0"/>
        </w:rPr>
        <w:t>.</w:t>
      </w:r>
      <w:r>
        <w:rPr>
          <w:snapToGrid w:val="0"/>
        </w:rPr>
        <w:tab/>
        <w:t>Voting rights</w:t>
      </w:r>
      <w:bookmarkEnd w:id="213"/>
      <w:bookmarkEnd w:id="214"/>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215" w:name="_Toc404668493"/>
      <w:bookmarkStart w:id="216" w:name="_Toc418675268"/>
      <w:r>
        <w:rPr>
          <w:rStyle w:val="CharSClsNo"/>
        </w:rPr>
        <w:t>9</w:t>
      </w:r>
      <w:r>
        <w:rPr>
          <w:snapToGrid w:val="0"/>
        </w:rPr>
        <w:t>.</w:t>
      </w:r>
      <w:r>
        <w:rPr>
          <w:snapToGrid w:val="0"/>
        </w:rPr>
        <w:tab/>
        <w:t>Minutes</w:t>
      </w:r>
      <w:bookmarkEnd w:id="215"/>
      <w:bookmarkEnd w:id="216"/>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217" w:name="_Toc404668494"/>
      <w:bookmarkStart w:id="218" w:name="_Toc418675269"/>
      <w:r>
        <w:rPr>
          <w:rStyle w:val="CharSClsNo"/>
        </w:rPr>
        <w:t>10</w:t>
      </w:r>
      <w:r>
        <w:rPr>
          <w:snapToGrid w:val="0"/>
        </w:rPr>
        <w:t>.</w:t>
      </w:r>
      <w:r>
        <w:rPr>
          <w:snapToGrid w:val="0"/>
        </w:rPr>
        <w:tab/>
        <w:t>Procedure</w:t>
      </w:r>
      <w:bookmarkEnd w:id="217"/>
      <w:bookmarkEnd w:id="218"/>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219" w:name="_Toc404668495"/>
      <w:bookmarkStart w:id="220" w:name="_Toc418675149"/>
      <w:bookmarkStart w:id="221" w:name="_Toc418675270"/>
      <w:r>
        <w:rPr>
          <w:rStyle w:val="CharSchNo"/>
        </w:rPr>
        <w:t>Schedule 4</w:t>
      </w:r>
      <w:r>
        <w:t xml:space="preserve"> — </w:t>
      </w:r>
      <w:r>
        <w:rPr>
          <w:rStyle w:val="CharSchText"/>
        </w:rPr>
        <w:t>Leaving service benefit — Category A</w:t>
      </w:r>
      <w:bookmarkEnd w:id="219"/>
      <w:bookmarkEnd w:id="220"/>
      <w:bookmarkEnd w:id="221"/>
    </w:p>
    <w:p>
      <w:pPr>
        <w:pStyle w:val="yShoulderClause"/>
      </w:pPr>
      <w:r>
        <w:t>[r. 21(1)(c)]</w:t>
      </w: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object w:dxaOrig="4900" w:dyaOrig="800">
          <v:shape id="_x0000_i1027" type="#_x0000_t75" style="width:246pt;height:39pt" o:ole="">
            <v:imagedata r:id="rId33" o:title=""/>
          </v:shape>
          <o:OLEObject Type="Embed" ProgID="Equation.3" ShapeID="_x0000_i1027" DrawAspect="Content" ObjectID="_1643724016" r:id="rId34"/>
        </w:obje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the number of days for which the member contributes under regulation 15(1)(b);</w:t>
      </w:r>
    </w:p>
    <w:p>
      <w:pPr>
        <w:pStyle w:val="yIndenta"/>
      </w:pPr>
      <w:r>
        <w:tab/>
        <w:t>M2</w:t>
      </w:r>
      <w:r>
        <w:tab/>
        <w:t>is the number of days in the member’s membership period not included in M1;</w:t>
      </w:r>
    </w:p>
    <w:p>
      <w:pPr>
        <w:pStyle w:val="yIndenta"/>
      </w:pPr>
      <w:r>
        <w:tab/>
        <w:t>r</w:t>
      </w:r>
      <w:r>
        <w:tab/>
        <w:t>is the discount factor determined by the Superannuation Board on the advice of an actuary to be appropriate to reflect the fact that the member has become entitled to a benefit under regulation 21(1) before the member reaches 55 years of age;</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Gazette 23 Jul 1999 p. 3395; amended: Gazette 30 Mar 2001 p. 1764; 29 Jun 2004 p. 2521-2; 21 Jan 2005 p. 263; 1 Apr 2008 p. 1279.]</w:t>
      </w:r>
    </w:p>
    <w:p>
      <w:pPr>
        <w:pStyle w:val="yScheduleHeading"/>
      </w:pPr>
      <w:bookmarkStart w:id="222" w:name="_Toc404668496"/>
      <w:bookmarkStart w:id="223" w:name="_Toc418675150"/>
      <w:bookmarkStart w:id="224" w:name="_Toc418675271"/>
      <w:r>
        <w:rPr>
          <w:rStyle w:val="CharSchNo"/>
        </w:rPr>
        <w:t>Schedule 5</w:t>
      </w:r>
      <w:bookmarkEnd w:id="222"/>
      <w:bookmarkEnd w:id="223"/>
      <w:bookmarkEnd w:id="224"/>
      <w:r>
        <w:rPr>
          <w:rStyle w:val="CharSchNo"/>
        </w:rPr>
        <w:t xml:space="preserve"> </w:t>
      </w:r>
    </w:p>
    <w:p>
      <w:pPr>
        <w:pStyle w:val="yShoulderClause"/>
        <w:rPr>
          <w:snapToGrid w:val="0"/>
        </w:rPr>
      </w:pPr>
      <w:r>
        <w:rPr>
          <w:snapToGrid w:val="0"/>
        </w:rPr>
        <w:t>[Regulation 23B(5)]</w:t>
      </w:r>
    </w:p>
    <w:p>
      <w:pPr>
        <w:pStyle w:val="yHeading2"/>
      </w:pPr>
      <w:bookmarkStart w:id="225" w:name="_Toc404668497"/>
      <w:bookmarkStart w:id="226" w:name="_Toc418675151"/>
      <w:bookmarkStart w:id="227" w:name="_Toc418675272"/>
      <w:r>
        <w:rPr>
          <w:rStyle w:val="CharSchText"/>
        </w:rPr>
        <w:t>Calculation of monthly benefit</w:t>
      </w:r>
      <w:bookmarkEnd w:id="225"/>
      <w:bookmarkEnd w:id="226"/>
      <w:bookmarkEnd w:id="227"/>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pPr>
      <w:r>
        <w:rPr>
          <w:position w:val="-24"/>
        </w:rPr>
        <w:drawing>
          <wp:inline distT="0" distB="0" distL="0" distR="0">
            <wp:extent cx="1266825" cy="400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66825" cy="400050"/>
                    </a:xfrm>
                    <a:prstGeom prst="rect">
                      <a:avLst/>
                    </a:prstGeom>
                    <a:noFill/>
                    <a:ln>
                      <a:noFill/>
                    </a:ln>
                  </pic:spPr>
                </pic:pic>
              </a:graphicData>
            </a:graphic>
          </wp:inline>
        </w:drawing>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 xml:space="preserve">twelfth of the rate of interest (expressed as a percentage per annum) that is applicable on the date of payment of the beneficiary’s partial and permanent disablement benefit under a determination under </w:t>
      </w:r>
      <w:r>
        <w:rPr>
          <w:szCs w:val="22"/>
        </w:rPr>
        <w:t>regulation 23B(8);</w:t>
      </w:r>
    </w:p>
    <w:p>
      <w:pPr>
        <w:pStyle w:val="Equation"/>
        <w:tabs>
          <w:tab w:val="left" w:pos="1274"/>
        </w:tabs>
        <w:spacing w:before="80"/>
        <w:rPr>
          <w:spacing w:val="-2"/>
        </w:rPr>
      </w:pPr>
      <w:r>
        <w:rPr>
          <w:spacing w:val="-2"/>
        </w:rPr>
        <w:tab/>
      </w:r>
      <w:r>
        <w:rPr>
          <w:spacing w:val="-2"/>
          <w:position w:val="-30"/>
        </w:rPr>
        <w:object w:dxaOrig="859" w:dyaOrig="680">
          <v:shape id="_x0000_i1028" type="#_x0000_t75" style="width:42.75pt;height:33pt" o:ole="">
            <v:imagedata r:id="rId36" o:title=""/>
          </v:shape>
          <o:OLEObject Type="Embed" ProgID="Equation.3" ShapeID="_x0000_i1028" DrawAspect="Content" ObjectID="_1643724017" r:id="rId37"/>
        </w:object>
      </w:r>
    </w:p>
    <w:p>
      <w:pPr>
        <w:pStyle w:val="yIndenta"/>
      </w:pPr>
      <w:r>
        <w:rPr>
          <w:snapToGrid w:val="0"/>
        </w:rPr>
        <w:tab/>
        <w:t>nm</w:t>
      </w:r>
      <w:r>
        <w:rPr>
          <w:snapToGrid w:val="0"/>
        </w:rPr>
        <w:tab/>
        <w:t>is the total number of monthly instalment benefit payments to fall due for payment during the payment period.</w:t>
      </w:r>
    </w:p>
    <w:p>
      <w:pPr>
        <w:pStyle w:val="yFootnotesection"/>
      </w:pPr>
      <w:r>
        <w:tab/>
        <w:t xml:space="preserve">[Schedule 5 inserted: Gazette 29 Jun 1994 p. 3225; amended: Gazette 17 Apr 1998 p. 2102; 25 Nov 2014 p. 4373.] </w:t>
      </w:r>
    </w:p>
    <w:p>
      <w:pPr>
        <w:pStyle w:val="yScheduleHeading"/>
      </w:pPr>
      <w:bookmarkStart w:id="228" w:name="_Toc404668498"/>
      <w:bookmarkStart w:id="229" w:name="_Toc418675152"/>
      <w:bookmarkStart w:id="230" w:name="_Toc418675273"/>
      <w:r>
        <w:rPr>
          <w:rStyle w:val="CharSchNo"/>
        </w:rPr>
        <w:t>Schedule 6</w:t>
      </w:r>
      <w:bookmarkEnd w:id="228"/>
      <w:bookmarkEnd w:id="229"/>
      <w:bookmarkEnd w:id="230"/>
      <w:r>
        <w:rPr>
          <w:rStyle w:val="CharSchNo"/>
        </w:rPr>
        <w:t xml:space="preserve"> </w:t>
      </w:r>
    </w:p>
    <w:p>
      <w:pPr>
        <w:pStyle w:val="yShoulderClause"/>
        <w:rPr>
          <w:snapToGrid w:val="0"/>
        </w:rPr>
      </w:pPr>
      <w:r>
        <w:rPr>
          <w:snapToGrid w:val="0"/>
        </w:rPr>
        <w:t>[Regulation 23B(6)]</w:t>
      </w:r>
    </w:p>
    <w:p>
      <w:pPr>
        <w:pStyle w:val="yHeading2"/>
      </w:pPr>
      <w:bookmarkStart w:id="231" w:name="_Toc404668499"/>
      <w:bookmarkStart w:id="232" w:name="_Toc418675153"/>
      <w:bookmarkStart w:id="233" w:name="_Toc418675274"/>
      <w:r>
        <w:rPr>
          <w:rStyle w:val="CharSchText"/>
        </w:rPr>
        <w:t>Calculation of annual benefit</w:t>
      </w:r>
      <w:bookmarkEnd w:id="231"/>
      <w:bookmarkEnd w:id="232"/>
      <w:bookmarkEnd w:id="233"/>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pPr>
      <w:r>
        <w:rPr>
          <w:position w:val="-24"/>
        </w:rPr>
        <w:drawing>
          <wp:inline distT="0" distB="0" distL="0" distR="0">
            <wp:extent cx="1219200" cy="40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19200" cy="400050"/>
                    </a:xfrm>
                    <a:prstGeom prst="rect">
                      <a:avLst/>
                    </a:prstGeom>
                    <a:noFill/>
                    <a:ln>
                      <a:noFill/>
                    </a:ln>
                  </pic:spPr>
                </pic:pic>
              </a:graphicData>
            </a:graphic>
          </wp:inline>
        </w:drawing>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 xml:space="preserve">is the rate of interest (expressed as a percentage per annum) that is applicable on the date of payment of the beneficiary’s partial and permanent disablement benefit under a determination under </w:t>
      </w:r>
      <w:r>
        <w:rPr>
          <w:szCs w:val="22"/>
        </w:rPr>
        <w:t>regulation 23B(8);</w:t>
      </w:r>
    </w:p>
    <w:p>
      <w:pPr>
        <w:pStyle w:val="Equation"/>
        <w:tabs>
          <w:tab w:val="left" w:pos="1288"/>
        </w:tabs>
        <w:spacing w:before="80"/>
        <w:rPr>
          <w:spacing w:val="-2"/>
        </w:rPr>
      </w:pPr>
      <w:r>
        <w:rPr>
          <w:spacing w:val="-2"/>
        </w:rPr>
        <w:tab/>
      </w:r>
      <w:r>
        <w:rPr>
          <w:spacing w:val="-2"/>
          <w:position w:val="-28"/>
        </w:rPr>
        <w:object w:dxaOrig="800" w:dyaOrig="639">
          <v:shape id="_x0000_i1029" type="#_x0000_t75" style="width:39pt;height:33pt" o:ole="">
            <v:imagedata r:id="rId39" o:title=""/>
          </v:shape>
          <o:OLEObject Type="Embed" ProgID="Equation.3" ShapeID="_x0000_i1029" DrawAspect="Content" ObjectID="_1643724018" r:id="rId40"/>
        </w:object>
      </w:r>
    </w:p>
    <w:p>
      <w:pPr>
        <w:pStyle w:val="yIndenta"/>
        <w:rPr>
          <w:snapToGrid w:val="0"/>
        </w:rPr>
      </w:pPr>
      <w:r>
        <w:rPr>
          <w:snapToGrid w:val="0"/>
        </w:rPr>
        <w:tab/>
        <w:t>na</w:t>
      </w:r>
      <w:r>
        <w:rPr>
          <w:snapToGrid w:val="0"/>
        </w:rPr>
        <w:tab/>
        <w:t>is the total number of annual instalment benefit payments to fall due for payment during the payment period.</w:t>
      </w:r>
    </w:p>
    <w:p>
      <w:pPr>
        <w:pStyle w:val="yFootnotesection"/>
      </w:pPr>
      <w:r>
        <w:tab/>
        <w:t xml:space="preserve">[Schedule 6 inserted: Gazette 29 Jun 1994 p. 3226; amended: Gazette 17 Apr 1998 p. 2102; 25 Nov 2014 p. 4374.] </w:t>
      </w:r>
    </w:p>
    <w:p>
      <w:pPr>
        <w:pStyle w:val="yScheduleHeading"/>
      </w:pPr>
      <w:bookmarkStart w:id="234" w:name="_Toc404668500"/>
      <w:bookmarkStart w:id="235" w:name="_Toc418675154"/>
      <w:bookmarkStart w:id="236" w:name="_Toc418675275"/>
      <w:r>
        <w:rPr>
          <w:rStyle w:val="CharSchNo"/>
        </w:rPr>
        <w:t>Schedule 6A</w:t>
      </w:r>
      <w:bookmarkEnd w:id="234"/>
      <w:bookmarkEnd w:id="235"/>
      <w:bookmarkEnd w:id="236"/>
      <w:r>
        <w:rPr>
          <w:rStyle w:val="CharSchNo"/>
        </w:rPr>
        <w:t xml:space="preserve"> </w:t>
      </w:r>
    </w:p>
    <w:p>
      <w:pPr>
        <w:pStyle w:val="yShoulderClause"/>
        <w:rPr>
          <w:snapToGrid w:val="0"/>
        </w:rPr>
      </w:pPr>
      <w:r>
        <w:rPr>
          <w:snapToGrid w:val="0"/>
        </w:rPr>
        <w:t>[Regulation 23B(7)]</w:t>
      </w:r>
    </w:p>
    <w:p>
      <w:pPr>
        <w:pStyle w:val="yHeading2"/>
      </w:pPr>
      <w:bookmarkStart w:id="237" w:name="_Toc404668501"/>
      <w:bookmarkStart w:id="238" w:name="_Toc418675155"/>
      <w:bookmarkStart w:id="239" w:name="_Toc418675276"/>
      <w:r>
        <w:rPr>
          <w:rStyle w:val="CharSchText"/>
        </w:rPr>
        <w:t>Calculation of lump sum benefit</w:t>
      </w:r>
      <w:bookmarkEnd w:id="237"/>
      <w:bookmarkEnd w:id="238"/>
      <w:bookmarkEnd w:id="239"/>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spacing w:val="-2"/>
        </w:rPr>
      </w:pPr>
      <w:r>
        <w:rPr>
          <w:spacing w:val="-2"/>
          <w:position w:val="-10"/>
        </w:rPr>
        <w:object w:dxaOrig="1860" w:dyaOrig="360">
          <v:shape id="_x0000_i1030" type="#_x0000_t75" style="width:91.5pt;height:18pt" o:ole="">
            <v:imagedata r:id="rId41" o:title=""/>
          </v:shape>
          <o:OLEObject Type="Embed" ProgID="Equation.3" ShapeID="_x0000_i1030" DrawAspect="Content" ObjectID="_1643724019" r:id="rId42"/>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Gazette 17 Apr 1998 p. 2103.] </w:t>
      </w:r>
    </w:p>
    <w:p>
      <w:pPr>
        <w:pStyle w:val="yScheduleHeading"/>
      </w:pPr>
      <w:bookmarkStart w:id="240" w:name="_Toc404668502"/>
      <w:bookmarkStart w:id="241" w:name="_Toc418675156"/>
      <w:bookmarkStart w:id="242" w:name="_Toc418675277"/>
      <w:r>
        <w:rPr>
          <w:rStyle w:val="CharSchNo"/>
        </w:rPr>
        <w:t>Schedule 6B</w:t>
      </w:r>
      <w:bookmarkEnd w:id="240"/>
      <w:bookmarkEnd w:id="241"/>
      <w:bookmarkEnd w:id="242"/>
      <w:r>
        <w:rPr>
          <w:rStyle w:val="CharSchNo"/>
        </w:rPr>
        <w:t xml:space="preserve"> </w:t>
      </w:r>
    </w:p>
    <w:p>
      <w:pPr>
        <w:pStyle w:val="yShoulderClause"/>
        <w:rPr>
          <w:snapToGrid w:val="0"/>
        </w:rPr>
      </w:pPr>
      <w:r>
        <w:rPr>
          <w:snapToGrid w:val="0"/>
        </w:rPr>
        <w:t>[Regulation 23BA(2)]</w:t>
      </w:r>
    </w:p>
    <w:p>
      <w:pPr>
        <w:pStyle w:val="yHeading2"/>
      </w:pPr>
      <w:bookmarkStart w:id="243" w:name="_Toc404668503"/>
      <w:bookmarkStart w:id="244" w:name="_Toc418675157"/>
      <w:bookmarkStart w:id="245" w:name="_Toc418675278"/>
      <w:r>
        <w:rPr>
          <w:rStyle w:val="CharSchText"/>
        </w:rPr>
        <w:t>Calculation of monthly benefit instead of lump sum benefit</w:t>
      </w:r>
      <w:bookmarkEnd w:id="243"/>
      <w:bookmarkEnd w:id="244"/>
      <w:bookmarkEnd w:id="245"/>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object w:dxaOrig="2020" w:dyaOrig="620">
          <v:shape id="_x0000_i1031" type="#_x0000_t75" style="width:101.25pt;height:31.5pt" o:ole="">
            <v:imagedata r:id="rId43" o:title=""/>
          </v:shape>
          <o:OLEObject Type="Embed" ProgID="Equation.3" ShapeID="_x0000_i1031" DrawAspect="Content" ObjectID="_1643724020" r:id="rId44"/>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r>
        <w:rPr>
          <w:spacing w:val="-2"/>
          <w:position w:val="-28"/>
        </w:rPr>
        <w:object w:dxaOrig="840" w:dyaOrig="639">
          <v:shape id="_x0000_i1032" type="#_x0000_t75" style="width:42pt;height:33pt" o:ole="">
            <v:imagedata r:id="rId45" o:title=""/>
          </v:shape>
          <o:OLEObject Type="Embed" ProgID="Equation.3" ShapeID="_x0000_i1032" DrawAspect="Content" ObjectID="_1643724021" r:id="rId46"/>
        </w:object>
      </w:r>
    </w:p>
    <w:p>
      <w:pPr>
        <w:pStyle w:val="yFootnotesection"/>
      </w:pPr>
      <w:r>
        <w:tab/>
        <w:t xml:space="preserve">[Schedule 6B inserted: Gazette 17 Apr 1998 p. 2103.] </w:t>
      </w:r>
    </w:p>
    <w:p>
      <w:pPr>
        <w:pStyle w:val="yScheduleHeading"/>
      </w:pPr>
      <w:bookmarkStart w:id="246" w:name="_Toc404668504"/>
      <w:bookmarkStart w:id="247" w:name="_Toc418675158"/>
      <w:bookmarkStart w:id="248" w:name="_Toc418675279"/>
      <w:r>
        <w:rPr>
          <w:rStyle w:val="CharSchNo"/>
        </w:rPr>
        <w:t>Schedule 6C</w:t>
      </w:r>
      <w:bookmarkEnd w:id="246"/>
      <w:bookmarkEnd w:id="247"/>
      <w:bookmarkEnd w:id="248"/>
      <w:r>
        <w:rPr>
          <w:rStyle w:val="CharSchNo"/>
        </w:rPr>
        <w:t xml:space="preserve"> </w:t>
      </w:r>
    </w:p>
    <w:p>
      <w:pPr>
        <w:pStyle w:val="yShoulderClause"/>
        <w:rPr>
          <w:snapToGrid w:val="0"/>
        </w:rPr>
      </w:pPr>
      <w:r>
        <w:rPr>
          <w:snapToGrid w:val="0"/>
        </w:rPr>
        <w:t>[Regulation 23BA(4)]</w:t>
      </w:r>
    </w:p>
    <w:p>
      <w:pPr>
        <w:pStyle w:val="yHeading2"/>
      </w:pPr>
      <w:bookmarkStart w:id="249" w:name="_Toc404668505"/>
      <w:bookmarkStart w:id="250" w:name="_Toc418675159"/>
      <w:bookmarkStart w:id="251" w:name="_Toc418675280"/>
      <w:r>
        <w:rPr>
          <w:rStyle w:val="CharSchText"/>
        </w:rPr>
        <w:t>Calculation of a lump sum benefit instead of monthly benefits</w:t>
      </w:r>
      <w:bookmarkEnd w:id="249"/>
      <w:bookmarkEnd w:id="250"/>
      <w:bookmarkEnd w:id="251"/>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object w:dxaOrig="2280" w:dyaOrig="620">
          <v:shape id="_x0000_i1033" type="#_x0000_t75" style="width:114pt;height:31.5pt" o:ole="">
            <v:imagedata r:id="rId47" o:title=""/>
          </v:shape>
          <o:OLEObject Type="Embed" ProgID="Equation.3" ShapeID="_x0000_i1033" DrawAspect="Content" ObjectID="_1643724022" r:id="rId48"/>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 xml:space="preserve">is the difference between </w:t>
      </w:r>
      <w:r>
        <w:t>the total number of monthly instalment benefit payments to be paid during the payment period</w:t>
      </w:r>
      <w:r>
        <w:rPr>
          <w:snapToGrid w:val="0"/>
        </w:rPr>
        <w:t xml:space="preserve">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Gazette 17 Apr 1998 p. 2103; amended: Gazette 23 Jul 1999 p. 3395; 25 Nov 2014 p. 4374.] </w:t>
      </w:r>
    </w:p>
    <w:p>
      <w:pPr>
        <w:pStyle w:val="yScheduleHeading"/>
      </w:pPr>
      <w:bookmarkStart w:id="252" w:name="_Toc404668506"/>
      <w:bookmarkStart w:id="253" w:name="_Toc418675160"/>
      <w:bookmarkStart w:id="254" w:name="_Toc418675281"/>
      <w:r>
        <w:rPr>
          <w:rStyle w:val="CharSchNo"/>
        </w:rPr>
        <w:t>Schedule 6D</w:t>
      </w:r>
      <w:bookmarkEnd w:id="252"/>
      <w:bookmarkEnd w:id="253"/>
      <w:bookmarkEnd w:id="254"/>
      <w:r>
        <w:rPr>
          <w:rStyle w:val="CharSchNo"/>
        </w:rPr>
        <w:t xml:space="preserve"> </w:t>
      </w:r>
    </w:p>
    <w:p>
      <w:pPr>
        <w:pStyle w:val="yShoulderClause"/>
        <w:rPr>
          <w:snapToGrid w:val="0"/>
        </w:rPr>
      </w:pPr>
      <w:r>
        <w:rPr>
          <w:snapToGrid w:val="0"/>
        </w:rPr>
        <w:t>[Regulation 23BA(6)]</w:t>
      </w:r>
    </w:p>
    <w:p>
      <w:pPr>
        <w:pStyle w:val="yHeading2"/>
      </w:pPr>
      <w:bookmarkStart w:id="255" w:name="_Toc404668507"/>
      <w:bookmarkStart w:id="256" w:name="_Toc418675161"/>
      <w:bookmarkStart w:id="257" w:name="_Toc418675282"/>
      <w:r>
        <w:rPr>
          <w:rStyle w:val="CharSchText"/>
        </w:rPr>
        <w:t>Calculation of a lump sum benefit instead of annual benefits</w:t>
      </w:r>
      <w:bookmarkEnd w:id="255"/>
      <w:bookmarkEnd w:id="256"/>
      <w:bookmarkEnd w:id="257"/>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object w:dxaOrig="2260" w:dyaOrig="620">
          <v:shape id="_x0000_i1034" type="#_x0000_t75" style="width:112.5pt;height:31.5pt" o:ole="">
            <v:imagedata r:id="rId49" o:title=""/>
          </v:shape>
          <o:OLEObject Type="Embed" ProgID="Equation.3" ShapeID="_x0000_i1034" DrawAspect="Content" ObjectID="_1643724023" r:id="rId50"/>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 xml:space="preserve">is the difference between </w:t>
      </w:r>
      <w:r>
        <w:t>the total number of annual instalment benefit payments to be paid during the payment period</w:t>
      </w:r>
      <w:r>
        <w:rPr>
          <w:snapToGrid w:val="0"/>
        </w:rPr>
        <w:t xml:space="preserve">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Gazette 17 Apr 1998 p. 2104; amended: Gazette 23 Jul 1999 p. 3395; 25 Nov 2014 p. 4374.] </w:t>
      </w:r>
    </w:p>
    <w:p>
      <w:pPr>
        <w:pStyle w:val="yScheduleHeading"/>
      </w:pPr>
      <w:bookmarkStart w:id="258" w:name="_Toc404668508"/>
      <w:bookmarkStart w:id="259" w:name="_Toc418675162"/>
      <w:bookmarkStart w:id="260" w:name="_Toc418675283"/>
      <w:r>
        <w:rPr>
          <w:rStyle w:val="CharSchNo"/>
        </w:rPr>
        <w:t>Schedule 7</w:t>
      </w:r>
      <w:bookmarkEnd w:id="258"/>
      <w:bookmarkEnd w:id="259"/>
      <w:bookmarkEnd w:id="260"/>
      <w:r>
        <w:rPr>
          <w:rStyle w:val="CharSchNo"/>
        </w:rPr>
        <w:t xml:space="preserve"> </w:t>
      </w:r>
    </w:p>
    <w:p>
      <w:pPr>
        <w:pStyle w:val="yShoulderClause"/>
        <w:rPr>
          <w:snapToGrid w:val="0"/>
        </w:rPr>
      </w:pPr>
      <w:r>
        <w:t>[rr. 23BA(4a) and 23C(2)(a)]</w:t>
      </w:r>
    </w:p>
    <w:p>
      <w:pPr>
        <w:pStyle w:val="yHeading2"/>
      </w:pPr>
      <w:bookmarkStart w:id="261" w:name="_Toc404668509"/>
      <w:bookmarkStart w:id="262" w:name="_Toc418675163"/>
      <w:bookmarkStart w:id="263" w:name="_Toc418675284"/>
      <w:r>
        <w:rPr>
          <w:rStyle w:val="CharSchText"/>
        </w:rPr>
        <w:t>Calculation of lump sum or death benefit after election of monthly benefits</w:t>
      </w:r>
      <w:bookmarkEnd w:id="261"/>
      <w:bookmarkEnd w:id="262"/>
      <w:bookmarkEnd w:id="263"/>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object w:dxaOrig="1820" w:dyaOrig="620">
          <v:shape id="_x0000_i1035" type="#_x0000_t75" style="width:90pt;height:31.5pt" o:ole="">
            <v:imagedata r:id="rId51" o:title=""/>
          </v:shape>
          <o:OLEObject Type="Embed" ProgID="Equation.3" ShapeID="_x0000_i1035" DrawAspect="Content" ObjectID="_1643724024" r:id="rId52"/>
        </w:obje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 xml:space="preserve">is the difference between </w:t>
      </w:r>
      <w:r>
        <w:t>the total number of monthly instalment benefit payments which the beneficiary would have received but for death or election under regulation 23BA(3)(b)</w:t>
      </w:r>
      <w:r>
        <w:rPr>
          <w:snapToGrid w:val="0"/>
        </w:rPr>
        <w:t xml:space="preserve">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object w:dxaOrig="820" w:dyaOrig="639">
          <v:shape id="_x0000_i1036" type="#_x0000_t75" style="width:41.25pt;height:33pt" o:ole="">
            <v:imagedata r:id="rId53" o:title=""/>
          </v:shape>
          <o:OLEObject Type="Embed" ProgID="Equation.3" ShapeID="_x0000_i1036" DrawAspect="Content" ObjectID="_1643724025" r:id="rId54"/>
        </w:object>
      </w:r>
    </w:p>
    <w:p>
      <w:pPr>
        <w:pStyle w:val="yFootnotesection"/>
      </w:pPr>
      <w:r>
        <w:tab/>
        <w:t xml:space="preserve">[Schedule 7 inserted: Gazette 29 Jun 1994 p. 3227; amended: Gazette 17 Apr 1998 p. 2104; 30 Mar 2001 p. 1765; 25 Nov 2014 p. 4374.] </w:t>
      </w:r>
    </w:p>
    <w:p>
      <w:pPr>
        <w:pStyle w:val="yScheduleHeading"/>
      </w:pPr>
      <w:bookmarkStart w:id="264" w:name="_Toc404668510"/>
      <w:bookmarkStart w:id="265" w:name="_Toc418675164"/>
      <w:bookmarkStart w:id="266" w:name="_Toc418675285"/>
      <w:r>
        <w:rPr>
          <w:rStyle w:val="CharSchNo"/>
        </w:rPr>
        <w:t>Schedule 8</w:t>
      </w:r>
      <w:bookmarkEnd w:id="264"/>
      <w:bookmarkEnd w:id="265"/>
      <w:bookmarkEnd w:id="266"/>
      <w:r>
        <w:rPr>
          <w:rStyle w:val="CharSchNo"/>
        </w:rPr>
        <w:t xml:space="preserve"> </w:t>
      </w:r>
    </w:p>
    <w:p>
      <w:pPr>
        <w:pStyle w:val="yShoulderClause"/>
        <w:rPr>
          <w:snapToGrid w:val="0"/>
        </w:rPr>
      </w:pPr>
      <w:r>
        <w:t>[rr. 23BA(6a) and 23C(2)(b)]</w:t>
      </w:r>
    </w:p>
    <w:p>
      <w:pPr>
        <w:pStyle w:val="yHeading2"/>
      </w:pPr>
      <w:bookmarkStart w:id="267" w:name="_Toc404668511"/>
      <w:bookmarkStart w:id="268" w:name="_Toc418675165"/>
      <w:bookmarkStart w:id="269" w:name="_Toc418675286"/>
      <w:r>
        <w:rPr>
          <w:rStyle w:val="CharSchText"/>
        </w:rPr>
        <w:t>Calculation of lump sum or death benefit after election of annual benefits</w:t>
      </w:r>
      <w:bookmarkEnd w:id="267"/>
      <w:bookmarkEnd w:id="268"/>
      <w:bookmarkEnd w:id="269"/>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object w:dxaOrig="2000" w:dyaOrig="660">
          <v:shape id="_x0000_i1037" type="#_x0000_t75" style="width:99.75pt;height:32.25pt" o:ole="">
            <v:imagedata r:id="rId55" o:title=""/>
          </v:shape>
          <o:OLEObject Type="Embed" ProgID="Equation.3" ShapeID="_x0000_i1037" DrawAspect="Content" ObjectID="_1643724026" r:id="rId56"/>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 xml:space="preserve">is the difference between </w:t>
      </w:r>
      <w:r>
        <w:t>the total number of annual instalment benefit payments which the beneficiary would have received but for death or election under regulation 23BA(5)(b)</w:t>
      </w:r>
      <w:r>
        <w:rPr>
          <w:snapToGrid w:val="0"/>
        </w:rPr>
        <w:t xml:space="preserve">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object w:dxaOrig="820" w:dyaOrig="639">
          <v:shape id="_x0000_i1038" type="#_x0000_t75" style="width:41.25pt;height:33pt" o:ole="">
            <v:imagedata r:id="rId57" o:title=""/>
          </v:shape>
          <o:OLEObject Type="Embed" ProgID="Equation.3" ShapeID="_x0000_i1038" DrawAspect="Content" ObjectID="_1643724027" r:id="rId58"/>
        </w:object>
      </w:r>
    </w:p>
    <w:p>
      <w:pPr>
        <w:pStyle w:val="yFootnotesection"/>
      </w:pPr>
      <w:r>
        <w:tab/>
        <w:t>[Schedule 8 inserted: Gazette 29 Jun 1994 p. 3228; amended: Gazette 17 Apr 1998 p. 2104 (correction in Gazette 28 Apr 1998 p. 2177); 30 Mar 2001 p. 1765</w:t>
      </w:r>
      <w:r>
        <w:noBreakHyphen/>
        <w:t xml:space="preserve">6; 25 Nov 2014 p. 4375.] </w:t>
      </w:r>
    </w:p>
    <w:p>
      <w:pPr>
        <w:pStyle w:val="yScheduleHeading"/>
      </w:pPr>
      <w:bookmarkStart w:id="270" w:name="_Toc404668512"/>
      <w:bookmarkStart w:id="271" w:name="_Toc418675166"/>
      <w:bookmarkStart w:id="272" w:name="_Toc418675287"/>
      <w:r>
        <w:rPr>
          <w:rStyle w:val="CharSchNo"/>
        </w:rPr>
        <w:t>Schedule 9</w:t>
      </w:r>
      <w:bookmarkEnd w:id="270"/>
      <w:bookmarkEnd w:id="271"/>
      <w:bookmarkEnd w:id="272"/>
      <w:r>
        <w:rPr>
          <w:rStyle w:val="CharSchNo"/>
        </w:rPr>
        <w:t xml:space="preserve"> </w:t>
      </w:r>
    </w:p>
    <w:p>
      <w:pPr>
        <w:pStyle w:val="yShoulderClause"/>
        <w:rPr>
          <w:snapToGrid w:val="0"/>
        </w:rPr>
      </w:pPr>
      <w:r>
        <w:t>[rr. 23BA(2a) and 23C(2)(c)]</w:t>
      </w:r>
    </w:p>
    <w:p>
      <w:pPr>
        <w:pStyle w:val="yHeading2"/>
      </w:pPr>
      <w:bookmarkStart w:id="273" w:name="_Toc404668513"/>
      <w:bookmarkStart w:id="274" w:name="_Toc418675167"/>
      <w:bookmarkStart w:id="275" w:name="_Toc418675288"/>
      <w:r>
        <w:rPr>
          <w:rStyle w:val="CharSchText"/>
        </w:rPr>
        <w:t>Calculation of lump sum or death benefit after election of lump sum benefit after 5 years</w:t>
      </w:r>
      <w:bookmarkEnd w:id="273"/>
      <w:bookmarkEnd w:id="274"/>
      <w:bookmarkEnd w:id="275"/>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object w:dxaOrig="1719" w:dyaOrig="859">
          <v:shape id="_x0000_i1039" type="#_x0000_t75" style="width:85.5pt;height:42.75pt" o:ole="">
            <v:imagedata r:id="rId59" o:title=""/>
          </v:shape>
          <o:OLEObject Type="Embed" ProgID="Equation.3" ShapeID="_x0000_i1039" DrawAspect="Content" ObjectID="_1643724028" r:id="rId60"/>
        </w:obje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 xml:space="preserve">is the lump sum or death benefit to be determined (expressed in dollars); </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 xml:space="preserve">; </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Gazette 17 Apr 1998 p. 2104; amended: Gazette 30 Mar 2001 p. 1766.] </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lin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2"/>
          <w:headerReference w:type="default" r:id="rId63"/>
          <w:pgSz w:w="11907" w:h="16840" w:code="9"/>
          <w:pgMar w:top="2381" w:right="2409" w:bottom="3543" w:left="2409" w:header="720" w:footer="3380" w:gutter="0"/>
          <w:cols w:space="720"/>
          <w:noEndnote/>
          <w:docGrid w:linePitch="326"/>
        </w:sectPr>
      </w:pPr>
    </w:p>
    <w:p>
      <w:pPr>
        <w:pStyle w:val="nHeading2"/>
      </w:pPr>
      <w:bookmarkStart w:id="276" w:name="_Toc404668514"/>
      <w:bookmarkStart w:id="277" w:name="_Toc418675168"/>
      <w:bookmarkStart w:id="278" w:name="_Toc418675289"/>
      <w:r>
        <w:t>Notes</w:t>
      </w:r>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Fund)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279" w:name="_Toc404668515"/>
      <w:bookmarkStart w:id="280" w:name="_Toc418675290"/>
      <w:r>
        <w:t>Compilation table</w:t>
      </w:r>
      <w:bookmarkEnd w:id="279"/>
      <w:bookmarkEnd w:id="2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nil"/>
              <w:bottom w:val="nil"/>
            </w:tcBorders>
          </w:tcPr>
          <w:p>
            <w:pPr>
              <w:pStyle w:val="nTable"/>
              <w:spacing w:after="40"/>
              <w:ind w:right="113"/>
              <w:rPr>
                <w:vertAlign w:val="superscript"/>
              </w:rPr>
            </w:pPr>
            <w:r>
              <w:rPr>
                <w:i/>
              </w:rPr>
              <w:t>Fire Brigades (Superannuation Fund) Regulations 1986</w:t>
            </w:r>
            <w:r>
              <w:rPr>
                <w:vertAlign w:val="superscript"/>
              </w:rPr>
              <w:t> 3</w:t>
            </w:r>
          </w:p>
        </w:tc>
        <w:tc>
          <w:tcPr>
            <w:tcW w:w="1276" w:type="dxa"/>
            <w:tcBorders>
              <w:top w:val="nil"/>
              <w:bottom w:val="nil"/>
            </w:tcBorders>
          </w:tcPr>
          <w:p>
            <w:pPr>
              <w:pStyle w:val="nTable"/>
              <w:spacing w:after="40"/>
            </w:pPr>
            <w:r>
              <w:t>29 Oct 1986 p. 3991</w:t>
            </w:r>
            <w:r>
              <w:noBreakHyphen/>
              <w:t>4016</w:t>
            </w:r>
          </w:p>
        </w:tc>
        <w:tc>
          <w:tcPr>
            <w:tcW w:w="2693" w:type="dxa"/>
            <w:tcBorders>
              <w:top w:val="nil"/>
              <w:bottom w:val="nil"/>
            </w:tcBorders>
          </w:tcPr>
          <w:p>
            <w:pPr>
              <w:pStyle w:val="nTable"/>
              <w:spacing w:after="40"/>
            </w:pPr>
            <w:r>
              <w:t xml:space="preserve">3 Nov 1986 (see r. 2 and </w:t>
            </w:r>
            <w:r>
              <w:rPr>
                <w:i/>
              </w:rPr>
              <w:t>Gazette</w:t>
            </w:r>
            <w:r>
              <w:t xml:space="preserve"> 24 Oct 1986 p. 3938)</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1987</w:t>
            </w:r>
          </w:p>
        </w:tc>
        <w:tc>
          <w:tcPr>
            <w:tcW w:w="1276" w:type="dxa"/>
            <w:tcBorders>
              <w:top w:val="nil"/>
              <w:bottom w:val="nil"/>
            </w:tcBorders>
          </w:tcPr>
          <w:p>
            <w:pPr>
              <w:pStyle w:val="nTable"/>
              <w:spacing w:after="40"/>
            </w:pPr>
            <w:r>
              <w:t>14 Aug 1987 p. 3162</w:t>
            </w:r>
          </w:p>
        </w:tc>
        <w:tc>
          <w:tcPr>
            <w:tcW w:w="2693" w:type="dxa"/>
            <w:tcBorders>
              <w:top w:val="nil"/>
              <w:bottom w:val="nil"/>
            </w:tcBorders>
          </w:tcPr>
          <w:p>
            <w:pPr>
              <w:pStyle w:val="nTable"/>
              <w:spacing w:after="40"/>
            </w:pPr>
            <w:r>
              <w:t>14 Aug 1987</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(No. 2) 1987</w:t>
            </w:r>
          </w:p>
        </w:tc>
        <w:tc>
          <w:tcPr>
            <w:tcW w:w="1276" w:type="dxa"/>
            <w:tcBorders>
              <w:top w:val="nil"/>
              <w:bottom w:val="nil"/>
            </w:tcBorders>
          </w:tcPr>
          <w:p>
            <w:pPr>
              <w:pStyle w:val="nTable"/>
              <w:spacing w:after="40"/>
            </w:pPr>
            <w:r>
              <w:t>23 Oct 1987 p. 3941</w:t>
            </w:r>
          </w:p>
        </w:tc>
        <w:tc>
          <w:tcPr>
            <w:tcW w:w="2693" w:type="dxa"/>
            <w:tcBorders>
              <w:top w:val="nil"/>
              <w:bottom w:val="nil"/>
            </w:tcBorders>
          </w:tcPr>
          <w:p>
            <w:pPr>
              <w:pStyle w:val="nTable"/>
              <w:spacing w:after="40"/>
            </w:pPr>
            <w:r>
              <w:t>23 Oct 1987</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1988</w:t>
            </w:r>
            <w:r>
              <w:t> </w:t>
            </w:r>
            <w:r>
              <w:rPr>
                <w:vertAlign w:val="superscript"/>
              </w:rPr>
              <w:t>4</w:t>
            </w:r>
          </w:p>
        </w:tc>
        <w:tc>
          <w:tcPr>
            <w:tcW w:w="1276" w:type="dxa"/>
            <w:tcBorders>
              <w:top w:val="nil"/>
              <w:bottom w:val="nil"/>
            </w:tcBorders>
          </w:tcPr>
          <w:p>
            <w:pPr>
              <w:pStyle w:val="nTable"/>
              <w:spacing w:after="40"/>
            </w:pPr>
            <w:r>
              <w:t>4 Nov 1988 p. 4370</w:t>
            </w:r>
            <w:r>
              <w:noBreakHyphen/>
              <w:t>1</w:t>
            </w:r>
          </w:p>
        </w:tc>
        <w:tc>
          <w:tcPr>
            <w:tcW w:w="2693" w:type="dxa"/>
            <w:tcBorders>
              <w:top w:val="nil"/>
              <w:bottom w:val="nil"/>
            </w:tcBorders>
          </w:tcPr>
          <w:p>
            <w:pPr>
              <w:pStyle w:val="nTable"/>
              <w:spacing w:after="40"/>
            </w:pPr>
            <w:r>
              <w:t>4 Nov 1988</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1989</w:t>
            </w:r>
          </w:p>
        </w:tc>
        <w:tc>
          <w:tcPr>
            <w:tcW w:w="1276" w:type="dxa"/>
            <w:tcBorders>
              <w:top w:val="nil"/>
              <w:bottom w:val="nil"/>
            </w:tcBorders>
          </w:tcPr>
          <w:p>
            <w:pPr>
              <w:pStyle w:val="nTable"/>
              <w:spacing w:after="40"/>
            </w:pPr>
            <w:r>
              <w:t>18 Aug 1989 p. 2766</w:t>
            </w:r>
            <w:r>
              <w:noBreakHyphen/>
              <w:t>8</w:t>
            </w:r>
          </w:p>
        </w:tc>
        <w:tc>
          <w:tcPr>
            <w:tcW w:w="2693" w:type="dxa"/>
            <w:tcBorders>
              <w:top w:val="nil"/>
              <w:bottom w:val="nil"/>
            </w:tcBorders>
          </w:tcPr>
          <w:p>
            <w:pPr>
              <w:pStyle w:val="nTable"/>
              <w:spacing w:after="40"/>
            </w:pPr>
            <w:r>
              <w:t>18 Aug 1989</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(No. 2) 1989</w:t>
            </w:r>
          </w:p>
        </w:tc>
        <w:tc>
          <w:tcPr>
            <w:tcW w:w="1276" w:type="dxa"/>
            <w:tcBorders>
              <w:top w:val="nil"/>
              <w:bottom w:val="nil"/>
            </w:tcBorders>
          </w:tcPr>
          <w:p>
            <w:pPr>
              <w:pStyle w:val="nTable"/>
              <w:spacing w:after="40"/>
            </w:pPr>
            <w:r>
              <w:t>29 Dec 1989 p. 4681</w:t>
            </w:r>
            <w:r>
              <w:noBreakHyphen/>
              <w:t>2</w:t>
            </w:r>
          </w:p>
        </w:tc>
        <w:tc>
          <w:tcPr>
            <w:tcW w:w="2693" w:type="dxa"/>
            <w:tcBorders>
              <w:top w:val="nil"/>
              <w:bottom w:val="nil"/>
            </w:tcBorders>
          </w:tcPr>
          <w:p>
            <w:pPr>
              <w:pStyle w:val="nTable"/>
              <w:spacing w:after="40"/>
            </w:pPr>
            <w:r>
              <w:t>29 Dec 1989</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1990</w:t>
            </w:r>
          </w:p>
        </w:tc>
        <w:tc>
          <w:tcPr>
            <w:tcW w:w="1276" w:type="dxa"/>
            <w:tcBorders>
              <w:top w:val="nil"/>
              <w:bottom w:val="nil"/>
            </w:tcBorders>
          </w:tcPr>
          <w:p>
            <w:pPr>
              <w:pStyle w:val="nTable"/>
              <w:spacing w:after="40"/>
            </w:pPr>
            <w:r>
              <w:t>13 Jul 1990 p. 3375</w:t>
            </w:r>
            <w:r>
              <w:noBreakHyphen/>
              <w:t>6</w:t>
            </w:r>
          </w:p>
        </w:tc>
        <w:tc>
          <w:tcPr>
            <w:tcW w:w="2693" w:type="dxa"/>
            <w:tcBorders>
              <w:top w:val="nil"/>
              <w:bottom w:val="nil"/>
            </w:tcBorders>
          </w:tcPr>
          <w:p>
            <w:pPr>
              <w:pStyle w:val="nTable"/>
              <w:spacing w:after="40"/>
            </w:pPr>
            <w:r>
              <w:t>13 Jul 1990</w:t>
            </w:r>
          </w:p>
        </w:tc>
      </w:tr>
      <w:tr>
        <w:trPr>
          <w:cantSplit/>
        </w:trPr>
        <w:tc>
          <w:tcPr>
            <w:tcW w:w="3119" w:type="dxa"/>
            <w:tcBorders>
              <w:top w:val="nil"/>
              <w:bottom w:val="nil"/>
            </w:tcBorders>
          </w:tcPr>
          <w:p>
            <w:pPr>
              <w:pStyle w:val="nTable"/>
              <w:spacing w:after="40"/>
              <w:ind w:right="113"/>
            </w:pPr>
            <w:r>
              <w:rPr>
                <w:i/>
              </w:rPr>
              <w:t>Fire Brigades (Superannuation Fund) Amendment Regulations 1991</w:t>
            </w:r>
            <w:r>
              <w:t xml:space="preserve"> </w:t>
            </w:r>
          </w:p>
        </w:tc>
        <w:tc>
          <w:tcPr>
            <w:tcW w:w="1276" w:type="dxa"/>
            <w:tcBorders>
              <w:top w:val="nil"/>
              <w:bottom w:val="nil"/>
            </w:tcBorders>
          </w:tcPr>
          <w:p>
            <w:pPr>
              <w:pStyle w:val="nTable"/>
              <w:spacing w:after="40"/>
            </w:pPr>
            <w:r>
              <w:t>1 Nov 1991 p. 5608</w:t>
            </w:r>
            <w:r>
              <w:noBreakHyphen/>
              <w:t>11</w:t>
            </w:r>
          </w:p>
        </w:tc>
        <w:tc>
          <w:tcPr>
            <w:tcW w:w="2693" w:type="dxa"/>
            <w:tcBorders>
              <w:top w:val="nil"/>
              <w:bottom w:val="nil"/>
            </w:tcBorders>
          </w:tcPr>
          <w:p>
            <w:pPr>
              <w:pStyle w:val="nTable"/>
              <w:spacing w:after="40"/>
            </w:pPr>
            <w:r>
              <w:t>1 Nov 1991</w:t>
            </w:r>
          </w:p>
        </w:tc>
      </w:tr>
      <w:tr>
        <w:trPr>
          <w:cantSplit/>
        </w:trPr>
        <w:tc>
          <w:tcPr>
            <w:tcW w:w="3119" w:type="dxa"/>
            <w:tcBorders>
              <w:top w:val="nil"/>
              <w:bottom w:val="nil"/>
            </w:tcBorders>
          </w:tcPr>
          <w:p>
            <w:pPr>
              <w:pStyle w:val="nTable"/>
              <w:spacing w:after="40"/>
              <w:ind w:right="113"/>
            </w:pPr>
            <w:r>
              <w:rPr>
                <w:i/>
              </w:rPr>
              <w:t>Fire Brigades (Superannuation Fund) Amendment Regulations 1992</w:t>
            </w:r>
          </w:p>
        </w:tc>
        <w:tc>
          <w:tcPr>
            <w:tcW w:w="1276" w:type="dxa"/>
            <w:tcBorders>
              <w:top w:val="nil"/>
              <w:bottom w:val="nil"/>
            </w:tcBorders>
          </w:tcPr>
          <w:p>
            <w:pPr>
              <w:pStyle w:val="nTable"/>
              <w:spacing w:after="40"/>
            </w:pPr>
            <w:r>
              <w:t>15 Dec 1992 p. 6021</w:t>
            </w:r>
            <w:r>
              <w:noBreakHyphen/>
              <w:t>7</w:t>
            </w:r>
          </w:p>
        </w:tc>
        <w:tc>
          <w:tcPr>
            <w:tcW w:w="2693" w:type="dxa"/>
            <w:tcBorders>
              <w:top w:val="nil"/>
              <w:bottom w:val="nil"/>
            </w:tcBorders>
          </w:tcPr>
          <w:p>
            <w:pPr>
              <w:pStyle w:val="nTable"/>
              <w:spacing w:after="40"/>
            </w:pPr>
            <w:r>
              <w:t>15 Dec 1992</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1994</w:t>
            </w:r>
          </w:p>
        </w:tc>
        <w:tc>
          <w:tcPr>
            <w:tcW w:w="1276" w:type="dxa"/>
            <w:tcBorders>
              <w:top w:val="nil"/>
              <w:bottom w:val="nil"/>
            </w:tcBorders>
          </w:tcPr>
          <w:p>
            <w:pPr>
              <w:pStyle w:val="nTable"/>
              <w:spacing w:after="40"/>
            </w:pPr>
            <w:r>
              <w:t>29 Jun 1994 p. 3204</w:t>
            </w:r>
            <w:r>
              <w:noBreakHyphen/>
              <w:t>5</w:t>
            </w:r>
          </w:p>
        </w:tc>
        <w:tc>
          <w:tcPr>
            <w:tcW w:w="2693" w:type="dxa"/>
            <w:tcBorders>
              <w:top w:val="nil"/>
              <w:bottom w:val="nil"/>
            </w:tcBorders>
          </w:tcPr>
          <w:p>
            <w:pPr>
              <w:pStyle w:val="nTable"/>
              <w:spacing w:after="40"/>
            </w:pPr>
            <w:r>
              <w:t xml:space="preserve">29 Jun 1994 (see r. 2 and </w:t>
            </w:r>
            <w:r>
              <w:rPr>
                <w:i/>
              </w:rPr>
              <w:t>Gazette</w:t>
            </w:r>
            <w:r>
              <w:t xml:space="preserve"> 29 Jun 1994 p. 3201)</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(No. 2) 1994</w:t>
            </w:r>
          </w:p>
        </w:tc>
        <w:tc>
          <w:tcPr>
            <w:tcW w:w="1276" w:type="dxa"/>
            <w:tcBorders>
              <w:top w:val="nil"/>
              <w:bottom w:val="nil"/>
            </w:tcBorders>
          </w:tcPr>
          <w:p>
            <w:pPr>
              <w:pStyle w:val="nTable"/>
              <w:spacing w:after="40"/>
            </w:pPr>
            <w:r>
              <w:t>29 Jun 1994 p. 3206</w:t>
            </w:r>
            <w:r>
              <w:noBreakHyphen/>
              <w:t>28</w:t>
            </w:r>
          </w:p>
        </w:tc>
        <w:tc>
          <w:tcPr>
            <w:tcW w:w="2693" w:type="dxa"/>
            <w:tcBorders>
              <w:top w:val="nil"/>
              <w:bottom w:val="nil"/>
            </w:tcBorders>
          </w:tcPr>
          <w:p>
            <w:pPr>
              <w:pStyle w:val="nTable"/>
              <w:spacing w:after="40"/>
            </w:pPr>
            <w:r>
              <w:t xml:space="preserve">1 Jul 1994 (see r. 2 and </w:t>
            </w:r>
            <w:r>
              <w:rPr>
                <w:i/>
              </w:rPr>
              <w:t>Gazette</w:t>
            </w:r>
            <w:r>
              <w:t xml:space="preserve"> 29 Jun 1994 p. 3201)</w:t>
            </w:r>
          </w:p>
        </w:tc>
      </w:tr>
      <w:tr>
        <w:trPr>
          <w:cantSplit/>
        </w:trPr>
        <w:tc>
          <w:tcPr>
            <w:tcW w:w="7088" w:type="dxa"/>
            <w:gridSpan w:val="3"/>
            <w:tcBorders>
              <w:top w:val="nil"/>
              <w:bottom w:val="nil"/>
            </w:tcBorders>
          </w:tcPr>
          <w:p>
            <w:pPr>
              <w:pStyle w:val="nTable"/>
              <w:spacing w:after="40"/>
            </w:pPr>
            <w:r>
              <w:rPr>
                <w:b/>
              </w:rPr>
              <w:t xml:space="preserve">Reprint of the </w:t>
            </w:r>
            <w:r>
              <w:rPr>
                <w:b/>
                <w:i/>
              </w:rPr>
              <w:t>Fire Brigades (Superannuation Fund) Regulations 1986</w:t>
            </w:r>
            <w:r>
              <w:rPr>
                <w:b/>
              </w:rPr>
              <w:t xml:space="preserve"> as at 11 Oct 1994 </w:t>
            </w:r>
            <w:r>
              <w:t>(includes amendments listed above)</w:t>
            </w:r>
          </w:p>
        </w:tc>
      </w:tr>
      <w:tr>
        <w:trPr>
          <w:cantSplit/>
        </w:trPr>
        <w:tc>
          <w:tcPr>
            <w:tcW w:w="3119" w:type="dxa"/>
            <w:tcBorders>
              <w:top w:val="nil"/>
              <w:bottom w:val="nil"/>
            </w:tcBorders>
          </w:tcPr>
          <w:p>
            <w:pPr>
              <w:pStyle w:val="nTable"/>
              <w:spacing w:after="40"/>
              <w:ind w:right="113"/>
            </w:pPr>
            <w:r>
              <w:rPr>
                <w:i/>
              </w:rPr>
              <w:t>Fire Brigades (Superannuation Fund) Amendment Regulations 1995</w:t>
            </w:r>
          </w:p>
        </w:tc>
        <w:tc>
          <w:tcPr>
            <w:tcW w:w="1276" w:type="dxa"/>
            <w:tcBorders>
              <w:top w:val="nil"/>
              <w:bottom w:val="nil"/>
            </w:tcBorders>
          </w:tcPr>
          <w:p>
            <w:pPr>
              <w:pStyle w:val="nTable"/>
              <w:spacing w:after="40"/>
            </w:pPr>
            <w:r>
              <w:t>21 Nov 1995 p. 5356</w:t>
            </w:r>
            <w:r>
              <w:noBreakHyphen/>
              <w:t>9</w:t>
            </w:r>
          </w:p>
        </w:tc>
        <w:tc>
          <w:tcPr>
            <w:tcW w:w="2693" w:type="dxa"/>
            <w:tcBorders>
              <w:top w:val="nil"/>
              <w:bottom w:val="nil"/>
            </w:tcBorders>
          </w:tcPr>
          <w:p>
            <w:pPr>
              <w:pStyle w:val="nTable"/>
              <w:spacing w:after="40"/>
            </w:pPr>
            <w:r>
              <w:t>21 Nov 1995</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1998</w:t>
            </w:r>
          </w:p>
        </w:tc>
        <w:tc>
          <w:tcPr>
            <w:tcW w:w="1276" w:type="dxa"/>
            <w:tcBorders>
              <w:top w:val="nil"/>
              <w:bottom w:val="nil"/>
            </w:tcBorders>
          </w:tcPr>
          <w:p>
            <w:pPr>
              <w:pStyle w:val="nTable"/>
              <w:spacing w:after="40"/>
            </w:pPr>
            <w:r>
              <w:t>17 Apr 1998 p. 2097</w:t>
            </w:r>
            <w:r>
              <w:noBreakHyphen/>
              <w:t>104</w:t>
            </w:r>
            <w:r>
              <w:br/>
              <w:t>(correction 28 Apr 1998 p. 2177)</w:t>
            </w:r>
          </w:p>
        </w:tc>
        <w:tc>
          <w:tcPr>
            <w:tcW w:w="2693" w:type="dxa"/>
            <w:tcBorders>
              <w:top w:val="nil"/>
              <w:bottom w:val="nil"/>
            </w:tcBorders>
          </w:tcPr>
          <w:p>
            <w:pPr>
              <w:pStyle w:val="nTable"/>
              <w:spacing w:after="40"/>
            </w:pPr>
            <w:r>
              <w:t>17 Apr 1998</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(No. 2) 1998</w:t>
            </w:r>
          </w:p>
        </w:tc>
        <w:tc>
          <w:tcPr>
            <w:tcW w:w="1276" w:type="dxa"/>
            <w:tcBorders>
              <w:top w:val="nil"/>
              <w:bottom w:val="nil"/>
            </w:tcBorders>
          </w:tcPr>
          <w:p>
            <w:pPr>
              <w:pStyle w:val="nTable"/>
              <w:spacing w:after="40"/>
            </w:pPr>
            <w:r>
              <w:t>22 Dec 1998 p. 6849</w:t>
            </w:r>
            <w:r>
              <w:noBreakHyphen/>
              <w:t>53</w:t>
            </w:r>
          </w:p>
        </w:tc>
        <w:tc>
          <w:tcPr>
            <w:tcW w:w="2693" w:type="dxa"/>
            <w:tcBorders>
              <w:top w:val="nil"/>
              <w:bottom w:val="nil"/>
            </w:tcBorders>
          </w:tcPr>
          <w:p>
            <w:pPr>
              <w:pStyle w:val="nTable"/>
              <w:spacing w:after="40"/>
            </w:pPr>
            <w:r>
              <w:t xml:space="preserve">1 Jan 1999 (see r. 2 and </w:t>
            </w:r>
            <w:r>
              <w:rPr>
                <w:i/>
              </w:rPr>
              <w:t>Gazette</w:t>
            </w:r>
            <w:r>
              <w:t xml:space="preserve"> 22 Dec 1998 p. 6833)</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1999</w:t>
            </w:r>
          </w:p>
        </w:tc>
        <w:tc>
          <w:tcPr>
            <w:tcW w:w="1276" w:type="dxa"/>
            <w:tcBorders>
              <w:top w:val="nil"/>
              <w:bottom w:val="nil"/>
            </w:tcBorders>
          </w:tcPr>
          <w:p>
            <w:pPr>
              <w:pStyle w:val="nTable"/>
              <w:spacing w:after="40"/>
            </w:pPr>
            <w:r>
              <w:t>23 Jul 1999 p. 3385</w:t>
            </w:r>
            <w:r>
              <w:noBreakHyphen/>
              <w:t>95</w:t>
            </w:r>
          </w:p>
        </w:tc>
        <w:tc>
          <w:tcPr>
            <w:tcW w:w="2693" w:type="dxa"/>
            <w:tcBorders>
              <w:top w:val="nil"/>
              <w:bottom w:val="nil"/>
            </w:tcBorders>
          </w:tcPr>
          <w:p>
            <w:pPr>
              <w:pStyle w:val="nTable"/>
              <w:spacing w:after="40"/>
            </w:pPr>
            <w:r>
              <w:t>23 Jul 1999</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2000</w:t>
            </w:r>
          </w:p>
        </w:tc>
        <w:tc>
          <w:tcPr>
            <w:tcW w:w="1276" w:type="dxa"/>
            <w:tcBorders>
              <w:top w:val="nil"/>
              <w:bottom w:val="nil"/>
            </w:tcBorders>
          </w:tcPr>
          <w:p>
            <w:pPr>
              <w:pStyle w:val="nTable"/>
              <w:spacing w:after="40"/>
            </w:pPr>
            <w:r>
              <w:t>18 Aug 2000 p. 4782</w:t>
            </w:r>
            <w:r>
              <w:noBreakHyphen/>
              <w:t>90</w:t>
            </w:r>
          </w:p>
        </w:tc>
        <w:tc>
          <w:tcPr>
            <w:tcW w:w="2693" w:type="dxa"/>
            <w:tcBorders>
              <w:top w:val="nil"/>
              <w:bottom w:val="nil"/>
            </w:tcBorders>
          </w:tcPr>
          <w:p>
            <w:pPr>
              <w:pStyle w:val="nTable"/>
              <w:spacing w:after="40"/>
            </w:pPr>
            <w:r>
              <w:t>18 Aug 2000</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2001</w:t>
            </w:r>
          </w:p>
        </w:tc>
        <w:tc>
          <w:tcPr>
            <w:tcW w:w="1276" w:type="dxa"/>
            <w:tcBorders>
              <w:top w:val="nil"/>
              <w:bottom w:val="nil"/>
            </w:tcBorders>
          </w:tcPr>
          <w:p>
            <w:pPr>
              <w:pStyle w:val="nTable"/>
              <w:spacing w:after="40"/>
            </w:pPr>
            <w:r>
              <w:t>30 Mar 2001 p. 1760</w:t>
            </w:r>
            <w:r>
              <w:noBreakHyphen/>
              <w:t>6</w:t>
            </w:r>
          </w:p>
        </w:tc>
        <w:tc>
          <w:tcPr>
            <w:tcW w:w="2693" w:type="dxa"/>
            <w:tcBorders>
              <w:top w:val="nil"/>
              <w:bottom w:val="nil"/>
            </w:tcBorders>
          </w:tcPr>
          <w:p>
            <w:pPr>
              <w:pStyle w:val="nTable"/>
              <w:spacing w:after="40"/>
            </w:pPr>
            <w:r>
              <w:t>30 Mar 2001</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(No. 2) 2001</w:t>
            </w:r>
          </w:p>
        </w:tc>
        <w:tc>
          <w:tcPr>
            <w:tcW w:w="1276" w:type="dxa"/>
            <w:tcBorders>
              <w:top w:val="nil"/>
              <w:bottom w:val="nil"/>
            </w:tcBorders>
          </w:tcPr>
          <w:p>
            <w:pPr>
              <w:pStyle w:val="nTable"/>
              <w:spacing w:after="40"/>
            </w:pPr>
            <w:r>
              <w:t>22 May 2001 p. 2576</w:t>
            </w:r>
            <w:r>
              <w:noBreakHyphen/>
              <w:t>7</w:t>
            </w:r>
          </w:p>
        </w:tc>
        <w:tc>
          <w:tcPr>
            <w:tcW w:w="2693" w:type="dxa"/>
            <w:tcBorders>
              <w:top w:val="nil"/>
              <w:bottom w:val="nil"/>
            </w:tcBorders>
          </w:tcPr>
          <w:p>
            <w:pPr>
              <w:pStyle w:val="nTable"/>
              <w:spacing w:after="40"/>
            </w:pPr>
            <w:r>
              <w:t>22 May 2001</w:t>
            </w:r>
          </w:p>
        </w:tc>
      </w:tr>
      <w:tr>
        <w:trPr>
          <w:cantSplit/>
        </w:trPr>
        <w:tc>
          <w:tcPr>
            <w:tcW w:w="7088" w:type="dxa"/>
            <w:gridSpan w:val="3"/>
            <w:tcBorders>
              <w:top w:val="nil"/>
              <w:bottom w:val="nil"/>
            </w:tcBorders>
          </w:tcPr>
          <w:p>
            <w:pPr>
              <w:pStyle w:val="nTable"/>
              <w:spacing w:after="40"/>
            </w:pPr>
            <w:r>
              <w:rPr>
                <w:b/>
              </w:rPr>
              <w:t xml:space="preserve">Reprint of the </w:t>
            </w:r>
            <w:r>
              <w:rPr>
                <w:b/>
                <w:i/>
              </w:rPr>
              <w:t>Fire Brigades (Superannuation Fund) Regulations 1986</w:t>
            </w:r>
            <w:r>
              <w:rPr>
                <w:b/>
              </w:rPr>
              <w:t xml:space="preserve"> as at 7 Sep 2001 </w:t>
            </w:r>
            <w:r>
              <w:t>(includes amendments listed above)</w:t>
            </w:r>
          </w:p>
        </w:tc>
      </w:tr>
      <w:tr>
        <w:trPr>
          <w:cantSplit/>
        </w:trPr>
        <w:tc>
          <w:tcPr>
            <w:tcW w:w="3119" w:type="dxa"/>
            <w:tcBorders>
              <w:top w:val="nil"/>
              <w:bottom w:val="nil"/>
            </w:tcBorders>
          </w:tcPr>
          <w:p>
            <w:pPr>
              <w:pStyle w:val="nTable"/>
              <w:spacing w:after="40"/>
              <w:ind w:right="113"/>
              <w:rPr>
                <w:i/>
              </w:rPr>
            </w:pPr>
            <w:r>
              <w:rPr>
                <w:i/>
              </w:rPr>
              <w:t>Fire Brigades (Superannuation Fund) Amendment Regulations 2003</w:t>
            </w:r>
          </w:p>
        </w:tc>
        <w:tc>
          <w:tcPr>
            <w:tcW w:w="1276" w:type="dxa"/>
            <w:tcBorders>
              <w:top w:val="nil"/>
              <w:bottom w:val="nil"/>
            </w:tcBorders>
          </w:tcPr>
          <w:p>
            <w:pPr>
              <w:pStyle w:val="nTable"/>
              <w:spacing w:after="40"/>
            </w:pPr>
            <w:r>
              <w:t>2 May 2003 p. 1492-5</w:t>
            </w:r>
          </w:p>
        </w:tc>
        <w:tc>
          <w:tcPr>
            <w:tcW w:w="2693" w:type="dxa"/>
            <w:tcBorders>
              <w:top w:val="nil"/>
              <w:bottom w:val="nil"/>
            </w:tcBorders>
          </w:tcPr>
          <w:p>
            <w:pPr>
              <w:pStyle w:val="nTable"/>
              <w:spacing w:after="40"/>
            </w:pPr>
            <w:r>
              <w:t>2 May 2003</w:t>
            </w:r>
          </w:p>
        </w:tc>
      </w:tr>
      <w:tr>
        <w:trPr>
          <w:cantSplit/>
        </w:trPr>
        <w:tc>
          <w:tcPr>
            <w:tcW w:w="3119" w:type="dxa"/>
            <w:tcBorders>
              <w:top w:val="nil"/>
              <w:bottom w:val="nil"/>
            </w:tcBorders>
          </w:tcPr>
          <w:p>
            <w:pPr>
              <w:pStyle w:val="nTable"/>
              <w:spacing w:after="40"/>
              <w:ind w:right="113"/>
              <w:rPr>
                <w:i/>
              </w:rPr>
            </w:pPr>
            <w:r>
              <w:rPr>
                <w:i/>
              </w:rPr>
              <w:t>Fire and Emergency Services (Superannuation Fund) Amendment Regulations (No. 2) 2003</w:t>
            </w:r>
          </w:p>
        </w:tc>
        <w:tc>
          <w:tcPr>
            <w:tcW w:w="1276" w:type="dxa"/>
            <w:tcBorders>
              <w:top w:val="nil"/>
              <w:bottom w:val="nil"/>
            </w:tcBorders>
          </w:tcPr>
          <w:p>
            <w:pPr>
              <w:pStyle w:val="nTable"/>
              <w:spacing w:after="40"/>
            </w:pPr>
            <w:r>
              <w:t>15 Jul 2003 p. 2831</w:t>
            </w:r>
            <w:r>
              <w:noBreakHyphen/>
              <w:t>2</w:t>
            </w:r>
          </w:p>
        </w:tc>
        <w:tc>
          <w:tcPr>
            <w:tcW w:w="2693" w:type="dxa"/>
            <w:tcBorders>
              <w:top w:val="nil"/>
              <w:bottom w:val="nil"/>
            </w:tcBorders>
          </w:tcPr>
          <w:p>
            <w:pPr>
              <w:pStyle w:val="nTable"/>
              <w:spacing w:after="40"/>
            </w:pPr>
            <w:r>
              <w:t>15 Jul 2003</w:t>
            </w:r>
          </w:p>
        </w:tc>
      </w:tr>
      <w:tr>
        <w:trPr>
          <w:cantSplit/>
        </w:trPr>
        <w:tc>
          <w:tcPr>
            <w:tcW w:w="3119" w:type="dxa"/>
            <w:tcBorders>
              <w:top w:val="nil"/>
              <w:bottom w:val="nil"/>
            </w:tcBorders>
          </w:tcPr>
          <w:p>
            <w:pPr>
              <w:pStyle w:val="nTable"/>
              <w:spacing w:after="40"/>
              <w:ind w:right="113"/>
              <w:rPr>
                <w:i/>
              </w:rPr>
            </w:pPr>
            <w:r>
              <w:rPr>
                <w:i/>
              </w:rPr>
              <w:t>Fire and Emergency Services (Superannuation Fund) Amendment Regulations 2004</w:t>
            </w:r>
          </w:p>
        </w:tc>
        <w:tc>
          <w:tcPr>
            <w:tcW w:w="1276" w:type="dxa"/>
            <w:tcBorders>
              <w:top w:val="nil"/>
              <w:bottom w:val="nil"/>
            </w:tcBorders>
          </w:tcPr>
          <w:p>
            <w:pPr>
              <w:pStyle w:val="nTable"/>
              <w:spacing w:after="40"/>
            </w:pPr>
            <w:r>
              <w:t>29 Jun 2004 p. 2520-2</w:t>
            </w:r>
          </w:p>
        </w:tc>
        <w:tc>
          <w:tcPr>
            <w:tcW w:w="2693" w:type="dxa"/>
            <w:tcBorders>
              <w:top w:val="nil"/>
              <w:bottom w:val="nil"/>
            </w:tcBorders>
          </w:tcPr>
          <w:p>
            <w:pPr>
              <w:pStyle w:val="nTable"/>
              <w:spacing w:after="40"/>
            </w:pPr>
            <w:r>
              <w:t>1 Jul 2004 (see r. 2)</w:t>
            </w:r>
          </w:p>
        </w:tc>
      </w:tr>
      <w:tr>
        <w:trPr>
          <w:cantSplit/>
        </w:trPr>
        <w:tc>
          <w:tcPr>
            <w:tcW w:w="3119" w:type="dxa"/>
            <w:tcBorders>
              <w:top w:val="nil"/>
              <w:bottom w:val="nil"/>
            </w:tcBorders>
          </w:tcPr>
          <w:p>
            <w:pPr>
              <w:pStyle w:val="nTable"/>
              <w:spacing w:after="40"/>
              <w:ind w:right="113"/>
              <w:rPr>
                <w:i/>
              </w:rPr>
            </w:pPr>
            <w:r>
              <w:rPr>
                <w:i/>
              </w:rPr>
              <w:t>Fire and Emergency Services (Superannuation Fund) Amendment Regulations (No. 2) 2004</w:t>
            </w:r>
          </w:p>
        </w:tc>
        <w:tc>
          <w:tcPr>
            <w:tcW w:w="1276" w:type="dxa"/>
            <w:tcBorders>
              <w:top w:val="nil"/>
              <w:bottom w:val="nil"/>
            </w:tcBorders>
          </w:tcPr>
          <w:p>
            <w:pPr>
              <w:pStyle w:val="nTable"/>
              <w:spacing w:after="40"/>
            </w:pPr>
            <w:r>
              <w:t>21 Jan 2005 p. 260</w:t>
            </w:r>
            <w:r>
              <w:noBreakHyphen/>
              <w:t>3</w:t>
            </w:r>
          </w:p>
        </w:tc>
        <w:tc>
          <w:tcPr>
            <w:tcW w:w="2693" w:type="dxa"/>
            <w:tcBorders>
              <w:top w:val="nil"/>
              <w:bottom w:val="nil"/>
            </w:tcBorders>
          </w:tcPr>
          <w:p>
            <w:pPr>
              <w:pStyle w:val="nTable"/>
              <w:spacing w:after="40"/>
            </w:pPr>
            <w:r>
              <w:t>21 Jan 2005</w:t>
            </w:r>
          </w:p>
        </w:tc>
      </w:tr>
      <w:tr>
        <w:trPr>
          <w:cantSplit/>
        </w:trPr>
        <w:tc>
          <w:tcPr>
            <w:tcW w:w="7088" w:type="dxa"/>
            <w:gridSpan w:val="3"/>
            <w:tcBorders>
              <w:top w:val="nil"/>
              <w:bottom w:val="nil"/>
            </w:tcBorders>
          </w:tcPr>
          <w:p>
            <w:pPr>
              <w:pStyle w:val="nTable"/>
              <w:spacing w:after="40"/>
            </w:pPr>
            <w:r>
              <w:rPr>
                <w:b/>
              </w:rPr>
              <w:t xml:space="preserve">Reprint 3: The </w:t>
            </w:r>
            <w:r>
              <w:rPr>
                <w:b/>
                <w:i/>
              </w:rPr>
              <w:t>Fire and Emergency Services (Superannuation Fund) Regulations 1986</w:t>
            </w:r>
            <w:r>
              <w:rPr>
                <w:b/>
              </w:rPr>
              <w:t xml:space="preserve"> as at 11 Jan 2008 </w:t>
            </w:r>
            <w:r>
              <w:t>(includes amendments listed above)</w:t>
            </w:r>
          </w:p>
        </w:tc>
      </w:tr>
      <w:tr>
        <w:trPr>
          <w:cantSplit/>
        </w:trPr>
        <w:tc>
          <w:tcPr>
            <w:tcW w:w="3119" w:type="dxa"/>
            <w:tcBorders>
              <w:top w:val="nil"/>
              <w:bottom w:val="nil"/>
            </w:tcBorders>
          </w:tcPr>
          <w:p>
            <w:pPr>
              <w:pStyle w:val="nTable"/>
              <w:spacing w:after="40"/>
              <w:ind w:right="113"/>
              <w:rPr>
                <w:i/>
              </w:rPr>
            </w:pPr>
            <w:r>
              <w:rPr>
                <w:i/>
              </w:rPr>
              <w:t>Fire and Emergency Services (Superannuation Fund) Amendment Regulations 2008</w:t>
            </w:r>
          </w:p>
        </w:tc>
        <w:tc>
          <w:tcPr>
            <w:tcW w:w="1276" w:type="dxa"/>
            <w:tcBorders>
              <w:top w:val="nil"/>
              <w:bottom w:val="nil"/>
            </w:tcBorders>
          </w:tcPr>
          <w:p>
            <w:pPr>
              <w:pStyle w:val="nTable"/>
              <w:spacing w:after="40"/>
            </w:pPr>
            <w:r>
              <w:t>1 Apr 2008 p. 1271-9</w:t>
            </w:r>
          </w:p>
        </w:tc>
        <w:tc>
          <w:tcPr>
            <w:tcW w:w="2693" w:type="dxa"/>
            <w:tcBorders>
              <w:top w:val="nil"/>
              <w:bottom w:val="nil"/>
            </w:tcBorders>
          </w:tcPr>
          <w:p>
            <w:pPr>
              <w:pStyle w:val="nTable"/>
              <w:spacing w:after="40"/>
            </w:pPr>
            <w:r>
              <w:t>r. 1 and 2: 1 Apr 2008 (see r. 2(a));</w:t>
            </w:r>
            <w:r>
              <w:br/>
              <w:t>Regulations other than r. 1 and 2: 2 Apr 2008 (see r. 2(b))</w:t>
            </w:r>
          </w:p>
        </w:tc>
      </w:tr>
      <w:tr>
        <w:trPr>
          <w:cantSplit/>
        </w:trPr>
        <w:tc>
          <w:tcPr>
            <w:tcW w:w="3119" w:type="dxa"/>
            <w:tcBorders>
              <w:top w:val="nil"/>
              <w:bottom w:val="nil"/>
            </w:tcBorders>
          </w:tcPr>
          <w:p>
            <w:pPr>
              <w:pStyle w:val="nTable"/>
              <w:spacing w:after="40"/>
              <w:ind w:right="113"/>
              <w:rPr>
                <w:i/>
              </w:rPr>
            </w:pPr>
            <w:r>
              <w:rPr>
                <w:i/>
              </w:rPr>
              <w:t>Fire and Emergency Services (Superannuation Fund) Amendment Regulations 2009</w:t>
            </w:r>
          </w:p>
        </w:tc>
        <w:tc>
          <w:tcPr>
            <w:tcW w:w="1276" w:type="dxa"/>
            <w:tcBorders>
              <w:top w:val="nil"/>
              <w:bottom w:val="nil"/>
            </w:tcBorders>
          </w:tcPr>
          <w:p>
            <w:pPr>
              <w:pStyle w:val="nTable"/>
              <w:spacing w:after="40"/>
            </w:pPr>
            <w:r>
              <w:t>21 Aug 2009 p. 3267-70</w:t>
            </w:r>
          </w:p>
        </w:tc>
        <w:tc>
          <w:tcPr>
            <w:tcW w:w="2693" w:type="dxa"/>
            <w:tcBorders>
              <w:top w:val="nil"/>
              <w:bottom w:val="nil"/>
            </w:tcBorders>
          </w:tcPr>
          <w:p>
            <w:pPr>
              <w:pStyle w:val="nTable"/>
              <w:spacing w:after="40"/>
            </w:pPr>
            <w:r>
              <w:t>r. 1 and 2: 21 Aug 2009 (see r. 2(a));</w:t>
            </w:r>
            <w:r>
              <w:br/>
              <w:t>Regulations other than r. 1 and 2: 22 Aug 2009 (see r. 2(b))</w:t>
            </w:r>
          </w:p>
        </w:tc>
      </w:tr>
      <w:tr>
        <w:trPr>
          <w:cantSplit/>
        </w:trPr>
        <w:tc>
          <w:tcPr>
            <w:tcW w:w="3119" w:type="dxa"/>
            <w:tcBorders>
              <w:top w:val="nil"/>
              <w:bottom w:val="nil"/>
            </w:tcBorders>
          </w:tcPr>
          <w:p>
            <w:pPr>
              <w:pStyle w:val="nTable"/>
              <w:spacing w:after="40"/>
              <w:ind w:right="113"/>
              <w:rPr>
                <w:i/>
                <w:highlight w:val="green"/>
              </w:rPr>
            </w:pPr>
            <w:r>
              <w:rPr>
                <w:i/>
              </w:rPr>
              <w:t>Fire and Emergency Services (Superannuation Fund) Amendment Regulations (No. 2) 2012</w:t>
            </w:r>
          </w:p>
        </w:tc>
        <w:tc>
          <w:tcPr>
            <w:tcW w:w="1276" w:type="dxa"/>
            <w:tcBorders>
              <w:top w:val="nil"/>
              <w:bottom w:val="nil"/>
            </w:tcBorders>
          </w:tcPr>
          <w:p>
            <w:pPr>
              <w:pStyle w:val="nTable"/>
              <w:spacing w:after="40"/>
            </w:pPr>
            <w:r>
              <w:t>31 Oct 2012 p. 5245</w:t>
            </w:r>
            <w:r>
              <w:noBreakHyphen/>
              <w:t>9</w:t>
            </w:r>
          </w:p>
        </w:tc>
        <w:tc>
          <w:tcPr>
            <w:tcW w:w="2693" w:type="dxa"/>
            <w:tcBorders>
              <w:top w:val="nil"/>
              <w:bottom w:val="nil"/>
            </w:tcBorders>
          </w:tcPr>
          <w:p>
            <w:pPr>
              <w:pStyle w:val="nTable"/>
              <w:spacing w:after="40"/>
            </w:pPr>
            <w:r>
              <w:rPr>
                <w:rFonts w:ascii="Times" w:hAnsi="Times"/>
                <w:snapToGrid w:val="0"/>
                <w:spacing w:val="-2"/>
              </w:rPr>
              <w:t>r. 1 and 2: 31 Oct 2012 (see r. 2(a));</w:t>
            </w:r>
            <w:r>
              <w:rPr>
                <w:rFonts w:ascii="Times" w:hAnsi="Times"/>
                <w:snapToGrid w:val="0"/>
                <w:spacing w:val="-2"/>
              </w:rPr>
              <w:br/>
              <w:t xml:space="preserve">Regulations other than r. 1 and 2: 1 Nov 2012 (see r. 2(b) and </w:t>
            </w:r>
            <w:r>
              <w:rPr>
                <w:rFonts w:ascii="Times" w:hAnsi="Times"/>
                <w:i/>
                <w:snapToGrid w:val="0"/>
                <w:spacing w:val="-2"/>
              </w:rPr>
              <w:t>Gazette</w:t>
            </w:r>
            <w:r>
              <w:rPr>
                <w:rFonts w:ascii="Times" w:hAnsi="Times"/>
                <w:snapToGrid w:val="0"/>
                <w:spacing w:val="-2"/>
              </w:rPr>
              <w:t xml:space="preserve"> 31 Oct 2012 p. 5255)</w:t>
            </w:r>
          </w:p>
        </w:tc>
      </w:tr>
      <w:tr>
        <w:trPr>
          <w:cantSplit/>
        </w:trPr>
        <w:tc>
          <w:tcPr>
            <w:tcW w:w="7088" w:type="dxa"/>
            <w:gridSpan w:val="3"/>
            <w:tcBorders>
              <w:top w:val="nil"/>
              <w:bottom w:val="nil"/>
            </w:tcBorders>
          </w:tcPr>
          <w:p>
            <w:pPr>
              <w:pStyle w:val="nTable"/>
              <w:spacing w:after="40"/>
              <w:rPr>
                <w:rFonts w:ascii="Times" w:hAnsi="Times"/>
                <w:snapToGrid w:val="0"/>
                <w:spacing w:val="-2"/>
              </w:rPr>
            </w:pPr>
            <w:r>
              <w:rPr>
                <w:b/>
              </w:rPr>
              <w:t xml:space="preserve">Reprint 4: The </w:t>
            </w:r>
            <w:r>
              <w:rPr>
                <w:b/>
                <w:i/>
              </w:rPr>
              <w:t>Fire and Emergency Services (Superannuation Fund) Regulations 1986</w:t>
            </w:r>
            <w:r>
              <w:rPr>
                <w:b/>
              </w:rPr>
              <w:t xml:space="preserve"> as at 2 May 2014 </w:t>
            </w:r>
            <w:r>
              <w:t>(includes amendments listed above)</w:t>
            </w:r>
            <w:r>
              <w:rPr>
                <w:b/>
              </w:rPr>
              <w:t xml:space="preserve"> </w:t>
            </w:r>
          </w:p>
        </w:tc>
      </w:tr>
      <w:tr>
        <w:trPr>
          <w:cantSplit/>
        </w:trPr>
        <w:tc>
          <w:tcPr>
            <w:tcW w:w="3119" w:type="dxa"/>
            <w:tcBorders>
              <w:top w:val="nil"/>
              <w:bottom w:val="single" w:sz="4" w:space="0" w:color="auto"/>
            </w:tcBorders>
          </w:tcPr>
          <w:p>
            <w:pPr>
              <w:pStyle w:val="nTable"/>
              <w:spacing w:after="40"/>
              <w:ind w:right="113"/>
              <w:rPr>
                <w:i/>
                <w:highlight w:val="green"/>
              </w:rPr>
            </w:pPr>
            <w:r>
              <w:rPr>
                <w:i/>
              </w:rPr>
              <w:t>Fire and Emergency Services (Superannuation Fund) Amendment Regulations 2014</w:t>
            </w:r>
          </w:p>
        </w:tc>
        <w:tc>
          <w:tcPr>
            <w:tcW w:w="1276" w:type="dxa"/>
            <w:tcBorders>
              <w:top w:val="nil"/>
              <w:bottom w:val="single" w:sz="4" w:space="0" w:color="auto"/>
            </w:tcBorders>
          </w:tcPr>
          <w:p>
            <w:pPr>
              <w:pStyle w:val="nTable"/>
              <w:spacing w:after="40"/>
            </w:pPr>
            <w:r>
              <w:t>25 Nov 2014 p. 4371</w:t>
            </w:r>
            <w:r>
              <w:noBreakHyphen/>
              <w:t>5</w:t>
            </w:r>
          </w:p>
        </w:tc>
        <w:tc>
          <w:tcPr>
            <w:tcW w:w="2693" w:type="dxa"/>
            <w:tcBorders>
              <w:top w:val="nil"/>
              <w:bottom w:val="single" w:sz="4" w:space="0" w:color="auto"/>
            </w:tcBorders>
          </w:tcPr>
          <w:p>
            <w:pPr>
              <w:pStyle w:val="nTable"/>
              <w:spacing w:after="40"/>
            </w:pPr>
            <w:r>
              <w:rPr>
                <w:rFonts w:ascii="Times" w:hAnsi="Times"/>
                <w:snapToGrid w:val="0"/>
                <w:spacing w:val="-2"/>
              </w:rPr>
              <w:t>r. 1 and 2: 25 Nov 2014 (see r. 2(a));</w:t>
            </w:r>
            <w:r>
              <w:rPr>
                <w:rFonts w:ascii="Times" w:hAnsi="Times"/>
                <w:snapToGrid w:val="0"/>
                <w:spacing w:val="-2"/>
              </w:rPr>
              <w:br/>
              <w:t>Regulations other than r. 1 and 2: 26 Nov 2014 (see r. 2(b))</w:t>
            </w:r>
          </w:p>
        </w:tc>
      </w:tr>
    </w:tbl>
    <w:p>
      <w:pPr>
        <w:pStyle w:val="nSubsection"/>
        <w:spacing w:before="160"/>
      </w:pPr>
      <w:r>
        <w:rPr>
          <w:vertAlign w:val="superscript"/>
        </w:rPr>
        <w:t>2</w:t>
      </w:r>
      <w:r>
        <w:tab/>
        <w:t xml:space="preserve">The </w:t>
      </w:r>
      <w:r>
        <w:rPr>
          <w:i/>
        </w:rPr>
        <w:t>Financial Administration and Audit Act 1985</w:t>
      </w:r>
      <w:r>
        <w:t xml:space="preserve"> was repealed by the </w:t>
      </w:r>
      <w:r>
        <w:rPr>
          <w:i/>
        </w:rPr>
        <w:t>Financial Legislation Amendment and Repeal Act 2006</w:t>
      </w:r>
      <w:r>
        <w:t xml:space="preserve"> s. 3. </w:t>
      </w:r>
      <w:r>
        <w:rPr>
          <w:b/>
        </w:rPr>
        <w:t xml:space="preserve"> </w:t>
      </w:r>
      <w:r>
        <w:t xml:space="preserve">A reference in a written law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3</w:t>
      </w:r>
      <w:r>
        <w:tab/>
        <w:t xml:space="preserve">Now known as the </w:t>
      </w:r>
      <w:r>
        <w:rPr>
          <w:i/>
        </w:rPr>
        <w:t>Fire and Emergency Services (Superannuation Fund) Regulations 1986;</w:t>
      </w:r>
      <w:r>
        <w:t xml:space="preserve"> citation changed (see note under r. 1).</w:t>
      </w:r>
    </w:p>
    <w:p>
      <w:pPr>
        <w:pStyle w:val="nSubsection"/>
        <w:keepNext/>
        <w:keepLines/>
        <w:rPr>
          <w:snapToGrid w:val="0"/>
        </w:rPr>
      </w:pPr>
      <w:r>
        <w:rPr>
          <w:snapToGrid w:val="0"/>
          <w:vertAlign w:val="superscript"/>
        </w:rPr>
        <w:t>4</w:t>
      </w:r>
      <w:r>
        <w:rPr>
          <w:snapToGrid w:val="0"/>
        </w:rPr>
        <w:tab/>
        <w:t xml:space="preserve">The </w:t>
      </w:r>
      <w:r>
        <w:rPr>
          <w:i/>
          <w:snapToGrid w:val="0"/>
        </w:rPr>
        <w:t>Fire Brigades (Superannuation Fund) Amendment Regulations 1988</w:t>
      </w:r>
      <w:r>
        <w:rPr>
          <w:snapToGrid w:val="0"/>
        </w:rPr>
        <w:t xml:space="preserve"> r. 5 reads as follows:</w:t>
      </w:r>
    </w:p>
    <w:p>
      <w:pPr>
        <w:pStyle w:val="BlankOpen"/>
        <w:rPr>
          <w:snapToGrid w:val="0"/>
        </w:rPr>
      </w:pP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r>
      <w:r>
        <w:rPr>
          <w:rStyle w:val="CharDefText"/>
        </w:rPr>
        <w:t>Public Service Commissioner</w:t>
      </w:r>
      <w:r>
        <w:t xml:space="preserve"> means the Public Service Commissioner within the meaning of the </w:t>
      </w:r>
      <w:r>
        <w:rPr>
          <w:i/>
        </w:rPr>
        <w:t>Public Service Act 1978</w:t>
      </w:r>
      <w:r>
        <w:t>; and</w:t>
      </w:r>
    </w:p>
    <w:p>
      <w:pPr>
        <w:pStyle w:val="nzDefstart"/>
      </w:pPr>
      <w:r>
        <w:rPr>
          <w:b/>
        </w:rPr>
        <w:tab/>
      </w:r>
      <w:r>
        <w:rPr>
          <w:rStyle w:val="CharDefText"/>
        </w:rPr>
        <w:t>Senior Executive Service</w:t>
      </w:r>
      <w:r>
        <w:t xml:space="preserve"> means the Senior Executive Service within the meaning of the </w:t>
      </w:r>
      <w:r>
        <w:rPr>
          <w:i/>
        </w:rPr>
        <w:t>Public Service Act 1978</w:t>
      </w:r>
      <w:r>
        <w:t>.</w:t>
      </w:r>
    </w:p>
    <w:p>
      <w:pPr>
        <w:pStyle w:val="nzDefstart"/>
        <w:sectPr>
          <w:headerReference w:type="even" r:id="rId64"/>
          <w:headerReference w:type="default" r:id="rId65"/>
          <w:headerReference w:type="first" r:id="rId66"/>
          <w:pgSz w:w="11907" w:h="16840" w:code="9"/>
          <w:pgMar w:top="2381" w:right="2409" w:bottom="3543" w:left="2409" w:header="720" w:footer="3380" w:gutter="0"/>
          <w:cols w:space="720"/>
          <w:noEndnote/>
          <w:docGrid w:linePitch="326"/>
        </w:sectPr>
      </w:pPr>
    </w:p>
    <w:p>
      <w:pPr>
        <w:pStyle w:val="nHeading2"/>
        <w:rPr>
          <w:sz w:val="28"/>
        </w:rPr>
      </w:pPr>
      <w:bookmarkStart w:id="282" w:name="_Toc418675291"/>
      <w:r>
        <w:rPr>
          <w:sz w:val="28"/>
        </w:rPr>
        <w:t>Defined terms</w:t>
      </w:r>
      <w:bookmarkEnd w:id="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accumulation account</w:t>
      </w:r>
      <w:r>
        <w:tab/>
        <w:t>3(1)</w:t>
      </w:r>
    </w:p>
    <w:p>
      <w:pPr>
        <w:pStyle w:val="DefinedTerms"/>
      </w:pPr>
      <w:r>
        <w:t>actuarial amount</w:t>
      </w:r>
      <w:r>
        <w:tab/>
        <w:t>16(1)</w:t>
      </w:r>
    </w:p>
    <w:p>
      <w:pPr>
        <w:pStyle w:val="DefinedTerms"/>
      </w:pPr>
      <w:r>
        <w:t>actuarial report</w:t>
      </w:r>
      <w:r>
        <w:tab/>
        <w:t>3(1)</w:t>
      </w:r>
    </w:p>
    <w:p>
      <w:pPr>
        <w:pStyle w:val="DefinedTerms"/>
      </w:pPr>
      <w:r>
        <w:t xml:space="preserve"> amount commuted</w:t>
      </w:r>
      <w:r>
        <w:tab/>
        <w:t>22(1)</w:t>
      </w:r>
    </w:p>
    <w:p>
      <w:pPr>
        <w:pStyle w:val="DefinedTerms"/>
      </w:pPr>
      <w:r>
        <w:t>associated employee</w:t>
      </w:r>
      <w:r>
        <w:tab/>
        <w:t>12(4)</w:t>
      </w:r>
    </w:p>
    <w:p>
      <w:pPr>
        <w:pStyle w:val="DefinedTerms"/>
      </w:pPr>
      <w:r>
        <w:t>benefit</w:t>
      </w:r>
      <w:r>
        <w:tab/>
        <w:t>24</w:t>
      </w:r>
    </w:p>
    <w:p>
      <w:pPr>
        <w:pStyle w:val="DefinedTerms"/>
      </w:pPr>
      <w:r>
        <w:t>Category A member</w:t>
      </w:r>
      <w:r>
        <w:tab/>
        <w:t>3(1)</w:t>
      </w:r>
    </w:p>
    <w:p>
      <w:pPr>
        <w:pStyle w:val="DefinedTerms"/>
      </w:pPr>
      <w:r>
        <w:t>Category B member</w:t>
      </w:r>
      <w:r>
        <w:tab/>
        <w:t>3(1)</w:t>
      </w:r>
    </w:p>
    <w:p>
      <w:pPr>
        <w:pStyle w:val="DefinedTerms"/>
      </w:pPr>
      <w:r>
        <w:t>Category C member</w:t>
      </w:r>
      <w:r>
        <w:tab/>
        <w:t>3(1)</w:t>
      </w:r>
    </w:p>
    <w:p>
      <w:pPr>
        <w:pStyle w:val="DefinedTerms"/>
      </w:pPr>
      <w:r>
        <w:t>child</w:t>
      </w:r>
      <w:r>
        <w:tab/>
        <w:t>9(1)</w:t>
      </w:r>
    </w:p>
    <w:p>
      <w:pPr>
        <w:pStyle w:val="DefinedTerms"/>
      </w:pPr>
      <w:r>
        <w:t>complying superannuation fund</w:t>
      </w:r>
      <w:r>
        <w:tab/>
        <w:t>3(1), 21B(5)</w:t>
      </w:r>
    </w:p>
    <w:p>
      <w:pPr>
        <w:pStyle w:val="DefinedTerms"/>
      </w:pPr>
      <w:r>
        <w:t>complying superannuation scheme</w:t>
      </w:r>
      <w:r>
        <w:tab/>
        <w:t>3(1)</w:t>
      </w:r>
    </w:p>
    <w:p>
      <w:pPr>
        <w:pStyle w:val="DefinedTerms"/>
      </w:pPr>
      <w:r>
        <w:t>death benefit</w:t>
      </w:r>
      <w:r>
        <w:tab/>
        <w:t>3(1)</w:t>
      </w:r>
    </w:p>
    <w:p>
      <w:pPr>
        <w:pStyle w:val="DefinedTerms"/>
      </w:pPr>
      <w:r>
        <w:t>earnings rate</w:t>
      </w:r>
      <w:r>
        <w:tab/>
        <w:t>3(1)</w:t>
      </w:r>
    </w:p>
    <w:p>
      <w:pPr>
        <w:pStyle w:val="DefinedTerms"/>
      </w:pPr>
      <w:r>
        <w:t>effect</w:t>
      </w:r>
      <w:r>
        <w:tab/>
        <w:t>42(4)</w:t>
      </w:r>
    </w:p>
    <w:p>
      <w:pPr>
        <w:pStyle w:val="DefinedTerms"/>
      </w:pPr>
      <w:r>
        <w:t>election day</w:t>
      </w:r>
      <w:r>
        <w:tab/>
        <w:t>14A(4)</w:t>
      </w:r>
    </w:p>
    <w:p>
      <w:pPr>
        <w:pStyle w:val="DefinedTerms"/>
      </w:pPr>
      <w:r>
        <w:t>employer</w:t>
      </w:r>
      <w:r>
        <w:tab/>
        <w:t>3(1), 16(1)</w:t>
      </w:r>
    </w:p>
    <w:p>
      <w:pPr>
        <w:pStyle w:val="DefinedTerms"/>
      </w:pPr>
      <w:r>
        <w:t>employment</w:t>
      </w:r>
      <w:r>
        <w:tab/>
        <w:t>12(4)</w:t>
      </w:r>
    </w:p>
    <w:p>
      <w:pPr>
        <w:pStyle w:val="DefinedTerms"/>
      </w:pPr>
      <w:r>
        <w:t>GES member</w:t>
      </w:r>
      <w:r>
        <w:tab/>
        <w:t>11(6)</w:t>
      </w:r>
    </w:p>
    <w:p>
      <w:pPr>
        <w:pStyle w:val="DefinedTerms"/>
      </w:pPr>
      <w:r>
        <w:t>highest rank</w:t>
      </w:r>
      <w:r>
        <w:tab/>
        <w:t>41A(1)</w:t>
      </w:r>
    </w:p>
    <w:p>
      <w:pPr>
        <w:pStyle w:val="DefinedTerms"/>
      </w:pPr>
      <w:r>
        <w:t>highest rank salary</w:t>
      </w:r>
      <w:r>
        <w:tab/>
        <w:t>41A(1)</w:t>
      </w:r>
    </w:p>
    <w:p>
      <w:pPr>
        <w:pStyle w:val="DefinedTerms"/>
      </w:pPr>
      <w:r>
        <w:t>instalment benefit</w:t>
      </w:r>
      <w:r>
        <w:tab/>
        <w:t>3(1)</w:t>
      </w:r>
    </w:p>
    <w:p>
      <w:pPr>
        <w:pStyle w:val="DefinedTerms"/>
      </w:pPr>
      <w:r>
        <w:t>insurance</w:t>
      </w:r>
      <w:r>
        <w:tab/>
        <w:t>16D(3)</w:t>
      </w:r>
    </w:p>
    <w:p>
      <w:pPr>
        <w:pStyle w:val="DefinedTerms"/>
      </w:pPr>
      <w:r>
        <w:t>last election</w:t>
      </w:r>
      <w:r>
        <w:tab/>
        <w:t>23C(3)</w:t>
      </w:r>
    </w:p>
    <w:p>
      <w:pPr>
        <w:pStyle w:val="DefinedTerms"/>
      </w:pPr>
      <w:r>
        <w:t>maximum benefit</w:t>
      </w:r>
      <w:r>
        <w:tab/>
        <w:t>3(1)</w:t>
      </w:r>
    </w:p>
    <w:p>
      <w:pPr>
        <w:pStyle w:val="DefinedTerms"/>
      </w:pPr>
      <w:r>
        <w:t>maximum percentage</w:t>
      </w:r>
      <w:r>
        <w:tab/>
        <w:t>3(1)</w:t>
      </w:r>
    </w:p>
    <w:p>
      <w:pPr>
        <w:pStyle w:val="DefinedTerms"/>
      </w:pPr>
      <w:r>
        <w:t>member</w:t>
      </w:r>
      <w:r>
        <w:tab/>
        <w:t>3(1)</w:t>
      </w:r>
    </w:p>
    <w:p>
      <w:pPr>
        <w:pStyle w:val="DefinedTerms"/>
      </w:pPr>
      <w:r>
        <w:t xml:space="preserve"> member’s notional benefit</w:t>
      </w:r>
      <w:r>
        <w:tab/>
        <w:t>14(1)</w:t>
      </w:r>
    </w:p>
    <w:p>
      <w:pPr>
        <w:pStyle w:val="DefinedTerms"/>
      </w:pPr>
      <w:r>
        <w:t>member’s notional defined benefit</w:t>
      </w:r>
      <w:r>
        <w:tab/>
        <w:t>14A(4)</w:t>
      </w:r>
    </w:p>
    <w:p>
      <w:pPr>
        <w:pStyle w:val="DefinedTerms"/>
      </w:pPr>
      <w:r>
        <w:t>nominator</w:t>
      </w:r>
      <w:r>
        <w:tab/>
        <w:t>12C(1)</w:t>
      </w:r>
    </w:p>
    <w:p>
      <w:pPr>
        <w:pStyle w:val="DefinedTerms"/>
      </w:pPr>
      <w:r>
        <w:t>non</w:t>
      </w:r>
      <w:r>
        <w:noBreakHyphen/>
        <w:t>C member</w:t>
      </w:r>
      <w:r>
        <w:tab/>
        <w:t>3(1)</w:t>
      </w:r>
    </w:p>
    <w:p>
      <w:pPr>
        <w:pStyle w:val="DefinedTerms"/>
      </w:pPr>
      <w:r>
        <w:t>normal rate of remuneration</w:t>
      </w:r>
      <w:r>
        <w:tab/>
        <w:t>7(1)</w:t>
      </w:r>
    </w:p>
    <w:p>
      <w:pPr>
        <w:pStyle w:val="DefinedTerms"/>
      </w:pPr>
      <w:r>
        <w:t xml:space="preserve"> original rate</w:t>
      </w:r>
      <w:r>
        <w:tab/>
        <w:t>7(3)</w:t>
      </w:r>
    </w:p>
    <w:p>
      <w:pPr>
        <w:pStyle w:val="DefinedTerms"/>
      </w:pPr>
      <w:r>
        <w:t>original salary</w:t>
      </w:r>
      <w:r>
        <w:tab/>
        <w:t>7(3a)</w:t>
      </w:r>
    </w:p>
    <w:p>
      <w:pPr>
        <w:pStyle w:val="DefinedTerms"/>
      </w:pPr>
      <w:r>
        <w:t>partial and permanent disablement benefit</w:t>
      </w:r>
      <w:r>
        <w:tab/>
        <w:t>3(1)</w:t>
      </w:r>
    </w:p>
    <w:p>
      <w:pPr>
        <w:pStyle w:val="DefinedTerms"/>
      </w:pPr>
      <w:r>
        <w:t>partner</w:t>
      </w:r>
      <w:r>
        <w:tab/>
        <w:t>3(1)</w:t>
      </w:r>
    </w:p>
    <w:p>
      <w:pPr>
        <w:pStyle w:val="DefinedTerms"/>
      </w:pPr>
      <w:r>
        <w:t>payment period</w:t>
      </w:r>
      <w:r>
        <w:tab/>
        <w:t>3(1)</w:t>
      </w:r>
    </w:p>
    <w:p>
      <w:pPr>
        <w:pStyle w:val="DefinedTerms"/>
      </w:pPr>
      <w:r>
        <w:t>prescribed member</w:t>
      </w:r>
      <w:r>
        <w:tab/>
        <w:t>41(1), 41A(1)</w:t>
      </w:r>
    </w:p>
    <w:p>
      <w:pPr>
        <w:pStyle w:val="DefinedTerms"/>
      </w:pPr>
      <w:r>
        <w:t>preservation age</w:t>
      </w:r>
      <w:r>
        <w:tab/>
        <w:t>3(1)</w:t>
      </w:r>
    </w:p>
    <w:p>
      <w:pPr>
        <w:pStyle w:val="DefinedTerms"/>
      </w:pPr>
      <w:r>
        <w:t>previous superannuation fund</w:t>
      </w:r>
      <w:r>
        <w:tab/>
        <w:t>3(1)</w:t>
      </w:r>
    </w:p>
    <w:p>
      <w:pPr>
        <w:pStyle w:val="DefinedTerms"/>
      </w:pPr>
      <w:r>
        <w:t>relevant date</w:t>
      </w:r>
      <w:r>
        <w:tab/>
        <w:t>8(1)</w:t>
      </w:r>
    </w:p>
    <w:p>
      <w:pPr>
        <w:pStyle w:val="DefinedTerms"/>
      </w:pPr>
      <w:r>
        <w:t>relevant month</w:t>
      </w:r>
      <w:r>
        <w:tab/>
        <w:t>3(1)</w:t>
      </w:r>
    </w:p>
    <w:p>
      <w:pPr>
        <w:pStyle w:val="DefinedTerms"/>
      </w:pPr>
      <w:r>
        <w:t>relevant percentage</w:t>
      </w:r>
      <w:r>
        <w:tab/>
        <w:t>41A(1)</w:t>
      </w:r>
    </w:p>
    <w:p>
      <w:pPr>
        <w:pStyle w:val="DefinedTerms"/>
      </w:pPr>
      <w:r>
        <w:t>salary day</w:t>
      </w:r>
      <w:r>
        <w:tab/>
        <w:t>16(1), 40(5)</w:t>
      </w:r>
    </w:p>
    <w:p>
      <w:pPr>
        <w:pStyle w:val="DefinedTerms"/>
      </w:pPr>
      <w:r>
        <w:t>satisfactory alternative employment</w:t>
      </w:r>
      <w:r>
        <w:tab/>
        <w:t>23B(10)</w:t>
      </w:r>
    </w:p>
    <w:p>
      <w:pPr>
        <w:pStyle w:val="DefinedTerms"/>
      </w:pPr>
      <w:r>
        <w:t>service percentage</w:t>
      </w:r>
      <w:r>
        <w:tab/>
        <w:t>41(2)</w:t>
      </w:r>
    </w:p>
    <w:p>
      <w:pPr>
        <w:pStyle w:val="DefinedTerms"/>
      </w:pPr>
      <w:r>
        <w:t>SIS Act</w:t>
      </w:r>
      <w:r>
        <w:tab/>
        <w:t>3(1)</w:t>
      </w:r>
    </w:p>
    <w:p>
      <w:pPr>
        <w:pStyle w:val="DefinedTerms"/>
      </w:pPr>
      <w:r>
        <w:t>SIS Regulations</w:t>
      </w:r>
      <w:r>
        <w:tab/>
        <w:t>3(1)</w:t>
      </w:r>
    </w:p>
    <w:p>
      <w:pPr>
        <w:pStyle w:val="DefinedTerms"/>
      </w:pPr>
      <w:r>
        <w:t>SIS standards</w:t>
      </w:r>
      <w:r>
        <w:tab/>
        <w:t>3(1)</w:t>
      </w:r>
    </w:p>
    <w:p>
      <w:pPr>
        <w:pStyle w:val="DefinedTerms"/>
      </w:pPr>
      <w:r>
        <w:t>splittable contribution</w:t>
      </w:r>
      <w:r>
        <w:tab/>
        <w:t>3(1)</w:t>
      </w:r>
    </w:p>
    <w:p>
      <w:pPr>
        <w:pStyle w:val="DefinedTerms"/>
      </w:pPr>
      <w:r>
        <w:t>Superannuation Guarantee Charge</w:t>
      </w:r>
      <w:r>
        <w:tab/>
        <w:t>3(1)</w:t>
      </w:r>
    </w:p>
    <w:p>
      <w:pPr>
        <w:pStyle w:val="DefinedTerms"/>
      </w:pPr>
      <w:r>
        <w:t>supplementary disablement benefit</w:t>
      </w:r>
      <w:r>
        <w:tab/>
        <w:t>3(1)</w:t>
      </w:r>
    </w:p>
    <w:p>
      <w:pPr>
        <w:pStyle w:val="DefinedTerms"/>
      </w:pPr>
      <w:r>
        <w:t>temporary or casual employee</w:t>
      </w:r>
      <w:r>
        <w:tab/>
        <w:t>3(1), 12A(3)</w:t>
      </w:r>
    </w:p>
    <w:p>
      <w:pPr>
        <w:pStyle w:val="DefinedTerms"/>
      </w:pPr>
      <w:r>
        <w:t>trustee corporation</w:t>
      </w:r>
      <w:r>
        <w:tab/>
        <w:t>25(5)</w:t>
      </w:r>
    </w:p>
    <w:p/>
    <w:p>
      <w:pPr>
        <w:sectPr>
          <w:headerReference w:type="even" r:id="rId67"/>
          <w:headerReference w:type="default" r:id="rId68"/>
          <w:pgSz w:w="11907" w:h="16840" w:code="9"/>
          <w:pgMar w:top="2381" w:right="2409" w:bottom="3543" w:left="2409" w:header="720" w:footer="3380" w:gutter="0"/>
          <w:cols w:space="720"/>
          <w:noEndnote/>
          <w:docGrid w:linePitch="326"/>
        </w:sectPr>
      </w:pPr>
    </w:p>
    <w:p/>
    <w:sectPr>
      <w:headerReference w:type="even" r:id="rId69"/>
      <w:headerReference w:type="default" r:id="rId70"/>
      <w:footerReference w:type="even" r:id="rId71"/>
      <w:footerReference w:type="default" r:id="rId72"/>
      <w:headerReference w:type="first" r:id="rId73"/>
      <w:footerReference w:type="first" r:id="rId7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(Superannuation Fund)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 w:name="Schedule"/>
    <w:bookmarkEnd w:id="1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Membership period for death benefits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Membership period for death benefits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General meetings of members of the Superannuation Fund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General meetings of members of the Superannuation Fund</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Borders>
            <w:bottom w:val="single" w:sz="4" w:space="0" w:color="auto"/>
          </w:tcBorders>
        </w:tcPr>
        <w:p>
          <w:pPr>
            <w:pStyle w:val="Header"/>
            <w:spacing w:before="40"/>
          </w:pP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(Superannuation Fund)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Borders>
            <w:bottom w:val="single" w:sz="4" w:space="0" w:color="auto"/>
          </w:tcBorders>
        </w:tcPr>
        <w:p>
          <w:pPr>
            <w:pStyle w:val="Header"/>
            <w:spacing w:before="40"/>
            <w:ind w:right="17"/>
            <w:jc w:val="right"/>
          </w:pPr>
        </w:p>
      </w:tc>
    </w:tr>
  </w:tbl>
  <w:p>
    <w:bookmarkStart w:id="281" w:name="Compilation"/>
    <w:bookmarkEnd w:id="28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(Superannuation Fund)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(Superannuation Fund)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3" w:name="DefinedTerms"/>
    <w:bookmarkEnd w:id="28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31349"/>
    <w:docVar w:name="WAFER_20140115112951" w:val="RemoveTocBookmarks,RemoveUnusedBookmarks,RemoveLanguageTags,UsedStyles,ResetPageSize,UpdateArrangement"/>
    <w:docVar w:name="WAFER_20140115112951_GUID" w:val="05986fc4-903c-46f2-94f2-1dde124e9f7d"/>
    <w:docVar w:name="WAFER_20140115113423" w:val="RemoveTocBookmarks,RunningHeaders"/>
    <w:docVar w:name="WAFER_20140115113423_GUID" w:val="ba2e61ff-31cb-4cec-aaa5-dfac78aa853a"/>
    <w:docVar w:name="WAFER_20140328095235" w:val="RemoveTocBookmarks,RemoveLanguageTags,RemoveTrackChanges,RunningHeaders"/>
    <w:docVar w:name="WAFER_20140328095235_GUID" w:val="85733009-479a-4efd-b7d7-7cb99b30009a"/>
    <w:docVar w:name="WAFER_20140328095259" w:val="RemoveTocBookmarks,RemoveLanguageTags,RemoveTrackChanges,RunningHeaders"/>
    <w:docVar w:name="WAFER_20140328095259_GUID" w:val="b2e79336-2855-4ebc-9bae-39699b04eef5"/>
    <w:docVar w:name="WAFER_20140522104536" w:val="RemoveTocBookmarks,RemoveUnusedBookmarks,RemoveLanguageTags,UsedStyles,ResetPageSize"/>
    <w:docVar w:name="WAFER_20140522104536_GUID" w:val="05eb9456-d3d5-4263-9e17-40e6aebd427f"/>
    <w:docVar w:name="WAFER_20141124132633" w:val="RemoveTocBookmarks,RemoveUnusedBookmarks,RemoveLanguageTags,UsedStyles,ResetPageSize,UpdateArrangement"/>
    <w:docVar w:name="WAFER_20141124132633_GUID" w:val="77a6e36a-a833-43f7-9796-6cc452fb1773"/>
    <w:docVar w:name="WAFER_20150506111022" w:val="ResetPageSize,UpdateArrangement,UpdateNTable"/>
    <w:docVar w:name="WAFER_20150506111022_GUID" w:val="fbfe232b-b2dd-483f-a947-cfa8b08f3fe8"/>
    <w:docVar w:name="WAFER_20151125093805" w:val="UpdateStyles"/>
    <w:docVar w:name="WAFER_20151125093805_GUID" w:val="dd80badb-67bb-4f4d-8769-2a7ba27fdc45"/>
    <w:docVar w:name="WAFER_20151126131349" w:val="UsedStyles"/>
    <w:docVar w:name="WAFER_20151126131349_GUID" w:val="b9b66142-8e29-49ab-a2b6-05ace9239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image" Target="media/image8.wmf"/><Relationship Id="rId21" Type="http://schemas.openxmlformats.org/officeDocument/2006/relationships/footer" Target="footer6.xml"/><Relationship Id="rId34" Type="http://schemas.openxmlformats.org/officeDocument/2006/relationships/oleObject" Target="embeddings/oleObject3.bin"/><Relationship Id="rId42" Type="http://schemas.openxmlformats.org/officeDocument/2006/relationships/oleObject" Target="embeddings/oleObject6.bin"/><Relationship Id="rId47" Type="http://schemas.openxmlformats.org/officeDocument/2006/relationships/image" Target="media/image12.wmf"/><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header" Target="header15.xml"/><Relationship Id="rId68" Type="http://schemas.openxmlformats.org/officeDocument/2006/relationships/header" Target="header20.xm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0.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oleObject" Target="embeddings/oleObject4.bin"/><Relationship Id="rId40" Type="http://schemas.openxmlformats.org/officeDocument/2006/relationships/oleObject" Target="embeddings/oleObject5.bin"/><Relationship Id="rId45" Type="http://schemas.openxmlformats.org/officeDocument/2006/relationships/image" Target="media/image11.wmf"/><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8.xml"/><Relationship Id="rId7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image" Target="media/image6.wmf"/><Relationship Id="rId49" Type="http://schemas.openxmlformats.org/officeDocument/2006/relationships/image" Target="media/image13.wmf"/><Relationship Id="rId57" Type="http://schemas.openxmlformats.org/officeDocument/2006/relationships/image" Target="media/image17.wmf"/><Relationship Id="rId61" Type="http://schemas.openxmlformats.org/officeDocument/2006/relationships/image" Target="media/image19.png"/><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oleObject" Target="embeddings/oleObject7.bin"/><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header" Target="header17.xml"/><Relationship Id="rId73"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image" Target="media/image5.wmf"/><Relationship Id="rId43" Type="http://schemas.openxmlformats.org/officeDocument/2006/relationships/image" Target="media/image10.wmf"/><Relationship Id="rId48" Type="http://schemas.openxmlformats.org/officeDocument/2006/relationships/oleObject" Target="embeddings/oleObject9.bin"/><Relationship Id="rId56" Type="http://schemas.openxmlformats.org/officeDocument/2006/relationships/oleObject" Target="embeddings/oleObject13.bin"/><Relationship Id="rId64" Type="http://schemas.openxmlformats.org/officeDocument/2006/relationships/header" Target="header16.xml"/><Relationship Id="rId69" Type="http://schemas.openxmlformats.org/officeDocument/2006/relationships/header" Target="header21.xml"/><Relationship Id="rId8" Type="http://schemas.openxmlformats.org/officeDocument/2006/relationships/endnotes" Target="endnotes.xml"/><Relationship Id="rId51" Type="http://schemas.openxmlformats.org/officeDocument/2006/relationships/image" Target="media/image14.wmf"/><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4.wmf"/><Relationship Id="rId38" Type="http://schemas.openxmlformats.org/officeDocument/2006/relationships/image" Target="media/image7.wmf"/><Relationship Id="rId46" Type="http://schemas.openxmlformats.org/officeDocument/2006/relationships/oleObject" Target="embeddings/oleObject8.bin"/><Relationship Id="rId59" Type="http://schemas.openxmlformats.org/officeDocument/2006/relationships/image" Target="media/image18.wmf"/><Relationship Id="rId67" Type="http://schemas.openxmlformats.org/officeDocument/2006/relationships/header" Target="header19.xml"/><Relationship Id="rId20" Type="http://schemas.openxmlformats.org/officeDocument/2006/relationships/header" Target="header6.xml"/><Relationship Id="rId41" Type="http://schemas.openxmlformats.org/officeDocument/2006/relationships/image" Target="media/image9.wmf"/><Relationship Id="rId54" Type="http://schemas.openxmlformats.org/officeDocument/2006/relationships/oleObject" Target="embeddings/oleObject12.bin"/><Relationship Id="rId62" Type="http://schemas.openxmlformats.org/officeDocument/2006/relationships/header" Target="header14.xml"/><Relationship Id="rId70" Type="http://schemas.openxmlformats.org/officeDocument/2006/relationships/header" Target="header2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226A3-B417-43D6-8725-F5A4DDA5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22697</Words>
  <Characters>111902</Characters>
  <Application>Microsoft Office Word</Application>
  <DocSecurity>0</DocSecurity>
  <Lines>3108</Lines>
  <Paragraphs>1565</Paragraphs>
  <ScaleCrop>false</ScaleCrop>
  <HeadingPairs>
    <vt:vector size="2" baseType="variant">
      <vt:variant>
        <vt:lpstr>Title</vt:lpstr>
      </vt:variant>
      <vt:variant>
        <vt:i4>1</vt:i4>
      </vt:variant>
    </vt:vector>
  </HeadingPairs>
  <TitlesOfParts>
    <vt:vector size="1" baseType="lpstr">
      <vt:lpstr>Fire and Emergency Services (Superannuation Fund) Regulations 1986</vt:lpstr>
    </vt:vector>
  </TitlesOfParts>
  <Manager/>
  <Company/>
  <LinksUpToDate>false</LinksUpToDate>
  <CharactersWithSpaces>133034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1986 - 04-b0-03</dc:title>
  <dc:subject/>
  <dc:creator/>
  <cp:keywords/>
  <dc:description/>
  <cp:lastModifiedBy>svcMRProcess</cp:lastModifiedBy>
  <cp:revision>4</cp:revision>
  <cp:lastPrinted>2014-04-22T03:55:00Z</cp:lastPrinted>
  <dcterms:created xsi:type="dcterms:W3CDTF">2020-02-20T09:13:00Z</dcterms:created>
  <dcterms:modified xsi:type="dcterms:W3CDTF">2020-02-20T09:13:00Z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20141126</vt:lpwstr>
  </property>
  <property fmtid="{D5CDD505-2E9C-101B-9397-08002B2CF9AE}" pid="4" name="DocumentType">
    <vt:lpwstr>Reg</vt:lpwstr>
  </property>
  <property fmtid="{D5CDD505-2E9C-101B-9397-08002B2CF9AE}" pid="5" name="OwlsUID">
    <vt:i4>4444</vt:i4>
  </property>
  <property fmtid="{D5CDD505-2E9C-101B-9397-08002B2CF9AE}" pid="6" name="ReprintNo">
    <vt:lpwstr>4</vt:lpwstr>
  </property>
  <property fmtid="{D5CDD505-2E9C-101B-9397-08002B2CF9AE}" pid="7" name="ReprintedAsAt">
    <vt:filetime>2014-05-01T16:00:00Z</vt:filetime>
  </property>
  <property fmtid="{D5CDD505-2E9C-101B-9397-08002B2CF9AE}" pid="8" name="AsAtDate">
    <vt:lpwstr>26 Nov 2014</vt:lpwstr>
  </property>
  <property fmtid="{D5CDD505-2E9C-101B-9397-08002B2CF9AE}" pid="9" name="Suffix">
    <vt:lpwstr>04-b0-03</vt:lpwstr>
  </property>
</Properties>
</file>