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Curriculum and Standards Authority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Curriculum and Standards Authority Act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_Toc523052838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_Toc523052839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_Toc523052840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Act</w:t>
      </w:r>
      <w:r>
        <w:tab/>
      </w:r>
      <w:r>
        <w:fldChar w:fldCharType="begin"/>
      </w:r>
      <w:r>
        <w:instrText xml:space="preserve"> PAGEREF _Toc523052841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The School Curriculum and Standards Authority and committees</w:t>
      </w:r>
    </w:p>
    <w:p>
      <w:pPr>
        <w:pStyle w:val="TOC4"/>
        <w:tabs>
          <w:tab w:val="right" w:leader="dot" w:pos="7086"/>
        </w:tabs>
        <w:rPr>
          <w:rFonts w:asciiTheme="minorHAnsi" w:eastAsiaTheme="minorEastAsia" w:hAnsiTheme="minorHAnsi" w:cstheme="minorBidi"/>
          <w:b w:val="0"/>
          <w:szCs w:val="22"/>
        </w:rPr>
      </w:pPr>
      <w:r>
        <w:t>Division 1 — School Curriculum and Standards Authority</w:t>
      </w:r>
    </w:p>
    <w:p>
      <w:pPr>
        <w:pStyle w:val="TOC8"/>
        <w:rPr>
          <w:rFonts w:asciiTheme="minorHAnsi" w:eastAsiaTheme="minorEastAsia" w:hAnsiTheme="minorHAnsi" w:cstheme="minorBidi"/>
          <w:szCs w:val="22"/>
        </w:rPr>
      </w:pPr>
      <w:r>
        <w:t>5.</w:t>
      </w:r>
      <w:r>
        <w:tab/>
        <w:t>Authority established; status etc. of Authority</w:t>
      </w:r>
      <w:r>
        <w:tab/>
      </w:r>
      <w:r>
        <w:fldChar w:fldCharType="begin"/>
      </w:r>
      <w:r>
        <w:instrText xml:space="preserve"> PAGEREF _Toc523052844 \h </w:instrText>
      </w:r>
      <w:r>
        <w:fldChar w:fldCharType="separate"/>
      </w:r>
      <w:r>
        <w:t>6</w:t>
      </w:r>
      <w:r>
        <w:fldChar w:fldCharType="end"/>
      </w:r>
    </w:p>
    <w:p>
      <w:pPr>
        <w:pStyle w:val="TOC8"/>
        <w:rPr>
          <w:rFonts w:asciiTheme="minorHAnsi" w:eastAsiaTheme="minorEastAsia" w:hAnsiTheme="minorHAnsi" w:cstheme="minorBidi"/>
          <w:szCs w:val="22"/>
        </w:rPr>
      </w:pPr>
      <w:r>
        <w:t>6.</w:t>
      </w:r>
      <w:r>
        <w:tab/>
        <w:t>Board of Authority</w:t>
      </w:r>
      <w:r>
        <w:tab/>
      </w:r>
      <w:r>
        <w:fldChar w:fldCharType="begin"/>
      </w:r>
      <w:r>
        <w:instrText xml:space="preserve"> PAGEREF _Toc523052845 \h </w:instrText>
      </w:r>
      <w:r>
        <w:fldChar w:fldCharType="separate"/>
      </w:r>
      <w:r>
        <w:t>6</w:t>
      </w:r>
      <w:r>
        <w:fldChar w:fldCharType="end"/>
      </w:r>
    </w:p>
    <w:p>
      <w:pPr>
        <w:pStyle w:val="TOC8"/>
        <w:rPr>
          <w:rFonts w:asciiTheme="minorHAnsi" w:eastAsiaTheme="minorEastAsia" w:hAnsiTheme="minorHAnsi" w:cstheme="minorBidi"/>
          <w:szCs w:val="22"/>
        </w:rPr>
      </w:pPr>
      <w:r>
        <w:t>7A.</w:t>
      </w:r>
      <w:r>
        <w:tab/>
        <w:t>Board, members of</w:t>
      </w:r>
      <w:r>
        <w:tab/>
      </w:r>
      <w:r>
        <w:fldChar w:fldCharType="begin"/>
      </w:r>
      <w:r>
        <w:instrText xml:space="preserve"> PAGEREF _Toc523052846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7B.</w:t>
      </w:r>
      <w:r>
        <w:tab/>
        <w:t>Standards Committee established; members of</w:t>
      </w:r>
      <w:r>
        <w:tab/>
      </w:r>
      <w:r>
        <w:fldChar w:fldCharType="begin"/>
      </w:r>
      <w:r>
        <w:instrText xml:space="preserve"> PAGEREF _Toc523052848 \h </w:instrText>
      </w:r>
      <w:r>
        <w:fldChar w:fldCharType="separate"/>
      </w:r>
      <w:r>
        <w:t>7</w:t>
      </w:r>
      <w:r>
        <w:fldChar w:fldCharType="end"/>
      </w:r>
    </w:p>
    <w:p>
      <w:pPr>
        <w:pStyle w:val="TOC8"/>
        <w:rPr>
          <w:rFonts w:asciiTheme="minorHAnsi" w:eastAsiaTheme="minorEastAsia" w:hAnsiTheme="minorHAnsi" w:cstheme="minorBidi"/>
          <w:szCs w:val="22"/>
        </w:rPr>
      </w:pPr>
      <w:r>
        <w:t>7C.</w:t>
      </w:r>
      <w:r>
        <w:tab/>
        <w:t>Standards Committee, functions of</w:t>
      </w:r>
      <w:r>
        <w:tab/>
      </w:r>
      <w:r>
        <w:fldChar w:fldCharType="begin"/>
      </w:r>
      <w:r>
        <w:instrText xml:space="preserve"> PAGEREF _Toc523052849 \h </w:instrText>
      </w:r>
      <w:r>
        <w:fldChar w:fldCharType="separate"/>
      </w:r>
      <w:r>
        <w:t>7</w:t>
      </w:r>
      <w:r>
        <w:fldChar w:fldCharType="end"/>
      </w:r>
    </w:p>
    <w:p>
      <w:pPr>
        <w:pStyle w:val="TOC8"/>
        <w:rPr>
          <w:rFonts w:asciiTheme="minorHAnsi" w:eastAsiaTheme="minorEastAsia" w:hAnsiTheme="minorHAnsi" w:cstheme="minorBidi"/>
          <w:szCs w:val="22"/>
        </w:rPr>
      </w:pPr>
      <w:r>
        <w:t>7D.</w:t>
      </w:r>
      <w:r>
        <w:tab/>
        <w:t>Curriculum and Assessment Committee established; members of</w:t>
      </w:r>
      <w:r>
        <w:tab/>
      </w:r>
      <w:r>
        <w:fldChar w:fldCharType="begin"/>
      </w:r>
      <w:r>
        <w:instrText xml:space="preserve"> PAGEREF _Toc523052850 \h </w:instrText>
      </w:r>
      <w:r>
        <w:fldChar w:fldCharType="separate"/>
      </w:r>
      <w:r>
        <w:t>8</w:t>
      </w:r>
      <w:r>
        <w:fldChar w:fldCharType="end"/>
      </w:r>
    </w:p>
    <w:p>
      <w:pPr>
        <w:pStyle w:val="TOC8"/>
        <w:rPr>
          <w:rFonts w:asciiTheme="minorHAnsi" w:eastAsiaTheme="minorEastAsia" w:hAnsiTheme="minorHAnsi" w:cstheme="minorBidi"/>
          <w:szCs w:val="22"/>
        </w:rPr>
      </w:pPr>
      <w:r>
        <w:t>7E.</w:t>
      </w:r>
      <w:r>
        <w:tab/>
        <w:t>Curriculum and Assessment Committee, functions of</w:t>
      </w:r>
      <w:r>
        <w:tab/>
      </w:r>
      <w:r>
        <w:fldChar w:fldCharType="begin"/>
      </w:r>
      <w:r>
        <w:instrText xml:space="preserve"> PAGEREF _Toc523052851 \h </w:instrText>
      </w:r>
      <w:r>
        <w:fldChar w:fldCharType="separate"/>
      </w:r>
      <w:r>
        <w:t>9</w:t>
      </w:r>
      <w:r>
        <w:fldChar w:fldCharType="end"/>
      </w:r>
    </w:p>
    <w:p>
      <w:pPr>
        <w:pStyle w:val="TOC8"/>
        <w:rPr>
          <w:rFonts w:asciiTheme="minorHAnsi" w:eastAsiaTheme="minorEastAsia" w:hAnsiTheme="minorHAnsi" w:cstheme="minorBidi"/>
          <w:szCs w:val="22"/>
        </w:rPr>
      </w:pPr>
      <w:r>
        <w:t>7F.</w:t>
      </w:r>
      <w:r>
        <w:tab/>
        <w:t>Other committees</w:t>
      </w:r>
      <w:r>
        <w:tab/>
      </w:r>
      <w:r>
        <w:fldChar w:fldCharType="begin"/>
      </w:r>
      <w:r>
        <w:instrText xml:space="preserve"> PAGEREF _Toc523052852 \h </w:instrText>
      </w:r>
      <w:r>
        <w:fldChar w:fldCharType="separate"/>
      </w:r>
      <w:r>
        <w:t>9</w:t>
      </w:r>
      <w:r>
        <w:fldChar w:fldCharType="end"/>
      </w:r>
    </w:p>
    <w:p>
      <w:pPr>
        <w:pStyle w:val="TOC8"/>
        <w:rPr>
          <w:rFonts w:asciiTheme="minorHAnsi" w:eastAsiaTheme="minorEastAsia" w:hAnsiTheme="minorHAnsi" w:cstheme="minorBidi"/>
          <w:szCs w:val="22"/>
        </w:rPr>
      </w:pPr>
      <w:r>
        <w:t>7G.</w:t>
      </w:r>
      <w:r>
        <w:tab/>
        <w:t>Support services for committees</w:t>
      </w:r>
      <w:r>
        <w:tab/>
      </w:r>
      <w:r>
        <w:fldChar w:fldCharType="begin"/>
      </w:r>
      <w:r>
        <w:instrText xml:space="preserve"> PAGEREF _Toc523052853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7</w:t>
      </w:r>
      <w:r>
        <w:rPr>
          <w:snapToGrid w:val="0"/>
        </w:rPr>
        <w:t>.</w:t>
      </w:r>
      <w:r>
        <w:rPr>
          <w:snapToGrid w:val="0"/>
        </w:rPr>
        <w:tab/>
        <w:t>Provisions about Board (Sch. 1)</w:t>
      </w:r>
      <w:r>
        <w:tab/>
      </w:r>
      <w:r>
        <w:fldChar w:fldCharType="begin"/>
      </w:r>
      <w:r>
        <w:instrText xml:space="preserve"> PAGEREF _Toc523052855 \h </w:instrText>
      </w:r>
      <w:r>
        <w:fldChar w:fldCharType="separate"/>
      </w:r>
      <w:r>
        <w:t>10</w:t>
      </w:r>
      <w:r>
        <w:fldChar w:fldCharType="end"/>
      </w:r>
    </w:p>
    <w:p>
      <w:pPr>
        <w:pStyle w:val="TOC8"/>
        <w:rPr>
          <w:rFonts w:asciiTheme="minorHAnsi" w:eastAsiaTheme="minorEastAsia" w:hAnsiTheme="minorHAnsi" w:cstheme="minorBidi"/>
          <w:szCs w:val="22"/>
        </w:rPr>
      </w:pPr>
      <w:r>
        <w:t>8A.</w:t>
      </w:r>
      <w:r>
        <w:tab/>
        <w:t>CEO or representative may attend meetings of Board and committees</w:t>
      </w:r>
      <w:r>
        <w:tab/>
      </w:r>
      <w:r>
        <w:fldChar w:fldCharType="begin"/>
      </w:r>
      <w:r>
        <w:instrText xml:space="preserve"> PAGEREF _Toc523052856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Members of Board and committees, remuneration of</w:t>
      </w:r>
      <w:r>
        <w:tab/>
      </w:r>
      <w:r>
        <w:fldChar w:fldCharType="begin"/>
      </w:r>
      <w:r>
        <w:instrText xml:space="preserve"> PAGEREF _Toc523052857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9.</w:t>
      </w:r>
      <w:r>
        <w:tab/>
        <w:t>Functions of Authority</w:t>
      </w:r>
      <w:r>
        <w:tab/>
      </w:r>
      <w:r>
        <w:fldChar w:fldCharType="begin"/>
      </w:r>
      <w:r>
        <w:instrText xml:space="preserve"> PAGEREF _Toc523052859 \h </w:instrText>
      </w:r>
      <w:r>
        <w:fldChar w:fldCharType="separate"/>
      </w:r>
      <w:r>
        <w:t>12</w:t>
      </w:r>
      <w:r>
        <w:fldChar w:fldCharType="end"/>
      </w:r>
    </w:p>
    <w:p>
      <w:pPr>
        <w:pStyle w:val="TOC8"/>
        <w:rPr>
          <w:rFonts w:asciiTheme="minorHAnsi" w:eastAsiaTheme="minorEastAsia" w:hAnsiTheme="minorHAnsi" w:cstheme="minorBidi"/>
          <w:szCs w:val="22"/>
        </w:rPr>
      </w:pPr>
      <w:r>
        <w:t>10.</w:t>
      </w:r>
      <w:r>
        <w:tab/>
        <w:t>Advisory function of Authority</w:t>
      </w:r>
      <w:r>
        <w:tab/>
      </w:r>
      <w:r>
        <w:fldChar w:fldCharType="begin"/>
      </w:r>
      <w:r>
        <w:instrText xml:space="preserve"> PAGEREF _Toc523052860 \h </w:instrText>
      </w:r>
      <w:r>
        <w:fldChar w:fldCharType="separate"/>
      </w:r>
      <w:r>
        <w:t>15</w:t>
      </w:r>
      <w:r>
        <w:fldChar w:fldCharType="end"/>
      </w:r>
    </w:p>
    <w:p>
      <w:pPr>
        <w:pStyle w:val="TOC8"/>
        <w:rPr>
          <w:rFonts w:asciiTheme="minorHAnsi" w:eastAsiaTheme="minorEastAsia" w:hAnsiTheme="minorHAnsi" w:cstheme="minorBidi"/>
          <w:szCs w:val="22"/>
        </w:rPr>
      </w:pPr>
      <w:r>
        <w:t>11.</w:t>
      </w:r>
      <w:r>
        <w:tab/>
        <w:t>Draft reports on standards of student achievement, preparation of etc.</w:t>
      </w:r>
      <w:r>
        <w:tab/>
      </w:r>
      <w:r>
        <w:fldChar w:fldCharType="begin"/>
      </w:r>
      <w:r>
        <w:instrText xml:space="preserve"> PAGEREF _Toc523052861 \h </w:instrText>
      </w:r>
      <w:r>
        <w:fldChar w:fldCharType="separate"/>
      </w:r>
      <w:r>
        <w:t>15</w:t>
      </w:r>
      <w:r>
        <w:fldChar w:fldCharType="end"/>
      </w:r>
    </w:p>
    <w:p>
      <w:pPr>
        <w:pStyle w:val="TOC8"/>
        <w:rPr>
          <w:rFonts w:asciiTheme="minorHAnsi" w:eastAsiaTheme="minorEastAsia" w:hAnsiTheme="minorHAnsi" w:cstheme="minorBidi"/>
          <w:szCs w:val="22"/>
        </w:rPr>
      </w:pPr>
      <w:r>
        <w:t>12.</w:t>
      </w:r>
      <w:r>
        <w:tab/>
        <w:t>Draft reports under s. 11(2), dealing with</w:t>
      </w:r>
      <w:r>
        <w:tab/>
      </w:r>
      <w:r>
        <w:fldChar w:fldCharType="begin"/>
      </w:r>
      <w:r>
        <w:instrText xml:space="preserve"> PAGEREF _Toc523052862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assessment and register of courses, Authority to keep etc.</w:t>
      </w:r>
      <w:r>
        <w:tab/>
      </w:r>
      <w:r>
        <w:fldChar w:fldCharType="begin"/>
      </w:r>
      <w:r>
        <w:instrText xml:space="preserve"> PAGEREF _Toc523052863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Powers of Authority</w:t>
      </w:r>
      <w:r>
        <w:tab/>
      </w:r>
      <w:r>
        <w:fldChar w:fldCharType="begin"/>
      </w:r>
      <w:r>
        <w:instrText xml:space="preserve"> PAGEREF _Toc523052864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 matters affecting performance of</w:t>
      </w:r>
      <w:r>
        <w:tab/>
      </w:r>
      <w:r>
        <w:fldChar w:fldCharType="begin"/>
      </w:r>
      <w:r>
        <w:instrText xml:space="preserve"> PAGEREF _Toc523052865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Delegation by Authority</w:t>
      </w:r>
      <w:r>
        <w:tab/>
      </w:r>
      <w:r>
        <w:fldChar w:fldCharType="begin"/>
      </w:r>
      <w:r>
        <w:instrText xml:space="preserve"> PAGEREF _Toc523052866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Minister may give directions to Authority</w:t>
      </w:r>
      <w:r>
        <w:tab/>
      </w:r>
      <w:r>
        <w:fldChar w:fldCharType="begin"/>
      </w:r>
      <w:r>
        <w:instrText xml:space="preserve"> PAGEREF _Toc523052867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to have access to information</w:t>
      </w:r>
      <w:r>
        <w:tab/>
      </w:r>
      <w:r>
        <w:fldChar w:fldCharType="begin"/>
      </w:r>
      <w:r>
        <w:instrText xml:space="preserve"> PAGEREF _Toc523052868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3A</w:t>
      </w:r>
      <w:r>
        <w:rPr>
          <w:b w:val="0"/>
        </w:rPr>
        <w:t> </w:t>
      </w:r>
      <w:r>
        <w:t>—</w:t>
      </w:r>
      <w:r>
        <w:rPr>
          <w:b w:val="0"/>
        </w:rPr>
        <w:t> </w:t>
      </w:r>
      <w:r>
        <w:t>Student records</w:t>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_Toc523052870 \h </w:instrText>
      </w:r>
      <w:r>
        <w:fldChar w:fldCharType="separate"/>
      </w:r>
      <w:r>
        <w:t>23</w:t>
      </w:r>
      <w:r>
        <w:fldChar w:fldCharType="end"/>
      </w:r>
    </w:p>
    <w:p>
      <w:pPr>
        <w:pStyle w:val="TOC8"/>
        <w:rPr>
          <w:rFonts w:asciiTheme="minorHAnsi" w:eastAsiaTheme="minorEastAsia" w:hAnsiTheme="minorHAnsi" w:cstheme="minorBidi"/>
          <w:szCs w:val="22"/>
        </w:rPr>
      </w:pPr>
      <w:r>
        <w:t>19B.</w:t>
      </w:r>
      <w:r>
        <w:tab/>
        <w:t>Application of this Part to overseas students</w:t>
      </w:r>
      <w:r>
        <w:tab/>
      </w:r>
      <w:r>
        <w:fldChar w:fldCharType="begin"/>
      </w:r>
      <w:r>
        <w:instrText xml:space="preserve"> PAGEREF _Toc523052871 \h </w:instrText>
      </w:r>
      <w:r>
        <w:fldChar w:fldCharType="separate"/>
      </w:r>
      <w:r>
        <w:t>25</w:t>
      </w:r>
      <w:r>
        <w:fldChar w:fldCharType="end"/>
      </w:r>
    </w:p>
    <w:p>
      <w:pPr>
        <w:pStyle w:val="TOC8"/>
        <w:rPr>
          <w:rFonts w:asciiTheme="minorHAnsi" w:eastAsiaTheme="minorEastAsia" w:hAnsiTheme="minorHAnsi" w:cstheme="minorBidi"/>
          <w:szCs w:val="22"/>
        </w:rPr>
      </w:pPr>
      <w:r>
        <w:t>19C.</w:t>
      </w:r>
      <w:r>
        <w:tab/>
        <w:t>When student record to be opened</w:t>
      </w:r>
      <w:r>
        <w:tab/>
      </w:r>
      <w:r>
        <w:fldChar w:fldCharType="begin"/>
      </w:r>
      <w:r>
        <w:instrText xml:space="preserve"> PAGEREF _Toc523052872 \h </w:instrText>
      </w:r>
      <w:r>
        <w:fldChar w:fldCharType="separate"/>
      </w:r>
      <w:r>
        <w:t>25</w:t>
      </w:r>
      <w:r>
        <w:fldChar w:fldCharType="end"/>
      </w:r>
    </w:p>
    <w:p>
      <w:pPr>
        <w:pStyle w:val="TOC8"/>
        <w:rPr>
          <w:rFonts w:asciiTheme="minorHAnsi" w:eastAsiaTheme="minorEastAsia" w:hAnsiTheme="minorHAnsi" w:cstheme="minorBidi"/>
          <w:szCs w:val="22"/>
        </w:rPr>
      </w:pPr>
      <w:r>
        <w:t>19D.</w:t>
      </w:r>
      <w:r>
        <w:tab/>
        <w:t>Provider may be directed to open student record</w:t>
      </w:r>
      <w:r>
        <w:tab/>
      </w:r>
      <w:r>
        <w:fldChar w:fldCharType="begin"/>
      </w:r>
      <w:r>
        <w:instrText xml:space="preserve"> PAGEREF _Toc523052873 \h </w:instrText>
      </w:r>
      <w:r>
        <w:fldChar w:fldCharType="separate"/>
      </w:r>
      <w:r>
        <w:t>26</w:t>
      </w:r>
      <w:r>
        <w:fldChar w:fldCharType="end"/>
      </w:r>
    </w:p>
    <w:p>
      <w:pPr>
        <w:pStyle w:val="TOC8"/>
        <w:rPr>
          <w:rFonts w:asciiTheme="minorHAnsi" w:eastAsiaTheme="minorEastAsia" w:hAnsiTheme="minorHAnsi" w:cstheme="minorBidi"/>
          <w:szCs w:val="22"/>
        </w:rPr>
      </w:pPr>
      <w:r>
        <w:t>19E.</w:t>
      </w:r>
      <w:r>
        <w:tab/>
        <w:t>How student record is opened</w:t>
      </w:r>
      <w:r>
        <w:tab/>
      </w:r>
      <w:r>
        <w:fldChar w:fldCharType="begin"/>
      </w:r>
      <w:r>
        <w:instrText xml:space="preserve"> PAGEREF _Toc523052874 \h </w:instrText>
      </w:r>
      <w:r>
        <w:fldChar w:fldCharType="separate"/>
      </w:r>
      <w:r>
        <w:t>27</w:t>
      </w:r>
      <w:r>
        <w:fldChar w:fldCharType="end"/>
      </w:r>
    </w:p>
    <w:p>
      <w:pPr>
        <w:pStyle w:val="TOC8"/>
        <w:rPr>
          <w:rFonts w:asciiTheme="minorHAnsi" w:eastAsiaTheme="minorEastAsia" w:hAnsiTheme="minorHAnsi" w:cstheme="minorBidi"/>
          <w:szCs w:val="22"/>
        </w:rPr>
      </w:pPr>
      <w:r>
        <w:t>19F.</w:t>
      </w:r>
      <w:r>
        <w:tab/>
        <w:t>Change of student’s provider, employer etc., provider to inform Authority of</w:t>
      </w:r>
      <w:r>
        <w:tab/>
      </w:r>
      <w:r>
        <w:fldChar w:fldCharType="begin"/>
      </w:r>
      <w:r>
        <w:instrText xml:space="preserve"> PAGEREF _Toc523052875 \h </w:instrText>
      </w:r>
      <w:r>
        <w:fldChar w:fldCharType="separate"/>
      </w:r>
      <w:r>
        <w:t>27</w:t>
      </w:r>
      <w:r>
        <w:fldChar w:fldCharType="end"/>
      </w:r>
    </w:p>
    <w:p>
      <w:pPr>
        <w:pStyle w:val="TOC8"/>
        <w:rPr>
          <w:rFonts w:asciiTheme="minorHAnsi" w:eastAsiaTheme="minorEastAsia" w:hAnsiTheme="minorHAnsi" w:cstheme="minorBidi"/>
          <w:szCs w:val="22"/>
        </w:rPr>
      </w:pPr>
      <w:r>
        <w:t>19G.</w:t>
      </w:r>
      <w:r>
        <w:tab/>
        <w:t>Student’s results etc., provider to inform Authority of</w:t>
      </w:r>
      <w:r>
        <w:tab/>
      </w:r>
      <w:r>
        <w:fldChar w:fldCharType="begin"/>
      </w:r>
      <w:r>
        <w:instrText xml:space="preserve"> PAGEREF _Toc523052876 \h </w:instrText>
      </w:r>
      <w:r>
        <w:fldChar w:fldCharType="separate"/>
      </w:r>
      <w:r>
        <w:t>28</w:t>
      </w:r>
      <w:r>
        <w:fldChar w:fldCharType="end"/>
      </w:r>
    </w:p>
    <w:p>
      <w:pPr>
        <w:pStyle w:val="TOC8"/>
        <w:rPr>
          <w:rFonts w:asciiTheme="minorHAnsi" w:eastAsiaTheme="minorEastAsia" w:hAnsiTheme="minorHAnsi" w:cstheme="minorBidi"/>
          <w:szCs w:val="22"/>
        </w:rPr>
      </w:pPr>
      <w:r>
        <w:t>19H.</w:t>
      </w:r>
      <w:r>
        <w:tab/>
        <w:t>Informing Authority, general provisions about</w:t>
      </w:r>
      <w:r>
        <w:tab/>
      </w:r>
      <w:r>
        <w:fldChar w:fldCharType="begin"/>
      </w:r>
      <w:r>
        <w:instrText xml:space="preserve"> PAGEREF _Toc523052877 \h </w:instrText>
      </w:r>
      <w:r>
        <w:fldChar w:fldCharType="separate"/>
      </w:r>
      <w:r>
        <w:t>29</w:t>
      </w:r>
      <w:r>
        <w:fldChar w:fldCharType="end"/>
      </w:r>
    </w:p>
    <w:p>
      <w:pPr>
        <w:pStyle w:val="TOC8"/>
        <w:rPr>
          <w:rFonts w:asciiTheme="minorHAnsi" w:eastAsiaTheme="minorEastAsia" w:hAnsiTheme="minorHAnsi" w:cstheme="minorBidi"/>
          <w:szCs w:val="22"/>
        </w:rPr>
      </w:pPr>
      <w:r>
        <w:t>19I.</w:t>
      </w:r>
      <w:r>
        <w:tab/>
        <w:t>Database of student records etc., Authority to maintain; use of database</w:t>
      </w:r>
      <w:r>
        <w:tab/>
      </w:r>
      <w:r>
        <w:fldChar w:fldCharType="begin"/>
      </w:r>
      <w:r>
        <w:instrText xml:space="preserve"> PAGEREF _Toc523052878 \h </w:instrText>
      </w:r>
      <w:r>
        <w:fldChar w:fldCharType="separate"/>
      </w:r>
      <w:r>
        <w:t>29</w:t>
      </w:r>
      <w:r>
        <w:fldChar w:fldCharType="end"/>
      </w:r>
    </w:p>
    <w:p>
      <w:pPr>
        <w:pStyle w:val="TOC8"/>
        <w:rPr>
          <w:rFonts w:asciiTheme="minorHAnsi" w:eastAsiaTheme="minorEastAsia" w:hAnsiTheme="minorHAnsi" w:cstheme="minorBidi"/>
          <w:szCs w:val="22"/>
        </w:rPr>
      </w:pPr>
      <w:r>
        <w:t>19J.</w:t>
      </w:r>
      <w:r>
        <w:tab/>
      </w:r>
      <w:r>
        <w:rPr>
          <w:bCs/>
        </w:rPr>
        <w:t>Student etc. entitled to student record</w:t>
      </w:r>
      <w:r>
        <w:tab/>
      </w:r>
      <w:r>
        <w:fldChar w:fldCharType="begin"/>
      </w:r>
      <w:r>
        <w:instrText xml:space="preserve"> PAGEREF _Toc523052879 \h </w:instrText>
      </w:r>
      <w:r>
        <w:fldChar w:fldCharType="separate"/>
      </w:r>
      <w:r>
        <w:t>30</w:t>
      </w:r>
      <w:r>
        <w:fldChar w:fldCharType="end"/>
      </w:r>
    </w:p>
    <w:p>
      <w:pPr>
        <w:pStyle w:val="TOC8"/>
        <w:rPr>
          <w:rFonts w:asciiTheme="minorHAnsi" w:eastAsiaTheme="minorEastAsia" w:hAnsiTheme="minorHAnsi" w:cstheme="minorBidi"/>
          <w:szCs w:val="22"/>
        </w:rPr>
      </w:pPr>
      <w:r>
        <w:t>19K.</w:t>
      </w:r>
      <w:r>
        <w:tab/>
        <w:t>Authority may disclose information to provider for checking purposes</w:t>
      </w:r>
      <w:r>
        <w:tab/>
      </w:r>
      <w:r>
        <w:fldChar w:fldCharType="begin"/>
      </w:r>
      <w:r>
        <w:instrText xml:space="preserve"> PAGEREF _Toc523052880 \h </w:instrText>
      </w:r>
      <w:r>
        <w:fldChar w:fldCharType="separate"/>
      </w:r>
      <w:r>
        <w:t>31</w:t>
      </w:r>
      <w:r>
        <w:fldChar w:fldCharType="end"/>
      </w:r>
    </w:p>
    <w:p>
      <w:pPr>
        <w:pStyle w:val="TOC8"/>
        <w:rPr>
          <w:rFonts w:asciiTheme="minorHAnsi" w:eastAsiaTheme="minorEastAsia" w:hAnsiTheme="minorHAnsi" w:cstheme="minorBidi"/>
          <w:szCs w:val="22"/>
        </w:rPr>
      </w:pPr>
      <w:r>
        <w:t>19L.</w:t>
      </w:r>
      <w:r>
        <w:tab/>
        <w:t>Authority, on request, to give Minister information in aggregated form</w:t>
      </w:r>
      <w:r>
        <w:tab/>
      </w:r>
      <w:r>
        <w:fldChar w:fldCharType="begin"/>
      </w:r>
      <w:r>
        <w:instrText xml:space="preserve"> PAGEREF _Toc523052881 \h </w:instrText>
      </w:r>
      <w:r>
        <w:fldChar w:fldCharType="separate"/>
      </w:r>
      <w:r>
        <w:t>31</w:t>
      </w:r>
      <w:r>
        <w:fldChar w:fldCharType="end"/>
      </w:r>
    </w:p>
    <w:p>
      <w:pPr>
        <w:pStyle w:val="TOC8"/>
        <w:rPr>
          <w:rFonts w:asciiTheme="minorHAnsi" w:eastAsiaTheme="minorEastAsia" w:hAnsiTheme="minorHAnsi" w:cstheme="minorBidi"/>
          <w:szCs w:val="22"/>
        </w:rPr>
      </w:pPr>
      <w:r>
        <w:t>19M.</w:t>
      </w:r>
      <w:r>
        <w:tab/>
        <w:t>Authority, on request, to give Minister information to assist in enforcing School Education Act</w:t>
      </w:r>
      <w:r>
        <w:tab/>
      </w:r>
      <w:r>
        <w:fldChar w:fldCharType="begin"/>
      </w:r>
      <w:r>
        <w:instrText xml:space="preserve"> PAGEREF _Toc523052882 \h </w:instrText>
      </w:r>
      <w:r>
        <w:fldChar w:fldCharType="separate"/>
      </w:r>
      <w:r>
        <w:t>31</w:t>
      </w:r>
      <w:r>
        <w:fldChar w:fldCharType="end"/>
      </w:r>
    </w:p>
    <w:p>
      <w:pPr>
        <w:pStyle w:val="TOC8"/>
        <w:rPr>
          <w:rFonts w:asciiTheme="minorHAnsi" w:eastAsiaTheme="minorEastAsia" w:hAnsiTheme="minorHAnsi" w:cstheme="minorBidi"/>
          <w:szCs w:val="22"/>
        </w:rPr>
      </w:pPr>
      <w:r>
        <w:t>19N.</w:t>
      </w:r>
      <w:r>
        <w:tab/>
        <w:t>Disclosure by Minister of information given under s. 19M</w:t>
      </w:r>
      <w:r>
        <w:tab/>
      </w:r>
      <w:r>
        <w:fldChar w:fldCharType="begin"/>
      </w:r>
      <w:r>
        <w:instrText xml:space="preserve"> PAGEREF _Toc523052883 \h </w:instrText>
      </w:r>
      <w:r>
        <w:fldChar w:fldCharType="separate"/>
      </w:r>
      <w:r>
        <w:t>33</w:t>
      </w:r>
      <w:r>
        <w:fldChar w:fldCharType="end"/>
      </w:r>
    </w:p>
    <w:p>
      <w:pPr>
        <w:pStyle w:val="TOC8"/>
        <w:rPr>
          <w:rFonts w:asciiTheme="minorHAnsi" w:eastAsiaTheme="minorEastAsia" w:hAnsiTheme="minorHAnsi" w:cstheme="minorBidi"/>
          <w:szCs w:val="22"/>
        </w:rPr>
      </w:pPr>
      <w:r>
        <w:t>19O.</w:t>
      </w:r>
      <w:r>
        <w:tab/>
        <w:t>Delegation by Minister etc. of s. 19L, 19M and 19N functions</w:t>
      </w:r>
      <w:r>
        <w:tab/>
      </w:r>
      <w:r>
        <w:fldChar w:fldCharType="begin"/>
      </w:r>
      <w:r>
        <w:instrText xml:space="preserve"> PAGEREF _Toc523052884 \h </w:instrText>
      </w:r>
      <w:r>
        <w:fldChar w:fldCharType="separate"/>
      </w:r>
      <w:r>
        <w:t>33</w:t>
      </w:r>
      <w:r>
        <w:fldChar w:fldCharType="end"/>
      </w:r>
    </w:p>
    <w:p>
      <w:pPr>
        <w:pStyle w:val="TOC8"/>
        <w:rPr>
          <w:rFonts w:asciiTheme="minorHAnsi" w:eastAsiaTheme="minorEastAsia" w:hAnsiTheme="minorHAnsi" w:cstheme="minorBidi"/>
          <w:szCs w:val="22"/>
        </w:rPr>
      </w:pPr>
      <w:r>
        <w:t>19P.</w:t>
      </w:r>
      <w:r>
        <w:tab/>
        <w:t>Authority to give certain entities certain information in aggregated form</w:t>
      </w:r>
      <w:r>
        <w:tab/>
      </w:r>
      <w:r>
        <w:fldChar w:fldCharType="begin"/>
      </w:r>
      <w:r>
        <w:instrText xml:space="preserve"> PAGEREF _Toc523052885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20</w:t>
      </w:r>
      <w:r>
        <w:rPr>
          <w:snapToGrid w:val="0"/>
        </w:rPr>
        <w:t>.</w:t>
      </w:r>
      <w:r>
        <w:rPr>
          <w:snapToGrid w:val="0"/>
        </w:rPr>
        <w:tab/>
        <w:t>Chief executive officer</w:t>
      </w:r>
      <w:r>
        <w:tab/>
      </w:r>
      <w:r>
        <w:fldChar w:fldCharType="begin"/>
      </w:r>
      <w:r>
        <w:instrText xml:space="preserve"> PAGEREF _Toc523052887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Other staff</w:t>
      </w:r>
      <w:r>
        <w:tab/>
      </w:r>
      <w:r>
        <w:fldChar w:fldCharType="begin"/>
      </w:r>
      <w:r>
        <w:instrText xml:space="preserve"> PAGEREF _Toc523052888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Use of other government staff etc.</w:t>
      </w:r>
      <w:r>
        <w:tab/>
      </w:r>
      <w:r>
        <w:fldChar w:fldCharType="begin"/>
      </w:r>
      <w:r>
        <w:instrText xml:space="preserve"> PAGEREF _Toc523052889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5 — Financial provisions</w:t>
      </w:r>
    </w:p>
    <w:p>
      <w:pPr>
        <w:pStyle w:val="TOC8"/>
        <w:rPr>
          <w:rFonts w:asciiTheme="minorHAnsi" w:eastAsiaTheme="minorEastAsia" w:hAnsiTheme="minorHAnsi" w:cstheme="minorBidi"/>
          <w:szCs w:val="22"/>
        </w:rPr>
      </w:pPr>
      <w:r>
        <w:t>23</w:t>
      </w:r>
      <w:r>
        <w:rPr>
          <w:snapToGrid w:val="0"/>
        </w:rPr>
        <w:t>.</w:t>
      </w:r>
      <w:r>
        <w:rPr>
          <w:snapToGrid w:val="0"/>
        </w:rPr>
        <w:tab/>
      </w:r>
      <w:r>
        <w:t>Funds of Authority</w:t>
      </w:r>
      <w:r>
        <w:tab/>
      </w:r>
      <w:r>
        <w:fldChar w:fldCharType="begin"/>
      </w:r>
      <w:r>
        <w:instrText xml:space="preserve"> PAGEREF _Toc523052891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r>
      <w:r>
        <w:rPr>
          <w:bCs/>
        </w:rPr>
        <w:t>School Curriculum and Standards Authority Account</w:t>
      </w:r>
      <w:r>
        <w:tab/>
      </w:r>
      <w:r>
        <w:fldChar w:fldCharType="begin"/>
      </w:r>
      <w:r>
        <w:instrText xml:space="preserve"> PAGEREF _Toc523052892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bCs/>
        </w:rPr>
        <w:t>Borrowing by Authority</w:t>
      </w:r>
      <w:r>
        <w:tab/>
      </w:r>
      <w:r>
        <w:fldChar w:fldCharType="begin"/>
      </w:r>
      <w:r>
        <w:instrText xml:space="preserve"> PAGEREF _Toc523052893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_Toc523052894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30</w:t>
      </w:r>
      <w:r>
        <w:rPr>
          <w:snapToGrid w:val="0"/>
        </w:rPr>
        <w:t>.</w:t>
      </w:r>
      <w:r>
        <w:rPr>
          <w:snapToGrid w:val="0"/>
        </w:rPr>
        <w:tab/>
        <w:t>Protection from personal liability</w:t>
      </w:r>
      <w:r>
        <w:tab/>
      </w:r>
      <w:r>
        <w:fldChar w:fldCharType="begin"/>
      </w:r>
      <w:r>
        <w:instrText xml:space="preserve"> PAGEREF _Toc523052896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Execution of documents by Authority</w:t>
      </w:r>
      <w:r>
        <w:tab/>
      </w:r>
      <w:r>
        <w:fldChar w:fldCharType="begin"/>
      </w:r>
      <w:r>
        <w:instrText xml:space="preserve"> PAGEREF _Toc523052897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Information obtained by Board etc., disclosure and use etc. of restricted</w:t>
      </w:r>
      <w:r>
        <w:tab/>
      </w:r>
      <w:r>
        <w:fldChar w:fldCharType="begin"/>
      </w:r>
      <w:r>
        <w:instrText xml:space="preserve"> PAGEREF _Toc523052898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_Toc523052899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Act</w:t>
      </w:r>
      <w:r>
        <w:tab/>
      </w:r>
      <w:r>
        <w:fldChar w:fldCharType="begin"/>
      </w:r>
      <w:r>
        <w:instrText xml:space="preserve"> PAGEREF _Toc523052900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_Toc523052902 \h </w:instrText>
      </w:r>
      <w:r>
        <w:fldChar w:fldCharType="separate"/>
      </w:r>
      <w:r>
        <w:t>45</w:t>
      </w:r>
      <w:r>
        <w:fldChar w:fldCharType="end"/>
      </w:r>
    </w:p>
    <w:p>
      <w:pPr>
        <w:pStyle w:val="TOC8"/>
        <w:rPr>
          <w:rFonts w:asciiTheme="minorHAnsi" w:eastAsiaTheme="minorEastAsia" w:hAnsiTheme="minorHAnsi" w:cstheme="minorBidi"/>
          <w:szCs w:val="22"/>
        </w:rPr>
      </w:pPr>
      <w:r>
        <w:t>38.</w:t>
      </w:r>
      <w:r>
        <w:tab/>
        <w:t>Curriculum Council abolished on 1 Mar 2012</w:t>
      </w:r>
      <w:r>
        <w:tab/>
      </w:r>
      <w:r>
        <w:fldChar w:fldCharType="begin"/>
      </w:r>
      <w:r>
        <w:instrText xml:space="preserve"> PAGEREF _Toc523052903 \h </w:instrText>
      </w:r>
      <w:r>
        <w:fldChar w:fldCharType="separate"/>
      </w:r>
      <w:r>
        <w:t>45</w:t>
      </w:r>
      <w:r>
        <w:fldChar w:fldCharType="end"/>
      </w:r>
    </w:p>
    <w:p>
      <w:pPr>
        <w:pStyle w:val="TOC8"/>
        <w:rPr>
          <w:rFonts w:asciiTheme="minorHAnsi" w:eastAsiaTheme="minorEastAsia" w:hAnsiTheme="minorHAnsi" w:cstheme="minorBidi"/>
          <w:szCs w:val="22"/>
        </w:rPr>
      </w:pPr>
      <w:r>
        <w:t>39.</w:t>
      </w:r>
      <w:r>
        <w:tab/>
        <w:t>Devolution of Council’s assets, liabilities etc.</w:t>
      </w:r>
      <w:r>
        <w:tab/>
      </w:r>
      <w:r>
        <w:fldChar w:fldCharType="begin"/>
      </w:r>
      <w:r>
        <w:instrText xml:space="preserve"> PAGEREF _Toc523052904 \h </w:instrText>
      </w:r>
      <w:r>
        <w:fldChar w:fldCharType="separate"/>
      </w:r>
      <w:r>
        <w:t>46</w:t>
      </w:r>
      <w:r>
        <w:fldChar w:fldCharType="end"/>
      </w:r>
    </w:p>
    <w:p>
      <w:pPr>
        <w:pStyle w:val="TOC8"/>
        <w:rPr>
          <w:rFonts w:asciiTheme="minorHAnsi" w:eastAsiaTheme="minorEastAsia" w:hAnsiTheme="minorHAnsi" w:cstheme="minorBidi"/>
          <w:szCs w:val="22"/>
        </w:rPr>
      </w:pPr>
      <w:r>
        <w:t>40.</w:t>
      </w:r>
      <w:r>
        <w:tab/>
        <w:t>Chief executive officer of Council continues in office</w:t>
      </w:r>
      <w:r>
        <w:tab/>
      </w:r>
      <w:r>
        <w:fldChar w:fldCharType="begin"/>
      </w:r>
      <w:r>
        <w:instrText xml:space="preserve"> PAGEREF _Toc523052905 \h </w:instrText>
      </w:r>
      <w:r>
        <w:fldChar w:fldCharType="separate"/>
      </w:r>
      <w:r>
        <w:t>46</w:t>
      </w:r>
      <w:r>
        <w:fldChar w:fldCharType="end"/>
      </w:r>
    </w:p>
    <w:p>
      <w:pPr>
        <w:pStyle w:val="TOC8"/>
        <w:rPr>
          <w:rFonts w:asciiTheme="minorHAnsi" w:eastAsiaTheme="minorEastAsia" w:hAnsiTheme="minorHAnsi" w:cstheme="minorBidi"/>
          <w:szCs w:val="22"/>
        </w:rPr>
      </w:pPr>
      <w:r>
        <w:t>41.</w:t>
      </w:r>
      <w:r>
        <w:tab/>
        <w:t>Transfer of members of staff to Authority</w:t>
      </w:r>
      <w:r>
        <w:tab/>
      </w:r>
      <w:r>
        <w:fldChar w:fldCharType="begin"/>
      </w:r>
      <w:r>
        <w:instrText xml:space="preserve"> PAGEREF _Toc523052906 \h </w:instrText>
      </w:r>
      <w:r>
        <w:fldChar w:fldCharType="separate"/>
      </w:r>
      <w:r>
        <w:t>46</w:t>
      </w:r>
      <w:r>
        <w:fldChar w:fldCharType="end"/>
      </w:r>
    </w:p>
    <w:p>
      <w:pPr>
        <w:pStyle w:val="TOC8"/>
        <w:rPr>
          <w:rFonts w:asciiTheme="minorHAnsi" w:eastAsiaTheme="minorEastAsia" w:hAnsiTheme="minorHAnsi" w:cstheme="minorBidi"/>
          <w:szCs w:val="22"/>
        </w:rPr>
      </w:pPr>
      <w:r>
        <w:t>42.</w:t>
      </w:r>
      <w:r>
        <w:tab/>
        <w:t>Employees’ rights preserved</w:t>
      </w:r>
      <w:r>
        <w:tab/>
      </w:r>
      <w:r>
        <w:fldChar w:fldCharType="begin"/>
      </w:r>
      <w:r>
        <w:instrText xml:space="preserve"> PAGEREF _Toc523052907 \h </w:instrText>
      </w:r>
      <w:r>
        <w:fldChar w:fldCharType="separate"/>
      </w:r>
      <w:r>
        <w:t>47</w:t>
      </w:r>
      <w:r>
        <w:fldChar w:fldCharType="end"/>
      </w:r>
    </w:p>
    <w:p>
      <w:pPr>
        <w:pStyle w:val="TOC8"/>
        <w:rPr>
          <w:rFonts w:asciiTheme="minorHAnsi" w:eastAsiaTheme="minorEastAsia" w:hAnsiTheme="minorHAnsi" w:cstheme="minorBidi"/>
          <w:szCs w:val="22"/>
        </w:rPr>
      </w:pPr>
      <w:r>
        <w:t>43.</w:t>
      </w:r>
      <w:r>
        <w:tab/>
        <w:t>Curriculum Council Account</w:t>
      </w:r>
      <w:r>
        <w:tab/>
      </w:r>
      <w:r>
        <w:fldChar w:fldCharType="begin"/>
      </w:r>
      <w:r>
        <w:instrText xml:space="preserve"> PAGEREF _Toc523052908 \h </w:instrText>
      </w:r>
      <w:r>
        <w:fldChar w:fldCharType="separate"/>
      </w:r>
      <w:r>
        <w:t>47</w:t>
      </w:r>
      <w:r>
        <w:fldChar w:fldCharType="end"/>
      </w:r>
    </w:p>
    <w:p>
      <w:pPr>
        <w:pStyle w:val="TOC8"/>
        <w:rPr>
          <w:rFonts w:asciiTheme="minorHAnsi" w:eastAsiaTheme="minorEastAsia" w:hAnsiTheme="minorHAnsi" w:cstheme="minorBidi"/>
          <w:szCs w:val="22"/>
        </w:rPr>
      </w:pPr>
      <w:r>
        <w:t>44.</w:t>
      </w:r>
      <w:r>
        <w:tab/>
        <w:t>Completion of things commenced</w:t>
      </w:r>
      <w:r>
        <w:tab/>
      </w:r>
      <w:r>
        <w:fldChar w:fldCharType="begin"/>
      </w:r>
      <w:r>
        <w:instrText xml:space="preserve"> PAGEREF _Toc523052909 \h </w:instrText>
      </w:r>
      <w:r>
        <w:fldChar w:fldCharType="separate"/>
      </w:r>
      <w:r>
        <w:t>48</w:t>
      </w:r>
      <w:r>
        <w:fldChar w:fldCharType="end"/>
      </w:r>
    </w:p>
    <w:p>
      <w:pPr>
        <w:pStyle w:val="TOC8"/>
        <w:rPr>
          <w:rFonts w:asciiTheme="minorHAnsi" w:eastAsiaTheme="minorEastAsia" w:hAnsiTheme="minorHAnsi" w:cstheme="minorBidi"/>
          <w:szCs w:val="22"/>
        </w:rPr>
      </w:pPr>
      <w:r>
        <w:t>45.</w:t>
      </w:r>
      <w:r>
        <w:tab/>
        <w:t>Continuing effect of things done</w:t>
      </w:r>
      <w:r>
        <w:tab/>
      </w:r>
      <w:r>
        <w:fldChar w:fldCharType="begin"/>
      </w:r>
      <w:r>
        <w:instrText xml:space="preserve"> PAGEREF _Toc523052910 \h </w:instrText>
      </w:r>
      <w:r>
        <w:fldChar w:fldCharType="separate"/>
      </w:r>
      <w:r>
        <w:t>48</w:t>
      </w:r>
      <w:r>
        <w:fldChar w:fldCharType="end"/>
      </w:r>
    </w:p>
    <w:p>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_Toc523052911 \h </w:instrText>
      </w:r>
      <w:r>
        <w:fldChar w:fldCharType="separate"/>
      </w:r>
      <w:r>
        <w:t>48</w:t>
      </w:r>
      <w:r>
        <w:fldChar w:fldCharType="end"/>
      </w:r>
    </w:p>
    <w:p>
      <w:pPr>
        <w:pStyle w:val="TOC8"/>
        <w:rPr>
          <w:rFonts w:asciiTheme="minorHAnsi" w:eastAsiaTheme="minorEastAsia" w:hAnsiTheme="minorHAnsi" w:cstheme="minorBidi"/>
          <w:szCs w:val="22"/>
        </w:rPr>
      </w:pPr>
      <w:r>
        <w:t>47.</w:t>
      </w:r>
      <w:r>
        <w:tab/>
        <w:t>Agreements and instruments generally</w:t>
      </w:r>
      <w:r>
        <w:tab/>
      </w:r>
      <w:r>
        <w:fldChar w:fldCharType="begin"/>
      </w:r>
      <w:r>
        <w:instrText xml:space="preserve"> PAGEREF _Toc523052912 \h </w:instrText>
      </w:r>
      <w:r>
        <w:fldChar w:fldCharType="separate"/>
      </w:r>
      <w:r>
        <w:t>49</w:t>
      </w:r>
      <w:r>
        <w:fldChar w:fldCharType="end"/>
      </w:r>
    </w:p>
    <w:p>
      <w:pPr>
        <w:pStyle w:val="TOC8"/>
        <w:rPr>
          <w:rFonts w:asciiTheme="minorHAnsi" w:eastAsiaTheme="minorEastAsia" w:hAnsiTheme="minorHAnsi" w:cstheme="minorBidi"/>
          <w:szCs w:val="22"/>
        </w:rPr>
      </w:pPr>
      <w:r>
        <w:t>48.</w:t>
      </w:r>
      <w:r>
        <w:tab/>
        <w:t>Immunity continues</w:t>
      </w:r>
      <w:r>
        <w:tab/>
      </w:r>
      <w:r>
        <w:fldChar w:fldCharType="begin"/>
      </w:r>
      <w:r>
        <w:instrText xml:space="preserve"> PAGEREF _Toc523052913 \h </w:instrText>
      </w:r>
      <w:r>
        <w:fldChar w:fldCharType="separate"/>
      </w:r>
      <w:r>
        <w:t>49</w:t>
      </w:r>
      <w:r>
        <w:fldChar w:fldCharType="end"/>
      </w:r>
    </w:p>
    <w:p>
      <w:pPr>
        <w:pStyle w:val="TOC8"/>
        <w:rPr>
          <w:rFonts w:asciiTheme="minorHAnsi" w:eastAsiaTheme="minorEastAsia" w:hAnsiTheme="minorHAnsi" w:cstheme="minorBidi"/>
          <w:szCs w:val="22"/>
        </w:rPr>
      </w:pPr>
      <w:r>
        <w:t>49.</w:t>
      </w:r>
      <w:r>
        <w:tab/>
        <w:t>Duty of confidentiality continues to apply to members of the Council</w:t>
      </w:r>
      <w:r>
        <w:tab/>
      </w:r>
      <w:r>
        <w:fldChar w:fldCharType="begin"/>
      </w:r>
      <w:r>
        <w:instrText xml:space="preserve"> PAGEREF _Toc523052914 \h </w:instrText>
      </w:r>
      <w:r>
        <w:fldChar w:fldCharType="separate"/>
      </w:r>
      <w:r>
        <w:t>49</w:t>
      </w:r>
      <w:r>
        <w:fldChar w:fldCharType="end"/>
      </w:r>
    </w:p>
    <w:p>
      <w:pPr>
        <w:pStyle w:val="TOC8"/>
        <w:rPr>
          <w:rFonts w:asciiTheme="minorHAnsi" w:eastAsiaTheme="minorEastAsia" w:hAnsiTheme="minorHAnsi" w:cstheme="minorBidi"/>
          <w:szCs w:val="22"/>
        </w:rPr>
      </w:pPr>
      <w:r>
        <w:t>50.</w:t>
      </w:r>
      <w:r>
        <w:tab/>
        <w:t>Registration of documents</w:t>
      </w:r>
      <w:r>
        <w:tab/>
      </w:r>
      <w:r>
        <w:fldChar w:fldCharType="begin"/>
      </w:r>
      <w:r>
        <w:instrText xml:space="preserve"> PAGEREF _Toc523052915 \h </w:instrText>
      </w:r>
      <w:r>
        <w:fldChar w:fldCharType="separate"/>
      </w:r>
      <w:r>
        <w:t>50</w:t>
      </w:r>
      <w:r>
        <w:fldChar w:fldCharType="end"/>
      </w:r>
    </w:p>
    <w:p>
      <w:pPr>
        <w:pStyle w:val="TOC8"/>
        <w:rPr>
          <w:rFonts w:asciiTheme="minorHAnsi" w:eastAsiaTheme="minorEastAsia" w:hAnsiTheme="minorHAnsi" w:cstheme="minorBidi"/>
          <w:szCs w:val="22"/>
        </w:rPr>
      </w:pPr>
      <w:r>
        <w:t>51.</w:t>
      </w:r>
      <w:r>
        <w:tab/>
        <w:t>Transitional regulations</w:t>
      </w:r>
      <w:r>
        <w:tab/>
      </w:r>
      <w:r>
        <w:fldChar w:fldCharType="begin"/>
      </w:r>
      <w:r>
        <w:instrText xml:space="preserve"> PAGEREF _Toc523052916 \h </w:instrText>
      </w:r>
      <w:r>
        <w:fldChar w:fldCharType="separate"/>
      </w:r>
      <w:r>
        <w:t>50</w:t>
      </w:r>
      <w:r>
        <w:fldChar w:fldCharType="end"/>
      </w:r>
    </w:p>
    <w:p>
      <w:pPr>
        <w:pStyle w:val="TOC8"/>
        <w:rPr>
          <w:rFonts w:asciiTheme="minorHAnsi" w:eastAsiaTheme="minorEastAsia" w:hAnsiTheme="minorHAnsi" w:cstheme="minorBidi"/>
          <w:szCs w:val="22"/>
        </w:rPr>
      </w:pPr>
      <w:r>
        <w:t>52.</w:t>
      </w:r>
      <w:r>
        <w:tab/>
        <w:t>Saving</w:t>
      </w:r>
      <w:r>
        <w:tab/>
      </w:r>
      <w:r>
        <w:fldChar w:fldCharType="begin"/>
      </w:r>
      <w:r>
        <w:instrText xml:space="preserve"> PAGEREF _Toc523052917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as to Board</w:t>
      </w:r>
    </w:p>
    <w:p>
      <w:pPr>
        <w:pStyle w:val="TOC4"/>
        <w:tabs>
          <w:tab w:val="right" w:leader="dot" w:pos="7086"/>
        </w:tabs>
        <w:rPr>
          <w:rFonts w:asciiTheme="minorHAnsi" w:eastAsiaTheme="minorEastAsia" w:hAnsiTheme="minorHAnsi" w:cstheme="minorBidi"/>
          <w:b w:val="0"/>
          <w:szCs w:val="22"/>
        </w:rPr>
      </w:pPr>
      <w:r>
        <w:t>Division 1 — Provisions as to constitution and proceedings of the Board</w:t>
      </w:r>
    </w:p>
    <w:p>
      <w:pPr>
        <w:pStyle w:val="TOC8"/>
        <w:rPr>
          <w:rFonts w:asciiTheme="minorHAnsi" w:eastAsiaTheme="minorEastAsia" w:hAnsiTheme="minorHAnsi" w:cstheme="minorBidi"/>
          <w:szCs w:val="22"/>
        </w:rPr>
      </w:pPr>
      <w:r>
        <w:t>1.</w:t>
      </w:r>
      <w:r>
        <w:tab/>
        <w:t>Term of office of members</w:t>
      </w:r>
      <w:r>
        <w:tab/>
      </w:r>
      <w:r>
        <w:fldChar w:fldCharType="begin"/>
      </w:r>
      <w:r>
        <w:instrText xml:space="preserve"> PAGEREF _Toc523052920 \h </w:instrText>
      </w:r>
      <w:r>
        <w:fldChar w:fldCharType="separate"/>
      </w:r>
      <w:r>
        <w:t>52</w:t>
      </w:r>
      <w:r>
        <w:fldChar w:fldCharType="end"/>
      </w:r>
    </w:p>
    <w:p>
      <w:pPr>
        <w:pStyle w:val="TOC8"/>
        <w:rPr>
          <w:rFonts w:asciiTheme="minorHAnsi" w:eastAsiaTheme="minorEastAsia" w:hAnsiTheme="minorHAnsi" w:cstheme="minorBidi"/>
          <w:szCs w:val="22"/>
        </w:rPr>
      </w:pPr>
      <w:r>
        <w:t>2.</w:t>
      </w:r>
      <w:r>
        <w:tab/>
        <w:t>Resignation, removal etc. of members</w:t>
      </w:r>
      <w:r>
        <w:tab/>
      </w:r>
      <w:r>
        <w:fldChar w:fldCharType="begin"/>
      </w:r>
      <w:r>
        <w:instrText xml:space="preserve"> PAGEREF _Toc523052921 \h </w:instrText>
      </w:r>
      <w:r>
        <w:fldChar w:fldCharType="separate"/>
      </w:r>
      <w:r>
        <w:t>52</w:t>
      </w:r>
      <w:r>
        <w:fldChar w:fldCharType="end"/>
      </w:r>
    </w:p>
    <w:p>
      <w:pPr>
        <w:pStyle w:val="TOC8"/>
        <w:rPr>
          <w:rFonts w:asciiTheme="minorHAnsi" w:eastAsiaTheme="minorEastAsia" w:hAnsiTheme="minorHAnsi" w:cstheme="minorBidi"/>
          <w:szCs w:val="22"/>
        </w:rPr>
      </w:pPr>
      <w:r>
        <w:t>3.</w:t>
      </w:r>
      <w:r>
        <w:tab/>
        <w:t>Leave of absence for members</w:t>
      </w:r>
      <w:r>
        <w:tab/>
      </w:r>
      <w:r>
        <w:fldChar w:fldCharType="begin"/>
      </w:r>
      <w:r>
        <w:instrText xml:space="preserve"> PAGEREF _Toc523052922 \h </w:instrText>
      </w:r>
      <w:r>
        <w:fldChar w:fldCharType="separate"/>
      </w:r>
      <w:r>
        <w:t>53</w:t>
      </w:r>
      <w:r>
        <w:fldChar w:fldCharType="end"/>
      </w:r>
    </w:p>
    <w:p>
      <w:pPr>
        <w:pStyle w:val="TOC8"/>
        <w:rPr>
          <w:rFonts w:asciiTheme="minorHAnsi" w:eastAsiaTheme="minorEastAsia" w:hAnsiTheme="minorHAnsi" w:cstheme="minorBidi"/>
          <w:szCs w:val="22"/>
        </w:rPr>
      </w:pPr>
      <w:r>
        <w:t>4.</w:t>
      </w:r>
      <w:r>
        <w:tab/>
        <w:t>Appointed member unable to act</w:t>
      </w:r>
      <w:r>
        <w:tab/>
      </w:r>
      <w:r>
        <w:fldChar w:fldCharType="begin"/>
      </w:r>
      <w:r>
        <w:instrText xml:space="preserve"> PAGEREF _Toc523052923 \h </w:instrText>
      </w:r>
      <w:r>
        <w:fldChar w:fldCharType="separate"/>
      </w:r>
      <w:r>
        <w:t>53</w:t>
      </w:r>
      <w:r>
        <w:fldChar w:fldCharType="end"/>
      </w:r>
    </w:p>
    <w:p>
      <w:pPr>
        <w:pStyle w:val="TOC8"/>
        <w:rPr>
          <w:rFonts w:asciiTheme="minorHAnsi" w:eastAsiaTheme="minorEastAsia" w:hAnsiTheme="minorHAnsi" w:cstheme="minorBidi"/>
          <w:szCs w:val="22"/>
        </w:rPr>
      </w:pPr>
      <w:r>
        <w:t>6.</w:t>
      </w:r>
      <w:r>
        <w:tab/>
        <w:t>Saving</w:t>
      </w:r>
      <w:r>
        <w:tab/>
      </w:r>
      <w:r>
        <w:fldChar w:fldCharType="begin"/>
      </w:r>
      <w:r>
        <w:instrText xml:space="preserve"> PAGEREF _Toc523052924 \h </w:instrText>
      </w:r>
      <w:r>
        <w:fldChar w:fldCharType="separate"/>
      </w:r>
      <w:r>
        <w:t>53</w:t>
      </w:r>
      <w:r>
        <w:fldChar w:fldCharType="end"/>
      </w:r>
    </w:p>
    <w:p>
      <w:pPr>
        <w:pStyle w:val="TOC8"/>
        <w:rPr>
          <w:rFonts w:asciiTheme="minorHAnsi" w:eastAsiaTheme="minorEastAsia" w:hAnsiTheme="minorHAnsi" w:cstheme="minorBidi"/>
          <w:szCs w:val="22"/>
        </w:rPr>
      </w:pPr>
      <w:r>
        <w:t>7.</w:t>
      </w:r>
      <w:r>
        <w:tab/>
        <w:t>Meetings, convening</w:t>
      </w:r>
      <w:r>
        <w:tab/>
      </w:r>
      <w:r>
        <w:fldChar w:fldCharType="begin"/>
      </w:r>
      <w:r>
        <w:instrText xml:space="preserve"> PAGEREF _Toc523052925 \h </w:instrText>
      </w:r>
      <w:r>
        <w:fldChar w:fldCharType="separate"/>
      </w:r>
      <w:r>
        <w:t>53</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_Toc523052926 \h </w:instrText>
      </w:r>
      <w:r>
        <w:fldChar w:fldCharType="separate"/>
      </w:r>
      <w:r>
        <w:t>54</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_Toc523052927 \h </w:instrText>
      </w:r>
      <w:r>
        <w:fldChar w:fldCharType="separate"/>
      </w:r>
      <w:r>
        <w:t>54</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_Toc523052928 \h </w:instrText>
      </w:r>
      <w:r>
        <w:fldChar w:fldCharType="separate"/>
      </w:r>
      <w:r>
        <w:t>54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_Toc523052929 \h </w:instrText>
      </w:r>
      <w:r>
        <w:fldChar w:fldCharType="separate"/>
      </w:r>
      <w:r>
        <w:t>54</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_Toc523052930 \h </w:instrText>
      </w:r>
      <w:r>
        <w:fldChar w:fldCharType="separate"/>
      </w:r>
      <w:r>
        <w:t>55</w:t>
      </w:r>
      <w:r>
        <w:fldChar w:fldCharType="end"/>
      </w:r>
    </w:p>
    <w:p>
      <w:pPr>
        <w:pStyle w:val="TOC8"/>
        <w:rPr>
          <w:rFonts w:asciiTheme="minorHAnsi" w:eastAsiaTheme="minorEastAsia" w:hAnsiTheme="minorHAnsi" w:cstheme="minorBidi"/>
          <w:szCs w:val="22"/>
        </w:rPr>
      </w:pPr>
      <w:r>
        <w:t>13.</w:t>
      </w:r>
      <w:r>
        <w:tab/>
        <w:t>Telephone or video meetings</w:t>
      </w:r>
      <w:r>
        <w:tab/>
      </w:r>
      <w:r>
        <w:fldChar w:fldCharType="begin"/>
      </w:r>
      <w:r>
        <w:instrText xml:space="preserve"> PAGEREF _Toc523052931 \h </w:instrText>
      </w:r>
      <w:r>
        <w:fldChar w:fldCharType="separate"/>
      </w:r>
      <w:r>
        <w:t>55</w:t>
      </w:r>
      <w:r>
        <w:fldChar w:fldCharType="end"/>
      </w:r>
    </w:p>
    <w:p>
      <w:pPr>
        <w:pStyle w:val="TOC8"/>
        <w:rPr>
          <w:rFonts w:asciiTheme="minorHAnsi" w:eastAsiaTheme="minorEastAsia" w:hAnsiTheme="minorHAnsi" w:cstheme="minorBidi"/>
          <w:szCs w:val="22"/>
        </w:rPr>
      </w:pPr>
      <w:r>
        <w:t>15.</w:t>
      </w:r>
      <w:r>
        <w:tab/>
        <w:t>Board to determine own procedures</w:t>
      </w:r>
      <w:r>
        <w:tab/>
      </w:r>
      <w:r>
        <w:fldChar w:fldCharType="begin"/>
      </w:r>
      <w:r>
        <w:instrText xml:space="preserve"> PAGEREF _Toc523052932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Material personal interests to be disclosed</w:t>
      </w:r>
      <w:r>
        <w:tab/>
      </w:r>
      <w:r>
        <w:fldChar w:fldCharType="begin"/>
      </w:r>
      <w:r>
        <w:instrText xml:space="preserve"> PAGEREF _Toc523052934 \h </w:instrText>
      </w:r>
      <w:r>
        <w:fldChar w:fldCharType="separate"/>
      </w:r>
      <w:r>
        <w:t>55</w:t>
      </w:r>
      <w:r>
        <w:fldChar w:fldCharType="end"/>
      </w:r>
    </w:p>
    <w:p>
      <w:pPr>
        <w:pStyle w:val="TOC8"/>
        <w:rPr>
          <w:rFonts w:asciiTheme="minorHAnsi" w:eastAsiaTheme="minorEastAsia" w:hAnsiTheme="minorHAnsi" w:cstheme="minorBidi"/>
          <w:szCs w:val="22"/>
        </w:rPr>
      </w:pPr>
      <w:r>
        <w:t>17.</w:t>
      </w:r>
      <w:r>
        <w:tab/>
        <w:t>Member with material personal interest not to vote etc.</w:t>
      </w:r>
      <w:r>
        <w:tab/>
      </w:r>
      <w:r>
        <w:fldChar w:fldCharType="begin"/>
      </w:r>
      <w:r>
        <w:instrText xml:space="preserve"> PAGEREF _Toc523052935 \h </w:instrText>
      </w:r>
      <w:r>
        <w:fldChar w:fldCharType="separate"/>
      </w:r>
      <w:r>
        <w:t>56</w:t>
      </w:r>
      <w:r>
        <w:fldChar w:fldCharType="end"/>
      </w:r>
    </w:p>
    <w:p>
      <w:pPr>
        <w:pStyle w:val="TOC8"/>
        <w:rPr>
          <w:rFonts w:asciiTheme="minorHAnsi" w:eastAsiaTheme="minorEastAsia" w:hAnsiTheme="minorHAnsi" w:cstheme="minorBidi"/>
          <w:szCs w:val="22"/>
        </w:rPr>
      </w:pPr>
      <w:r>
        <w:t>18.</w:t>
      </w:r>
      <w:r>
        <w:tab/>
        <w:t>Board may disapply cl. 17</w:t>
      </w:r>
      <w:r>
        <w:tab/>
      </w:r>
      <w:r>
        <w:fldChar w:fldCharType="begin"/>
      </w:r>
      <w:r>
        <w:instrText xml:space="preserve"> PAGEREF _Toc523052936 \h </w:instrText>
      </w:r>
      <w:r>
        <w:fldChar w:fldCharType="separate"/>
      </w:r>
      <w:r>
        <w:t>56</w:t>
      </w:r>
      <w:r>
        <w:fldChar w:fldCharType="end"/>
      </w:r>
    </w:p>
    <w:p>
      <w:pPr>
        <w:pStyle w:val="TOC8"/>
        <w:rPr>
          <w:rFonts w:asciiTheme="minorHAnsi" w:eastAsiaTheme="minorEastAsia" w:hAnsiTheme="minorHAnsi" w:cstheme="minorBidi"/>
          <w:szCs w:val="22"/>
        </w:rPr>
      </w:pPr>
      <w:r>
        <w:t>19.</w:t>
      </w:r>
      <w:r>
        <w:tab/>
        <w:t>Quorum where cl. 17 applies</w:t>
      </w:r>
      <w:r>
        <w:tab/>
      </w:r>
      <w:r>
        <w:fldChar w:fldCharType="begin"/>
      </w:r>
      <w:r>
        <w:instrText xml:space="preserve"> PAGEREF _Toc523052937 \h </w:instrText>
      </w:r>
      <w:r>
        <w:fldChar w:fldCharType="separate"/>
      </w:r>
      <w:r>
        <w:t>56</w:t>
      </w:r>
      <w:r>
        <w:fldChar w:fldCharType="end"/>
      </w:r>
    </w:p>
    <w:p>
      <w:pPr>
        <w:pStyle w:val="TOC8"/>
        <w:rPr>
          <w:rFonts w:asciiTheme="minorHAnsi" w:eastAsiaTheme="minorEastAsia" w:hAnsiTheme="minorHAnsi" w:cstheme="minorBidi"/>
          <w:szCs w:val="22"/>
        </w:rPr>
      </w:pPr>
      <w:r>
        <w:t>20.</w:t>
      </w:r>
      <w:r>
        <w:tab/>
        <w:t>Minister may declare cl. 17 and 19 inapplicable</w:t>
      </w:r>
      <w:r>
        <w:tab/>
      </w:r>
      <w:r>
        <w:fldChar w:fldCharType="begin"/>
      </w:r>
      <w:r>
        <w:instrText xml:space="preserve"> PAGEREF _Toc523052938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_Toc523052940 \h </w:instrText>
      </w:r>
      <w:r>
        <w:fldChar w:fldCharType="separate"/>
      </w:r>
      <w:r>
        <w:t>58</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_Toc523052941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School Curriculum and Standards Authority Act 1997</w:t>
      </w:r>
    </w:p>
    <w:p>
      <w:pPr>
        <w:pStyle w:val="LongTitle"/>
        <w:rPr>
          <w:snapToGrid w:val="0"/>
        </w:rPr>
      </w:pPr>
      <w:r>
        <w:rPr>
          <w:snapToGrid w:val="0"/>
        </w:rPr>
        <w:t>An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 by No. 37 of 2011 s. 4.]</w:t>
      </w:r>
    </w:p>
    <w:p>
      <w:pPr>
        <w:pStyle w:val="Heading2"/>
      </w:pPr>
      <w:bookmarkStart w:id="1" w:name="_Toc523052837"/>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523052838"/>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vertAlign w:val="superscript"/>
        </w:rPr>
        <w:t> 1</w:t>
      </w:r>
      <w:r>
        <w:rPr>
          <w:snapToGrid w:val="0"/>
        </w:rPr>
        <w:t>.</w:t>
      </w:r>
    </w:p>
    <w:p>
      <w:pPr>
        <w:pStyle w:val="Footnotesection"/>
      </w:pPr>
      <w:r>
        <w:tab/>
        <w:t>[Section 1 amended by No. 37 of 2011 s. 5.]</w:t>
      </w:r>
    </w:p>
    <w:p>
      <w:pPr>
        <w:pStyle w:val="Heading5"/>
        <w:rPr>
          <w:snapToGrid w:val="0"/>
        </w:rPr>
      </w:pPr>
      <w:bookmarkStart w:id="3" w:name="_Toc52305283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 w:name="_Toc523052840"/>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tab/>
      </w:r>
      <w:r>
        <w:rPr>
          <w:rStyle w:val="CharDefText"/>
        </w:rPr>
        <w:t>compulsory education period</w:t>
      </w:r>
      <w:r>
        <w:t xml:space="preserve"> has the meaning given in the School Education Act section 6(1);</w:t>
      </w:r>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 and</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 and</w:t>
      </w:r>
    </w:p>
    <w:p>
      <w:pPr>
        <w:pStyle w:val="Defpara"/>
      </w:pPr>
      <w:r>
        <w:tab/>
        <w:t>(b)</w:t>
      </w:r>
      <w:r>
        <w:tab/>
        <w:t>a person referred to in section 21(2); and</w:t>
      </w:r>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 No. 37 of 2011 s. 6 and 53(1); No. 46 of 2012 s. 14.]</w:t>
      </w:r>
    </w:p>
    <w:p>
      <w:pPr>
        <w:pStyle w:val="Heading5"/>
      </w:pPr>
      <w:bookmarkStart w:id="5" w:name="_Toc523052841"/>
      <w:r>
        <w:rPr>
          <w:rStyle w:val="CharSectno"/>
        </w:rPr>
        <w:t>4</w:t>
      </w:r>
      <w:r>
        <w:t>.</w:t>
      </w:r>
      <w:r>
        <w:tab/>
        <w:t>Objects of Act</w:t>
      </w:r>
      <w:bookmarkEnd w:id="5"/>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 by No. 37 of 2011 s. 7.]</w:t>
      </w:r>
    </w:p>
    <w:p>
      <w:pPr>
        <w:pStyle w:val="Heading2"/>
      </w:pPr>
      <w:bookmarkStart w:id="6" w:name="_Toc523052842"/>
      <w:r>
        <w:rPr>
          <w:rStyle w:val="CharPartNo"/>
        </w:rPr>
        <w:t>Part 2</w:t>
      </w:r>
      <w:r>
        <w:rPr>
          <w:b w:val="0"/>
        </w:rPr>
        <w:t> </w:t>
      </w:r>
      <w:r>
        <w:t>—</w:t>
      </w:r>
      <w:r>
        <w:rPr>
          <w:b w:val="0"/>
        </w:rPr>
        <w:t> </w:t>
      </w:r>
      <w:r>
        <w:rPr>
          <w:rStyle w:val="CharPartText"/>
        </w:rPr>
        <w:t>The School Curriculum and Standards Authority and committees</w:t>
      </w:r>
      <w:bookmarkEnd w:id="6"/>
    </w:p>
    <w:p>
      <w:pPr>
        <w:pStyle w:val="Footnoteheading"/>
        <w:spacing w:before="100"/>
      </w:pPr>
      <w:r>
        <w:tab/>
        <w:t>[Heading inserted by No. 37 of 2011 s. 8.]</w:t>
      </w:r>
    </w:p>
    <w:p>
      <w:pPr>
        <w:pStyle w:val="Heading3"/>
      </w:pPr>
      <w:bookmarkStart w:id="7" w:name="_Toc523052843"/>
      <w:r>
        <w:rPr>
          <w:rStyle w:val="CharDivNo"/>
        </w:rPr>
        <w:t>Division 1</w:t>
      </w:r>
      <w:r>
        <w:t> — </w:t>
      </w:r>
      <w:r>
        <w:rPr>
          <w:rStyle w:val="CharDivText"/>
        </w:rPr>
        <w:t>School Curriculum and Standards Authority</w:t>
      </w:r>
      <w:bookmarkEnd w:id="7"/>
    </w:p>
    <w:p>
      <w:pPr>
        <w:pStyle w:val="Footnoteheading"/>
        <w:spacing w:before="100"/>
      </w:pPr>
      <w:r>
        <w:tab/>
        <w:t>[Heading inserted by No. 37 of 2011 s. 8.]</w:t>
      </w:r>
    </w:p>
    <w:p>
      <w:pPr>
        <w:pStyle w:val="Heading5"/>
      </w:pPr>
      <w:bookmarkStart w:id="8" w:name="_Toc523052844"/>
      <w:r>
        <w:rPr>
          <w:rStyle w:val="CharSectno"/>
        </w:rPr>
        <w:t>5</w:t>
      </w:r>
      <w:r>
        <w:t>.</w:t>
      </w:r>
      <w:r>
        <w:tab/>
        <w:t>Authority established; status etc. of Authority</w:t>
      </w:r>
      <w:bookmarkEnd w:id="8"/>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spacing w:before="100"/>
        <w:ind w:left="890" w:hanging="890"/>
      </w:pPr>
      <w:r>
        <w:tab/>
        <w:t>[Section 5 inserted by No. 37 of 2011 s. 9.]</w:t>
      </w:r>
    </w:p>
    <w:p>
      <w:pPr>
        <w:pStyle w:val="Heading5"/>
      </w:pPr>
      <w:bookmarkStart w:id="9" w:name="_Toc523052845"/>
      <w:r>
        <w:rPr>
          <w:rStyle w:val="CharSectno"/>
        </w:rPr>
        <w:t>6</w:t>
      </w:r>
      <w:r>
        <w:t>.</w:t>
      </w:r>
      <w:r>
        <w:tab/>
        <w:t>Board of Authority</w:t>
      </w:r>
      <w:bookmarkEnd w:id="9"/>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spacing w:before="100"/>
        <w:ind w:left="890" w:hanging="890"/>
      </w:pPr>
      <w:r>
        <w:tab/>
        <w:t>[Section 6 inserted by No. 37 of 2011 s. 9.]</w:t>
      </w:r>
    </w:p>
    <w:p>
      <w:pPr>
        <w:pStyle w:val="Heading5"/>
      </w:pPr>
      <w:bookmarkStart w:id="10" w:name="_Toc523052846"/>
      <w:r>
        <w:rPr>
          <w:rStyle w:val="CharSectno"/>
        </w:rPr>
        <w:t>7A</w:t>
      </w:r>
      <w:r>
        <w:t>.</w:t>
      </w:r>
      <w:r>
        <w:tab/>
        <w:t>Board, members of</w:t>
      </w:r>
      <w:bookmarkEnd w:id="10"/>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r>
        <w:tab/>
        <w:t>[Section 7A inserted by No. 37 of 2011 s. 9.]</w:t>
      </w:r>
    </w:p>
    <w:p>
      <w:pPr>
        <w:pStyle w:val="Heading3"/>
      </w:pPr>
      <w:bookmarkStart w:id="11" w:name="_Toc523052847"/>
      <w:r>
        <w:rPr>
          <w:rStyle w:val="CharDivNo"/>
        </w:rPr>
        <w:t>Division 2</w:t>
      </w:r>
      <w:r>
        <w:t> — </w:t>
      </w:r>
      <w:r>
        <w:rPr>
          <w:rStyle w:val="CharDivText"/>
        </w:rPr>
        <w:t>Committees</w:t>
      </w:r>
      <w:bookmarkEnd w:id="11"/>
    </w:p>
    <w:p>
      <w:pPr>
        <w:pStyle w:val="Footnoteheading"/>
      </w:pPr>
      <w:r>
        <w:tab/>
        <w:t>[Heading inserted by No. 37 of 2011 s. 9.]</w:t>
      </w:r>
    </w:p>
    <w:p>
      <w:pPr>
        <w:pStyle w:val="Heading5"/>
      </w:pPr>
      <w:bookmarkStart w:id="12" w:name="_Toc523052848"/>
      <w:r>
        <w:rPr>
          <w:rStyle w:val="CharSectno"/>
        </w:rPr>
        <w:t>7B</w:t>
      </w:r>
      <w:r>
        <w:t>.</w:t>
      </w:r>
      <w:r>
        <w:tab/>
        <w:t>Standards Committee established; members of</w:t>
      </w:r>
      <w:bookmarkEnd w:id="12"/>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r>
        <w:tab/>
        <w:t>[Section 7B inserted by No. 37 of 2011 s. 9.]</w:t>
      </w:r>
    </w:p>
    <w:p>
      <w:pPr>
        <w:pStyle w:val="Heading5"/>
      </w:pPr>
      <w:bookmarkStart w:id="13" w:name="_Toc523052849"/>
      <w:r>
        <w:rPr>
          <w:rStyle w:val="CharSectno"/>
        </w:rPr>
        <w:t>7C</w:t>
      </w:r>
      <w:r>
        <w:t>.</w:t>
      </w:r>
      <w:r>
        <w:tab/>
        <w:t>Standards Committee, functions of</w:t>
      </w:r>
      <w:bookmarkEnd w:id="13"/>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r>
        <w:tab/>
        <w:t>[Section 7C inserted by No. 37 of 2011 s. 9.]</w:t>
      </w:r>
    </w:p>
    <w:p>
      <w:pPr>
        <w:pStyle w:val="Heading5"/>
      </w:pPr>
      <w:bookmarkStart w:id="14" w:name="_Toc523052850"/>
      <w:r>
        <w:rPr>
          <w:rStyle w:val="CharSectno"/>
        </w:rPr>
        <w:t>7D</w:t>
      </w:r>
      <w:r>
        <w:t>.</w:t>
      </w:r>
      <w:r>
        <w:tab/>
        <w:t>Curriculum and Assessment Committee established; members of</w:t>
      </w:r>
      <w:bookmarkEnd w:id="14"/>
    </w:p>
    <w:p>
      <w:pPr>
        <w:pStyle w:val="Subsection"/>
        <w:spacing w:before="120"/>
      </w:pPr>
      <w:r>
        <w:tab/>
        <w:t>(1)</w:t>
      </w:r>
      <w:r>
        <w:tab/>
        <w:t>A committee called the Curriculum and Assessment Committee is established.</w:t>
      </w:r>
    </w:p>
    <w:p>
      <w:pPr>
        <w:pStyle w:val="Subsection"/>
        <w:spacing w:before="120"/>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spacing w:before="120"/>
      </w:pPr>
      <w:r>
        <w:tab/>
        <w:t>(3)</w:t>
      </w:r>
      <w:r>
        <w:tab/>
        <w:t>A person who is the chief executive officer or a member of staff is not eligible to be a member of the Curriculum and Assessment Committee.</w:t>
      </w:r>
    </w:p>
    <w:p>
      <w:pPr>
        <w:pStyle w:val="Subsection"/>
        <w:spacing w:before="120"/>
      </w:pPr>
      <w:r>
        <w:tab/>
        <w:t>(4)</w:t>
      </w:r>
      <w:r>
        <w:tab/>
        <w:t xml:space="preserve">The person appointed in accordance with subsection (2)(a) is the chairperson of the Curriculum and Assessment Committee. </w:t>
      </w:r>
    </w:p>
    <w:p>
      <w:pPr>
        <w:pStyle w:val="Subsection"/>
        <w:spacing w:before="120"/>
      </w:pPr>
      <w:r>
        <w:tab/>
        <w:t>(5)</w:t>
      </w:r>
      <w:r>
        <w:tab/>
        <w:t>A member of the Curriculum and Assessment Committee holds office for the term determined by the Board and is eligible for reappointment.</w:t>
      </w:r>
    </w:p>
    <w:p>
      <w:pPr>
        <w:pStyle w:val="Footnotesection"/>
      </w:pPr>
      <w:r>
        <w:tab/>
        <w:t>[Section 7D inserted by No. 37 of 2011 s. 9.]</w:t>
      </w:r>
    </w:p>
    <w:p>
      <w:pPr>
        <w:pStyle w:val="Heading5"/>
      </w:pPr>
      <w:bookmarkStart w:id="15" w:name="_Toc523052851"/>
      <w:r>
        <w:rPr>
          <w:rStyle w:val="CharSectno"/>
        </w:rPr>
        <w:t>7E</w:t>
      </w:r>
      <w:r>
        <w:t>.</w:t>
      </w:r>
      <w:r>
        <w:tab/>
        <w:t>Curriculum and Assessment Committee, functions of</w:t>
      </w:r>
      <w:bookmarkEnd w:id="15"/>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r>
        <w:tab/>
        <w:t>[Section 7E inserted by No. 37 of 2011 s. 9.]</w:t>
      </w:r>
    </w:p>
    <w:p>
      <w:pPr>
        <w:pStyle w:val="Heading5"/>
      </w:pPr>
      <w:bookmarkStart w:id="16" w:name="_Toc523052852"/>
      <w:r>
        <w:rPr>
          <w:rStyle w:val="CharSectno"/>
        </w:rPr>
        <w:t>7F</w:t>
      </w:r>
      <w:r>
        <w:t>.</w:t>
      </w:r>
      <w:r>
        <w:tab/>
        <w:t>Other committees</w:t>
      </w:r>
      <w:bookmarkEnd w:id="16"/>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r>
        <w:tab/>
        <w:t>[Section 7F inserted by No. 37 of 2011 s. 9.]</w:t>
      </w:r>
    </w:p>
    <w:p>
      <w:pPr>
        <w:pStyle w:val="Heading5"/>
      </w:pPr>
      <w:bookmarkStart w:id="17" w:name="_Toc523052853"/>
      <w:r>
        <w:rPr>
          <w:rStyle w:val="CharSectno"/>
        </w:rPr>
        <w:t>7G</w:t>
      </w:r>
      <w:r>
        <w:t>.</w:t>
      </w:r>
      <w:r>
        <w:tab/>
        <w:t>Support services for committees</w:t>
      </w:r>
      <w:bookmarkEnd w:id="17"/>
    </w:p>
    <w:p>
      <w:pPr>
        <w:pStyle w:val="Subsection"/>
        <w:keepNext/>
        <w:keepLines/>
      </w:pPr>
      <w:r>
        <w:tab/>
      </w:r>
      <w:r>
        <w:tab/>
        <w:t>The Authority is to provide a committee with any clerical or other support services that the Authority determines are appropriate.</w:t>
      </w:r>
    </w:p>
    <w:p>
      <w:pPr>
        <w:pStyle w:val="Footnotesection"/>
        <w:keepNext/>
      </w:pPr>
      <w:r>
        <w:tab/>
        <w:t>[Section 7G inserted by No. 37 of 2011 s. 9.]</w:t>
      </w:r>
    </w:p>
    <w:p>
      <w:pPr>
        <w:pStyle w:val="Heading3"/>
      </w:pPr>
      <w:bookmarkStart w:id="18" w:name="_Toc523052854"/>
      <w:r>
        <w:rPr>
          <w:rStyle w:val="CharDivNo"/>
        </w:rPr>
        <w:t>Division 3</w:t>
      </w:r>
      <w:r>
        <w:t> — </w:t>
      </w:r>
      <w:r>
        <w:rPr>
          <w:rStyle w:val="CharDivText"/>
        </w:rPr>
        <w:t>General</w:t>
      </w:r>
      <w:bookmarkEnd w:id="18"/>
    </w:p>
    <w:p>
      <w:pPr>
        <w:pStyle w:val="Footnoteheading"/>
      </w:pPr>
      <w:r>
        <w:tab/>
        <w:t>[Heading inserted by No. 37 of 2011 s. 10.]</w:t>
      </w:r>
    </w:p>
    <w:p>
      <w:pPr>
        <w:pStyle w:val="Heading5"/>
        <w:rPr>
          <w:snapToGrid w:val="0"/>
        </w:rPr>
      </w:pPr>
      <w:bookmarkStart w:id="19" w:name="_Toc523052855"/>
      <w:r>
        <w:rPr>
          <w:rStyle w:val="CharSectno"/>
        </w:rPr>
        <w:t>7</w:t>
      </w:r>
      <w:r>
        <w:rPr>
          <w:snapToGrid w:val="0"/>
        </w:rPr>
        <w:t>.</w:t>
      </w:r>
      <w:r>
        <w:rPr>
          <w:snapToGrid w:val="0"/>
        </w:rPr>
        <w:tab/>
        <w:t>Provisions about Board (Sch. 1)</w:t>
      </w:r>
      <w:bookmarkEnd w:id="19"/>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r>
        <w:tab/>
        <w:t>[Section 7 amended by No. 37 of 2011 s. 11.]</w:t>
      </w:r>
    </w:p>
    <w:p>
      <w:pPr>
        <w:pStyle w:val="Heading5"/>
      </w:pPr>
      <w:bookmarkStart w:id="20" w:name="_Toc523052856"/>
      <w:r>
        <w:rPr>
          <w:rStyle w:val="CharSectno"/>
        </w:rPr>
        <w:t>8A</w:t>
      </w:r>
      <w:r>
        <w:t>.</w:t>
      </w:r>
      <w:r>
        <w:tab/>
        <w:t>CEO or representative may attend meetings of Board and committees</w:t>
      </w:r>
      <w:bookmarkEnd w:id="20"/>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 by No. 37 of 2011 s. 12.]</w:t>
      </w:r>
    </w:p>
    <w:p>
      <w:pPr>
        <w:pStyle w:val="Heading5"/>
        <w:rPr>
          <w:snapToGrid w:val="0"/>
        </w:rPr>
      </w:pPr>
      <w:bookmarkStart w:id="21" w:name="_Toc523052857"/>
      <w:r>
        <w:rPr>
          <w:rStyle w:val="CharSectno"/>
        </w:rPr>
        <w:t>8</w:t>
      </w:r>
      <w:r>
        <w:rPr>
          <w:snapToGrid w:val="0"/>
        </w:rPr>
        <w:t>.</w:t>
      </w:r>
      <w:r>
        <w:rPr>
          <w:snapToGrid w:val="0"/>
        </w:rPr>
        <w:tab/>
        <w:t>Members of Board and committees, remuneration of</w:t>
      </w:r>
      <w:bookmarkEnd w:id="21"/>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 No. 37 of 2011 s. 13.]</w:t>
      </w:r>
    </w:p>
    <w:p>
      <w:pPr>
        <w:pStyle w:val="Heading2"/>
      </w:pPr>
      <w:bookmarkStart w:id="22" w:name="_Toc523052858"/>
      <w:r>
        <w:rPr>
          <w:rStyle w:val="CharPartNo"/>
        </w:rPr>
        <w:t>Part 3</w:t>
      </w:r>
      <w:r>
        <w:rPr>
          <w:rStyle w:val="CharDivNo"/>
        </w:rPr>
        <w:t> </w:t>
      </w:r>
      <w:r>
        <w:t>—</w:t>
      </w:r>
      <w:r>
        <w:rPr>
          <w:rStyle w:val="CharDivText"/>
        </w:rPr>
        <w:t> </w:t>
      </w:r>
      <w:r>
        <w:rPr>
          <w:rStyle w:val="CharPartText"/>
        </w:rPr>
        <w:t>Functions and powers</w:t>
      </w:r>
      <w:bookmarkEnd w:id="22"/>
      <w:r>
        <w:rPr>
          <w:rStyle w:val="CharPartText"/>
        </w:rPr>
        <w:t xml:space="preserve"> </w:t>
      </w:r>
    </w:p>
    <w:p>
      <w:pPr>
        <w:pStyle w:val="Heading5"/>
      </w:pPr>
      <w:bookmarkStart w:id="23" w:name="_Toc523052859"/>
      <w:r>
        <w:rPr>
          <w:rStyle w:val="CharSectno"/>
        </w:rPr>
        <w:t>9</w:t>
      </w:r>
      <w:r>
        <w:t>.</w:t>
      </w:r>
      <w:r>
        <w:tab/>
        <w:t>Functions of Authority</w:t>
      </w:r>
      <w:bookmarkEnd w:id="23"/>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keepNext/>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w:t>
      </w:r>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r>
        <w:tab/>
        <w:t>[Section 9 inserted by No. 37 of 2011 s. 14.]</w:t>
      </w:r>
    </w:p>
    <w:p>
      <w:pPr>
        <w:pStyle w:val="Heading5"/>
      </w:pPr>
      <w:bookmarkStart w:id="24" w:name="_Toc523052860"/>
      <w:r>
        <w:rPr>
          <w:rStyle w:val="CharSectno"/>
        </w:rPr>
        <w:t>10</w:t>
      </w:r>
      <w:r>
        <w:t>.</w:t>
      </w:r>
      <w:r>
        <w:tab/>
        <w:t>Advisory function of Authority</w:t>
      </w:r>
      <w:bookmarkEnd w:id="24"/>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r>
        <w:tab/>
        <w:t>[Section 10 inserted by No. 37 of 2011 s. 14.]</w:t>
      </w:r>
    </w:p>
    <w:p>
      <w:pPr>
        <w:pStyle w:val="Heading5"/>
      </w:pPr>
      <w:bookmarkStart w:id="25" w:name="_Toc523052861"/>
      <w:r>
        <w:rPr>
          <w:rStyle w:val="CharSectno"/>
        </w:rPr>
        <w:t>11</w:t>
      </w:r>
      <w:r>
        <w:t>.</w:t>
      </w:r>
      <w:r>
        <w:tab/>
        <w:t>Draft reports on standards of student achievement, preparation of etc.</w:t>
      </w:r>
      <w:bookmarkEnd w:id="25"/>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keepNext/>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r>
        <w:tab/>
        <w:t>[Section 11 inserted by No. 37 of 2011 s. 14.]</w:t>
      </w:r>
    </w:p>
    <w:p>
      <w:pPr>
        <w:pStyle w:val="Heading5"/>
      </w:pPr>
      <w:bookmarkStart w:id="26" w:name="_Toc523052862"/>
      <w:r>
        <w:rPr>
          <w:rStyle w:val="CharSectno"/>
        </w:rPr>
        <w:t>12</w:t>
      </w:r>
      <w:r>
        <w:t>.</w:t>
      </w:r>
      <w:r>
        <w:tab/>
        <w:t>Draft reports under s. 11(2), dealing with</w:t>
      </w:r>
      <w:bookmarkEnd w:id="26"/>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 by No. 37 of 2011 s. 14.]</w:t>
      </w:r>
    </w:p>
    <w:p>
      <w:pPr>
        <w:pStyle w:val="Ednotesection"/>
      </w:pPr>
      <w:r>
        <w:t>[</w:t>
      </w:r>
      <w:r>
        <w:rPr>
          <w:b/>
        </w:rPr>
        <w:t>13.</w:t>
      </w:r>
      <w:r>
        <w:tab/>
        <w:t>Deleted by No. 37 of 2011 s. 14.]</w:t>
      </w:r>
    </w:p>
    <w:p>
      <w:pPr>
        <w:pStyle w:val="Heading5"/>
        <w:rPr>
          <w:snapToGrid w:val="0"/>
        </w:rPr>
      </w:pPr>
      <w:bookmarkStart w:id="27" w:name="_Toc523052863"/>
      <w:r>
        <w:rPr>
          <w:rStyle w:val="CharSectno"/>
        </w:rPr>
        <w:t>14</w:t>
      </w:r>
      <w:r>
        <w:rPr>
          <w:snapToGrid w:val="0"/>
        </w:rPr>
        <w:t>.</w:t>
      </w:r>
      <w:r>
        <w:rPr>
          <w:snapToGrid w:val="0"/>
        </w:rPr>
        <w:tab/>
        <w:t>Records of assessment and register of courses, Authority to keep etc.</w:t>
      </w:r>
      <w:bookmarkEnd w:id="27"/>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Footnotesection"/>
      </w:pPr>
      <w:r>
        <w:tab/>
        <w:t>[Section 14 amended by No. 37 of 2011 s. 15 and 53(1).]</w:t>
      </w:r>
    </w:p>
    <w:p>
      <w:pPr>
        <w:pStyle w:val="Heading5"/>
        <w:spacing w:before="260"/>
        <w:rPr>
          <w:snapToGrid w:val="0"/>
        </w:rPr>
      </w:pPr>
      <w:bookmarkStart w:id="28" w:name="_Toc523052864"/>
      <w:r>
        <w:rPr>
          <w:rStyle w:val="CharSectno"/>
        </w:rPr>
        <w:t>15</w:t>
      </w:r>
      <w:r>
        <w:rPr>
          <w:snapToGrid w:val="0"/>
        </w:rPr>
        <w:t>.</w:t>
      </w:r>
      <w:r>
        <w:rPr>
          <w:snapToGrid w:val="0"/>
        </w:rPr>
        <w:tab/>
        <w:t>Powers of Authority</w:t>
      </w:r>
      <w:bookmarkEnd w:id="28"/>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Indenta"/>
        <w:spacing w:before="70"/>
        <w:rPr>
          <w:snapToGrid w:val="0"/>
        </w:rPr>
      </w:pPr>
      <w:r>
        <w:rPr>
          <w:snapToGrid w:val="0"/>
        </w:rPr>
        <w:tab/>
        <w:t>(a)</w:t>
      </w:r>
      <w:r>
        <w:rPr>
          <w:snapToGrid w:val="0"/>
        </w:rPr>
        <w:tab/>
        <w:t xml:space="preserve">conduct and promote relevant research; </w:t>
      </w:r>
      <w:r>
        <w:t>and</w:t>
      </w:r>
    </w:p>
    <w:p>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pPr>
        <w:pStyle w:val="Indenta"/>
        <w:spacing w:before="70"/>
      </w:pPr>
      <w:r>
        <w:tab/>
        <w:t>(da)</w:t>
      </w:r>
      <w:r>
        <w:tab/>
        <w:t xml:space="preserve">with the approval of the Minister, provide funds by way of grants, subsidies or otherwise to governing bodies or other persons or bodies for purposes related to — </w:t>
      </w:r>
    </w:p>
    <w:p>
      <w:pPr>
        <w:pStyle w:val="Indenti"/>
        <w:spacing w:before="70"/>
      </w:pPr>
      <w:r>
        <w:tab/>
        <w:t>(i)</w:t>
      </w:r>
      <w:r>
        <w:tab/>
        <w:t>the development of courses and standards of student achievement; and</w:t>
      </w:r>
    </w:p>
    <w:p>
      <w:pPr>
        <w:pStyle w:val="Indenti"/>
        <w:spacing w:before="70"/>
      </w:pPr>
      <w:r>
        <w:tab/>
        <w:t>(ii)</w:t>
      </w:r>
      <w:r>
        <w:tab/>
        <w:t>the assessment of student achievement;</w:t>
      </w:r>
    </w:p>
    <w:p>
      <w:pPr>
        <w:pStyle w:val="Indenta"/>
        <w:spacing w:before="70"/>
      </w:pPr>
      <w:r>
        <w:tab/>
      </w:r>
      <w:r>
        <w:tab/>
        <w:t>and</w:t>
      </w:r>
    </w:p>
    <w:p>
      <w:pPr>
        <w:pStyle w:val="Indenta"/>
        <w:spacing w:before="70"/>
        <w:rPr>
          <w:snapToGrid w:val="0"/>
        </w:rPr>
      </w:pPr>
      <w:r>
        <w:rPr>
          <w:snapToGrid w:val="0"/>
        </w:rPr>
        <w:tab/>
        <w:t>(d)</w:t>
      </w:r>
      <w:r>
        <w:rPr>
          <w:snapToGrid w:val="0"/>
        </w:rPr>
        <w:tab/>
        <w:t xml:space="preserve">apply for, obtain and hold intellectual property rights and design rights; </w:t>
      </w:r>
      <w:r>
        <w:t>and</w:t>
      </w:r>
    </w:p>
    <w:p>
      <w:pPr>
        <w:pStyle w:val="Indenta"/>
        <w:spacing w:before="7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15 amended by No. 37 of 2011 s. 16 and 53(1).]</w:t>
      </w:r>
    </w:p>
    <w:p>
      <w:pPr>
        <w:pStyle w:val="Heading5"/>
        <w:rPr>
          <w:snapToGrid w:val="0"/>
        </w:rPr>
      </w:pPr>
      <w:bookmarkStart w:id="29" w:name="_Toc523052865"/>
      <w:r>
        <w:rPr>
          <w:rStyle w:val="CharSectno"/>
        </w:rPr>
        <w:t>16</w:t>
      </w:r>
      <w:r>
        <w:rPr>
          <w:snapToGrid w:val="0"/>
        </w:rPr>
        <w:t>.</w:t>
      </w:r>
      <w:r>
        <w:rPr>
          <w:snapToGrid w:val="0"/>
        </w:rPr>
        <w:tab/>
        <w:t>Functions of Authority, matters affecting performance of</w:t>
      </w:r>
      <w:bookmarkEnd w:id="29"/>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Footnotesection"/>
        <w:spacing w:before="100"/>
        <w:ind w:left="890" w:hanging="890"/>
      </w:pPr>
      <w:r>
        <w:tab/>
        <w:t>[Section 16 amended by No. 37 of 2011 s. 17 and 53(1).]</w:t>
      </w:r>
    </w:p>
    <w:p>
      <w:pPr>
        <w:pStyle w:val="Heading5"/>
        <w:spacing w:before="200"/>
        <w:rPr>
          <w:snapToGrid w:val="0"/>
        </w:rPr>
      </w:pPr>
      <w:bookmarkStart w:id="30" w:name="_Toc523052866"/>
      <w:r>
        <w:rPr>
          <w:rStyle w:val="CharSectno"/>
        </w:rPr>
        <w:t>17</w:t>
      </w:r>
      <w:r>
        <w:rPr>
          <w:snapToGrid w:val="0"/>
        </w:rPr>
        <w:t>.</w:t>
      </w:r>
      <w:r>
        <w:rPr>
          <w:snapToGrid w:val="0"/>
        </w:rPr>
        <w:tab/>
        <w:t>Delegation by Authority</w:t>
      </w:r>
      <w:bookmarkEnd w:id="30"/>
    </w:p>
    <w:p>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spacing w:before="60"/>
        <w:rPr>
          <w:snapToGrid w:val="0"/>
        </w:rPr>
      </w:pPr>
      <w:r>
        <w:rPr>
          <w:snapToGrid w:val="0"/>
        </w:rPr>
        <w:tab/>
        <w:t>(a)</w:t>
      </w:r>
      <w:r>
        <w:rPr>
          <w:snapToGrid w:val="0"/>
        </w:rPr>
        <w:tab/>
        <w:t xml:space="preserve">a member or </w:t>
      </w:r>
      <w:r>
        <w:t>members; or</w:t>
      </w:r>
    </w:p>
    <w:p>
      <w:pPr>
        <w:pStyle w:val="Indenta"/>
        <w:spacing w:before="60"/>
      </w:pPr>
      <w:r>
        <w:tab/>
        <w:t>(ba)</w:t>
      </w:r>
      <w:r>
        <w:tab/>
        <w:t>the chief executive officer; or</w:t>
      </w:r>
    </w:p>
    <w:p>
      <w:pPr>
        <w:pStyle w:val="Indenta"/>
        <w:spacing w:before="60"/>
        <w:rPr>
          <w:snapToGrid w:val="0"/>
        </w:rPr>
      </w:pPr>
      <w:r>
        <w:rPr>
          <w:snapToGrid w:val="0"/>
        </w:rPr>
        <w:tab/>
        <w:t>(b)</w:t>
      </w:r>
      <w:r>
        <w:rPr>
          <w:snapToGrid w:val="0"/>
        </w:rPr>
        <w:tab/>
        <w:t>a member or members of staff;</w:t>
      </w:r>
      <w:r>
        <w:t xml:space="preserve"> or</w:t>
      </w:r>
    </w:p>
    <w:p>
      <w:pPr>
        <w:pStyle w:val="Indenta"/>
        <w:spacing w:before="60"/>
        <w:rPr>
          <w:snapToGrid w:val="0"/>
        </w:rPr>
      </w:pPr>
      <w:r>
        <w:rPr>
          <w:snapToGrid w:val="0"/>
        </w:rPr>
        <w:tab/>
        <w:t>(c)</w:t>
      </w:r>
      <w:r>
        <w:rPr>
          <w:snapToGrid w:val="0"/>
        </w:rPr>
        <w:tab/>
        <w:t xml:space="preserve">a committee; or </w:t>
      </w:r>
    </w:p>
    <w:p>
      <w:pPr>
        <w:pStyle w:val="Indenta"/>
        <w:spacing w:before="60"/>
        <w:rPr>
          <w:snapToGrid w:val="0"/>
        </w:rPr>
      </w:pPr>
      <w:r>
        <w:rPr>
          <w:snapToGrid w:val="0"/>
        </w:rPr>
        <w:tab/>
        <w:t>(d)</w:t>
      </w:r>
      <w:r>
        <w:rPr>
          <w:snapToGrid w:val="0"/>
        </w:rPr>
        <w:tab/>
        <w:t>any other person.</w:t>
      </w:r>
    </w:p>
    <w:p>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spacing w:before="100"/>
        <w:ind w:left="890" w:hanging="890"/>
      </w:pPr>
      <w:r>
        <w:tab/>
        <w:t>[Section 17 amended by No. 37 of 2011 s. 18 and 53(1).]</w:t>
      </w:r>
    </w:p>
    <w:p>
      <w:pPr>
        <w:pStyle w:val="Heading5"/>
        <w:spacing w:before="200"/>
        <w:rPr>
          <w:snapToGrid w:val="0"/>
        </w:rPr>
      </w:pPr>
      <w:bookmarkStart w:id="31" w:name="_Toc523052867"/>
      <w:r>
        <w:rPr>
          <w:rStyle w:val="CharSectno"/>
        </w:rPr>
        <w:t>18</w:t>
      </w:r>
      <w:r>
        <w:rPr>
          <w:snapToGrid w:val="0"/>
        </w:rPr>
        <w:t>.</w:t>
      </w:r>
      <w:r>
        <w:rPr>
          <w:snapToGrid w:val="0"/>
        </w:rPr>
        <w:tab/>
        <w:t>Minister may give directions to Authority</w:t>
      </w:r>
      <w:bookmarkEnd w:id="31"/>
    </w:p>
    <w:p>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spacing w:before="120"/>
      </w:pPr>
      <w:r>
        <w:tab/>
        <w:t>(2)</w:t>
      </w:r>
      <w:r>
        <w:tab/>
        <w:t xml:space="preserve">The text of a direction given under subsection (1) is to be — </w:t>
      </w:r>
    </w:p>
    <w:p>
      <w:pPr>
        <w:pStyle w:val="Indenta"/>
        <w:spacing w:before="60"/>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spacing w:before="100"/>
        <w:ind w:left="890" w:hanging="890"/>
      </w:pPr>
      <w:r>
        <w:tab/>
        <w:t>[Section 18 amended by No. 77 of 2006 Sch. 1 cl. 41(1); No. 37 of 2011 s. 19 and 53(1).]</w:t>
      </w:r>
    </w:p>
    <w:p>
      <w:pPr>
        <w:pStyle w:val="Heading5"/>
        <w:rPr>
          <w:snapToGrid w:val="0"/>
        </w:rPr>
      </w:pPr>
      <w:bookmarkStart w:id="32" w:name="_Toc523052868"/>
      <w:r>
        <w:rPr>
          <w:rStyle w:val="CharSectno"/>
        </w:rPr>
        <w:t>19</w:t>
      </w:r>
      <w:r>
        <w:rPr>
          <w:snapToGrid w:val="0"/>
        </w:rPr>
        <w:t>.</w:t>
      </w:r>
      <w:r>
        <w:rPr>
          <w:snapToGrid w:val="0"/>
        </w:rPr>
        <w:tab/>
        <w:t>Minister to have access to information</w:t>
      </w:r>
      <w:bookmarkEnd w:id="32"/>
      <w:r>
        <w:rPr>
          <w:snapToGrid w:val="0"/>
        </w:rPr>
        <w:t xml:space="preserve"> </w:t>
      </w:r>
    </w:p>
    <w:p>
      <w:pPr>
        <w:pStyle w:val="Subsection"/>
        <w:spacing w:before="120"/>
        <w:rPr>
          <w:snapToGrid w:val="0"/>
        </w:rPr>
      </w:pPr>
      <w:r>
        <w:rPr>
          <w:snapToGrid w:val="0"/>
        </w:rPr>
        <w:tab/>
        <w:t>(1)</w:t>
      </w:r>
      <w:r>
        <w:rPr>
          <w:snapToGrid w:val="0"/>
        </w:rPr>
        <w:tab/>
      </w:r>
      <w:r>
        <w:t>The</w:t>
      </w:r>
      <w:r>
        <w:rPr>
          <w:snapToGrid w:val="0"/>
        </w:rPr>
        <w:t xml:space="preserve"> Minister is entitled — </w:t>
      </w:r>
    </w:p>
    <w:p>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spacing w:before="120"/>
        <w:rPr>
          <w:snapToGrid w:val="0"/>
        </w:rPr>
      </w:pPr>
      <w:r>
        <w:rPr>
          <w:snapToGrid w:val="0"/>
        </w:rPr>
        <w:tab/>
        <w:t>(4)</w:t>
      </w:r>
      <w:r>
        <w:rPr>
          <w:snapToGrid w:val="0"/>
        </w:rPr>
        <w:tab/>
        <w:t xml:space="preserve">In </w:t>
      </w:r>
      <w:r>
        <w:t>this</w:t>
      </w:r>
      <w:r>
        <w:rPr>
          <w:snapToGrid w:val="0"/>
        </w:rPr>
        <w:t xml:space="preserve">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spacing w:before="100"/>
        <w:ind w:left="890" w:hanging="890"/>
      </w:pPr>
      <w:r>
        <w:tab/>
        <w:t>[Section 19 amended by No. 22 of 2005 s. 46; No. 37 of 2011 s. 53(1).]</w:t>
      </w:r>
    </w:p>
    <w:p>
      <w:pPr>
        <w:pStyle w:val="Heading2"/>
      </w:pPr>
      <w:bookmarkStart w:id="33" w:name="_Toc523052869"/>
      <w:r>
        <w:rPr>
          <w:rStyle w:val="CharPartNo"/>
        </w:rPr>
        <w:t>Part 3A</w:t>
      </w:r>
      <w:r>
        <w:rPr>
          <w:b w:val="0"/>
        </w:rPr>
        <w:t> </w:t>
      </w:r>
      <w:r>
        <w:t>—</w:t>
      </w:r>
      <w:r>
        <w:rPr>
          <w:b w:val="0"/>
        </w:rPr>
        <w:t> </w:t>
      </w:r>
      <w:r>
        <w:rPr>
          <w:rStyle w:val="CharPartText"/>
        </w:rPr>
        <w:t>Student records</w:t>
      </w:r>
      <w:bookmarkEnd w:id="33"/>
    </w:p>
    <w:p>
      <w:pPr>
        <w:pStyle w:val="Footnoteheading"/>
        <w:spacing w:before="100"/>
      </w:pPr>
      <w:r>
        <w:tab/>
        <w:t>[Heading inserted by No. 22 of 2005 s. 47.]</w:t>
      </w:r>
    </w:p>
    <w:p>
      <w:pPr>
        <w:pStyle w:val="Heading5"/>
      </w:pPr>
      <w:bookmarkStart w:id="34" w:name="_Toc523052870"/>
      <w:r>
        <w:rPr>
          <w:rStyle w:val="CharSectno"/>
        </w:rPr>
        <w:t>19A</w:t>
      </w:r>
      <w:r>
        <w:t>.</w:t>
      </w:r>
      <w:r>
        <w:tab/>
        <w:t>Terms used</w:t>
      </w:r>
      <w:bookmarkEnd w:id="34"/>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tab/>
      </w:r>
      <w:r>
        <w:rPr>
          <w:rStyle w:val="CharDefText"/>
        </w:rPr>
        <w:t>final years of compulsory education</w:t>
      </w:r>
      <w:r>
        <w:t xml:space="preserve"> has the meaning given in the School Education Act section 4;</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spacing w:before="70"/>
      </w:pPr>
      <w:r>
        <w:tab/>
        <w:t>(a)</w:t>
      </w:r>
      <w:r>
        <w:tab/>
        <w:t>a child in either of the final years of compulsory education who is not enrolled at a school or receiving home education</w:t>
      </w:r>
      <w:r>
        <w:rPr>
          <w:bCs/>
        </w:rPr>
        <w:t>; and</w:t>
      </w:r>
    </w:p>
    <w:p>
      <w:pPr>
        <w:pStyle w:val="Defpara"/>
        <w:spacing w:before="70"/>
      </w:pPr>
      <w:r>
        <w:tab/>
        <w:t>(b)</w:t>
      </w:r>
      <w:r>
        <w:tab/>
        <w:t>an exempt child;</w:t>
      </w:r>
    </w:p>
    <w:p>
      <w:pPr>
        <w:pStyle w:val="Defstart"/>
      </w:pPr>
      <w:r>
        <w:tab/>
      </w:r>
      <w:r>
        <w:rPr>
          <w:rStyle w:val="CharDefText"/>
        </w:rPr>
        <w:t>student record</w:t>
      </w:r>
      <w:r>
        <w:t xml:space="preserve">, in relation to a student, means a record of — </w:t>
      </w:r>
    </w:p>
    <w:p>
      <w:pPr>
        <w:pStyle w:val="Defpara"/>
        <w:spacing w:before="70"/>
      </w:pPr>
      <w:r>
        <w:tab/>
        <w:t>(a)</w:t>
      </w:r>
      <w:r>
        <w:tab/>
        <w:t>any educational programme in which the student is or has been enrolled, or that is being or has been provided to the student by a home educator; and</w:t>
      </w:r>
    </w:p>
    <w:p>
      <w:pPr>
        <w:pStyle w:val="Defpara"/>
        <w:spacing w:before="70"/>
      </w:pPr>
      <w:r>
        <w:tab/>
        <w:t>(b)</w:t>
      </w:r>
      <w:r>
        <w:tab/>
        <w:t>any option under section 11B of the School Education Act notified under this Part to the Authority by a provider in respect of the student; and</w:t>
      </w:r>
    </w:p>
    <w:p>
      <w:pPr>
        <w:pStyle w:val="Defpara"/>
        <w:spacing w:before="70"/>
      </w:pPr>
      <w:r>
        <w:tab/>
        <w:t>(c)</w:t>
      </w:r>
      <w:r>
        <w:tab/>
        <w:t xml:space="preserve">any achievement or other result on the part of the student in relation to — </w:t>
      </w:r>
    </w:p>
    <w:p>
      <w:pPr>
        <w:pStyle w:val="Defsubpara"/>
        <w:spacing w:before="70"/>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NAm"/>
              <w:spacing w:before="0"/>
            </w:pPr>
            <w:r>
              <w:t>1A.</w:t>
            </w:r>
          </w:p>
        </w:tc>
        <w:tc>
          <w:tcPr>
            <w:tcW w:w="2772" w:type="dxa"/>
          </w:tcPr>
          <w:p>
            <w:pPr>
              <w:pStyle w:val="TableNAm"/>
              <w:spacing w:before="0"/>
            </w:pPr>
            <w:r>
              <w:t>A student enrolled at a community kindergarten.</w:t>
            </w:r>
          </w:p>
        </w:tc>
        <w:tc>
          <w:tcPr>
            <w:tcW w:w="2438" w:type="dxa"/>
          </w:tcPr>
          <w:p>
            <w:pPr>
              <w:pStyle w:val="TableNAm"/>
              <w:spacing w:before="0"/>
            </w:pPr>
            <w:r>
              <w:t>The governing body.</w:t>
            </w:r>
          </w:p>
        </w:tc>
      </w:tr>
      <w:tr>
        <w:trPr>
          <w:cantSplit/>
        </w:trPr>
        <w:tc>
          <w:tcPr>
            <w:tcW w:w="709" w:type="dxa"/>
          </w:tcPr>
          <w:p>
            <w:pPr>
              <w:pStyle w:val="TableNAm"/>
              <w:spacing w:before="0"/>
            </w:pPr>
            <w:r>
              <w:t>1.</w:t>
            </w:r>
          </w:p>
        </w:tc>
        <w:tc>
          <w:tcPr>
            <w:tcW w:w="2772" w:type="dxa"/>
          </w:tcPr>
          <w:p>
            <w:pPr>
              <w:pStyle w:val="TableNAm"/>
              <w:spacing w:before="0"/>
            </w:pPr>
            <w:r>
              <w:t>A student enrolled in an educational programme at a school (other than a community kindergarten).</w:t>
            </w:r>
          </w:p>
        </w:tc>
        <w:tc>
          <w:tcPr>
            <w:tcW w:w="2438" w:type="dxa"/>
          </w:tcPr>
          <w:p>
            <w:pPr>
              <w:pStyle w:val="TableNAm"/>
              <w:spacing w:before="0"/>
            </w:pPr>
            <w:r>
              <w:t>The principal of the school.</w:t>
            </w:r>
          </w:p>
        </w:tc>
      </w:tr>
      <w:tr>
        <w:trPr>
          <w:cantSplit/>
        </w:trPr>
        <w:tc>
          <w:tcPr>
            <w:tcW w:w="709" w:type="dxa"/>
          </w:tcPr>
          <w:p>
            <w:pPr>
              <w:pStyle w:val="TableNAm"/>
              <w:spacing w:before="0"/>
            </w:pPr>
            <w:r>
              <w:t>2.</w:t>
            </w:r>
          </w:p>
        </w:tc>
        <w:tc>
          <w:tcPr>
            <w:tcW w:w="2772" w:type="dxa"/>
          </w:tcPr>
          <w:p>
            <w:pPr>
              <w:pStyle w:val="TableNAm"/>
              <w:spacing w:before="0"/>
            </w:pPr>
            <w:r>
              <w:t>A student undertaking a course at a university.</w:t>
            </w:r>
          </w:p>
        </w:tc>
        <w:tc>
          <w:tcPr>
            <w:tcW w:w="2438" w:type="dxa"/>
          </w:tcPr>
          <w:p>
            <w:pPr>
              <w:pStyle w:val="TableNAm"/>
              <w:spacing w:before="0"/>
            </w:pPr>
            <w:r>
              <w:t>The university.</w:t>
            </w:r>
          </w:p>
        </w:tc>
      </w:tr>
      <w:tr>
        <w:trPr>
          <w:cantSplit/>
        </w:trPr>
        <w:tc>
          <w:tcPr>
            <w:tcW w:w="709" w:type="dxa"/>
          </w:tcPr>
          <w:p>
            <w:pPr>
              <w:pStyle w:val="TableNAm"/>
              <w:spacing w:before="0"/>
            </w:pPr>
            <w:r>
              <w:t>3.</w:t>
            </w:r>
          </w:p>
        </w:tc>
        <w:tc>
          <w:tcPr>
            <w:tcW w:w="2772" w:type="dxa"/>
          </w:tcPr>
          <w:p>
            <w:pPr>
              <w:pStyle w:val="TableNAm"/>
              <w:spacing w:before="0"/>
            </w:pPr>
            <w:r>
              <w:t xml:space="preserve">A student undertaking a higher education course registered under section 23 of the </w:t>
            </w:r>
            <w:r>
              <w:rPr>
                <w:i/>
                <w:iCs/>
              </w:rPr>
              <w:t>Higher Education Act 2004</w:t>
            </w:r>
            <w:r>
              <w:t>.</w:t>
            </w:r>
          </w:p>
        </w:tc>
        <w:tc>
          <w:tcPr>
            <w:tcW w:w="2438" w:type="dxa"/>
          </w:tcPr>
          <w:p>
            <w:pPr>
              <w:pStyle w:val="TableNAm"/>
              <w:spacing w:before="0"/>
            </w:pPr>
            <w:r>
              <w:t xml:space="preserve">The education institution that provides the course. </w:t>
            </w:r>
          </w:p>
        </w:tc>
      </w:tr>
      <w:tr>
        <w:trPr>
          <w:cantSplit/>
        </w:trPr>
        <w:tc>
          <w:tcPr>
            <w:tcW w:w="709" w:type="dxa"/>
          </w:tcPr>
          <w:p>
            <w:pPr>
              <w:pStyle w:val="TableNAm"/>
              <w:spacing w:before="0"/>
            </w:pPr>
            <w:r>
              <w:t>4.</w:t>
            </w:r>
          </w:p>
        </w:tc>
        <w:tc>
          <w:tcPr>
            <w:tcW w:w="2772" w:type="dxa"/>
          </w:tcPr>
          <w:p>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NAm"/>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NAm"/>
              <w:spacing w:before="0"/>
            </w:pPr>
            <w:r>
              <w:t>5.</w:t>
            </w:r>
          </w:p>
        </w:tc>
        <w:tc>
          <w:tcPr>
            <w:tcW w:w="2772" w:type="dxa"/>
          </w:tcPr>
          <w:p>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NAm"/>
              <w:spacing w:before="0"/>
            </w:pPr>
            <w:r>
              <w:t>The employer.</w:t>
            </w:r>
          </w:p>
        </w:tc>
      </w:tr>
      <w:tr>
        <w:trPr>
          <w:cantSplit/>
        </w:trPr>
        <w:tc>
          <w:tcPr>
            <w:tcW w:w="709" w:type="dxa"/>
          </w:tcPr>
          <w:p>
            <w:pPr>
              <w:pStyle w:val="TableNAm"/>
              <w:spacing w:before="0"/>
            </w:pPr>
            <w:r>
              <w:t>6.</w:t>
            </w:r>
          </w:p>
        </w:tc>
        <w:tc>
          <w:tcPr>
            <w:tcW w:w="2772" w:type="dxa"/>
          </w:tcPr>
          <w:p>
            <w:pPr>
              <w:pStyle w:val="TableNAm"/>
              <w:spacing w:before="0"/>
            </w:pPr>
            <w:r>
              <w:t>A student undertaking a course, programme or activity prescribed by order made under section 11B(2) of the School Education Act.</w:t>
            </w:r>
          </w:p>
        </w:tc>
        <w:tc>
          <w:tcPr>
            <w:tcW w:w="2438" w:type="dxa"/>
          </w:tcPr>
          <w:p>
            <w:pPr>
              <w:pStyle w:val="TableNAm"/>
              <w:spacing w:before="0"/>
            </w:pPr>
            <w:r>
              <w:t>The provider specified in the order in respect of the course, programme or activity.</w:t>
            </w:r>
          </w:p>
        </w:tc>
      </w:tr>
    </w:tbl>
    <w:p>
      <w:pPr>
        <w:pStyle w:val="Footnotesection"/>
      </w:pPr>
      <w:r>
        <w:tab/>
        <w:t>[Section 19A inserted by No. 22 of 2005 s. 47; amended by No. 44 of 2008 s. 52(2); No. 37 of 2011 s. 20 and 53(1); No. 46 of 2012 s. 15.]</w:t>
      </w:r>
    </w:p>
    <w:p>
      <w:pPr>
        <w:pStyle w:val="Heading5"/>
      </w:pPr>
      <w:bookmarkStart w:id="35" w:name="_Toc523052871"/>
      <w:r>
        <w:rPr>
          <w:rStyle w:val="CharSectno"/>
        </w:rPr>
        <w:t>19B</w:t>
      </w:r>
      <w:r>
        <w:t>.</w:t>
      </w:r>
      <w:r>
        <w:tab/>
        <w:t>Application of this Part to overseas students</w:t>
      </w:r>
      <w:bookmarkEnd w:id="35"/>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36" w:name="_Toc523052872"/>
      <w:r>
        <w:rPr>
          <w:rStyle w:val="CharSectno"/>
        </w:rPr>
        <w:t>19C</w:t>
      </w:r>
      <w:r>
        <w:t>.</w:t>
      </w:r>
      <w:r>
        <w:tab/>
        <w:t>When student record to be opened</w:t>
      </w:r>
      <w:bookmarkEnd w:id="36"/>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 by No. 22 of 2005 s. 47; amended by No. 37 of 2011 s. 21.]</w:t>
      </w:r>
    </w:p>
    <w:p>
      <w:pPr>
        <w:pStyle w:val="Heading5"/>
      </w:pPr>
      <w:bookmarkStart w:id="37" w:name="_Toc523052873"/>
      <w:r>
        <w:rPr>
          <w:rStyle w:val="CharSectno"/>
        </w:rPr>
        <w:t>19D</w:t>
      </w:r>
      <w:r>
        <w:t>.</w:t>
      </w:r>
      <w:r>
        <w:tab/>
        <w:t>Provider may be directed to open student record</w:t>
      </w:r>
      <w:bookmarkEnd w:id="37"/>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 amended by No. 37 of 2011 s. 53(1).]</w:t>
      </w:r>
    </w:p>
    <w:p>
      <w:pPr>
        <w:pStyle w:val="Heading5"/>
        <w:spacing w:before="180"/>
      </w:pPr>
      <w:bookmarkStart w:id="38" w:name="_Toc523052874"/>
      <w:r>
        <w:rPr>
          <w:rStyle w:val="CharSectno"/>
        </w:rPr>
        <w:t>19E</w:t>
      </w:r>
      <w:r>
        <w:t>.</w:t>
      </w:r>
      <w:r>
        <w:tab/>
        <w:t>How student record is opened</w:t>
      </w:r>
      <w:bookmarkEnd w:id="38"/>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 and</w:t>
      </w:r>
    </w:p>
    <w:p>
      <w:pPr>
        <w:pStyle w:val="Indenti"/>
      </w:pPr>
      <w:r>
        <w:tab/>
        <w:t>(ii)</w:t>
      </w:r>
      <w:r>
        <w:tab/>
        <w:t>address; and</w:t>
      </w:r>
    </w:p>
    <w:p>
      <w:pPr>
        <w:pStyle w:val="Indenti"/>
      </w:pPr>
      <w:r>
        <w:tab/>
        <w:t>(iii)</w:t>
      </w:r>
      <w:r>
        <w:tab/>
        <w:t>date of birth;</w:t>
      </w:r>
    </w:p>
    <w:p>
      <w:pPr>
        <w:pStyle w:val="Indenta"/>
      </w:pPr>
      <w:r>
        <w:tab/>
      </w:r>
      <w:r>
        <w:tab/>
        <w:t>and</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 amended by No. 37 of 2011 s. 53(1).]</w:t>
      </w:r>
    </w:p>
    <w:p>
      <w:pPr>
        <w:pStyle w:val="Heading5"/>
        <w:spacing w:before="200"/>
      </w:pPr>
      <w:bookmarkStart w:id="39" w:name="_Toc523052875"/>
      <w:r>
        <w:rPr>
          <w:rStyle w:val="CharSectno"/>
        </w:rPr>
        <w:t>19F</w:t>
      </w:r>
      <w:r>
        <w:t>.</w:t>
      </w:r>
      <w:r>
        <w:tab/>
        <w:t>Change of student’s provider, employer etc., provider to inform Authority of</w:t>
      </w:r>
      <w:bookmarkEnd w:id="39"/>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keepNext/>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 No. 37 of 2011 s. 53(1).]</w:t>
      </w:r>
    </w:p>
    <w:p>
      <w:pPr>
        <w:pStyle w:val="Heading5"/>
      </w:pPr>
      <w:bookmarkStart w:id="40" w:name="_Toc523052876"/>
      <w:r>
        <w:rPr>
          <w:rStyle w:val="CharSectno"/>
        </w:rPr>
        <w:t>19G</w:t>
      </w:r>
      <w:r>
        <w:t>.</w:t>
      </w:r>
      <w:r>
        <w:tab/>
        <w:t>Student’s results etc., provider to inform Authority of</w:t>
      </w:r>
      <w:bookmarkEnd w:id="40"/>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 amended by No. 37 of 2011 s. 53(1).]</w:t>
      </w:r>
    </w:p>
    <w:p>
      <w:pPr>
        <w:pStyle w:val="Heading5"/>
      </w:pPr>
      <w:bookmarkStart w:id="41" w:name="_Toc523052877"/>
      <w:r>
        <w:rPr>
          <w:rStyle w:val="CharSectno"/>
        </w:rPr>
        <w:t>19H</w:t>
      </w:r>
      <w:r>
        <w:t>.</w:t>
      </w:r>
      <w:r>
        <w:tab/>
        <w:t>Informing Authority, general provisions about</w:t>
      </w:r>
      <w:bookmarkEnd w:id="41"/>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spacing w:before="120"/>
      </w:pPr>
      <w:r>
        <w:tab/>
      </w:r>
      <w:r>
        <w:tab/>
        <w:t>as approved by the Authority for the purposes of the provision under which the information is given.</w:t>
      </w:r>
    </w:p>
    <w:p>
      <w:pPr>
        <w:pStyle w:val="Subsection"/>
        <w:spacing w:before="140"/>
      </w:pPr>
      <w:r>
        <w:tab/>
        <w:t>(2)</w:t>
      </w:r>
      <w:r>
        <w:tab/>
        <w:t>Such information is also to be given in accordance with any provision made by the regulations, including provision as to the time or times at which the information is to be given.</w:t>
      </w:r>
    </w:p>
    <w:p>
      <w:pPr>
        <w:pStyle w:val="Subsection"/>
        <w:spacing w:before="140"/>
      </w:pPr>
      <w:r>
        <w:tab/>
        <w:t>(3)</w:t>
      </w:r>
      <w:r>
        <w:tab/>
        <w:t>Without limiting its powers under section 19I(3) or 19K, the Authority is not required to satisfy itself as to the validity or correctness of information given to it under this Part.</w:t>
      </w:r>
    </w:p>
    <w:p>
      <w:pPr>
        <w:pStyle w:val="Footnotesection"/>
        <w:spacing w:before="100"/>
        <w:ind w:left="890" w:hanging="890"/>
      </w:pPr>
      <w:r>
        <w:tab/>
        <w:t>[Section 19H inserted by No. 22 of 2005 s. 47; amended by No. 37 of 2011 s. 53(1).]</w:t>
      </w:r>
    </w:p>
    <w:p>
      <w:pPr>
        <w:pStyle w:val="Heading5"/>
      </w:pPr>
      <w:bookmarkStart w:id="42" w:name="_Toc523052878"/>
      <w:r>
        <w:rPr>
          <w:rStyle w:val="CharSectno"/>
        </w:rPr>
        <w:t>19I</w:t>
      </w:r>
      <w:r>
        <w:t>.</w:t>
      </w:r>
      <w:r>
        <w:tab/>
        <w:t>Database of student records etc., Authority to maintain; use of database</w:t>
      </w:r>
      <w:bookmarkEnd w:id="42"/>
    </w:p>
    <w:p>
      <w:pPr>
        <w:pStyle w:val="Subsection"/>
        <w:spacing w:before="140"/>
      </w:pPr>
      <w:r>
        <w:tab/>
        <w:t>(1)</w:t>
      </w:r>
      <w:r>
        <w:tab/>
        <w:t xml:space="preserve">It is a function of the Authority to maintain a database containing — </w:t>
      </w:r>
    </w:p>
    <w:p>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spacing w:before="60"/>
      </w:pPr>
      <w:r>
        <w:tab/>
        <w:t>(b)</w:t>
      </w:r>
      <w:r>
        <w:tab/>
        <w:t xml:space="preserve">the information relating to student records given to it under this Part; and </w:t>
      </w:r>
    </w:p>
    <w:p>
      <w:pPr>
        <w:pStyle w:val="Indenta"/>
        <w:spacing w:before="60"/>
      </w:pPr>
      <w:r>
        <w:tab/>
        <w:t>(c)</w:t>
      </w:r>
      <w:r>
        <w:tab/>
        <w:t>other information relating to student records received by or otherwise available to the Authority.</w:t>
      </w:r>
    </w:p>
    <w:p>
      <w:pPr>
        <w:pStyle w:val="Subsection"/>
        <w:spacing w:before="140"/>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r>
        <w:rPr>
          <w:vertAlign w:val="superscript"/>
        </w:rPr>
        <w:t> 1</w:t>
      </w:r>
      <w:r>
        <w:t>.</w:t>
      </w:r>
    </w:p>
    <w:p>
      <w:pPr>
        <w:pStyle w:val="Subsection"/>
        <w:spacing w:before="140"/>
      </w:pPr>
      <w:r>
        <w:tab/>
        <w:t>(2)</w:t>
      </w:r>
      <w:r>
        <w:tab/>
        <w:t>The database is to be maintained in such manner and form as the Authority thinks fit.</w:t>
      </w:r>
    </w:p>
    <w:p>
      <w:pPr>
        <w:pStyle w:val="Subsection"/>
        <w:spacing w:before="140"/>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 by No. 22 of 2005 s. 47; amended by No. 37 of 2011 s. 22 and 53(1).]</w:t>
      </w:r>
    </w:p>
    <w:p>
      <w:pPr>
        <w:pStyle w:val="Heading5"/>
      </w:pPr>
      <w:bookmarkStart w:id="43" w:name="_Toc523052879"/>
      <w:r>
        <w:rPr>
          <w:rStyle w:val="CharSectno"/>
        </w:rPr>
        <w:t>19J</w:t>
      </w:r>
      <w:r>
        <w:t>.</w:t>
      </w:r>
      <w:r>
        <w:tab/>
      </w:r>
      <w:r>
        <w:rPr>
          <w:bCs/>
        </w:rPr>
        <w:t>Student etc. entitled to student record</w:t>
      </w:r>
      <w:bookmarkEnd w:id="43"/>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 by No. 22 of 2005 s. 47; amended by No. 37 of 2011 s. 23 and 53(1).]</w:t>
      </w:r>
    </w:p>
    <w:p>
      <w:pPr>
        <w:pStyle w:val="Heading5"/>
      </w:pPr>
      <w:bookmarkStart w:id="44" w:name="_Toc523052880"/>
      <w:r>
        <w:rPr>
          <w:rStyle w:val="CharSectno"/>
        </w:rPr>
        <w:t>19K</w:t>
      </w:r>
      <w:r>
        <w:t>.</w:t>
      </w:r>
      <w:r>
        <w:tab/>
        <w:t>Authority may disclose information to provider for checking purposes</w:t>
      </w:r>
      <w:bookmarkEnd w:id="44"/>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 by No. 22 of 2005 s. 47; amended by No. 37 of 2011 s. 53(1).]</w:t>
      </w:r>
    </w:p>
    <w:p>
      <w:pPr>
        <w:pStyle w:val="Heading5"/>
      </w:pPr>
      <w:bookmarkStart w:id="45" w:name="_Toc523052881"/>
      <w:r>
        <w:rPr>
          <w:rStyle w:val="CharSectno"/>
        </w:rPr>
        <w:t>19L</w:t>
      </w:r>
      <w:r>
        <w:t>.</w:t>
      </w:r>
      <w:r>
        <w:tab/>
        <w:t>Authority, on request, to give Minister information in aggregated form</w:t>
      </w:r>
      <w:bookmarkEnd w:id="45"/>
    </w:p>
    <w:p>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 by No. 22 of 2005 s. 47; amended by No. 37 of 2011 s. 53(1).]</w:t>
      </w:r>
    </w:p>
    <w:p>
      <w:pPr>
        <w:pStyle w:val="Heading5"/>
      </w:pPr>
      <w:bookmarkStart w:id="46" w:name="_Toc523052882"/>
      <w:r>
        <w:rPr>
          <w:rStyle w:val="CharSectno"/>
        </w:rPr>
        <w:t>19M</w:t>
      </w:r>
      <w:r>
        <w:t>.</w:t>
      </w:r>
      <w:r>
        <w:tab/>
        <w:t>Authority, on request, to give Minister information to assist in enforcing School Education Act</w:t>
      </w:r>
      <w:bookmarkEnd w:id="46"/>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 and</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spacing w:before="60"/>
      </w:pPr>
      <w:r>
        <w:tab/>
        <w:t>(a)</w:t>
      </w:r>
      <w:r>
        <w:tab/>
        <w:t>is required by section 9 of the School Education Act to be enrolled in an educational programme or receiving home education, but is not so enrolled or receiving such education; or</w:t>
      </w:r>
    </w:p>
    <w:p>
      <w:pPr>
        <w:pStyle w:val="Indenta"/>
        <w:spacing w:before="60"/>
      </w:pPr>
      <w:r>
        <w:tab/>
        <w:t>(b)</w:t>
      </w:r>
      <w:r>
        <w:tab/>
        <w:t>is required by section 11I of that Act to be participating in an option or a combination of options under section 11B of that Act, but is not so participating.</w:t>
      </w:r>
    </w:p>
    <w:p>
      <w:pPr>
        <w:pStyle w:val="Subsection"/>
        <w:spacing w:before="130"/>
      </w:pPr>
      <w:r>
        <w:tab/>
        <w:t>(5)</w:t>
      </w:r>
      <w:r>
        <w:tab/>
        <w:t xml:space="preserve">A request may only be made by the Minister under subsection (2) — </w:t>
      </w:r>
    </w:p>
    <w:p>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pPr>
        <w:pStyle w:val="Indenta"/>
        <w:spacing w:before="60"/>
      </w:pPr>
      <w:r>
        <w:tab/>
        <w:t>(b)</w:t>
      </w:r>
      <w:r>
        <w:tab/>
        <w:t xml:space="preserve">in respect of children referred to in subsection (4)(b), for the purpose of — </w:t>
      </w:r>
    </w:p>
    <w:p>
      <w:pPr>
        <w:pStyle w:val="Indenti"/>
        <w:spacing w:before="60"/>
      </w:pPr>
      <w:r>
        <w:tab/>
        <w:t>(i)</w:t>
      </w:r>
      <w:r>
        <w:tab/>
        <w:t>identifying those children in either of the final years of compulsory education who are not engaged full</w:t>
      </w:r>
      <w:r>
        <w:noBreakHyphen/>
        <w:t>time in education, training or employment as provided by the School Education Act; and</w:t>
      </w:r>
    </w:p>
    <w:p>
      <w:pPr>
        <w:pStyle w:val="Indenti"/>
        <w:spacing w:before="60"/>
      </w:pPr>
      <w:r>
        <w:tab/>
        <w:t>(ii)</w:t>
      </w:r>
      <w:r>
        <w:tab/>
        <w:t>giving such children information about school education and the options that are available under that Act; and</w:t>
      </w:r>
    </w:p>
    <w:p>
      <w:pPr>
        <w:pStyle w:val="Indenti"/>
        <w:spacing w:before="60"/>
      </w:pPr>
      <w:r>
        <w:tab/>
        <w:t>(iii)</w:t>
      </w:r>
      <w:r>
        <w:tab/>
        <w:t>encouraging and helping parents in relation to the matters referred to in subparagraphs (i) and (ii).</w:t>
      </w:r>
    </w:p>
    <w:p>
      <w:pPr>
        <w:pStyle w:val="Footnotesection"/>
        <w:spacing w:before="100"/>
        <w:ind w:left="890" w:hanging="890"/>
      </w:pPr>
      <w:r>
        <w:tab/>
        <w:t>[Section 19M inserted by No. 22 of 2005 s. 47; amended by No. 37 of 2011 s. 53(1); No. 46 of 2012 s. 16.]</w:t>
      </w:r>
    </w:p>
    <w:p>
      <w:pPr>
        <w:pStyle w:val="Heading5"/>
        <w:spacing w:before="200"/>
      </w:pPr>
      <w:bookmarkStart w:id="47" w:name="_Toc523052883"/>
      <w:r>
        <w:rPr>
          <w:rStyle w:val="CharSectno"/>
        </w:rPr>
        <w:t>19N</w:t>
      </w:r>
      <w:r>
        <w:t>.</w:t>
      </w:r>
      <w:r>
        <w:tab/>
        <w:t>Disclosure by Minister of information given under s. 19M</w:t>
      </w:r>
      <w:bookmarkEnd w:id="47"/>
    </w:p>
    <w:p>
      <w:pPr>
        <w:pStyle w:val="Subsection"/>
        <w:spacing w:before="130"/>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48" w:name="_Toc523052884"/>
      <w:r>
        <w:rPr>
          <w:rStyle w:val="CharSectno"/>
        </w:rPr>
        <w:t>19O</w:t>
      </w:r>
      <w:r>
        <w:t>.</w:t>
      </w:r>
      <w:r>
        <w:tab/>
        <w:t>Delegation by Minister etc. of s. 19L, 19M and 19N functions</w:t>
      </w:r>
      <w:bookmarkEnd w:id="48"/>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49" w:name="_Toc523052885"/>
      <w:r>
        <w:rPr>
          <w:rStyle w:val="CharSectno"/>
        </w:rPr>
        <w:t>19P</w:t>
      </w:r>
      <w:r>
        <w:t>.</w:t>
      </w:r>
      <w:r>
        <w:tab/>
        <w:t>Authority to give certain entities certain information in aggregated form</w:t>
      </w:r>
      <w:bookmarkEnd w:id="49"/>
    </w:p>
    <w:p>
      <w:pPr>
        <w:pStyle w:val="Subsection"/>
        <w:keepNext/>
      </w:pPr>
      <w:r>
        <w:tab/>
        <w:t>(1)</w:t>
      </w:r>
      <w:r>
        <w:tab/>
        <w:t xml:space="preserve">The Authority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 amended by No. 37 of 2011 s. 53(1).]</w:t>
      </w:r>
    </w:p>
    <w:p>
      <w:pPr>
        <w:pStyle w:val="Heading2"/>
      </w:pPr>
      <w:bookmarkStart w:id="50" w:name="_Toc523052886"/>
      <w:r>
        <w:rPr>
          <w:rStyle w:val="CharPartNo"/>
        </w:rPr>
        <w:t>Part 4</w:t>
      </w:r>
      <w:r>
        <w:rPr>
          <w:rStyle w:val="CharDivNo"/>
        </w:rPr>
        <w:t> </w:t>
      </w:r>
      <w:r>
        <w:t>—</w:t>
      </w:r>
      <w:r>
        <w:rPr>
          <w:rStyle w:val="CharDivText"/>
        </w:rPr>
        <w:t> </w:t>
      </w:r>
      <w:r>
        <w:rPr>
          <w:rStyle w:val="CharPartText"/>
        </w:rPr>
        <w:t>Staff</w:t>
      </w:r>
      <w:bookmarkEnd w:id="50"/>
      <w:r>
        <w:rPr>
          <w:rStyle w:val="CharPartText"/>
        </w:rPr>
        <w:t xml:space="preserve"> </w:t>
      </w:r>
    </w:p>
    <w:p>
      <w:pPr>
        <w:pStyle w:val="Heading5"/>
        <w:rPr>
          <w:snapToGrid w:val="0"/>
        </w:rPr>
      </w:pPr>
      <w:bookmarkStart w:id="51" w:name="_Toc523052887"/>
      <w:r>
        <w:rPr>
          <w:rStyle w:val="CharSectno"/>
        </w:rPr>
        <w:t>20</w:t>
      </w:r>
      <w:r>
        <w:rPr>
          <w:snapToGrid w:val="0"/>
        </w:rPr>
        <w:t>.</w:t>
      </w:r>
      <w:r>
        <w:rPr>
          <w:snapToGrid w:val="0"/>
        </w:rPr>
        <w:tab/>
        <w:t>Chief executive officer</w:t>
      </w:r>
      <w:bookmarkEnd w:id="51"/>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r>
        <w:tab/>
        <w:t>[Section 20 amended by No. 37 of 2011 s. 24 and 53(1).]</w:t>
      </w:r>
    </w:p>
    <w:p>
      <w:pPr>
        <w:pStyle w:val="Heading5"/>
        <w:rPr>
          <w:snapToGrid w:val="0"/>
        </w:rPr>
      </w:pPr>
      <w:bookmarkStart w:id="52" w:name="_Toc523052888"/>
      <w:r>
        <w:rPr>
          <w:rStyle w:val="CharSectno"/>
        </w:rPr>
        <w:t>21</w:t>
      </w:r>
      <w:r>
        <w:rPr>
          <w:snapToGrid w:val="0"/>
        </w:rPr>
        <w:t>.</w:t>
      </w:r>
      <w:r>
        <w:rPr>
          <w:snapToGrid w:val="0"/>
        </w:rPr>
        <w:tab/>
        <w:t>Other staff</w:t>
      </w:r>
      <w:bookmarkEnd w:id="52"/>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 by No. 20 of 2002 s. 27; No. 37 of 2011 s. 53(1); amended in Gazette 15 Aug 2003 p. 3692.]</w:t>
      </w:r>
    </w:p>
    <w:p>
      <w:pPr>
        <w:pStyle w:val="Heading5"/>
        <w:rPr>
          <w:snapToGrid w:val="0"/>
        </w:rPr>
      </w:pPr>
      <w:bookmarkStart w:id="53" w:name="_Toc523052889"/>
      <w:r>
        <w:rPr>
          <w:rStyle w:val="CharSectno"/>
        </w:rPr>
        <w:t>22</w:t>
      </w:r>
      <w:r>
        <w:rPr>
          <w:snapToGrid w:val="0"/>
        </w:rPr>
        <w:t>.</w:t>
      </w:r>
      <w:r>
        <w:rPr>
          <w:snapToGrid w:val="0"/>
        </w:rPr>
        <w:tab/>
        <w:t>Use of other government staff etc.</w:t>
      </w:r>
      <w:bookmarkEnd w:id="53"/>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r>
        <w:tab/>
        <w:t>[Section 22 amended by No. 37 of 2011 s. 25 and 53(1).]</w:t>
      </w:r>
    </w:p>
    <w:p>
      <w:pPr>
        <w:pStyle w:val="Heading2"/>
      </w:pPr>
      <w:bookmarkStart w:id="54" w:name="_Toc523052890"/>
      <w:r>
        <w:rPr>
          <w:rStyle w:val="CharPartNo"/>
        </w:rPr>
        <w:t>Part 5</w:t>
      </w:r>
      <w:r>
        <w:rPr>
          <w:rStyle w:val="CharDivNo"/>
        </w:rPr>
        <w:t> </w:t>
      </w:r>
      <w:r>
        <w:t>—</w:t>
      </w:r>
      <w:r>
        <w:rPr>
          <w:rStyle w:val="CharDivText"/>
        </w:rPr>
        <w:t> </w:t>
      </w:r>
      <w:r>
        <w:rPr>
          <w:rStyle w:val="CharPartText"/>
        </w:rPr>
        <w:t>Financial provisions</w:t>
      </w:r>
      <w:bookmarkEnd w:id="54"/>
      <w:r>
        <w:rPr>
          <w:rStyle w:val="CharPartText"/>
        </w:rPr>
        <w:t xml:space="preserve"> </w:t>
      </w:r>
    </w:p>
    <w:p>
      <w:pPr>
        <w:pStyle w:val="Heading5"/>
        <w:rPr>
          <w:snapToGrid w:val="0"/>
        </w:rPr>
      </w:pPr>
      <w:bookmarkStart w:id="55" w:name="_Toc523052891"/>
      <w:r>
        <w:rPr>
          <w:rStyle w:val="CharSectno"/>
        </w:rPr>
        <w:t>23</w:t>
      </w:r>
      <w:r>
        <w:rPr>
          <w:snapToGrid w:val="0"/>
        </w:rPr>
        <w:t>.</w:t>
      </w:r>
      <w:r>
        <w:rPr>
          <w:snapToGrid w:val="0"/>
        </w:rPr>
        <w:tab/>
      </w:r>
      <w:r>
        <w:t>Funds of Authority</w:t>
      </w:r>
      <w:bookmarkEnd w:id="55"/>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r>
        <w:tab/>
        <w:t>[Section 23 amended by No. 37 of 2011 s. 26 and 53(1).]</w:t>
      </w:r>
    </w:p>
    <w:p>
      <w:pPr>
        <w:pStyle w:val="Heading5"/>
        <w:rPr>
          <w:snapToGrid w:val="0"/>
        </w:rPr>
      </w:pPr>
      <w:bookmarkStart w:id="56" w:name="_Toc523052892"/>
      <w:r>
        <w:rPr>
          <w:rStyle w:val="CharSectno"/>
        </w:rPr>
        <w:t>24</w:t>
      </w:r>
      <w:r>
        <w:rPr>
          <w:snapToGrid w:val="0"/>
        </w:rPr>
        <w:t>.</w:t>
      </w:r>
      <w:r>
        <w:rPr>
          <w:snapToGrid w:val="0"/>
        </w:rPr>
        <w:tab/>
      </w:r>
      <w:r>
        <w:rPr>
          <w:bCs/>
        </w:rPr>
        <w:t>School Curriculum and Standards Authority Account</w:t>
      </w:r>
      <w:bookmarkEnd w:id="56"/>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 and</w:t>
      </w:r>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[Section 24 amended by No. 77 of 2006 Sch. 1 cl. 41(2); No. 37 of 2011 s. 27 and 53(1).]</w:t>
      </w:r>
    </w:p>
    <w:p>
      <w:pPr>
        <w:pStyle w:val="Ednotesection"/>
      </w:pPr>
      <w:r>
        <w:t>[</w:t>
      </w:r>
      <w:r>
        <w:rPr>
          <w:b/>
        </w:rPr>
        <w:t>25.</w:t>
      </w:r>
      <w:r>
        <w:tab/>
        <w:t>Deleted by No. 37 of 2011 s. 28.]</w:t>
      </w:r>
    </w:p>
    <w:p>
      <w:pPr>
        <w:pStyle w:val="Heading5"/>
        <w:rPr>
          <w:snapToGrid w:val="0"/>
        </w:rPr>
      </w:pPr>
      <w:bookmarkStart w:id="57" w:name="_Toc523052893"/>
      <w:r>
        <w:rPr>
          <w:rStyle w:val="CharSectno"/>
        </w:rPr>
        <w:t>26</w:t>
      </w:r>
      <w:r>
        <w:rPr>
          <w:snapToGrid w:val="0"/>
        </w:rPr>
        <w:t>.</w:t>
      </w:r>
      <w:r>
        <w:rPr>
          <w:snapToGrid w:val="0"/>
        </w:rPr>
        <w:tab/>
      </w:r>
      <w:r>
        <w:rPr>
          <w:bCs/>
        </w:rPr>
        <w:t>Borrowing by Authority</w:t>
      </w:r>
      <w:bookmarkEnd w:id="57"/>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r>
        <w:tab/>
        <w:t>[Section 26 amended by No. 37 of 2011 s. 29 and 53(1).]</w:t>
      </w:r>
    </w:p>
    <w:p>
      <w:pPr>
        <w:pStyle w:val="Ednotesection"/>
      </w:pPr>
      <w:r>
        <w:t>[</w:t>
      </w:r>
      <w:r>
        <w:rPr>
          <w:b/>
        </w:rPr>
        <w:t>27, 28.</w:t>
      </w:r>
      <w:r>
        <w:tab/>
        <w:t>Deleted by No. 37 of 2011 s. 30.]</w:t>
      </w:r>
    </w:p>
    <w:p>
      <w:pPr>
        <w:pStyle w:val="Heading5"/>
        <w:rPr>
          <w:snapToGrid w:val="0"/>
        </w:rPr>
      </w:pPr>
      <w:bookmarkStart w:id="58" w:name="_Toc523052894"/>
      <w:r>
        <w:rPr>
          <w:rStyle w:val="CharSectno"/>
        </w:rP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5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29 amended by No. 77 of 2006 Sch. 1 cl. 41(3); No. 37 of 2011 s. 53(1).]</w:t>
      </w:r>
    </w:p>
    <w:p>
      <w:pPr>
        <w:pStyle w:val="Heading2"/>
      </w:pPr>
      <w:bookmarkStart w:id="59" w:name="_Toc523052895"/>
      <w:r>
        <w:rPr>
          <w:rStyle w:val="CharPartNo"/>
        </w:rPr>
        <w:t>Part 6</w:t>
      </w:r>
      <w:r>
        <w:rPr>
          <w:rStyle w:val="CharDivNo"/>
        </w:rPr>
        <w:t> </w:t>
      </w:r>
      <w:r>
        <w:t>—</w:t>
      </w:r>
      <w:r>
        <w:rPr>
          <w:rStyle w:val="CharDivText"/>
        </w:rPr>
        <w:t> </w:t>
      </w:r>
      <w:r>
        <w:rPr>
          <w:rStyle w:val="CharPartText"/>
        </w:rPr>
        <w:t>Miscellaneous</w:t>
      </w:r>
      <w:bookmarkEnd w:id="59"/>
      <w:r>
        <w:rPr>
          <w:rStyle w:val="CharPartText"/>
        </w:rPr>
        <w:t xml:space="preserve"> </w:t>
      </w:r>
    </w:p>
    <w:p>
      <w:pPr>
        <w:pStyle w:val="Heading5"/>
        <w:rPr>
          <w:snapToGrid w:val="0"/>
        </w:rPr>
      </w:pPr>
      <w:bookmarkStart w:id="60" w:name="_Toc523052896"/>
      <w:r>
        <w:rPr>
          <w:rStyle w:val="CharSectno"/>
        </w:rPr>
        <w:t>30</w:t>
      </w:r>
      <w:r>
        <w:rPr>
          <w:snapToGrid w:val="0"/>
        </w:rPr>
        <w:t>.</w:t>
      </w:r>
      <w:r>
        <w:rPr>
          <w:snapToGrid w:val="0"/>
        </w:rPr>
        <w:tab/>
        <w:t>Protection from personal liability</w:t>
      </w:r>
      <w:bookmarkEnd w:id="60"/>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30 amended by No. 37 of 2011 s. 31 and 53(1).]</w:t>
      </w:r>
    </w:p>
    <w:p>
      <w:pPr>
        <w:pStyle w:val="Heading5"/>
        <w:rPr>
          <w:snapToGrid w:val="0"/>
        </w:rPr>
      </w:pPr>
      <w:bookmarkStart w:id="61" w:name="_Toc523052897"/>
      <w:r>
        <w:rPr>
          <w:rStyle w:val="CharSectno"/>
        </w:rPr>
        <w:t>31</w:t>
      </w:r>
      <w:r>
        <w:rPr>
          <w:snapToGrid w:val="0"/>
        </w:rPr>
        <w:t>.</w:t>
      </w:r>
      <w:r>
        <w:rPr>
          <w:snapToGrid w:val="0"/>
        </w:rPr>
        <w:tab/>
      </w:r>
      <w:r>
        <w:t>Execution of documents by Authority</w:t>
      </w:r>
      <w:bookmarkEnd w:id="61"/>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r>
        <w:tab/>
        <w:t>[Section 31 amended by No. 37 of 2011 s. 32 and 53(1).]</w:t>
      </w:r>
    </w:p>
    <w:p>
      <w:pPr>
        <w:pStyle w:val="Heading5"/>
        <w:rPr>
          <w:snapToGrid w:val="0"/>
        </w:rPr>
      </w:pPr>
      <w:bookmarkStart w:id="62" w:name="_Toc523052898"/>
      <w:r>
        <w:rPr>
          <w:rStyle w:val="CharSectno"/>
        </w:rPr>
        <w:t>32</w:t>
      </w:r>
      <w:r>
        <w:rPr>
          <w:snapToGrid w:val="0"/>
        </w:rPr>
        <w:t>.</w:t>
      </w:r>
      <w:r>
        <w:rPr>
          <w:snapToGrid w:val="0"/>
        </w:rPr>
        <w:tab/>
        <w:t>Information obtained by Board etc., disclosure and use etc. of restricted</w:t>
      </w:r>
      <w:bookmarkEnd w:id="62"/>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 No. 37 of 2011 s. 33.]</w:t>
      </w:r>
    </w:p>
    <w:p>
      <w:pPr>
        <w:pStyle w:val="Heading5"/>
        <w:rPr>
          <w:snapToGrid w:val="0"/>
        </w:rPr>
      </w:pPr>
      <w:bookmarkStart w:id="63" w:name="_Toc523052899"/>
      <w:r>
        <w:rPr>
          <w:rStyle w:val="CharSectno"/>
        </w:rPr>
        <w:t>33</w:t>
      </w:r>
      <w:r>
        <w:rPr>
          <w:snapToGrid w:val="0"/>
        </w:rPr>
        <w:t>.</w:t>
      </w:r>
      <w:r>
        <w:rPr>
          <w:snapToGrid w:val="0"/>
        </w:rPr>
        <w:tab/>
        <w:t>Regulations</w:t>
      </w:r>
      <w:bookmarkEnd w:id="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 and</w:t>
      </w:r>
    </w:p>
    <w:p>
      <w:pPr>
        <w:pStyle w:val="Indenti"/>
        <w:rPr>
          <w:snapToGrid w:val="0"/>
        </w:rPr>
      </w:pPr>
      <w:r>
        <w:rPr>
          <w:snapToGrid w:val="0"/>
        </w:rPr>
        <w:tab/>
        <w:t>(ii)</w:t>
      </w:r>
      <w:r>
        <w:rPr>
          <w:snapToGrid w:val="0"/>
        </w:rPr>
        <w:tab/>
        <w:t xml:space="preserve">an application to the </w:t>
      </w:r>
      <w:r>
        <w:t>Authority</w:t>
      </w:r>
      <w:r>
        <w:rPr>
          <w:snapToGrid w:val="0"/>
        </w:rPr>
        <w:t>; and</w:t>
      </w:r>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 No. 37 of 2011 s. 34 and 53(1).]</w:t>
      </w:r>
    </w:p>
    <w:p>
      <w:pPr>
        <w:pStyle w:val="Ednotesection"/>
      </w:pPr>
      <w:r>
        <w:t>[</w:t>
      </w:r>
      <w:r>
        <w:rPr>
          <w:b/>
        </w:rPr>
        <w:t>34.</w:t>
      </w:r>
      <w:r>
        <w:tab/>
        <w:t>Deleted by No. 37 of 2011 s. 35.]</w:t>
      </w:r>
    </w:p>
    <w:p>
      <w:pPr>
        <w:pStyle w:val="Ednotesection"/>
      </w:pPr>
      <w:r>
        <w:t>[</w:t>
      </w:r>
      <w:r>
        <w:rPr>
          <w:b/>
        </w:rPr>
        <w:t>35.</w:t>
      </w:r>
      <w:r>
        <w:tab/>
        <w:t>Omitted under the Reprints Act 1984 s. 7(4)(e).]</w:t>
      </w:r>
    </w:p>
    <w:p>
      <w:pPr>
        <w:pStyle w:val="Heading5"/>
        <w:rPr>
          <w:snapToGrid w:val="0"/>
        </w:rPr>
      </w:pPr>
      <w:bookmarkStart w:id="64" w:name="_Toc523052900"/>
      <w:r>
        <w:rPr>
          <w:rStyle w:val="CharSectno"/>
        </w:rPr>
        <w:t>36</w:t>
      </w:r>
      <w:r>
        <w:rPr>
          <w:snapToGrid w:val="0"/>
        </w:rPr>
        <w:t>.</w:t>
      </w:r>
      <w:r>
        <w:rPr>
          <w:snapToGrid w:val="0"/>
        </w:rPr>
        <w:tab/>
        <w:t>Review of Act</w:t>
      </w:r>
      <w:bookmarkEnd w:id="64"/>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r>
        <w:rPr>
          <w:vertAlign w:val="superscript"/>
        </w:rPr>
        <w:t> 1</w:t>
      </w:r>
      <w:r>
        <w: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 and</w:t>
      </w:r>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 by No. 37 of 2011 s. 36 and 53(1).]</w:t>
      </w:r>
    </w:p>
    <w:p>
      <w:pPr>
        <w:pStyle w:val="Heading2"/>
      </w:pPr>
      <w:bookmarkStart w:id="65" w:name="_Toc523052901"/>
      <w:r>
        <w:rPr>
          <w:rStyle w:val="CharPartNo"/>
        </w:rPr>
        <w:t>Part 7</w:t>
      </w:r>
      <w:r>
        <w:rPr>
          <w:rStyle w:val="CharDivNo"/>
        </w:rPr>
        <w:t> </w:t>
      </w:r>
      <w:r>
        <w:t>—</w:t>
      </w:r>
      <w:r>
        <w:rPr>
          <w:rStyle w:val="CharDivText"/>
        </w:rPr>
        <w:t> </w:t>
      </w:r>
      <w:r>
        <w:rPr>
          <w:rStyle w:val="CharPartText"/>
        </w:rPr>
        <w:t>Transitional provisions</w:t>
      </w:r>
      <w:bookmarkEnd w:id="65"/>
    </w:p>
    <w:p>
      <w:pPr>
        <w:pStyle w:val="Footnoteheading"/>
      </w:pPr>
      <w:r>
        <w:tab/>
        <w:t>[Heading inserted by No. 37 of 2011 s. 37.]</w:t>
      </w:r>
    </w:p>
    <w:p>
      <w:pPr>
        <w:pStyle w:val="Heading5"/>
      </w:pPr>
      <w:bookmarkStart w:id="66" w:name="_Toc523052902"/>
      <w:r>
        <w:rPr>
          <w:rStyle w:val="CharSectno"/>
        </w:rPr>
        <w:t>37</w:t>
      </w:r>
      <w:r>
        <w:t>.</w:t>
      </w:r>
      <w:r>
        <w:tab/>
        <w:t>Terms used</w:t>
      </w:r>
      <w:bookmarkEnd w:id="66"/>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r>
        <w:rPr>
          <w:vertAlign w:val="superscript"/>
        </w:rPr>
        <w:t> 1</w:t>
      </w:r>
      <w:r>
        <w:t>;</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r>
        <w:tab/>
        <w:t>[Section 37 inserted by No. 37 of 2011 s. 37.]</w:t>
      </w:r>
    </w:p>
    <w:p>
      <w:pPr>
        <w:pStyle w:val="Heading5"/>
      </w:pPr>
      <w:bookmarkStart w:id="67" w:name="_Toc523052903"/>
      <w:r>
        <w:rPr>
          <w:rStyle w:val="CharSectno"/>
        </w:rPr>
        <w:t>38</w:t>
      </w:r>
      <w:r>
        <w:t>.</w:t>
      </w:r>
      <w:r>
        <w:rPr>
          <w:b w:val="0"/>
        </w:rPr>
        <w:tab/>
      </w:r>
      <w:r>
        <w:t>Curriculum Council abolished on 1 Mar 2012</w:t>
      </w:r>
      <w:bookmarkEnd w:id="67"/>
    </w:p>
    <w:p>
      <w:pPr>
        <w:pStyle w:val="Subsection"/>
      </w:pPr>
      <w:r>
        <w:tab/>
      </w:r>
      <w:r>
        <w:tab/>
        <w:t>At the beginning of the commencement day the Council is abolished and its members go out of office.</w:t>
      </w:r>
    </w:p>
    <w:p>
      <w:pPr>
        <w:pStyle w:val="Footnotesection"/>
      </w:pPr>
      <w:r>
        <w:tab/>
        <w:t>[Section 38 inserted by No. 37 of 2011 s. 37.]</w:t>
      </w:r>
    </w:p>
    <w:p>
      <w:pPr>
        <w:pStyle w:val="Heading5"/>
      </w:pPr>
      <w:bookmarkStart w:id="68" w:name="_Toc523052904"/>
      <w:r>
        <w:rPr>
          <w:rStyle w:val="CharSectno"/>
        </w:rPr>
        <w:t>39</w:t>
      </w:r>
      <w:r>
        <w:t>.</w:t>
      </w:r>
      <w:r>
        <w:rPr>
          <w:b w:val="0"/>
        </w:rPr>
        <w:tab/>
      </w:r>
      <w:r>
        <w:t>Devolution of Council’s assets, liabilities etc.</w:t>
      </w:r>
      <w:bookmarkEnd w:id="68"/>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r>
        <w:tab/>
        <w:t>[Section 39 inserted by No. 37 of 2011 s. 37.]</w:t>
      </w:r>
    </w:p>
    <w:p>
      <w:pPr>
        <w:pStyle w:val="Heading5"/>
      </w:pPr>
      <w:bookmarkStart w:id="69" w:name="_Toc523052905"/>
      <w:r>
        <w:rPr>
          <w:rStyle w:val="CharSectno"/>
        </w:rPr>
        <w:t>40</w:t>
      </w:r>
      <w:r>
        <w:t>.</w:t>
      </w:r>
      <w:r>
        <w:rPr>
          <w:b w:val="0"/>
        </w:rPr>
        <w:tab/>
      </w:r>
      <w:r>
        <w:t>Chief executive officer of Council continues in office</w:t>
      </w:r>
      <w:bookmarkEnd w:id="69"/>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r>
        <w:tab/>
        <w:t>[Section 40 inserted by No. 37 of 2011 s. 37.]</w:t>
      </w:r>
    </w:p>
    <w:p>
      <w:pPr>
        <w:pStyle w:val="Heading5"/>
      </w:pPr>
      <w:bookmarkStart w:id="70" w:name="_Toc523052906"/>
      <w:r>
        <w:rPr>
          <w:rStyle w:val="CharSectno"/>
        </w:rPr>
        <w:t>41</w:t>
      </w:r>
      <w:r>
        <w:t>.</w:t>
      </w:r>
      <w:r>
        <w:rPr>
          <w:b w:val="0"/>
        </w:rPr>
        <w:tab/>
      </w:r>
      <w:r>
        <w:t>Transfer of members of staff to Authority</w:t>
      </w:r>
      <w:bookmarkEnd w:id="70"/>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r>
        <w:tab/>
        <w:t>[Section 41 inserted by No. 37 of 2011 s. 37.]</w:t>
      </w:r>
    </w:p>
    <w:p>
      <w:pPr>
        <w:pStyle w:val="Heading5"/>
      </w:pPr>
      <w:bookmarkStart w:id="71" w:name="_Toc523052907"/>
      <w:r>
        <w:rPr>
          <w:rStyle w:val="CharSectno"/>
        </w:rPr>
        <w:t>42</w:t>
      </w:r>
      <w:r>
        <w:t>.</w:t>
      </w:r>
      <w:r>
        <w:rPr>
          <w:b w:val="0"/>
        </w:rPr>
        <w:tab/>
      </w:r>
      <w:r>
        <w:t>Employees’ rights preserved</w:t>
      </w:r>
      <w:bookmarkEnd w:id="71"/>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r>
        <w:tab/>
        <w:t>[Section 42 inserted by No. 37 of 2011 s. 37.]</w:t>
      </w:r>
    </w:p>
    <w:p>
      <w:pPr>
        <w:pStyle w:val="Heading5"/>
      </w:pPr>
      <w:bookmarkStart w:id="72" w:name="_Toc523052908"/>
      <w:r>
        <w:rPr>
          <w:rStyle w:val="CharSectno"/>
        </w:rPr>
        <w:t>43</w:t>
      </w:r>
      <w:r>
        <w:t>.</w:t>
      </w:r>
      <w:r>
        <w:rPr>
          <w:b w:val="0"/>
        </w:rPr>
        <w:tab/>
      </w:r>
      <w:r>
        <w:t>Curriculum Council Account</w:t>
      </w:r>
      <w:bookmarkEnd w:id="72"/>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r>
        <w:tab/>
        <w:t>[Section 43 inserted by No. 37 of 2011 s. 37.]</w:t>
      </w:r>
    </w:p>
    <w:p>
      <w:pPr>
        <w:pStyle w:val="Heading5"/>
        <w:spacing w:before="280"/>
      </w:pPr>
      <w:bookmarkStart w:id="73" w:name="_Toc523052909"/>
      <w:r>
        <w:rPr>
          <w:rStyle w:val="CharSectno"/>
        </w:rPr>
        <w:t>44</w:t>
      </w:r>
      <w:r>
        <w:t>.</w:t>
      </w:r>
      <w:r>
        <w:rPr>
          <w:b w:val="0"/>
        </w:rPr>
        <w:tab/>
      </w:r>
      <w:r>
        <w:t>Completion of things commenced</w:t>
      </w:r>
      <w:bookmarkEnd w:id="73"/>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r>
        <w:tab/>
        <w:t>[Section 44 inserted by No. 37 of 2011 s. 37.]</w:t>
      </w:r>
    </w:p>
    <w:p>
      <w:pPr>
        <w:pStyle w:val="Heading5"/>
        <w:spacing w:before="280"/>
      </w:pPr>
      <w:bookmarkStart w:id="74" w:name="_Toc523052910"/>
      <w:r>
        <w:rPr>
          <w:rStyle w:val="CharSectno"/>
        </w:rPr>
        <w:t>45</w:t>
      </w:r>
      <w:r>
        <w:t>.</w:t>
      </w:r>
      <w:r>
        <w:rPr>
          <w:b w:val="0"/>
        </w:rPr>
        <w:tab/>
      </w:r>
      <w:r>
        <w:t>Continuing effect of things done</w:t>
      </w:r>
      <w:bookmarkEnd w:id="74"/>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r>
        <w:tab/>
        <w:t>[Section 45 inserted by No. 37 of 2011 s. 37.]</w:t>
      </w:r>
    </w:p>
    <w:p>
      <w:pPr>
        <w:pStyle w:val="Heading5"/>
        <w:spacing w:before="280"/>
      </w:pPr>
      <w:bookmarkStart w:id="75" w:name="_Toc523052911"/>
      <w:r>
        <w:rPr>
          <w:rStyle w:val="CharSectno"/>
        </w:rPr>
        <w:t>46</w:t>
      </w:r>
      <w:r>
        <w:t>.</w:t>
      </w:r>
      <w:r>
        <w:rPr>
          <w:b w:val="0"/>
        </w:rPr>
        <w:tab/>
      </w:r>
      <w:r>
        <w:t>Exemption from State taxes</w:t>
      </w:r>
      <w:bookmarkEnd w:id="75"/>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r>
        <w:tab/>
        <w:t>[Section 46 inserted by No. 37 of 2011 s. 37.]</w:t>
      </w:r>
    </w:p>
    <w:p>
      <w:pPr>
        <w:pStyle w:val="Heading5"/>
      </w:pPr>
      <w:bookmarkStart w:id="76" w:name="_Toc523052912"/>
      <w:r>
        <w:rPr>
          <w:rStyle w:val="CharSectno"/>
        </w:rPr>
        <w:t>47</w:t>
      </w:r>
      <w:r>
        <w:t>.</w:t>
      </w:r>
      <w:r>
        <w:rPr>
          <w:b w:val="0"/>
        </w:rPr>
        <w:tab/>
      </w:r>
      <w:r>
        <w:t>Agreements and instruments generally</w:t>
      </w:r>
      <w:bookmarkEnd w:id="76"/>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r>
        <w:tab/>
        <w:t>[Section 47 inserted by No. 37 of 2011 s. 37.]</w:t>
      </w:r>
    </w:p>
    <w:p>
      <w:pPr>
        <w:pStyle w:val="Heading5"/>
      </w:pPr>
      <w:bookmarkStart w:id="77" w:name="_Toc523052913"/>
      <w:r>
        <w:rPr>
          <w:rStyle w:val="CharSectno"/>
        </w:rPr>
        <w:t>48</w:t>
      </w:r>
      <w:r>
        <w:t>.</w:t>
      </w:r>
      <w:r>
        <w:rPr>
          <w:b w:val="0"/>
        </w:rPr>
        <w:tab/>
      </w:r>
      <w:r>
        <w:t>Immunity continues</w:t>
      </w:r>
      <w:bookmarkEnd w:id="77"/>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r>
        <w:tab/>
        <w:t>[Section 48 inserted by No. 37 of 2011 s. 37.]</w:t>
      </w:r>
    </w:p>
    <w:p>
      <w:pPr>
        <w:pStyle w:val="Heading5"/>
      </w:pPr>
      <w:bookmarkStart w:id="78" w:name="_Toc523052914"/>
      <w:r>
        <w:rPr>
          <w:rStyle w:val="CharSectno"/>
        </w:rPr>
        <w:t>49</w:t>
      </w:r>
      <w:r>
        <w:t>.</w:t>
      </w:r>
      <w:r>
        <w:rPr>
          <w:b w:val="0"/>
        </w:rPr>
        <w:tab/>
      </w:r>
      <w:r>
        <w:t>Duty of confidentiality continues to apply to members of the Council</w:t>
      </w:r>
      <w:bookmarkEnd w:id="78"/>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r>
        <w:tab/>
        <w:t>[Section 49 inserted by No. 37 of 2011 s. 37.]</w:t>
      </w:r>
    </w:p>
    <w:p>
      <w:pPr>
        <w:pStyle w:val="Heading5"/>
      </w:pPr>
      <w:bookmarkStart w:id="79" w:name="_Toc523052915"/>
      <w:r>
        <w:rPr>
          <w:rStyle w:val="CharSectno"/>
        </w:rPr>
        <w:t>50</w:t>
      </w:r>
      <w:r>
        <w:t>.</w:t>
      </w:r>
      <w:r>
        <w:rPr>
          <w:b w:val="0"/>
        </w:rPr>
        <w:tab/>
      </w:r>
      <w:r>
        <w:t>Registration of documents</w:t>
      </w:r>
      <w:bookmarkEnd w:id="79"/>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r>
        <w:tab/>
        <w:t>[Section 50 inserted by No. 37 of 2011 s. 37.]</w:t>
      </w:r>
    </w:p>
    <w:p>
      <w:pPr>
        <w:pStyle w:val="Heading5"/>
      </w:pPr>
      <w:bookmarkStart w:id="80" w:name="_Toc523052916"/>
      <w:r>
        <w:rPr>
          <w:rStyle w:val="CharSectno"/>
        </w:rPr>
        <w:t>51</w:t>
      </w:r>
      <w:r>
        <w:t>.</w:t>
      </w:r>
      <w:r>
        <w:rPr>
          <w:b w:val="0"/>
        </w:rPr>
        <w:tab/>
      </w:r>
      <w:r>
        <w:t>Transitional regulations</w:t>
      </w:r>
      <w:bookmarkEnd w:id="80"/>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51 inserted by No. 37 of 2011 s. 37.]</w:t>
      </w:r>
    </w:p>
    <w:p>
      <w:pPr>
        <w:pStyle w:val="Heading5"/>
      </w:pPr>
      <w:bookmarkStart w:id="81" w:name="_Toc523052917"/>
      <w:r>
        <w:rPr>
          <w:rStyle w:val="CharSectno"/>
        </w:rPr>
        <w:t>52</w:t>
      </w:r>
      <w:r>
        <w:t>.</w:t>
      </w:r>
      <w:r>
        <w:rPr>
          <w:b w:val="0"/>
        </w:rPr>
        <w:tab/>
      </w:r>
      <w:r>
        <w:t>Saving</w:t>
      </w:r>
      <w:bookmarkEnd w:id="81"/>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 by No. 37 of 2011 s. 37.]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82" w:name="_Toc523052918"/>
      <w:r>
        <w:rPr>
          <w:rStyle w:val="CharSchNo"/>
        </w:rPr>
        <w:t>Schedule 1</w:t>
      </w:r>
      <w:r>
        <w:t> — </w:t>
      </w:r>
      <w:r>
        <w:rPr>
          <w:rStyle w:val="CharSchText"/>
        </w:rPr>
        <w:t>Provisions as to Board</w:t>
      </w:r>
      <w:bookmarkEnd w:id="82"/>
    </w:p>
    <w:p>
      <w:pPr>
        <w:pStyle w:val="yShoulderClause"/>
        <w:rPr>
          <w:snapToGrid w:val="0"/>
        </w:rPr>
      </w:pPr>
      <w:r>
        <w:rPr>
          <w:snapToGrid w:val="0"/>
        </w:rPr>
        <w:t>[s. 7]</w:t>
      </w:r>
    </w:p>
    <w:p>
      <w:pPr>
        <w:pStyle w:val="yFootnoteheading"/>
      </w:pPr>
      <w:r>
        <w:tab/>
        <w:t>[Heading amended by No. 19 of 2010 s. 4; No. 37 of 2011 s. 38.]</w:t>
      </w:r>
    </w:p>
    <w:p>
      <w:pPr>
        <w:pStyle w:val="yHeading3"/>
      </w:pPr>
      <w:bookmarkStart w:id="83" w:name="_Toc523052919"/>
      <w:r>
        <w:rPr>
          <w:rStyle w:val="CharSDivNo"/>
        </w:rPr>
        <w:t>Division 1</w:t>
      </w:r>
      <w:r>
        <w:t> — </w:t>
      </w:r>
      <w:r>
        <w:rPr>
          <w:rStyle w:val="CharSDivText"/>
        </w:rPr>
        <w:t>Provisions as to constitution and proceedings of the Board</w:t>
      </w:r>
      <w:bookmarkEnd w:id="83"/>
    </w:p>
    <w:p>
      <w:pPr>
        <w:pStyle w:val="yFootnoteheading"/>
      </w:pPr>
      <w:r>
        <w:tab/>
        <w:t>[Heading amended by No. 37 of 2011 s. 39.]</w:t>
      </w:r>
    </w:p>
    <w:p>
      <w:pPr>
        <w:pStyle w:val="yHeading5"/>
        <w:outlineLvl w:val="9"/>
      </w:pPr>
      <w:bookmarkStart w:id="84" w:name="_Toc523052920"/>
      <w:r>
        <w:rPr>
          <w:rStyle w:val="CharSClsNo"/>
        </w:rPr>
        <w:t>1</w:t>
      </w:r>
      <w:r>
        <w:t>.</w:t>
      </w:r>
      <w:r>
        <w:tab/>
        <w:t>Term of office of members</w:t>
      </w:r>
      <w:bookmarkEnd w:id="84"/>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r>
        <w:tab/>
        <w:t>[Clause 1 amended by No. 37 of 2011 s. 40.]</w:t>
      </w:r>
    </w:p>
    <w:p>
      <w:pPr>
        <w:pStyle w:val="yHeading5"/>
        <w:outlineLvl w:val="9"/>
      </w:pPr>
      <w:bookmarkStart w:id="85" w:name="_Toc523052921"/>
      <w:r>
        <w:rPr>
          <w:rStyle w:val="CharSClsNo"/>
        </w:rPr>
        <w:t>2</w:t>
      </w:r>
      <w:r>
        <w:t>.</w:t>
      </w:r>
      <w:r>
        <w:tab/>
        <w:t>Resignation, removal etc. of members</w:t>
      </w:r>
      <w:bookmarkEnd w:id="85"/>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 or</w:t>
      </w:r>
    </w:p>
    <w:p>
      <w:pPr>
        <w:pStyle w:val="yIndenta"/>
        <w:spacing w:before="70"/>
        <w:rPr>
          <w:snapToGrid w:val="0"/>
        </w:rPr>
      </w:pPr>
      <w:r>
        <w:rPr>
          <w:snapToGrid w:val="0"/>
        </w:rPr>
        <w:tab/>
        <w:t>(b)</w:t>
      </w:r>
      <w:r>
        <w:rPr>
          <w:snapToGrid w:val="0"/>
        </w:rPr>
        <w:tab/>
        <w:t>has misbehaved; or</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r>
        <w:tab/>
        <w:t>[Clause 2 amended by No. 10 of 2001 s. 220; No. 37 of 2011 s. 41.]</w:t>
      </w:r>
    </w:p>
    <w:p>
      <w:pPr>
        <w:pStyle w:val="yHeading5"/>
        <w:outlineLvl w:val="9"/>
      </w:pPr>
      <w:bookmarkStart w:id="86" w:name="_Toc523052922"/>
      <w:r>
        <w:rPr>
          <w:rStyle w:val="CharSClsNo"/>
        </w:rPr>
        <w:t>3</w:t>
      </w:r>
      <w:r>
        <w:t>.</w:t>
      </w:r>
      <w:r>
        <w:tab/>
        <w:t>Leave of absence for members</w:t>
      </w:r>
      <w:bookmarkEnd w:id="86"/>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r>
        <w:tab/>
        <w:t>[Clause 3 amended by No. 37 of 2011 s. 42.]</w:t>
      </w:r>
    </w:p>
    <w:p>
      <w:pPr>
        <w:pStyle w:val="yHeading5"/>
        <w:outlineLvl w:val="9"/>
      </w:pPr>
      <w:bookmarkStart w:id="87" w:name="_Toc523052923"/>
      <w:r>
        <w:rPr>
          <w:rStyle w:val="CharSClsNo"/>
        </w:rPr>
        <w:t>4</w:t>
      </w:r>
      <w:r>
        <w:t>.</w:t>
      </w:r>
      <w:r>
        <w:tab/>
        <w:t>Appointed member unable to act</w:t>
      </w:r>
      <w:bookmarkEnd w:id="87"/>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r>
        <w:tab/>
        <w:t>[Clause 4 amended by No. 37 of 2011 s. 43.]</w:t>
      </w:r>
    </w:p>
    <w:p>
      <w:pPr>
        <w:pStyle w:val="yEdnotesection"/>
      </w:pPr>
      <w:r>
        <w:t>[</w:t>
      </w:r>
      <w:r>
        <w:rPr>
          <w:b/>
        </w:rPr>
        <w:t>5.</w:t>
      </w:r>
      <w:r>
        <w:tab/>
        <w:t>Deleted by No. 37 of 2011 s. 44.]</w:t>
      </w:r>
    </w:p>
    <w:p>
      <w:pPr>
        <w:pStyle w:val="yHeading5"/>
        <w:outlineLvl w:val="9"/>
      </w:pPr>
      <w:bookmarkStart w:id="88" w:name="_Toc523052924"/>
      <w:r>
        <w:rPr>
          <w:rStyle w:val="CharSClsNo"/>
        </w:rPr>
        <w:t>6</w:t>
      </w:r>
      <w:r>
        <w:t>.</w:t>
      </w:r>
      <w:r>
        <w:tab/>
        <w:t>Saving</w:t>
      </w:r>
      <w:bookmarkEnd w:id="88"/>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r>
        <w:tab/>
        <w:t>[Clause 6 amended by No. 37 of 2011 s. 45.]</w:t>
      </w:r>
    </w:p>
    <w:p>
      <w:pPr>
        <w:pStyle w:val="yHeading5"/>
        <w:outlineLvl w:val="9"/>
      </w:pPr>
      <w:bookmarkStart w:id="89" w:name="_Toc523052925"/>
      <w:r>
        <w:rPr>
          <w:rStyle w:val="CharSClsNo"/>
        </w:rPr>
        <w:t>7</w:t>
      </w:r>
      <w:r>
        <w:t>.</w:t>
      </w:r>
      <w:r>
        <w:tab/>
        <w:t>Meetings, convening</w:t>
      </w:r>
      <w:bookmarkEnd w:id="89"/>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r>
        <w:tab/>
        <w:t>[Clause 7 amended by No. 37 of 2011 s. 53(2).]</w:t>
      </w:r>
    </w:p>
    <w:p>
      <w:pPr>
        <w:pStyle w:val="yHeading5"/>
        <w:outlineLvl w:val="9"/>
      </w:pPr>
      <w:bookmarkStart w:id="90" w:name="_Toc523052926"/>
      <w:r>
        <w:rPr>
          <w:rStyle w:val="CharSClsNo"/>
        </w:rPr>
        <w:t>8</w:t>
      </w:r>
      <w:r>
        <w:t>.</w:t>
      </w:r>
      <w:r>
        <w:tab/>
        <w:t>Presiding officer</w:t>
      </w:r>
      <w:bookmarkEnd w:id="90"/>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r>
        <w:tab/>
        <w:t>[Clause 8 amended by No. 37 of 2011 s. 53(2).]</w:t>
      </w:r>
    </w:p>
    <w:p>
      <w:pPr>
        <w:pStyle w:val="yHeading5"/>
        <w:outlineLvl w:val="9"/>
      </w:pPr>
      <w:bookmarkStart w:id="91" w:name="_Toc523052927"/>
      <w:r>
        <w:rPr>
          <w:rStyle w:val="CharSClsNo"/>
        </w:rPr>
        <w:t>9</w:t>
      </w:r>
      <w:r>
        <w:t>.</w:t>
      </w:r>
      <w:r>
        <w:tab/>
        <w:t>Quorum</w:t>
      </w:r>
      <w:bookmarkEnd w:id="91"/>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r>
        <w:tab/>
        <w:t>[Clause 9 amended by No. 37 of 2011 s. 46.]</w:t>
      </w:r>
    </w:p>
    <w:p>
      <w:pPr>
        <w:pStyle w:val="yHeading5"/>
        <w:outlineLvl w:val="9"/>
      </w:pPr>
      <w:bookmarkStart w:id="92" w:name="_Toc523052928"/>
      <w:r>
        <w:rPr>
          <w:rStyle w:val="CharSClsNo"/>
        </w:rPr>
        <w:t>10</w:t>
      </w:r>
      <w:r>
        <w:t>.</w:t>
      </w:r>
      <w:r>
        <w:tab/>
        <w:t>Voting</w:t>
      </w:r>
      <w:bookmarkEnd w:id="92"/>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r>
        <w:tab/>
        <w:t>[Clause 10 amended by No. 37 of 2011 s. 47 and 53(2).]</w:t>
      </w:r>
    </w:p>
    <w:p>
      <w:pPr>
        <w:pStyle w:val="yHeading5"/>
        <w:outlineLvl w:val="9"/>
      </w:pPr>
      <w:bookmarkStart w:id="93" w:name="_Toc523052929"/>
      <w:r>
        <w:rPr>
          <w:rStyle w:val="CharSClsNo"/>
        </w:rPr>
        <w:t>11</w:t>
      </w:r>
      <w:r>
        <w:t>.</w:t>
      </w:r>
      <w:r>
        <w:tab/>
        <w:t>Minutes</w:t>
      </w:r>
      <w:bookmarkEnd w:id="93"/>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r>
        <w:tab/>
        <w:t>[Clause 11 amended by No. 37 of 2011 s. 53(2).]</w:t>
      </w:r>
    </w:p>
    <w:p>
      <w:pPr>
        <w:pStyle w:val="yHeading5"/>
        <w:outlineLvl w:val="9"/>
      </w:pPr>
      <w:bookmarkStart w:id="94" w:name="_Toc523052930"/>
      <w:r>
        <w:rPr>
          <w:rStyle w:val="CharSClsNo"/>
        </w:rPr>
        <w:t>12</w:t>
      </w:r>
      <w:r>
        <w:t>.</w:t>
      </w:r>
      <w:r>
        <w:tab/>
        <w:t>Resolution without meeting</w:t>
      </w:r>
      <w:bookmarkEnd w:id="94"/>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r>
        <w:tab/>
        <w:t>[Clause 12 amended by No. 37 of 2011 s. 53(2).]</w:t>
      </w:r>
    </w:p>
    <w:p>
      <w:pPr>
        <w:pStyle w:val="yHeading5"/>
        <w:outlineLvl w:val="9"/>
      </w:pPr>
      <w:bookmarkStart w:id="95" w:name="_Toc523052931"/>
      <w:r>
        <w:rPr>
          <w:rStyle w:val="CharSClsNo"/>
        </w:rPr>
        <w:t>13</w:t>
      </w:r>
      <w:r>
        <w:t>.</w:t>
      </w:r>
      <w:r>
        <w:tab/>
        <w:t>Telephone or video meetings</w:t>
      </w:r>
      <w:bookmarkEnd w:id="95"/>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r>
        <w:tab/>
        <w:t>[Clause 13 amended by No. 37 of 2011 s. 48.]</w:t>
      </w:r>
    </w:p>
    <w:p>
      <w:pPr>
        <w:pStyle w:val="yEdnotesection"/>
      </w:pPr>
      <w:r>
        <w:t>[</w:t>
      </w:r>
      <w:r>
        <w:rPr>
          <w:b/>
        </w:rPr>
        <w:t>14.</w:t>
      </w:r>
      <w:r>
        <w:tab/>
        <w:t>Deleted by No. 37 of 2011 s. 49.]</w:t>
      </w:r>
    </w:p>
    <w:p>
      <w:pPr>
        <w:pStyle w:val="yHeading5"/>
        <w:outlineLvl w:val="9"/>
      </w:pPr>
      <w:bookmarkStart w:id="96" w:name="_Toc523052932"/>
      <w:r>
        <w:rPr>
          <w:rStyle w:val="CharSClsNo"/>
        </w:rPr>
        <w:t>15</w:t>
      </w:r>
      <w:r>
        <w:t>.</w:t>
      </w:r>
      <w:r>
        <w:tab/>
        <w:t>Board to determine own procedures</w:t>
      </w:r>
      <w:bookmarkEnd w:id="96"/>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r>
        <w:tab/>
        <w:t>[Clause 15 amended by No. 37 of 2011 s. 53(2).]</w:t>
      </w:r>
    </w:p>
    <w:p>
      <w:pPr>
        <w:pStyle w:val="yHeading3"/>
      </w:pPr>
      <w:bookmarkStart w:id="97" w:name="_Toc523052933"/>
      <w:r>
        <w:rPr>
          <w:rStyle w:val="CharSDivNo"/>
        </w:rPr>
        <w:t>Division 2</w:t>
      </w:r>
      <w:r>
        <w:t> — </w:t>
      </w:r>
      <w:r>
        <w:rPr>
          <w:rStyle w:val="CharSDivText"/>
        </w:rPr>
        <w:t>Disclosure of interests, etc.</w:t>
      </w:r>
      <w:bookmarkEnd w:id="97"/>
    </w:p>
    <w:p>
      <w:pPr>
        <w:pStyle w:val="yHeading5"/>
        <w:outlineLvl w:val="9"/>
      </w:pPr>
      <w:bookmarkStart w:id="98" w:name="_Toc523052934"/>
      <w:r>
        <w:rPr>
          <w:rStyle w:val="CharSClsNo"/>
        </w:rPr>
        <w:t>16</w:t>
      </w:r>
      <w:r>
        <w:t>.</w:t>
      </w:r>
      <w:r>
        <w:tab/>
        <w:t>Material personal interests to be disclosed</w:t>
      </w:r>
      <w:bookmarkEnd w:id="98"/>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16 amended by No. 50 of 2003 s. 53(2); No. 37 of 2011 s. 50.]</w:t>
      </w:r>
    </w:p>
    <w:p>
      <w:pPr>
        <w:pStyle w:val="yHeading5"/>
        <w:outlineLvl w:val="9"/>
      </w:pPr>
      <w:bookmarkStart w:id="99" w:name="_Toc523052935"/>
      <w:r>
        <w:rPr>
          <w:rStyle w:val="CharSClsNo"/>
        </w:rPr>
        <w:t>17</w:t>
      </w:r>
      <w:r>
        <w:t>.</w:t>
      </w:r>
      <w:r>
        <w:tab/>
        <w:t>Member with material personal interest not to vote etc.</w:t>
      </w:r>
      <w:bookmarkEnd w:id="99"/>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r>
        <w:tab/>
        <w:t>[Clause 17 amended by No. 37 of 2011 s. 51.]</w:t>
      </w:r>
    </w:p>
    <w:p>
      <w:pPr>
        <w:pStyle w:val="yHeading5"/>
        <w:outlineLvl w:val="9"/>
      </w:pPr>
      <w:bookmarkStart w:id="100" w:name="_Toc523052936"/>
      <w:r>
        <w:rPr>
          <w:rStyle w:val="CharSClsNo"/>
        </w:rPr>
        <w:t>18</w:t>
      </w:r>
      <w:r>
        <w:t>.</w:t>
      </w:r>
      <w:r>
        <w:tab/>
        <w:t>Board may disapply cl. 17</w:t>
      </w:r>
      <w:bookmarkEnd w:id="100"/>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r>
        <w:tab/>
        <w:t>[Clause 18 amended by No. 37 of 2011 s. 53(2).]</w:t>
      </w:r>
    </w:p>
    <w:p>
      <w:pPr>
        <w:pStyle w:val="yHeading5"/>
        <w:outlineLvl w:val="9"/>
      </w:pPr>
      <w:bookmarkStart w:id="101" w:name="_Toc523052937"/>
      <w:r>
        <w:rPr>
          <w:rStyle w:val="CharSClsNo"/>
        </w:rPr>
        <w:t>19</w:t>
      </w:r>
      <w:r>
        <w:t>.</w:t>
      </w:r>
      <w:r>
        <w:tab/>
        <w:t>Quorum where cl. 17 applies</w:t>
      </w:r>
      <w:bookmarkEnd w:id="101"/>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r>
        <w:tab/>
        <w:t>[Clause 19 amended by No. 37 of 2011 s. 52 and 53(2).]</w:t>
      </w:r>
    </w:p>
    <w:p>
      <w:pPr>
        <w:pStyle w:val="yHeading5"/>
        <w:outlineLvl w:val="9"/>
      </w:pPr>
      <w:bookmarkStart w:id="102" w:name="_Toc523052938"/>
      <w:r>
        <w:rPr>
          <w:rStyle w:val="CharSClsNo"/>
        </w:rPr>
        <w:t>20</w:t>
      </w:r>
      <w:r>
        <w:t>.</w:t>
      </w:r>
      <w:r>
        <w:tab/>
        <w:t>Minister may declare cl. 17 and 19 inapplicable</w:t>
      </w:r>
      <w:bookmarkEnd w:id="10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r>
        <w:t>[Schedules 2 and 3 deleted by No. 37 of 2011 s. 54.]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03" w:name="_Toc523052939"/>
      <w:r>
        <w:t>Notes</w:t>
      </w:r>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School Curriculum and Standards Authority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4" w:name="_Toc523052940"/>
      <w:r>
        <w:rPr>
          <w:snapToGrid w:val="0"/>
        </w:rPr>
        <w:t>Compilation table</w:t>
      </w:r>
      <w:bookmarkEnd w:id="104"/>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8"/>
        <w:gridCol w:w="27"/>
        <w:gridCol w:w="2524"/>
        <w:gridCol w:w="22"/>
      </w:tblGrid>
      <w:tr>
        <w:trPr>
          <w:gridAfter w:val="1"/>
          <w:wAfter w:w="22" w:type="dxa"/>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22" w:type="dxa"/>
        </w:trPr>
        <w:tc>
          <w:tcPr>
            <w:tcW w:w="2268" w:type="dxa"/>
          </w:tcPr>
          <w:p>
            <w:pPr>
              <w:pStyle w:val="nTable"/>
              <w:spacing w:after="40"/>
              <w:rPr>
                <w:sz w:val="19"/>
                <w:vertAlign w:val="superscript"/>
              </w:rPr>
            </w:pPr>
            <w:r>
              <w:rPr>
                <w:i/>
                <w:sz w:val="19"/>
              </w:rPr>
              <w:t>Curriculum Council Act 1997 </w:t>
            </w:r>
            <w:r>
              <w:rPr>
                <w:sz w:val="19"/>
                <w:vertAlign w:val="superscript"/>
              </w:rPr>
              <w:t>2</w:t>
            </w:r>
          </w:p>
        </w:tc>
        <w:tc>
          <w:tcPr>
            <w:tcW w:w="1134" w:type="dxa"/>
            <w:gridSpan w:val="2"/>
          </w:tcPr>
          <w:p>
            <w:pPr>
              <w:pStyle w:val="nTable"/>
              <w:spacing w:after="40"/>
              <w:rPr>
                <w:sz w:val="19"/>
              </w:rPr>
            </w:pPr>
            <w:r>
              <w:rPr>
                <w:sz w:val="19"/>
              </w:rPr>
              <w:t>17 of 1997</w:t>
            </w:r>
          </w:p>
        </w:tc>
        <w:tc>
          <w:tcPr>
            <w:tcW w:w="1136" w:type="dxa"/>
            <w:gridSpan w:val="2"/>
          </w:tcPr>
          <w:p>
            <w:pPr>
              <w:pStyle w:val="nTable"/>
              <w:spacing w:after="40"/>
              <w:rPr>
                <w:sz w:val="19"/>
              </w:rPr>
            </w:pPr>
            <w:r>
              <w:rPr>
                <w:sz w:val="19"/>
              </w:rPr>
              <w:t>8 Jul 1997</w:t>
            </w:r>
          </w:p>
        </w:tc>
        <w:tc>
          <w:tcPr>
            <w:tcW w:w="2551" w:type="dxa"/>
            <w:gridSpan w:val="2"/>
          </w:tcPr>
          <w:p>
            <w:pPr>
              <w:pStyle w:val="nTable"/>
              <w:spacing w:after="40"/>
              <w:rPr>
                <w:sz w:val="19"/>
              </w:rPr>
            </w:pPr>
            <w:r>
              <w:rPr>
                <w:sz w:val="19"/>
              </w:rPr>
              <w:t>s. 1 and 2: 8 Jul 1997;</w:t>
            </w:r>
            <w:r>
              <w:rPr>
                <w:sz w:val="19"/>
              </w:rPr>
              <w:br/>
              <w:t xml:space="preserve">Act other than s. 1 and 2: 1 Aug 1997 (see s. 2 and </w:t>
            </w:r>
            <w:r>
              <w:rPr>
                <w:i/>
                <w:sz w:val="19"/>
              </w:rPr>
              <w:t>Gazette</w:t>
            </w:r>
            <w:r>
              <w:rPr>
                <w:sz w:val="19"/>
              </w:rPr>
              <w:t xml:space="preserve"> 25 Jul 1997 p. 3907)</w:t>
            </w:r>
          </w:p>
        </w:tc>
      </w:tr>
      <w:tr>
        <w:trPr>
          <w:gridAfter w:val="1"/>
          <w:wAfter w:w="22" w:type="dxa"/>
        </w:trPr>
        <w:tc>
          <w:tcPr>
            <w:tcW w:w="2268" w:type="dxa"/>
          </w:tcPr>
          <w:p>
            <w:pPr>
              <w:pStyle w:val="nTable"/>
              <w:spacing w:after="40"/>
              <w:rPr>
                <w:i/>
                <w:sz w:val="19"/>
              </w:rPr>
            </w:pPr>
            <w:r>
              <w:rPr>
                <w:i/>
                <w:sz w:val="19"/>
              </w:rPr>
              <w:t>School Education Act 1999</w:t>
            </w:r>
            <w:r>
              <w:rPr>
                <w:sz w:val="19"/>
              </w:rPr>
              <w:t xml:space="preserve"> s. 247</w:t>
            </w:r>
          </w:p>
        </w:tc>
        <w:tc>
          <w:tcPr>
            <w:tcW w:w="1134" w:type="dxa"/>
            <w:gridSpan w:val="2"/>
          </w:tcPr>
          <w:p>
            <w:pPr>
              <w:pStyle w:val="nTable"/>
              <w:spacing w:after="40"/>
              <w:rPr>
                <w:sz w:val="19"/>
              </w:rPr>
            </w:pPr>
            <w:r>
              <w:rPr>
                <w:sz w:val="19"/>
              </w:rPr>
              <w:t>36 of 1999</w:t>
            </w:r>
          </w:p>
        </w:tc>
        <w:tc>
          <w:tcPr>
            <w:tcW w:w="1136" w:type="dxa"/>
            <w:gridSpan w:val="2"/>
          </w:tcPr>
          <w:p>
            <w:pPr>
              <w:pStyle w:val="nTable"/>
              <w:spacing w:after="40"/>
              <w:rPr>
                <w:sz w:val="19"/>
              </w:rPr>
            </w:pPr>
            <w:r>
              <w:rPr>
                <w:sz w:val="19"/>
              </w:rPr>
              <w:t>2 Nov 1999</w:t>
            </w:r>
          </w:p>
        </w:tc>
        <w:tc>
          <w:tcPr>
            <w:tcW w:w="2551"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2" w:type="dxa"/>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2" w:type="dxa"/>
        </w:trPr>
        <w:tc>
          <w:tcPr>
            <w:tcW w:w="2268" w:type="dxa"/>
          </w:tcPr>
          <w:p>
            <w:pPr>
              <w:pStyle w:val="nTable"/>
              <w:spacing w:after="40"/>
              <w:rPr>
                <w:sz w:val="19"/>
              </w:rPr>
            </w:pPr>
            <w:r>
              <w:rPr>
                <w:i/>
                <w:sz w:val="19"/>
              </w:rPr>
              <w:t>Labour Relations Reform Act 2002</w:t>
            </w:r>
            <w:r>
              <w:rPr>
                <w:sz w:val="19"/>
              </w:rPr>
              <w:t xml:space="preserve"> s. 27</w:t>
            </w:r>
          </w:p>
        </w:tc>
        <w:tc>
          <w:tcPr>
            <w:tcW w:w="1134" w:type="dxa"/>
            <w:gridSpan w:val="2"/>
          </w:tcPr>
          <w:p>
            <w:pPr>
              <w:pStyle w:val="nTable"/>
              <w:spacing w:after="40"/>
              <w:rPr>
                <w:sz w:val="19"/>
              </w:rPr>
            </w:pPr>
            <w:r>
              <w:rPr>
                <w:sz w:val="19"/>
              </w:rPr>
              <w:t>20 of 2002</w:t>
            </w:r>
          </w:p>
        </w:tc>
        <w:tc>
          <w:tcPr>
            <w:tcW w:w="1136" w:type="dxa"/>
            <w:gridSpan w:val="2"/>
          </w:tcPr>
          <w:p>
            <w:pPr>
              <w:pStyle w:val="nTable"/>
              <w:spacing w:after="40"/>
              <w:rPr>
                <w:sz w:val="19"/>
              </w:rPr>
            </w:pPr>
            <w:r>
              <w:rPr>
                <w:sz w:val="19"/>
              </w:rPr>
              <w:t>8 Jul 2002</w:t>
            </w:r>
          </w:p>
        </w:tc>
        <w:tc>
          <w:tcPr>
            <w:tcW w:w="2551" w:type="dxa"/>
            <w:gridSpan w:val="2"/>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gridAfter w:val="1"/>
          <w:wAfter w:w="22" w:type="dxa"/>
          <w:cantSplit/>
        </w:trPr>
        <w:tc>
          <w:tcPr>
            <w:tcW w:w="7089" w:type="dxa"/>
            <w:gridSpan w:val="7"/>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rPr>
          <w:gridAfter w:val="1"/>
          <w:wAfter w:w="22" w:type="dxa"/>
        </w:trP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gridSpan w:val="2"/>
          </w:tcPr>
          <w:p>
            <w:pPr>
              <w:pStyle w:val="nTable"/>
              <w:spacing w:after="40"/>
              <w:rPr>
                <w:sz w:val="19"/>
              </w:rPr>
            </w:pPr>
            <w:r>
              <w:rPr>
                <w:sz w:val="19"/>
              </w:rPr>
              <w:t>50 of 2003</w:t>
            </w:r>
          </w:p>
        </w:tc>
        <w:tc>
          <w:tcPr>
            <w:tcW w:w="1136" w:type="dxa"/>
            <w:gridSpan w:val="2"/>
          </w:tcPr>
          <w:p>
            <w:pPr>
              <w:pStyle w:val="nTable"/>
              <w:spacing w:after="40"/>
              <w:rPr>
                <w:sz w:val="19"/>
              </w:rPr>
            </w:pPr>
            <w:r>
              <w:rPr>
                <w:sz w:val="19"/>
              </w:rPr>
              <w:t>9 Jul 2003</w:t>
            </w:r>
          </w:p>
        </w:tc>
        <w:tc>
          <w:tcPr>
            <w:tcW w:w="255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2" w:type="dxa"/>
          <w:cantSplit/>
        </w:trPr>
        <w:tc>
          <w:tcPr>
            <w:tcW w:w="4538" w:type="dxa"/>
            <w:gridSpan w:val="5"/>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2"/>
          </w:tcPr>
          <w:p>
            <w:pPr>
              <w:pStyle w:val="nTable"/>
              <w:spacing w:after="40"/>
              <w:rPr>
                <w:sz w:val="19"/>
              </w:rPr>
            </w:pPr>
            <w:r>
              <w:rPr>
                <w:spacing w:val="-2"/>
                <w:sz w:val="19"/>
              </w:rPr>
              <w:t>15 Sep 2003 (see r. 2)</w:t>
            </w:r>
          </w:p>
        </w:tc>
      </w:tr>
      <w:tr>
        <w:trPr>
          <w:gridAfter w:val="1"/>
          <w:wAfter w:w="22" w:type="dxa"/>
        </w:trPr>
        <w:tc>
          <w:tcPr>
            <w:tcW w:w="2268" w:type="dxa"/>
          </w:tcPr>
          <w:p>
            <w:pPr>
              <w:pStyle w:val="nTable"/>
              <w:spacing w:after="40"/>
              <w:rPr>
                <w:i/>
                <w:sz w:val="19"/>
              </w:rPr>
            </w:pPr>
            <w:r>
              <w:rPr>
                <w:i/>
                <w:iCs/>
                <w:snapToGrid w:val="0"/>
                <w:sz w:val="19"/>
              </w:rPr>
              <w:t>Acts Amendment (Higher School Leaving Age and Related Provisions) Act 2005</w:t>
            </w:r>
            <w:r>
              <w:rPr>
                <w:snapToGrid w:val="0"/>
                <w:sz w:val="19"/>
              </w:rPr>
              <w:t xml:space="preserve"> Pt. 3</w:t>
            </w:r>
          </w:p>
        </w:tc>
        <w:tc>
          <w:tcPr>
            <w:tcW w:w="1134" w:type="dxa"/>
            <w:gridSpan w:val="2"/>
          </w:tcPr>
          <w:p>
            <w:pPr>
              <w:pStyle w:val="nTable"/>
              <w:spacing w:after="40"/>
              <w:rPr>
                <w:sz w:val="19"/>
              </w:rPr>
            </w:pPr>
            <w:r>
              <w:rPr>
                <w:snapToGrid w:val="0"/>
                <w:sz w:val="19"/>
              </w:rPr>
              <w:t>22 of 2005</w:t>
            </w:r>
          </w:p>
        </w:tc>
        <w:tc>
          <w:tcPr>
            <w:tcW w:w="1136" w:type="dxa"/>
            <w:gridSpan w:val="2"/>
          </w:tcPr>
          <w:p>
            <w:pPr>
              <w:pStyle w:val="nTable"/>
              <w:spacing w:after="40"/>
              <w:rPr>
                <w:sz w:val="19"/>
              </w:rPr>
            </w:pPr>
            <w:r>
              <w:rPr>
                <w:sz w:val="19"/>
              </w:rPr>
              <w:t>18 Nov 2005</w:t>
            </w:r>
          </w:p>
        </w:tc>
        <w:tc>
          <w:tcPr>
            <w:tcW w:w="2551" w:type="dxa"/>
            <w:gridSpan w:val="2"/>
          </w:tcPr>
          <w:p>
            <w:pPr>
              <w:pStyle w:val="nTable"/>
              <w:spacing w:after="40"/>
              <w:rPr>
                <w:sz w:val="19"/>
              </w:rPr>
            </w:pPr>
            <w:r>
              <w:rPr>
                <w:snapToGrid w:val="0"/>
                <w:sz w:val="19"/>
              </w:rPr>
              <w:t>1 Jan 2006 (see s. 2(3))</w:t>
            </w:r>
          </w:p>
        </w:tc>
      </w:tr>
      <w:tr>
        <w:trPr>
          <w:gridAfter w:val="1"/>
          <w:wAfter w:w="22" w:type="dxa"/>
        </w:trPr>
        <w:tc>
          <w:tcPr>
            <w:tcW w:w="2268" w:type="dxa"/>
          </w:tcPr>
          <w:p>
            <w:pPr>
              <w:pStyle w:val="nTable"/>
              <w:spacing w:after="40"/>
              <w:rPr>
                <w:i/>
                <w:sz w:val="19"/>
              </w:rPr>
            </w:pPr>
            <w:r>
              <w:rPr>
                <w:i/>
                <w:snapToGrid w:val="0"/>
                <w:sz w:val="19"/>
              </w:rPr>
              <w:t xml:space="preserve">Financial Legislation Amendment and Repeal Act 2006 </w:t>
            </w:r>
            <w:r>
              <w:rPr>
                <w:iCs/>
                <w:snapToGrid w:val="0"/>
                <w:sz w:val="19"/>
              </w:rPr>
              <w:t>s. 4, 5(1) and Sch. 1 cl. 41</w:t>
            </w:r>
          </w:p>
        </w:tc>
        <w:tc>
          <w:tcPr>
            <w:tcW w:w="1134" w:type="dxa"/>
            <w:gridSpan w:val="2"/>
          </w:tcPr>
          <w:p>
            <w:pPr>
              <w:pStyle w:val="nTable"/>
              <w:spacing w:after="40"/>
              <w:rPr>
                <w:sz w:val="19"/>
              </w:rPr>
            </w:pPr>
            <w:r>
              <w:rPr>
                <w:snapToGrid w:val="0"/>
                <w:sz w:val="19"/>
              </w:rPr>
              <w:t>77 of 2006</w:t>
            </w:r>
          </w:p>
        </w:tc>
        <w:tc>
          <w:tcPr>
            <w:tcW w:w="1136" w:type="dxa"/>
            <w:gridSpan w:val="2"/>
          </w:tcPr>
          <w:p>
            <w:pPr>
              <w:pStyle w:val="nTable"/>
              <w:spacing w:after="40"/>
              <w:rPr>
                <w:sz w:val="19"/>
              </w:rPr>
            </w:pPr>
            <w:r>
              <w:rPr>
                <w:snapToGrid w:val="0"/>
                <w:sz w:val="19"/>
              </w:rPr>
              <w:t>21 Dec 2006</w:t>
            </w:r>
          </w:p>
        </w:tc>
        <w:tc>
          <w:tcPr>
            <w:tcW w:w="2551" w:type="dxa"/>
            <w:gridSpan w:val="2"/>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gridAfter w:val="1"/>
          <w:wAfter w:w="22" w:type="dxa"/>
          <w:cantSplit/>
        </w:trPr>
        <w:tc>
          <w:tcPr>
            <w:tcW w:w="7089" w:type="dxa"/>
            <w:gridSpan w:val="7"/>
          </w:tcPr>
          <w:p>
            <w:pPr>
              <w:pStyle w:val="nTable"/>
              <w:spacing w:after="40"/>
              <w:rPr>
                <w:snapToGrid w:val="0"/>
                <w:sz w:val="19"/>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gridAfter w:val="1"/>
          <w:wAfter w:w="22" w:type="dxa"/>
          <w:cantSplit/>
        </w:trPr>
        <w:tc>
          <w:tcPr>
            <w:tcW w:w="2268" w:type="dxa"/>
          </w:tcPr>
          <w:p>
            <w:pPr>
              <w:pStyle w:val="nTable"/>
              <w:spacing w:after="40"/>
              <w:ind w:right="113"/>
              <w:rPr>
                <w:iCs/>
                <w:sz w:val="19"/>
              </w:rPr>
            </w:pPr>
            <w:r>
              <w:rPr>
                <w:i/>
                <w:sz w:val="19"/>
              </w:rPr>
              <w:t>Training Legislation Amendment and Repeal Act 2008</w:t>
            </w:r>
            <w:r>
              <w:rPr>
                <w:iCs/>
                <w:sz w:val="19"/>
              </w:rPr>
              <w:t xml:space="preserve"> s. 52</w:t>
            </w:r>
          </w:p>
        </w:tc>
        <w:tc>
          <w:tcPr>
            <w:tcW w:w="1134" w:type="dxa"/>
            <w:gridSpan w:val="2"/>
          </w:tcPr>
          <w:p>
            <w:pPr>
              <w:pStyle w:val="nTable"/>
              <w:spacing w:after="40"/>
              <w:rPr>
                <w:sz w:val="19"/>
              </w:rPr>
            </w:pPr>
            <w:r>
              <w:rPr>
                <w:sz w:val="19"/>
              </w:rPr>
              <w:t>44 of 2008</w:t>
            </w:r>
          </w:p>
        </w:tc>
        <w:tc>
          <w:tcPr>
            <w:tcW w:w="1136" w:type="dxa"/>
            <w:gridSpan w:val="2"/>
          </w:tcPr>
          <w:p>
            <w:pPr>
              <w:pStyle w:val="nTable"/>
              <w:spacing w:after="40"/>
              <w:rPr>
                <w:sz w:val="19"/>
              </w:rPr>
            </w:pPr>
            <w:r>
              <w:rPr>
                <w:sz w:val="19"/>
              </w:rPr>
              <w:t>10 Dec 2008</w:t>
            </w:r>
          </w:p>
        </w:tc>
        <w:tc>
          <w:tcPr>
            <w:tcW w:w="2551" w:type="dxa"/>
            <w:gridSpan w:val="2"/>
          </w:tcPr>
          <w:p>
            <w:pPr>
              <w:pStyle w:val="nTable"/>
              <w:spacing w:after="40"/>
              <w:rPr>
                <w:sz w:val="19"/>
              </w:rPr>
            </w:pPr>
            <w:r>
              <w:rPr>
                <w:sz w:val="19"/>
              </w:rPr>
              <w:t>10 Jun 2009 (see s. 2(2))</w:t>
            </w:r>
          </w:p>
        </w:tc>
      </w:tr>
      <w:tr>
        <w:trPr>
          <w:gridAfter w:val="1"/>
          <w:wAfter w:w="22"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4" w:type="dxa"/>
            <w:gridSpan w:val="2"/>
          </w:tcPr>
          <w:p>
            <w:pPr>
              <w:pStyle w:val="nTable"/>
              <w:spacing w:after="40"/>
              <w:rPr>
                <w:sz w:val="19"/>
              </w:rPr>
            </w:pPr>
            <w:r>
              <w:rPr>
                <w:sz w:val="19"/>
              </w:rPr>
              <w:t xml:space="preserve">8 of 2009 </w:t>
            </w:r>
          </w:p>
        </w:tc>
        <w:tc>
          <w:tcPr>
            <w:tcW w:w="1136"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2" w:type="dxa"/>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136"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22" w:type="dxa"/>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after="40"/>
              <w:rPr>
                <w:snapToGrid w:val="0"/>
                <w:sz w:val="19"/>
              </w:rPr>
            </w:pPr>
            <w:r>
              <w:rPr>
                <w:snapToGrid w:val="0"/>
                <w:sz w:val="19"/>
              </w:rPr>
              <w:t>39 of 2010</w:t>
            </w:r>
          </w:p>
        </w:tc>
        <w:tc>
          <w:tcPr>
            <w:tcW w:w="1136" w:type="dxa"/>
            <w:gridSpan w:val="2"/>
          </w:tcPr>
          <w:p>
            <w:pPr>
              <w:pStyle w:val="nTable"/>
              <w:spacing w:after="40"/>
              <w:rPr>
                <w:snapToGrid w:val="0"/>
                <w:sz w:val="19"/>
              </w:rPr>
            </w:pPr>
            <w:r>
              <w:rPr>
                <w:snapToGrid w:val="0"/>
                <w:sz w:val="19"/>
              </w:rPr>
              <w:t>1 Oct 2010</w:t>
            </w:r>
          </w:p>
        </w:tc>
        <w:tc>
          <w:tcPr>
            <w:tcW w:w="2551"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22" w:type="dxa"/>
          <w:cantSplit/>
        </w:trPr>
        <w:tc>
          <w:tcPr>
            <w:tcW w:w="2268" w:type="dxa"/>
            <w:shd w:val="clear" w:color="auto" w:fill="auto"/>
          </w:tcPr>
          <w:p>
            <w:pPr>
              <w:pStyle w:val="nTable"/>
              <w:spacing w:after="40"/>
              <w:ind w:right="113"/>
              <w:rPr>
                <w:i/>
                <w:iCs/>
                <w:snapToGrid w:val="0"/>
                <w:sz w:val="19"/>
              </w:rPr>
            </w:pPr>
            <w:r>
              <w:rPr>
                <w:i/>
                <w:snapToGrid w:val="0"/>
                <w:sz w:val="19"/>
                <w:szCs w:val="19"/>
              </w:rPr>
              <w:t>Curriculum Council Amendment Act 2011</w:t>
            </w:r>
            <w:r>
              <w:rPr>
                <w:i/>
                <w:snapToGrid w:val="0"/>
                <w:sz w:val="19"/>
              </w:rPr>
              <w:t xml:space="preserve"> </w:t>
            </w:r>
            <w:r>
              <w:rPr>
                <w:snapToGrid w:val="0"/>
                <w:sz w:val="19"/>
              </w:rPr>
              <w:t>Pt. 2</w:t>
            </w:r>
          </w:p>
        </w:tc>
        <w:tc>
          <w:tcPr>
            <w:tcW w:w="1134" w:type="dxa"/>
            <w:gridSpan w:val="2"/>
            <w:shd w:val="clear" w:color="auto" w:fill="auto"/>
          </w:tcPr>
          <w:p>
            <w:pPr>
              <w:pStyle w:val="nTable"/>
              <w:spacing w:after="40"/>
              <w:rPr>
                <w:snapToGrid w:val="0"/>
                <w:sz w:val="19"/>
              </w:rPr>
            </w:pPr>
            <w:r>
              <w:rPr>
                <w:snapToGrid w:val="0"/>
                <w:sz w:val="19"/>
              </w:rPr>
              <w:t>37 of 2011</w:t>
            </w:r>
          </w:p>
        </w:tc>
        <w:tc>
          <w:tcPr>
            <w:tcW w:w="1136" w:type="dxa"/>
            <w:gridSpan w:val="2"/>
            <w:shd w:val="clear" w:color="auto" w:fill="auto"/>
          </w:tcPr>
          <w:p>
            <w:pPr>
              <w:pStyle w:val="nTable"/>
              <w:spacing w:after="40"/>
              <w:rPr>
                <w:snapToGrid w:val="0"/>
                <w:sz w:val="19"/>
              </w:rPr>
            </w:pPr>
            <w:r>
              <w:rPr>
                <w:sz w:val="19"/>
              </w:rPr>
              <w:t>13 Sep 2011</w:t>
            </w:r>
          </w:p>
        </w:tc>
        <w:tc>
          <w:tcPr>
            <w:tcW w:w="2551" w:type="dxa"/>
            <w:gridSpan w:val="2"/>
            <w:shd w:val="clear" w:color="auto" w:fill="auto"/>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gridAfter w:val="1"/>
          <w:wAfter w:w="22" w:type="dxa"/>
          <w:cantSplit/>
        </w:trPr>
        <w:tc>
          <w:tcPr>
            <w:tcW w:w="7089" w:type="dxa"/>
            <w:gridSpan w:val="7"/>
            <w:shd w:val="clear" w:color="auto" w:fill="auto"/>
          </w:tcPr>
          <w:p>
            <w:pPr>
              <w:pStyle w:val="nTable"/>
              <w:spacing w:after="40"/>
              <w:rPr>
                <w:snapToGrid w:val="0"/>
                <w:sz w:val="19"/>
              </w:rPr>
            </w:pPr>
            <w:r>
              <w:rPr>
                <w:b/>
                <w:sz w:val="19"/>
              </w:rPr>
              <w:t xml:space="preserve">Reprint 3: </w:t>
            </w:r>
            <w:r>
              <w:rPr>
                <w:b/>
                <w:sz w:val="19"/>
                <w:szCs w:val="19"/>
              </w:rPr>
              <w:t xml:space="preserve">The </w:t>
            </w:r>
            <w:r>
              <w:rPr>
                <w:b/>
                <w:i/>
                <w:iCs/>
                <w:sz w:val="19"/>
                <w:szCs w:val="19"/>
              </w:rPr>
              <w:t>School Curriculum and Standards Authority Act 1997</w:t>
            </w:r>
            <w:r>
              <w:rPr>
                <w:b/>
                <w:sz w:val="19"/>
                <w:szCs w:val="19"/>
              </w:rPr>
              <w:t xml:space="preserve"> as at 27 Apr 2012</w:t>
            </w:r>
            <w:r>
              <w:rPr>
                <w:sz w:val="19"/>
                <w:szCs w:val="19"/>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single" w:sz="4" w:space="0" w:color="auto"/>
            </w:tcBorders>
          </w:tcPr>
          <w:p>
            <w:pPr>
              <w:pStyle w:val="nTable"/>
              <w:spacing w:after="40"/>
              <w:ind w:right="113"/>
              <w:rPr>
                <w:snapToGrid w:val="0"/>
                <w:sz w:val="19"/>
              </w:rPr>
            </w:pPr>
            <w:r>
              <w:rPr>
                <w:i/>
                <w:snapToGrid w:val="0"/>
                <w:sz w:val="19"/>
              </w:rPr>
              <w:t>School Education Amendment Act 2012</w:t>
            </w:r>
            <w:r>
              <w:rPr>
                <w:snapToGrid w:val="0"/>
                <w:sz w:val="19"/>
              </w:rPr>
              <w:t xml:space="preserve"> Pt. 3</w:t>
            </w:r>
          </w:p>
        </w:tc>
        <w:tc>
          <w:tcPr>
            <w:tcW w:w="1134" w:type="dxa"/>
            <w:gridSpan w:val="2"/>
            <w:tcBorders>
              <w:top w:val="nil"/>
              <w:bottom w:val="single" w:sz="4" w:space="0" w:color="auto"/>
            </w:tcBorders>
          </w:tcPr>
          <w:p>
            <w:pPr>
              <w:pStyle w:val="nTable"/>
              <w:spacing w:after="40"/>
              <w:rPr>
                <w:snapToGrid w:val="0"/>
                <w:sz w:val="19"/>
              </w:rPr>
            </w:pPr>
            <w:r>
              <w:rPr>
                <w:snapToGrid w:val="0"/>
                <w:sz w:val="19"/>
              </w:rPr>
              <w:t>46 of 2012</w:t>
            </w:r>
          </w:p>
        </w:tc>
        <w:tc>
          <w:tcPr>
            <w:tcW w:w="1135" w:type="dxa"/>
            <w:gridSpan w:val="2"/>
            <w:tcBorders>
              <w:top w:val="nil"/>
              <w:bottom w:val="single" w:sz="4" w:space="0" w:color="auto"/>
            </w:tcBorders>
          </w:tcPr>
          <w:p>
            <w:pPr>
              <w:pStyle w:val="nTable"/>
              <w:spacing w:after="40"/>
              <w:rPr>
                <w:snapToGrid w:val="0"/>
                <w:sz w:val="19"/>
              </w:rPr>
            </w:pPr>
            <w:r>
              <w:rPr>
                <w:snapToGrid w:val="0"/>
                <w:sz w:val="19"/>
              </w:rPr>
              <w:t>29 Nov 2012</w:t>
            </w:r>
          </w:p>
        </w:tc>
        <w:tc>
          <w:tcPr>
            <w:tcW w:w="2546" w:type="dxa"/>
            <w:gridSpan w:val="2"/>
            <w:tcBorders>
              <w:top w:val="nil"/>
              <w:bottom w:val="single" w:sz="4" w:space="0" w:color="auto"/>
            </w:tcBorders>
          </w:tcPr>
          <w:p>
            <w:pPr>
              <w:pStyle w:val="nTable"/>
              <w:spacing w:after="40"/>
              <w:rPr>
                <w:snapToGrid w:val="0"/>
                <w:sz w:val="19"/>
              </w:rPr>
            </w:pPr>
            <w:r>
              <w:rPr>
                <w:snapToGrid w:val="0"/>
                <w:sz w:val="19"/>
              </w:rPr>
              <w:t>1 Jan 2013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 w:name="_Toc7405065"/>
      <w:bookmarkStart w:id="106" w:name="_Toc523052941"/>
      <w:r>
        <w:t>Provisions that have not come into operation</w:t>
      </w:r>
      <w:bookmarkEnd w:id="105"/>
      <w:bookmarkEnd w:id="10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tabs>
                <w:tab w:val="left" w:pos="5103"/>
              </w:tabs>
              <w:spacing w:after="40"/>
              <w:rPr>
                <w:sz w:val="19"/>
                <w:szCs w:val="19"/>
                <w:vertAlign w:val="superscript"/>
              </w:rPr>
            </w:pPr>
            <w:r>
              <w:rPr>
                <w:i/>
                <w:sz w:val="19"/>
                <w:szCs w:val="19"/>
              </w:rPr>
              <w:t>School Education Amendment Act 2014</w:t>
            </w:r>
            <w:r>
              <w:rPr>
                <w:sz w:val="19"/>
                <w:szCs w:val="19"/>
              </w:rPr>
              <w:t xml:space="preserve"> Pt. 3 </w:t>
            </w:r>
            <w:r>
              <w:rPr>
                <w:sz w:val="19"/>
                <w:szCs w:val="19"/>
                <w:vertAlign w:val="superscript"/>
              </w:rPr>
              <w:t>3</w:t>
            </w:r>
          </w:p>
        </w:tc>
        <w:tc>
          <w:tcPr>
            <w:tcW w:w="1118" w:type="dxa"/>
          </w:tcPr>
          <w:p>
            <w:pPr>
              <w:pStyle w:val="nTable"/>
              <w:tabs>
                <w:tab w:val="left" w:pos="5103"/>
              </w:tabs>
              <w:spacing w:after="40"/>
              <w:rPr>
                <w:snapToGrid w:val="0"/>
                <w:sz w:val="19"/>
                <w:szCs w:val="19"/>
                <w:lang w:val="en-US"/>
              </w:rPr>
            </w:pPr>
            <w:r>
              <w:rPr>
                <w:snapToGrid w:val="0"/>
                <w:sz w:val="19"/>
                <w:szCs w:val="19"/>
                <w:lang w:val="en-US"/>
              </w:rPr>
              <w:t xml:space="preserve">28 of 2014 </w:t>
            </w:r>
          </w:p>
        </w:tc>
        <w:tc>
          <w:tcPr>
            <w:tcW w:w="1134" w:type="dxa"/>
          </w:tcPr>
          <w:p>
            <w:pPr>
              <w:pStyle w:val="nTable"/>
              <w:tabs>
                <w:tab w:val="left" w:pos="5103"/>
              </w:tabs>
              <w:spacing w:after="40"/>
              <w:rPr>
                <w:snapToGrid w:val="0"/>
                <w:sz w:val="19"/>
                <w:szCs w:val="19"/>
                <w:lang w:val="en-US"/>
              </w:rPr>
            </w:pPr>
            <w:r>
              <w:rPr>
                <w:snapToGrid w:val="0"/>
                <w:sz w:val="19"/>
                <w:szCs w:val="19"/>
                <w:lang w:val="en-US"/>
              </w:rPr>
              <w:t>27 Nov 2014</w:t>
            </w:r>
          </w:p>
        </w:tc>
        <w:tc>
          <w:tcPr>
            <w:tcW w:w="2552" w:type="dxa"/>
          </w:tcPr>
          <w:p>
            <w:pPr>
              <w:pStyle w:val="nTable"/>
              <w:tabs>
                <w:tab w:val="left" w:pos="5103"/>
              </w:tabs>
              <w:spacing w:after="40"/>
              <w:rPr>
                <w:snapToGrid w:val="0"/>
                <w:sz w:val="19"/>
                <w:szCs w:val="19"/>
                <w:lang w:val="en-US"/>
              </w:rPr>
            </w:pPr>
            <w:r>
              <w:rPr>
                <w:snapToGrid w:val="0"/>
                <w:sz w:val="19"/>
                <w:szCs w:val="19"/>
                <w:lang w:val="en-US"/>
              </w:rPr>
              <w:t xml:space="preserve">2 Feb 2015 (see s. 2(c) and </w:t>
            </w:r>
            <w:r>
              <w:rPr>
                <w:i/>
                <w:snapToGrid w:val="0"/>
                <w:sz w:val="19"/>
                <w:szCs w:val="19"/>
                <w:lang w:val="en-US"/>
              </w:rPr>
              <w:t xml:space="preserve">Gazette </w:t>
            </w:r>
            <w:r>
              <w:rPr>
                <w:snapToGrid w:val="0"/>
                <w:sz w:val="19"/>
                <w:szCs w:val="19"/>
                <w:lang w:val="en-US"/>
              </w:rPr>
              <w:t>16 Jan 2015 p. 311)</w:t>
            </w:r>
          </w:p>
        </w:tc>
      </w:tr>
    </w:tbl>
    <w:p>
      <w:pPr>
        <w:pStyle w:val="nSubsection"/>
        <w:tabs>
          <w:tab w:val="clear" w:pos="454"/>
          <w:tab w:val="left" w:pos="567"/>
          <w:tab w:val="left" w:pos="5103"/>
        </w:tabs>
        <w:spacing w:before="200"/>
        <w:ind w:left="567" w:hanging="567"/>
        <w:rPr>
          <w:snapToGrid w:val="0"/>
        </w:rPr>
      </w:pPr>
      <w:r>
        <w:rPr>
          <w:snapToGrid w:val="0"/>
          <w:vertAlign w:val="superscript"/>
        </w:rPr>
        <w:t>2</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School Education Amendment Act 2014</w:t>
      </w:r>
      <w:r>
        <w:t xml:space="preserve"> Pt. 3 </w:t>
      </w:r>
      <w:r>
        <w:rPr>
          <w:snapToGrid w:val="0"/>
        </w:rPr>
        <w:t>had not come into operation.  It reads as follows:</w:t>
      </w:r>
    </w:p>
    <w:p>
      <w:pPr>
        <w:pStyle w:val="BlankOpen"/>
        <w:rPr>
          <w:snapToGrid w:val="0"/>
        </w:rPr>
      </w:pPr>
    </w:p>
    <w:p>
      <w:pPr>
        <w:pStyle w:val="nzHeading2"/>
      </w:pPr>
      <w:bookmarkStart w:id="107" w:name="_Toc398015919"/>
      <w:bookmarkStart w:id="108" w:name="_Toc398016334"/>
      <w:bookmarkStart w:id="109" w:name="_Toc398016715"/>
      <w:bookmarkStart w:id="110" w:name="_Toc398019067"/>
      <w:bookmarkStart w:id="111" w:name="_Toc398019765"/>
      <w:bookmarkStart w:id="112" w:name="_Toc398019961"/>
      <w:bookmarkStart w:id="113" w:name="_Toc398034486"/>
      <w:bookmarkStart w:id="114" w:name="_Toc398284283"/>
      <w:bookmarkStart w:id="115" w:name="_Toc398288428"/>
      <w:bookmarkStart w:id="116" w:name="_Toc404924174"/>
      <w:bookmarkStart w:id="117" w:name="_Toc404933099"/>
      <w:r>
        <w:rPr>
          <w:rStyle w:val="CharPartNo"/>
        </w:rPr>
        <w:t>Part 3</w:t>
      </w:r>
      <w:r>
        <w:rPr>
          <w:rStyle w:val="CharDivNo"/>
        </w:rPr>
        <w:t> </w:t>
      </w:r>
      <w:r>
        <w:t>—</w:t>
      </w:r>
      <w:r>
        <w:rPr>
          <w:rStyle w:val="CharDivText"/>
        </w:rPr>
        <w:t> </w:t>
      </w:r>
      <w:r>
        <w:rPr>
          <w:rStyle w:val="CharPartText"/>
          <w:i/>
        </w:rPr>
        <w:t>School Curriculum and Standards Authority Act 1997</w:t>
      </w:r>
      <w:r>
        <w:rPr>
          <w:rStyle w:val="CharPartText"/>
        </w:rPr>
        <w:t xml:space="preserve"> amended</w:t>
      </w:r>
      <w:bookmarkEnd w:id="107"/>
      <w:bookmarkEnd w:id="108"/>
      <w:bookmarkEnd w:id="109"/>
      <w:bookmarkEnd w:id="110"/>
      <w:bookmarkEnd w:id="111"/>
      <w:bookmarkEnd w:id="112"/>
      <w:bookmarkEnd w:id="113"/>
      <w:bookmarkEnd w:id="114"/>
      <w:bookmarkEnd w:id="115"/>
      <w:bookmarkEnd w:id="116"/>
      <w:bookmarkEnd w:id="117"/>
    </w:p>
    <w:p>
      <w:pPr>
        <w:pStyle w:val="nzHeading5"/>
      </w:pPr>
      <w:bookmarkStart w:id="118" w:name="_Toc404924175"/>
      <w:bookmarkStart w:id="119" w:name="_Toc404933100"/>
      <w:r>
        <w:rPr>
          <w:rStyle w:val="CharSectno"/>
        </w:rPr>
        <w:t>36</w:t>
      </w:r>
      <w:r>
        <w:t>.</w:t>
      </w:r>
      <w:r>
        <w:tab/>
      </w:r>
      <w:r>
        <w:rPr>
          <w:i/>
        </w:rPr>
        <w:t>School Curriculum and Standards Authority Act 1997</w:t>
      </w:r>
      <w:r>
        <w:t> amended</w:t>
      </w:r>
      <w:bookmarkEnd w:id="118"/>
      <w:bookmarkEnd w:id="119"/>
    </w:p>
    <w:p>
      <w:pPr>
        <w:pStyle w:val="nzSubsection"/>
      </w:pPr>
      <w:r>
        <w:tab/>
      </w:r>
      <w:r>
        <w:tab/>
        <w:t xml:space="preserve">This Part amends the </w:t>
      </w:r>
      <w:r>
        <w:rPr>
          <w:i/>
        </w:rPr>
        <w:t>School Curriculum and Standards Authority Act 1997</w:t>
      </w:r>
      <w:r>
        <w:t>.</w:t>
      </w:r>
    </w:p>
    <w:p>
      <w:pPr>
        <w:pStyle w:val="nzHeading5"/>
      </w:pPr>
      <w:bookmarkStart w:id="120" w:name="_Toc404924176"/>
      <w:bookmarkStart w:id="121" w:name="_Toc404933101"/>
      <w:r>
        <w:rPr>
          <w:rStyle w:val="CharSectno"/>
        </w:rPr>
        <w:t>37</w:t>
      </w:r>
      <w:r>
        <w:t>.</w:t>
      </w:r>
      <w:r>
        <w:tab/>
        <w:t>Section 3 amended</w:t>
      </w:r>
      <w:bookmarkEnd w:id="120"/>
      <w:bookmarkEnd w:id="121"/>
    </w:p>
    <w:p>
      <w:pPr>
        <w:pStyle w:val="nzSubsection"/>
      </w:pPr>
      <w:r>
        <w:tab/>
      </w:r>
      <w:r>
        <w:tab/>
        <w:t xml:space="preserve">In section 3 in the definition of </w:t>
      </w:r>
      <w:r>
        <w:rPr>
          <w:b/>
          <w:i/>
        </w:rPr>
        <w:t>governing body</w:t>
      </w:r>
      <w:r>
        <w:t xml:space="preserve"> delete paragraphs (b) and (c) and insert:</w:t>
      </w:r>
    </w:p>
    <w:p>
      <w:pPr>
        <w:pStyle w:val="BlankOpen"/>
      </w:pPr>
    </w:p>
    <w:p>
      <w:pPr>
        <w:pStyle w:val="nzDefpara"/>
      </w:pPr>
      <w:r>
        <w:tab/>
        <w:t>(b)</w:t>
      </w:r>
      <w:r>
        <w:tab/>
        <w:t>in relation to a non</w:t>
      </w:r>
      <w:r>
        <w:noBreakHyphen/>
        <w:t>government school as defined in the School Education Act, means the governing body of that school under that Act;</w:t>
      </w:r>
    </w:p>
    <w:p>
      <w:pPr>
        <w:pStyle w:val="BlankClose"/>
      </w:pPr>
    </w:p>
    <w:p>
      <w:pPr>
        <w:pStyle w:val="BlankClose"/>
        <w:rPr>
          <w:rStyle w:val="CharPartText"/>
          <w:sz w:val="20"/>
          <w:szCs w:val="20"/>
        </w:rPr>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22" w:name="_Toc523052942"/>
      <w:r>
        <w:rPr>
          <w:sz w:val="28"/>
        </w:rPr>
        <w:t>Defined terms</w:t>
      </w:r>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3" w:name="DefinedTerms"/>
      <w:bookmarkEnd w:id="123"/>
      <w:r>
        <w:t>advisory committee</w:t>
      </w:r>
      <w:r>
        <w:tab/>
        <w:t>3</w:t>
      </w:r>
    </w:p>
    <w:p>
      <w:pPr>
        <w:pStyle w:val="DefinedTerms"/>
      </w:pPr>
      <w:r>
        <w:t>aggregated form</w:t>
      </w:r>
      <w:r>
        <w:tab/>
        <w:t>12(1), 19A(1)</w:t>
      </w:r>
    </w:p>
    <w:p>
      <w:pPr>
        <w:pStyle w:val="DefinedTerms"/>
      </w:pPr>
      <w:r>
        <w:t>allowed information</w:t>
      </w:r>
      <w:r>
        <w:tab/>
        <w:t>19M(1)</w:t>
      </w:r>
    </w:p>
    <w:p>
      <w:pPr>
        <w:pStyle w:val="DefinedTerms"/>
      </w:pPr>
      <w:r>
        <w:t>apprentice</w:t>
      </w:r>
      <w:r>
        <w:tab/>
        <w:t>19F(1)</w:t>
      </w:r>
    </w:p>
    <w:p>
      <w:pPr>
        <w:pStyle w:val="DefinedTerms"/>
      </w:pPr>
      <w:r>
        <w:t>assessment</w:t>
      </w:r>
      <w:r>
        <w:tab/>
        <w:t>3</w:t>
      </w:r>
    </w:p>
    <w:p>
      <w:pPr>
        <w:pStyle w:val="DefinedTerms"/>
      </w:pPr>
      <w:r>
        <w:t>assets</w:t>
      </w:r>
      <w:r>
        <w:tab/>
        <w:t>37</w:t>
      </w:r>
    </w:p>
    <w:p>
      <w:pPr>
        <w:pStyle w:val="DefinedTerms"/>
      </w:pPr>
      <w:r>
        <w:t>Authority</w:t>
      </w:r>
      <w:r>
        <w:tab/>
        <w:t>3</w:t>
      </w:r>
    </w:p>
    <w:p>
      <w:pPr>
        <w:pStyle w:val="DefinedTerms"/>
      </w:pPr>
      <w:r>
        <w:t>Board</w:t>
      </w:r>
      <w:r>
        <w:tab/>
        <w:t>3, 6(1)</w:t>
      </w:r>
    </w:p>
    <w:p>
      <w:pPr>
        <w:pStyle w:val="DefinedTerms"/>
      </w:pPr>
      <w:r>
        <w:t>candidates</w:t>
      </w:r>
      <w:r>
        <w:tab/>
        <w:t>33(2)(b)(iv)</w:t>
      </w:r>
    </w:p>
    <w:p>
      <w:pPr>
        <w:pStyle w:val="DefinedTerms"/>
      </w:pPr>
      <w:r>
        <w:t>chairperson</w:t>
      </w:r>
      <w:r>
        <w:tab/>
        <w:t>3</w:t>
      </w:r>
    </w:p>
    <w:p>
      <w:pPr>
        <w:pStyle w:val="DefinedTerms"/>
      </w:pPr>
      <w:r>
        <w:t>chief executive officer</w:t>
      </w:r>
      <w:r>
        <w:tab/>
        <w:t>3</w:t>
      </w:r>
    </w:p>
    <w:p>
      <w:pPr>
        <w:pStyle w:val="DefinedTerms"/>
      </w:pPr>
      <w:r>
        <w:t>commencement day</w:t>
      </w:r>
      <w:r>
        <w:tab/>
        <w:t>37</w:t>
      </w:r>
    </w:p>
    <w:p>
      <w:pPr>
        <w:pStyle w:val="DefinedTerms"/>
      </w:pPr>
      <w:r>
        <w:t>committee</w:t>
      </w:r>
      <w:r>
        <w:tab/>
        <w:t>3</w:t>
      </w:r>
    </w:p>
    <w:p>
      <w:pPr>
        <w:pStyle w:val="DefinedTerms"/>
      </w:pPr>
      <w:r>
        <w:t>community kindergarten</w:t>
      </w:r>
      <w:r>
        <w:tab/>
        <w:t>3</w:t>
      </w:r>
    </w:p>
    <w:p>
      <w:pPr>
        <w:pStyle w:val="DefinedTerms"/>
      </w:pPr>
      <w:r>
        <w:t>compulsory education period</w:t>
      </w:r>
      <w:r>
        <w:tab/>
        <w:t>3</w:t>
      </w:r>
    </w:p>
    <w:p>
      <w:pPr>
        <w:pStyle w:val="DefinedTerms"/>
      </w:pPr>
      <w:r>
        <w:t>Council</w:t>
      </w:r>
      <w:r>
        <w:tab/>
        <w:t>37</w:t>
      </w:r>
    </w:p>
    <w:p>
      <w:pPr>
        <w:pStyle w:val="DefinedTerms"/>
      </w:pPr>
      <w:r>
        <w:t>course</w:t>
      </w:r>
      <w:r>
        <w:tab/>
        <w:t>3</w:t>
      </w:r>
    </w:p>
    <w:p>
      <w:pPr>
        <w:pStyle w:val="DefinedTerms"/>
      </w:pPr>
      <w:r>
        <w:t>Curriculum and Assessment Committee</w:t>
      </w:r>
      <w:r>
        <w:tab/>
        <w:t>3</w:t>
      </w:r>
    </w:p>
    <w:p>
      <w:pPr>
        <w:pStyle w:val="DefinedTerms"/>
      </w:pPr>
      <w:r>
        <w:t>document</w:t>
      </w:r>
      <w:r>
        <w:tab/>
        <w:t>19(4)</w:t>
      </w:r>
    </w:p>
    <w:p>
      <w:pPr>
        <w:pStyle w:val="DefinedTerms"/>
      </w:pPr>
      <w:r>
        <w:t>draft report</w:t>
      </w:r>
      <w:r>
        <w:tab/>
        <w:t>11(2), 12(1)</w:t>
      </w:r>
    </w:p>
    <w:p>
      <w:pPr>
        <w:pStyle w:val="DefinedTerms"/>
      </w:pPr>
      <w:r>
        <w:t>Education Department</w:t>
      </w:r>
      <w:r>
        <w:tab/>
        <w:t>3</w:t>
      </w:r>
    </w:p>
    <w:p>
      <w:pPr>
        <w:pStyle w:val="DefinedTerms"/>
      </w:pPr>
      <w:r>
        <w:t>education provider</w:t>
      </w:r>
      <w:r>
        <w:tab/>
        <w:t>3</w:t>
      </w:r>
    </w:p>
    <w:p>
      <w:pPr>
        <w:pStyle w:val="DefinedTerms"/>
      </w:pPr>
      <w:r>
        <w:t>educational programme</w:t>
      </w:r>
      <w:r>
        <w:tab/>
        <w:t>19A(1)</w:t>
      </w:r>
    </w:p>
    <w:p>
      <w:pPr>
        <w:pStyle w:val="DefinedTerms"/>
      </w:pPr>
      <w:r>
        <w:t>employed</w:t>
      </w:r>
      <w:r>
        <w:tab/>
        <w:t>19F(1)</w:t>
      </w:r>
    </w:p>
    <w:p>
      <w:pPr>
        <w:pStyle w:val="DefinedTerms"/>
      </w:pPr>
      <w:r>
        <w:t>exempt child</w:t>
      </w:r>
      <w:r>
        <w:tab/>
        <w:t>19A(1)</w:t>
      </w:r>
    </w:p>
    <w:p>
      <w:pPr>
        <w:pStyle w:val="DefinedTerms"/>
      </w:pPr>
      <w:r>
        <w:t>final years of compulsory education</w:t>
      </w:r>
      <w:r>
        <w:tab/>
        <w:t>19A</w:t>
      </w:r>
    </w:p>
    <w:p>
      <w:pPr>
        <w:pStyle w:val="DefinedTerms"/>
      </w:pPr>
      <w:r>
        <w:t>first year of the relevant education period</w:t>
      </w:r>
      <w:r>
        <w:tab/>
        <w:t>19C(1)</w:t>
      </w:r>
    </w:p>
    <w:p>
      <w:pPr>
        <w:pStyle w:val="DefinedTerms"/>
      </w:pPr>
      <w:r>
        <w:t>former Council</w:t>
      </w:r>
      <w:r>
        <w:tab/>
        <w:t>19I(2A)</w:t>
      </w:r>
    </w:p>
    <w:p>
      <w:pPr>
        <w:pStyle w:val="DefinedTerms"/>
      </w:pPr>
      <w:r>
        <w:t>governing body</w:t>
      </w:r>
      <w:r>
        <w:tab/>
        <w:t>3</w:t>
      </w:r>
    </w:p>
    <w:p>
      <w:pPr>
        <w:pStyle w:val="DefinedTerms"/>
      </w:pPr>
      <w:r>
        <w:t>home education</w:t>
      </w:r>
      <w:r>
        <w:tab/>
        <w:t>3</w:t>
      </w:r>
    </w:p>
    <w:p>
      <w:pPr>
        <w:pStyle w:val="DefinedTerms"/>
      </w:pPr>
      <w:r>
        <w:t>information</w:t>
      </w:r>
      <w:r>
        <w:tab/>
        <w:t>19(4)</w:t>
      </w:r>
    </w:p>
    <w:p>
      <w:pPr>
        <w:pStyle w:val="DefinedTerms"/>
      </w:pPr>
      <w:r>
        <w:t>liability</w:t>
      </w:r>
      <w:r>
        <w:tab/>
        <w:t>37</w:t>
      </w:r>
    </w:p>
    <w:p>
      <w:pPr>
        <w:pStyle w:val="DefinedTerms"/>
      </w:pPr>
      <w:r>
        <w:t>member</w:t>
      </w:r>
      <w:r>
        <w:tab/>
        <w:t>3</w:t>
      </w:r>
    </w:p>
    <w:p>
      <w:pPr>
        <w:pStyle w:val="DefinedTerms"/>
      </w:pPr>
      <w:r>
        <w:t>member of staff</w:t>
      </w:r>
      <w:r>
        <w:tab/>
        <w:t>3</w:t>
      </w:r>
    </w:p>
    <w:p>
      <w:pPr>
        <w:pStyle w:val="DefinedTerms"/>
      </w:pPr>
      <w:r>
        <w:t>Minister</w:t>
      </w:r>
      <w:r>
        <w:tab/>
        <w:t>19A(1)</w:t>
      </w:r>
    </w:p>
    <w:p>
      <w:pPr>
        <w:pStyle w:val="DefinedTerms"/>
      </w:pPr>
      <w:r>
        <w:t>overseas student</w:t>
      </w:r>
      <w:r>
        <w:tab/>
        <w:t>19B(1)</w:t>
      </w:r>
    </w:p>
    <w:p>
      <w:pPr>
        <w:pStyle w:val="DefinedTerms"/>
      </w:pPr>
      <w:r>
        <w:t>parent</w:t>
      </w:r>
      <w:r>
        <w:tab/>
        <w:t>19J(1A)</w:t>
      </w:r>
    </w:p>
    <w:p>
      <w:pPr>
        <w:pStyle w:val="DefinedTerms"/>
      </w:pPr>
      <w:r>
        <w:t>principal</w:t>
      </w:r>
      <w:r>
        <w:tab/>
        <w:t>19A(1)</w:t>
      </w:r>
    </w:p>
    <w:p>
      <w:pPr>
        <w:pStyle w:val="DefinedTerms"/>
      </w:pPr>
      <w:r>
        <w:t>provider</w:t>
      </w:r>
      <w:r>
        <w:tab/>
        <w:t>19A(1) and (2)</w:t>
      </w:r>
    </w:p>
    <w:p>
      <w:pPr>
        <w:pStyle w:val="DefinedTerms"/>
      </w:pPr>
      <w:r>
        <w:t>relevant governing body</w:t>
      </w:r>
      <w:r>
        <w:tab/>
        <w:t>12(1)</w:t>
      </w:r>
    </w:p>
    <w:p>
      <w:pPr>
        <w:pStyle w:val="DefinedTerms"/>
      </w:pPr>
      <w:r>
        <w:t>relevant officials</w:t>
      </w:r>
      <w:r>
        <w:tab/>
        <w:t>50(1)</w:t>
      </w:r>
    </w:p>
    <w:p>
      <w:pPr>
        <w:pStyle w:val="DefinedTerms"/>
      </w:pPr>
      <w:r>
        <w:t>right</w:t>
      </w:r>
      <w:r>
        <w:tab/>
        <w:t>37</w:t>
      </w:r>
    </w:p>
    <w:p>
      <w:pPr>
        <w:pStyle w:val="DefinedTerms"/>
      </w:pPr>
      <w:r>
        <w:t>school</w:t>
      </w:r>
      <w:r>
        <w:tab/>
        <w:t>3, 19A(1)</w:t>
      </w:r>
    </w:p>
    <w:p>
      <w:pPr>
        <w:pStyle w:val="DefinedTerms"/>
      </w:pPr>
      <w:r>
        <w:t>School Education Act</w:t>
      </w:r>
      <w:r>
        <w:tab/>
        <w:t>3</w:t>
      </w:r>
    </w:p>
    <w:p>
      <w:pPr>
        <w:pStyle w:val="DefinedTerms"/>
      </w:pPr>
      <w:r>
        <w:t>school system</w:t>
      </w:r>
      <w:r>
        <w:tab/>
        <w:t>3</w:t>
      </w:r>
    </w:p>
    <w:p>
      <w:pPr>
        <w:pStyle w:val="DefinedTerms"/>
      </w:pPr>
      <w:r>
        <w:t>school years</w:t>
      </w:r>
      <w:r>
        <w:tab/>
        <w:t>3</w:t>
      </w:r>
    </w:p>
    <w:p>
      <w:pPr>
        <w:pStyle w:val="DefinedTerms"/>
      </w:pPr>
      <w:r>
        <w:t>Standards Committee</w:t>
      </w:r>
      <w:r>
        <w:tab/>
        <w:t>3</w:t>
      </w:r>
    </w:p>
    <w:p>
      <w:pPr>
        <w:pStyle w:val="DefinedTerms"/>
      </w:pPr>
      <w:r>
        <w:t>standards of student achievement</w:t>
      </w:r>
      <w:r>
        <w:tab/>
        <w:t>3</w:t>
      </w:r>
    </w:p>
    <w:p>
      <w:pPr>
        <w:pStyle w:val="DefinedTerms"/>
      </w:pPr>
      <w:r>
        <w:t>State tax</w:t>
      </w:r>
      <w:r>
        <w:tab/>
        <w:t>46(1)</w:t>
      </w:r>
    </w:p>
    <w:p>
      <w:pPr>
        <w:pStyle w:val="DefinedTerms"/>
      </w:pPr>
      <w:r>
        <w:t>student</w:t>
      </w:r>
      <w:r>
        <w:tab/>
        <w:t>3, 19A(1)</w:t>
      </w:r>
    </w:p>
    <w:p>
      <w:pPr>
        <w:pStyle w:val="DefinedTerms"/>
      </w:pPr>
      <w:r>
        <w:t>student record</w:t>
      </w:r>
      <w:r>
        <w:tab/>
        <w:t>19A(1), 19J(1A)</w:t>
      </w:r>
    </w:p>
    <w:p>
      <w:pPr>
        <w:pStyle w:val="DefinedTerms"/>
      </w:pPr>
      <w:r>
        <w:t>transitional regulations</w:t>
      </w:r>
      <w:r>
        <w:tab/>
        <w:t>51(1)</w:t>
      </w:r>
    </w:p>
    <w:p>
      <w:pPr>
        <w:pStyle w:val="DefinedTerms"/>
      </w:pPr>
      <w:r>
        <w:t>vocational education and training</w:t>
      </w:r>
      <w:r>
        <w:tab/>
        <w:t>3</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tabs>
              <w:tab w:val="center" w:pos="702"/>
            </w:tabs>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Curriculum and Standards Authority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Provisions as to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fldSimple w:instr=" styleref CharSchText ">
            <w:r>
              <w:rPr>
                <w:noProof/>
              </w:rPr>
              <w:t>Provisions as to Board</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Provisions as to constitution and proceedings of the Board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F1862E9"/>
    <w:multiLevelType w:val="hybridMultilevel"/>
    <w:tmpl w:val="8C0C1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5"/>
  </w:num>
  <w:num w:numId="25">
    <w:abstractNumId w:val="17"/>
  </w:num>
  <w:num w:numId="26">
    <w:abstractNumId w:val="18"/>
  </w:num>
  <w:num w:numId="27">
    <w:abstractNumId w:val="21"/>
  </w:num>
  <w:num w:numId="28">
    <w:abstractNumId w:val="32"/>
  </w:num>
  <w:num w:numId="29">
    <w:abstractNumId w:val="26"/>
  </w:num>
  <w:num w:numId="30">
    <w:abstractNumId w:val="14"/>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8105403"/>
    <w:docVar w:name="WAFER_20140110100145" w:val="RemoveTocBookmarks,RemoveUnusedBookmarks,RemoveLanguageTags,UsedStyles,ResetPageSize,UpdateArrangement"/>
    <w:docVar w:name="WAFER_20140110100145_GUID" w:val="5dc6e86c-9cb7-401d-afdd-16933950ddaf"/>
    <w:docVar w:name="WAFER_20140110100456" w:val="RemoveTocBookmarks,RunningHeaders"/>
    <w:docVar w:name="WAFER_20140110100456_GUID" w:val="270f402f-88a0-471c-b8ba-2813ce140f2c"/>
    <w:docVar w:name="WAFER_20141128105403" w:val="RemoveTocBookmarks,RemoveUnusedBookmarks,RemoveLanguageTags,UsedStyles,ResetPageSize,UpdateArrangement"/>
    <w:docVar w:name="WAFER_20141128105403_GUID" w:val="905babe1-0899-4a36-9dc7-5b4dbc0d37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14509</Words>
  <Characters>69794</Characters>
  <Application>Microsoft Office Word</Application>
  <DocSecurity>0</DocSecurity>
  <Lines>2052</Lines>
  <Paragraphs>1277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1997 - 03-d0-01</dc:title>
  <dc:subject/>
  <dc:creator/>
  <cp:keywords/>
  <dc:description/>
  <cp:lastModifiedBy>svcMRProcess</cp:lastModifiedBy>
  <cp:revision>4</cp:revision>
  <cp:lastPrinted>2012-05-03T00:57:00Z</cp:lastPrinted>
  <dcterms:created xsi:type="dcterms:W3CDTF">2018-08-26T05:18:00Z</dcterms:created>
  <dcterms:modified xsi:type="dcterms:W3CDTF">2018-08-26T05:18:00Z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20141127</vt:lpwstr>
  </property>
  <property fmtid="{D5CDD505-2E9C-101B-9397-08002B2CF9AE}" pid="4" name="DocumentType">
    <vt:lpwstr>Act</vt:lpwstr>
  </property>
  <property fmtid="{D5CDD505-2E9C-101B-9397-08002B2CF9AE}" pid="5" name="OwlsUID">
    <vt:i4>1813</vt:i4>
  </property>
  <property fmtid="{D5CDD505-2E9C-101B-9397-08002B2CF9AE}" pid="6" name="AsAtDate">
    <vt:lpwstr>27 Nov 2014</vt:lpwstr>
  </property>
  <property fmtid="{D5CDD505-2E9C-101B-9397-08002B2CF9AE}" pid="7" name="Suffix">
    <vt:lpwstr>03-d0-01</vt:lpwstr>
  </property>
  <property fmtid="{D5CDD505-2E9C-101B-9397-08002B2CF9AE}" pid="8" name="ReprintNo">
    <vt:lpwstr>3</vt:lpwstr>
  </property>
  <property fmtid="{D5CDD505-2E9C-101B-9397-08002B2CF9AE}" pid="9" name="ReprintedAsAt">
    <vt:filetime>2012-04-26T16:00:00Z</vt:filetime>
  </property>
</Properties>
</file>