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pPr>
      <w:r>
        <w:t>State Administrative Tribunal Act 2004</w:t>
      </w:r>
      <w:r>
        <w:br/>
        <w:t>State Administrative Tribunal (Conferral of Jurisdiction) Amendment and Repeal Act 2004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pStyle w:val="ReprintNo"/>
        <w:outlineLvl w:val="9"/>
      </w:pPr>
      <w:r>
        <w:t>Reprint 4:  The regulations as at 21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399783"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_Toc404949938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_Toc404949939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_Toc404949940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_Toc404949942 \h </w:instrText>
      </w:r>
      <w:r>
        <w:fldChar w:fldCharType="separate"/>
      </w:r>
      <w:r>
        <w:t>2</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_Toc404949943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_Toc404949944 \h </w:instrText>
      </w:r>
      <w:r>
        <w:fldChar w:fldCharType="separate"/>
      </w:r>
      <w:r>
        <w:t>3</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_Toc404949945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_Toc404949947 \h </w:instrText>
      </w:r>
      <w:r>
        <w:fldChar w:fldCharType="separate"/>
      </w:r>
      <w:r>
        <w:t>4</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_Toc404949948 \h </w:instrText>
      </w:r>
      <w:r>
        <w:fldChar w:fldCharType="separate"/>
      </w:r>
      <w:r>
        <w:t>5</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_Toc404949949 \h </w:instrText>
      </w:r>
      <w:r>
        <w:fldChar w:fldCharType="separate"/>
      </w:r>
      <w:r>
        <w:t>7</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_Toc404949950 \h </w:instrText>
      </w:r>
      <w:r>
        <w:fldChar w:fldCharType="separate"/>
      </w:r>
      <w:r>
        <w:t>9</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_Toc404949951 \h </w:instrText>
      </w:r>
      <w:r>
        <w:fldChar w:fldCharType="separate"/>
      </w:r>
      <w:r>
        <w:t>9</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_Toc404949952 \h </w:instrText>
      </w:r>
      <w:r>
        <w:fldChar w:fldCharType="separate"/>
      </w:r>
      <w:r>
        <w:t>10</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_Toc404949953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_Toc404949955 \h </w:instrText>
      </w:r>
      <w:r>
        <w:fldChar w:fldCharType="separate"/>
      </w:r>
      <w:r>
        <w:t>12</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_Toc404949956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_Toc404949958 \h </w:instrText>
      </w:r>
      <w:r>
        <w:fldChar w:fldCharType="separate"/>
      </w:r>
      <w:r>
        <w:t>14</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_Toc404949959 \h </w:instrText>
      </w:r>
      <w:r>
        <w:fldChar w:fldCharType="separate"/>
      </w:r>
      <w:r>
        <w:t>14</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_Toc404949960 \h </w:instrText>
      </w:r>
      <w:r>
        <w:fldChar w:fldCharType="separate"/>
      </w:r>
      <w:r>
        <w:t>15</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_Toc404949961 \h </w:instrText>
      </w:r>
      <w:r>
        <w:fldChar w:fldCharType="separate"/>
      </w:r>
      <w:r>
        <w:t>15</w:t>
      </w:r>
      <w:r>
        <w:fldChar w:fldCharType="end"/>
      </w:r>
    </w:p>
    <w:p>
      <w:pPr>
        <w:pStyle w:val="TOC2"/>
        <w:keepNext w:val="0"/>
        <w:tabs>
          <w:tab w:val="right" w:leader="dot" w:pos="7086"/>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86"/>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86"/>
        </w:tabs>
        <w:rPr>
          <w:rFonts w:asciiTheme="minorHAnsi" w:eastAsiaTheme="minorEastAsia" w:hAnsiTheme="minorHAnsi" w:cstheme="minorBidi"/>
          <w:b w:val="0"/>
          <w:sz w:val="22"/>
          <w:szCs w:val="22"/>
        </w:rPr>
      </w:pPr>
      <w:r>
        <w:t>Schedule 3 — Provision under which proceedings commenced</w:t>
      </w:r>
    </w:p>
    <w:p>
      <w:pPr>
        <w:pStyle w:val="TOC2"/>
        <w:keepNext w:val="0"/>
        <w:tabs>
          <w:tab w:val="right" w:leader="dot" w:pos="7086"/>
        </w:tabs>
        <w:rPr>
          <w:rFonts w:asciiTheme="minorHAnsi" w:eastAsiaTheme="minorEastAsia" w:hAnsiTheme="minorHAnsi" w:cstheme="minorBidi"/>
          <w:b w:val="0"/>
          <w:sz w:val="22"/>
          <w:szCs w:val="22"/>
        </w:rPr>
      </w:pPr>
      <w:r>
        <w:t>Schedule 4 — Provision under which proceedings commenced</w:t>
      </w:r>
    </w:p>
    <w:p>
      <w:pPr>
        <w:pStyle w:val="TOC2"/>
        <w:keepNext w:val="0"/>
        <w:tabs>
          <w:tab w:val="right" w:leader="dot" w:pos="7086"/>
        </w:tabs>
        <w:rPr>
          <w:rFonts w:asciiTheme="minorHAnsi" w:eastAsiaTheme="minorEastAsia" w:hAnsiTheme="minorHAnsi" w:cstheme="minorBidi"/>
          <w:b w:val="0"/>
          <w:sz w:val="22"/>
          <w:szCs w:val="22"/>
        </w:rPr>
      </w:pPr>
      <w:r>
        <w:t>Schedule 6 — Provision under which proceedings commenced</w:t>
      </w:r>
    </w:p>
    <w:p>
      <w:pPr>
        <w:pStyle w:val="TOC2"/>
        <w:keepNext w:val="0"/>
        <w:tabs>
          <w:tab w:val="right" w:leader="dot" w:pos="7086"/>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86"/>
        </w:tabs>
        <w:rPr>
          <w:rFonts w:asciiTheme="minorHAnsi" w:eastAsiaTheme="minorEastAsia" w:hAnsiTheme="minorHAnsi" w:cstheme="minorBidi"/>
          <w:b w:val="0"/>
          <w:sz w:val="22"/>
          <w:szCs w:val="22"/>
        </w:rPr>
      </w:pPr>
      <w:r>
        <w:t>Schedule 20 — Other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_Toc404949970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2014</w:t>
            </w:r>
          </w:p>
        </w:tc>
      </w:tr>
    </w:tbl>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9937"/>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404949938"/>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5" w:name="_Toc40494993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6" w:name="_Toc404949940"/>
      <w:r>
        <w:rPr>
          <w:rStyle w:val="CharSectno"/>
        </w:rPr>
        <w:t>3</w:t>
      </w:r>
      <w:r>
        <w:t>.</w:t>
      </w:r>
      <w:r>
        <w:tab/>
        <w:t>Terms used</w:t>
      </w:r>
      <w:bookmarkEnd w:id="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7" w:name="_Toc404772672"/>
      <w:bookmarkStart w:id="8" w:name="_Toc404949941"/>
      <w:r>
        <w:rPr>
          <w:rStyle w:val="CharPartNo"/>
        </w:rPr>
        <w:t>Part 2</w:t>
      </w:r>
      <w:r>
        <w:rPr>
          <w:rStyle w:val="CharDivNo"/>
        </w:rPr>
        <w:t> </w:t>
      </w:r>
      <w:r>
        <w:t>—</w:t>
      </w:r>
      <w:r>
        <w:rPr>
          <w:rStyle w:val="CharDivText"/>
        </w:rPr>
        <w:t> </w:t>
      </w:r>
      <w:r>
        <w:rPr>
          <w:rStyle w:val="CharPartText"/>
        </w:rPr>
        <w:t>General</w:t>
      </w:r>
      <w:bookmarkEnd w:id="7"/>
      <w:bookmarkEnd w:id="8"/>
    </w:p>
    <w:p>
      <w:pPr>
        <w:pStyle w:val="Heading5"/>
      </w:pPr>
      <w:bookmarkStart w:id="9" w:name="_Toc404949942"/>
      <w:r>
        <w:rPr>
          <w:rStyle w:val="CharSectno"/>
        </w:rPr>
        <w:t>4</w:t>
      </w:r>
      <w:r>
        <w:t>.</w:t>
      </w:r>
      <w:r>
        <w:tab/>
        <w:t xml:space="preserve">Acts prescribed for purpose of definition of </w:t>
      </w:r>
      <w:r>
        <w:rPr>
          <w:i/>
          <w:iCs/>
        </w:rPr>
        <w:t>vocational regulatory body</w:t>
      </w:r>
      <w:bookmarkEnd w:id="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0" w:name="_Toc404949943"/>
      <w:r>
        <w:rPr>
          <w:rStyle w:val="CharSectno"/>
        </w:rPr>
        <w:t>5</w:t>
      </w:r>
      <w:r>
        <w:t>.</w:t>
      </w:r>
      <w:r>
        <w:tab/>
        <w:t>Register of proceedings</w:t>
      </w:r>
      <w:bookmarkEnd w:id="1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1" w:name="_Toc404949944"/>
      <w:r>
        <w:rPr>
          <w:rStyle w:val="CharSectno"/>
        </w:rPr>
        <w:t>6</w:t>
      </w:r>
      <w:r>
        <w:t>.</w:t>
      </w:r>
      <w:r>
        <w:tab/>
        <w:t>Prescribed places: s. 116(3)(a) of Act</w:t>
      </w:r>
      <w:bookmarkEnd w:id="11"/>
    </w:p>
    <w:p>
      <w:pPr>
        <w:pStyle w:val="Subsection"/>
      </w:pPr>
      <w:r>
        <w:tab/>
      </w:r>
      <w:r>
        <w:tab/>
        <w:t>For the purposes of the Act section 116(3)(a), the places listed in Schedule 2 are prescribed.</w:t>
      </w:r>
    </w:p>
    <w:p>
      <w:pPr>
        <w:pStyle w:val="Heading5"/>
      </w:pPr>
      <w:bookmarkStart w:id="12" w:name="_Toc404949945"/>
      <w:r>
        <w:rPr>
          <w:rStyle w:val="CharSectno"/>
        </w:rPr>
        <w:t>7</w:t>
      </w:r>
      <w:r>
        <w:t>.</w:t>
      </w:r>
      <w:r>
        <w:tab/>
        <w:t>Class prescribed: s. 117(5)(a) of Act</w:t>
      </w:r>
      <w:bookmarkEnd w:id="1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13" w:name="_Toc404772677"/>
      <w:bookmarkStart w:id="14" w:name="_Toc404949946"/>
      <w:r>
        <w:rPr>
          <w:rStyle w:val="CharPartNo"/>
        </w:rPr>
        <w:t>Part 3</w:t>
      </w:r>
      <w:r>
        <w:rPr>
          <w:rStyle w:val="CharDivNo"/>
        </w:rPr>
        <w:t> </w:t>
      </w:r>
      <w:r>
        <w:t>—</w:t>
      </w:r>
      <w:r>
        <w:rPr>
          <w:rStyle w:val="CharDivText"/>
        </w:rPr>
        <w:t> </w:t>
      </w:r>
      <w:r>
        <w:rPr>
          <w:rStyle w:val="CharPartText"/>
        </w:rPr>
        <w:t>Fees</w:t>
      </w:r>
      <w:bookmarkEnd w:id="13"/>
      <w:bookmarkEnd w:id="14"/>
    </w:p>
    <w:p>
      <w:pPr>
        <w:pStyle w:val="Heading5"/>
      </w:pPr>
      <w:bookmarkStart w:id="15" w:name="_Toc404949947"/>
      <w:r>
        <w:rPr>
          <w:rStyle w:val="CharSectno"/>
        </w:rPr>
        <w:t>8</w:t>
      </w:r>
      <w:r>
        <w:t>.</w:t>
      </w:r>
      <w:r>
        <w:tab/>
        <w:t>General</w:t>
      </w:r>
      <w:bookmarkEnd w:id="1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16" w:name="_Toc404949948"/>
      <w:r>
        <w:rPr>
          <w:rStyle w:val="CharSectno"/>
        </w:rPr>
        <w:t>9</w:t>
      </w:r>
      <w:r>
        <w:t>.</w:t>
      </w:r>
      <w:r>
        <w:tab/>
        <w:t>Fees relating to application under provision in Sch. 3, 4 or 6</w:t>
      </w:r>
      <w:bookmarkEnd w:id="1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t>1 223.00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t>1 223.00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t>228.00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t>341.00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446.00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408.00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529.00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161.00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81.50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162.50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79.00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118.00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p>
    <w:p>
      <w:pPr>
        <w:pStyle w:val="Heading5"/>
        <w:spacing w:before="240"/>
      </w:pPr>
      <w:bookmarkStart w:id="17" w:name="_Toc404949949"/>
      <w:r>
        <w:rPr>
          <w:rStyle w:val="CharSectno"/>
        </w:rPr>
        <w:t>10</w:t>
      </w:r>
      <w:r>
        <w:t>.</w:t>
      </w:r>
      <w:r>
        <w:tab/>
        <w:t>Fees relating to application to do with development on land</w:t>
      </w:r>
      <w:bookmarkEnd w:id="17"/>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t>446.00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408.00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161.00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529.00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p>
    <w:p>
      <w:pPr>
        <w:pStyle w:val="Heading5"/>
      </w:pPr>
      <w:bookmarkStart w:id="18" w:name="_Toc404949950"/>
      <w:r>
        <w:rPr>
          <w:rStyle w:val="CharSectno"/>
        </w:rPr>
        <w:t>11A</w:t>
      </w:r>
      <w:r>
        <w:t>.</w:t>
      </w:r>
      <w:r>
        <w:tab/>
        <w:t>No fee relating to application under provision in Sch. 7</w:t>
      </w:r>
      <w:bookmarkEnd w:id="18"/>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19" w:name="_Toc404949951"/>
      <w:r>
        <w:rPr>
          <w:rStyle w:val="CharSectno"/>
        </w:rPr>
        <w:t>11B</w:t>
      </w:r>
      <w:r>
        <w:t>.</w:t>
      </w:r>
      <w:r>
        <w:tab/>
        <w:t>Fees relating to application not covered by r. 9, 10 or 11A</w:t>
      </w:r>
      <w:bookmarkEnd w:id="19"/>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367.00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367.00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t>127.00</w:t>
            </w:r>
          </w:p>
        </w:tc>
      </w:tr>
      <w:tr>
        <w:trPr>
          <w:cantSplit/>
        </w:trPr>
        <w:tc>
          <w:tcPr>
            <w:tcW w:w="5245" w:type="dxa"/>
          </w:tcPr>
          <w:p>
            <w:pPr>
              <w:pStyle w:val="TableNAm"/>
            </w:pPr>
            <w:r>
              <w:tab/>
              <w:t>(ii)</w:t>
            </w:r>
            <w:r>
              <w:tab/>
              <w:t>a person other than an individual</w:t>
            </w:r>
          </w:p>
        </w:tc>
        <w:tc>
          <w:tcPr>
            <w:tcW w:w="992" w:type="dxa"/>
          </w:tcPr>
          <w:p>
            <w:pPr>
              <w:pStyle w:val="TableNAm"/>
            </w:pPr>
            <w:r>
              <w:t>193.00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p>
    <w:p>
      <w:pPr>
        <w:pStyle w:val="Heading5"/>
        <w:spacing w:before="180"/>
      </w:pPr>
      <w:bookmarkStart w:id="20" w:name="_Toc404949952"/>
      <w:r>
        <w:rPr>
          <w:rStyle w:val="CharSectno"/>
        </w:rPr>
        <w:t>11</w:t>
      </w:r>
      <w:r>
        <w:t>.</w:t>
      </w:r>
      <w:r>
        <w:tab/>
        <w:t>Fees for provision of transcripts to third parties</w:t>
      </w:r>
      <w:bookmarkEnd w:id="2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21" w:name="_Toc404949953"/>
      <w:r>
        <w:rPr>
          <w:rStyle w:val="CharSectno"/>
        </w:rPr>
        <w:t>27</w:t>
      </w:r>
      <w:r>
        <w:t>.</w:t>
      </w:r>
      <w:r>
        <w:tab/>
        <w:t>Other fees</w:t>
      </w:r>
      <w:bookmarkEnd w:id="21"/>
    </w:p>
    <w:p>
      <w:pPr>
        <w:pStyle w:val="Subsection"/>
      </w:pPr>
      <w:r>
        <w:tab/>
      </w:r>
      <w:r>
        <w:tab/>
        <w:t>The fees set out in Schedule 20 are to be charged in respect of the matters shown in that Schedule.</w:t>
      </w:r>
    </w:p>
    <w:p>
      <w:pPr>
        <w:pStyle w:val="Heading2"/>
      </w:pPr>
      <w:bookmarkStart w:id="22" w:name="_Toc404772685"/>
      <w:bookmarkStart w:id="23" w:name="_Toc40494995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2"/>
      <w:bookmarkEnd w:id="23"/>
    </w:p>
    <w:p>
      <w:pPr>
        <w:pStyle w:val="Heading5"/>
        <w:spacing w:before="180"/>
      </w:pPr>
      <w:bookmarkStart w:id="24" w:name="_Toc404949955"/>
      <w:r>
        <w:rPr>
          <w:rStyle w:val="CharSectno"/>
        </w:rPr>
        <w:t>28</w:t>
      </w:r>
      <w:r>
        <w:t>.</w:t>
      </w:r>
      <w:r>
        <w:tab/>
        <w:t>Transitional provisions</w:t>
      </w:r>
      <w:bookmarkEnd w:id="2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25" w:name="_Toc404949956"/>
      <w:r>
        <w:rPr>
          <w:rStyle w:val="CharSectno"/>
        </w:rPr>
        <w:t>33</w:t>
      </w:r>
      <w:r>
        <w:t>.</w:t>
      </w:r>
      <w:r>
        <w:tab/>
      </w:r>
      <w:r>
        <w:rPr>
          <w:i/>
        </w:rPr>
        <w:t>Land Administration Act 1997</w:t>
      </w:r>
      <w:bookmarkEnd w:id="2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26" w:name="_Toc404772688"/>
      <w:bookmarkStart w:id="27" w:name="_Toc40494995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6"/>
      <w:bookmarkEnd w:id="27"/>
    </w:p>
    <w:p>
      <w:pPr>
        <w:pStyle w:val="Heading5"/>
      </w:pPr>
      <w:bookmarkStart w:id="28" w:name="_Toc404949958"/>
      <w:r>
        <w:rPr>
          <w:rStyle w:val="CharSectno"/>
        </w:rPr>
        <w:t>42</w:t>
      </w:r>
      <w:r>
        <w:t>.</w:t>
      </w:r>
      <w:r>
        <w:tab/>
        <w:t>Transitional provision</w:t>
      </w:r>
      <w:bookmarkEnd w:id="2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29" w:name="_Toc404949959"/>
      <w:r>
        <w:rPr>
          <w:rStyle w:val="CharSectno"/>
        </w:rPr>
        <w:t>55</w:t>
      </w:r>
      <w:r>
        <w:t>.</w:t>
      </w:r>
      <w:r>
        <w:tab/>
      </w:r>
      <w:r>
        <w:rPr>
          <w:i/>
        </w:rPr>
        <w:t>Local Government (Miscellaneous Provisions) Act 1960</w:t>
      </w:r>
      <w:bookmarkEnd w:id="2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30" w:name="_Toc404949960"/>
      <w:r>
        <w:rPr>
          <w:rStyle w:val="CharSectno"/>
        </w:rPr>
        <w:t>61</w:t>
      </w:r>
      <w:r>
        <w:t>.</w:t>
      </w:r>
      <w:r>
        <w:tab/>
      </w:r>
      <w:r>
        <w:rPr>
          <w:i/>
        </w:rPr>
        <w:t>Rights in Water and Irrigation Act 1914</w:t>
      </w:r>
      <w:bookmarkEnd w:id="3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31" w:name="_Toc404949961"/>
      <w:r>
        <w:rPr>
          <w:rStyle w:val="CharSectno"/>
        </w:rPr>
        <w:t>63</w:t>
      </w:r>
      <w:r>
        <w:t>.</w:t>
      </w:r>
      <w:r>
        <w:tab/>
      </w:r>
      <w:r>
        <w:rPr>
          <w:i/>
        </w:rPr>
        <w:t>Strata Titles Act 1985</w:t>
      </w:r>
      <w:bookmarkEnd w:id="3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 w:name="_Toc404772693"/>
      <w:bookmarkStart w:id="33" w:name="_Toc40494996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32"/>
      <w:bookmarkEnd w:id="3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yScheduleHeading"/>
      </w:pPr>
      <w:bookmarkStart w:id="34" w:name="_Toc404772694"/>
      <w:bookmarkStart w:id="35" w:name="_Toc404949963"/>
      <w:r>
        <w:rPr>
          <w:rStyle w:val="CharSchNo"/>
        </w:rPr>
        <w:t>Schedule 2</w:t>
      </w:r>
      <w:r>
        <w:t> — </w:t>
      </w:r>
      <w:r>
        <w:rPr>
          <w:rStyle w:val="CharSchText"/>
        </w:rPr>
        <w:t>Places at which a magistrate may be authorised to perform functions as a member of the Tribunal</w:t>
      </w:r>
      <w:bookmarkEnd w:id="34"/>
      <w:bookmarkEnd w:id="3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36" w:name="_Toc404772695"/>
      <w:bookmarkStart w:id="37" w:name="_Toc404949964"/>
      <w:r>
        <w:rPr>
          <w:rStyle w:val="CharSchNo"/>
        </w:rPr>
        <w:t>Schedule 3</w:t>
      </w:r>
      <w:r>
        <w:t> — </w:t>
      </w:r>
      <w:r>
        <w:rPr>
          <w:rStyle w:val="CharSchText"/>
        </w:rPr>
        <w:t>Provision under which proceedings commenced</w:t>
      </w:r>
      <w:bookmarkEnd w:id="36"/>
      <w:bookmarkEnd w:id="37"/>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38" w:name="_Toc404772696"/>
      <w:bookmarkStart w:id="39" w:name="_Toc404949965"/>
      <w:r>
        <w:rPr>
          <w:rStyle w:val="CharSchNo"/>
        </w:rPr>
        <w:t>Schedule 4</w:t>
      </w:r>
      <w:r>
        <w:t> — </w:t>
      </w:r>
      <w:r>
        <w:rPr>
          <w:rStyle w:val="CharSchText"/>
        </w:rPr>
        <w:t>Provision under which proceedings commenced</w:t>
      </w:r>
      <w:bookmarkEnd w:id="38"/>
      <w:bookmarkEnd w:id="3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40" w:name="_Toc404772697"/>
      <w:bookmarkStart w:id="41" w:name="_Toc404949966"/>
      <w:r>
        <w:rPr>
          <w:rStyle w:val="CharSchNo"/>
        </w:rPr>
        <w:t>Schedule 6</w:t>
      </w:r>
      <w:r>
        <w:t> — </w:t>
      </w:r>
      <w:r>
        <w:rPr>
          <w:rStyle w:val="CharSchText"/>
        </w:rPr>
        <w:t>Provision under which proceedings commenced</w:t>
      </w:r>
      <w:bookmarkEnd w:id="40"/>
      <w:bookmarkEnd w:id="41"/>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w:t>
      </w:r>
    </w:p>
    <w:p>
      <w:pPr>
        <w:pStyle w:val="yScheduleHeading"/>
      </w:pPr>
      <w:bookmarkStart w:id="42" w:name="_Toc404772698"/>
      <w:bookmarkStart w:id="43" w:name="_Toc404949967"/>
      <w:r>
        <w:rPr>
          <w:rStyle w:val="CharSchNo"/>
        </w:rPr>
        <w:t>Schedule 7</w:t>
      </w:r>
      <w:r>
        <w:t> — </w:t>
      </w:r>
      <w:r>
        <w:rPr>
          <w:rStyle w:val="CharSchText"/>
        </w:rPr>
        <w:t>Enactments under which proceedings commenced</w:t>
      </w:r>
      <w:bookmarkEnd w:id="42"/>
      <w:bookmarkEnd w:id="43"/>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44" w:name="_Toc404772699"/>
      <w:bookmarkStart w:id="45" w:name="_Toc404949968"/>
      <w:r>
        <w:rPr>
          <w:rStyle w:val="CharSchNo"/>
        </w:rPr>
        <w:t>Schedule 20</w:t>
      </w:r>
      <w:r>
        <w:t> — </w:t>
      </w:r>
      <w:r>
        <w:rPr>
          <w:rStyle w:val="CharSchText"/>
        </w:rPr>
        <w:t>Other fees</w:t>
      </w:r>
      <w:bookmarkEnd w:id="44"/>
      <w:bookmarkEnd w:id="45"/>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74.50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149.50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14.50</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$19.35)</w:t>
            </w:r>
          </w:p>
        </w:tc>
        <w:tc>
          <w:tcPr>
            <w:tcW w:w="1327" w:type="dxa"/>
          </w:tcPr>
          <w:p>
            <w:pPr>
              <w:pStyle w:val="yTableNAm"/>
              <w:jc w:val="right"/>
            </w:pPr>
            <w:r>
              <w:br/>
            </w:r>
            <w:r>
              <w:br/>
            </w:r>
            <w:r>
              <w:rPr>
                <w:szCs w:val="22"/>
              </w:rPr>
              <w:t>6.35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$19.35)</w:t>
            </w:r>
          </w:p>
        </w:tc>
        <w:tc>
          <w:tcPr>
            <w:tcW w:w="1327" w:type="dxa"/>
          </w:tcPr>
          <w:p>
            <w:pPr>
              <w:pStyle w:val="yTableNAm"/>
              <w:jc w:val="right"/>
              <w:rPr>
                <w:rFonts w:ascii="Times" w:hAnsi="Times"/>
                <w:spacing w:val="-4"/>
              </w:rPr>
            </w:pPr>
            <w:r>
              <w:br/>
            </w:r>
            <w:r>
              <w:br/>
            </w:r>
            <w:r>
              <w:rPr>
                <w:szCs w:val="22"/>
              </w:rPr>
              <w:t>6.35 plus 62.50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$19.35)</w:t>
            </w:r>
          </w:p>
        </w:tc>
        <w:tc>
          <w:tcPr>
            <w:tcW w:w="1327" w:type="dxa"/>
          </w:tcPr>
          <w:p>
            <w:pPr>
              <w:pStyle w:val="yTableNAm"/>
              <w:jc w:val="right"/>
              <w:rPr>
                <w:rFonts w:ascii="Times" w:hAnsi="Times"/>
                <w:spacing w:val="-6"/>
              </w:rPr>
            </w:pPr>
            <w:r>
              <w:br/>
            </w:r>
            <w:r>
              <w:rPr>
                <w:szCs w:val="22"/>
              </w:rPr>
              <w:t>6.35 plus 7.15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16.35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36.40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30.00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4" w:bottom="3544" w:left="2404" w:header="709" w:footer="3380" w:gutter="0"/>
          <w:cols w:space="720"/>
          <w:noEndnote/>
          <w:docGrid w:linePitch="326"/>
        </w:sectPr>
      </w:pPr>
    </w:p>
    <w:p>
      <w:pPr>
        <w:pStyle w:val="nHeading2"/>
      </w:pPr>
      <w:bookmarkStart w:id="46" w:name="_Toc404772700"/>
      <w:bookmarkStart w:id="47" w:name="_Toc404949969"/>
      <w:r>
        <w:t>Notes</w:t>
      </w:r>
      <w:bookmarkEnd w:id="46"/>
      <w:bookmarkEnd w:id="47"/>
    </w:p>
    <w:p>
      <w:pPr>
        <w:pStyle w:val="nSubsection"/>
        <w:rPr>
          <w:snapToGrid w:val="0"/>
        </w:rPr>
      </w:pPr>
      <w:r>
        <w:rPr>
          <w:snapToGrid w:val="0"/>
          <w:vertAlign w:val="superscript"/>
        </w:rPr>
        <w:t>1</w:t>
      </w:r>
      <w:r>
        <w:rPr>
          <w:snapToGrid w:val="0"/>
        </w:rPr>
        <w:tab/>
        <w:t xml:space="preserve">This reprint is a compilation as at 21 November 2014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48" w:name="_Toc404949970"/>
      <w:r>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rPr>
              <w:t>r. 1 and 2: 26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rPr>
            </w:pPr>
            <w:r>
              <w:rPr>
                <w:snapToGrid w:val="0"/>
                <w:sz w:val="19"/>
              </w:rPr>
              <w:t>r. 1 and 2: 31 Jul 2007 (see r. 2(a));</w:t>
            </w:r>
            <w:r>
              <w:rPr>
                <w:snapToGrid w:val="0"/>
                <w:sz w:val="19"/>
              </w:rPr>
              <w:br/>
              <w:t>Regulations other than r. 1 and 2: 1 Aug 2007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State Administrative Tribunal Regulations 2004</w:t>
            </w:r>
            <w:r>
              <w:rPr>
                <w:b/>
                <w:bCs/>
                <w:snapToGrid w:val="0"/>
                <w:sz w:val="19"/>
              </w:rPr>
              <w:t xml:space="preserve"> as at 16 Nov 2007</w:t>
            </w:r>
            <w:r>
              <w:rPr>
                <w:snapToGrid w:val="0"/>
                <w:sz w:val="19"/>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27 Jun 2008</w:t>
            </w:r>
            <w:r>
              <w:rPr>
                <w:snapToGrid w:val="0"/>
                <w:sz w:val="19"/>
              </w:rPr>
              <w:t xml:space="preserve"> (see r. 2(a));</w:t>
            </w:r>
            <w:r>
              <w:rPr>
                <w:snapToGrid w:val="0"/>
                <w:sz w:val="19"/>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rPr>
            </w:pPr>
            <w:r>
              <w:rPr>
                <w:snapToGrid w:val="0"/>
                <w:sz w:val="19"/>
              </w:rPr>
              <w:t xml:space="preserve">r. 1 and 2: </w:t>
            </w:r>
            <w:r>
              <w:rPr>
                <w:sz w:val="19"/>
              </w:rPr>
              <w:t>4 Sep 2009</w:t>
            </w:r>
            <w:r>
              <w:rPr>
                <w:snapToGrid w:val="0"/>
                <w:sz w:val="19"/>
              </w:rPr>
              <w:t xml:space="preserve"> (see r. 2(a));</w:t>
            </w:r>
            <w:r>
              <w:rPr>
                <w:snapToGrid w:val="0"/>
                <w:sz w:val="19"/>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rPr>
            </w:pPr>
            <w:r>
              <w:rPr>
                <w:snapToGrid w:val="0"/>
                <w:sz w:val="19"/>
              </w:rPr>
              <w:t>4 Dec 2009 (see s. 2(b))</w:t>
            </w:r>
          </w:p>
        </w:tc>
      </w:tr>
      <w:tr>
        <w:trPr>
          <w:cantSplit/>
        </w:trPr>
        <w:tc>
          <w:tcPr>
            <w:tcW w:w="7087" w:type="dxa"/>
            <w:gridSpan w:val="3"/>
          </w:tcPr>
          <w:p>
            <w:pPr>
              <w:pStyle w:val="nTable"/>
              <w:spacing w:after="40"/>
              <w:rPr>
                <w:snapToGrid w:val="0"/>
                <w:sz w:val="19"/>
              </w:rPr>
            </w:pPr>
            <w:r>
              <w:rPr>
                <w:b/>
                <w:bCs/>
                <w:snapToGrid w:val="0"/>
                <w:sz w:val="19"/>
              </w:rPr>
              <w:t xml:space="preserve">Reprint 2: The </w:t>
            </w:r>
            <w:r>
              <w:rPr>
                <w:b/>
                <w:bCs/>
                <w:i/>
                <w:sz w:val="19"/>
              </w:rPr>
              <w:t>State Administrative Tribunal Regulations 2004</w:t>
            </w:r>
            <w:r>
              <w:rPr>
                <w:b/>
                <w:bCs/>
                <w:snapToGrid w:val="0"/>
                <w:sz w:val="19"/>
              </w:rPr>
              <w:t xml:space="preserve"> as at 19 Feb 2010</w:t>
            </w:r>
            <w:r>
              <w:rPr>
                <w:snapToGrid w:val="0"/>
                <w:sz w:val="19"/>
              </w:rPr>
              <w:t xml:space="preserve"> (includes amendments listed above)</w:t>
            </w:r>
          </w:p>
        </w:tc>
      </w:tr>
      <w:tr>
        <w:trPr>
          <w:cantSplit/>
        </w:trPr>
        <w:tc>
          <w:tcPr>
            <w:tcW w:w="4394" w:type="dxa"/>
            <w:gridSpan w:val="2"/>
          </w:tcPr>
          <w:p>
            <w:pPr>
              <w:pStyle w:val="nTable"/>
              <w:spacing w:after="40"/>
              <w:rPr>
                <w:snapToGrid w:val="0"/>
                <w:sz w:val="19"/>
              </w:rPr>
            </w:pPr>
            <w:r>
              <w:rPr>
                <w:i/>
                <w:snapToGrid w:val="0"/>
                <w:sz w:val="19"/>
              </w:rPr>
              <w:t>Standardisation of Formatting Act 2010</w:t>
            </w:r>
            <w:r>
              <w:rPr>
                <w:iCs/>
                <w:snapToGrid w:val="0"/>
                <w:sz w:val="19"/>
              </w:rPr>
              <w:t xml:space="preserve"> s. 51 assented to </w:t>
            </w:r>
            <w:r>
              <w:rPr>
                <w:snapToGrid w:val="0"/>
                <w:sz w:val="19"/>
              </w:rPr>
              <w:t>28 Jun 2010</w:t>
            </w:r>
          </w:p>
        </w:tc>
        <w:tc>
          <w:tcPr>
            <w:tcW w:w="269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tcPr>
          <w:p>
            <w:pPr>
              <w:pStyle w:val="nTable"/>
              <w:spacing w:after="40"/>
              <w:rPr>
                <w:snapToGrid w:val="0"/>
                <w:sz w:val="19"/>
              </w:rPr>
            </w:pPr>
            <w:r>
              <w:rPr>
                <w:snapToGrid w:val="0"/>
                <w:sz w:val="19"/>
              </w:rPr>
              <w:t>r. 1 and 2: 8 Mar 2011 (see r. 2(a));</w:t>
            </w:r>
            <w:r>
              <w:rPr>
                <w:snapToGrid w:val="0"/>
                <w:sz w:val="19"/>
              </w:rPr>
              <w:br/>
              <w:t>Regulations other than r. 1 and 2: 9 Mar 2011 (see r. 2(b))</w:t>
            </w:r>
          </w:p>
        </w:tc>
      </w:tr>
      <w:tr>
        <w:tc>
          <w:tcPr>
            <w:tcW w:w="3118" w:type="dxa"/>
          </w:tcPr>
          <w:p>
            <w:pPr>
              <w:pStyle w:val="nTable"/>
              <w:spacing w:after="40"/>
              <w:rPr>
                <w:i/>
                <w:sz w:val="19"/>
              </w:rPr>
            </w:pPr>
            <w:r>
              <w:rPr>
                <w:i/>
                <w:sz w:val="19"/>
              </w:rPr>
              <w:t>State Administrative Tribunal Amendment Regulations (No. 4) 2011</w:t>
            </w:r>
          </w:p>
        </w:tc>
        <w:tc>
          <w:tcPr>
            <w:tcW w:w="1276" w:type="dxa"/>
          </w:tcPr>
          <w:p>
            <w:pPr>
              <w:pStyle w:val="nTable"/>
              <w:spacing w:after="40"/>
              <w:rPr>
                <w:sz w:val="19"/>
              </w:rPr>
            </w:pPr>
            <w:r>
              <w:rPr>
                <w:sz w:val="19"/>
              </w:rPr>
              <w:t>22 Jul 2011 p. 3017</w:t>
            </w:r>
            <w:r>
              <w:rPr>
                <w:sz w:val="19"/>
              </w:rPr>
              <w:noBreakHyphen/>
              <w:t>18</w:t>
            </w:r>
          </w:p>
        </w:tc>
        <w:tc>
          <w:tcPr>
            <w:tcW w:w="2693" w:type="dxa"/>
          </w:tcPr>
          <w:p>
            <w:pPr>
              <w:pStyle w:val="nTable"/>
              <w:spacing w:after="40"/>
              <w:rPr>
                <w:snapToGrid w:val="0"/>
                <w:sz w:val="19"/>
              </w:rPr>
            </w:pPr>
            <w:r>
              <w:rPr>
                <w:snapToGrid w:val="0"/>
                <w:sz w:val="19"/>
              </w:rPr>
              <w:t>r. 1 and 2: 22 Jul 2011 (see r. 2(a));</w:t>
            </w:r>
            <w:r>
              <w:rPr>
                <w:snapToGrid w:val="0"/>
                <w:sz w:val="19"/>
              </w:rPr>
              <w:br/>
              <w:t>Regulations other than r. 1 and 2: 23 Jul 2011 (see r. 2(b))</w:t>
            </w:r>
          </w:p>
        </w:tc>
      </w:tr>
      <w:tr>
        <w:tc>
          <w:tcPr>
            <w:tcW w:w="3118" w:type="dxa"/>
          </w:tcPr>
          <w:p>
            <w:pPr>
              <w:pStyle w:val="nTable"/>
              <w:spacing w:after="40"/>
              <w:rPr>
                <w:i/>
                <w:sz w:val="19"/>
              </w:rPr>
            </w:pPr>
            <w:r>
              <w:rPr>
                <w:i/>
                <w:sz w:val="19"/>
              </w:rPr>
              <w:t>State Administrative Tribunal Amendment Regulations (No. 5) 2011</w:t>
            </w:r>
          </w:p>
        </w:tc>
        <w:tc>
          <w:tcPr>
            <w:tcW w:w="1276" w:type="dxa"/>
          </w:tcPr>
          <w:p>
            <w:pPr>
              <w:pStyle w:val="nTable"/>
              <w:spacing w:after="40"/>
              <w:rPr>
                <w:sz w:val="19"/>
              </w:rPr>
            </w:pPr>
            <w:r>
              <w:rPr>
                <w:sz w:val="19"/>
              </w:rPr>
              <w:t>20 Dec 2011 p. 5383-7</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21 Dec 2011 (see r. 2(b))</w:t>
            </w:r>
          </w:p>
        </w:tc>
      </w:tr>
      <w:tr>
        <w:tc>
          <w:tcPr>
            <w:tcW w:w="3118" w:type="dxa"/>
          </w:tcPr>
          <w:p>
            <w:pPr>
              <w:pStyle w:val="nTable"/>
              <w:spacing w:after="40"/>
              <w:rPr>
                <w:i/>
                <w:sz w:val="19"/>
              </w:rPr>
            </w:pPr>
            <w:r>
              <w:rPr>
                <w:i/>
                <w:sz w:val="19"/>
              </w:rPr>
              <w:t>State Administrative Tribunal Amendment Regulations (No. 3) 2012</w:t>
            </w:r>
          </w:p>
        </w:tc>
        <w:tc>
          <w:tcPr>
            <w:tcW w:w="1276" w:type="dxa"/>
          </w:tcPr>
          <w:p>
            <w:pPr>
              <w:pStyle w:val="nTable"/>
              <w:spacing w:after="40"/>
              <w:rPr>
                <w:sz w:val="19"/>
              </w:rPr>
            </w:pPr>
            <w:r>
              <w:rPr>
                <w:sz w:val="19"/>
              </w:rPr>
              <w:t>30 Nov 2012 p. 5795-7</w:t>
            </w:r>
          </w:p>
        </w:tc>
        <w:tc>
          <w:tcPr>
            <w:tcW w:w="2693" w:type="dxa"/>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8" w:type="dxa"/>
          </w:tcPr>
          <w:p>
            <w:pPr>
              <w:pStyle w:val="nTable"/>
              <w:spacing w:after="40"/>
              <w:rPr>
                <w:i/>
                <w:sz w:val="19"/>
              </w:rPr>
            </w:pPr>
            <w:r>
              <w:rPr>
                <w:i/>
                <w:sz w:val="19"/>
              </w:rPr>
              <w:t>State Administrative Tribunal Amendment Regulations (No. 4) 2012</w:t>
            </w:r>
          </w:p>
        </w:tc>
        <w:tc>
          <w:tcPr>
            <w:tcW w:w="1276" w:type="dxa"/>
          </w:tcPr>
          <w:p>
            <w:pPr>
              <w:pStyle w:val="nTable"/>
              <w:spacing w:after="40"/>
              <w:rPr>
                <w:sz w:val="19"/>
              </w:rPr>
            </w:pPr>
            <w:r>
              <w:rPr>
                <w:sz w:val="19"/>
              </w:rPr>
              <w:t>7 Dec 2012 p. 5994</w:t>
            </w:r>
          </w:p>
        </w:tc>
        <w:tc>
          <w:tcPr>
            <w:tcW w:w="2693" w:type="dxa"/>
          </w:tcPr>
          <w:p>
            <w:pPr>
              <w:pStyle w:val="nTable"/>
              <w:spacing w:after="40"/>
              <w:rPr>
                <w:snapToGrid w:val="0"/>
                <w:sz w:val="19"/>
              </w:rPr>
            </w:pPr>
            <w:r>
              <w:rPr>
                <w:snapToGrid w:val="0"/>
                <w:sz w:val="19"/>
              </w:rPr>
              <w:t>r. 1 and 2: 7 Dec 2012 (see r. 2(a));</w:t>
            </w:r>
            <w:r>
              <w:rPr>
                <w:snapToGrid w:val="0"/>
                <w:sz w:val="19"/>
              </w:rPr>
              <w:br/>
              <w:t xml:space="preserve">Regulations other than r. 1 and 2: 7 Dec 2012 (see r. 2(b) and </w:t>
            </w:r>
            <w:r>
              <w:rPr>
                <w:i/>
                <w:snapToGrid w:val="0"/>
                <w:sz w:val="19"/>
              </w:rPr>
              <w:t>Gazette</w:t>
            </w:r>
            <w:r>
              <w:rPr>
                <w:snapToGrid w:val="0"/>
                <w:sz w:val="19"/>
              </w:rPr>
              <w:t xml:space="preserve"> 16 Nov 2012 p. 5637)</w:t>
            </w:r>
          </w:p>
        </w:tc>
      </w:tr>
      <w:tr>
        <w:tc>
          <w:tcPr>
            <w:tcW w:w="3118" w:type="dxa"/>
            <w:shd w:val="clear" w:color="auto" w:fill="auto"/>
          </w:tcPr>
          <w:p>
            <w:pPr>
              <w:pStyle w:val="nTable"/>
              <w:spacing w:after="40"/>
              <w:rPr>
                <w:i/>
                <w:sz w:val="19"/>
              </w:rPr>
            </w:pPr>
            <w:r>
              <w:rPr>
                <w:i/>
                <w:sz w:val="19"/>
              </w:rPr>
              <w:t>State Administrative Tribunal Amendment Regulations 2013</w:t>
            </w:r>
          </w:p>
        </w:tc>
        <w:tc>
          <w:tcPr>
            <w:tcW w:w="1276" w:type="dxa"/>
            <w:shd w:val="clear" w:color="auto" w:fill="auto"/>
          </w:tcPr>
          <w:p>
            <w:pPr>
              <w:pStyle w:val="nTable"/>
              <w:spacing w:after="40"/>
              <w:rPr>
                <w:sz w:val="19"/>
              </w:rPr>
            </w:pPr>
            <w:r>
              <w:rPr>
                <w:sz w:val="19"/>
              </w:rPr>
              <w:t>6 Aug 2013 p. 3649</w:t>
            </w:r>
            <w:r>
              <w:rPr>
                <w:sz w:val="19"/>
              </w:rPr>
              <w:noBreakHyphen/>
              <w:t>56</w:t>
            </w:r>
          </w:p>
        </w:tc>
        <w:tc>
          <w:tcPr>
            <w:tcW w:w="2693" w:type="dxa"/>
            <w:shd w:val="clear" w:color="auto" w:fill="auto"/>
          </w:tcPr>
          <w:p>
            <w:pPr>
              <w:pStyle w:val="nTable"/>
              <w:spacing w:after="40"/>
              <w:rPr>
                <w:snapToGrid w:val="0"/>
                <w:sz w:val="19"/>
              </w:rPr>
            </w:pPr>
            <w:r>
              <w:rPr>
                <w:snapToGrid w:val="0"/>
                <w:sz w:val="19"/>
                <w:szCs w:val="19"/>
              </w:rPr>
              <w:t>r. 1 and 2: 6 Aug 2013 (see r. 2(a));</w:t>
            </w:r>
            <w:r>
              <w:rPr>
                <w:snapToGrid w:val="0"/>
                <w:sz w:val="19"/>
                <w:szCs w:val="19"/>
              </w:rPr>
              <w:br/>
              <w:t>Regulations other than r. 1 and 2: 7 Aug 2013 (see r. 2(b))</w:t>
            </w:r>
          </w:p>
        </w:tc>
      </w:tr>
      <w:tr>
        <w:tc>
          <w:tcPr>
            <w:tcW w:w="7087" w:type="dxa"/>
            <w:gridSpan w:val="3"/>
            <w:shd w:val="clear" w:color="auto" w:fill="auto"/>
          </w:tcPr>
          <w:p>
            <w:pPr>
              <w:pStyle w:val="nTable"/>
              <w:spacing w:after="40"/>
              <w:rPr>
                <w:snapToGrid w:val="0"/>
                <w:sz w:val="19"/>
                <w:szCs w:val="19"/>
              </w:rPr>
            </w:pPr>
            <w:r>
              <w:rPr>
                <w:b/>
                <w:bCs/>
                <w:snapToGrid w:val="0"/>
                <w:sz w:val="19"/>
              </w:rPr>
              <w:t xml:space="preserve">Reprint 3: The </w:t>
            </w:r>
            <w:r>
              <w:rPr>
                <w:b/>
                <w:bCs/>
                <w:i/>
                <w:sz w:val="19"/>
              </w:rPr>
              <w:t>State Administrative Tribunal Regulations 2004</w:t>
            </w:r>
            <w:r>
              <w:rPr>
                <w:b/>
                <w:bCs/>
                <w:snapToGrid w:val="0"/>
                <w:sz w:val="19"/>
              </w:rPr>
              <w:t xml:space="preserve"> as at 18 Oct 2013</w:t>
            </w:r>
            <w:r>
              <w:rPr>
                <w:snapToGrid w:val="0"/>
                <w:sz w:val="19"/>
              </w:rPr>
              <w:t xml:space="preserve"> (includes amendments listed above)</w:t>
            </w:r>
          </w:p>
        </w:tc>
      </w:tr>
      <w:tr>
        <w:tc>
          <w:tcPr>
            <w:tcW w:w="3118" w:type="dxa"/>
            <w:shd w:val="clear" w:color="auto" w:fill="auto"/>
          </w:tcPr>
          <w:p>
            <w:pPr>
              <w:pStyle w:val="nTable"/>
              <w:spacing w:after="40"/>
              <w:rPr>
                <w:i/>
                <w:sz w:val="19"/>
              </w:rPr>
            </w:pPr>
            <w:r>
              <w:rPr>
                <w:i/>
                <w:sz w:val="19"/>
              </w:rPr>
              <w:t>State Administrative Tribunal Amendment Regulations (No. 3) 2013</w:t>
            </w:r>
          </w:p>
        </w:tc>
        <w:tc>
          <w:tcPr>
            <w:tcW w:w="1276" w:type="dxa"/>
            <w:shd w:val="clear" w:color="auto" w:fill="auto"/>
          </w:tcPr>
          <w:p>
            <w:pPr>
              <w:pStyle w:val="nTable"/>
              <w:spacing w:after="40"/>
              <w:rPr>
                <w:sz w:val="19"/>
              </w:rPr>
            </w:pPr>
            <w:r>
              <w:rPr>
                <w:sz w:val="19"/>
              </w:rPr>
              <w:t>14 Nov 2013 p. 5069</w:t>
            </w:r>
          </w:p>
        </w:tc>
        <w:tc>
          <w:tcPr>
            <w:tcW w:w="2693" w:type="dxa"/>
            <w:shd w:val="clear" w:color="auto" w:fill="auto"/>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c>
          <w:tcPr>
            <w:tcW w:w="3118" w:type="dxa"/>
            <w:shd w:val="clear" w:color="auto" w:fill="auto"/>
          </w:tcPr>
          <w:p>
            <w:pPr>
              <w:pStyle w:val="nTable"/>
              <w:spacing w:after="40"/>
              <w:rPr>
                <w:sz w:val="19"/>
                <w:vertAlign w:val="superscript"/>
              </w:rPr>
            </w:pPr>
            <w:r>
              <w:rPr>
                <w:i/>
                <w:sz w:val="19"/>
              </w:rPr>
              <w:t>State Administrative Tribunal Amendment Regulations (No. 4) 2013</w:t>
            </w:r>
            <w:r>
              <w:rPr>
                <w:sz w:val="19"/>
                <w:vertAlign w:val="superscript"/>
              </w:rPr>
              <w:t> 12</w:t>
            </w:r>
          </w:p>
        </w:tc>
        <w:tc>
          <w:tcPr>
            <w:tcW w:w="1276" w:type="dxa"/>
            <w:shd w:val="clear" w:color="auto" w:fill="auto"/>
          </w:tcPr>
          <w:p>
            <w:pPr>
              <w:pStyle w:val="nTable"/>
              <w:spacing w:after="40"/>
              <w:rPr>
                <w:sz w:val="19"/>
              </w:rPr>
            </w:pPr>
            <w:r>
              <w:rPr>
                <w:sz w:val="19"/>
              </w:rPr>
              <w:t>15 Nov 2013 p. 5245-7</w:t>
            </w:r>
          </w:p>
        </w:tc>
        <w:tc>
          <w:tcPr>
            <w:tcW w:w="2693" w:type="dxa"/>
            <w:shd w:val="clear" w:color="auto" w:fill="auto"/>
          </w:tcPr>
          <w:p>
            <w:pPr>
              <w:pStyle w:val="nTable"/>
              <w:spacing w:after="40"/>
              <w:rPr>
                <w:snapToGrid w:val="0"/>
                <w:sz w:val="19"/>
              </w:rPr>
            </w:pPr>
            <w:r>
              <w:rPr>
                <w:snapToGrid w:val="0"/>
                <w:sz w:val="19"/>
                <w:szCs w:val="19"/>
              </w:rPr>
              <w:t>r. 1 and 2: 15 Nov 2013 (see r. 2(a));</w:t>
            </w:r>
            <w:r>
              <w:rPr>
                <w:snapToGrid w:val="0"/>
                <w:sz w:val="19"/>
                <w:szCs w:val="19"/>
              </w:rPr>
              <w:br/>
              <w:t>Regulations other than r. 1 and 2: 16 Nov 2013 (see r. 2(b)(ii))</w:t>
            </w:r>
          </w:p>
        </w:tc>
      </w:tr>
      <w:tr>
        <w:tc>
          <w:tcPr>
            <w:tcW w:w="3118" w:type="dxa"/>
            <w:shd w:val="clear" w:color="auto" w:fill="auto"/>
          </w:tcPr>
          <w:p>
            <w:pPr>
              <w:pStyle w:val="nTable"/>
              <w:spacing w:after="40"/>
              <w:rPr>
                <w:i/>
                <w:sz w:val="19"/>
              </w:rPr>
            </w:pPr>
            <w:r>
              <w:rPr>
                <w:i/>
                <w:sz w:val="19"/>
              </w:rPr>
              <w:t>State Administrative Tribunal Amendment Regulations (No. 2) 2013</w:t>
            </w:r>
          </w:p>
        </w:tc>
        <w:tc>
          <w:tcPr>
            <w:tcW w:w="1276" w:type="dxa"/>
            <w:shd w:val="clear" w:color="auto" w:fill="auto"/>
          </w:tcPr>
          <w:p>
            <w:pPr>
              <w:pStyle w:val="nTable"/>
              <w:spacing w:after="40"/>
              <w:rPr>
                <w:sz w:val="19"/>
              </w:rPr>
            </w:pPr>
            <w:r>
              <w:rPr>
                <w:sz w:val="19"/>
              </w:rPr>
              <w:t>14 Jan 2014 p. 43</w:t>
            </w:r>
            <w:r>
              <w:rPr>
                <w:sz w:val="19"/>
              </w:rPr>
              <w:noBreakHyphen/>
              <w:t>4</w:t>
            </w:r>
          </w:p>
        </w:tc>
        <w:tc>
          <w:tcPr>
            <w:tcW w:w="2693" w:type="dxa"/>
            <w:shd w:val="clear" w:color="auto" w:fill="auto"/>
          </w:tcPr>
          <w:p>
            <w:pPr>
              <w:pStyle w:val="nTable"/>
              <w:spacing w:after="40"/>
              <w:rPr>
                <w:snapToGrid w:val="0"/>
                <w:sz w:val="19"/>
                <w:szCs w:val="19"/>
              </w:rPr>
            </w:pPr>
            <w:r>
              <w:rPr>
                <w:snapToGrid w:val="0"/>
                <w:sz w:val="19"/>
                <w:szCs w:val="19"/>
              </w:rPr>
              <w:t>r. 1 and 2: 14 Jan 2014 (see r. 2(a));</w:t>
            </w:r>
            <w:r>
              <w:rPr>
                <w:snapToGrid w:val="0"/>
                <w:sz w:val="19"/>
                <w:szCs w:val="19"/>
              </w:rPr>
              <w:br/>
              <w:t>Regulations other than r. 1 and 2: 15 Jan 2014 (see r. 2(b))</w:t>
            </w:r>
          </w:p>
        </w:tc>
      </w:tr>
      <w:tr>
        <w:trPr>
          <w:cantSplit/>
        </w:trPr>
        <w:tc>
          <w:tcPr>
            <w:tcW w:w="3118" w:type="dxa"/>
            <w:shd w:val="clear" w:color="auto" w:fill="auto"/>
          </w:tcPr>
          <w:p>
            <w:pPr>
              <w:pStyle w:val="nTable"/>
              <w:spacing w:after="40"/>
              <w:rPr>
                <w:i/>
                <w:sz w:val="19"/>
              </w:rPr>
            </w:pPr>
            <w:r>
              <w:rPr>
                <w:i/>
                <w:sz w:val="19"/>
              </w:rPr>
              <w:t>State Administrative Tribunal Amendment Regulations (No. 5) 2013</w:t>
            </w:r>
          </w:p>
        </w:tc>
        <w:tc>
          <w:tcPr>
            <w:tcW w:w="1276" w:type="dxa"/>
            <w:shd w:val="clear" w:color="auto" w:fill="auto"/>
          </w:tcPr>
          <w:p>
            <w:pPr>
              <w:pStyle w:val="nTable"/>
              <w:keepNext/>
              <w:spacing w:after="40"/>
              <w:rPr>
                <w:sz w:val="19"/>
              </w:rPr>
            </w:pPr>
            <w:r>
              <w:rPr>
                <w:sz w:val="19"/>
              </w:rPr>
              <w:t>8 Apr 2014 p. 920-1</w:t>
            </w:r>
          </w:p>
        </w:tc>
        <w:tc>
          <w:tcPr>
            <w:tcW w:w="2693" w:type="dxa"/>
            <w:shd w:val="clear" w:color="auto" w:fill="auto"/>
          </w:tcPr>
          <w:p>
            <w:pPr>
              <w:pStyle w:val="nTable"/>
              <w:keepNext/>
              <w:spacing w:after="40"/>
              <w:rPr>
                <w:i/>
                <w:snapToGrid w:val="0"/>
                <w:sz w:val="19"/>
                <w:szCs w:val="19"/>
              </w:rPr>
            </w:pPr>
            <w:r>
              <w:rPr>
                <w:snapToGrid w:val="0"/>
                <w:sz w:val="19"/>
                <w:szCs w:val="19"/>
              </w:rPr>
              <w:t>r. 1 and 2: 8 Apr 2014 (see r. 2(a));</w:t>
            </w:r>
            <w:r>
              <w:rPr>
                <w:snapToGrid w:val="0"/>
                <w:sz w:val="19"/>
                <w:szCs w:val="19"/>
              </w:rPr>
              <w:br/>
              <w:t>Regulations other than r. 1 and 2: 9 Apr 2014 (see r. 2(b))</w:t>
            </w:r>
          </w:p>
        </w:tc>
      </w:tr>
      <w:tr>
        <w:tc>
          <w:tcPr>
            <w:tcW w:w="3118" w:type="dxa"/>
            <w:shd w:val="clear" w:color="auto" w:fill="auto"/>
          </w:tcPr>
          <w:p>
            <w:pPr>
              <w:pStyle w:val="nTable"/>
              <w:spacing w:after="40"/>
              <w:rPr>
                <w:i/>
                <w:sz w:val="19"/>
              </w:rPr>
            </w:pPr>
            <w:r>
              <w:rPr>
                <w:i/>
                <w:sz w:val="19"/>
              </w:rPr>
              <w:t>State Administrative Tribunal Amendment Regulations (No. 4) 2014</w:t>
            </w:r>
          </w:p>
        </w:tc>
        <w:tc>
          <w:tcPr>
            <w:tcW w:w="1276" w:type="dxa"/>
            <w:shd w:val="clear" w:color="auto" w:fill="auto"/>
          </w:tcPr>
          <w:p>
            <w:pPr>
              <w:pStyle w:val="nTable"/>
              <w:keepNext/>
              <w:spacing w:after="40"/>
              <w:rPr>
                <w:sz w:val="19"/>
              </w:rPr>
            </w:pPr>
            <w:r>
              <w:rPr>
                <w:sz w:val="19"/>
              </w:rPr>
              <w:t>27 Jun 2014 p. 2345-6</w:t>
            </w:r>
          </w:p>
        </w:tc>
        <w:tc>
          <w:tcPr>
            <w:tcW w:w="2693" w:type="dxa"/>
            <w:shd w:val="clear" w:color="auto" w:fill="auto"/>
          </w:tcPr>
          <w:p>
            <w:pPr>
              <w:pStyle w:val="nTable"/>
              <w:keepNext/>
              <w:spacing w:after="40"/>
              <w:rPr>
                <w:snapToGrid w:val="0"/>
                <w:sz w:val="19"/>
                <w:szCs w:val="19"/>
              </w:rPr>
            </w:pPr>
            <w:r>
              <w:rPr>
                <w:snapToGrid w:val="0"/>
                <w:sz w:val="19"/>
                <w:szCs w:val="19"/>
              </w:rPr>
              <w:t>r. 1 and 2: 27 Jun 2014 (see r. 2(a));</w:t>
            </w:r>
            <w:r>
              <w:rPr>
                <w:snapToGrid w:val="0"/>
                <w:sz w:val="19"/>
                <w:szCs w:val="19"/>
              </w:rPr>
              <w:br/>
              <w:t>Regulations other than r. 1 and 2: 1 Jul 2014 (see r. 2(b)(i))</w:t>
            </w:r>
          </w:p>
        </w:tc>
      </w:tr>
      <w:tr>
        <w:tc>
          <w:tcPr>
            <w:tcW w:w="7087" w:type="dxa"/>
            <w:gridSpan w:val="3"/>
            <w:tcBorders>
              <w:bottom w:val="single" w:sz="8" w:space="0" w:color="auto"/>
            </w:tcBorders>
            <w:shd w:val="clear" w:color="auto" w:fill="auto"/>
          </w:tcPr>
          <w:p>
            <w:pPr>
              <w:pStyle w:val="nTable"/>
              <w:keepNext/>
              <w:spacing w:after="40"/>
              <w:rPr>
                <w:snapToGrid w:val="0"/>
                <w:sz w:val="19"/>
                <w:szCs w:val="19"/>
              </w:rPr>
            </w:pPr>
            <w:r>
              <w:rPr>
                <w:b/>
                <w:bCs/>
                <w:snapToGrid w:val="0"/>
                <w:sz w:val="19"/>
              </w:rPr>
              <w:t xml:space="preserve">Reprint 4: The </w:t>
            </w:r>
            <w:r>
              <w:rPr>
                <w:b/>
                <w:bCs/>
                <w:i/>
                <w:sz w:val="19"/>
              </w:rPr>
              <w:t>State Administrative Tribunal Regulations 2004</w:t>
            </w:r>
            <w:r>
              <w:rPr>
                <w:b/>
                <w:bCs/>
                <w:snapToGrid w:val="0"/>
                <w:sz w:val="19"/>
              </w:rPr>
              <w:t xml:space="preserve"> as at 21 Nov 2014</w:t>
            </w:r>
            <w:r>
              <w:rPr>
                <w:snapToGrid w:val="0"/>
                <w:sz w:val="19"/>
              </w:rPr>
              <w:t xml:space="preserve"> (includes amendments listed above)</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9" w:name="_Toc404772702"/>
      <w:bookmarkStart w:id="50" w:name="_Toc404949971"/>
      <w:r>
        <w:rPr>
          <w:sz w:val="28"/>
        </w:rPr>
        <w:t>Defined terms</w:t>
      </w:r>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9"/>
          <w:headerReference w:type="default" r:id="rId40"/>
          <w:footerReference w:type="even" r:id="rId41"/>
          <w:headerReference w:type="first" r:id="rId42"/>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22"/>
          <w:szCs w:val="22"/>
        </w:rPr>
      </w:pPr>
    </w:p>
    <w:p>
      <w:pPr>
        <w:rPr>
          <w:rFonts w:ascii="Arial" w:hAnsi="Arial" w:cs="Arial"/>
          <w:sz w:val="22"/>
          <w:szCs w:val="22"/>
        </w:r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11210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C304A-AA27-4835-A3EE-F312291F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6741</Words>
  <Characters>32290</Characters>
  <Application>Microsoft Office Word</Application>
  <DocSecurity>0</DocSecurity>
  <Lines>1195</Lines>
  <Paragraphs>696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38335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2004 - 04-00-00</dc:title>
  <dc:subject/>
  <dc:creator/>
  <cp:keywords/>
  <dc:description/>
  <cp:lastModifiedBy>svcMRProcess</cp:lastModifiedBy>
  <cp:revision>4</cp:revision>
  <cp:lastPrinted>2014-11-27T01:55:00Z</cp:lastPrinted>
  <dcterms:created xsi:type="dcterms:W3CDTF">2020-04-26T01:50:00Z</dcterms:created>
  <dcterms:modified xsi:type="dcterms:W3CDTF">2020-04-26T01:50:00Z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20141121</vt:lpwstr>
  </property>
  <property fmtid="{D5CDD505-2E9C-101B-9397-08002B2CF9AE}" pid="4" name="OwlsUID">
    <vt:i4>34304</vt:i4>
  </property>
  <property fmtid="{D5CDD505-2E9C-101B-9397-08002B2CF9AE}" pid="5" name="AsAtDate">
    <vt:lpwstr>21 Nov 2014</vt:lpwstr>
  </property>
  <property fmtid="{D5CDD505-2E9C-101B-9397-08002B2CF9AE}" pid="6" name="Suffix">
    <vt:lpwstr>04-00-00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2014-11-20T16:00:00Z</vt:filetime>
  </property>
</Properties>
</file>