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Cemeteries Act 1943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Cemeteries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_Toc425422003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_Toc425422004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revested to be reserved as a cemetery</w:t>
      </w:r>
      <w:r>
        <w:tab/>
      </w:r>
      <w:r>
        <w:fldChar w:fldCharType="begin"/>
      </w:r>
      <w:r>
        <w:instrText xml:space="preserve"> PAGEREF _Toc425422005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Original owner of land relieved of responsibility</w:t>
      </w:r>
      <w:r>
        <w:tab/>
      </w:r>
      <w:r>
        <w:fldChar w:fldCharType="begin"/>
      </w:r>
      <w:r>
        <w:instrText xml:space="preserve"> PAGEREF _Toc425422006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Reservation of existing burial rights</w:t>
      </w:r>
      <w:r>
        <w:tab/>
      </w:r>
      <w:r>
        <w:fldChar w:fldCharType="begin"/>
      </w:r>
      <w:r>
        <w:instrText xml:space="preserve"> PAGEREF _Toc425422007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 Cemetery land</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_Toc425422010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Albany Cemeteries Act 1943 </w:t>
      </w:r>
    </w:p>
    <w:p>
      <w:pPr>
        <w:pStyle w:val="LongTitle"/>
        <w:spacing w:after="240"/>
        <w:rPr>
          <w:snapToGrid w:val="0"/>
        </w:rPr>
      </w:pPr>
      <w:r>
        <w:rPr>
          <w:snapToGrid w:val="0"/>
        </w:rPr>
        <w:t xml:space="preserve">An Act to revest certain lands in His Majesty and for other purposes relative thereto. </w:t>
      </w:r>
    </w:p>
    <w:p>
      <w:pPr>
        <w:pStyle w:val="Preamble1"/>
      </w:pPr>
      <w:r>
        <w:t>Preamble</w:t>
      </w:r>
    </w:p>
    <w:p>
      <w:pPr>
        <w:pStyle w:val="Preamble"/>
        <w:tabs>
          <w:tab w:val="clear" w:pos="567"/>
        </w:tabs>
        <w:spacing w:before="240" w:after="240"/>
        <w:ind w:left="0" w:firstLine="0"/>
        <w:rPr>
          <w:snapToGrid w:val="0"/>
        </w:rPr>
      </w:pPr>
      <w:r>
        <w:rPr>
          <w:snapToGrid w:val="0"/>
        </w:rPr>
        <w:t xml:space="preserve">Whereas the lands described in the first and second columns of the Schedule are vested in the religious bodies or trustees set out in the third column of the Schedule and are held and used as burial grounds but not as a public cemetery under and within the meaning of the </w:t>
      </w:r>
      <w:r>
        <w:rPr>
          <w:i/>
          <w:snapToGrid w:val="0"/>
        </w:rPr>
        <w:t>Cemeteries Act 1897</w:t>
      </w:r>
      <w:r>
        <w:rPr>
          <w:snapToGrid w:val="0"/>
        </w:rPr>
        <w:t xml:space="preserve"> </w:t>
      </w:r>
      <w:r>
        <w:rPr>
          <w:snapToGrid w:val="0"/>
          <w:vertAlign w:val="superscript"/>
        </w:rPr>
        <w:t>2</w:t>
      </w:r>
      <w:r>
        <w:rPr>
          <w:snapToGrid w:val="0"/>
        </w:rPr>
        <w:t>; and whereas it is deemed desirable and expedient that the lands should become and be used as a public cemetery under the Act:</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3" w:name="_Toc377369637"/>
      <w:bookmarkStart w:id="4" w:name="_Toc42542200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Cemeteries Act 1943</w:t>
      </w:r>
      <w:r>
        <w:rPr>
          <w:snapToGrid w:val="0"/>
        </w:rPr>
        <w:t xml:space="preserve"> </w:t>
      </w:r>
      <w:r>
        <w:rPr>
          <w:snapToGrid w:val="0"/>
          <w:vertAlign w:val="superscript"/>
        </w:rPr>
        <w:t>1</w:t>
      </w:r>
      <w:r>
        <w:rPr>
          <w:snapToGrid w:val="0"/>
        </w:rPr>
        <w:t>.</w:t>
      </w:r>
    </w:p>
    <w:p>
      <w:pPr>
        <w:pStyle w:val="Heading5"/>
        <w:rPr>
          <w:snapToGrid w:val="0"/>
        </w:rPr>
      </w:pPr>
      <w:bookmarkStart w:id="5" w:name="_Toc377369638"/>
      <w:bookmarkStart w:id="6" w:name="_Toc425422004"/>
      <w:r>
        <w:rPr>
          <w:rStyle w:val="CharSectno"/>
        </w:rPr>
        <w:t>2</w:t>
      </w:r>
      <w:r>
        <w:rPr>
          <w:snapToGrid w:val="0"/>
        </w:rPr>
        <w:t>.</w:t>
      </w:r>
      <w:r>
        <w:rPr>
          <w:snapToGrid w:val="0"/>
        </w:rPr>
        <w:tab/>
        <w:t>Lands revested in His Majesty</w:t>
      </w:r>
      <w:bookmarkEnd w:id="5"/>
      <w:bookmarkEnd w:id="6"/>
      <w:r>
        <w:rPr>
          <w:snapToGrid w:val="0"/>
        </w:rPr>
        <w:t xml:space="preserve"> </w:t>
      </w:r>
    </w:p>
    <w:p>
      <w:pPr>
        <w:pStyle w:val="Subsection"/>
        <w:rPr>
          <w:snapToGrid w:val="0"/>
        </w:rPr>
      </w:pPr>
      <w:r>
        <w:rPr>
          <w:snapToGrid w:val="0"/>
        </w:rPr>
        <w:tab/>
      </w:r>
      <w:r>
        <w:rPr>
          <w:snapToGrid w:val="0"/>
        </w:rPr>
        <w:tab/>
        <w:t xml:space="preserve">Subject to section 5 and from and after the commencement of this Act, all rights of property which may have at any time been vested by statute or otherwise howsoever in the persons or corporations mentioned in the third column of the Schedule or in any other person or corporation whatsoever in any part of the </w:t>
      </w:r>
      <w:r>
        <w:rPr>
          <w:snapToGrid w:val="0"/>
        </w:rPr>
        <w:lastRenderedPageBreak/>
        <w:t>lands described in the first and second columns of the Schedule shall absolutely cease and determine, and all and singular the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7" w:name="_Toc377369639"/>
      <w:bookmarkStart w:id="8" w:name="_Toc425422005"/>
      <w:r>
        <w:rPr>
          <w:rStyle w:val="CharSectno"/>
        </w:rPr>
        <w:t>3</w:t>
      </w:r>
      <w:r>
        <w:rPr>
          <w:snapToGrid w:val="0"/>
        </w:rPr>
        <w:t>.</w:t>
      </w:r>
      <w:r>
        <w:rPr>
          <w:snapToGrid w:val="0"/>
        </w:rPr>
        <w:tab/>
        <w:t>Land revested to be reserved as a cemetery</w:t>
      </w:r>
      <w:bookmarkEnd w:id="7"/>
      <w:bookmarkEnd w:id="8"/>
      <w:r>
        <w:rPr>
          <w:snapToGrid w:val="0"/>
        </w:rPr>
        <w:t xml:space="preserve"> </w:t>
      </w:r>
    </w:p>
    <w:p>
      <w:pPr>
        <w:pStyle w:val="Subsection"/>
        <w:rPr>
          <w:snapToGrid w:val="0"/>
        </w:rPr>
      </w:pPr>
      <w:r>
        <w:rPr>
          <w:snapToGrid w:val="0"/>
        </w:rPr>
        <w:tab/>
      </w:r>
      <w:r>
        <w:rPr>
          <w:snapToGrid w:val="0"/>
        </w:rPr>
        <w:tab/>
        <w:t xml:space="preserve">The lands revested in His Majesty by section 2 shall forthwith be reserved as a site for a cemetery and be proclaimed as a public cemetery under and in accordance with the provisions of the </w:t>
      </w:r>
      <w:r>
        <w:rPr>
          <w:i/>
          <w:snapToGrid w:val="0"/>
        </w:rPr>
        <w:t>Cemeteries Act 1897</w:t>
      </w:r>
      <w:r>
        <w:rPr>
          <w:snapToGrid w:val="0"/>
        </w:rPr>
        <w:t xml:space="preserve"> </w:t>
      </w:r>
      <w:r>
        <w:rPr>
          <w:snapToGrid w:val="0"/>
          <w:vertAlign w:val="superscript"/>
        </w:rPr>
        <w:t>2</w:t>
      </w:r>
      <w:r>
        <w:rPr>
          <w:snapToGrid w:val="0"/>
        </w:rPr>
        <w:t xml:space="preserve">, and, when so reserved and proclaimed as aforesaid the lands shall be vested in or placed under the control of trustees appointed under the provisions of the </w:t>
      </w:r>
      <w:r>
        <w:rPr>
          <w:i/>
          <w:snapToGrid w:val="0"/>
        </w:rPr>
        <w:t>Cemeteries Act 1897</w:t>
      </w:r>
      <w:r>
        <w:rPr>
          <w:snapToGrid w:val="0"/>
        </w:rPr>
        <w:t xml:space="preserve"> </w:t>
      </w:r>
      <w:r>
        <w:rPr>
          <w:snapToGrid w:val="0"/>
          <w:vertAlign w:val="superscript"/>
        </w:rPr>
        <w:t>2</w:t>
      </w:r>
      <w:r>
        <w:rPr>
          <w:snapToGrid w:val="0"/>
        </w:rPr>
        <w:t>, as the Governor may think fit for the purposes of a public cemetery.</w:t>
      </w:r>
    </w:p>
    <w:p>
      <w:pPr>
        <w:pStyle w:val="Heading5"/>
        <w:rPr>
          <w:snapToGrid w:val="0"/>
        </w:rPr>
      </w:pPr>
      <w:bookmarkStart w:id="9" w:name="_Toc377369640"/>
      <w:bookmarkStart w:id="10" w:name="_Toc425422006"/>
      <w:r>
        <w:rPr>
          <w:rStyle w:val="CharSectno"/>
        </w:rPr>
        <w:t>4</w:t>
      </w:r>
      <w:r>
        <w:rPr>
          <w:snapToGrid w:val="0"/>
        </w:rPr>
        <w:t>.</w:t>
      </w:r>
      <w:r>
        <w:rPr>
          <w:snapToGrid w:val="0"/>
        </w:rPr>
        <w:tab/>
        <w:t>Original owner of land relieved of responsibility</w:t>
      </w:r>
      <w:bookmarkEnd w:id="9"/>
      <w:bookmarkEnd w:id="10"/>
      <w:r>
        <w:rPr>
          <w:snapToGrid w:val="0"/>
        </w:rPr>
        <w:t xml:space="preserve"> </w:t>
      </w:r>
    </w:p>
    <w:p>
      <w:pPr>
        <w:pStyle w:val="Subsection"/>
        <w:rPr>
          <w:snapToGrid w:val="0"/>
        </w:rPr>
      </w:pPr>
      <w:r>
        <w:rPr>
          <w:snapToGrid w:val="0"/>
        </w:rPr>
        <w:tab/>
      </w:r>
      <w:r>
        <w:rPr>
          <w:snapToGrid w:val="0"/>
        </w:rPr>
        <w:tab/>
        <w:t>When the lands revested in His Majesty by section 2 have been reserved and proclaimed as a public cemetery as provided for in section 3 the persons and corporations mentioned in the third column of the Schedule and all other persons or corporations having prior to the commencement of this Act any duty obligation or responsibility in relation to the management, conduct or control of the lands or any part thereof as a burial ground shall be freed and relieved from every such duty, obligation and responsibility.</w:t>
      </w:r>
    </w:p>
    <w:p>
      <w:pPr>
        <w:pStyle w:val="Heading5"/>
        <w:rPr>
          <w:snapToGrid w:val="0"/>
        </w:rPr>
      </w:pPr>
      <w:bookmarkStart w:id="11" w:name="_Toc377369641"/>
      <w:bookmarkStart w:id="12" w:name="_Toc425422007"/>
      <w:r>
        <w:rPr>
          <w:rStyle w:val="CharSectno"/>
        </w:rPr>
        <w:t>5</w:t>
      </w:r>
      <w:r>
        <w:rPr>
          <w:snapToGrid w:val="0"/>
        </w:rPr>
        <w:t>.</w:t>
      </w:r>
      <w:r>
        <w:rPr>
          <w:snapToGrid w:val="0"/>
        </w:rPr>
        <w:tab/>
        <w:t>Reservation of existing burial rights</w:t>
      </w:r>
      <w:bookmarkEnd w:id="11"/>
      <w:bookmarkEnd w:id="12"/>
      <w:r>
        <w:rPr>
          <w:snapToGrid w:val="0"/>
        </w:rPr>
        <w:t xml:space="preserve"> </w:t>
      </w:r>
    </w:p>
    <w:p>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license or other title then subsisting and in force any right of burial in respect of any area or piece of any of the lands as specified in such instrument shall, after the commencement of this Act, continue to hold and enjoy the benefit of such right of burial according to the tenor of the instrument by which such right is conferred in respect of the area or piece of land specified in such instrument and forming part of the public cemetery proclaimed as provided for in section 3; and the trustees of such public cemetery shall be bound by and shall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7369642"/>
      <w:bookmarkStart w:id="14" w:name="_Toc425421986"/>
      <w:bookmarkStart w:id="15" w:name="_Toc425422008"/>
      <w:r>
        <w:rPr>
          <w:rStyle w:val="CharSchNo"/>
        </w:rPr>
        <w:t>Schedule</w:t>
      </w:r>
      <w:r>
        <w:t xml:space="preserve"> — </w:t>
      </w:r>
      <w:r>
        <w:rPr>
          <w:rStyle w:val="CharSchText"/>
        </w:rPr>
        <w:t>Cemetery land</w:t>
      </w:r>
      <w:bookmarkEnd w:id="13"/>
      <w:bookmarkEnd w:id="14"/>
      <w:bookmarkEnd w:id="15"/>
    </w:p>
    <w:p>
      <w:pPr>
        <w:pStyle w:val="yShoulderClause"/>
        <w:rPr>
          <w:snapToGrid w:val="0"/>
        </w:rPr>
      </w:pPr>
      <w:r>
        <w:rPr>
          <w:snapToGrid w:val="0"/>
        </w:rPr>
        <w:t>[s. 2]</w:t>
      </w:r>
    </w:p>
    <w:p>
      <w:pPr>
        <w:pStyle w:val="yFootnotesection"/>
        <w:rPr>
          <w:rStyle w:val="CharSchNo"/>
        </w:rPr>
      </w:pPr>
      <w:r>
        <w:tab/>
        <w:t>[Heading amended by No. 19 of 2010 s. 4.]</w:t>
      </w:r>
    </w:p>
    <w:tbl>
      <w:tblPr>
        <w:tblW w:w="0" w:type="auto"/>
        <w:tblInd w:w="141" w:type="dxa"/>
        <w:tblLayout w:type="fixed"/>
        <w:tblCellMar>
          <w:left w:w="141" w:type="dxa"/>
          <w:right w:w="141" w:type="dxa"/>
        </w:tblCellMar>
        <w:tblLook w:val="0000" w:firstRow="0" w:lastRow="0" w:firstColumn="0" w:lastColumn="0" w:noHBand="0" w:noVBand="0"/>
      </w:tblPr>
      <w:tblGrid>
        <w:gridCol w:w="1701"/>
        <w:gridCol w:w="2410"/>
        <w:gridCol w:w="2977"/>
      </w:tblGrid>
      <w:tr>
        <w:trPr>
          <w:tblHeader/>
        </w:trPr>
        <w:tc>
          <w:tcPr>
            <w:tcW w:w="1701" w:type="dxa"/>
            <w:tcBorders>
              <w:top w:val="single" w:sz="4" w:space="0" w:color="auto"/>
            </w:tcBorders>
          </w:tcPr>
          <w:p>
            <w:pPr>
              <w:pStyle w:val="yTable"/>
              <w:jc w:val="center"/>
              <w:rPr>
                <w:b/>
                <w:sz w:val="20"/>
              </w:rPr>
            </w:pPr>
            <w:r>
              <w:rPr>
                <w:b/>
                <w:sz w:val="20"/>
              </w:rPr>
              <w:t>Land</w:t>
            </w:r>
          </w:p>
        </w:tc>
        <w:tc>
          <w:tcPr>
            <w:tcW w:w="2410" w:type="dxa"/>
            <w:tcBorders>
              <w:top w:val="single" w:sz="4" w:space="0" w:color="auto"/>
            </w:tcBorders>
          </w:tcPr>
          <w:p>
            <w:pPr>
              <w:pStyle w:val="yTable"/>
              <w:jc w:val="center"/>
              <w:rPr>
                <w:b/>
                <w:sz w:val="20"/>
              </w:rPr>
            </w:pPr>
            <w:r>
              <w:rPr>
                <w:b/>
                <w:sz w:val="20"/>
              </w:rPr>
              <w:t>Instrument of Title</w:t>
            </w:r>
          </w:p>
        </w:tc>
        <w:tc>
          <w:tcPr>
            <w:tcW w:w="2977" w:type="dxa"/>
            <w:tcBorders>
              <w:top w:val="single" w:sz="4" w:space="0" w:color="auto"/>
            </w:tcBorders>
          </w:tcPr>
          <w:p>
            <w:pPr>
              <w:pStyle w:val="yTable"/>
              <w:jc w:val="center"/>
              <w:rPr>
                <w:b/>
                <w:sz w:val="20"/>
              </w:rPr>
            </w:pPr>
            <w:r>
              <w:rPr>
                <w:b/>
                <w:sz w:val="20"/>
              </w:rPr>
              <w:t>Proprietors</w:t>
            </w:r>
          </w:p>
        </w:tc>
      </w:tr>
      <w:tr>
        <w:tc>
          <w:tcPr>
            <w:tcW w:w="1701" w:type="dxa"/>
            <w:tcBorders>
              <w:top w:val="single" w:sz="4" w:space="0" w:color="auto"/>
            </w:tcBorders>
          </w:tcPr>
          <w:p>
            <w:pPr>
              <w:pStyle w:val="yTable"/>
              <w:rPr>
                <w:sz w:val="20"/>
              </w:rPr>
            </w:pPr>
            <w:r>
              <w:rPr>
                <w:sz w:val="20"/>
              </w:rPr>
              <w:t>Albany Town Lots 327 and 328</w:t>
            </w:r>
          </w:p>
        </w:tc>
        <w:tc>
          <w:tcPr>
            <w:tcW w:w="2410" w:type="dxa"/>
            <w:tcBorders>
              <w:top w:val="single" w:sz="4" w:space="0" w:color="auto"/>
            </w:tcBorders>
          </w:tcPr>
          <w:p>
            <w:pPr>
              <w:pStyle w:val="yTable"/>
              <w:rPr>
                <w:sz w:val="20"/>
              </w:rPr>
            </w:pPr>
            <w:r>
              <w:rPr>
                <w:sz w:val="20"/>
              </w:rPr>
              <w:t>Vol. 35, Fols. 172 and 173</w:t>
            </w:r>
          </w:p>
        </w:tc>
        <w:tc>
          <w:tcPr>
            <w:tcW w:w="2977" w:type="dxa"/>
            <w:tcBorders>
              <w:top w:val="single" w:sz="4" w:space="0" w:color="auto"/>
            </w:tcBorders>
          </w:tcPr>
          <w:p>
            <w:pPr>
              <w:pStyle w:val="yTable"/>
              <w:rPr>
                <w:sz w:val="20"/>
              </w:rPr>
            </w:pPr>
            <w:r>
              <w:rPr>
                <w:sz w:val="20"/>
              </w:rP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1701" w:type="dxa"/>
            <w:tcBorders>
              <w:top w:val="single" w:sz="4" w:space="0" w:color="auto"/>
            </w:tcBorders>
          </w:tcPr>
          <w:p>
            <w:pPr>
              <w:pStyle w:val="yTable"/>
              <w:rPr>
                <w:sz w:val="20"/>
              </w:rPr>
            </w:pPr>
            <w:r>
              <w:rPr>
                <w:sz w:val="20"/>
              </w:rPr>
              <w:t>Albany building Lot 329.</w:t>
            </w:r>
          </w:p>
        </w:tc>
        <w:tc>
          <w:tcPr>
            <w:tcW w:w="2410" w:type="dxa"/>
            <w:tcBorders>
              <w:top w:val="single" w:sz="4" w:space="0" w:color="auto"/>
            </w:tcBorders>
          </w:tcPr>
          <w:p>
            <w:pPr>
              <w:pStyle w:val="yTable"/>
              <w:rPr>
                <w:sz w:val="20"/>
              </w:rPr>
            </w:pPr>
            <w:r>
              <w:rPr>
                <w:sz w:val="20"/>
              </w:rPr>
              <w:t>Enrolment 1298.</w:t>
            </w:r>
          </w:p>
        </w:tc>
        <w:tc>
          <w:tcPr>
            <w:tcW w:w="2977" w:type="dxa"/>
            <w:tcBorders>
              <w:top w:val="single" w:sz="4" w:space="0" w:color="auto"/>
            </w:tcBorders>
          </w:tcPr>
          <w:p>
            <w:pPr>
              <w:pStyle w:val="yTable"/>
              <w:rPr>
                <w:sz w:val="20"/>
              </w:rPr>
            </w:pPr>
            <w:r>
              <w:rPr>
                <w:sz w:val="20"/>
              </w:rPr>
              <w:t>The Roman Catholic Bishop of Perth.</w:t>
            </w:r>
          </w:p>
        </w:tc>
      </w:tr>
      <w:tr>
        <w:tc>
          <w:tcPr>
            <w:tcW w:w="1701" w:type="dxa"/>
            <w:tcBorders>
              <w:top w:val="single" w:sz="4" w:space="0" w:color="auto"/>
              <w:bottom w:val="single" w:sz="4" w:space="0" w:color="auto"/>
            </w:tcBorders>
          </w:tcPr>
          <w:p>
            <w:pPr>
              <w:pStyle w:val="yTable"/>
              <w:rPr>
                <w:sz w:val="20"/>
              </w:rPr>
            </w:pPr>
            <w:r>
              <w:rPr>
                <w:sz w:val="20"/>
              </w:rPr>
              <w:t>Albany Allotment S. 51</w:t>
            </w:r>
          </w:p>
        </w:tc>
        <w:tc>
          <w:tcPr>
            <w:tcW w:w="2410" w:type="dxa"/>
            <w:tcBorders>
              <w:top w:val="single" w:sz="4" w:space="0" w:color="auto"/>
              <w:bottom w:val="single" w:sz="4" w:space="0" w:color="auto"/>
            </w:tcBorders>
          </w:tcPr>
          <w:p>
            <w:pPr>
              <w:pStyle w:val="yTable"/>
              <w:rPr>
                <w:sz w:val="20"/>
              </w:rPr>
            </w:pPr>
            <w:r>
              <w:rPr>
                <w:sz w:val="20"/>
              </w:rPr>
              <w:t>Enrolment 859.</w:t>
            </w:r>
          </w:p>
        </w:tc>
        <w:tc>
          <w:tcPr>
            <w:tcW w:w="2977" w:type="dxa"/>
            <w:tcBorders>
              <w:top w:val="single" w:sz="4" w:space="0" w:color="auto"/>
              <w:bottom w:val="single" w:sz="4" w:space="0" w:color="auto"/>
            </w:tcBorders>
          </w:tcPr>
          <w:p>
            <w:pPr>
              <w:pStyle w:val="yTable"/>
              <w:rPr>
                <w:sz w:val="20"/>
              </w:rPr>
            </w:pPr>
            <w:r>
              <w:rPr>
                <w:sz w:val="20"/>
              </w:rPr>
              <w:t>Frederick Goldsmith, Thomas Louch, Frederick Henry Piesse, William Lambden Owen, Arnold Edmund Piesse, Kenneth McAskell Eastman, The Diocesan Trustees, of Bunbury, Incorporated.</w:t>
            </w:r>
          </w:p>
        </w:tc>
      </w:tr>
      <w:tr>
        <w:tc>
          <w:tcPr>
            <w:tcW w:w="1701" w:type="dxa"/>
            <w:tcBorders>
              <w:bottom w:val="single" w:sz="4" w:space="0" w:color="auto"/>
            </w:tcBorders>
          </w:tcPr>
          <w:p>
            <w:pPr>
              <w:pStyle w:val="yTable"/>
              <w:rPr>
                <w:sz w:val="20"/>
              </w:rPr>
            </w:pPr>
            <w:r>
              <w:rPr>
                <w:sz w:val="20"/>
              </w:rPr>
              <w:t>Albany Lots 503 and 504.</w:t>
            </w:r>
          </w:p>
        </w:tc>
        <w:tc>
          <w:tcPr>
            <w:tcW w:w="2410" w:type="dxa"/>
            <w:tcBorders>
              <w:bottom w:val="single" w:sz="4" w:space="0" w:color="auto"/>
            </w:tcBorders>
          </w:tcPr>
          <w:p>
            <w:pPr>
              <w:pStyle w:val="yTable"/>
              <w:rPr>
                <w:sz w:val="20"/>
              </w:rPr>
            </w:pPr>
            <w:r>
              <w:rPr>
                <w:sz w:val="20"/>
              </w:rPr>
              <w:t>Vol. 68, Fols. 32 and 34.</w:t>
            </w:r>
          </w:p>
        </w:tc>
        <w:tc>
          <w:tcPr>
            <w:tcW w:w="2977" w:type="dxa"/>
            <w:tcBorders>
              <w:bottom w:val="single" w:sz="4" w:space="0" w:color="auto"/>
            </w:tcBorders>
          </w:tcPr>
          <w:p>
            <w:pPr>
              <w:pStyle w:val="yTable"/>
              <w:rPr>
                <w:sz w:val="20"/>
              </w:rPr>
            </w:pPr>
            <w:r>
              <w:rPr>
                <w:sz w:val="20"/>
              </w:rPr>
              <w:t>The Commissioners of the Presbyterian Church in Western Australia.</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 w:name="_Toc377369643"/>
      <w:bookmarkStart w:id="18" w:name="_Toc425421987"/>
      <w:bookmarkStart w:id="19" w:name="_Toc425422009"/>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Albany Cemeteries Act 1943</w:t>
      </w:r>
      <w:r>
        <w:rPr>
          <w:snapToGrid w:val="0"/>
        </w:rPr>
        <w:t xml:space="preserve"> and includes the amendments made by the other written laws referred to in the following table. </w:t>
      </w:r>
    </w:p>
    <w:p>
      <w:pPr>
        <w:pStyle w:val="nHeading3"/>
        <w:rPr>
          <w:snapToGrid w:val="0"/>
        </w:rPr>
      </w:pPr>
      <w:bookmarkStart w:id="20" w:name="_Toc377369644"/>
      <w:bookmarkStart w:id="21" w:name="_Toc425422010"/>
      <w:r>
        <w:rPr>
          <w:snapToGrid w:val="0"/>
        </w:rPr>
        <w:t>Compilation table</w:t>
      </w:r>
      <w:bookmarkEnd w:id="20"/>
      <w:bookmarkEnd w:id="2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bottom w:val="nil"/>
            </w:tcBorders>
          </w:tcPr>
          <w:p>
            <w:pPr>
              <w:pStyle w:val="nTable"/>
              <w:spacing w:after="40"/>
              <w:ind w:right="170"/>
            </w:pPr>
            <w:r>
              <w:rPr>
                <w:i/>
              </w:rPr>
              <w:t>Albany Cemeteries Act 1943</w:t>
            </w:r>
          </w:p>
        </w:tc>
        <w:tc>
          <w:tcPr>
            <w:tcW w:w="1139" w:type="dxa"/>
            <w:tcBorders>
              <w:top w:val="single" w:sz="8" w:space="0" w:color="auto"/>
              <w:bottom w:val="nil"/>
            </w:tcBorders>
          </w:tcPr>
          <w:p>
            <w:pPr>
              <w:pStyle w:val="nTable"/>
              <w:spacing w:after="40"/>
            </w:pPr>
            <w:r>
              <w:t>23 of 1943</w:t>
            </w:r>
          </w:p>
        </w:tc>
        <w:tc>
          <w:tcPr>
            <w:tcW w:w="1136" w:type="dxa"/>
            <w:tcBorders>
              <w:top w:val="single" w:sz="8" w:space="0" w:color="auto"/>
              <w:bottom w:val="nil"/>
            </w:tcBorders>
          </w:tcPr>
          <w:p>
            <w:pPr>
              <w:pStyle w:val="nTable"/>
              <w:spacing w:after="40"/>
            </w:pPr>
            <w:r>
              <w:t>25 Oct 1943</w:t>
            </w:r>
          </w:p>
        </w:tc>
        <w:tc>
          <w:tcPr>
            <w:tcW w:w="2572" w:type="dxa"/>
            <w:tcBorders>
              <w:top w:val="single" w:sz="8" w:space="0" w:color="auto"/>
              <w:bottom w:val="nil"/>
            </w:tcBorders>
          </w:tcPr>
          <w:p>
            <w:pPr>
              <w:pStyle w:val="nTable"/>
              <w:spacing w:after="40"/>
            </w:pPr>
            <w:r>
              <w:t>25 Oct 1943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25" w:type="dxa"/>
            <w:gridSpan w:val="4"/>
            <w:tcBorders>
              <w:bottom w:val="single" w:sz="4" w:space="0" w:color="auto"/>
            </w:tcBorders>
          </w:tcPr>
          <w:p>
            <w:pPr>
              <w:pStyle w:val="nTable"/>
              <w:spacing w:after="40"/>
              <w:rPr>
                <w:b/>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Repealed by the </w:t>
      </w:r>
      <w:r>
        <w:rPr>
          <w:i/>
        </w:rPr>
        <w:t>Cemeteries Act 1986</w:t>
      </w:r>
      <w:r>
        <w:t xml:space="preserve"> (No. 102 of 1986).</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Cemeteries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Cemeteries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Cemeteries Act 1943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3A3C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81CD6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9E26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AA8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4E69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C0DB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4EA2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F8C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FC67D6"/>
    <w:lvl w:ilvl="0">
      <w:start w:val="1"/>
      <w:numFmt w:val="decimal"/>
      <w:pStyle w:val="ListNumber"/>
      <w:lvlText w:val="%1."/>
      <w:lvlJc w:val="left"/>
      <w:pPr>
        <w:tabs>
          <w:tab w:val="num" w:pos="360"/>
        </w:tabs>
        <w:ind w:left="360" w:hanging="360"/>
      </w:pPr>
    </w:lvl>
  </w:abstractNum>
  <w:abstractNum w:abstractNumId="9">
    <w:nsid w:val="FFFFFF89"/>
    <w:multiLevelType w:val="singleLevel"/>
    <w:tmpl w:val="7DE07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0CBA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32"/>
    <w:docVar w:name="WAFER_20140113093246" w:val="RemoveTocBookmarks,RemoveUnusedBookmarks,RemoveLanguageTags,UsedStyles,ResetPageSize,UpdateArrangement"/>
    <w:docVar w:name="WAFER_20140113093246_GUID" w:val="6b6f415f-d848-4f3b-b516-4c9e8c0992b1"/>
    <w:docVar w:name="WAFER_20140113093740" w:val="RemoveTocBookmarks,RunningHeaders"/>
    <w:docVar w:name="WAFER_20140113093740_GUID" w:val="2d862f54-d0b0-4a95-81a5-39f0fd16808f"/>
    <w:docVar w:name="WAFER_20150723115921" w:val="ResetPageSize,UpdateArrangement,UpdateNTable"/>
    <w:docVar w:name="WAFER_20150723115921_GUID" w:val="ee48ff13-061a-4bf3-a0e8-a78a2b7370f4"/>
    <w:docVar w:name="WAFER_20151116101047" w:val="UpdateStyles,UsedStyles"/>
    <w:docVar w:name="WAFER_20151116101047_GUID" w:val="eccf65dc-5f26-463f-8917-708bf77118e3"/>
    <w:docVar w:name="WAFER_20151130153432" w:val="RemoveTrackChanges"/>
    <w:docVar w:name="WAFER_20151130153432_GUID" w:val="f771852f-ca7b-41f9-99a7-71e5e697d5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15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1077</Words>
  <Characters>5107</Characters>
  <Application>Microsoft Office Word</Application>
  <DocSecurity>0</DocSecurity>
  <Lines>176</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Cemeteries Act 1943 - 01-d0-03</dc:title>
  <dc:subject/>
  <dc:creator/>
  <cp:keywords/>
  <dc:description/>
  <cp:lastModifiedBy>svcMRProcess</cp:lastModifiedBy>
  <cp:revision>4</cp:revision>
  <cp:lastPrinted>1999-11-16T00:31:00Z</cp:lastPrinted>
  <dcterms:created xsi:type="dcterms:W3CDTF">2015-11-30T07:40:00Z</dcterms:created>
  <dcterms:modified xsi:type="dcterms:W3CDTF">2015-11-30T07:40:00Z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1943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01-d0-03</vt:lpwstr>
  </property>
  <property fmtid="{D5CDD505-2E9C-101B-9397-08002B2CF9AE}" pid="7" name="Status">
    <vt:lpwstr>NIF</vt:lpwstr>
  </property>
</Properties>
</file>