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Carnarvon Electric Lighting Act 1924</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3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Carnarvon Electric Lighting Act 1924</w:t>
      </w:r>
      <w:r>
        <w:fldChar w:fldCharType="end"/>
      </w:r>
    </w:p>
    <w:p>
      <w:pPr>
        <w:pStyle w:val="Arrangement"/>
      </w:pPr>
      <w:r>
        <w:t>Contents</w:t>
      </w:r>
    </w:p>
    <w:p>
      <w:pPr>
        <w:pStyle w:val="TOC8"/>
        <w:tabs>
          <w:tab w:val="right" w:leader="dot" w:pos="7077"/>
        </w:tabs>
        <w:rPr>
          <w:rFonts w:asciiTheme="minorHAnsi" w:eastAsiaTheme="minorEastAsia" w:hAnsiTheme="minorHAnsi" w:cstheme="minorBidi"/>
          <w: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_Toc425429504 \h </w:instrText>
      </w:r>
      <w:r>
        <w:fldChar w:fldCharType="separate"/>
      </w:r>
      <w:r>
        <w:t>1</w:t>
      </w:r>
      <w:r>
        <w:fldChar w:fldCharType="end"/>
      </w:r>
    </w:p>
    <w:p>
      <w:pPr>
        <w:pStyle w:val="TOC8"/>
        <w:tabs>
          <w:tab w:val="right" w:leader="dot" w:pos="7077"/>
        </w:tabs>
        <w:rPr>
          <w:rFonts w:asciiTheme="minorHAnsi" w:eastAsiaTheme="minorEastAsia" w:hAnsiTheme="minorHAnsi" w:cstheme="minorBidi"/>
          <w:i/>
          <w:szCs w:val="22"/>
        </w:rPr>
      </w:pPr>
      <w:r>
        <w:t>2</w:t>
      </w:r>
      <w:r>
        <w:rPr>
          <w:snapToGrid w:val="0"/>
        </w:rPr>
        <w:t>.</w:t>
      </w:r>
      <w:r>
        <w:rPr>
          <w:snapToGrid w:val="0"/>
        </w:rPr>
        <w:tab/>
        <w:t>Power to exempt certain portions of the district from rates</w:t>
      </w:r>
      <w:r>
        <w:tab/>
      </w:r>
      <w:r>
        <w:fldChar w:fldCharType="begin"/>
      </w:r>
      <w:r>
        <w:instrText xml:space="preserve"> PAGEREF _Toc425429505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tabs>
          <w:tab w:val="right" w:leader="dot" w:pos="7077"/>
        </w:tabs>
        <w:rPr>
          <w:rFonts w:asciiTheme="minorHAnsi" w:eastAsiaTheme="minorEastAsia" w:hAnsiTheme="minorHAnsi" w:cstheme="minorBidi"/>
          <w:i/>
          <w:szCs w:val="22"/>
        </w:rPr>
      </w:pPr>
      <w:r>
        <w:rPr>
          <w:snapToGrid w:val="0"/>
        </w:rPr>
        <w:t>Compilation table</w:t>
      </w:r>
      <w:r>
        <w:tab/>
      </w:r>
      <w:r>
        <w:fldChar w:fldCharType="begin"/>
      </w:r>
      <w:r>
        <w:instrText xml:space="preserve"> PAGEREF _Toc425429507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Carnarvon Electric Lighting Act 1924 </w:t>
      </w:r>
    </w:p>
    <w:p>
      <w:pPr>
        <w:pStyle w:val="LongTitle"/>
        <w:rPr>
          <w:snapToGrid w:val="0"/>
        </w:rPr>
      </w:pPr>
      <w:r>
        <w:rPr>
          <w:snapToGrid w:val="0"/>
        </w:rPr>
        <w:t xml:space="preserve">An Act relating to Electric Lighting in the Municipality of Carnarvon. </w:t>
      </w:r>
    </w:p>
    <w:p>
      <w:pPr>
        <w:pStyle w:val="AssentNote"/>
      </w:pPr>
      <w:r>
        <w:t xml:space="preserve">[Assented to 9th December, 1924.]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8069205"/>
      <w:bookmarkStart w:id="4" w:name="_Toc425429476"/>
      <w:bookmarkStart w:id="5" w:name="_Toc425429504"/>
      <w:r>
        <w:rPr>
          <w:rStyle w:val="CharSectno"/>
        </w:rPr>
        <w:t>1</w:t>
      </w:r>
      <w:r>
        <w:rPr>
          <w:snapToGrid w:val="0"/>
        </w:rPr>
        <w:t>.</w:t>
      </w:r>
      <w:r>
        <w:rPr>
          <w:snapToGrid w:val="0"/>
        </w:rPr>
        <w:tab/>
        <w:t>Short title</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Carnarvon Electric Lighting Act 1924</w:t>
      </w:r>
      <w:r>
        <w:rPr>
          <w:snapToGrid w:val="0"/>
        </w:rPr>
        <w:t>.</w:t>
      </w:r>
    </w:p>
    <w:p>
      <w:pPr>
        <w:pStyle w:val="Heading5"/>
        <w:rPr>
          <w:snapToGrid w:val="0"/>
        </w:rPr>
      </w:pPr>
      <w:bookmarkStart w:id="6" w:name="_Toc378069206"/>
      <w:bookmarkStart w:id="7" w:name="_Toc425429477"/>
      <w:bookmarkStart w:id="8" w:name="_Toc425429505"/>
      <w:r>
        <w:rPr>
          <w:rStyle w:val="CharSectno"/>
        </w:rPr>
        <w:t>2</w:t>
      </w:r>
      <w:r>
        <w:rPr>
          <w:snapToGrid w:val="0"/>
        </w:rPr>
        <w:t>.</w:t>
      </w:r>
      <w:r>
        <w:rPr>
          <w:snapToGrid w:val="0"/>
        </w:rPr>
        <w:tab/>
        <w:t>Power to exempt certain portions of the district from rates</w:t>
      </w:r>
      <w:bookmarkEnd w:id="6"/>
      <w:bookmarkEnd w:id="7"/>
      <w:bookmarkEnd w:id="8"/>
      <w:r>
        <w:rPr>
          <w:snapToGrid w:val="0"/>
        </w:rPr>
        <w:t xml:space="preserve"> </w:t>
      </w:r>
    </w:p>
    <w:p>
      <w:pPr>
        <w:pStyle w:val="Subsection"/>
        <w:rPr>
          <w:snapToGrid w:val="0"/>
        </w:rPr>
      </w:pPr>
      <w:r>
        <w:rPr>
          <w:snapToGrid w:val="0"/>
        </w:rPr>
        <w:tab/>
      </w:r>
      <w:r>
        <w:rPr>
          <w:snapToGrid w:val="0"/>
        </w:rPr>
        <w:tab/>
        <w:t>It shall be lawful for the Council of the Municipality of Carnarvon to exempt from liability for rates, in respect of electric lighting, such portions of the municipal district as the Council may, by any by</w:t>
      </w:r>
      <w:r>
        <w:rPr>
          <w:snapToGrid w:val="0"/>
        </w:rPr>
        <w:noBreakHyphen/>
        <w:t>law, prescribe, and until such by</w:t>
      </w:r>
      <w:r>
        <w:rPr>
          <w:snapToGrid w:val="0"/>
        </w:rPr>
        <w:noBreakHyphen/>
        <w:t>law is made the town lots within the municipal district numbered 260 and upwards.</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299"/>
        </w:sectPr>
      </w:pPr>
    </w:p>
    <w:p>
      <w:pPr>
        <w:pStyle w:val="nHeading2"/>
      </w:pPr>
      <w:bookmarkStart w:id="9" w:name="_Toc378069207"/>
      <w:bookmarkStart w:id="10" w:name="_Toc425429478"/>
      <w:bookmarkStart w:id="11" w:name="_Toc425429506"/>
      <w:r>
        <w:lastRenderedPageBreak/>
        <w:t>Notes</w:t>
      </w:r>
      <w:bookmarkEnd w:id="9"/>
      <w:bookmarkEnd w:id="10"/>
      <w:bookmarkEnd w:id="11"/>
    </w:p>
    <w:p>
      <w:pPr>
        <w:pStyle w:val="nSubsection"/>
        <w:rPr>
          <w:snapToGrid w:val="0"/>
        </w:rPr>
      </w:pPr>
      <w:r>
        <w:rPr>
          <w:snapToGrid w:val="0"/>
        </w:rPr>
        <w:t>1.</w:t>
      </w:r>
      <w:r>
        <w:rPr>
          <w:snapToGrid w:val="0"/>
        </w:rPr>
        <w:tab/>
        <w:t xml:space="preserve">This is a compilation of the </w:t>
      </w:r>
      <w:r>
        <w:rPr>
          <w:i/>
          <w:snapToGrid w:val="0"/>
        </w:rPr>
        <w:t>Carnarvon Electric Lighting Act 1924</w:t>
      </w:r>
      <w:r>
        <w:rPr>
          <w:snapToGrid w:val="0"/>
        </w:rPr>
        <w:t xml:space="preserve"> and includes all amendments effected by the other Acts referred to in the following Table.</w:t>
      </w:r>
    </w:p>
    <w:p>
      <w:pPr>
        <w:pStyle w:val="nHeading3"/>
        <w:rPr>
          <w:snapToGrid w:val="0"/>
        </w:rPr>
      </w:pPr>
      <w:bookmarkStart w:id="12" w:name="_Toc425429479"/>
      <w:bookmarkStart w:id="13" w:name="_Toc425429507"/>
      <w:r>
        <w:rPr>
          <w:snapToGrid w:val="0"/>
        </w:rPr>
        <w:t>Compilation table</w:t>
      </w:r>
      <w:bookmarkEnd w:id="12"/>
      <w:bookmarkEnd w:id="1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before="40"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40"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40"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before="40" w:after="40"/>
              <w:rPr>
                <w:b/>
              </w:rPr>
            </w:pPr>
            <w:r>
              <w:rPr>
                <w:b/>
              </w:rPr>
              <w:t>Commencement</w:t>
            </w:r>
          </w:p>
        </w:tc>
      </w:tr>
      <w:tr>
        <w:tc>
          <w:tcPr>
            <w:tcW w:w="2268" w:type="dxa"/>
            <w:tcBorders>
              <w:top w:val="single" w:sz="8" w:space="0" w:color="auto"/>
            </w:tcBorders>
            <w:shd w:val="clear" w:color="auto" w:fill="auto"/>
          </w:tcPr>
          <w:p>
            <w:pPr>
              <w:pStyle w:val="nTable"/>
              <w:spacing w:before="40" w:after="40"/>
            </w:pPr>
            <w:r>
              <w:rPr>
                <w:i/>
              </w:rPr>
              <w:t>Carnarvon Electric Lighting Act 1924</w:t>
            </w:r>
          </w:p>
        </w:tc>
        <w:tc>
          <w:tcPr>
            <w:tcW w:w="1134" w:type="dxa"/>
            <w:tcBorders>
              <w:top w:val="single" w:sz="8" w:space="0" w:color="auto"/>
            </w:tcBorders>
            <w:shd w:val="clear" w:color="auto" w:fill="auto"/>
          </w:tcPr>
          <w:p>
            <w:pPr>
              <w:pStyle w:val="nTable"/>
              <w:spacing w:before="40" w:after="40"/>
            </w:pPr>
            <w:r>
              <w:t>13 of 1924</w:t>
            </w:r>
          </w:p>
        </w:tc>
        <w:tc>
          <w:tcPr>
            <w:tcW w:w="1134" w:type="dxa"/>
            <w:tcBorders>
              <w:top w:val="single" w:sz="8" w:space="0" w:color="auto"/>
            </w:tcBorders>
            <w:shd w:val="clear" w:color="auto" w:fill="auto"/>
          </w:tcPr>
          <w:p>
            <w:pPr>
              <w:pStyle w:val="nTable"/>
              <w:spacing w:before="40" w:after="40"/>
            </w:pPr>
            <w:r>
              <w:t>9 Dec 1924</w:t>
            </w:r>
          </w:p>
        </w:tc>
        <w:tc>
          <w:tcPr>
            <w:tcW w:w="2551" w:type="dxa"/>
            <w:tcBorders>
              <w:top w:val="single" w:sz="8" w:space="0" w:color="auto"/>
            </w:tcBorders>
            <w:shd w:val="clear" w:color="auto" w:fill="auto"/>
          </w:tcPr>
          <w:p>
            <w:pPr>
              <w:pStyle w:val="nTable"/>
              <w:spacing w:before="40" w:after="40"/>
            </w:pPr>
            <w:r>
              <w:t>9 Dec 1924</w:t>
            </w:r>
          </w:p>
        </w:tc>
      </w:tr>
      <w:tr>
        <w:tc>
          <w:tcPr>
            <w:tcW w:w="7087" w:type="dxa"/>
            <w:gridSpan w:val="4"/>
            <w:tcBorders>
              <w:bottom w:val="single" w:sz="4" w:space="0" w:color="auto"/>
            </w:tcBorders>
            <w:shd w:val="clear" w:color="auto" w:fill="auto"/>
          </w:tcPr>
          <w:p>
            <w:pPr>
              <w:pStyle w:val="nTable"/>
              <w:spacing w:before="40" w:after="40"/>
            </w:pPr>
            <w:r>
              <w:rPr>
                <w:b/>
                <w:snapToGrid w:val="0"/>
                <w:color w:val="FF0000"/>
              </w:rPr>
              <w:t xml:space="preserve">This Act was repealed by the </w:t>
            </w:r>
            <w:r>
              <w:rPr>
                <w:b/>
                <w:i/>
                <w:snapToGrid w:val="0"/>
                <w:color w:val="FF0000"/>
              </w:rPr>
              <w:t>Statutes (Repeals) Act 2014</w:t>
            </w:r>
            <w:r>
              <w:rPr>
                <w:b/>
                <w:snapToGrid w:val="0"/>
                <w:color w:val="FF0000"/>
              </w:rPr>
              <w:t xml:space="preserve"> s. 3 (No. 32 of 2014) as at 4 Dec 2014 (see s. 2(b))</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299"/>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5" w:bottom="2981" w:left="2405" w:header="720" w:footer="3380" w:gutter="0"/>
      <w:paperSrc w:first="2" w:other="2"/>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Carnarvon Electric Lighting Act 1924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Carnarvon Electric Lighting Act 1924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Carnarvon Electric Lighting Act 1924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Carnarvon Electric Lighting Act 1924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Carnarvon Electric Lighting Act 1924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Carnarvon Electric Lighting Act 1924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33857"/>
    <w:docVar w:name="WAFER_20140121113449" w:val="RemoveTocBookmarks,RemoveUnusedBookmarks,RemoveLanguageTags,UsedStyles,ResetPageSize,UpdateArrangement"/>
    <w:docVar w:name="WAFER_20140121113449_GUID" w:val="a6a4655c-07cb-4747-a4d1-87135637c895"/>
    <w:docVar w:name="WAFER_20140121114455" w:val="RemoveTocBookmarks,RunningHeaders"/>
    <w:docVar w:name="WAFER_20140121114455_GUID" w:val="bc846d00-c34b-42c9-b069-9e5229066d33"/>
    <w:docVar w:name="WAFER_20150723151601" w:val="ResetPageSize,UpdateArrangement,UpdateNTable"/>
    <w:docVar w:name="WAFER_20150723151601_GUID" w:val="52d55926-1e6b-4ae7-a387-078b31be6b10"/>
    <w:docVar w:name="WAFER_20160412133857" w:val="UsedStyles"/>
    <w:docVar w:name="WAFER_20160412133857_GUID" w:val="5a4f52c3-b676-4736-b75f-807fef9ace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621"/>
        <w:tab w:val="left" w:pos="2909"/>
      </w:tabs>
      <w:spacing w:before="80" w:line="260" w:lineRule="atLeast"/>
      <w:ind w:left="2909" w:hanging="2909"/>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3197"/>
        <w:tab w:val="left" w:pos="3485"/>
      </w:tabs>
      <w:spacing w:before="80" w:line="260" w:lineRule="atLeast"/>
      <w:ind w:left="3485" w:hanging="3485"/>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character" w:customStyle="1" w:styleId="CharDefText">
    <w:name w:val="CharDefText"/>
    <w:basedOn w:val="DefaultParagraphFont"/>
    <w:rPr>
      <w:b/>
      <w:i/>
      <w:noProof w:val="0"/>
      <w:sz w:val="22"/>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621"/>
        <w:tab w:val="left" w:pos="2909"/>
      </w:tabs>
      <w:spacing w:before="80" w:line="260" w:lineRule="atLeast"/>
      <w:ind w:left="2909" w:hanging="2909"/>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3197"/>
        <w:tab w:val="left" w:pos="3485"/>
      </w:tabs>
      <w:spacing w:before="80" w:line="260" w:lineRule="atLeast"/>
      <w:ind w:left="3485" w:hanging="3485"/>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Normal"/>
    <w:pPr>
      <w:tabs>
        <w:tab w:val="left" w:pos="312"/>
      </w:tabs>
      <w:spacing w:before="80" w:line="260" w:lineRule="atLeast"/>
      <w:ind w:left="1446" w:right="284" w:hanging="312"/>
    </w:pPr>
    <w:rPr>
      <w:snapToGrid w:val="0"/>
      <w:sz w:val="24"/>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sz w:val="24"/>
    </w:rPr>
  </w:style>
  <w:style w:type="paragraph" w:customStyle="1" w:styleId="zDefsubpara">
    <w:name w:val="zDefsubpara"/>
    <w:basedOn w:val="Normal"/>
    <w:pPr>
      <w:keepLines/>
      <w:tabs>
        <w:tab w:val="right" w:pos="2608"/>
        <w:tab w:val="left" w:pos="2892"/>
      </w:tabs>
      <w:spacing w:before="80" w:line="260" w:lineRule="atLeast"/>
      <w:ind w:left="2892" w:right="284" w:hanging="851"/>
    </w:pPr>
    <w:rPr>
      <w:sz w:val="24"/>
    </w:rPr>
  </w:style>
  <w:style w:type="paragraph" w:customStyle="1" w:styleId="zDefitem">
    <w:name w:val="zDefitem"/>
    <w:basedOn w:val="Normal"/>
    <w:pPr>
      <w:tabs>
        <w:tab w:val="right" w:pos="3459"/>
        <w:tab w:val="left" w:pos="3771"/>
      </w:tabs>
      <w:spacing w:before="80" w:line="260" w:lineRule="atLeast"/>
      <w:ind w:left="3686" w:right="284" w:hanging="851"/>
    </w:pPr>
    <w:rPr>
      <w:sz w:val="24"/>
    </w:r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character" w:customStyle="1" w:styleId="CharDefText">
    <w:name w:val="CharDefText"/>
    <w:basedOn w:val="DefaultParagraphFont"/>
    <w:rPr>
      <w:b/>
      <w:i/>
      <w:noProof w:val="0"/>
      <w:sz w:val="22"/>
    </w:rPr>
  </w:style>
  <w:style w:type="paragraph" w:customStyle="1" w:styleId="yFootnoteheading">
    <w:name w:val="yFootnote(heading)"/>
    <w:basedOn w:val="Footnoteheading"/>
    <w:rPr>
      <w:sz w:val="22"/>
    </w:rPr>
  </w:style>
  <w:style w:type="paragraph" w:customStyle="1" w:styleId="TableAm">
    <w:name w:val="TableAm"/>
    <w:basedOn w:val="Normal"/>
    <w:pPr>
      <w:spacing w:before="120"/>
    </w:pPr>
    <w:rPr>
      <w:sz w:val="24"/>
    </w:rPr>
  </w:style>
  <w:style w:type="paragraph" w:customStyle="1" w:styleId="TableAmNote">
    <w:name w:val="TableAmNote"/>
    <w:basedOn w:val="Normal"/>
    <w:pPr>
      <w:spacing w:before="60"/>
    </w:pPr>
    <w:rPr>
      <w:rFonts w:ascii="Arial" w:hAnsi="Arial"/>
      <w:sz w:val="18"/>
    </w:rPr>
  </w:style>
  <w:style w:type="paragraph" w:customStyle="1" w:styleId="BlankOpen">
    <w:name w:val="BlankOpen"/>
    <w:basedOn w:val="Normal"/>
    <w:pPr>
      <w:keepNext/>
      <w:keepLines/>
      <w:jc w:val="center"/>
    </w:pPr>
    <w:rPr>
      <w:sz w:val="24"/>
      <w:szCs w:val="24"/>
    </w:rPr>
  </w:style>
  <w:style w:type="paragraph" w:customStyle="1" w:styleId="BlankClose">
    <w:name w:val="BlankClose"/>
    <w:basedOn w:val="Normal"/>
    <w:pPr>
      <w:keepLines/>
      <w:jc w:val="center"/>
    </w:pPr>
    <w:rPr>
      <w:sz w:val="24"/>
      <w:szCs w:val="24"/>
    </w:rPr>
  </w:style>
  <w:style w:type="paragraph" w:customStyle="1" w:styleId="PrincipalActRegPage1">
    <w:name w:val="PrincipalAct_Reg(Page 1)"/>
    <w:pPr>
      <w:spacing w:before="2600"/>
      <w:jc w:val="center"/>
    </w:pPr>
    <w:rPr>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234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362</Words>
  <Characters>1765</Characters>
  <Application>Microsoft Office Word</Application>
  <DocSecurity>0</DocSecurity>
  <Lines>73</Lines>
  <Paragraphs>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Electric Lighting Act 1924 - 00-b0-02</dc:title>
  <dc:subject/>
  <dc:creator/>
  <cp:keywords/>
  <dc:description/>
  <cp:lastModifiedBy>svcMRProcess</cp:lastModifiedBy>
  <cp:revision>4</cp:revision>
  <cp:lastPrinted>1997-12-16T03:11:00Z</cp:lastPrinted>
  <dcterms:created xsi:type="dcterms:W3CDTF">2016-04-12T05:46:00Z</dcterms:created>
  <dcterms:modified xsi:type="dcterms:W3CDTF">2016-04-12T05:46:00Z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1924</vt:lpwstr>
  </property>
  <property fmtid="{D5CDD505-2E9C-101B-9397-08002B2CF9AE}" pid="3" name="CommencementDate">
    <vt:lpwstr>20141204</vt:lpwstr>
  </property>
  <property fmtid="{D5CDD505-2E9C-101B-9397-08002B2CF9AE}" pid="4" name="DocumentType">
    <vt:lpwstr>Act</vt:lpwstr>
  </property>
  <property fmtid="{D5CDD505-2E9C-101B-9397-08002B2CF9AE}" pid="5" name="AsAtDate">
    <vt:lpwstr>04 Dec 2014</vt:lpwstr>
  </property>
  <property fmtid="{D5CDD505-2E9C-101B-9397-08002B2CF9AE}" pid="6" name="Suffix">
    <vt:lpwstr>00-b0-02</vt:lpwstr>
  </property>
  <property fmtid="{D5CDD505-2E9C-101B-9397-08002B2CF9AE}" pid="7" name="Status">
    <vt:lpwstr>NIF</vt:lpwstr>
  </property>
</Properties>
</file>