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Vocational Education and Training Act 1996</w:t>
      </w:r>
    </w:p>
    <w:p>
      <w:pPr>
        <w:pStyle w:val="NameofActRegPage1"/>
        <w:spacing w:before="1960" w:after="4200"/>
        <w:ind w:left="397" w:right="39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Vocational Education and Training (General) Regulations 2009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_Toc405806895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_Toc405806896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_Toc405806897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Approved VET courses (Act s. 5(1))</w:t>
      </w:r>
      <w:r>
        <w:tab/>
      </w:r>
      <w:r>
        <w:fldChar w:fldCharType="begin"/>
      </w:r>
      <w:r>
        <w:instrText xml:space="preserve"> PAGEREF _Toc405806899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laws (Act s. 5(1))</w:t>
      </w:r>
      <w:r>
        <w:tab/>
      </w:r>
      <w:r>
        <w:fldChar w:fldCharType="begin"/>
      </w:r>
      <w:r>
        <w:instrText xml:space="preserve"> PAGEREF _Toc405806900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VET qualifications (Act s. 5(1))</w:t>
      </w:r>
      <w:r>
        <w:tab/>
      </w:r>
      <w:r>
        <w:fldChar w:fldCharType="begin"/>
      </w:r>
      <w:r>
        <w:instrText xml:space="preserve"> PAGEREF _Toc405806901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Regulations for Part 7A of the Act</w:t>
      </w:r>
    </w:p>
    <w:p>
      <w:pPr>
        <w:pStyle w:val="TOC4"/>
        <w:tabs>
          <w:tab w:val="right" w:leader="dot" w:pos="7086"/>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_Toc405806904 \h </w:instrText>
      </w:r>
      <w:r>
        <w:fldChar w:fldCharType="separate"/>
      </w:r>
      <w:r>
        <w:t>5</w:t>
      </w:r>
      <w:r>
        <w:fldChar w:fldCharType="end"/>
      </w:r>
    </w:p>
    <w:p>
      <w:pPr>
        <w:pStyle w:val="TOC8"/>
        <w:rPr>
          <w:rFonts w:asciiTheme="minorHAnsi" w:eastAsiaTheme="minorEastAsia" w:hAnsiTheme="minorHAnsi" w:cstheme="minorBidi"/>
          <w:szCs w:val="22"/>
        </w:rPr>
      </w:pPr>
      <w:r>
        <w:t>8.</w:t>
      </w:r>
      <w:r>
        <w:tab/>
        <w:t>Council to have regard to Standards for VET Regulators</w:t>
      </w:r>
      <w:r>
        <w:tab/>
      </w:r>
      <w:r>
        <w:fldChar w:fldCharType="begin"/>
      </w:r>
      <w:r>
        <w:instrText xml:space="preserve"> PAGEREF _Toc405806905 \h </w:instrText>
      </w:r>
      <w:r>
        <w:fldChar w:fldCharType="separate"/>
      </w:r>
      <w:r>
        <w:t>6</w:t>
      </w:r>
      <w:r>
        <w:fldChar w:fldCharType="end"/>
      </w:r>
    </w:p>
    <w:p>
      <w:pPr>
        <w:pStyle w:val="TOC8"/>
        <w:rPr>
          <w:rFonts w:asciiTheme="minorHAnsi" w:eastAsiaTheme="minorEastAsia" w:hAnsiTheme="minorHAnsi" w:cstheme="minorBidi"/>
          <w:szCs w:val="22"/>
        </w:rPr>
      </w:pPr>
      <w:r>
        <w:t>9.</w:t>
      </w:r>
      <w:r>
        <w:tab/>
        <w:t>Register</w:t>
      </w:r>
      <w:r>
        <w:tab/>
      </w:r>
      <w:r>
        <w:fldChar w:fldCharType="begin"/>
      </w:r>
      <w:r>
        <w:instrText xml:space="preserve"> PAGEREF _Toc405806906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 — Registration of training providers</w:t>
      </w:r>
    </w:p>
    <w:p>
      <w:pPr>
        <w:pStyle w:val="TOC8"/>
        <w:rPr>
          <w:rFonts w:asciiTheme="minorHAnsi" w:eastAsiaTheme="minorEastAsia" w:hAnsiTheme="minorHAnsi" w:cstheme="minorBidi"/>
          <w:szCs w:val="22"/>
        </w:rPr>
      </w:pPr>
      <w:r>
        <w:t>10.</w:t>
      </w:r>
      <w:r>
        <w:tab/>
        <w:t>Applying to be registered training provider</w:t>
      </w:r>
      <w:r>
        <w:tab/>
      </w:r>
      <w:r>
        <w:fldChar w:fldCharType="begin"/>
      </w:r>
      <w:r>
        <w:instrText xml:space="preserve"> PAGEREF _Toc405806908 \h </w:instrText>
      </w:r>
      <w:r>
        <w:fldChar w:fldCharType="separate"/>
      </w:r>
      <w:r>
        <w:t>8</w:t>
      </w:r>
      <w:r>
        <w:fldChar w:fldCharType="end"/>
      </w:r>
    </w:p>
    <w:p>
      <w:pPr>
        <w:pStyle w:val="TOC8"/>
        <w:rPr>
          <w:rFonts w:asciiTheme="minorHAnsi" w:eastAsiaTheme="minorEastAsia" w:hAnsiTheme="minorHAnsi" w:cstheme="minorBidi"/>
          <w:szCs w:val="22"/>
        </w:rPr>
      </w:pPr>
      <w:r>
        <w:t>11.</w:t>
      </w:r>
      <w:r>
        <w:tab/>
        <w:t>Dealing with applications</w:t>
      </w:r>
      <w:r>
        <w:tab/>
      </w:r>
      <w:r>
        <w:fldChar w:fldCharType="begin"/>
      </w:r>
      <w:r>
        <w:instrText xml:space="preserve"> PAGEREF _Toc405806909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Registering training providers</w:t>
      </w:r>
      <w:r>
        <w:tab/>
      </w:r>
      <w:r>
        <w:fldChar w:fldCharType="begin"/>
      </w:r>
      <w:r>
        <w:instrText xml:space="preserve"> PAGEREF _Toc405806910 \h </w:instrText>
      </w:r>
      <w:r>
        <w:fldChar w:fldCharType="separate"/>
      </w:r>
      <w:r>
        <w:t>9</w:t>
      </w:r>
      <w:r>
        <w:fldChar w:fldCharType="end"/>
      </w:r>
    </w:p>
    <w:p>
      <w:pPr>
        <w:pStyle w:val="TOC8"/>
        <w:rPr>
          <w:rFonts w:asciiTheme="minorHAnsi" w:eastAsiaTheme="minorEastAsia" w:hAnsiTheme="minorHAnsi" w:cstheme="minorBidi"/>
          <w:szCs w:val="22"/>
        </w:rPr>
      </w:pPr>
      <w:r>
        <w:t>13.</w:t>
      </w:r>
      <w:r>
        <w:tab/>
        <w:t>Conditions of registration</w:t>
      </w:r>
      <w:r>
        <w:tab/>
      </w:r>
      <w:r>
        <w:fldChar w:fldCharType="begin"/>
      </w:r>
      <w:r>
        <w:instrText xml:space="preserve"> PAGEREF _Toc405806911 \h </w:instrText>
      </w:r>
      <w:r>
        <w:fldChar w:fldCharType="separate"/>
      </w:r>
      <w:r>
        <w:t>11</w:t>
      </w:r>
      <w:r>
        <w:fldChar w:fldCharType="end"/>
      </w:r>
    </w:p>
    <w:p>
      <w:pPr>
        <w:pStyle w:val="TOC8"/>
        <w:rPr>
          <w:rFonts w:asciiTheme="minorHAnsi" w:eastAsiaTheme="minorEastAsia" w:hAnsiTheme="minorHAnsi" w:cstheme="minorBidi"/>
          <w:szCs w:val="22"/>
        </w:rPr>
      </w:pPr>
      <w:r>
        <w:t>14.</w:t>
      </w:r>
      <w:r>
        <w:tab/>
        <w:t>Period of registration</w:t>
      </w:r>
      <w:r>
        <w:tab/>
      </w:r>
      <w:r>
        <w:fldChar w:fldCharType="begin"/>
      </w:r>
      <w:r>
        <w:instrText xml:space="preserve"> PAGEREF _Toc405806912 \h </w:instrText>
      </w:r>
      <w:r>
        <w:fldChar w:fldCharType="separate"/>
      </w:r>
      <w:r>
        <w:t>13</w:t>
      </w:r>
      <w:r>
        <w:fldChar w:fldCharType="end"/>
      </w:r>
    </w:p>
    <w:p>
      <w:pPr>
        <w:pStyle w:val="TOC8"/>
        <w:rPr>
          <w:rFonts w:asciiTheme="minorHAnsi" w:eastAsiaTheme="minorEastAsia" w:hAnsiTheme="minorHAnsi" w:cstheme="minorBidi"/>
          <w:szCs w:val="22"/>
        </w:rPr>
      </w:pPr>
      <w:r>
        <w:t>15.</w:t>
      </w:r>
      <w:r>
        <w:tab/>
        <w:t>Annual fees payable by registered training providers</w:t>
      </w:r>
      <w:r>
        <w:tab/>
      </w:r>
      <w:r>
        <w:fldChar w:fldCharType="begin"/>
      </w:r>
      <w:r>
        <w:instrText xml:space="preserve"> PAGEREF _Toc405806913 \h </w:instrText>
      </w:r>
      <w:r>
        <w:fldChar w:fldCharType="separate"/>
      </w:r>
      <w:r>
        <w:t>13</w:t>
      </w:r>
      <w:r>
        <w:fldChar w:fldCharType="end"/>
      </w:r>
    </w:p>
    <w:p>
      <w:pPr>
        <w:pStyle w:val="TOC8"/>
        <w:rPr>
          <w:rFonts w:asciiTheme="minorHAnsi" w:eastAsiaTheme="minorEastAsia" w:hAnsiTheme="minorHAnsi" w:cstheme="minorBidi"/>
          <w:szCs w:val="22"/>
        </w:rPr>
      </w:pPr>
      <w:r>
        <w:t>16.</w:t>
      </w:r>
      <w:r>
        <w:tab/>
        <w:t>Renewal of registration</w:t>
      </w:r>
      <w:r>
        <w:tab/>
      </w:r>
      <w:r>
        <w:fldChar w:fldCharType="begin"/>
      </w:r>
      <w:r>
        <w:instrText xml:space="preserve"> PAGEREF _Toc405806914 \h </w:instrText>
      </w:r>
      <w:r>
        <w:fldChar w:fldCharType="separate"/>
      </w:r>
      <w:r>
        <w:t>13</w:t>
      </w:r>
      <w:r>
        <w:fldChar w:fldCharType="end"/>
      </w:r>
    </w:p>
    <w:p>
      <w:pPr>
        <w:pStyle w:val="TOC8"/>
        <w:rPr>
          <w:rFonts w:asciiTheme="minorHAnsi" w:eastAsiaTheme="minorEastAsia" w:hAnsiTheme="minorHAnsi" w:cstheme="minorBidi"/>
          <w:szCs w:val="22"/>
        </w:rPr>
      </w:pPr>
      <w:r>
        <w:t>17.</w:t>
      </w:r>
      <w:r>
        <w:tab/>
        <w:t>Varying registrations</w:t>
      </w:r>
      <w:r>
        <w:tab/>
      </w:r>
      <w:r>
        <w:fldChar w:fldCharType="begin"/>
      </w:r>
      <w:r>
        <w:instrText xml:space="preserve"> PAGEREF _Toc405806915 \h </w:instrText>
      </w:r>
      <w:r>
        <w:fldChar w:fldCharType="separate"/>
      </w:r>
      <w:r>
        <w:t>14</w:t>
      </w:r>
      <w:r>
        <w:fldChar w:fldCharType="end"/>
      </w:r>
    </w:p>
    <w:p>
      <w:pPr>
        <w:pStyle w:val="TOC8"/>
        <w:rPr>
          <w:rFonts w:asciiTheme="minorHAnsi" w:eastAsiaTheme="minorEastAsia" w:hAnsiTheme="minorHAnsi" w:cstheme="minorBidi"/>
          <w:szCs w:val="22"/>
        </w:rPr>
      </w:pPr>
      <w:r>
        <w:t>18.</w:t>
      </w:r>
      <w:r>
        <w:tab/>
        <w:t>Cancelling registration if provider’s operations change</w:t>
      </w:r>
      <w:r>
        <w:tab/>
      </w:r>
      <w:r>
        <w:fldChar w:fldCharType="begin"/>
      </w:r>
      <w:r>
        <w:instrText xml:space="preserve"> PAGEREF _Toc405806916 \h </w:instrText>
      </w:r>
      <w:r>
        <w:fldChar w:fldCharType="separate"/>
      </w:r>
      <w:r>
        <w:t>16</w:t>
      </w:r>
      <w:r>
        <w:fldChar w:fldCharType="end"/>
      </w:r>
    </w:p>
    <w:p>
      <w:pPr>
        <w:pStyle w:val="TOC8"/>
        <w:rPr>
          <w:rFonts w:asciiTheme="minorHAnsi" w:eastAsiaTheme="minorEastAsia" w:hAnsiTheme="minorHAnsi" w:cstheme="minorBidi"/>
          <w:szCs w:val="22"/>
        </w:rPr>
      </w:pPr>
      <w:r>
        <w:t>19.</w:t>
      </w:r>
      <w:r>
        <w:tab/>
        <w:t>Suspending or cancelling registration</w:t>
      </w:r>
      <w:r>
        <w:tab/>
      </w:r>
      <w:r>
        <w:fldChar w:fldCharType="begin"/>
      </w:r>
      <w:r>
        <w:instrText xml:space="preserve"> PAGEREF _Toc405806917 \h </w:instrText>
      </w:r>
      <w:r>
        <w:fldChar w:fldCharType="separate"/>
      </w:r>
      <w:r>
        <w:t>16</w:t>
      </w:r>
      <w:r>
        <w:fldChar w:fldCharType="end"/>
      </w:r>
    </w:p>
    <w:p>
      <w:pPr>
        <w:pStyle w:val="TOC8"/>
        <w:rPr>
          <w:rFonts w:asciiTheme="minorHAnsi" w:eastAsiaTheme="minorEastAsia" w:hAnsiTheme="minorHAnsi" w:cstheme="minorBidi"/>
          <w:szCs w:val="22"/>
        </w:rPr>
      </w:pPr>
      <w:r>
        <w:t>20.</w:t>
      </w:r>
      <w:r>
        <w:tab/>
        <w:t>Suspension of WA registered provider may be on terms</w:t>
      </w:r>
      <w:r>
        <w:tab/>
      </w:r>
      <w:r>
        <w:fldChar w:fldCharType="begin"/>
      </w:r>
      <w:r>
        <w:instrText xml:space="preserve"> PAGEREF _Toc405806918 \h </w:instrText>
      </w:r>
      <w:r>
        <w:fldChar w:fldCharType="separate"/>
      </w:r>
      <w:r>
        <w:t>18</w:t>
      </w:r>
      <w:r>
        <w:fldChar w:fldCharType="end"/>
      </w:r>
    </w:p>
    <w:p>
      <w:pPr>
        <w:pStyle w:val="TOC8"/>
        <w:rPr>
          <w:rFonts w:asciiTheme="minorHAnsi" w:eastAsiaTheme="minorEastAsia" w:hAnsiTheme="minorHAnsi" w:cstheme="minorBidi"/>
          <w:szCs w:val="22"/>
        </w:rPr>
      </w:pPr>
      <w:r>
        <w:t>21.</w:t>
      </w:r>
      <w:r>
        <w:tab/>
        <w:t>Effect of suspension of WA registered provider</w:t>
      </w:r>
      <w:r>
        <w:tab/>
      </w:r>
      <w:r>
        <w:fldChar w:fldCharType="begin"/>
      </w:r>
      <w:r>
        <w:instrText xml:space="preserve"> PAGEREF _Toc405806919 \h </w:instrText>
      </w:r>
      <w:r>
        <w:fldChar w:fldCharType="separate"/>
      </w:r>
      <w:r>
        <w:t>18</w:t>
      </w:r>
      <w:r>
        <w:fldChar w:fldCharType="end"/>
      </w:r>
    </w:p>
    <w:p>
      <w:pPr>
        <w:pStyle w:val="TOC8"/>
        <w:rPr>
          <w:rFonts w:asciiTheme="minorHAnsi" w:eastAsiaTheme="minorEastAsia" w:hAnsiTheme="minorHAnsi" w:cstheme="minorBidi"/>
          <w:szCs w:val="22"/>
        </w:rPr>
      </w:pPr>
      <w:r>
        <w:t>22.</w:t>
      </w:r>
      <w:r>
        <w:tab/>
        <w:t>Requests for reassessment of decision to suspend WA registered provider</w:t>
      </w:r>
      <w:r>
        <w:tab/>
      </w:r>
      <w:r>
        <w:fldChar w:fldCharType="begin"/>
      </w:r>
      <w:r>
        <w:instrText xml:space="preserve"> PAGEREF _Toc405806920 \h </w:instrText>
      </w:r>
      <w:r>
        <w:fldChar w:fldCharType="separate"/>
      </w:r>
      <w:r>
        <w:t>19</w:t>
      </w:r>
      <w:r>
        <w:fldChar w:fldCharType="end"/>
      </w:r>
    </w:p>
    <w:p>
      <w:pPr>
        <w:pStyle w:val="TOC8"/>
        <w:rPr>
          <w:rFonts w:asciiTheme="minorHAnsi" w:eastAsiaTheme="minorEastAsia" w:hAnsiTheme="minorHAnsi" w:cstheme="minorBidi"/>
          <w:szCs w:val="22"/>
        </w:rPr>
      </w:pPr>
      <w:r>
        <w:t>23.</w:t>
      </w:r>
      <w:r>
        <w:tab/>
        <w:t>Fees</w:t>
      </w:r>
      <w:r>
        <w:tab/>
      </w:r>
      <w:r>
        <w:fldChar w:fldCharType="begin"/>
      </w:r>
      <w:r>
        <w:instrText xml:space="preserve"> PAGEREF _Toc405806921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Audits of, and investigations into, training providers</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_Toc405806923 \h </w:instrText>
      </w:r>
      <w:r>
        <w:fldChar w:fldCharType="separate"/>
      </w:r>
      <w:r>
        <w:t>20</w:t>
      </w:r>
      <w:r>
        <w:fldChar w:fldCharType="end"/>
      </w:r>
    </w:p>
    <w:p>
      <w:pPr>
        <w:pStyle w:val="TOC8"/>
        <w:rPr>
          <w:rFonts w:asciiTheme="minorHAnsi" w:eastAsiaTheme="minorEastAsia" w:hAnsiTheme="minorHAnsi" w:cstheme="minorBidi"/>
          <w:szCs w:val="22"/>
        </w:rPr>
      </w:pPr>
      <w:r>
        <w:t>25.</w:t>
      </w:r>
      <w:r>
        <w:tab/>
        <w:t>Compliance audits</w:t>
      </w:r>
      <w:r>
        <w:tab/>
      </w:r>
      <w:r>
        <w:fldChar w:fldCharType="begin"/>
      </w:r>
      <w:r>
        <w:instrText xml:space="preserve"> PAGEREF _Toc405806924 \h </w:instrText>
      </w:r>
      <w:r>
        <w:fldChar w:fldCharType="separate"/>
      </w:r>
      <w:r>
        <w:t>21</w:t>
      </w:r>
      <w:r>
        <w:fldChar w:fldCharType="end"/>
      </w:r>
    </w:p>
    <w:p>
      <w:pPr>
        <w:pStyle w:val="TOC8"/>
        <w:rPr>
          <w:rFonts w:asciiTheme="minorHAnsi" w:eastAsiaTheme="minorEastAsia" w:hAnsiTheme="minorHAnsi" w:cstheme="minorBidi"/>
          <w:szCs w:val="22"/>
        </w:rPr>
      </w:pPr>
      <w:r>
        <w:t>26A.</w:t>
      </w:r>
      <w:r>
        <w:tab/>
        <w:t>Compliance monitoring audits</w:t>
      </w:r>
      <w:r>
        <w:tab/>
      </w:r>
      <w:r>
        <w:fldChar w:fldCharType="begin"/>
      </w:r>
      <w:r>
        <w:instrText xml:space="preserve"> PAGEREF _Toc405806925 \h </w:instrText>
      </w:r>
      <w:r>
        <w:fldChar w:fldCharType="separate"/>
      </w:r>
      <w:r>
        <w:t>21</w:t>
      </w:r>
      <w:r>
        <w:fldChar w:fldCharType="end"/>
      </w:r>
    </w:p>
    <w:p>
      <w:pPr>
        <w:pStyle w:val="TOC8"/>
        <w:rPr>
          <w:rFonts w:asciiTheme="minorHAnsi" w:eastAsiaTheme="minorEastAsia" w:hAnsiTheme="minorHAnsi" w:cstheme="minorBidi"/>
          <w:szCs w:val="22"/>
        </w:rPr>
      </w:pPr>
      <w:r>
        <w:t>26B.</w:t>
      </w:r>
      <w:r>
        <w:tab/>
        <w:t>Investigations of complaints</w:t>
      </w:r>
      <w:r>
        <w:tab/>
      </w:r>
      <w:r>
        <w:fldChar w:fldCharType="begin"/>
      </w:r>
      <w:r>
        <w:instrText xml:space="preserve"> PAGEREF _Toc405806926 \h </w:instrText>
      </w:r>
      <w:r>
        <w:fldChar w:fldCharType="separate"/>
      </w:r>
      <w:r>
        <w:t>22</w:t>
      </w:r>
      <w:r>
        <w:fldChar w:fldCharType="end"/>
      </w:r>
    </w:p>
    <w:p>
      <w:pPr>
        <w:pStyle w:val="TOC8"/>
        <w:rPr>
          <w:rFonts w:asciiTheme="minorHAnsi" w:eastAsiaTheme="minorEastAsia" w:hAnsiTheme="minorHAnsi" w:cstheme="minorBidi"/>
          <w:szCs w:val="22"/>
        </w:rPr>
      </w:pPr>
      <w:r>
        <w:t>26C.</w:t>
      </w:r>
      <w:r>
        <w:tab/>
        <w:t>Circumstances in which a charge may be waived in whole or in part</w:t>
      </w:r>
      <w:r>
        <w:tab/>
      </w:r>
      <w:r>
        <w:fldChar w:fldCharType="begin"/>
      </w:r>
      <w:r>
        <w:instrText xml:space="preserve"> PAGEREF _Toc405806927 \h </w:instrText>
      </w:r>
      <w:r>
        <w:fldChar w:fldCharType="separate"/>
      </w:r>
      <w:r>
        <w:t>23</w:t>
      </w:r>
      <w:r>
        <w:fldChar w:fldCharType="end"/>
      </w:r>
    </w:p>
    <w:p>
      <w:pPr>
        <w:pStyle w:val="TOC8"/>
        <w:rPr>
          <w:rFonts w:asciiTheme="minorHAnsi" w:eastAsiaTheme="minorEastAsia" w:hAnsiTheme="minorHAnsi" w:cstheme="minorBidi"/>
          <w:szCs w:val="22"/>
        </w:rPr>
      </w:pPr>
      <w:r>
        <w:t>26D.</w:t>
      </w:r>
      <w:r>
        <w:tab/>
        <w:t>Rounding</w:t>
      </w:r>
      <w:r>
        <w:tab/>
      </w:r>
      <w:r>
        <w:fldChar w:fldCharType="begin"/>
      </w:r>
      <w:r>
        <w:instrText xml:space="preserve"> PAGEREF _Toc405806928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4 — Obligations of registered training providers and of the Council</w:t>
      </w:r>
    </w:p>
    <w:p>
      <w:pPr>
        <w:pStyle w:val="TOC8"/>
        <w:rPr>
          <w:rFonts w:asciiTheme="minorHAnsi" w:eastAsiaTheme="minorEastAsia" w:hAnsiTheme="minorHAnsi" w:cstheme="minorBidi"/>
          <w:szCs w:val="22"/>
        </w:rPr>
      </w:pPr>
      <w:r>
        <w:t>26.</w:t>
      </w:r>
      <w:r>
        <w:tab/>
        <w:t>Reporting to Council</w:t>
      </w:r>
      <w:r>
        <w:tab/>
      </w:r>
      <w:r>
        <w:fldChar w:fldCharType="begin"/>
      </w:r>
      <w:r>
        <w:instrText xml:space="preserve"> PAGEREF _Toc405806930 \h </w:instrText>
      </w:r>
      <w:r>
        <w:fldChar w:fldCharType="separate"/>
      </w:r>
      <w:r>
        <w:t>25</w:t>
      </w:r>
      <w:r>
        <w:fldChar w:fldCharType="end"/>
      </w:r>
    </w:p>
    <w:p>
      <w:pPr>
        <w:pStyle w:val="TOC8"/>
        <w:rPr>
          <w:rFonts w:asciiTheme="minorHAnsi" w:eastAsiaTheme="minorEastAsia" w:hAnsiTheme="minorHAnsi" w:cstheme="minorBidi"/>
          <w:szCs w:val="22"/>
        </w:rPr>
      </w:pPr>
      <w:r>
        <w:t>27.</w:t>
      </w:r>
      <w:r>
        <w:tab/>
        <w:t>Giving Council information on ceasing operations</w:t>
      </w:r>
      <w:r>
        <w:tab/>
      </w:r>
      <w:r>
        <w:fldChar w:fldCharType="begin"/>
      </w:r>
      <w:r>
        <w:instrText xml:space="preserve"> PAGEREF _Toc405806931 \h </w:instrText>
      </w:r>
      <w:r>
        <w:fldChar w:fldCharType="separate"/>
      </w:r>
      <w:r>
        <w:t>26</w:t>
      </w:r>
      <w:r>
        <w:fldChar w:fldCharType="end"/>
      </w:r>
    </w:p>
    <w:p>
      <w:pPr>
        <w:pStyle w:val="TOC8"/>
        <w:rPr>
          <w:rFonts w:asciiTheme="minorHAnsi" w:eastAsiaTheme="minorEastAsia" w:hAnsiTheme="minorHAnsi" w:cstheme="minorBidi"/>
          <w:szCs w:val="22"/>
        </w:rPr>
      </w:pPr>
      <w:r>
        <w:t>28A.</w:t>
      </w:r>
      <w:r>
        <w:tab/>
        <w:t>Person may obtain from Council certified copies of information</w:t>
      </w:r>
      <w:r>
        <w:tab/>
      </w:r>
      <w:r>
        <w:fldChar w:fldCharType="begin"/>
      </w:r>
      <w:r>
        <w:instrText xml:space="preserve"> PAGEREF _Toc405806932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5 — Accreditation of VET courses</w:t>
      </w:r>
    </w:p>
    <w:p>
      <w:pPr>
        <w:pStyle w:val="TOC8"/>
        <w:rPr>
          <w:rFonts w:asciiTheme="minorHAnsi" w:eastAsiaTheme="minorEastAsia" w:hAnsiTheme="minorHAnsi" w:cstheme="minorBidi"/>
          <w:szCs w:val="22"/>
        </w:rPr>
      </w:pPr>
      <w:r>
        <w:t>28.</w:t>
      </w:r>
      <w:r>
        <w:tab/>
        <w:t>Applying to have VET course accredited</w:t>
      </w:r>
      <w:r>
        <w:tab/>
      </w:r>
      <w:r>
        <w:fldChar w:fldCharType="begin"/>
      </w:r>
      <w:r>
        <w:instrText xml:space="preserve"> PAGEREF _Toc405806934 \h </w:instrText>
      </w:r>
      <w:r>
        <w:fldChar w:fldCharType="separate"/>
      </w:r>
      <w:r>
        <w:t>27</w:t>
      </w:r>
      <w:r>
        <w:fldChar w:fldCharType="end"/>
      </w:r>
    </w:p>
    <w:p>
      <w:pPr>
        <w:pStyle w:val="TOC8"/>
        <w:rPr>
          <w:rFonts w:asciiTheme="minorHAnsi" w:eastAsiaTheme="minorEastAsia" w:hAnsiTheme="minorHAnsi" w:cstheme="minorBidi"/>
          <w:szCs w:val="22"/>
        </w:rPr>
      </w:pPr>
      <w:r>
        <w:t>29.</w:t>
      </w:r>
      <w:r>
        <w:tab/>
        <w:t>Dealing with applications</w:t>
      </w:r>
      <w:r>
        <w:tab/>
      </w:r>
      <w:r>
        <w:fldChar w:fldCharType="begin"/>
      </w:r>
      <w:r>
        <w:instrText xml:space="preserve"> PAGEREF _Toc405806935 \h </w:instrText>
      </w:r>
      <w:r>
        <w:fldChar w:fldCharType="separate"/>
      </w:r>
      <w:r>
        <w:t>28</w:t>
      </w:r>
      <w:r>
        <w:fldChar w:fldCharType="end"/>
      </w:r>
    </w:p>
    <w:p>
      <w:pPr>
        <w:pStyle w:val="TOC8"/>
        <w:rPr>
          <w:rFonts w:asciiTheme="minorHAnsi" w:eastAsiaTheme="minorEastAsia" w:hAnsiTheme="minorHAnsi" w:cstheme="minorBidi"/>
          <w:szCs w:val="22"/>
        </w:rPr>
      </w:pPr>
      <w:r>
        <w:t>30.</w:t>
      </w:r>
      <w:r>
        <w:tab/>
        <w:t>Accrediting VET courses</w:t>
      </w:r>
      <w:r>
        <w:tab/>
      </w:r>
      <w:r>
        <w:fldChar w:fldCharType="begin"/>
      </w:r>
      <w:r>
        <w:instrText xml:space="preserve"> PAGEREF _Toc405806936 \h </w:instrText>
      </w:r>
      <w:r>
        <w:fldChar w:fldCharType="separate"/>
      </w:r>
      <w:r>
        <w:t>28</w:t>
      </w:r>
      <w:r>
        <w:fldChar w:fldCharType="end"/>
      </w:r>
    </w:p>
    <w:p>
      <w:pPr>
        <w:pStyle w:val="TOC8"/>
        <w:rPr>
          <w:rFonts w:asciiTheme="minorHAnsi" w:eastAsiaTheme="minorEastAsia" w:hAnsiTheme="minorHAnsi" w:cstheme="minorBidi"/>
          <w:szCs w:val="22"/>
        </w:rPr>
      </w:pPr>
      <w:r>
        <w:t>31.</w:t>
      </w:r>
      <w:r>
        <w:tab/>
        <w:t>Period of accreditation</w:t>
      </w:r>
      <w:r>
        <w:tab/>
      </w:r>
      <w:r>
        <w:fldChar w:fldCharType="begin"/>
      </w:r>
      <w:r>
        <w:instrText xml:space="preserve"> PAGEREF _Toc405806937 \h </w:instrText>
      </w:r>
      <w:r>
        <w:fldChar w:fldCharType="separate"/>
      </w:r>
      <w:r>
        <w:t>29</w:t>
      </w:r>
      <w:r>
        <w:fldChar w:fldCharType="end"/>
      </w:r>
    </w:p>
    <w:p>
      <w:pPr>
        <w:pStyle w:val="TOC8"/>
        <w:rPr>
          <w:rFonts w:asciiTheme="minorHAnsi" w:eastAsiaTheme="minorEastAsia" w:hAnsiTheme="minorHAnsi" w:cstheme="minorBidi"/>
          <w:szCs w:val="22"/>
        </w:rPr>
      </w:pPr>
      <w:r>
        <w:t>32.</w:t>
      </w:r>
      <w:r>
        <w:tab/>
        <w:t>Renewing accreditation</w:t>
      </w:r>
      <w:r>
        <w:tab/>
      </w:r>
      <w:r>
        <w:fldChar w:fldCharType="begin"/>
      </w:r>
      <w:r>
        <w:instrText xml:space="preserve"> PAGEREF _Toc405806938 \h </w:instrText>
      </w:r>
      <w:r>
        <w:fldChar w:fldCharType="separate"/>
      </w:r>
      <w:r>
        <w:t>29</w:t>
      </w:r>
      <w:r>
        <w:fldChar w:fldCharType="end"/>
      </w:r>
    </w:p>
    <w:p>
      <w:pPr>
        <w:pStyle w:val="TOC8"/>
        <w:rPr>
          <w:rFonts w:asciiTheme="minorHAnsi" w:eastAsiaTheme="minorEastAsia" w:hAnsiTheme="minorHAnsi" w:cstheme="minorBidi"/>
          <w:szCs w:val="22"/>
        </w:rPr>
      </w:pPr>
      <w:r>
        <w:t>33A.</w:t>
      </w:r>
      <w:r>
        <w:tab/>
        <w:t>Varying accreditation</w:t>
      </w:r>
      <w:r>
        <w:tab/>
      </w:r>
      <w:r>
        <w:fldChar w:fldCharType="begin"/>
      </w:r>
      <w:r>
        <w:instrText xml:space="preserve"> PAGEREF _Toc405806939 \h </w:instrText>
      </w:r>
      <w:r>
        <w:fldChar w:fldCharType="separate"/>
      </w:r>
      <w:r>
        <w:t>30</w:t>
      </w:r>
      <w:r>
        <w:fldChar w:fldCharType="end"/>
      </w:r>
    </w:p>
    <w:p>
      <w:pPr>
        <w:pStyle w:val="TOC8"/>
        <w:rPr>
          <w:rFonts w:asciiTheme="minorHAnsi" w:eastAsiaTheme="minorEastAsia" w:hAnsiTheme="minorHAnsi" w:cstheme="minorBidi"/>
          <w:szCs w:val="22"/>
        </w:rPr>
      </w:pPr>
      <w:r>
        <w:t>33.</w:t>
      </w:r>
      <w:r>
        <w:tab/>
        <w:t>Cancelling accreditation</w:t>
      </w:r>
      <w:r>
        <w:tab/>
      </w:r>
      <w:r>
        <w:fldChar w:fldCharType="begin"/>
      </w:r>
      <w:r>
        <w:instrText xml:space="preserve"> PAGEREF _Toc405806940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4 — Regulations for Part 7 of the Act</w:t>
      </w:r>
    </w:p>
    <w:p>
      <w:pPr>
        <w:pStyle w:val="TOC4"/>
        <w:tabs>
          <w:tab w:val="right" w:leader="dot" w:pos="7086"/>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34.</w:t>
      </w:r>
      <w:r>
        <w:tab/>
        <w:t>Term used: nominated training provider</w:t>
      </w:r>
      <w:r>
        <w:tab/>
      </w:r>
      <w:r>
        <w:fldChar w:fldCharType="begin"/>
      </w:r>
      <w:r>
        <w:instrText xml:space="preserve"> PAGEREF _Toc405806943 \h </w:instrText>
      </w:r>
      <w:r>
        <w:fldChar w:fldCharType="separate"/>
      </w:r>
      <w:r>
        <w:t>32</w:t>
      </w:r>
      <w:r>
        <w:fldChar w:fldCharType="end"/>
      </w:r>
    </w:p>
    <w:p>
      <w:pPr>
        <w:pStyle w:val="TOC8"/>
        <w:rPr>
          <w:rFonts w:asciiTheme="minorHAnsi" w:eastAsiaTheme="minorEastAsia" w:hAnsiTheme="minorHAnsi" w:cstheme="minorBidi"/>
          <w:szCs w:val="22"/>
        </w:rPr>
      </w:pPr>
      <w:r>
        <w:t>35.</w:t>
      </w:r>
      <w:r>
        <w:tab/>
        <w:t>Chief executive may delegate</w:t>
      </w:r>
      <w:r>
        <w:tab/>
      </w:r>
      <w:r>
        <w:fldChar w:fldCharType="begin"/>
      </w:r>
      <w:r>
        <w:instrText xml:space="preserve"> PAGEREF _Toc405806944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 — Classifying prescribed VET qualifications</w:t>
      </w:r>
    </w:p>
    <w:p>
      <w:pPr>
        <w:pStyle w:val="TOC8"/>
        <w:rPr>
          <w:rFonts w:asciiTheme="minorHAnsi" w:eastAsiaTheme="minorEastAsia" w:hAnsiTheme="minorHAnsi" w:cstheme="minorBidi"/>
          <w:szCs w:val="22"/>
        </w:rPr>
      </w:pPr>
      <w:r>
        <w:t>36.</w:t>
      </w:r>
      <w:r>
        <w:tab/>
        <w:t>Who Board must consult (Act s. 60C)</w:t>
      </w:r>
      <w:r>
        <w:tab/>
      </w:r>
      <w:r>
        <w:fldChar w:fldCharType="begin"/>
      </w:r>
      <w:r>
        <w:instrText xml:space="preserve"> PAGEREF _Toc405806946 \h </w:instrText>
      </w:r>
      <w:r>
        <w:fldChar w:fldCharType="separate"/>
      </w:r>
      <w:r>
        <w:t>33</w:t>
      </w:r>
      <w:r>
        <w:fldChar w:fldCharType="end"/>
      </w:r>
    </w:p>
    <w:p>
      <w:pPr>
        <w:pStyle w:val="TOC8"/>
        <w:rPr>
          <w:rFonts w:asciiTheme="minorHAnsi" w:eastAsiaTheme="minorEastAsia" w:hAnsiTheme="minorHAnsi" w:cstheme="minorBidi"/>
          <w:szCs w:val="22"/>
        </w:rPr>
      </w:pPr>
      <w:r>
        <w:t>37.</w:t>
      </w:r>
      <w:r>
        <w:tab/>
        <w:t>Board’s advice and recommendations to Minister (Act s. 60C)</w:t>
      </w:r>
      <w:r>
        <w:tab/>
      </w:r>
      <w:r>
        <w:fldChar w:fldCharType="begin"/>
      </w:r>
      <w:r>
        <w:instrText xml:space="preserve"> PAGEREF _Toc405806947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3 — Training contracts</w:t>
      </w:r>
    </w:p>
    <w:p>
      <w:pPr>
        <w:pStyle w:val="TOC8"/>
        <w:rPr>
          <w:rFonts w:asciiTheme="minorHAnsi" w:eastAsiaTheme="minorEastAsia" w:hAnsiTheme="minorHAnsi" w:cstheme="minorBidi"/>
          <w:szCs w:val="22"/>
        </w:rPr>
      </w:pPr>
      <w:r>
        <w:t>38.</w:t>
      </w:r>
      <w:r>
        <w:tab/>
        <w:t>Form and content of training contracts</w:t>
      </w:r>
      <w:r>
        <w:tab/>
      </w:r>
      <w:r>
        <w:fldChar w:fldCharType="begin"/>
      </w:r>
      <w:r>
        <w:instrText xml:space="preserve"> PAGEREF _Toc405806949 \h </w:instrText>
      </w:r>
      <w:r>
        <w:fldChar w:fldCharType="separate"/>
      </w:r>
      <w:r>
        <w:t>34</w:t>
      </w:r>
      <w:r>
        <w:fldChar w:fldCharType="end"/>
      </w:r>
    </w:p>
    <w:p>
      <w:pPr>
        <w:pStyle w:val="TOC8"/>
        <w:rPr>
          <w:rFonts w:asciiTheme="minorHAnsi" w:eastAsiaTheme="minorEastAsia" w:hAnsiTheme="minorHAnsi" w:cstheme="minorBidi"/>
          <w:szCs w:val="22"/>
        </w:rPr>
      </w:pPr>
      <w:r>
        <w:t>39.</w:t>
      </w:r>
      <w:r>
        <w:tab/>
        <w:t>Probation periods of training contracts</w:t>
      </w:r>
      <w:r>
        <w:tab/>
      </w:r>
      <w:r>
        <w:fldChar w:fldCharType="begin"/>
      </w:r>
      <w:r>
        <w:instrText xml:space="preserve"> PAGEREF _Toc405806950 \h </w:instrText>
      </w:r>
      <w:r>
        <w:fldChar w:fldCharType="separate"/>
      </w:r>
      <w:r>
        <w:t>35</w:t>
      </w:r>
      <w:r>
        <w:fldChar w:fldCharType="end"/>
      </w:r>
    </w:p>
    <w:p>
      <w:pPr>
        <w:pStyle w:val="TOC8"/>
        <w:rPr>
          <w:rFonts w:asciiTheme="minorHAnsi" w:eastAsiaTheme="minorEastAsia" w:hAnsiTheme="minorHAnsi" w:cstheme="minorBidi"/>
          <w:szCs w:val="22"/>
        </w:rPr>
      </w:pPr>
      <w:r>
        <w:t>40.</w:t>
      </w:r>
      <w:r>
        <w:tab/>
        <w:t>Children’s capacity to enter into training contracts</w:t>
      </w:r>
      <w:r>
        <w:tab/>
      </w:r>
      <w:r>
        <w:fldChar w:fldCharType="begin"/>
      </w:r>
      <w:r>
        <w:instrText xml:space="preserve"> PAGEREF _Toc405806951 \h </w:instrText>
      </w:r>
      <w:r>
        <w:fldChar w:fldCharType="separate"/>
      </w:r>
      <w:r>
        <w:t>35</w:t>
      </w:r>
      <w:r>
        <w:fldChar w:fldCharType="end"/>
      </w:r>
    </w:p>
    <w:p>
      <w:pPr>
        <w:pStyle w:val="TOC8"/>
        <w:rPr>
          <w:rFonts w:asciiTheme="minorHAnsi" w:eastAsiaTheme="minorEastAsia" w:hAnsiTheme="minorHAnsi" w:cstheme="minorBidi"/>
          <w:szCs w:val="22"/>
        </w:rPr>
      </w:pPr>
      <w:r>
        <w:t>41.</w:t>
      </w:r>
      <w:r>
        <w:tab/>
        <w:t>Lodging training contracts for registration (Act s. 60F)</w:t>
      </w:r>
      <w:r>
        <w:tab/>
      </w:r>
      <w:r>
        <w:fldChar w:fldCharType="begin"/>
      </w:r>
      <w:r>
        <w:instrText xml:space="preserve"> PAGEREF _Toc405806952 \h </w:instrText>
      </w:r>
      <w:r>
        <w:fldChar w:fldCharType="separate"/>
      </w:r>
      <w:r>
        <w:t>37</w:t>
      </w:r>
      <w:r>
        <w:fldChar w:fldCharType="end"/>
      </w:r>
    </w:p>
    <w:p>
      <w:pPr>
        <w:pStyle w:val="TOC8"/>
        <w:rPr>
          <w:rFonts w:asciiTheme="minorHAnsi" w:eastAsiaTheme="minorEastAsia" w:hAnsiTheme="minorHAnsi" w:cstheme="minorBidi"/>
          <w:szCs w:val="22"/>
        </w:rPr>
      </w:pPr>
      <w:r>
        <w:t>42.</w:t>
      </w:r>
      <w:r>
        <w:tab/>
        <w:t>Registering training contracts (Act s. 60F)</w:t>
      </w:r>
      <w:r>
        <w:tab/>
      </w:r>
      <w:r>
        <w:fldChar w:fldCharType="begin"/>
      </w:r>
      <w:r>
        <w:instrText xml:space="preserve"> PAGEREF _Toc405806953 \h </w:instrText>
      </w:r>
      <w:r>
        <w:fldChar w:fldCharType="separate"/>
      </w:r>
      <w:r>
        <w:t>37</w:t>
      </w:r>
      <w:r>
        <w:fldChar w:fldCharType="end"/>
      </w:r>
    </w:p>
    <w:p>
      <w:pPr>
        <w:pStyle w:val="TOC8"/>
        <w:rPr>
          <w:rFonts w:asciiTheme="minorHAnsi" w:eastAsiaTheme="minorEastAsia" w:hAnsiTheme="minorHAnsi" w:cstheme="minorBidi"/>
          <w:szCs w:val="22"/>
        </w:rPr>
      </w:pPr>
      <w:r>
        <w:t>43.</w:t>
      </w:r>
      <w:r>
        <w:tab/>
        <w:t>Training plans for training contracts</w:t>
      </w:r>
      <w:r>
        <w:tab/>
      </w:r>
      <w:r>
        <w:fldChar w:fldCharType="begin"/>
      </w:r>
      <w:r>
        <w:instrText xml:space="preserve"> PAGEREF _Toc405806954 \h </w:instrText>
      </w:r>
      <w:r>
        <w:fldChar w:fldCharType="separate"/>
      </w:r>
      <w:r>
        <w:t>39</w:t>
      </w:r>
      <w:r>
        <w:fldChar w:fldCharType="end"/>
      </w:r>
    </w:p>
    <w:p>
      <w:pPr>
        <w:pStyle w:val="TOC8"/>
        <w:rPr>
          <w:rFonts w:asciiTheme="minorHAnsi" w:eastAsiaTheme="minorEastAsia" w:hAnsiTheme="minorHAnsi" w:cstheme="minorBidi"/>
          <w:szCs w:val="22"/>
        </w:rPr>
      </w:pPr>
      <w:r>
        <w:t>44.</w:t>
      </w:r>
      <w:r>
        <w:tab/>
        <w:t>Cancellation of registration by chief executive (Act s. 60F)</w:t>
      </w:r>
      <w:r>
        <w:tab/>
      </w:r>
      <w:r>
        <w:fldChar w:fldCharType="begin"/>
      </w:r>
      <w:r>
        <w:instrText xml:space="preserve"> PAGEREF _Toc405806955 \h </w:instrText>
      </w:r>
      <w:r>
        <w:fldChar w:fldCharType="separate"/>
      </w:r>
      <w:r>
        <w:t>40</w:t>
      </w:r>
      <w:r>
        <w:fldChar w:fldCharType="end"/>
      </w:r>
    </w:p>
    <w:p>
      <w:pPr>
        <w:pStyle w:val="TOC8"/>
        <w:rPr>
          <w:rFonts w:asciiTheme="minorHAnsi" w:eastAsiaTheme="minorEastAsia" w:hAnsiTheme="minorHAnsi" w:cstheme="minorBidi"/>
          <w:szCs w:val="22"/>
        </w:rPr>
      </w:pPr>
      <w:r>
        <w:t>45.</w:t>
      </w:r>
      <w:r>
        <w:tab/>
        <w:t>Chief executive may require persons involved in training contracts to provide information</w:t>
      </w:r>
      <w:r>
        <w:tab/>
      </w:r>
      <w:r>
        <w:fldChar w:fldCharType="begin"/>
      </w:r>
      <w:r>
        <w:instrText xml:space="preserve"> PAGEREF _Toc405806956 \h </w:instrText>
      </w:r>
      <w:r>
        <w:fldChar w:fldCharType="separate"/>
      </w:r>
      <w:r>
        <w:t>40</w:t>
      </w:r>
      <w:r>
        <w:fldChar w:fldCharType="end"/>
      </w:r>
    </w:p>
    <w:p>
      <w:pPr>
        <w:pStyle w:val="TOC8"/>
        <w:rPr>
          <w:rFonts w:asciiTheme="minorHAnsi" w:eastAsiaTheme="minorEastAsia" w:hAnsiTheme="minorHAnsi" w:cstheme="minorBidi"/>
          <w:szCs w:val="22"/>
        </w:rPr>
      </w:pPr>
      <w:r>
        <w:t>46.</w:t>
      </w:r>
      <w:r>
        <w:tab/>
        <w:t>Variation of training contract by parties (Act s. 60E)</w:t>
      </w:r>
      <w:r>
        <w:tab/>
      </w:r>
      <w:r>
        <w:fldChar w:fldCharType="begin"/>
      </w:r>
      <w:r>
        <w:instrText xml:space="preserve"> PAGEREF _Toc405806957 \h </w:instrText>
      </w:r>
      <w:r>
        <w:fldChar w:fldCharType="separate"/>
      </w:r>
      <w:r>
        <w:t>41</w:t>
      </w:r>
      <w:r>
        <w:fldChar w:fldCharType="end"/>
      </w:r>
    </w:p>
    <w:p>
      <w:pPr>
        <w:pStyle w:val="TOC8"/>
        <w:rPr>
          <w:rFonts w:asciiTheme="minorHAnsi" w:eastAsiaTheme="minorEastAsia" w:hAnsiTheme="minorHAnsi" w:cstheme="minorBidi"/>
          <w:szCs w:val="22"/>
        </w:rPr>
      </w:pPr>
      <w:r>
        <w:t>47.</w:t>
      </w:r>
      <w:r>
        <w:tab/>
        <w:t>Assignment of training contract to another employer (Act s. 60E)</w:t>
      </w:r>
      <w:r>
        <w:tab/>
      </w:r>
      <w:r>
        <w:fldChar w:fldCharType="begin"/>
      </w:r>
      <w:r>
        <w:instrText xml:space="preserve"> PAGEREF _Toc405806958 \h </w:instrText>
      </w:r>
      <w:r>
        <w:fldChar w:fldCharType="separate"/>
      </w:r>
      <w:r>
        <w:t>42</w:t>
      </w:r>
      <w:r>
        <w:fldChar w:fldCharType="end"/>
      </w:r>
    </w:p>
    <w:p>
      <w:pPr>
        <w:pStyle w:val="TOC8"/>
        <w:rPr>
          <w:rFonts w:asciiTheme="minorHAnsi" w:eastAsiaTheme="minorEastAsia" w:hAnsiTheme="minorHAnsi" w:cstheme="minorBidi"/>
          <w:szCs w:val="22"/>
        </w:rPr>
      </w:pPr>
      <w:r>
        <w:t>48.</w:t>
      </w:r>
      <w:r>
        <w:tab/>
        <w:t>Suspension of training contract by parties (Act s. 60E)</w:t>
      </w:r>
      <w:r>
        <w:tab/>
      </w:r>
      <w:r>
        <w:fldChar w:fldCharType="begin"/>
      </w:r>
      <w:r>
        <w:instrText xml:space="preserve"> PAGEREF _Toc405806959 \h </w:instrText>
      </w:r>
      <w:r>
        <w:fldChar w:fldCharType="separate"/>
      </w:r>
      <w:r>
        <w:t>43</w:t>
      </w:r>
      <w:r>
        <w:fldChar w:fldCharType="end"/>
      </w:r>
    </w:p>
    <w:p>
      <w:pPr>
        <w:pStyle w:val="TOC8"/>
        <w:rPr>
          <w:rFonts w:asciiTheme="minorHAnsi" w:eastAsiaTheme="minorEastAsia" w:hAnsiTheme="minorHAnsi" w:cstheme="minorBidi"/>
          <w:szCs w:val="22"/>
        </w:rPr>
      </w:pPr>
      <w:r>
        <w:t>49.</w:t>
      </w:r>
      <w:r>
        <w:tab/>
        <w:t>Suspension by employer (Act s. 60E)</w:t>
      </w:r>
      <w:r>
        <w:tab/>
      </w:r>
      <w:r>
        <w:fldChar w:fldCharType="begin"/>
      </w:r>
      <w:r>
        <w:instrText xml:space="preserve"> PAGEREF _Toc405806960 \h </w:instrText>
      </w:r>
      <w:r>
        <w:fldChar w:fldCharType="separate"/>
      </w:r>
      <w:r>
        <w:t>43</w:t>
      </w:r>
      <w:r>
        <w:fldChar w:fldCharType="end"/>
      </w:r>
    </w:p>
    <w:p>
      <w:pPr>
        <w:pStyle w:val="TOC8"/>
        <w:rPr>
          <w:rFonts w:asciiTheme="minorHAnsi" w:eastAsiaTheme="minorEastAsia" w:hAnsiTheme="minorHAnsi" w:cstheme="minorBidi"/>
          <w:szCs w:val="22"/>
        </w:rPr>
      </w:pPr>
      <w:r>
        <w:t>50.</w:t>
      </w:r>
      <w:r>
        <w:tab/>
        <w:t>Termination of training contract by parties (Act s. 60G)</w:t>
      </w:r>
      <w:r>
        <w:tab/>
      </w:r>
      <w:r>
        <w:fldChar w:fldCharType="begin"/>
      </w:r>
      <w:r>
        <w:instrText xml:space="preserve"> PAGEREF _Toc405806961 \h </w:instrText>
      </w:r>
      <w:r>
        <w:fldChar w:fldCharType="separate"/>
      </w:r>
      <w:r>
        <w:t>45</w:t>
      </w:r>
      <w:r>
        <w:fldChar w:fldCharType="end"/>
      </w:r>
    </w:p>
    <w:p>
      <w:pPr>
        <w:pStyle w:val="TOC8"/>
        <w:rPr>
          <w:rFonts w:asciiTheme="minorHAnsi" w:eastAsiaTheme="minorEastAsia" w:hAnsiTheme="minorHAnsi" w:cstheme="minorBidi"/>
          <w:szCs w:val="22"/>
        </w:rPr>
      </w:pPr>
      <w:r>
        <w:t>51.</w:t>
      </w:r>
      <w:r>
        <w:tab/>
        <w:t>Approval of termination of training contract by chief executive (Act s. 60G)</w:t>
      </w:r>
      <w:r>
        <w:tab/>
      </w:r>
      <w:r>
        <w:fldChar w:fldCharType="begin"/>
      </w:r>
      <w:r>
        <w:instrText xml:space="preserve"> PAGEREF _Toc405806962 \h </w:instrText>
      </w:r>
      <w:r>
        <w:fldChar w:fldCharType="separate"/>
      </w:r>
      <w:r>
        <w:t>45</w:t>
      </w:r>
      <w:r>
        <w:fldChar w:fldCharType="end"/>
      </w:r>
    </w:p>
    <w:p>
      <w:pPr>
        <w:pStyle w:val="TOC8"/>
        <w:rPr>
          <w:rFonts w:asciiTheme="minorHAnsi" w:eastAsiaTheme="minorEastAsia" w:hAnsiTheme="minorHAnsi" w:cstheme="minorBidi"/>
          <w:szCs w:val="22"/>
        </w:rPr>
      </w:pPr>
      <w:r>
        <w:t>52.</w:t>
      </w:r>
      <w:r>
        <w:tab/>
        <w:t>Completion of training contract</w:t>
      </w:r>
      <w:r>
        <w:tab/>
      </w:r>
      <w:r>
        <w:fldChar w:fldCharType="begin"/>
      </w:r>
      <w:r>
        <w:instrText xml:space="preserve"> PAGEREF _Toc405806963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4 — Procedure and appeals</w:t>
      </w:r>
    </w:p>
    <w:p>
      <w:pPr>
        <w:pStyle w:val="TOC8"/>
        <w:rPr>
          <w:rFonts w:asciiTheme="minorHAnsi" w:eastAsiaTheme="minorEastAsia" w:hAnsiTheme="minorHAnsi" w:cstheme="minorBidi"/>
          <w:szCs w:val="22"/>
        </w:rPr>
      </w:pPr>
      <w:r>
        <w:t>53.</w:t>
      </w:r>
      <w:r>
        <w:tab/>
        <w:t>Procedure on applications</w:t>
      </w:r>
      <w:r>
        <w:tab/>
      </w:r>
      <w:r>
        <w:fldChar w:fldCharType="begin"/>
      </w:r>
      <w:r>
        <w:instrText xml:space="preserve"> PAGEREF _Toc405806965 \h </w:instrText>
      </w:r>
      <w:r>
        <w:fldChar w:fldCharType="separate"/>
      </w:r>
      <w:r>
        <w:t>46</w:t>
      </w:r>
      <w:r>
        <w:fldChar w:fldCharType="end"/>
      </w:r>
    </w:p>
    <w:p>
      <w:pPr>
        <w:pStyle w:val="TOC8"/>
        <w:rPr>
          <w:rFonts w:asciiTheme="minorHAnsi" w:eastAsiaTheme="minorEastAsia" w:hAnsiTheme="minorHAnsi" w:cstheme="minorBidi"/>
          <w:szCs w:val="22"/>
        </w:rPr>
      </w:pPr>
      <w:r>
        <w:t>54.</w:t>
      </w:r>
      <w:r>
        <w:tab/>
        <w:t>Appeals</w:t>
      </w:r>
      <w:r>
        <w:tab/>
      </w:r>
      <w:r>
        <w:fldChar w:fldCharType="begin"/>
      </w:r>
      <w:r>
        <w:instrText xml:space="preserve"> PAGEREF _Toc405806966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5 — Repeals and transitional matters</w:t>
      </w:r>
    </w:p>
    <w:p>
      <w:pPr>
        <w:pStyle w:val="TOC8"/>
        <w:rPr>
          <w:rFonts w:asciiTheme="minorHAnsi" w:eastAsiaTheme="minorEastAsia" w:hAnsiTheme="minorHAnsi" w:cstheme="minorBidi"/>
          <w:szCs w:val="22"/>
        </w:rPr>
      </w:pPr>
      <w:r>
        <w:t>55.</w:t>
      </w:r>
      <w:r>
        <w:tab/>
        <w:t>Term used: commencement</w:t>
      </w:r>
      <w:r>
        <w:tab/>
      </w:r>
      <w:r>
        <w:fldChar w:fldCharType="begin"/>
      </w:r>
      <w:r>
        <w:instrText xml:space="preserve"> PAGEREF _Toc405806968 \h </w:instrText>
      </w:r>
      <w:r>
        <w:fldChar w:fldCharType="separate"/>
      </w:r>
      <w:r>
        <w:t>48</w:t>
      </w:r>
      <w:r>
        <w:fldChar w:fldCharType="end"/>
      </w:r>
    </w:p>
    <w:p>
      <w:pPr>
        <w:pStyle w:val="TOC8"/>
        <w:rPr>
          <w:rFonts w:asciiTheme="minorHAnsi" w:eastAsiaTheme="minorEastAsia" w:hAnsiTheme="minorHAnsi" w:cstheme="minorBidi"/>
          <w:szCs w:val="22"/>
        </w:rPr>
      </w:pPr>
      <w:r>
        <w:t>57.</w:t>
      </w:r>
      <w:r>
        <w:tab/>
        <w:t>Registered training providers</w:t>
      </w:r>
      <w:r>
        <w:tab/>
      </w:r>
      <w:r>
        <w:fldChar w:fldCharType="begin"/>
      </w:r>
      <w:r>
        <w:instrText xml:space="preserve"> PAGEREF _Toc405806969 \h </w:instrText>
      </w:r>
      <w:r>
        <w:fldChar w:fldCharType="separate"/>
      </w:r>
      <w:r>
        <w:t>48</w:t>
      </w:r>
      <w:r>
        <w:fldChar w:fldCharType="end"/>
      </w:r>
    </w:p>
    <w:p>
      <w:pPr>
        <w:pStyle w:val="TOC8"/>
        <w:rPr>
          <w:rFonts w:asciiTheme="minorHAnsi" w:eastAsiaTheme="minorEastAsia" w:hAnsiTheme="minorHAnsi" w:cstheme="minorBidi"/>
          <w:szCs w:val="22"/>
        </w:rPr>
      </w:pPr>
      <w:r>
        <w:t>58.</w:t>
      </w:r>
      <w:r>
        <w:tab/>
        <w:t>Accredited courses</w:t>
      </w:r>
      <w:r>
        <w:tab/>
      </w:r>
      <w:r>
        <w:fldChar w:fldCharType="begin"/>
      </w:r>
      <w:r>
        <w:instrText xml:space="preserve"> PAGEREF _Toc405806970 \h </w:instrText>
      </w:r>
      <w:r>
        <w:fldChar w:fldCharType="separate"/>
      </w:r>
      <w:r>
        <w:t>48</w:t>
      </w:r>
      <w:r>
        <w:fldChar w:fldCharType="end"/>
      </w:r>
    </w:p>
    <w:p>
      <w:pPr>
        <w:pStyle w:val="TOC8"/>
        <w:rPr>
          <w:rFonts w:asciiTheme="minorHAnsi" w:eastAsiaTheme="minorEastAsia" w:hAnsiTheme="minorHAnsi" w:cstheme="minorBidi"/>
          <w:szCs w:val="22"/>
        </w:rPr>
      </w:pPr>
      <w:r>
        <w:t>59.</w:t>
      </w:r>
      <w:r>
        <w:tab/>
        <w:t>Traineeship contracts</w:t>
      </w:r>
      <w:r>
        <w:tab/>
      </w:r>
      <w:r>
        <w:fldChar w:fldCharType="begin"/>
      </w:r>
      <w:r>
        <w:instrText xml:space="preserve"> PAGEREF _Toc405806971 \h </w:instrText>
      </w:r>
      <w:r>
        <w:fldChar w:fldCharType="separate"/>
      </w:r>
      <w:r>
        <w:t>48</w:t>
      </w:r>
      <w:r>
        <w:fldChar w:fldCharType="end"/>
      </w:r>
    </w:p>
    <w:p>
      <w:pPr>
        <w:pStyle w:val="TOC8"/>
        <w:rPr>
          <w:rFonts w:asciiTheme="minorHAnsi" w:eastAsiaTheme="minorEastAsia" w:hAnsiTheme="minorHAnsi" w:cstheme="minorBidi"/>
          <w:szCs w:val="22"/>
        </w:rPr>
      </w:pPr>
      <w:r>
        <w:t>60.</w:t>
      </w:r>
      <w:r>
        <w:tab/>
        <w:t>Apprentices learning trades, transitional provisions for</w:t>
      </w:r>
      <w:r>
        <w:tab/>
      </w:r>
      <w:r>
        <w:fldChar w:fldCharType="begin"/>
      </w:r>
      <w:r>
        <w:instrText xml:space="preserve"> PAGEREF _Toc405806972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Schedule 1 — Training contract</w:t>
      </w:r>
    </w:p>
    <w:p>
      <w:pPr>
        <w:pStyle w:val="TOC2"/>
        <w:tabs>
          <w:tab w:val="right" w:leader="dot" w:pos="7086"/>
        </w:tabs>
        <w:rPr>
          <w:rFonts w:asciiTheme="minorHAnsi" w:eastAsiaTheme="minorEastAsia" w:hAnsiTheme="minorHAnsi" w:cstheme="minorBidi"/>
          <w:b w:val="0"/>
          <w:sz w:val="22"/>
          <w:szCs w:val="22"/>
        </w:rPr>
      </w:pPr>
      <w:r>
        <w:t>Schedule 2 — Provisions about old agreements and old training contracts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_Toc405806975 \h </w:instrText>
      </w:r>
      <w:r>
        <w:fldChar w:fldCharType="separate"/>
      </w:r>
      <w:r>
        <w:t>71</w:t>
      </w:r>
      <w:r>
        <w:fldChar w:fldCharType="end"/>
      </w:r>
    </w:p>
    <w:p>
      <w:pPr>
        <w:pStyle w:val="TOC8"/>
        <w:rPr>
          <w:rFonts w:asciiTheme="minorHAnsi" w:eastAsiaTheme="minorEastAsia" w:hAnsiTheme="minorHAnsi" w:cstheme="minorBidi"/>
          <w:szCs w:val="22"/>
        </w:rPr>
      </w:pPr>
      <w:r>
        <w:t>2.</w:t>
      </w:r>
      <w:r>
        <w:tab/>
        <w:t>Old agreements to be read with modifications</w:t>
      </w:r>
      <w:r>
        <w:tab/>
      </w:r>
      <w:r>
        <w:fldChar w:fldCharType="begin"/>
      </w:r>
      <w:r>
        <w:instrText xml:space="preserve"> PAGEREF _Toc405806976 \h </w:instrText>
      </w:r>
      <w:r>
        <w:fldChar w:fldCharType="separate"/>
      </w:r>
      <w:r>
        <w:t>71</w:t>
      </w:r>
      <w:r>
        <w:fldChar w:fldCharType="end"/>
      </w:r>
    </w:p>
    <w:p>
      <w:pPr>
        <w:pStyle w:val="TOC8"/>
        <w:rPr>
          <w:rFonts w:asciiTheme="minorHAnsi" w:eastAsiaTheme="minorEastAsia" w:hAnsiTheme="minorHAnsi" w:cstheme="minorBidi"/>
          <w:szCs w:val="22"/>
        </w:rPr>
      </w:pPr>
      <w:r>
        <w:t>3.</w:t>
      </w:r>
      <w:r>
        <w:tab/>
        <w:t>Old agreements and contracts not terminated by sale of business</w:t>
      </w:r>
      <w:r>
        <w:tab/>
      </w:r>
      <w:r>
        <w:fldChar w:fldCharType="begin"/>
      </w:r>
      <w:r>
        <w:instrText xml:space="preserve"> PAGEREF _Toc405806977 \h </w:instrText>
      </w:r>
      <w:r>
        <w:fldChar w:fldCharType="separate"/>
      </w:r>
      <w:r>
        <w:t>73</w:t>
      </w:r>
      <w:r>
        <w:fldChar w:fldCharType="end"/>
      </w:r>
    </w:p>
    <w:p>
      <w:pPr>
        <w:pStyle w:val="TOC8"/>
        <w:rPr>
          <w:rFonts w:asciiTheme="minorHAnsi" w:eastAsiaTheme="minorEastAsia" w:hAnsiTheme="minorHAnsi" w:cstheme="minorBidi"/>
          <w:szCs w:val="22"/>
        </w:rPr>
      </w:pPr>
      <w:r>
        <w:t>4.</w:t>
      </w:r>
      <w:r>
        <w:tab/>
        <w:t>Technical instruction requirements for trade apprentices</w:t>
      </w:r>
      <w:r>
        <w:tab/>
      </w:r>
      <w:r>
        <w:fldChar w:fldCharType="begin"/>
      </w:r>
      <w:r>
        <w:instrText xml:space="preserve"> PAGEREF _Toc405806978 \h </w:instrText>
      </w:r>
      <w:r>
        <w:fldChar w:fldCharType="separate"/>
      </w:r>
      <w:r>
        <w:t>73</w:t>
      </w:r>
      <w:r>
        <w:fldChar w:fldCharType="end"/>
      </w:r>
    </w:p>
    <w:p>
      <w:pPr>
        <w:pStyle w:val="TOC8"/>
        <w:rPr>
          <w:rFonts w:asciiTheme="minorHAnsi" w:eastAsiaTheme="minorEastAsia" w:hAnsiTheme="minorHAnsi" w:cstheme="minorBidi"/>
          <w:szCs w:val="22"/>
        </w:rPr>
      </w:pPr>
      <w:r>
        <w:t>5.</w:t>
      </w:r>
      <w:r>
        <w:tab/>
        <w:t>Final certificates for trade apprentices</w:t>
      </w:r>
      <w:r>
        <w:tab/>
      </w:r>
      <w:r>
        <w:fldChar w:fldCharType="begin"/>
      </w:r>
      <w:r>
        <w:instrText xml:space="preserve"> PAGEREF _Toc405806979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_Toc405806981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1" w:name="_Toc394914706"/>
      <w:bookmarkStart w:id="2" w:name="_Toc405799711"/>
      <w:bookmarkStart w:id="3" w:name="_Toc405806894"/>
      <w:r>
        <w:rPr>
          <w:rStyle w:val="CharPartNo"/>
        </w:rPr>
        <w:t>Part 1</w:t>
      </w:r>
      <w:r>
        <w:rPr>
          <w:rStyle w:val="CharDivNo"/>
        </w:rPr>
        <w:t> </w:t>
      </w:r>
      <w:r>
        <w:t>—</w:t>
      </w:r>
      <w:r>
        <w:rPr>
          <w:rStyle w:val="CharDivText"/>
        </w:rPr>
        <w:t> </w:t>
      </w:r>
      <w:r>
        <w:rPr>
          <w:rStyle w:val="CharPartText"/>
        </w:rPr>
        <w:t>Preliminary matters</w:t>
      </w:r>
      <w:bookmarkEnd w:id="1"/>
      <w:bookmarkEnd w:id="2"/>
      <w:bookmarkEnd w:id="3"/>
    </w:p>
    <w:p>
      <w:pPr>
        <w:pStyle w:val="Heading5"/>
      </w:pPr>
      <w:bookmarkStart w:id="4" w:name="_Toc405806895"/>
      <w:r>
        <w:rPr>
          <w:rStyle w:val="CharSectno"/>
        </w:rPr>
        <w:t>1</w:t>
      </w:r>
      <w:r>
        <w:t>.</w:t>
      </w:r>
      <w:r>
        <w:tab/>
        <w:t>Citation</w:t>
      </w:r>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6" w:name="_Toc405806896"/>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7" w:name="_Toc405806897"/>
      <w:r>
        <w:rPr>
          <w:rStyle w:val="CharSectno"/>
        </w:rPr>
        <w:t>3</w:t>
      </w:r>
      <w:r>
        <w:t>.</w:t>
      </w:r>
      <w:r>
        <w:tab/>
        <w:t>Terms used</w:t>
      </w:r>
      <w:bookmarkEnd w:id="7"/>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w:t>
      </w:r>
    </w:p>
    <w:p>
      <w:pPr>
        <w:pStyle w:val="Heading2"/>
      </w:pPr>
      <w:bookmarkStart w:id="8" w:name="_Toc394914710"/>
      <w:bookmarkStart w:id="9" w:name="_Toc405799715"/>
      <w:bookmarkStart w:id="10" w:name="_Toc405806898"/>
      <w:r>
        <w:rPr>
          <w:rStyle w:val="CharPartNo"/>
        </w:rPr>
        <w:t>Part 2</w:t>
      </w:r>
      <w:r>
        <w:rPr>
          <w:rStyle w:val="CharDivNo"/>
        </w:rPr>
        <w:t> </w:t>
      </w:r>
      <w:r>
        <w:t>—</w:t>
      </w:r>
      <w:r>
        <w:rPr>
          <w:rStyle w:val="CharDivText"/>
        </w:rPr>
        <w:t> </w:t>
      </w:r>
      <w:r>
        <w:rPr>
          <w:rStyle w:val="CharPartText"/>
        </w:rPr>
        <w:t>General matters</w:t>
      </w:r>
      <w:bookmarkEnd w:id="8"/>
      <w:bookmarkEnd w:id="9"/>
      <w:bookmarkEnd w:id="10"/>
    </w:p>
    <w:p>
      <w:pPr>
        <w:pStyle w:val="Heading5"/>
      </w:pPr>
      <w:bookmarkStart w:id="11" w:name="_Toc405806899"/>
      <w:r>
        <w:rPr>
          <w:rStyle w:val="CharSectno"/>
        </w:rPr>
        <w:t>4</w:t>
      </w:r>
      <w:r>
        <w:t>.</w:t>
      </w:r>
      <w:r>
        <w:tab/>
        <w:t>Approved VET courses (Act s. 5(1))</w:t>
      </w:r>
      <w:bookmarkEnd w:id="11"/>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Footnotesection"/>
      </w:pPr>
      <w:r>
        <w:tab/>
        <w:t>[Regulation 4 amended in Gazette 17 Dec 2013 p.</w:t>
      </w:r>
      <w:r>
        <w:rPr>
          <w:sz w:val="19"/>
        </w:rPr>
        <w:t> </w:t>
      </w:r>
      <w:r>
        <w:t>6220.]</w:t>
      </w:r>
    </w:p>
    <w:p>
      <w:pPr>
        <w:pStyle w:val="Heading5"/>
      </w:pPr>
      <w:bookmarkStart w:id="12" w:name="_Toc405806900"/>
      <w:r>
        <w:rPr>
          <w:rStyle w:val="CharSectno"/>
        </w:rPr>
        <w:t>5</w:t>
      </w:r>
      <w:r>
        <w:t>.</w:t>
      </w:r>
      <w:r>
        <w:tab/>
        <w:t>Corresponding laws (Act s. 5(1))</w:t>
      </w:r>
      <w:bookmarkEnd w:id="12"/>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13" w:name="_Toc405806901"/>
      <w:r>
        <w:rPr>
          <w:rStyle w:val="CharSectno"/>
        </w:rPr>
        <w:t>6</w:t>
      </w:r>
      <w:r>
        <w:t>.</w:t>
      </w:r>
      <w:r>
        <w:tab/>
        <w:t>Prescribed VET qualifications (Act s. 5(1))</w:t>
      </w:r>
      <w:bookmarkEnd w:id="13"/>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14" w:name="_Toc394914714"/>
      <w:bookmarkStart w:id="15" w:name="_Toc405799719"/>
      <w:bookmarkStart w:id="16" w:name="_Toc405806902"/>
      <w:r>
        <w:rPr>
          <w:rStyle w:val="CharPartNo"/>
        </w:rPr>
        <w:t>Part 3</w:t>
      </w:r>
      <w:r>
        <w:t> — </w:t>
      </w:r>
      <w:r>
        <w:rPr>
          <w:rStyle w:val="CharPartText"/>
        </w:rPr>
        <w:t>Regulations for Part 7A of the Act</w:t>
      </w:r>
      <w:bookmarkEnd w:id="14"/>
      <w:bookmarkEnd w:id="15"/>
      <w:bookmarkEnd w:id="16"/>
    </w:p>
    <w:p>
      <w:pPr>
        <w:pStyle w:val="Heading3"/>
      </w:pPr>
      <w:bookmarkStart w:id="17" w:name="_Toc394914715"/>
      <w:bookmarkStart w:id="18" w:name="_Toc405799720"/>
      <w:bookmarkStart w:id="19" w:name="_Toc405806903"/>
      <w:r>
        <w:rPr>
          <w:rStyle w:val="CharDivNo"/>
        </w:rPr>
        <w:t>Division 1</w:t>
      </w:r>
      <w:r>
        <w:t> — </w:t>
      </w:r>
      <w:r>
        <w:rPr>
          <w:rStyle w:val="CharDivText"/>
        </w:rPr>
        <w:t>General matters</w:t>
      </w:r>
      <w:bookmarkEnd w:id="17"/>
      <w:bookmarkEnd w:id="18"/>
      <w:bookmarkEnd w:id="19"/>
    </w:p>
    <w:p>
      <w:pPr>
        <w:pStyle w:val="Heading5"/>
      </w:pPr>
      <w:bookmarkStart w:id="20" w:name="_Toc405806904"/>
      <w:r>
        <w:rPr>
          <w:rStyle w:val="CharSectno"/>
        </w:rPr>
        <w:t>7</w:t>
      </w:r>
      <w:r>
        <w:t>.</w:t>
      </w:r>
      <w:r>
        <w:tab/>
        <w:t>Terms used</w:t>
      </w:r>
      <w:bookmarkEnd w:id="20"/>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rPr>
          <w:b/>
          <w:i/>
        </w:rPr>
        <w:tab/>
      </w:r>
      <w:r>
        <w:rPr>
          <w:rStyle w:val="CharDefText"/>
        </w:rPr>
        <w:t>compliance monitoring audit</w:t>
      </w:r>
      <w:r>
        <w:t xml:space="preserve"> means a compliance monitoring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or the Standards for VET Regulators is a reference to the standard as published from time to time.</w:t>
      </w:r>
    </w:p>
    <w:p>
      <w:pPr>
        <w:pStyle w:val="Footnotesection"/>
      </w:pPr>
      <w:r>
        <w:tab/>
        <w:t>[Regulation 7 amended in Gazette 25 Oct 2011 p. 4509; 17 Dec 2013 p. 6220.]</w:t>
      </w:r>
    </w:p>
    <w:p>
      <w:pPr>
        <w:pStyle w:val="Heading5"/>
      </w:pPr>
      <w:bookmarkStart w:id="21" w:name="_Toc405806905"/>
      <w:r>
        <w:rPr>
          <w:rStyle w:val="CharSectno"/>
        </w:rPr>
        <w:t>8</w:t>
      </w:r>
      <w:r>
        <w:t>.</w:t>
      </w:r>
      <w:r>
        <w:tab/>
        <w:t>Council to have regard to Standards for VET Regulators</w:t>
      </w:r>
      <w:bookmarkEnd w:id="21"/>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r>
        <w:tab/>
        <w:t>[Regulation 8 amended in Gazette 25 Oct 2011 p. 4509; 17 Dec 2013 p. 6220.]</w:t>
      </w:r>
    </w:p>
    <w:p>
      <w:pPr>
        <w:pStyle w:val="Heading5"/>
      </w:pPr>
      <w:bookmarkStart w:id="22" w:name="_Toc405806906"/>
      <w:r>
        <w:rPr>
          <w:rStyle w:val="CharSectno"/>
        </w:rPr>
        <w:t>9</w:t>
      </w:r>
      <w:r>
        <w:t>.</w:t>
      </w:r>
      <w:r>
        <w:tab/>
        <w:t>Register</w:t>
      </w:r>
      <w:bookmarkEnd w:id="22"/>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23" w:name="_Toc394914719"/>
      <w:bookmarkStart w:id="24" w:name="_Toc405799724"/>
      <w:bookmarkStart w:id="25" w:name="_Toc405806907"/>
      <w:r>
        <w:rPr>
          <w:rStyle w:val="CharDivNo"/>
        </w:rPr>
        <w:t>Division 2</w:t>
      </w:r>
      <w:r>
        <w:t> — </w:t>
      </w:r>
      <w:r>
        <w:rPr>
          <w:rStyle w:val="CharDivText"/>
        </w:rPr>
        <w:t>Registration of training providers</w:t>
      </w:r>
      <w:bookmarkEnd w:id="23"/>
      <w:bookmarkEnd w:id="24"/>
      <w:bookmarkEnd w:id="25"/>
    </w:p>
    <w:p>
      <w:pPr>
        <w:pStyle w:val="Heading5"/>
      </w:pPr>
      <w:bookmarkStart w:id="26" w:name="_Toc405806908"/>
      <w:r>
        <w:rPr>
          <w:rStyle w:val="CharSectno"/>
        </w:rPr>
        <w:t>10</w:t>
      </w:r>
      <w:r>
        <w:t>.</w:t>
      </w:r>
      <w:r>
        <w:tab/>
        <w:t>Applying to be registered training provider</w:t>
      </w:r>
      <w:bookmarkEnd w:id="26"/>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27" w:name="_Toc405806909"/>
      <w:r>
        <w:rPr>
          <w:rStyle w:val="CharSectno"/>
        </w:rPr>
        <w:t>11</w:t>
      </w:r>
      <w:r>
        <w:t>.</w:t>
      </w:r>
      <w:r>
        <w:tab/>
        <w:t>Dealing with applications</w:t>
      </w:r>
      <w:bookmarkEnd w:id="27"/>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28" w:name="_Toc405806910"/>
      <w:r>
        <w:rPr>
          <w:rStyle w:val="CharSectno"/>
        </w:rPr>
        <w:t>12</w:t>
      </w:r>
      <w:r>
        <w:t>.</w:t>
      </w:r>
      <w:r>
        <w:tab/>
        <w:t>Registering training providers</w:t>
      </w:r>
      <w:bookmarkEnd w:id="28"/>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w:t>
      </w:r>
    </w:p>
    <w:p>
      <w:pPr>
        <w:pStyle w:val="Heading5"/>
      </w:pPr>
      <w:bookmarkStart w:id="29" w:name="_Toc405806911"/>
      <w:r>
        <w:rPr>
          <w:rStyle w:val="CharSectno"/>
        </w:rPr>
        <w:t>13</w:t>
      </w:r>
      <w:r>
        <w:t>.</w:t>
      </w:r>
      <w:r>
        <w:tab/>
        <w:t>Conditions of registration</w:t>
      </w:r>
      <w:bookmarkEnd w:id="29"/>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or a compliance monitoring audit shows the provider does meet those 3 standards, take all steps necessary to meet them;</w:t>
      </w:r>
    </w:p>
    <w:p>
      <w:pPr>
        <w:pStyle w:val="Ednotepara"/>
      </w:pPr>
      <w:r>
        <w:tab/>
        <w:t>[(c)</w:t>
      </w:r>
      <w:r>
        <w:tab/>
        <w:t>deleted]</w:t>
      </w:r>
    </w:p>
    <w:p>
      <w:pPr>
        <w:pStyle w:val="Indenta"/>
      </w:pPr>
      <w:r>
        <w:tab/>
        <w:t>(d)</w:t>
      </w:r>
      <w:r>
        <w:tab/>
        <w:t>the provider must, if a compliance audit or a compliance monitoring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continuing registration requirements.</w:t>
      </w:r>
    </w:p>
    <w:p>
      <w:pPr>
        <w:pStyle w:val="Footnotesection"/>
      </w:pPr>
      <w:r>
        <w:tab/>
        <w:t>[Regulation 13 amended in Gazette 25 Oct 2011 p. 4510; 17 Dec 2013 p. 6222.]</w:t>
      </w:r>
    </w:p>
    <w:p>
      <w:pPr>
        <w:pStyle w:val="Heading5"/>
      </w:pPr>
      <w:bookmarkStart w:id="30" w:name="_Toc405806912"/>
      <w:r>
        <w:rPr>
          <w:rStyle w:val="CharSectno"/>
        </w:rPr>
        <w:t>14</w:t>
      </w:r>
      <w:r>
        <w:t>.</w:t>
      </w:r>
      <w:r>
        <w:tab/>
        <w:t>Period of registration</w:t>
      </w:r>
      <w:bookmarkEnd w:id="30"/>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31" w:name="_Toc405806913"/>
      <w:r>
        <w:rPr>
          <w:rStyle w:val="CharSectno"/>
        </w:rPr>
        <w:t>15</w:t>
      </w:r>
      <w:r>
        <w:t>.</w:t>
      </w:r>
      <w:r>
        <w:tab/>
        <w:t>Annual fees payable by registered training providers</w:t>
      </w:r>
      <w:bookmarkEnd w:id="31"/>
    </w:p>
    <w:p>
      <w:pPr>
        <w:pStyle w:val="Subsection"/>
      </w:pPr>
      <w:r>
        <w:tab/>
      </w:r>
      <w:r>
        <w:tab/>
        <w:t>A WA registered provider must pay an annual fee set under regulation 23 on or before each anniversary of the provider’s registration or its renewal.</w:t>
      </w:r>
    </w:p>
    <w:p>
      <w:pPr>
        <w:pStyle w:val="Heading5"/>
      </w:pPr>
      <w:bookmarkStart w:id="32" w:name="_Toc405806914"/>
      <w:r>
        <w:rPr>
          <w:rStyle w:val="CharSectno"/>
        </w:rPr>
        <w:t>16</w:t>
      </w:r>
      <w:r>
        <w:t>.</w:t>
      </w:r>
      <w:r>
        <w:tab/>
        <w:t>Renewal of registration</w:t>
      </w:r>
      <w:bookmarkEnd w:id="32"/>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r>
        <w:tab/>
        <w:t>[Regulation 16 amended in Gazette 25 Oct 2011 p. 4510; 17 Dec 2013 p. 6222.]</w:t>
      </w:r>
    </w:p>
    <w:p>
      <w:pPr>
        <w:pStyle w:val="Heading5"/>
      </w:pPr>
      <w:bookmarkStart w:id="33" w:name="_Toc405806915"/>
      <w:r>
        <w:rPr>
          <w:rStyle w:val="CharSectno"/>
        </w:rPr>
        <w:t>17</w:t>
      </w:r>
      <w:r>
        <w:t>.</w:t>
      </w:r>
      <w:r>
        <w:tab/>
        <w:t>Varying registrations</w:t>
      </w:r>
      <w:bookmarkEnd w:id="33"/>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meets the standards in the continuing registration requirements; or</w:t>
      </w:r>
    </w:p>
    <w:p>
      <w:pPr>
        <w:pStyle w:val="Indenta"/>
      </w:pPr>
      <w:r>
        <w:tab/>
        <w:t>(b)</w:t>
      </w:r>
      <w:r>
        <w:tab/>
        <w:t>a compliance audit or a compliance monitoring audit has been conducted on the provider within the previous 3 months and the provider has been found to meet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w:t>
      </w:r>
    </w:p>
    <w:p>
      <w:pPr>
        <w:pStyle w:val="Heading5"/>
      </w:pPr>
      <w:bookmarkStart w:id="34" w:name="_Toc405806916"/>
      <w:r>
        <w:rPr>
          <w:rStyle w:val="CharSectno"/>
        </w:rPr>
        <w:t>18</w:t>
      </w:r>
      <w:r>
        <w:t>.</w:t>
      </w:r>
      <w:r>
        <w:tab/>
        <w:t>Cancelling registration if provider’s operations change</w:t>
      </w:r>
      <w:bookmarkEnd w:id="34"/>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35" w:name="_Toc405806917"/>
      <w:r>
        <w:rPr>
          <w:rStyle w:val="CharSectno"/>
        </w:rPr>
        <w:t>19</w:t>
      </w:r>
      <w:r>
        <w:t>.</w:t>
      </w:r>
      <w:r>
        <w:tab/>
        <w:t>Suspending or cancelling registration</w:t>
      </w:r>
      <w:bookmarkEnd w:id="35"/>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Ednotesubsection"/>
      </w:pPr>
      <w:r>
        <w:tab/>
        <w:t>[(9)</w:t>
      </w:r>
      <w:r>
        <w:tab/>
        <w:t>deleted]</w:t>
      </w:r>
    </w:p>
    <w:p>
      <w:pPr>
        <w:pStyle w:val="Footnotesection"/>
      </w:pPr>
      <w:r>
        <w:tab/>
        <w:t>[Regulation 19 amended in Gazette 25 Oct 2011 p. 4510; 17 Dec 2013 p. 6223; 15 Jul 2014 p. 2463.]</w:t>
      </w:r>
    </w:p>
    <w:p>
      <w:pPr>
        <w:pStyle w:val="Heading5"/>
      </w:pPr>
      <w:bookmarkStart w:id="36" w:name="_Toc405806918"/>
      <w:r>
        <w:rPr>
          <w:rStyle w:val="CharSectno"/>
        </w:rPr>
        <w:t>20</w:t>
      </w:r>
      <w:r>
        <w:t>.</w:t>
      </w:r>
      <w:r>
        <w:tab/>
        <w:t>Suspension of WA registered provider may be on terms</w:t>
      </w:r>
      <w:bookmarkEnd w:id="36"/>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37" w:name="_Toc405806919"/>
      <w:r>
        <w:rPr>
          <w:rStyle w:val="CharSectno"/>
        </w:rPr>
        <w:t>21</w:t>
      </w:r>
      <w:r>
        <w:t>.</w:t>
      </w:r>
      <w:r>
        <w:tab/>
        <w:t>Effect of suspension of WA registered provider</w:t>
      </w:r>
      <w:bookmarkEnd w:id="37"/>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38" w:name="_Toc405806920"/>
      <w:r>
        <w:rPr>
          <w:rStyle w:val="CharSectno"/>
        </w:rPr>
        <w:t>22</w:t>
      </w:r>
      <w:r>
        <w:t>.</w:t>
      </w:r>
      <w:r>
        <w:tab/>
        <w:t>Requests for reassessment of decision to suspend WA registered provider</w:t>
      </w:r>
      <w:bookmarkEnd w:id="38"/>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39" w:name="_Toc405806921"/>
      <w:r>
        <w:rPr>
          <w:rStyle w:val="CharSectno"/>
        </w:rPr>
        <w:t>23</w:t>
      </w:r>
      <w:r>
        <w:t>.</w:t>
      </w:r>
      <w:r>
        <w:tab/>
        <w:t>Fees</w:t>
      </w:r>
      <w:bookmarkEnd w:id="39"/>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40" w:name="_Toc394914734"/>
      <w:bookmarkStart w:id="41" w:name="_Toc405799739"/>
      <w:bookmarkStart w:id="42" w:name="_Toc405806922"/>
      <w:r>
        <w:rPr>
          <w:rStyle w:val="CharDivNo"/>
        </w:rPr>
        <w:t>Division 3</w:t>
      </w:r>
      <w:r>
        <w:t> — </w:t>
      </w:r>
      <w:r>
        <w:rPr>
          <w:rStyle w:val="CharDivText"/>
        </w:rPr>
        <w:t>Audits of, and investigations into, training providers</w:t>
      </w:r>
      <w:bookmarkEnd w:id="40"/>
      <w:bookmarkEnd w:id="41"/>
      <w:bookmarkEnd w:id="42"/>
    </w:p>
    <w:p>
      <w:pPr>
        <w:pStyle w:val="Footnoteheading"/>
      </w:pPr>
      <w:r>
        <w:tab/>
        <w:t>[Heading amended in Gazette 17 Dec 2013 p. 6224.]</w:t>
      </w:r>
    </w:p>
    <w:p>
      <w:pPr>
        <w:pStyle w:val="Heading5"/>
      </w:pPr>
      <w:bookmarkStart w:id="43" w:name="_Toc405806923"/>
      <w:r>
        <w:rPr>
          <w:rStyle w:val="CharSectno"/>
        </w:rPr>
        <w:t>24</w:t>
      </w:r>
      <w:r>
        <w:t>.</w:t>
      </w:r>
      <w:r>
        <w:tab/>
        <w:t>Terms used</w:t>
      </w:r>
      <w:bookmarkEnd w:id="43"/>
    </w:p>
    <w:p>
      <w:pPr>
        <w:pStyle w:val="Subsection"/>
      </w:pPr>
      <w:r>
        <w:tab/>
      </w:r>
      <w:r>
        <w:tab/>
        <w:t>In this Division —</w:t>
      </w:r>
    </w:p>
    <w:p>
      <w:pPr>
        <w:pStyle w:val="Defstart"/>
      </w:pPr>
      <w:r>
        <w:tab/>
      </w:r>
      <w:r>
        <w:rPr>
          <w:rStyle w:val="CharDefText"/>
        </w:rPr>
        <w:t>compliance audit</w:t>
      </w:r>
      <w:r>
        <w:t xml:space="preserve"> means an audit to establish whether a training provider meets the relevant registration requirements or is complying with the Act;</w:t>
      </w:r>
    </w:p>
    <w:p>
      <w:pPr>
        <w:pStyle w:val="Defstart"/>
      </w:pPr>
      <w:r>
        <w:rPr>
          <w:b/>
          <w:i/>
        </w:rPr>
        <w:tab/>
      </w:r>
      <w:r>
        <w:rPr>
          <w:rStyle w:val="CharDefText"/>
        </w:rPr>
        <w:t>compliance monitoring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 compliance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AQTF;</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w:t>
      </w:r>
    </w:p>
    <w:p>
      <w:pPr>
        <w:pStyle w:val="Heading5"/>
      </w:pPr>
      <w:bookmarkStart w:id="44" w:name="_Toc405806924"/>
      <w:r>
        <w:rPr>
          <w:rStyle w:val="CharSectno"/>
        </w:rPr>
        <w:t>25</w:t>
      </w:r>
      <w:r>
        <w:t>.</w:t>
      </w:r>
      <w:r>
        <w:tab/>
        <w:t>Compliance audits</w:t>
      </w:r>
      <w:bookmarkEnd w:id="44"/>
    </w:p>
    <w:p>
      <w:pPr>
        <w:pStyle w:val="Subsection"/>
      </w:pPr>
      <w:r>
        <w:tab/>
        <w:t>(1)</w:t>
      </w:r>
      <w:r>
        <w:tab/>
        <w:t>An inquiry conducted under section 58D of the Act may be in the form of a compliance audit.</w:t>
      </w:r>
    </w:p>
    <w:p>
      <w:pPr>
        <w:pStyle w:val="Subsection"/>
      </w:pPr>
      <w:r>
        <w:tab/>
        <w:t>(2A)</w:t>
      </w:r>
      <w:r>
        <w:tab/>
        <w:t>The Council may conduct a compliance audit at any time on a training provider if the Council thinks fit having regard to the Act and the relevant registration requirements.</w:t>
      </w:r>
    </w:p>
    <w:p>
      <w:pPr>
        <w:pStyle w:val="Subsection"/>
      </w:pPr>
      <w:r>
        <w:tab/>
        <w:t>(2)</w:t>
      </w:r>
      <w:r>
        <w:tab/>
        <w:t>A compliance audit must comply with the Standards for VET Regulators.</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Footnotesection"/>
      </w:pPr>
      <w:r>
        <w:tab/>
        <w:t>[Regulation 25 amended in Gazette 17 Dec 2013 p.</w:t>
      </w:r>
      <w:r>
        <w:rPr>
          <w:sz w:val="19"/>
        </w:rPr>
        <w:t> </w:t>
      </w:r>
      <w:r>
        <w:t>6225.]</w:t>
      </w:r>
    </w:p>
    <w:p>
      <w:pPr>
        <w:pStyle w:val="Heading5"/>
      </w:pPr>
      <w:bookmarkStart w:id="45" w:name="_Toc405806925"/>
      <w:r>
        <w:rPr>
          <w:rStyle w:val="CharSectno"/>
        </w:rPr>
        <w:t>26A</w:t>
      </w:r>
      <w:r>
        <w:t>.</w:t>
      </w:r>
      <w:r>
        <w:tab/>
        <w:t>Compliance monitoring audits</w:t>
      </w:r>
      <w:bookmarkEnd w:id="45"/>
    </w:p>
    <w:p>
      <w:pPr>
        <w:pStyle w:val="Subsection"/>
      </w:pPr>
      <w:r>
        <w:tab/>
        <w:t>(1)</w:t>
      </w:r>
      <w:r>
        <w:tab/>
        <w:t>An inquiry conducted under section 58D of the Act may be in the form of a compliance monitoring audit on a WA registered provider.</w:t>
      </w:r>
    </w:p>
    <w:p>
      <w:pPr>
        <w:pStyle w:val="Subsection"/>
      </w:pPr>
      <w:r>
        <w:tab/>
        <w:t>(2)</w:t>
      </w:r>
      <w:r>
        <w:tab/>
        <w:t xml:space="preserve">The Council may conduct a compliance monitoring audit on a WA registered provider — </w:t>
      </w:r>
    </w:p>
    <w:p>
      <w:pPr>
        <w:pStyle w:val="Indenta"/>
      </w:pPr>
      <w:r>
        <w:tab/>
        <w:t>(a)</w:t>
      </w:r>
      <w:r>
        <w:tab/>
        <w:t>if the Council thinks fit after assessing the results of a compliance audit; or</w:t>
      </w:r>
    </w:p>
    <w:p>
      <w:pPr>
        <w:pStyle w:val="Indenta"/>
      </w:pPr>
      <w:r>
        <w:tab/>
        <w:t>(b)</w:t>
      </w:r>
      <w:r>
        <w:tab/>
        <w:t>as part of an investigation of a complaint.</w:t>
      </w:r>
    </w:p>
    <w:p>
      <w:pPr>
        <w:pStyle w:val="Subsection"/>
      </w:pPr>
      <w:r>
        <w:tab/>
        <w:t>(3)</w:t>
      </w:r>
      <w:r>
        <w:tab/>
        <w:t xml:space="preserve">If the Council conducts a compliance monitoring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monitoring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w:t>
      </w:r>
    </w:p>
    <w:p>
      <w:pPr>
        <w:pStyle w:val="Heading5"/>
      </w:pPr>
      <w:bookmarkStart w:id="46" w:name="_Toc405806926"/>
      <w:r>
        <w:rPr>
          <w:rStyle w:val="CharSectno"/>
        </w:rPr>
        <w:t>26B</w:t>
      </w:r>
      <w:r>
        <w:t>.</w:t>
      </w:r>
      <w:r>
        <w:tab/>
        <w:t>Investigations of complaints</w:t>
      </w:r>
      <w:bookmarkEnd w:id="46"/>
    </w:p>
    <w:p>
      <w:pPr>
        <w:pStyle w:val="Subsection"/>
      </w:pPr>
      <w:r>
        <w:tab/>
        <w:t>(1)</w:t>
      </w:r>
      <w:r>
        <w:tab/>
        <w:t>An inquiry conducted under section 58D of the Act may be in the form of the investigation of a complaint made about compliance with the AQTF by a WA registered provider.</w:t>
      </w:r>
    </w:p>
    <w:p>
      <w:pPr>
        <w:pStyle w:val="Subsection"/>
      </w:pPr>
      <w:r>
        <w:tab/>
        <w:t>(2)</w:t>
      </w:r>
      <w:r>
        <w:tab/>
        <w:t>An investigation of a complaint must comply with the National Guidelines for Responding to Complaints about Vocational Education and Training Quality in the National Guidelines for a Registering Body, part of the AQTF.</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National Guidelines for Responding to Complaints about Vocational Education and Training Quality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monitoring audit is conducted as part of the investigation — the charges prescribed under regulation 26A(3)(a); and</w:t>
      </w:r>
    </w:p>
    <w:p>
      <w:pPr>
        <w:pStyle w:val="Indenta"/>
      </w:pPr>
      <w:r>
        <w:tab/>
        <w:t>(c)</w:t>
      </w:r>
      <w:r>
        <w:tab/>
        <w:t>if any part of the investigation, or compliance monitoring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w:t>
      </w:r>
    </w:p>
    <w:p>
      <w:pPr>
        <w:pStyle w:val="Heading5"/>
      </w:pPr>
      <w:bookmarkStart w:id="47" w:name="_Toc405806927"/>
      <w:r>
        <w:rPr>
          <w:rStyle w:val="CharSectno"/>
        </w:rPr>
        <w:t>26C</w:t>
      </w:r>
      <w:r>
        <w:t>.</w:t>
      </w:r>
      <w:r>
        <w:tab/>
        <w:t>Circumstances in which a charge may be waived in whole or in part</w:t>
      </w:r>
      <w:bookmarkEnd w:id="47"/>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monitoring audit or investigation that resulted in the imposition of a charge;</w:t>
      </w:r>
    </w:p>
    <w:p>
      <w:pPr>
        <w:pStyle w:val="Indenta"/>
      </w:pPr>
      <w:r>
        <w:tab/>
        <w:t>(b)</w:t>
      </w:r>
      <w:r>
        <w:tab/>
        <w:t>where the WA registered provider required to pay the charge does not agree with the outcome of the compliance monitoring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w:t>
      </w:r>
    </w:p>
    <w:p>
      <w:pPr>
        <w:pStyle w:val="Heading5"/>
      </w:pPr>
      <w:bookmarkStart w:id="48" w:name="_Toc405806928"/>
      <w:r>
        <w:rPr>
          <w:rStyle w:val="CharSectno"/>
        </w:rPr>
        <w:t>26D</w:t>
      </w:r>
      <w:r>
        <w:t>.</w:t>
      </w:r>
      <w:r>
        <w:tab/>
        <w:t>Rounding</w:t>
      </w:r>
      <w:bookmarkEnd w:id="48"/>
    </w:p>
    <w:p>
      <w:pPr>
        <w:pStyle w:val="Subsection"/>
      </w:pPr>
      <w:r>
        <w:tab/>
      </w:r>
      <w:r>
        <w:tab/>
        <w:t xml:space="preserve">When determining under regulations 26A(3)(a)(ii) and 26B(4)(a)(i) the amount of the charge payable for a compliance monitoring audit or investigation where the hourly rate is $250 per hour, the following amounts will apply in the following circumstances — </w:t>
      </w:r>
    </w:p>
    <w:p>
      <w:pPr>
        <w:pStyle w:val="Indenta"/>
      </w:pPr>
      <w:r>
        <w:tab/>
        <w:t>(a)</w:t>
      </w:r>
      <w:r>
        <w:tab/>
        <w:t>if the time taken to complete the compliance monitoring audit or an investigation is less than 30 minutes, the total amount payable will be zero dollars;</w:t>
      </w:r>
    </w:p>
    <w:p>
      <w:pPr>
        <w:pStyle w:val="Indenta"/>
      </w:pPr>
      <w:r>
        <w:tab/>
        <w:t>(b)</w:t>
      </w:r>
      <w:r>
        <w:tab/>
        <w:t>if the time taken to complete the compliance monitoring audit or investigation is less than one hour but equal to or greater than 30 minutes, the total amount payable will be $125.</w:t>
      </w:r>
    </w:p>
    <w:p>
      <w:pPr>
        <w:pStyle w:val="Footnotesection"/>
      </w:pPr>
      <w:r>
        <w:tab/>
        <w:t>[Regulation 26D inserted in Gazette 17 Dec 2013 p.</w:t>
      </w:r>
      <w:r>
        <w:rPr>
          <w:sz w:val="19"/>
        </w:rPr>
        <w:t> </w:t>
      </w:r>
      <w:r>
        <w:t>6227.]</w:t>
      </w:r>
    </w:p>
    <w:p>
      <w:pPr>
        <w:pStyle w:val="Heading3"/>
        <w:pageBreakBefore/>
      </w:pPr>
      <w:bookmarkStart w:id="49" w:name="_Toc394914741"/>
      <w:bookmarkStart w:id="50" w:name="_Toc405799746"/>
      <w:bookmarkStart w:id="51" w:name="_Toc405806929"/>
      <w:r>
        <w:rPr>
          <w:rStyle w:val="CharDivNo"/>
        </w:rPr>
        <w:t>Division 4</w:t>
      </w:r>
      <w:r>
        <w:t> — </w:t>
      </w:r>
      <w:r>
        <w:rPr>
          <w:rStyle w:val="CharDivText"/>
        </w:rPr>
        <w:t>Obligations of registered training providers and of the Council</w:t>
      </w:r>
      <w:bookmarkEnd w:id="49"/>
      <w:bookmarkEnd w:id="50"/>
      <w:bookmarkEnd w:id="51"/>
    </w:p>
    <w:p>
      <w:pPr>
        <w:pStyle w:val="Footnoteheading"/>
      </w:pPr>
      <w:r>
        <w:tab/>
        <w:t>[Heading amended in Gazette 17 Dec 2013 p. 6228.]</w:t>
      </w:r>
    </w:p>
    <w:p>
      <w:pPr>
        <w:pStyle w:val="Heading5"/>
      </w:pPr>
      <w:bookmarkStart w:id="52" w:name="_Toc405806930"/>
      <w:r>
        <w:rPr>
          <w:rStyle w:val="CharSectno"/>
        </w:rPr>
        <w:t>26</w:t>
      </w:r>
      <w:r>
        <w:t>.</w:t>
      </w:r>
      <w:r>
        <w:tab/>
        <w:t>Reporting to Council</w:t>
      </w:r>
      <w:bookmarkEnd w:id="52"/>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Subsection"/>
        <w:keepNext/>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w:t>
      </w:r>
    </w:p>
    <w:p>
      <w:pPr>
        <w:pStyle w:val="Heading5"/>
      </w:pPr>
      <w:bookmarkStart w:id="53" w:name="_Toc405806931"/>
      <w:r>
        <w:rPr>
          <w:rStyle w:val="CharSectno"/>
        </w:rPr>
        <w:t>27</w:t>
      </w:r>
      <w:r>
        <w:t>.</w:t>
      </w:r>
      <w:r>
        <w:tab/>
        <w:t>Giving Council information on ceasing operations</w:t>
      </w:r>
      <w:bookmarkEnd w:id="53"/>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w:t>
      </w:r>
    </w:p>
    <w:p>
      <w:pPr>
        <w:pStyle w:val="Heading5"/>
      </w:pPr>
      <w:bookmarkStart w:id="54" w:name="_Toc405806932"/>
      <w:r>
        <w:rPr>
          <w:rStyle w:val="CharSectno"/>
        </w:rPr>
        <w:t>28A</w:t>
      </w:r>
      <w:r>
        <w:t>.</w:t>
      </w:r>
      <w:r>
        <w:tab/>
        <w:t>Person may obtain from Council certified copies of information</w:t>
      </w:r>
      <w:bookmarkEnd w:id="54"/>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55" w:name="_Toc394914745"/>
      <w:bookmarkStart w:id="56" w:name="_Toc405799750"/>
      <w:bookmarkStart w:id="57" w:name="_Toc405806933"/>
      <w:r>
        <w:rPr>
          <w:rStyle w:val="CharDivNo"/>
        </w:rPr>
        <w:t>Division 5</w:t>
      </w:r>
      <w:r>
        <w:t> — </w:t>
      </w:r>
      <w:r>
        <w:rPr>
          <w:rStyle w:val="CharDivText"/>
        </w:rPr>
        <w:t>Accreditation of VET courses</w:t>
      </w:r>
      <w:bookmarkEnd w:id="55"/>
      <w:bookmarkEnd w:id="56"/>
      <w:bookmarkEnd w:id="57"/>
    </w:p>
    <w:p>
      <w:pPr>
        <w:pStyle w:val="Heading5"/>
      </w:pPr>
      <w:bookmarkStart w:id="58" w:name="_Toc405806934"/>
      <w:r>
        <w:rPr>
          <w:rStyle w:val="CharSectno"/>
        </w:rPr>
        <w:t>28</w:t>
      </w:r>
      <w:r>
        <w:t>.</w:t>
      </w:r>
      <w:r>
        <w:tab/>
        <w:t>Applying to have VET course accredited</w:t>
      </w:r>
      <w:bookmarkEnd w:id="58"/>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in Gazette 25 Oct 2011 p. 4512; 21 Aug 2012 p. 3927; 17 Dec 2013 p. 6228; 15 Jul 2014 p. 2464.]</w:t>
      </w:r>
    </w:p>
    <w:p>
      <w:pPr>
        <w:pStyle w:val="Heading5"/>
      </w:pPr>
      <w:bookmarkStart w:id="59" w:name="_Toc405806935"/>
      <w:r>
        <w:rPr>
          <w:rStyle w:val="CharSectno"/>
        </w:rPr>
        <w:t>29</w:t>
      </w:r>
      <w:r>
        <w:t>.</w:t>
      </w:r>
      <w:r>
        <w:tab/>
        <w:t>Dealing with applications</w:t>
      </w:r>
      <w:bookmarkEnd w:id="59"/>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60" w:name="_Toc405806936"/>
      <w:r>
        <w:rPr>
          <w:rStyle w:val="CharSectno"/>
        </w:rPr>
        <w:t>30</w:t>
      </w:r>
      <w:r>
        <w:t>.</w:t>
      </w:r>
      <w:r>
        <w:tab/>
        <w:t>Accrediting VET courses</w:t>
      </w:r>
      <w:bookmarkEnd w:id="60"/>
    </w:p>
    <w:p>
      <w:pPr>
        <w:pStyle w:val="Subsection"/>
        <w:keepNext/>
      </w:pPr>
      <w:r>
        <w:tab/>
        <w:t>(1)</w:t>
      </w:r>
      <w:r>
        <w:tab/>
        <w:t xml:space="preserve">The Council must not accredit a VET course unless — </w:t>
      </w:r>
    </w:p>
    <w:p>
      <w:pPr>
        <w:pStyle w:val="Indenta"/>
      </w:pPr>
      <w:r>
        <w:tab/>
        <w:t>(a)</w:t>
      </w:r>
      <w:r>
        <w:tab/>
        <w:t>it has assessed the VET course in accordance with the Standards for VET Regulators;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Standards for VET Regulators;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w:t>
      </w:r>
    </w:p>
    <w:p>
      <w:pPr>
        <w:pStyle w:val="Heading5"/>
      </w:pPr>
      <w:bookmarkStart w:id="61" w:name="_Toc405806937"/>
      <w:r>
        <w:rPr>
          <w:rStyle w:val="CharSectno"/>
        </w:rPr>
        <w:t>31</w:t>
      </w:r>
      <w:r>
        <w:t>.</w:t>
      </w:r>
      <w:r>
        <w:tab/>
        <w:t>Period of accreditation</w:t>
      </w:r>
      <w:bookmarkEnd w:id="61"/>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62" w:name="_Toc405806938"/>
      <w:r>
        <w:rPr>
          <w:rStyle w:val="CharSectno"/>
        </w:rPr>
        <w:t>32</w:t>
      </w:r>
      <w:r>
        <w:t>.</w:t>
      </w:r>
      <w:r>
        <w:tab/>
        <w:t>Renewing accreditation</w:t>
      </w:r>
      <w:bookmarkEnd w:id="62"/>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63" w:name="_Toc405806939"/>
      <w:r>
        <w:rPr>
          <w:rStyle w:val="CharSectno"/>
        </w:rPr>
        <w:t>33A</w:t>
      </w:r>
      <w:r>
        <w:t>.</w:t>
      </w:r>
      <w:r>
        <w:tab/>
        <w:t>Varying accreditation</w:t>
      </w:r>
      <w:bookmarkEnd w:id="63"/>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VET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VET course, it must give to the owner of the course —</w:t>
      </w:r>
    </w:p>
    <w:p>
      <w:pPr>
        <w:pStyle w:val="Indenta"/>
      </w:pPr>
      <w:r>
        <w:tab/>
        <w:t>(a)</w:t>
      </w:r>
      <w:r>
        <w:tab/>
        <w:t>a course accreditation document in accordance with the Standards for VET Regulators;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 amended in Gazette 15 Jul 2014 p. 2464.]</w:t>
      </w:r>
    </w:p>
    <w:p>
      <w:pPr>
        <w:pStyle w:val="Heading5"/>
      </w:pPr>
      <w:bookmarkStart w:id="64" w:name="_Toc405806940"/>
      <w:r>
        <w:rPr>
          <w:rStyle w:val="CharSectno"/>
        </w:rPr>
        <w:t>33</w:t>
      </w:r>
      <w:r>
        <w:t>.</w:t>
      </w:r>
      <w:r>
        <w:tab/>
        <w:t>Cancelling accreditation</w:t>
      </w:r>
      <w:bookmarkEnd w:id="64"/>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65" w:name="_Toc394914753"/>
      <w:bookmarkStart w:id="66" w:name="_Toc405799758"/>
      <w:bookmarkStart w:id="67" w:name="_Toc405806941"/>
      <w:r>
        <w:rPr>
          <w:rStyle w:val="CharPartNo"/>
        </w:rPr>
        <w:t>Part 4</w:t>
      </w:r>
      <w:r>
        <w:t> — </w:t>
      </w:r>
      <w:r>
        <w:rPr>
          <w:rStyle w:val="CharPartText"/>
        </w:rPr>
        <w:t>Regulations for Part 7 of the Act</w:t>
      </w:r>
      <w:bookmarkEnd w:id="65"/>
      <w:bookmarkEnd w:id="66"/>
      <w:bookmarkEnd w:id="67"/>
    </w:p>
    <w:p>
      <w:pPr>
        <w:pStyle w:val="Heading3"/>
      </w:pPr>
      <w:bookmarkStart w:id="68" w:name="_Toc394914754"/>
      <w:bookmarkStart w:id="69" w:name="_Toc405799759"/>
      <w:bookmarkStart w:id="70" w:name="_Toc405806942"/>
      <w:r>
        <w:rPr>
          <w:rStyle w:val="CharDivNo"/>
        </w:rPr>
        <w:t>Division 1</w:t>
      </w:r>
      <w:r>
        <w:t> — </w:t>
      </w:r>
      <w:r>
        <w:rPr>
          <w:rStyle w:val="CharDivText"/>
        </w:rPr>
        <w:t>General matters</w:t>
      </w:r>
      <w:bookmarkEnd w:id="68"/>
      <w:bookmarkEnd w:id="69"/>
      <w:bookmarkEnd w:id="70"/>
    </w:p>
    <w:p>
      <w:pPr>
        <w:pStyle w:val="Heading5"/>
      </w:pPr>
      <w:bookmarkStart w:id="71" w:name="_Toc405806943"/>
      <w:r>
        <w:rPr>
          <w:rStyle w:val="CharSectno"/>
        </w:rPr>
        <w:t>34</w:t>
      </w:r>
      <w:r>
        <w:t>.</w:t>
      </w:r>
      <w:r>
        <w:tab/>
        <w:t>Term used: nominated training provider</w:t>
      </w:r>
      <w:bookmarkEnd w:id="71"/>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72" w:name="_Toc405806944"/>
      <w:r>
        <w:rPr>
          <w:rStyle w:val="CharSectno"/>
        </w:rPr>
        <w:t>35</w:t>
      </w:r>
      <w:r>
        <w:t>.</w:t>
      </w:r>
      <w:r>
        <w:tab/>
        <w:t>Chief executive may delegate</w:t>
      </w:r>
      <w:bookmarkEnd w:id="72"/>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73" w:name="_Toc394914757"/>
      <w:bookmarkStart w:id="74" w:name="_Toc405799762"/>
      <w:bookmarkStart w:id="75" w:name="_Toc405806945"/>
      <w:r>
        <w:rPr>
          <w:rStyle w:val="CharDivNo"/>
        </w:rPr>
        <w:t>Division 2</w:t>
      </w:r>
      <w:r>
        <w:t> — </w:t>
      </w:r>
      <w:r>
        <w:rPr>
          <w:rStyle w:val="CharDivText"/>
        </w:rPr>
        <w:t>Classifying prescribed VET qualifications</w:t>
      </w:r>
      <w:bookmarkEnd w:id="73"/>
      <w:bookmarkEnd w:id="74"/>
      <w:bookmarkEnd w:id="75"/>
    </w:p>
    <w:p>
      <w:pPr>
        <w:pStyle w:val="Heading5"/>
      </w:pPr>
      <w:bookmarkStart w:id="76" w:name="_Toc405806946"/>
      <w:r>
        <w:rPr>
          <w:rStyle w:val="CharSectno"/>
        </w:rPr>
        <w:t>36</w:t>
      </w:r>
      <w:r>
        <w:t>.</w:t>
      </w:r>
      <w:r>
        <w:tab/>
        <w:t>Who Board must consult (Act s. 60C)</w:t>
      </w:r>
      <w:bookmarkEnd w:id="76"/>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77" w:name="_Toc405806947"/>
      <w:r>
        <w:rPr>
          <w:rStyle w:val="CharSectno"/>
        </w:rPr>
        <w:t>37</w:t>
      </w:r>
      <w:r>
        <w:t>.</w:t>
      </w:r>
      <w:r>
        <w:tab/>
        <w:t>Board’s advice and recommendations to Minister (Act s. 60C)</w:t>
      </w:r>
      <w:bookmarkEnd w:id="77"/>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78" w:name="_Toc394914760"/>
      <w:bookmarkStart w:id="79" w:name="_Toc405799765"/>
      <w:bookmarkStart w:id="80" w:name="_Toc405806948"/>
      <w:r>
        <w:rPr>
          <w:rStyle w:val="CharDivNo"/>
        </w:rPr>
        <w:t>Division 3</w:t>
      </w:r>
      <w:r>
        <w:t> — </w:t>
      </w:r>
      <w:r>
        <w:rPr>
          <w:rStyle w:val="CharDivText"/>
        </w:rPr>
        <w:t>Training contracts</w:t>
      </w:r>
      <w:bookmarkEnd w:id="78"/>
      <w:bookmarkEnd w:id="79"/>
      <w:bookmarkEnd w:id="80"/>
    </w:p>
    <w:p>
      <w:pPr>
        <w:pStyle w:val="Heading5"/>
      </w:pPr>
      <w:bookmarkStart w:id="81" w:name="_Toc405806949"/>
      <w:r>
        <w:rPr>
          <w:rStyle w:val="CharSectno"/>
        </w:rPr>
        <w:t>38</w:t>
      </w:r>
      <w:r>
        <w:t>.</w:t>
      </w:r>
      <w:r>
        <w:tab/>
        <w:t>Form and content of training contracts</w:t>
      </w:r>
      <w:bookmarkEnd w:id="81"/>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spacing w:before="180"/>
      </w:pPr>
      <w:bookmarkStart w:id="82" w:name="_Toc405806950"/>
      <w:r>
        <w:rPr>
          <w:rStyle w:val="CharSectno"/>
        </w:rPr>
        <w:t>39</w:t>
      </w:r>
      <w:r>
        <w:t>.</w:t>
      </w:r>
      <w:r>
        <w:tab/>
        <w:t>Probation periods of training contracts</w:t>
      </w:r>
      <w:bookmarkEnd w:id="82"/>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83" w:name="_Toc405806951"/>
      <w:r>
        <w:rPr>
          <w:rStyle w:val="CharSectno"/>
        </w:rPr>
        <w:t>40</w:t>
      </w:r>
      <w:r>
        <w:t>.</w:t>
      </w:r>
      <w:r>
        <w:tab/>
        <w:t>Children’s capacity to enter into training contracts</w:t>
      </w:r>
      <w:bookmarkEnd w:id="83"/>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84" w:name="_Toc405806952"/>
      <w:r>
        <w:rPr>
          <w:rStyle w:val="CharSectno"/>
        </w:rPr>
        <w:t>41</w:t>
      </w:r>
      <w:r>
        <w:t>.</w:t>
      </w:r>
      <w:r>
        <w:tab/>
        <w:t>Lodging training contracts for registration (Act s. 60F)</w:t>
      </w:r>
      <w:bookmarkEnd w:id="84"/>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85" w:name="_Toc405806953"/>
      <w:r>
        <w:rPr>
          <w:rStyle w:val="CharSectno"/>
        </w:rPr>
        <w:t>42</w:t>
      </w:r>
      <w:r>
        <w:t>.</w:t>
      </w:r>
      <w:r>
        <w:tab/>
        <w:t>Registering training contracts (Act s. 60F)</w:t>
      </w:r>
      <w:bookmarkEnd w:id="85"/>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vocational outcome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Subsection"/>
      </w:pPr>
      <w:r>
        <w:tab/>
        <w:t>(3A)</w:t>
      </w:r>
      <w:r>
        <w:tab/>
        <w:t>For the purposes of subregulation (2)(ca), if the occupation during the contract is, in fact, the vocational outcome set out in the contract, that is an appropriate vocational outcome.</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Footnotesection"/>
      </w:pPr>
      <w:r>
        <w:tab/>
        <w:t>[Regulation 42 amended in Gazette 5 Dec 2014 p. 4525</w:t>
      </w:r>
      <w:r>
        <w:noBreakHyphen/>
        <w:t>6.]</w:t>
      </w:r>
    </w:p>
    <w:p>
      <w:pPr>
        <w:pStyle w:val="Heading5"/>
      </w:pPr>
      <w:bookmarkStart w:id="86" w:name="_Toc405806954"/>
      <w:r>
        <w:rPr>
          <w:rStyle w:val="CharSectno"/>
        </w:rPr>
        <w:t>43</w:t>
      </w:r>
      <w:r>
        <w:t>.</w:t>
      </w:r>
      <w:r>
        <w:tab/>
        <w:t>Training plans for training contracts</w:t>
      </w:r>
      <w:bookmarkEnd w:id="86"/>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87" w:name="_Toc405806955"/>
      <w:r>
        <w:rPr>
          <w:rStyle w:val="CharSectno"/>
        </w:rPr>
        <w:t>44</w:t>
      </w:r>
      <w:r>
        <w:t>.</w:t>
      </w:r>
      <w:r>
        <w:tab/>
        <w:t>Cancellation of registration by chief executive (Act s. 60F)</w:t>
      </w:r>
      <w:bookmarkEnd w:id="87"/>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88" w:name="_Toc405806956"/>
      <w:r>
        <w:rPr>
          <w:rStyle w:val="CharSectno"/>
        </w:rPr>
        <w:t>45</w:t>
      </w:r>
      <w:r>
        <w:t>.</w:t>
      </w:r>
      <w:r>
        <w:tab/>
        <w:t>Chief executive may require persons involved in training contracts to provide information</w:t>
      </w:r>
      <w:bookmarkEnd w:id="88"/>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89" w:name="_Toc405806957"/>
      <w:r>
        <w:rPr>
          <w:rStyle w:val="CharSectno"/>
        </w:rPr>
        <w:t>46</w:t>
      </w:r>
      <w:r>
        <w:t>.</w:t>
      </w:r>
      <w:r>
        <w:tab/>
        <w:t>Variation of training contract by parties (Act s. 60E)</w:t>
      </w:r>
      <w:bookmarkEnd w:id="89"/>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90" w:name="_Toc405806958"/>
      <w:r>
        <w:rPr>
          <w:rStyle w:val="CharSectno"/>
        </w:rPr>
        <w:t>47</w:t>
      </w:r>
      <w:r>
        <w:t>.</w:t>
      </w:r>
      <w:r>
        <w:tab/>
        <w:t>Assignment of training contract to another employer (Act s. 60E)</w:t>
      </w:r>
      <w:bookmarkEnd w:id="90"/>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91" w:name="_Toc405806959"/>
      <w:r>
        <w:rPr>
          <w:rStyle w:val="CharSectno"/>
        </w:rPr>
        <w:t>48</w:t>
      </w:r>
      <w:r>
        <w:t>.</w:t>
      </w:r>
      <w:r>
        <w:tab/>
        <w:t>Suspension of training contract by parties (Act s. 60E)</w:t>
      </w:r>
      <w:bookmarkEnd w:id="91"/>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92" w:name="_Toc405806960"/>
      <w:r>
        <w:rPr>
          <w:rStyle w:val="CharSectno"/>
        </w:rPr>
        <w:t>49</w:t>
      </w:r>
      <w:r>
        <w:t>.</w:t>
      </w:r>
      <w:r>
        <w:tab/>
        <w:t>Suspension by employer (Act s. 60E)</w:t>
      </w:r>
      <w:bookmarkEnd w:id="92"/>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93" w:name="_Toc405806961"/>
      <w:r>
        <w:rPr>
          <w:rStyle w:val="CharSectno"/>
        </w:rPr>
        <w:t>50</w:t>
      </w:r>
      <w:r>
        <w:t>.</w:t>
      </w:r>
      <w:r>
        <w:tab/>
        <w:t>Termination of training contract by parties (Act s. 60G)</w:t>
      </w:r>
      <w:bookmarkEnd w:id="93"/>
    </w:p>
    <w:p>
      <w:pPr>
        <w:pStyle w:val="Subsection"/>
      </w:pPr>
      <w:r>
        <w:tab/>
      </w:r>
      <w:r>
        <w:tab/>
        <w:t>A party to a training contract may terminate the contract during the contract’s probation period without the approval of the chief executive.</w:t>
      </w:r>
    </w:p>
    <w:p>
      <w:pPr>
        <w:pStyle w:val="Heading5"/>
      </w:pPr>
      <w:bookmarkStart w:id="94" w:name="_Toc405806962"/>
      <w:r>
        <w:rPr>
          <w:rStyle w:val="CharSectno"/>
        </w:rPr>
        <w:t>51</w:t>
      </w:r>
      <w:r>
        <w:t>.</w:t>
      </w:r>
      <w:r>
        <w:tab/>
        <w:t>Approval of termination of training contract by chief executive (Act s. 60G)</w:t>
      </w:r>
      <w:bookmarkEnd w:id="94"/>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95" w:name="_Toc405806963"/>
      <w:r>
        <w:rPr>
          <w:rStyle w:val="CharSectno"/>
        </w:rPr>
        <w:t>52</w:t>
      </w:r>
      <w:r>
        <w:t>.</w:t>
      </w:r>
      <w:r>
        <w:tab/>
        <w:t>Completion of training contract</w:t>
      </w:r>
      <w:bookmarkEnd w:id="95"/>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96" w:name="_Toc394914776"/>
      <w:bookmarkStart w:id="97" w:name="_Toc405799781"/>
      <w:bookmarkStart w:id="98" w:name="_Toc405806964"/>
      <w:r>
        <w:rPr>
          <w:rStyle w:val="CharDivNo"/>
        </w:rPr>
        <w:t>Division 4</w:t>
      </w:r>
      <w:r>
        <w:t> — </w:t>
      </w:r>
      <w:r>
        <w:rPr>
          <w:rStyle w:val="CharDivText"/>
        </w:rPr>
        <w:t>Procedure and appeals</w:t>
      </w:r>
      <w:bookmarkEnd w:id="96"/>
      <w:bookmarkEnd w:id="97"/>
      <w:bookmarkEnd w:id="98"/>
    </w:p>
    <w:p>
      <w:pPr>
        <w:pStyle w:val="Heading5"/>
      </w:pPr>
      <w:bookmarkStart w:id="99" w:name="_Toc405806965"/>
      <w:r>
        <w:rPr>
          <w:rStyle w:val="CharSectno"/>
        </w:rPr>
        <w:t>53</w:t>
      </w:r>
      <w:r>
        <w:t>.</w:t>
      </w:r>
      <w:r>
        <w:tab/>
        <w:t>Procedure on applications</w:t>
      </w:r>
      <w:bookmarkEnd w:id="99"/>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100" w:name="_Toc405806966"/>
      <w:r>
        <w:rPr>
          <w:rStyle w:val="CharSectno"/>
        </w:rPr>
        <w:t>54</w:t>
      </w:r>
      <w:r>
        <w:t>.</w:t>
      </w:r>
      <w:r>
        <w:tab/>
        <w:t>Appeals</w:t>
      </w:r>
      <w:bookmarkEnd w:id="100"/>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101" w:name="_Toc394914779"/>
      <w:bookmarkStart w:id="102" w:name="_Toc405799784"/>
      <w:bookmarkStart w:id="103" w:name="_Toc405806967"/>
      <w:r>
        <w:rPr>
          <w:rStyle w:val="CharPartNo"/>
        </w:rPr>
        <w:t>Part 5</w:t>
      </w:r>
      <w:r>
        <w:rPr>
          <w:rStyle w:val="CharDivNo"/>
        </w:rPr>
        <w:t> </w:t>
      </w:r>
      <w:r>
        <w:t>—</w:t>
      </w:r>
      <w:r>
        <w:rPr>
          <w:rStyle w:val="CharDivText"/>
        </w:rPr>
        <w:t> </w:t>
      </w:r>
      <w:r>
        <w:rPr>
          <w:rStyle w:val="CharPartText"/>
        </w:rPr>
        <w:t>Repeals and transitional matters</w:t>
      </w:r>
      <w:bookmarkEnd w:id="101"/>
      <w:bookmarkEnd w:id="102"/>
      <w:bookmarkEnd w:id="103"/>
    </w:p>
    <w:p>
      <w:pPr>
        <w:pStyle w:val="Heading5"/>
      </w:pPr>
      <w:bookmarkStart w:id="104" w:name="_Toc405806968"/>
      <w:r>
        <w:rPr>
          <w:rStyle w:val="CharSectno"/>
        </w:rPr>
        <w:t>55</w:t>
      </w:r>
      <w:r>
        <w:t>.</w:t>
      </w:r>
      <w:r>
        <w:tab/>
        <w:t>Term used: commencement</w:t>
      </w:r>
      <w:bookmarkEnd w:id="104"/>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105" w:name="_Toc405806969"/>
      <w:r>
        <w:rPr>
          <w:rStyle w:val="CharSectno"/>
        </w:rPr>
        <w:t>57</w:t>
      </w:r>
      <w:r>
        <w:t>.</w:t>
      </w:r>
      <w:r>
        <w:tab/>
        <w:t>Registered training providers</w:t>
      </w:r>
      <w:bookmarkEnd w:id="105"/>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106" w:name="_Toc405806970"/>
      <w:r>
        <w:rPr>
          <w:rStyle w:val="CharSectno"/>
        </w:rPr>
        <w:t>58</w:t>
      </w:r>
      <w:r>
        <w:t>.</w:t>
      </w:r>
      <w:r>
        <w:tab/>
        <w:t>Accredited courses</w:t>
      </w:r>
      <w:bookmarkEnd w:id="106"/>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107" w:name="_Toc405806971"/>
      <w:r>
        <w:rPr>
          <w:rStyle w:val="CharSectno"/>
        </w:rPr>
        <w:t>59</w:t>
      </w:r>
      <w:r>
        <w:t>.</w:t>
      </w:r>
      <w:r>
        <w:tab/>
        <w:t>Traineeship contracts</w:t>
      </w:r>
      <w:bookmarkEnd w:id="107"/>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3</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108" w:name="_Toc405806972"/>
      <w:r>
        <w:rPr>
          <w:rStyle w:val="CharSectno"/>
        </w:rPr>
        <w:t>60</w:t>
      </w:r>
      <w:r>
        <w:t>.</w:t>
      </w:r>
      <w:r>
        <w:tab/>
        <w:t>Apprentices learning trades, transitional provisions for</w:t>
      </w:r>
      <w:bookmarkEnd w:id="108"/>
    </w:p>
    <w:p>
      <w:pPr>
        <w:pStyle w:val="Subsection"/>
      </w:pPr>
      <w:r>
        <w:tab/>
      </w:r>
      <w:r>
        <w:tab/>
        <w:t>Schedule 2 sets out transitional provisions.</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9" w:name="_Toc405799790"/>
      <w:bookmarkStart w:id="110" w:name="_Toc405806973"/>
      <w:bookmarkStart w:id="111" w:name="_Toc394914785"/>
      <w:r>
        <w:rPr>
          <w:rStyle w:val="CharSchNo"/>
        </w:rPr>
        <w:t>Schedule 1</w:t>
      </w:r>
      <w:r>
        <w:t> — </w:t>
      </w:r>
      <w:r>
        <w:rPr>
          <w:rStyle w:val="CharSchText"/>
        </w:rPr>
        <w:t>Training contract</w:t>
      </w:r>
      <w:bookmarkEnd w:id="109"/>
      <w:bookmarkEnd w:id="110"/>
    </w:p>
    <w:p>
      <w:pPr>
        <w:pStyle w:val="yShoulderClause"/>
      </w:pPr>
      <w:r>
        <w:t>[r. 38]</w:t>
      </w:r>
    </w:p>
    <w:p>
      <w:pPr>
        <w:pStyle w:val="yFootnoteheading"/>
      </w:pPr>
      <w:r>
        <w:tab/>
        <w:t>[Heading inserted in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rPr>
                <w:rFonts w:ascii="Arial" w:hAnsi="Arial"/>
                <w:b/>
                <w:bCs/>
                <w:sz w:val="20"/>
              </w:rPr>
            </w:pPr>
            <w:r>
              <w:rPr>
                <w:rFonts w:ascii="Arial" w:hAnsi="Arial"/>
                <w:b/>
                <w:bCs/>
                <w:sz w:val="20"/>
              </w:rPr>
              <w:t xml:space="preserve">Surname </w:t>
            </w:r>
            <w:r>
              <w:rPr>
                <w:rFonts w:ascii="Arial" w:hAnsi="Arial"/>
                <w:bCs/>
                <w:sz w:val="20"/>
              </w:rPr>
              <w:t>(family name)</w:t>
            </w:r>
          </w:p>
          <w:p>
            <w:pPr>
              <w:pStyle w:val="yTableNAm"/>
              <w:rPr>
                <w:rFonts w:ascii="Arial" w:hAnsi="Arial"/>
                <w:b/>
                <w:bCs/>
                <w:sz w:val="20"/>
              </w:rPr>
            </w:pPr>
          </w:p>
        </w:tc>
        <w:tc>
          <w:tcPr>
            <w:tcW w:w="3611" w:type="dxa"/>
            <w:tcBorders>
              <w:top w:val="nil"/>
              <w:left w:val="nil"/>
              <w:bottom w:val="nil"/>
            </w:tcBorders>
          </w:tcPr>
          <w:p>
            <w:pPr>
              <w:pStyle w:val="yTableNAm"/>
              <w:rPr>
                <w:rFonts w:ascii="Arial" w:hAnsi="Arial"/>
                <w:b/>
                <w:bCs/>
                <w:sz w:val="20"/>
              </w:rPr>
            </w:pPr>
            <w:r>
              <w:rPr>
                <w:rFonts w:ascii="Arial" w:hAnsi="Arial"/>
                <w:b/>
                <w:bCs/>
                <w:sz w:val="20"/>
              </w:rPr>
              <w:t xml:space="preserve">Given names </w:t>
            </w:r>
            <w:r>
              <w:rPr>
                <w:rFonts w:ascii="Arial" w:hAnsi="Arial"/>
                <w:bCs/>
                <w:sz w:val="20"/>
              </w:rPr>
              <w:t>(in full)</w:t>
            </w:r>
          </w:p>
          <w:p>
            <w:pPr>
              <w:pStyle w:val="yTableNAm"/>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keepLines/>
              <w:rPr>
                <w:rFonts w:ascii="Arial" w:hAnsi="Arial" w:cs="Arial"/>
                <w:sz w:val="20"/>
                <w:szCs w:val="22"/>
              </w:rPr>
            </w:pPr>
            <w:r>
              <w:rPr>
                <w:rFonts w:ascii="Arial" w:hAnsi="Arial" w:cs="Arial"/>
                <w:sz w:val="20"/>
                <w:szCs w:val="22"/>
              </w:rPr>
              <w:t>3</w:t>
            </w:r>
          </w:p>
        </w:tc>
        <w:tc>
          <w:tcPr>
            <w:tcW w:w="6521" w:type="dxa"/>
          </w:tcPr>
          <w:p>
            <w:pPr>
              <w:pStyle w:val="yTableNAm"/>
              <w:keepNext/>
              <w:keepLines/>
              <w:rPr>
                <w:rFonts w:ascii="Arial" w:hAnsi="Arial" w:cs="Arial"/>
                <w:sz w:val="20"/>
                <w:szCs w:val="22"/>
              </w:rPr>
            </w:pPr>
            <w:r>
              <w:rPr>
                <w:rFonts w:ascii="Arial" w:hAnsi="Arial" w:cs="Arial"/>
                <w:sz w:val="20"/>
                <w:szCs w:val="22"/>
              </w:rPr>
              <w:t>Commencement date of employment</w:t>
            </w:r>
          </w:p>
          <w:p>
            <w:pPr>
              <w:pStyle w:val="yTableNAm"/>
              <w:keepNext/>
              <w:keepLines/>
              <w:rPr>
                <w:rFonts w:ascii="Arial" w:hAnsi="Arial" w:cs="Arial"/>
                <w:sz w:val="20"/>
                <w:szCs w:val="22"/>
              </w:rPr>
            </w:pPr>
            <w:r>
              <w:rPr>
                <w:rFonts w:ascii="Arial" w:hAnsi="Arial" w:cs="Arial"/>
                <w:sz w:val="20"/>
                <w:szCs w:val="22"/>
              </w:rPr>
              <w:t>for Apprenticeship/Traineeship</w:t>
            </w:r>
            <w:r>
              <w:rPr>
                <w:rFonts w:ascii="Arial" w:hAnsi="Arial" w:cs="Arial"/>
                <w:sz w:val="20"/>
                <w:szCs w:val="22"/>
              </w:rPr>
              <w:tab/>
              <w:t>Day    /Month    /Year</w:t>
            </w: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22*</w:t>
            </w:r>
          </w:p>
        </w:tc>
        <w:tc>
          <w:tcPr>
            <w:tcW w:w="6521" w:type="dxa"/>
            <w:gridSpan w:val="4"/>
            <w:tcBorders>
              <w:bottom w:val="nil"/>
            </w:tcBorders>
          </w:tcPr>
          <w:p>
            <w:pPr>
              <w:pStyle w:val="yTableNAm"/>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30</w:t>
            </w:r>
          </w:p>
        </w:tc>
        <w:tc>
          <w:tcPr>
            <w:tcW w:w="6521" w:type="dxa"/>
          </w:tcPr>
          <w:p>
            <w:pPr>
              <w:pStyle w:val="yTableNAm"/>
              <w:rPr>
                <w:rFonts w:ascii="Arial" w:hAnsi="Arial" w:cs="Arial"/>
                <w:sz w:val="20"/>
              </w:rPr>
            </w:pPr>
            <w:r>
              <w:rPr>
                <w:rFonts w:ascii="Arial" w:hAnsi="Arial" w:cs="Arial"/>
                <w:sz w:val="20"/>
              </w:rPr>
              <w:t>Trading name</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rPr>
                <w:rFonts w:ascii="Arial" w:hAnsi="Arial"/>
                <w:sz w:val="20"/>
              </w:rPr>
            </w:pPr>
            <w:r>
              <w:rPr>
                <w:rFonts w:ascii="Arial" w:hAnsi="Arial"/>
                <w:sz w:val="20"/>
              </w:rPr>
              <w:t>41</w:t>
            </w:r>
          </w:p>
        </w:tc>
        <w:tc>
          <w:tcPr>
            <w:tcW w:w="6521" w:type="dxa"/>
            <w:gridSpan w:val="5"/>
          </w:tcPr>
          <w:p>
            <w:pPr>
              <w:pStyle w:val="yTableNAm"/>
              <w:rPr>
                <w:rFonts w:ascii="Arial" w:hAnsi="Arial"/>
                <w:sz w:val="20"/>
              </w:rPr>
            </w:pPr>
            <w:r>
              <w:rPr>
                <w:rFonts w:ascii="Arial" w:hAnsi="Arial"/>
                <w:sz w:val="20"/>
              </w:rPr>
              <w:t>Is the apprentice/trainee in a business relationship with this employer?</w:t>
            </w:r>
          </w:p>
          <w:p>
            <w:pPr>
              <w:pStyle w:val="yTableNAm"/>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Australian Apprenticeships Centre</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in Gazette 5 Dec 2014 p. 4526</w:t>
      </w:r>
      <w:r>
        <w:noBreakHyphen/>
        <w:t>41.]</w:t>
      </w:r>
    </w:p>
    <w:bookmarkEnd w:id="111"/>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yScheduleHeading"/>
        <w:pageBreakBefore w:val="0"/>
      </w:pPr>
      <w:bookmarkStart w:id="112" w:name="_Toc394914786"/>
      <w:bookmarkStart w:id="113" w:name="_Toc405799791"/>
      <w:bookmarkStart w:id="114" w:name="_Toc405806974"/>
      <w:r>
        <w:rPr>
          <w:rStyle w:val="CharSchNo"/>
        </w:rPr>
        <w:t>Schedule 2</w:t>
      </w:r>
      <w:r>
        <w:rPr>
          <w:rStyle w:val="CharSDivNo"/>
        </w:rPr>
        <w:t> </w:t>
      </w:r>
      <w:r>
        <w:t>—</w:t>
      </w:r>
      <w:r>
        <w:rPr>
          <w:rStyle w:val="CharSDivText"/>
        </w:rPr>
        <w:t> </w:t>
      </w:r>
      <w:r>
        <w:rPr>
          <w:rStyle w:val="CharSchText"/>
        </w:rPr>
        <w:t>Provisions about old agreements and old training contracts</w:t>
      </w:r>
      <w:bookmarkEnd w:id="112"/>
      <w:bookmarkEnd w:id="113"/>
      <w:bookmarkEnd w:id="114"/>
    </w:p>
    <w:p>
      <w:pPr>
        <w:pStyle w:val="yShoulderClause"/>
      </w:pPr>
      <w:r>
        <w:t>[r. 60]</w:t>
      </w:r>
    </w:p>
    <w:p>
      <w:pPr>
        <w:pStyle w:val="yHeading5"/>
      </w:pPr>
      <w:bookmarkStart w:id="115" w:name="_Toc405806975"/>
      <w:r>
        <w:rPr>
          <w:rStyle w:val="CharSClsNo"/>
        </w:rPr>
        <w:t>1</w:t>
      </w:r>
      <w:r>
        <w:t>.</w:t>
      </w:r>
      <w:r>
        <w:tab/>
        <w:t>Terms used</w:t>
      </w:r>
      <w:bookmarkEnd w:id="115"/>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4</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3</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3</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3</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3</w:t>
      </w:r>
      <w:r>
        <w:t>, whether or not the contract also specifies the apprentice is being trained for a prescribed VET qualification.</w:t>
      </w:r>
    </w:p>
    <w:p>
      <w:pPr>
        <w:pStyle w:val="yHeading5"/>
      </w:pPr>
      <w:bookmarkStart w:id="116" w:name="_Toc405806976"/>
      <w:r>
        <w:rPr>
          <w:rStyle w:val="CharSClsNo"/>
        </w:rPr>
        <w:t>2</w:t>
      </w:r>
      <w:r>
        <w:t>.</w:t>
      </w:r>
      <w:r>
        <w:tab/>
        <w:t>Old agreements to be read with modifications</w:t>
      </w:r>
      <w:bookmarkEnd w:id="116"/>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3</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3</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3</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3</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3</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117" w:name="_Toc405806977"/>
      <w:r>
        <w:rPr>
          <w:rStyle w:val="CharSClsNo"/>
        </w:rPr>
        <w:t>3</w:t>
      </w:r>
      <w:r>
        <w:t>.</w:t>
      </w:r>
      <w:r>
        <w:tab/>
        <w:t>Old agreements and contracts not terminated by sale of business</w:t>
      </w:r>
      <w:bookmarkEnd w:id="117"/>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118" w:name="_Toc405806978"/>
      <w:r>
        <w:rPr>
          <w:rStyle w:val="CharSClsNo"/>
        </w:rPr>
        <w:t>4</w:t>
      </w:r>
      <w:r>
        <w:t>.</w:t>
      </w:r>
      <w:r>
        <w:tab/>
        <w:t>Technical instruction requirements for trade apprentices</w:t>
      </w:r>
      <w:bookmarkEnd w:id="118"/>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119" w:name="_Toc405806979"/>
      <w:r>
        <w:rPr>
          <w:rStyle w:val="CharSClsNo"/>
        </w:rPr>
        <w:t>5</w:t>
      </w:r>
      <w:r>
        <w:t>.</w:t>
      </w:r>
      <w:r>
        <w:tab/>
        <w:t>Final certificates for trade apprentices</w:t>
      </w:r>
      <w:bookmarkEnd w:id="119"/>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120" w:name="_Toc394914792"/>
      <w:bookmarkStart w:id="121" w:name="_Toc405799797"/>
      <w:bookmarkStart w:id="122" w:name="_Toc405806980"/>
      <w:r>
        <w:t>Notes</w:t>
      </w:r>
      <w:bookmarkEnd w:id="120"/>
      <w:bookmarkEnd w:id="121"/>
      <w:bookmarkEnd w:id="122"/>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123" w:name="_Toc405806981"/>
      <w:r>
        <w:t>Compilation table</w:t>
      </w:r>
      <w:bookmarkEnd w:id="1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Citation</w:t>
            </w:r>
          </w:p>
        </w:tc>
        <w:tc>
          <w:tcPr>
            <w:tcW w:w="1276"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Gazettal</w:t>
            </w:r>
          </w:p>
        </w:tc>
        <w:tc>
          <w:tcPr>
            <w:tcW w:w="2693"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Commencement</w:t>
            </w:r>
          </w:p>
        </w:tc>
      </w:tr>
      <w:tr>
        <w:tc>
          <w:tcPr>
            <w:tcW w:w="3118" w:type="dxa"/>
            <w:tcBorders>
              <w:top w:val="single" w:sz="8" w:space="0" w:color="auto"/>
              <w:bottom w:val="nil"/>
            </w:tcBorders>
          </w:tcPr>
          <w:p>
            <w:pPr>
              <w:pStyle w:val="nTable"/>
              <w:spacing w:after="40"/>
              <w:rPr>
                <w:rFonts w:ascii="Times" w:hAnsi="Times"/>
                <w:iCs/>
                <w:sz w:val="19"/>
              </w:rPr>
            </w:pPr>
            <w:r>
              <w:rPr>
                <w:rFonts w:ascii="Times" w:hAnsi="Times"/>
                <w:i/>
                <w:noProof/>
                <w:snapToGrid w:val="0"/>
                <w:sz w:val="19"/>
              </w:rPr>
              <w:t>Vocational Education and Training (General) Regulations 2009</w:t>
            </w:r>
          </w:p>
        </w:tc>
        <w:tc>
          <w:tcPr>
            <w:tcW w:w="1276" w:type="dxa"/>
            <w:tcBorders>
              <w:top w:val="single" w:sz="8" w:space="0" w:color="auto"/>
              <w:bottom w:val="nil"/>
            </w:tcBorders>
          </w:tcPr>
          <w:p>
            <w:pPr>
              <w:pStyle w:val="nTable"/>
              <w:spacing w:after="40"/>
              <w:rPr>
                <w:rFonts w:ascii="Times" w:hAnsi="Times"/>
                <w:sz w:val="19"/>
              </w:rPr>
            </w:pPr>
            <w:r>
              <w:rPr>
                <w:rFonts w:ascii="Times" w:hAnsi="Times"/>
                <w:sz w:val="19"/>
              </w:rPr>
              <w:t>22 May 2009 p. 1731</w:t>
            </w:r>
            <w:r>
              <w:rPr>
                <w:rFonts w:ascii="Times" w:hAnsi="Times"/>
                <w:sz w:val="19"/>
              </w:rPr>
              <w:noBreakHyphen/>
              <w:t>97</w:t>
            </w:r>
          </w:p>
        </w:tc>
        <w:tc>
          <w:tcPr>
            <w:tcW w:w="2693" w:type="dxa"/>
            <w:tcBorders>
              <w:top w:val="single" w:sz="8" w:space="0" w:color="auto"/>
              <w:bottom w:val="nil"/>
            </w:tcBorders>
          </w:tcPr>
          <w:p>
            <w:pPr>
              <w:pStyle w:val="nTable"/>
              <w:spacing w:after="40"/>
              <w:rPr>
                <w:rFonts w:ascii="Times" w:hAnsi="Times"/>
                <w:sz w:val="19"/>
              </w:rPr>
            </w:pPr>
            <w:r>
              <w:rPr>
                <w:rFonts w:ascii="Times" w:hAnsi="Times"/>
                <w:sz w:val="19"/>
              </w:rPr>
              <w:t>r. 1 and 2: 22 May 2009 (see r. 2(a));</w:t>
            </w:r>
            <w:r>
              <w:rPr>
                <w:rFonts w:ascii="Times" w:hAnsi="Times"/>
                <w:sz w:val="19"/>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4508-11</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 (No. 2)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4511-12</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sz w:val="19"/>
                <w:szCs w:val="19"/>
              </w:rPr>
            </w:pPr>
            <w:r>
              <w:rPr>
                <w:rFonts w:ascii="Times" w:hAnsi="Times"/>
                <w:i/>
                <w:sz w:val="19"/>
                <w:szCs w:val="19"/>
              </w:rPr>
              <w:t>Vocational Education and Training (General)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16 Mar 2012 p. 1247</w:t>
            </w:r>
            <w:r>
              <w:rPr>
                <w:rFonts w:ascii="Times" w:hAnsi="Times"/>
                <w:sz w:val="19"/>
              </w:rPr>
              <w:noBreakHyphen/>
              <w:t>8</w:t>
            </w:r>
          </w:p>
        </w:tc>
        <w:tc>
          <w:tcPr>
            <w:tcW w:w="2693" w:type="dxa"/>
            <w:tcBorders>
              <w:top w:val="nil"/>
              <w:bottom w:val="nil"/>
            </w:tcBorders>
          </w:tcPr>
          <w:p>
            <w:pPr>
              <w:pStyle w:val="nTable"/>
              <w:spacing w:after="40"/>
              <w:rPr>
                <w:rFonts w:ascii="Times" w:hAnsi="Times"/>
                <w:sz w:val="19"/>
              </w:rPr>
            </w:pPr>
            <w:r>
              <w:rPr>
                <w:rFonts w:ascii="Times" w:hAnsi="Times"/>
                <w:snapToGrid w:val="0"/>
                <w:sz w:val="19"/>
              </w:rPr>
              <w:t>r. 1 and 2: 16 Mar 2012 (see r. 2(a));</w:t>
            </w:r>
            <w:r>
              <w:rPr>
                <w:rFonts w:ascii="Times" w:hAnsi="Times"/>
                <w:snapToGrid w:val="0"/>
                <w:sz w:val="19"/>
              </w:rPr>
              <w:br/>
              <w:t>Regulations other than r. 1 and 2: 17 Mar 2012 (see r. 2(b))</w:t>
            </w:r>
          </w:p>
        </w:tc>
      </w:tr>
      <w:tr>
        <w:tc>
          <w:tcPr>
            <w:tcW w:w="3118" w:type="dxa"/>
            <w:tcBorders>
              <w:top w:val="nil"/>
              <w:bottom w:val="nil"/>
            </w:tcBorders>
          </w:tcPr>
          <w:p>
            <w:pPr>
              <w:pStyle w:val="nTable"/>
              <w:spacing w:after="40"/>
              <w:rPr>
                <w:rFonts w:ascii="Times" w:hAnsi="Times"/>
                <w:i/>
                <w:sz w:val="19"/>
                <w:szCs w:val="19"/>
              </w:rPr>
            </w:pPr>
            <w:r>
              <w:rPr>
                <w:rFonts w:ascii="Times" w:hAnsi="Times"/>
                <w:i/>
                <w:sz w:val="19"/>
                <w:szCs w:val="19"/>
              </w:rPr>
              <w:t>Vocational Education and Training (General) Amendment Regulations (No. 2) 2012</w:t>
            </w:r>
          </w:p>
        </w:tc>
        <w:tc>
          <w:tcPr>
            <w:tcW w:w="1276" w:type="dxa"/>
            <w:tcBorders>
              <w:top w:val="nil"/>
              <w:bottom w:val="nil"/>
            </w:tcBorders>
          </w:tcPr>
          <w:p>
            <w:pPr>
              <w:pStyle w:val="nTable"/>
              <w:spacing w:after="40"/>
              <w:rPr>
                <w:rFonts w:ascii="Times" w:hAnsi="Times"/>
                <w:sz w:val="19"/>
              </w:rPr>
            </w:pPr>
            <w:r>
              <w:rPr>
                <w:rFonts w:ascii="Times" w:hAnsi="Times"/>
                <w:sz w:val="19"/>
              </w:rPr>
              <w:t>21 Aug 2012 p. 3927</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21 Aug 2012 (see r. 2(a));</w:t>
            </w:r>
            <w:r>
              <w:rPr>
                <w:rFonts w:ascii="Times" w:hAnsi="Times"/>
                <w:snapToGrid w:val="0"/>
                <w:sz w:val="19"/>
              </w:rPr>
              <w:br/>
              <w:t>Regulations other than r. 1 and 2: 1 Sep 2012 (see r. 2(b))</w:t>
            </w:r>
          </w:p>
        </w:tc>
      </w:tr>
      <w:tr>
        <w:tc>
          <w:tcPr>
            <w:tcW w:w="3118" w:type="dxa"/>
            <w:tcBorders>
              <w:top w:val="nil"/>
              <w:bottom w:val="nil"/>
            </w:tcBorders>
          </w:tcPr>
          <w:p>
            <w:pPr>
              <w:pStyle w:val="nTable"/>
              <w:spacing w:after="40"/>
              <w:rPr>
                <w:rFonts w:ascii="Times" w:hAnsi="Times"/>
                <w:i/>
                <w:sz w:val="19"/>
                <w:szCs w:val="19"/>
              </w:rPr>
            </w:pPr>
            <w:r>
              <w:rPr>
                <w:i/>
                <w:sz w:val="19"/>
              </w:rPr>
              <w:t>Vocational Education and Training (General) Amendment Regulations 2013</w:t>
            </w:r>
            <w:r>
              <w:rPr>
                <w:sz w:val="19"/>
              </w:rPr>
              <w:t xml:space="preserve"> </w:t>
            </w:r>
          </w:p>
        </w:tc>
        <w:tc>
          <w:tcPr>
            <w:tcW w:w="1276" w:type="dxa"/>
            <w:tcBorders>
              <w:top w:val="nil"/>
              <w:bottom w:val="nil"/>
            </w:tcBorders>
          </w:tcPr>
          <w:p>
            <w:pPr>
              <w:pStyle w:val="nTable"/>
              <w:spacing w:after="40"/>
              <w:rPr>
                <w:rFonts w:ascii="Times" w:hAnsi="Times"/>
                <w:sz w:val="19"/>
              </w:rPr>
            </w:pPr>
            <w:r>
              <w:rPr>
                <w:rFonts w:ascii="Times" w:hAnsi="Times"/>
                <w:sz w:val="19"/>
              </w:rPr>
              <w:t>17 Dec 2013 p. 6218</w:t>
            </w:r>
            <w:r>
              <w:rPr>
                <w:rFonts w:ascii="Times" w:hAnsi="Times"/>
                <w:sz w:val="19"/>
              </w:rPr>
              <w:noBreakHyphen/>
              <w:t>30</w:t>
            </w:r>
          </w:p>
        </w:tc>
        <w:tc>
          <w:tcPr>
            <w:tcW w:w="2693" w:type="dxa"/>
            <w:tcBorders>
              <w:top w:val="nil"/>
              <w:bottom w:val="nil"/>
            </w:tcBorders>
          </w:tcPr>
          <w:p>
            <w:pPr>
              <w:pStyle w:val="nTable"/>
              <w:spacing w:after="40"/>
              <w:rPr>
                <w:rFonts w:ascii="Times" w:hAnsi="Times"/>
                <w:snapToGrid w:val="0"/>
                <w:sz w:val="19"/>
              </w:rPr>
            </w:pPr>
            <w:r>
              <w:rPr>
                <w:rFonts w:ascii="Times" w:hAnsi="Times"/>
                <w:bCs/>
                <w:snapToGrid w:val="0"/>
                <w:sz w:val="19"/>
                <w:szCs w:val="19"/>
              </w:rPr>
              <w:t>r. 1 and 2: 17 Dec 2013 (see r. 2(a));</w:t>
            </w:r>
            <w:r>
              <w:rPr>
                <w:rFonts w:ascii="Times" w:hAnsi="Times"/>
                <w:bCs/>
                <w:snapToGrid w:val="0"/>
                <w:sz w:val="19"/>
                <w:szCs w:val="19"/>
              </w:rPr>
              <w:br/>
              <w:t xml:space="preserve">Regulations other than r. 1 and 2: </w:t>
            </w:r>
            <w:r>
              <w:rPr>
                <w:rFonts w:ascii="Times" w:hAnsi="Times"/>
                <w:sz w:val="19"/>
              </w:rPr>
              <w:t>1 Jan 2014 (see r. 2(b))</w:t>
            </w:r>
          </w:p>
        </w:tc>
      </w:tr>
      <w:tr>
        <w:tc>
          <w:tcPr>
            <w:tcW w:w="7087" w:type="dxa"/>
            <w:gridSpan w:val="3"/>
            <w:tcBorders>
              <w:top w:val="nil"/>
              <w:bottom w:val="nil"/>
            </w:tcBorders>
            <w:shd w:val="clear" w:color="auto" w:fill="auto"/>
          </w:tcPr>
          <w:p>
            <w:pPr>
              <w:pStyle w:val="nTable"/>
              <w:spacing w:after="40"/>
              <w:rPr>
                <w:rFonts w:ascii="Times" w:hAnsi="Times"/>
                <w:bCs/>
                <w:snapToGrid w:val="0"/>
                <w:sz w:val="19"/>
                <w:szCs w:val="19"/>
              </w:rPr>
            </w:pPr>
            <w:r>
              <w:rPr>
                <w:rFonts w:ascii="Times" w:hAnsi="Times"/>
                <w:b/>
                <w:bCs/>
                <w:snapToGrid w:val="0"/>
                <w:sz w:val="19"/>
                <w:szCs w:val="19"/>
              </w:rPr>
              <w:t xml:space="preserve">Reprint 1:  The </w:t>
            </w:r>
            <w:r>
              <w:rPr>
                <w:rFonts w:ascii="Times" w:hAnsi="Times"/>
                <w:b/>
                <w:i/>
                <w:noProof/>
                <w:snapToGrid w:val="0"/>
                <w:sz w:val="19"/>
              </w:rPr>
              <w:t xml:space="preserve">Vocational Education and Training (General) Regulations 2009 </w:t>
            </w:r>
            <w:r>
              <w:rPr>
                <w:rFonts w:ascii="Times" w:hAnsi="Times"/>
                <w:b/>
                <w:bCs/>
                <w:snapToGrid w:val="0"/>
                <w:sz w:val="19"/>
                <w:szCs w:val="19"/>
              </w:rPr>
              <w:t>as at 7 Mar 2014</w:t>
            </w:r>
            <w:r>
              <w:rPr>
                <w:rFonts w:ascii="Times" w:hAnsi="Times"/>
                <w:bCs/>
                <w:snapToGrid w:val="0"/>
                <w:sz w:val="19"/>
                <w:szCs w:val="19"/>
              </w:rPr>
              <w:t xml:space="preserve"> (includes amendments listed above) </w:t>
            </w:r>
          </w:p>
        </w:tc>
      </w:tr>
      <w:tr>
        <w:tc>
          <w:tcPr>
            <w:tcW w:w="3118" w:type="dxa"/>
            <w:tcBorders>
              <w:top w:val="nil"/>
              <w:bottom w:val="nil"/>
            </w:tcBorders>
          </w:tcPr>
          <w:p>
            <w:pPr>
              <w:pStyle w:val="nTable"/>
              <w:spacing w:after="40"/>
              <w:rPr>
                <w:rFonts w:ascii="Times" w:hAnsi="Times"/>
                <w:i/>
                <w:sz w:val="19"/>
                <w:szCs w:val="19"/>
              </w:rPr>
            </w:pPr>
            <w:bookmarkStart w:id="124" w:name="AutoSch"/>
            <w:bookmarkEnd w:id="124"/>
            <w:r>
              <w:rPr>
                <w:i/>
                <w:sz w:val="19"/>
              </w:rPr>
              <w:t>Vocational Education and Training (General) Amendment Regulations (No. 2) 2014</w:t>
            </w:r>
          </w:p>
        </w:tc>
        <w:tc>
          <w:tcPr>
            <w:tcW w:w="1276" w:type="dxa"/>
            <w:tcBorders>
              <w:top w:val="nil"/>
              <w:bottom w:val="nil"/>
            </w:tcBorders>
          </w:tcPr>
          <w:p>
            <w:pPr>
              <w:pStyle w:val="nTable"/>
              <w:spacing w:after="40"/>
              <w:rPr>
                <w:rFonts w:ascii="Times" w:hAnsi="Times"/>
                <w:sz w:val="19"/>
              </w:rPr>
            </w:pPr>
            <w:r>
              <w:rPr>
                <w:sz w:val="19"/>
              </w:rPr>
              <w:t>15 Jul 2014 p. 2463</w:t>
            </w:r>
            <w:r>
              <w:rPr>
                <w:sz w:val="19"/>
              </w:rPr>
              <w:noBreakHyphen/>
              <w:t>4</w:t>
            </w:r>
          </w:p>
        </w:tc>
        <w:tc>
          <w:tcPr>
            <w:tcW w:w="2693" w:type="dxa"/>
            <w:tcBorders>
              <w:top w:val="nil"/>
              <w:bottom w:val="nil"/>
            </w:tcBorders>
          </w:tcPr>
          <w:p>
            <w:pPr>
              <w:pStyle w:val="nTable"/>
              <w:spacing w:after="40"/>
              <w:rPr>
                <w:rFonts w:ascii="Times" w:hAnsi="Times"/>
                <w:snapToGrid w:val="0"/>
                <w:sz w:val="19"/>
              </w:rPr>
            </w:pPr>
            <w:r>
              <w:rPr>
                <w:rFonts w:ascii="Times" w:hAnsi="Times"/>
                <w:bCs/>
                <w:snapToGrid w:val="0"/>
                <w:sz w:val="19"/>
                <w:szCs w:val="19"/>
              </w:rPr>
              <w:t>r. 1 and 2: 15 Jul 2014 (see r. 2(a));</w:t>
            </w:r>
            <w:r>
              <w:rPr>
                <w:rFonts w:ascii="Times" w:hAnsi="Times"/>
                <w:bCs/>
                <w:snapToGrid w:val="0"/>
                <w:sz w:val="19"/>
                <w:szCs w:val="19"/>
              </w:rPr>
              <w:br/>
              <w:t xml:space="preserve">Regulations other than r. 1 and 2: </w:t>
            </w:r>
            <w:r>
              <w:rPr>
                <w:rFonts w:ascii="Times" w:hAnsi="Times"/>
                <w:sz w:val="19"/>
              </w:rPr>
              <w:t>1 Aug 2014 (see r. 2(b))</w:t>
            </w:r>
          </w:p>
        </w:tc>
      </w:tr>
      <w:tr>
        <w:tc>
          <w:tcPr>
            <w:tcW w:w="3118" w:type="dxa"/>
            <w:tcBorders>
              <w:top w:val="nil"/>
              <w:bottom w:val="single" w:sz="8" w:space="0" w:color="auto"/>
            </w:tcBorders>
            <w:shd w:val="clear" w:color="auto" w:fill="auto"/>
          </w:tcPr>
          <w:p>
            <w:pPr>
              <w:pStyle w:val="nTable"/>
              <w:keepNext/>
              <w:spacing w:after="40"/>
              <w:rPr>
                <w:i/>
                <w:sz w:val="19"/>
              </w:rPr>
            </w:pPr>
            <w:r>
              <w:rPr>
                <w:i/>
                <w:sz w:val="19"/>
              </w:rPr>
              <w:t>Vocational Education and Training (General) Amendment Regulations 2014</w:t>
            </w:r>
          </w:p>
        </w:tc>
        <w:tc>
          <w:tcPr>
            <w:tcW w:w="1276" w:type="dxa"/>
            <w:tcBorders>
              <w:top w:val="nil"/>
              <w:bottom w:val="single" w:sz="8" w:space="0" w:color="auto"/>
            </w:tcBorders>
            <w:shd w:val="clear" w:color="auto" w:fill="auto"/>
          </w:tcPr>
          <w:p>
            <w:pPr>
              <w:pStyle w:val="nTable"/>
              <w:keepNext/>
              <w:spacing w:after="40"/>
              <w:rPr>
                <w:sz w:val="19"/>
              </w:rPr>
            </w:pPr>
            <w:r>
              <w:rPr>
                <w:sz w:val="19"/>
              </w:rPr>
              <w:t>5 Dec 2014 p. 4525-41</w:t>
            </w:r>
          </w:p>
        </w:tc>
        <w:tc>
          <w:tcPr>
            <w:tcW w:w="2693" w:type="dxa"/>
            <w:tcBorders>
              <w:top w:val="nil"/>
              <w:bottom w:val="single" w:sz="8" w:space="0" w:color="auto"/>
            </w:tcBorders>
            <w:shd w:val="clear" w:color="auto" w:fill="auto"/>
          </w:tcPr>
          <w:p>
            <w:pPr>
              <w:pStyle w:val="nTable"/>
              <w:keepNext/>
              <w:spacing w:after="40"/>
              <w:rPr>
                <w:rFonts w:ascii="Times" w:hAnsi="Times"/>
                <w:bCs/>
                <w:snapToGrid w:val="0"/>
                <w:sz w:val="19"/>
                <w:szCs w:val="19"/>
              </w:rPr>
            </w:pPr>
            <w:r>
              <w:rPr>
                <w:rFonts w:ascii="Times" w:hAnsi="Times"/>
                <w:bCs/>
                <w:snapToGrid w:val="0"/>
                <w:spacing w:val="-2"/>
                <w:sz w:val="19"/>
                <w:szCs w:val="19"/>
              </w:rPr>
              <w:t>r. 1 and 2: 5 Dec 2014 (see r. 2(a));</w:t>
            </w:r>
            <w:r>
              <w:rPr>
                <w:rFonts w:ascii="Times" w:hAnsi="Times"/>
                <w:bCs/>
                <w:snapToGrid w:val="0"/>
                <w:spacing w:val="-2"/>
                <w:sz w:val="19"/>
                <w:szCs w:val="19"/>
              </w:rPr>
              <w:br/>
              <w:t>Regulations other than r. 1 and 2: 6 Dec 2014 (see r. 2(b))</w:t>
            </w:r>
          </w:p>
        </w:tc>
      </w:tr>
    </w:tbl>
    <w:p>
      <w:pPr>
        <w:pStyle w:val="nSubsection"/>
        <w:spacing w:before="160"/>
        <w:rPr>
          <w:color w:val="000000"/>
        </w:rPr>
      </w:pPr>
      <w:r>
        <w:rPr>
          <w:color w:val="000000"/>
          <w:vertAlign w:val="superscript"/>
        </w:rPr>
        <w:t>2</w:t>
      </w:r>
      <w:r>
        <w:rPr>
          <w:color w:val="000000"/>
        </w:rPr>
        <w:tab/>
        <w:t>The</w:t>
      </w:r>
      <w:r>
        <w:rPr>
          <w:i/>
          <w:color w:val="000000"/>
        </w:rPr>
        <w:t xml:space="preserve"> Training Legislation Amendment and Repeal Act 2008 </w:t>
      </w:r>
      <w:r>
        <w:rPr>
          <w:color w:val="000000"/>
        </w:rPr>
        <w:t>(other than Pt. 1) commenced 10 Jun 2009.</w:t>
      </w:r>
    </w:p>
    <w:p>
      <w:pPr>
        <w:pStyle w:val="nSubsection"/>
        <w:rPr>
          <w:i/>
          <w:color w:val="000000"/>
        </w:rPr>
      </w:pPr>
      <w:r>
        <w:rPr>
          <w:vertAlign w:val="superscript"/>
        </w:rPr>
        <w:t>3</w:t>
      </w:r>
      <w:r>
        <w:tab/>
        <w:t xml:space="preserve">The </w:t>
      </w:r>
      <w:r>
        <w:rPr>
          <w:i/>
        </w:rPr>
        <w:t>Industrial Training Act 1975</w:t>
      </w:r>
      <w:r>
        <w:t xml:space="preserve"> was repealed by the </w:t>
      </w:r>
      <w:r>
        <w:rPr>
          <w:i/>
          <w:color w:val="000000"/>
        </w:rPr>
        <w:t>Training Legislation Amendment and Repeal Act 2008.</w:t>
      </w:r>
    </w:p>
    <w:p>
      <w:pPr>
        <w:pStyle w:val="nSubsection"/>
      </w:pPr>
      <w:r>
        <w:rPr>
          <w:color w:val="000000"/>
          <w:vertAlign w:val="superscript"/>
        </w:rPr>
        <w:t>4</w:t>
      </w:r>
      <w:r>
        <w:rPr>
          <w:color w:val="000000"/>
        </w:rPr>
        <w:tab/>
      </w:r>
      <w:r>
        <w:t xml:space="preserve">The </w:t>
      </w:r>
      <w:r>
        <w:rPr>
          <w:i/>
        </w:rPr>
        <w:t>Industrial Training (General Apprenticeship) Regulations 1981</w:t>
      </w:r>
      <w:r>
        <w:t xml:space="preserve"> were repealed by r. 56(2) of these regulations. Regulation 56 was omitted under the </w:t>
      </w:r>
      <w:r>
        <w:rPr>
          <w:i/>
        </w:rPr>
        <w:t>Reprints Act 1984</w:t>
      </w:r>
      <w:r>
        <w:t xml:space="preserve"> s. 7(4)(f).</w:t>
      </w: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25" w:name="_Toc394914794"/>
      <w:bookmarkStart w:id="126" w:name="_Toc405799799"/>
      <w:bookmarkStart w:id="127" w:name="_Toc405806982"/>
      <w:r>
        <w:rPr>
          <w:sz w:val="28"/>
        </w:rPr>
        <w:t>Defined terms</w:t>
      </w:r>
      <w:bookmarkEnd w:id="125"/>
      <w:bookmarkEnd w:id="126"/>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8" w:name="DefinedTerms"/>
      <w:bookmarkEnd w:id="128"/>
      <w:r>
        <w:t>accreditation application</w:t>
      </w:r>
      <w:r>
        <w:tab/>
        <w:t>7(1)</w:t>
      </w:r>
    </w:p>
    <w:p>
      <w:pPr>
        <w:pStyle w:val="DefinedTerms"/>
      </w:pPr>
      <w:r>
        <w:t>accreditation standards</w:t>
      </w:r>
      <w:r>
        <w:tab/>
        <w:t>7(1)</w:t>
      </w:r>
    </w:p>
    <w:p>
      <w:pPr>
        <w:pStyle w:val="DefinedTerms"/>
      </w:pPr>
      <w:r>
        <w:t>Act</w:t>
      </w:r>
      <w:r>
        <w:tab/>
        <w:t>3</w:t>
      </w:r>
    </w:p>
    <w:p>
      <w:pPr>
        <w:pStyle w:val="DefinedTerms"/>
      </w:pPr>
      <w:r>
        <w:t>application</w:t>
      </w:r>
      <w:r>
        <w:tab/>
        <w:t>11(1)</w:t>
      </w:r>
    </w:p>
    <w:p>
      <w:pPr>
        <w:pStyle w:val="DefinedTerms"/>
      </w:pPr>
      <w:r>
        <w:t xml:space="preserve">AQF </w:t>
      </w:r>
      <w:r>
        <w:tab/>
        <w:t>3</w:t>
      </w:r>
    </w:p>
    <w:p>
      <w:pPr>
        <w:pStyle w:val="DefinedTerms"/>
      </w:pPr>
      <w:r>
        <w:t>AQTF</w:t>
      </w:r>
      <w:r>
        <w:tab/>
        <w:t>3</w:t>
      </w:r>
    </w:p>
    <w:p>
      <w:pPr>
        <w:pStyle w:val="DefinedTerms"/>
      </w:pPr>
      <w:r>
        <w:t>ASQA</w:t>
      </w:r>
      <w:r>
        <w:tab/>
        <w:t>3</w:t>
      </w:r>
    </w:p>
    <w:p>
      <w:pPr>
        <w:pStyle w:val="DefinedTerms"/>
      </w:pPr>
      <w:r>
        <w:t>associate</w:t>
      </w:r>
      <w:r>
        <w:tab/>
        <w:t>12(1)</w:t>
      </w:r>
    </w:p>
    <w:p>
      <w:pPr>
        <w:pStyle w:val="DefinedTerms"/>
      </w:pPr>
      <w:r>
        <w:t>child</w:t>
      </w:r>
      <w:r>
        <w:tab/>
        <w:t>40(1)</w:t>
      </w:r>
    </w:p>
    <w:p>
      <w:pPr>
        <w:pStyle w:val="DefinedTerms"/>
      </w:pPr>
      <w:r>
        <w:t>commencement</w:t>
      </w:r>
      <w:r>
        <w:tab/>
        <w:t>55, Sch. 2 cl. 1</w:t>
      </w:r>
    </w:p>
    <w:p>
      <w:pPr>
        <w:pStyle w:val="DefinedTerms"/>
      </w:pPr>
      <w:r>
        <w:t>Commonwealth Act</w:t>
      </w:r>
      <w:r>
        <w:tab/>
        <w:t>3</w:t>
      </w:r>
    </w:p>
    <w:p>
      <w:pPr>
        <w:pStyle w:val="DefinedTerms"/>
      </w:pPr>
      <w:r>
        <w:t>compliance audit</w:t>
      </w:r>
      <w:r>
        <w:tab/>
        <w:t>7(1), 24</w:t>
      </w:r>
    </w:p>
    <w:p>
      <w:pPr>
        <w:pStyle w:val="DefinedTerms"/>
      </w:pPr>
      <w:r>
        <w:t xml:space="preserve">compliance monitoring audit </w:t>
      </w:r>
      <w:r>
        <w:tab/>
        <w:t>7(1), 24</w:t>
      </w:r>
    </w:p>
    <w:p>
      <w:pPr>
        <w:pStyle w:val="DefinedTerms"/>
      </w:pPr>
      <w:r>
        <w:t>complying training plan</w:t>
      </w:r>
      <w:r>
        <w:tab/>
        <w:t>43(1)</w:t>
      </w:r>
    </w:p>
    <w:p>
      <w:pPr>
        <w:pStyle w:val="DefinedTerms"/>
      </w:pPr>
      <w:r>
        <w:t>compulsory education period</w:t>
      </w:r>
      <w:r>
        <w:tab/>
        <w:t>40(1)</w:t>
      </w:r>
    </w:p>
    <w:p>
      <w:pPr>
        <w:pStyle w:val="DefinedTerms"/>
      </w:pPr>
      <w:r>
        <w:t>continuing registration requirements</w:t>
      </w:r>
      <w:r>
        <w:tab/>
        <w:t>7(1)</w:t>
      </w:r>
    </w:p>
    <w:p>
      <w:pPr>
        <w:pStyle w:val="DefinedTerms"/>
      </w:pPr>
      <w:r>
        <w:t>initial registration requirements</w:t>
      </w:r>
      <w:r>
        <w:tab/>
        <w:t>7(1)</w:t>
      </w:r>
    </w:p>
    <w:p>
      <w:pPr>
        <w:pStyle w:val="DefinedTerms"/>
      </w:pPr>
      <w:r>
        <w:t>investigation</w:t>
      </w:r>
      <w:r>
        <w:tab/>
        <w:t>24</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national register</w:t>
      </w:r>
      <w:r>
        <w:tab/>
        <w:t>3</w:t>
      </w:r>
    </w:p>
    <w:p>
      <w:pPr>
        <w:pStyle w:val="DefinedTerms"/>
      </w:pPr>
      <w:r>
        <w:t>nominated training provider</w:t>
      </w:r>
      <w:r>
        <w:tab/>
        <w:t>34</w:t>
      </w:r>
    </w:p>
    <w:p>
      <w:pPr>
        <w:pStyle w:val="DefinedTerms"/>
      </w:pPr>
      <w:r>
        <w:t>non</w:t>
      </w:r>
      <w:r>
        <w:noBreakHyphen/>
        <w:t>referring State</w:t>
      </w:r>
      <w:r>
        <w:tab/>
        <w:t>7(1)</w:t>
      </w:r>
    </w:p>
    <w:p>
      <w:pPr>
        <w:pStyle w:val="DefinedTerms"/>
      </w:pPr>
      <w:r>
        <w:t>official travel costs</w:t>
      </w:r>
      <w:r>
        <w:tab/>
        <w:t>24</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prescribed registration document</w:t>
      </w:r>
      <w:r>
        <w:tab/>
        <w:t>7(1)</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requirements</w:t>
      </w:r>
      <w:r>
        <w:tab/>
        <w:t>7(1)</w:t>
      </w:r>
    </w:p>
    <w:p>
      <w:pPr>
        <w:pStyle w:val="DefinedTerms"/>
      </w:pPr>
      <w:r>
        <w:t>scope of registration</w:t>
      </w:r>
      <w:r>
        <w:tab/>
        <w:t>7(1)</w:t>
      </w:r>
    </w:p>
    <w:p>
      <w:pPr>
        <w:pStyle w:val="DefinedTerms"/>
      </w:pPr>
      <w:r>
        <w:t>Standards for VET Regulators</w:t>
      </w:r>
      <w:r>
        <w:tab/>
        <w:t>7(1)</w:t>
      </w:r>
    </w:p>
    <w:p>
      <w:pPr>
        <w:pStyle w:val="DefinedTerms"/>
      </w:pPr>
      <w:r>
        <w:t>suspension notice</w:t>
      </w:r>
      <w:r>
        <w:tab/>
        <w:t>49(4)</w:t>
      </w:r>
    </w:p>
    <w:p>
      <w:pPr>
        <w:pStyle w:val="DefinedTerms"/>
      </w:pPr>
      <w:r>
        <w:t>trade apprentice</w:t>
      </w:r>
      <w:r>
        <w:tab/>
        <w:t>Sch. 2 cl. 1</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p/>
    <w:p/>
    <w:p/>
    <w:p/>
    <w:p/>
    <w:p/>
    <w:p/>
    <w:p/>
    <w:p/>
    <w:p/>
    <w:p/>
    <w:p/>
    <w:p/>
    <w:p/>
    <w:p/>
    <w:p/>
    <w:p/>
    <w:p/>
    <w:p/>
    <w:p/>
    <w:p/>
    <w:p/>
    <w:p/>
    <w:p/>
    <w:p/>
    <w:p/>
    <w:p/>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804112203"/>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17888</Words>
  <Characters>94807</Characters>
  <Application>Microsoft Office Word</Application>
  <DocSecurity>0</DocSecurity>
  <Lines>2633</Lines>
  <Paragraphs>1609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111086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2009 - 01-d0-00</dc:title>
  <dc:subject/>
  <dc:creator/>
  <cp:keywords/>
  <dc:description/>
  <cp:lastModifiedBy>svcMRProcess</cp:lastModifiedBy>
  <cp:revision>4</cp:revision>
  <cp:lastPrinted>2014-03-13T01:01:00Z</cp:lastPrinted>
  <dcterms:created xsi:type="dcterms:W3CDTF">2018-09-18T07:11:00Z</dcterms:created>
  <dcterms:modified xsi:type="dcterms:W3CDTF">2018-09-18T07:11:00Z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20141206</vt:lpwstr>
  </property>
  <property fmtid="{D5CDD505-2E9C-101B-9397-08002B2CF9AE}" pid="4" name="AsAtDate">
    <vt:lpwstr>06 Dec 2014</vt:lpwstr>
  </property>
  <property fmtid="{D5CDD505-2E9C-101B-9397-08002B2CF9AE}" pid="5" name="Suffix">
    <vt:lpwstr>01-d0-00</vt:lpwstr>
  </property>
  <property fmtid="{D5CDD505-2E9C-101B-9397-08002B2CF9AE}" pid="6" name="OwlsUID">
    <vt:i4>41125</vt:i4>
  </property>
  <property fmtid="{D5CDD505-2E9C-101B-9397-08002B2CF9AE}" pid="7" name="ReprintNo">
    <vt:lpwstr>1</vt:lpwstr>
  </property>
  <property fmtid="{D5CDD505-2E9C-101B-9397-08002B2CF9AE}" pid="8" name="ReprintedAsAt">
    <vt:filetime>2014-03-06T16:00:00Z</vt:filetime>
  </property>
  <property fmtid="{D5CDD505-2E9C-101B-9397-08002B2CF9AE}" pid="9" name="DocumentType">
    <vt:lpwstr>Reg</vt:lpwstr>
  </property>
</Properties>
</file>