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Witness Protection (Western Australia)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Witness Protection (Western Australia)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_Toc423090688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_Toc423090689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 used in this Act</w:t>
      </w:r>
      <w:r>
        <w:tab/>
      </w:r>
      <w:r>
        <w:fldChar w:fldCharType="begin"/>
      </w:r>
      <w:r>
        <w:instrText xml:space="preserve"> PAGEREF _Toc423090690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Meaning of “witness”</w:t>
      </w:r>
      <w:r>
        <w:tab/>
      </w:r>
      <w:r>
        <w:fldChar w:fldCharType="begin"/>
      </w:r>
      <w:r>
        <w:instrText xml:space="preserve"> PAGEREF _Toc423090691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State Witness Protection Program</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w:t>
      </w:r>
    </w:p>
    <w:p>
      <w:pPr>
        <w:pStyle w:val="TOC8"/>
        <w:rPr>
          <w:rFonts w:asciiTheme="minorHAnsi" w:eastAsiaTheme="minorEastAsia" w:hAnsiTheme="minorHAnsi" w:cstheme="minorBidi"/>
          <w:szCs w:val="22"/>
        </w:rPr>
      </w:pPr>
      <w:r>
        <w:t>5</w:t>
      </w:r>
      <w:r>
        <w:rPr>
          <w:snapToGrid w:val="0"/>
        </w:rPr>
        <w:t>.</w:t>
      </w:r>
      <w:r>
        <w:rPr>
          <w:snapToGrid w:val="0"/>
        </w:rPr>
        <w:tab/>
        <w:t>Commissioner to establish SWPP</w:t>
      </w:r>
      <w:r>
        <w:tab/>
      </w:r>
      <w:r>
        <w:fldChar w:fldCharType="begin"/>
      </w:r>
      <w:r>
        <w:instrText xml:space="preserve"> PAGEREF _Toc423090694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Arrangements with approved authorities</w:t>
      </w:r>
      <w:r>
        <w:tab/>
      </w:r>
      <w:r>
        <w:fldChar w:fldCharType="begin"/>
      </w:r>
      <w:r>
        <w:instrText xml:space="preserve"> PAGEREF _Toc423090695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Authorisation of approved authorities</w:t>
      </w:r>
      <w:r>
        <w:tab/>
      </w:r>
      <w:r>
        <w:fldChar w:fldCharType="begin"/>
      </w:r>
      <w:r>
        <w:instrText xml:space="preserve"> PAGEREF _Toc423090696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Including witnesses in the SWPP</w:t>
      </w:r>
    </w:p>
    <w:p>
      <w:pPr>
        <w:pStyle w:val="TOC8"/>
        <w:rPr>
          <w:rFonts w:asciiTheme="minorHAnsi" w:eastAsiaTheme="minorEastAsia" w:hAnsiTheme="minorHAnsi" w:cstheme="minorBidi"/>
          <w:szCs w:val="22"/>
        </w:rPr>
      </w:pPr>
      <w:r>
        <w:t>8</w:t>
      </w:r>
      <w:r>
        <w:rPr>
          <w:snapToGrid w:val="0"/>
        </w:rPr>
        <w:t>.</w:t>
      </w:r>
      <w:r>
        <w:rPr>
          <w:snapToGrid w:val="0"/>
        </w:rPr>
        <w:tab/>
        <w:t>Commissioner to decide who is included</w:t>
      </w:r>
      <w:r>
        <w:tab/>
      </w:r>
      <w:r>
        <w:fldChar w:fldCharType="begin"/>
      </w:r>
      <w:r>
        <w:instrText xml:space="preserve"> PAGEREF _Toc423090698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Inclusion not to be a reward for giving evidence etc.</w:t>
      </w:r>
      <w:r>
        <w:tab/>
      </w:r>
      <w:r>
        <w:fldChar w:fldCharType="begin"/>
      </w:r>
      <w:r>
        <w:instrText xml:space="preserve"> PAGEREF _Toc423090699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Witness to provide Commissioner with information before inclusion</w:t>
      </w:r>
      <w:r>
        <w:tab/>
      </w:r>
      <w:r>
        <w:fldChar w:fldCharType="begin"/>
      </w:r>
      <w:r>
        <w:instrText xml:space="preserve"> PAGEREF _Toc423090700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Memorandum of understanding</w:t>
      </w:r>
      <w:r>
        <w:tab/>
      </w:r>
      <w:r>
        <w:fldChar w:fldCharType="begin"/>
      </w:r>
      <w:r>
        <w:instrText xml:space="preserve"> PAGEREF _Toc423090701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Amending a memorandum of understanding</w:t>
      </w:r>
      <w:r>
        <w:tab/>
      </w:r>
      <w:r>
        <w:fldChar w:fldCharType="begin"/>
      </w:r>
      <w:r>
        <w:instrText xml:space="preserve"> PAGEREF _Toc423090702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 of participants</w:t>
      </w:r>
    </w:p>
    <w:p>
      <w:pPr>
        <w:pStyle w:val="TOC8"/>
        <w:rPr>
          <w:rFonts w:asciiTheme="minorHAnsi" w:eastAsiaTheme="minorEastAsia" w:hAnsiTheme="minorHAnsi" w:cstheme="minorBidi"/>
          <w:szCs w:val="22"/>
        </w:rPr>
      </w:pPr>
      <w:r>
        <w:t>13</w:t>
      </w:r>
      <w:r>
        <w:rPr>
          <w:snapToGrid w:val="0"/>
        </w:rPr>
        <w:t>.</w:t>
      </w:r>
      <w:r>
        <w:rPr>
          <w:snapToGrid w:val="0"/>
        </w:rPr>
        <w:tab/>
        <w:t>Commissioner to keep register</w:t>
      </w:r>
      <w:r>
        <w:tab/>
      </w:r>
      <w:r>
        <w:fldChar w:fldCharType="begin"/>
      </w:r>
      <w:r>
        <w:instrText xml:space="preserve"> PAGEREF _Toc423090704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Access to the register</w:t>
      </w:r>
      <w:r>
        <w:tab/>
      </w:r>
      <w:r>
        <w:fldChar w:fldCharType="begin"/>
      </w:r>
      <w:r>
        <w:instrText xml:space="preserve"> PAGEREF _Toc423090705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Protecting and assisting witnesses and participants</w:t>
      </w:r>
    </w:p>
    <w:p>
      <w:pPr>
        <w:pStyle w:val="TOC8"/>
        <w:rPr>
          <w:rFonts w:asciiTheme="minorHAnsi" w:eastAsiaTheme="minorEastAsia" w:hAnsiTheme="minorHAnsi" w:cstheme="minorBidi"/>
          <w:szCs w:val="22"/>
        </w:rPr>
      </w:pPr>
      <w:r>
        <w:t>15</w:t>
      </w:r>
      <w:r>
        <w:rPr>
          <w:snapToGrid w:val="0"/>
        </w:rPr>
        <w:t>.</w:t>
      </w:r>
      <w:r>
        <w:rPr>
          <w:snapToGrid w:val="0"/>
        </w:rPr>
        <w:tab/>
        <w:t>Commissioner must take action to protect etc.</w:t>
      </w:r>
      <w:r>
        <w:tab/>
      </w:r>
      <w:r>
        <w:fldChar w:fldCharType="begin"/>
      </w:r>
      <w:r>
        <w:instrText xml:space="preserve"> PAGEREF _Toc423090707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Action as to obligations etc. of a participant</w:t>
      </w:r>
      <w:r>
        <w:tab/>
      </w:r>
      <w:r>
        <w:fldChar w:fldCharType="begin"/>
      </w:r>
      <w:r>
        <w:instrText xml:space="preserve"> PAGEREF _Toc423090708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Commercial arrangements for benefit of participant</w:t>
      </w:r>
      <w:r>
        <w:tab/>
      </w:r>
      <w:r>
        <w:fldChar w:fldCharType="begin"/>
      </w:r>
      <w:r>
        <w:instrText xml:space="preserve"> PAGEREF _Toc423090709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Identity documents in urgent cases</w:t>
      </w:r>
      <w:r>
        <w:tab/>
      </w:r>
      <w:r>
        <w:fldChar w:fldCharType="begin"/>
      </w:r>
      <w:r>
        <w:instrText xml:space="preserve"> PAGEREF _Toc423090710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New identity orders</w:t>
      </w:r>
    </w:p>
    <w:p>
      <w:pPr>
        <w:pStyle w:val="TOC8"/>
        <w:rPr>
          <w:rFonts w:asciiTheme="minorHAnsi" w:eastAsiaTheme="minorEastAsia" w:hAnsiTheme="minorHAnsi" w:cstheme="minorBidi"/>
          <w:szCs w:val="22"/>
        </w:rPr>
      </w:pPr>
      <w:r>
        <w:t>19</w:t>
      </w:r>
      <w:r>
        <w:rPr>
          <w:snapToGrid w:val="0"/>
        </w:rPr>
        <w:t>.</w:t>
      </w:r>
      <w:r>
        <w:rPr>
          <w:snapToGrid w:val="0"/>
        </w:rPr>
        <w:tab/>
        <w:t>Terms used in this Division</w:t>
      </w:r>
      <w:r>
        <w:tab/>
      </w:r>
      <w:r>
        <w:fldChar w:fldCharType="begin"/>
      </w:r>
      <w:r>
        <w:instrText xml:space="preserve"> PAGEREF _Toc423090712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Supreme Court</w:t>
      </w:r>
      <w:r>
        <w:tab/>
      </w:r>
      <w:r>
        <w:fldChar w:fldCharType="begin"/>
      </w:r>
      <w:r>
        <w:instrText xml:space="preserve"> PAGEREF _Toc423090713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Supreme Court may make order</w:t>
      </w:r>
      <w:r>
        <w:tab/>
      </w:r>
      <w:r>
        <w:fldChar w:fldCharType="begin"/>
      </w:r>
      <w:r>
        <w:instrText xml:space="preserve"> PAGEREF _Toc423090714 \h </w:instrText>
      </w:r>
      <w:r>
        <w:fldChar w:fldCharType="separate"/>
      </w:r>
      <w:r>
        <w:t>19</w:t>
      </w:r>
      <w:r>
        <w:fldChar w:fldCharType="end"/>
      </w:r>
    </w:p>
    <w:p>
      <w:pPr>
        <w:pStyle w:val="TOC8"/>
        <w:rPr>
          <w:rFonts w:asciiTheme="minorHAnsi" w:eastAsiaTheme="minorEastAsia" w:hAnsiTheme="minorHAnsi" w:cstheme="minorBidi"/>
          <w:szCs w:val="22"/>
        </w:rPr>
      </w:pPr>
      <w:r>
        <w:t>22A.</w:t>
      </w:r>
      <w:r>
        <w:tab/>
        <w:t>Effect of new identity order</w:t>
      </w:r>
      <w:r>
        <w:tab/>
      </w:r>
      <w:r>
        <w:fldChar w:fldCharType="begin"/>
      </w:r>
      <w:r>
        <w:instrText xml:space="preserve"> PAGEREF _Toc423090715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Supreme Court may order former identity to be restored</w:t>
      </w:r>
      <w:r>
        <w:tab/>
      </w:r>
      <w:r>
        <w:fldChar w:fldCharType="begin"/>
      </w:r>
      <w:r>
        <w:instrText xml:space="preserve"> PAGEREF _Toc423090716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Proceedings to be in private</w:t>
      </w:r>
      <w:r>
        <w:tab/>
      </w:r>
      <w:r>
        <w:fldChar w:fldCharType="begin"/>
      </w:r>
      <w:r>
        <w:instrText xml:space="preserve"> PAGEREF _Toc423090717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Effect of actions done under order</w:t>
      </w:r>
      <w:r>
        <w:tab/>
      </w:r>
      <w:r>
        <w:fldChar w:fldCharType="begin"/>
      </w:r>
      <w:r>
        <w:instrText xml:space="preserve"> PAGEREF _Toc423090718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Terminating protection and assistance</w:t>
      </w:r>
    </w:p>
    <w:p>
      <w:pPr>
        <w:pStyle w:val="TOC8"/>
        <w:rPr>
          <w:rFonts w:asciiTheme="minorHAnsi" w:eastAsiaTheme="minorEastAsia" w:hAnsiTheme="minorHAnsi" w:cstheme="minorBidi"/>
          <w:szCs w:val="22"/>
        </w:rPr>
      </w:pPr>
      <w:r>
        <w:t>25</w:t>
      </w:r>
      <w:r>
        <w:rPr>
          <w:snapToGrid w:val="0"/>
        </w:rPr>
        <w:t>.</w:t>
      </w:r>
      <w:r>
        <w:rPr>
          <w:snapToGrid w:val="0"/>
        </w:rPr>
        <w:tab/>
        <w:t>Commissioner may terminate protection</w:t>
      </w:r>
      <w:r>
        <w:tab/>
      </w:r>
      <w:r>
        <w:fldChar w:fldCharType="begin"/>
      </w:r>
      <w:r>
        <w:instrText xml:space="preserve"> PAGEREF _Toc423090720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Restoring a former identity</w:t>
      </w:r>
      <w:r>
        <w:tab/>
      </w:r>
      <w:r>
        <w:fldChar w:fldCharType="begin"/>
      </w:r>
      <w:r>
        <w:instrText xml:space="preserve"> PAGEREF _Toc423090721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Secrecy and disclosure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27</w:t>
      </w:r>
      <w:r>
        <w:rPr>
          <w:snapToGrid w:val="0"/>
        </w:rPr>
        <w:t>.</w:t>
      </w:r>
      <w:r>
        <w:rPr>
          <w:snapToGrid w:val="0"/>
        </w:rPr>
        <w:tab/>
        <w:t>Duty not to disclose</w:t>
      </w:r>
      <w:r>
        <w:tab/>
      </w:r>
      <w:r>
        <w:fldChar w:fldCharType="begin"/>
      </w:r>
      <w:r>
        <w:instrText xml:space="preserve"> PAGEREF _Toc423090724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Disclosure of information cannot be compelled</w:t>
      </w:r>
      <w:r>
        <w:tab/>
      </w:r>
      <w:r>
        <w:fldChar w:fldCharType="begin"/>
      </w:r>
      <w:r>
        <w:instrText xml:space="preserve"> PAGEREF _Toc423090725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Disclosing information to approved authorities</w:t>
      </w:r>
      <w:r>
        <w:tab/>
      </w:r>
      <w:r>
        <w:fldChar w:fldCharType="begin"/>
      </w:r>
      <w:r>
        <w:instrText xml:space="preserve"> PAGEREF _Toc423090726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disclosures to court to be in private</w:t>
      </w:r>
      <w:r>
        <w:tab/>
      </w:r>
      <w:r>
        <w:fldChar w:fldCharType="begin"/>
      </w:r>
      <w:r>
        <w:instrText xml:space="preserve"> PAGEREF _Toc423090727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Evidence by participants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_Toc423090730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Non-disclosure certificates for protected persons</w:t>
      </w:r>
    </w:p>
    <w:p>
      <w:pPr>
        <w:pStyle w:val="TOC8"/>
        <w:rPr>
          <w:rFonts w:asciiTheme="minorHAnsi" w:eastAsiaTheme="minorEastAsia" w:hAnsiTheme="minorHAnsi" w:cstheme="minorBidi"/>
          <w:szCs w:val="22"/>
        </w:rPr>
      </w:pPr>
      <w:r>
        <w:t>34A.</w:t>
      </w:r>
      <w:r>
        <w:tab/>
        <w:t>Non</w:t>
      </w:r>
      <w:r>
        <w:noBreakHyphen/>
        <w:t>disclosure certificates</w:t>
      </w:r>
      <w:r>
        <w:tab/>
      </w:r>
      <w:r>
        <w:fldChar w:fldCharType="begin"/>
      </w:r>
      <w:r>
        <w:instrText xml:space="preserve"> PAGEREF _Toc423090732 \h </w:instrText>
      </w:r>
      <w:r>
        <w:fldChar w:fldCharType="separate"/>
      </w:r>
      <w:r>
        <w:t>29</w:t>
      </w:r>
      <w:r>
        <w:fldChar w:fldCharType="end"/>
      </w:r>
    </w:p>
    <w:p>
      <w:pPr>
        <w:pStyle w:val="TOC8"/>
        <w:rPr>
          <w:rFonts w:asciiTheme="minorHAnsi" w:eastAsiaTheme="minorEastAsia" w:hAnsiTheme="minorHAnsi" w:cstheme="minorBidi"/>
          <w:szCs w:val="22"/>
        </w:rPr>
      </w:pPr>
      <w:r>
        <w:t>34B.</w:t>
      </w:r>
      <w:r>
        <w:tab/>
        <w:t>What non</w:t>
      </w:r>
      <w:r>
        <w:noBreakHyphen/>
        <w:t>disclosure certificate must state</w:t>
      </w:r>
      <w:r>
        <w:tab/>
      </w:r>
      <w:r>
        <w:fldChar w:fldCharType="begin"/>
      </w:r>
      <w:r>
        <w:instrText xml:space="preserve"> PAGEREF _Toc423090733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applicable to court proceedings</w:t>
      </w:r>
    </w:p>
    <w:p>
      <w:pPr>
        <w:pStyle w:val="TOC8"/>
        <w:rPr>
          <w:rFonts w:asciiTheme="minorHAnsi" w:eastAsiaTheme="minorEastAsia" w:hAnsiTheme="minorHAnsi" w:cstheme="minorBidi"/>
          <w:szCs w:val="22"/>
        </w:rPr>
      </w:pPr>
      <w:r>
        <w:t>34CA.</w:t>
      </w:r>
      <w:r>
        <w:tab/>
        <w:t>Application of Subdivision</w:t>
      </w:r>
      <w:r>
        <w:tab/>
      </w:r>
      <w:r>
        <w:fldChar w:fldCharType="begin"/>
      </w:r>
      <w:r>
        <w:instrText xml:space="preserve"> PAGEREF _Toc423090735 \h </w:instrText>
      </w:r>
      <w:r>
        <w:fldChar w:fldCharType="separate"/>
      </w:r>
      <w:r>
        <w:t>30</w:t>
      </w:r>
      <w:r>
        <w:fldChar w:fldCharType="end"/>
      </w:r>
    </w:p>
    <w:p>
      <w:pPr>
        <w:pStyle w:val="TOC8"/>
        <w:rPr>
          <w:rFonts w:asciiTheme="minorHAnsi" w:eastAsiaTheme="minorEastAsia" w:hAnsiTheme="minorHAnsi" w:cstheme="minorBidi"/>
          <w:szCs w:val="22"/>
        </w:rPr>
      </w:pPr>
      <w:r>
        <w:t>34C.</w:t>
      </w:r>
      <w:r>
        <w:tab/>
        <w:t>Effect of non</w:t>
      </w:r>
      <w:r>
        <w:noBreakHyphen/>
        <w:t>disclosure certificate</w:t>
      </w:r>
      <w:r>
        <w:tab/>
      </w:r>
      <w:r>
        <w:fldChar w:fldCharType="begin"/>
      </w:r>
      <w:r>
        <w:instrText xml:space="preserve"> PAGEREF _Toc423090736 \h </w:instrText>
      </w:r>
      <w:r>
        <w:fldChar w:fldCharType="separate"/>
      </w:r>
      <w:r>
        <w:t>30</w:t>
      </w:r>
      <w:r>
        <w:fldChar w:fldCharType="end"/>
      </w:r>
    </w:p>
    <w:p>
      <w:pPr>
        <w:pStyle w:val="TOC8"/>
        <w:rPr>
          <w:rFonts w:asciiTheme="minorHAnsi" w:eastAsiaTheme="minorEastAsia" w:hAnsiTheme="minorHAnsi" w:cstheme="minorBidi"/>
          <w:szCs w:val="22"/>
        </w:rPr>
      </w:pPr>
      <w:r>
        <w:t>34D.</w:t>
      </w:r>
      <w:r>
        <w:tab/>
        <w:t>Disclosure of protected person’s identity despite certificate</w:t>
      </w:r>
      <w:r>
        <w:tab/>
      </w:r>
      <w:r>
        <w:fldChar w:fldCharType="begin"/>
      </w:r>
      <w:r>
        <w:instrText xml:space="preserve"> PAGEREF _Toc423090737 \h </w:instrText>
      </w:r>
      <w:r>
        <w:fldChar w:fldCharType="separate"/>
      </w:r>
      <w:r>
        <w:t>32</w:t>
      </w:r>
      <w:r>
        <w:fldChar w:fldCharType="end"/>
      </w:r>
    </w:p>
    <w:p>
      <w:pPr>
        <w:pStyle w:val="TOC8"/>
        <w:rPr>
          <w:rFonts w:asciiTheme="minorHAnsi" w:eastAsiaTheme="minorEastAsia" w:hAnsiTheme="minorHAnsi" w:cstheme="minorBidi"/>
          <w:szCs w:val="22"/>
        </w:rPr>
      </w:pPr>
      <w:r>
        <w:t>34E.</w:t>
      </w:r>
      <w:r>
        <w:tab/>
        <w:t>Directions to jury</w:t>
      </w:r>
      <w:r>
        <w:tab/>
      </w:r>
      <w:r>
        <w:fldChar w:fldCharType="begin"/>
      </w:r>
      <w:r>
        <w:instrText xml:space="preserve"> PAGEREF _Toc423090738 \h </w:instrText>
      </w:r>
      <w:r>
        <w:fldChar w:fldCharType="separate"/>
      </w:r>
      <w:r>
        <w:t>34</w:t>
      </w:r>
      <w:r>
        <w:fldChar w:fldCharType="end"/>
      </w:r>
    </w:p>
    <w:p>
      <w:pPr>
        <w:pStyle w:val="TOC8"/>
        <w:rPr>
          <w:rFonts w:asciiTheme="minorHAnsi" w:eastAsiaTheme="minorEastAsia" w:hAnsiTheme="minorHAnsi" w:cstheme="minorBidi"/>
          <w:szCs w:val="22"/>
        </w:rPr>
      </w:pPr>
      <w:r>
        <w:t>34F.</w:t>
      </w:r>
      <w:r>
        <w:tab/>
        <w:t>Adjournment for appeal decision</w:t>
      </w:r>
      <w:r>
        <w:tab/>
      </w:r>
      <w:r>
        <w:fldChar w:fldCharType="begin"/>
      </w:r>
      <w:r>
        <w:instrText xml:space="preserve"> PAGEREF _Toc423090739 \h </w:instrText>
      </w:r>
      <w:r>
        <w:fldChar w:fldCharType="separate"/>
      </w:r>
      <w:r>
        <w:t>34</w:t>
      </w:r>
      <w:r>
        <w:fldChar w:fldCharType="end"/>
      </w:r>
    </w:p>
    <w:p>
      <w:pPr>
        <w:pStyle w:val="TOC8"/>
        <w:rPr>
          <w:rFonts w:asciiTheme="minorHAnsi" w:eastAsiaTheme="minorEastAsia" w:hAnsiTheme="minorHAnsi" w:cstheme="minorBidi"/>
          <w:szCs w:val="22"/>
        </w:rPr>
      </w:pPr>
      <w:r>
        <w:t>34G.</w:t>
      </w:r>
      <w:r>
        <w:tab/>
        <w:t>Jurisdiction to hear and determine appeals</w:t>
      </w:r>
      <w:r>
        <w:tab/>
      </w:r>
      <w:r>
        <w:fldChar w:fldCharType="begin"/>
      </w:r>
      <w:r>
        <w:instrText xml:space="preserve"> PAGEREF _Toc423090740 \h </w:instrText>
      </w:r>
      <w:r>
        <w:fldChar w:fldCharType="separate"/>
      </w:r>
      <w:r>
        <w:t>35</w:t>
      </w:r>
      <w:r>
        <w:fldChar w:fldCharType="end"/>
      </w:r>
    </w:p>
    <w:p>
      <w:pPr>
        <w:pStyle w:val="TOC8"/>
        <w:rPr>
          <w:rFonts w:asciiTheme="minorHAnsi" w:eastAsiaTheme="minorEastAsia" w:hAnsiTheme="minorHAnsi" w:cstheme="minorBidi"/>
          <w:szCs w:val="22"/>
        </w:rPr>
      </w:pPr>
      <w:r>
        <w:t>34H.</w:t>
      </w:r>
      <w:r>
        <w:tab/>
        <w:t>Recognition of non</w:t>
      </w:r>
      <w:r>
        <w:noBreakHyphen/>
        <w:t>disclosure certificates under corresponding laws</w:t>
      </w:r>
      <w:r>
        <w:tab/>
      </w:r>
      <w:r>
        <w:fldChar w:fldCharType="begin"/>
      </w:r>
      <w:r>
        <w:instrText xml:space="preserve"> PAGEREF _Toc423090741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applicable to parliamentary proceedings</w:t>
      </w:r>
    </w:p>
    <w:p>
      <w:pPr>
        <w:pStyle w:val="TOC8"/>
        <w:rPr>
          <w:rFonts w:asciiTheme="minorHAnsi" w:eastAsiaTheme="minorEastAsia" w:hAnsiTheme="minorHAnsi" w:cstheme="minorBidi"/>
          <w:szCs w:val="22"/>
        </w:rPr>
      </w:pPr>
      <w:r>
        <w:t>34I.</w:t>
      </w:r>
      <w:r>
        <w:tab/>
        <w:t>Application of Subdivision</w:t>
      </w:r>
      <w:r>
        <w:tab/>
      </w:r>
      <w:r>
        <w:fldChar w:fldCharType="begin"/>
      </w:r>
      <w:r>
        <w:instrText xml:space="preserve"> PAGEREF _Toc423090743 \h </w:instrText>
      </w:r>
      <w:r>
        <w:fldChar w:fldCharType="separate"/>
      </w:r>
      <w:r>
        <w:t>36</w:t>
      </w:r>
      <w:r>
        <w:fldChar w:fldCharType="end"/>
      </w:r>
    </w:p>
    <w:p>
      <w:pPr>
        <w:pStyle w:val="TOC8"/>
        <w:rPr>
          <w:rFonts w:asciiTheme="minorHAnsi" w:eastAsiaTheme="minorEastAsia" w:hAnsiTheme="minorHAnsi" w:cstheme="minorBidi"/>
          <w:szCs w:val="22"/>
        </w:rPr>
      </w:pPr>
      <w:r>
        <w:t>34J.</w:t>
      </w:r>
      <w:r>
        <w:tab/>
        <w:t>Effect of non-disclosure certificate</w:t>
      </w:r>
      <w:r>
        <w:tab/>
      </w:r>
      <w:r>
        <w:fldChar w:fldCharType="begin"/>
      </w:r>
      <w:r>
        <w:instrText xml:space="preserve"> PAGEREF _Toc423090744 \h </w:instrText>
      </w:r>
      <w:r>
        <w:fldChar w:fldCharType="separate"/>
      </w:r>
      <w:r>
        <w:t>36</w:t>
      </w:r>
      <w:r>
        <w:fldChar w:fldCharType="end"/>
      </w:r>
    </w:p>
    <w:p>
      <w:pPr>
        <w:pStyle w:val="TOC8"/>
        <w:rPr>
          <w:rFonts w:asciiTheme="minorHAnsi" w:eastAsiaTheme="minorEastAsia" w:hAnsiTheme="minorHAnsi" w:cstheme="minorBidi"/>
          <w:szCs w:val="22"/>
        </w:rPr>
      </w:pPr>
      <w:r>
        <w:t>34K.</w:t>
      </w:r>
      <w:r>
        <w:tab/>
        <w:t>Disclosure of protected person’s identity despite certificate</w:t>
      </w:r>
      <w:r>
        <w:tab/>
      </w:r>
      <w:r>
        <w:fldChar w:fldCharType="begin"/>
      </w:r>
      <w:r>
        <w:instrText xml:space="preserve"> PAGEREF _Toc423090745 \h </w:instrText>
      </w:r>
      <w:r>
        <w:fldChar w:fldCharType="separate"/>
      </w:r>
      <w:r>
        <w:t>37</w:t>
      </w:r>
      <w:r>
        <w:fldChar w:fldCharType="end"/>
      </w:r>
    </w:p>
    <w:p>
      <w:pPr>
        <w:pStyle w:val="TOC8"/>
        <w:rPr>
          <w:rFonts w:asciiTheme="minorHAnsi" w:eastAsiaTheme="minorEastAsia" w:hAnsiTheme="minorHAnsi" w:cstheme="minorBidi"/>
          <w:szCs w:val="22"/>
        </w:rPr>
      </w:pPr>
      <w:r>
        <w:t>34L.</w:t>
      </w:r>
      <w:r>
        <w:tab/>
        <w:t>Restrictions on content of reports to Parliament</w:t>
      </w:r>
      <w:r>
        <w:tab/>
      </w:r>
      <w:r>
        <w:fldChar w:fldCharType="begin"/>
      </w:r>
      <w:r>
        <w:instrText xml:space="preserve"> PAGEREF _Toc423090746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34</w:t>
      </w:r>
      <w:r>
        <w:rPr>
          <w:snapToGrid w:val="0"/>
        </w:rPr>
        <w:t>.</w:t>
      </w:r>
      <w:r>
        <w:rPr>
          <w:snapToGrid w:val="0"/>
        </w:rPr>
        <w:tab/>
        <w:t xml:space="preserve">Disclosure by Auditor General, Parliamentary Commissioner or </w:t>
      </w:r>
      <w:r>
        <w:t>Corruption and Crime Commission</w:t>
      </w:r>
      <w:r>
        <w:tab/>
      </w:r>
      <w:r>
        <w:fldChar w:fldCharType="begin"/>
      </w:r>
      <w:r>
        <w:instrText xml:space="preserve"> PAGEREF _Toc423090748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35</w:t>
      </w:r>
      <w:r>
        <w:rPr>
          <w:snapToGrid w:val="0"/>
        </w:rPr>
        <w:t>.</w:t>
      </w:r>
      <w:r>
        <w:rPr>
          <w:snapToGrid w:val="0"/>
        </w:rPr>
        <w:tab/>
        <w:t>Offences</w:t>
      </w:r>
      <w:r>
        <w:tab/>
      </w:r>
      <w:r>
        <w:fldChar w:fldCharType="begin"/>
      </w:r>
      <w:r>
        <w:instrText xml:space="preserve"> PAGEREF _Toc423090750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Delegation</w:t>
      </w:r>
      <w:r>
        <w:tab/>
      </w:r>
      <w:r>
        <w:fldChar w:fldCharType="begin"/>
      </w:r>
      <w:r>
        <w:instrText xml:space="preserve"> PAGEREF _Toc423090751 \h </w:instrText>
      </w:r>
      <w:r>
        <w:fldChar w:fldCharType="separate"/>
      </w:r>
      <w:r>
        <w:t>41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Reporting on the SWPP</w:t>
      </w:r>
      <w:r>
        <w:tab/>
      </w:r>
      <w:r>
        <w:fldChar w:fldCharType="begin"/>
      </w:r>
      <w:r>
        <w:instrText xml:space="preserve"> PAGEREF _Toc423090752 \h </w:instrText>
      </w:r>
      <w:r>
        <w:fldChar w:fldCharType="separate"/>
      </w:r>
      <w:r>
        <w:t>41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Protection from liability for wrongdoing</w:t>
      </w:r>
      <w:r>
        <w:tab/>
      </w:r>
      <w:r>
        <w:fldChar w:fldCharType="begin"/>
      </w:r>
      <w:r>
        <w:instrText xml:space="preserve"> PAGEREF _Toc423090753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Regulations</w:t>
      </w:r>
      <w:r>
        <w:tab/>
      </w:r>
      <w:r>
        <w:fldChar w:fldCharType="begin"/>
      </w:r>
      <w:r>
        <w:instrText xml:space="preserve"> PAGEREF _Toc423090754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and savings provisions</w:t>
      </w:r>
    </w:p>
    <w:p>
      <w:pPr>
        <w:pStyle w:val="TOC8"/>
        <w:rPr>
          <w:rFonts w:asciiTheme="minorHAnsi" w:eastAsiaTheme="minorEastAsia" w:hAnsiTheme="minorHAnsi" w:cstheme="minorBidi"/>
          <w:szCs w:val="22"/>
        </w:rPr>
      </w:pPr>
      <w:r>
        <w:t>40</w:t>
      </w:r>
      <w:r>
        <w:rPr>
          <w:snapToGrid w:val="0"/>
        </w:rPr>
        <w:t>.</w:t>
      </w:r>
      <w:r>
        <w:rPr>
          <w:snapToGrid w:val="0"/>
        </w:rPr>
        <w:tab/>
        <w:t>Transitional</w:t>
      </w:r>
      <w:r>
        <w:tab/>
      </w:r>
      <w:r>
        <w:fldChar w:fldCharType="begin"/>
      </w:r>
      <w:r>
        <w:instrText xml:space="preserve"> PAGEREF _Toc423090756 \h </w:instrText>
      </w:r>
      <w:r>
        <w:fldChar w:fldCharType="separate"/>
      </w:r>
      <w:r>
        <w:t>43</w:t>
      </w:r>
      <w:r>
        <w:fldChar w:fldCharType="end"/>
      </w:r>
    </w:p>
    <w:p>
      <w:pPr>
        <w:pStyle w:val="TOC8"/>
        <w:rPr>
          <w:rFonts w:asciiTheme="minorHAnsi" w:eastAsiaTheme="minorEastAsia" w:hAnsiTheme="minorHAnsi" w:cstheme="minorBidi"/>
          <w:szCs w:val="22"/>
        </w:rPr>
      </w:pPr>
      <w:r>
        <w:t>41.</w:t>
      </w:r>
      <w:r>
        <w:tab/>
        <w:t xml:space="preserve">Savings provision relating to </w:t>
      </w:r>
      <w:r>
        <w:rPr>
          <w:i/>
        </w:rPr>
        <w:t>Criminal Investigation (Covert Powers) Act 2012</w:t>
      </w:r>
      <w:r>
        <w:tab/>
      </w:r>
      <w:r>
        <w:fldChar w:fldCharType="begin"/>
      </w:r>
      <w:r>
        <w:instrText xml:space="preserve"> PAGEREF _Toc423090757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_Toc423090759 \h </w:instrText>
      </w:r>
      <w:r>
        <w:fldChar w:fldCharType="separate"/>
      </w:r>
      <w:r>
        <w:t>44</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_Toc423090760 \h </w:instrText>
      </w:r>
      <w:r>
        <w:fldChar w:fldCharType="separate"/>
      </w:r>
      <w:r>
        <w:t>45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960"/>
      </w:pPr>
      <w:r>
        <w:t>Witness Protection (</w:t>
      </w:r>
      <w:smartTag w:uri="urn:schemas-microsoft-com:office:smarttags" w:element="State">
        <w:smartTag w:uri="urn:schemas-microsoft-com:office:smarttags" w:element="place">
          <w:r>
            <w:t>Western Australia</w:t>
          </w:r>
        </w:smartTag>
      </w:smartTag>
      <w:r>
        <w:t>) Act 1996</w:t>
      </w:r>
    </w:p>
    <w:p>
      <w:pPr>
        <w:pStyle w:val="LongTitle"/>
        <w:rPr>
          <w:snapToGrid w:val="0"/>
        </w:rPr>
      </w:pPr>
      <w:r>
        <w:rPr>
          <w:snapToGrid w:val="0"/>
        </w:rPr>
        <w:t>An Act to establish a program to give protection and assistance to certain witnesses and other persons and for related purposes.</w:t>
      </w:r>
    </w:p>
    <w:p>
      <w:pPr>
        <w:pStyle w:val="Heading2"/>
      </w:pPr>
      <w:bookmarkStart w:id="3" w:name="_Toc377039028"/>
      <w:bookmarkStart w:id="4" w:name="_Toc406081399"/>
      <w:bookmarkStart w:id="5" w:name="_Toc42309068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06081400"/>
      <w:bookmarkStart w:id="7" w:name="_Toc423090688"/>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Act 1996</w:t>
      </w:r>
      <w:r>
        <w:rPr>
          <w:snapToGrid w:val="0"/>
          <w:vertAlign w:val="superscript"/>
        </w:rPr>
        <w:t> 1</w:t>
      </w:r>
      <w:r>
        <w:rPr>
          <w:snapToGrid w:val="0"/>
        </w:rPr>
        <w:t>.</w:t>
      </w:r>
    </w:p>
    <w:p>
      <w:pPr>
        <w:pStyle w:val="Heading5"/>
        <w:rPr>
          <w:snapToGrid w:val="0"/>
        </w:rPr>
      </w:pPr>
      <w:bookmarkStart w:id="8" w:name="_Toc406081401"/>
      <w:bookmarkStart w:id="9" w:name="_Toc423090689"/>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If the </w:t>
      </w:r>
      <w:r>
        <w:rPr>
          <w:i/>
          <w:snapToGrid w:val="0"/>
        </w:rPr>
        <w:t>Sentence Administration Act 1995</w:t>
      </w:r>
      <w:r>
        <w:rPr>
          <w:iCs/>
          <w:snapToGrid w:val="0"/>
          <w:vertAlign w:val="superscript"/>
        </w:rPr>
        <w:t> 2</w:t>
      </w:r>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10" w:name="_Toc406081402"/>
      <w:bookmarkStart w:id="11" w:name="_Toc423090690"/>
      <w:r>
        <w:rPr>
          <w:rStyle w:val="CharSectno"/>
        </w:rPr>
        <w:t>3</w:t>
      </w:r>
      <w:r>
        <w:rPr>
          <w:snapToGrid w:val="0"/>
        </w:rPr>
        <w:t>.</w:t>
      </w:r>
      <w:r>
        <w:rPr>
          <w:snapToGrid w:val="0"/>
        </w:rPr>
        <w:tab/>
        <w:t>Terms and abbreviation used in this Act</w:t>
      </w:r>
      <w:bookmarkEnd w:id="10"/>
      <w:bookmarkEnd w:id="11"/>
    </w:p>
    <w:p>
      <w:pPr>
        <w:pStyle w:val="Subsection"/>
        <w:keepNext/>
        <w:rPr>
          <w:snapToGrid w:val="0"/>
        </w:rPr>
      </w:pPr>
      <w:r>
        <w:rPr>
          <w:snapToGrid w:val="0"/>
        </w:rPr>
        <w:tab/>
        <w:t>(1)</w:t>
      </w:r>
      <w:r>
        <w:rPr>
          <w:snapToGrid w:val="0"/>
        </w:rPr>
        <w:tab/>
        <w:t>In this Act, unless the contrary intention appears —</w:t>
      </w:r>
    </w:p>
    <w:p>
      <w:pPr>
        <w:pStyle w:val="Defstart"/>
        <w:keepNext/>
      </w:pPr>
      <w:r>
        <w:rPr>
          <w:b/>
        </w:rPr>
        <w:tab/>
      </w:r>
      <w:r>
        <w:rPr>
          <w:rStyle w:val="CharDefText"/>
        </w:rPr>
        <w:t>approved authority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w:t>
      </w:r>
    </w:p>
    <w:p>
      <w:pPr>
        <w:pStyle w:val="Defsubpara"/>
        <w:rPr>
          <w:snapToGrid w:val="0"/>
        </w:rPr>
      </w:pPr>
      <w:r>
        <w:rPr>
          <w:snapToGrid w:val="0"/>
        </w:rPr>
        <w:tab/>
        <w:t>(i)</w:t>
      </w:r>
      <w:r>
        <w:rPr>
          <w:snapToGrid w:val="0"/>
        </w:rPr>
        <w:tab/>
        <w:t>is authorised to conduct inquiries or investigations in relation to conduct that constitutes, or is alleged to constitute, criminal conduct, misconduct or corruption; and</w:t>
      </w:r>
    </w:p>
    <w:p>
      <w:pPr>
        <w:pStyle w:val="Defsubpara"/>
        <w:rPr>
          <w:snapToGrid w:val="0"/>
        </w:rPr>
      </w:pPr>
      <w:r>
        <w:rPr>
          <w:snapToGrid w:val="0"/>
        </w:rPr>
        <w:tab/>
        <w:t>(ii)</w:t>
      </w:r>
      <w:r>
        <w:rPr>
          <w:snapToGrid w:val="0"/>
        </w:rPr>
        <w:tab/>
        <w:t>is declared by the Minister to be an approved authority for the purposes of this Act;</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Commonwealth Act</w:t>
      </w:r>
      <w:r>
        <w:t xml:space="preserve"> means the </w:t>
      </w:r>
      <w:r>
        <w:rPr>
          <w:i/>
        </w:rPr>
        <w:t>Witness Protection Act 1994</w:t>
      </w:r>
      <w:r>
        <w:t xml:space="preserve"> of the Commonwealth;</w:t>
      </w:r>
    </w:p>
    <w:p>
      <w:pPr>
        <w:pStyle w:val="Defstart"/>
        <w:keepNext/>
      </w:pPr>
      <w:r>
        <w:rPr>
          <w:b/>
        </w:rPr>
        <w:tab/>
      </w:r>
      <w:r>
        <w:rPr>
          <w:rStyle w:val="CharDefText"/>
        </w:rPr>
        <w:t>complementary witness protection law</w:t>
      </w:r>
      <w:r>
        <w:t xml:space="preserve"> means —</w:t>
      </w:r>
    </w:p>
    <w:p>
      <w:pPr>
        <w:pStyle w:val="Defpara"/>
      </w:pPr>
      <w:r>
        <w:tab/>
        <w:t>(a)</w:t>
      </w:r>
      <w:r>
        <w:tab/>
        <w:t>the Commonwealth Act;</w:t>
      </w:r>
    </w:p>
    <w:p>
      <w:pPr>
        <w:pStyle w:val="Defpara"/>
        <w:keepNext/>
      </w:pPr>
      <w:r>
        <w:tab/>
        <w:t>(b)</w:t>
      </w:r>
      <w:r>
        <w:tab/>
        <w:t>a law of another State or a Territory that —</w:t>
      </w:r>
    </w:p>
    <w:p>
      <w:pPr>
        <w:pStyle w:val="Defsubpara"/>
        <w:rPr>
          <w:snapToGrid w:val="0"/>
        </w:rPr>
      </w:pPr>
      <w:r>
        <w:rPr>
          <w:snapToGrid w:val="0"/>
        </w:rPr>
        <w:tab/>
        <w:t>(i)</w:t>
      </w:r>
      <w:r>
        <w:rPr>
          <w:snapToGrid w:val="0"/>
        </w:rPr>
        <w:tab/>
        <w:t>makes provision for the protection of witnesses; and</w:t>
      </w:r>
    </w:p>
    <w:p>
      <w:pPr>
        <w:pStyle w:val="Defsubpara"/>
        <w:rPr>
          <w:snapToGrid w:val="0"/>
        </w:rPr>
      </w:pPr>
      <w:r>
        <w:rPr>
          <w:snapToGrid w:val="0"/>
        </w:rPr>
        <w:tab/>
        <w:t>(ii)</w:t>
      </w:r>
      <w:r>
        <w:rPr>
          <w:snapToGrid w:val="0"/>
        </w:rPr>
        <w:tab/>
        <w:t>is declared by the Minister to be a complementary witness protection law;</w:t>
      </w:r>
    </w:p>
    <w:p>
      <w:pPr>
        <w:pStyle w:val="Defstart"/>
        <w:keepNext/>
      </w:pPr>
      <w:r>
        <w:tab/>
      </w:r>
      <w:r>
        <w:rPr>
          <w:rStyle w:val="CharDefText"/>
        </w:rPr>
        <w:t>Corruption and Crime Commission</w:t>
      </w:r>
      <w:r>
        <w:t xml:space="preserve"> has the meaning given to “Commission” in section 3 of the </w:t>
      </w:r>
      <w:r>
        <w:rPr>
          <w:i/>
        </w:rPr>
        <w:t>Corruption and Crime Commission Act 2003</w:t>
      </w:r>
      <w:r>
        <w:t>;</w:t>
      </w:r>
    </w:p>
    <w:p>
      <w:pPr>
        <w:pStyle w:val="Defstart"/>
        <w:keepNext/>
      </w:pPr>
      <w:r>
        <w:rPr>
          <w:b/>
        </w:rPr>
        <w:tab/>
      </w:r>
      <w:r>
        <w:rPr>
          <w:rStyle w:val="CharDefText"/>
        </w:rPr>
        <w:t>court</w:t>
      </w:r>
      <w:r>
        <w:t xml:space="preserve"> includes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r>
      <w:r>
        <w:rPr>
          <w:rStyle w:val="CharDefText"/>
        </w:rPr>
        <w:t>designated position</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rStyle w:val="CharDefText"/>
        </w:rPr>
        <w:t>officer of the Corruption and Crime Commission</w:t>
      </w:r>
      <w:r>
        <w:t xml:space="preserve"> has the meaning given to “officer of the Commission” in section 3 of the </w:t>
      </w:r>
      <w:r>
        <w:rPr>
          <w:i/>
        </w:rPr>
        <w:t>Corruption and Crime Commission Act 2003</w:t>
      </w:r>
      <w:r>
        <w:t>;</w:t>
      </w:r>
    </w:p>
    <w:p>
      <w:pPr>
        <w:pStyle w:val="Defstart"/>
      </w:pPr>
      <w:r>
        <w:rPr>
          <w:b/>
        </w:rPr>
        <w:tab/>
      </w:r>
      <w:r>
        <w:rPr>
          <w:rStyle w:val="CharDefText"/>
        </w:rPr>
        <w:t>Parliamentary Commissioner</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tab/>
      </w:r>
      <w:r>
        <w:rPr>
          <w:rStyle w:val="CharDefText"/>
        </w:rPr>
        <w:t>participant</w:t>
      </w:r>
      <w:r>
        <w:t xml:space="preserve"> means a person who is included in the SWPP;</w:t>
      </w:r>
    </w:p>
    <w:p>
      <w:pPr>
        <w:pStyle w:val="Defstart"/>
      </w:pPr>
      <w:r>
        <w:rPr>
          <w:b/>
        </w:rPr>
        <w:tab/>
      </w:r>
      <w:r>
        <w:rPr>
          <w:rStyle w:val="CharDefText"/>
        </w:rPr>
        <w:t>prescribed authority</w:t>
      </w:r>
      <w:r>
        <w:t xml:space="preserve"> means a person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t>other than the Registrar of Births, Deaths and Marriages;</w:t>
      </w:r>
    </w:p>
    <w:p>
      <w:pPr>
        <w:pStyle w:val="Defstart"/>
      </w:pPr>
      <w:r>
        <w:rPr>
          <w:b/>
        </w:rPr>
        <w:tab/>
      </w:r>
      <w:r>
        <w:rPr>
          <w:rStyle w:val="CharDefText"/>
        </w:rPr>
        <w:t>prescribed register</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r>
      <w:r>
        <w:rPr>
          <w:rStyle w:val="CharDefText"/>
        </w:rPr>
        <w:t>State Witness Protection Program</w:t>
      </w:r>
      <w:r>
        <w:t xml:space="preserve"> (“SWPP”) means the State Witness Protection Program established by this Act;</w:t>
      </w:r>
    </w:p>
    <w:p>
      <w:pPr>
        <w:pStyle w:val="Defstart"/>
      </w:pPr>
      <w:r>
        <w:rPr>
          <w:b/>
        </w:rPr>
        <w:tab/>
      </w:r>
      <w:r>
        <w:rPr>
          <w:rStyle w:val="CharDefText"/>
        </w:rPr>
        <w:t>witness</w:t>
      </w:r>
      <w:r>
        <w:t xml:space="preserve"> is defined in section 4;</w:t>
      </w:r>
    </w:p>
    <w:p>
      <w:pPr>
        <w:pStyle w:val="Defstart"/>
        <w:keepNext/>
      </w:pPr>
      <w:r>
        <w:rPr>
          <w:b/>
        </w:rPr>
        <w:tab/>
      </w:r>
      <w:r>
        <w:rPr>
          <w:rStyle w:val="CharDefText"/>
        </w:rPr>
        <w:t>witness protection program</w:t>
      </w:r>
      <w:r>
        <w:t xml:space="preserve"> means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r>
      <w:r>
        <w:rPr>
          <w:rStyle w:val="CharDefText"/>
        </w:rPr>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 by No. 40 of 1998 s. 18(2); No. 48 of 2003 s. 62 and Sch. 3</w:t>
      </w:r>
      <w:r>
        <w:rPr>
          <w:vertAlign w:val="superscript"/>
        </w:rPr>
        <w:t> 3</w:t>
      </w:r>
      <w:r>
        <w:t xml:space="preserve"> cl. 11; No. 4 of 2004 s. 58; No. 74 of 2004 s. 75; No. 8 of 2008 s. 22 and 23(9).]</w:t>
      </w:r>
    </w:p>
    <w:p>
      <w:pPr>
        <w:pStyle w:val="Heading5"/>
        <w:rPr>
          <w:snapToGrid w:val="0"/>
        </w:rPr>
      </w:pPr>
      <w:bookmarkStart w:id="12" w:name="_Toc406081403"/>
      <w:bookmarkStart w:id="13" w:name="_Toc423090691"/>
      <w:r>
        <w:rPr>
          <w:rStyle w:val="CharSectno"/>
        </w:rPr>
        <w:t>4</w:t>
      </w:r>
      <w:r>
        <w:rPr>
          <w:snapToGrid w:val="0"/>
        </w:rPr>
        <w:t>.</w:t>
      </w:r>
      <w:r>
        <w:rPr>
          <w:snapToGrid w:val="0"/>
        </w:rPr>
        <w:tab/>
        <w:t>Meaning of “witness”</w:t>
      </w:r>
      <w:bookmarkEnd w:id="12"/>
      <w:bookmarkEnd w:id="13"/>
    </w:p>
    <w:p>
      <w:pPr>
        <w:pStyle w:val="Subsection"/>
        <w:keepNext/>
        <w:rPr>
          <w:snapToGrid w:val="0"/>
        </w:rPr>
      </w:pPr>
      <w:r>
        <w:rPr>
          <w:snapToGrid w:val="0"/>
        </w:rPr>
        <w:tab/>
        <w:t>(1)</w:t>
      </w:r>
      <w:r>
        <w:rPr>
          <w:snapToGrid w:val="0"/>
        </w:rPr>
        <w:tab/>
        <w:t>For the purposes of this Act, unless the contrary intention appears, a person is a witness if he or she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For the purposes of this Act, unless the contrary intention appears, a person is a witness if he or she is related to or associated with a person referred to in subsection (1) or (2) and, in the opinion of the Commissioner, may require protection or assistance under the SWPP because of that relationship or association.</w:t>
      </w:r>
    </w:p>
    <w:p>
      <w:pPr>
        <w:pStyle w:val="Heading2"/>
      </w:pPr>
      <w:bookmarkStart w:id="14" w:name="_Toc377039033"/>
      <w:bookmarkStart w:id="15" w:name="_Toc406081404"/>
      <w:bookmarkStart w:id="16" w:name="_Toc423090692"/>
      <w:r>
        <w:rPr>
          <w:rStyle w:val="CharPartNo"/>
        </w:rPr>
        <w:t>Part 2</w:t>
      </w:r>
      <w:r>
        <w:t> — </w:t>
      </w:r>
      <w:r>
        <w:rPr>
          <w:rStyle w:val="CharPartText"/>
        </w:rPr>
        <w:t>State Witness Protection Program</w:t>
      </w:r>
      <w:bookmarkEnd w:id="14"/>
      <w:bookmarkEnd w:id="15"/>
      <w:bookmarkEnd w:id="16"/>
    </w:p>
    <w:p>
      <w:pPr>
        <w:pStyle w:val="Heading3"/>
      </w:pPr>
      <w:bookmarkStart w:id="17" w:name="_Toc377039034"/>
      <w:bookmarkStart w:id="18" w:name="_Toc406081405"/>
      <w:bookmarkStart w:id="19" w:name="_Toc423090693"/>
      <w:r>
        <w:rPr>
          <w:rStyle w:val="CharDivNo"/>
        </w:rPr>
        <w:t>Division 1</w:t>
      </w:r>
      <w:r>
        <w:rPr>
          <w:snapToGrid w:val="0"/>
        </w:rPr>
        <w:t> — </w:t>
      </w:r>
      <w:r>
        <w:rPr>
          <w:rStyle w:val="CharDivText"/>
        </w:rPr>
        <w:t>Establishment</w:t>
      </w:r>
      <w:bookmarkEnd w:id="17"/>
      <w:bookmarkEnd w:id="18"/>
      <w:bookmarkEnd w:id="19"/>
    </w:p>
    <w:p>
      <w:pPr>
        <w:pStyle w:val="Heading5"/>
        <w:rPr>
          <w:snapToGrid w:val="0"/>
        </w:rPr>
      </w:pPr>
      <w:bookmarkStart w:id="20" w:name="_Toc406081406"/>
      <w:bookmarkStart w:id="21" w:name="_Toc423090694"/>
      <w:r>
        <w:rPr>
          <w:rStyle w:val="CharSectno"/>
        </w:rPr>
        <w:t>5</w:t>
      </w:r>
      <w:r>
        <w:rPr>
          <w:snapToGrid w:val="0"/>
        </w:rPr>
        <w:t>.</w:t>
      </w:r>
      <w:r>
        <w:rPr>
          <w:snapToGrid w:val="0"/>
        </w:rPr>
        <w:tab/>
        <w:t>Commissioner to establish SWPP</w:t>
      </w:r>
      <w:bookmarkEnd w:id="20"/>
      <w:bookmarkEnd w:id="21"/>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22" w:name="_Toc406081407"/>
      <w:bookmarkStart w:id="23" w:name="_Toc423090695"/>
      <w:r>
        <w:rPr>
          <w:rStyle w:val="CharSectno"/>
        </w:rPr>
        <w:t>6</w:t>
      </w:r>
      <w:r>
        <w:rPr>
          <w:snapToGrid w:val="0"/>
        </w:rPr>
        <w:t>.</w:t>
      </w:r>
      <w:r>
        <w:rPr>
          <w:snapToGrid w:val="0"/>
        </w:rPr>
        <w:tab/>
        <w:t>Arrangements with approved authorities</w:t>
      </w:r>
      <w:bookmarkEnd w:id="22"/>
      <w:bookmarkEnd w:id="23"/>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w:t>
      </w:r>
    </w:p>
    <w:p>
      <w:pPr>
        <w:pStyle w:val="Indenta"/>
        <w:spacing w:before="60"/>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spacing w:before="60"/>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spacing w:before="60"/>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w:t>
      </w:r>
    </w:p>
    <w:p>
      <w:pPr>
        <w:pStyle w:val="Indenti"/>
        <w:spacing w:before="60"/>
        <w:rPr>
          <w:snapToGrid w:val="0"/>
        </w:rPr>
      </w:pPr>
      <w:r>
        <w:rPr>
          <w:snapToGrid w:val="0"/>
        </w:rPr>
        <w:tab/>
        <w:t>(i)</w:t>
      </w:r>
      <w:r>
        <w:rPr>
          <w:snapToGrid w:val="0"/>
        </w:rPr>
        <w:tab/>
        <w:t>whether to include a witness in the SWPP; and</w:t>
      </w:r>
    </w:p>
    <w:p>
      <w:pPr>
        <w:pStyle w:val="Indenti"/>
        <w:keepNext/>
        <w:keepLines/>
        <w:spacing w:before="60"/>
        <w:rPr>
          <w:snapToGrid w:val="0"/>
        </w:rPr>
      </w:pPr>
      <w:r>
        <w:rPr>
          <w:snapToGrid w:val="0"/>
        </w:rPr>
        <w:tab/>
        <w:t>(ii)</w:t>
      </w:r>
      <w:r>
        <w:rPr>
          <w:snapToGrid w:val="0"/>
        </w:rPr>
        <w:tab/>
        <w:t>what protection and assistance is appropriate for a participant;</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may confer functions under complementary witness protection laws on the Commissioner.</w:t>
      </w:r>
    </w:p>
    <w:p>
      <w:pPr>
        <w:pStyle w:val="Subsection"/>
        <w:spacing w:before="140"/>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24" w:name="_Toc406081408"/>
      <w:bookmarkStart w:id="25" w:name="_Toc423090696"/>
      <w:r>
        <w:rPr>
          <w:rStyle w:val="CharSectno"/>
        </w:rPr>
        <w:t>7</w:t>
      </w:r>
      <w:r>
        <w:rPr>
          <w:snapToGrid w:val="0"/>
        </w:rPr>
        <w:t>.</w:t>
      </w:r>
      <w:r>
        <w:rPr>
          <w:snapToGrid w:val="0"/>
        </w:rPr>
        <w:tab/>
        <w:t>Authorisation of approved authorities</w:t>
      </w:r>
      <w:bookmarkEnd w:id="24"/>
      <w:bookmarkEnd w:id="25"/>
    </w:p>
    <w:p>
      <w:pPr>
        <w:pStyle w:val="Subsection"/>
        <w:spacing w:before="140"/>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spacing w:before="140"/>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26" w:name="_Toc377039038"/>
      <w:bookmarkStart w:id="27" w:name="_Toc406081409"/>
      <w:bookmarkStart w:id="28" w:name="_Toc423090697"/>
      <w:r>
        <w:rPr>
          <w:rStyle w:val="CharDivNo"/>
        </w:rPr>
        <w:t>Division 2</w:t>
      </w:r>
      <w:r>
        <w:rPr>
          <w:snapToGrid w:val="0"/>
        </w:rPr>
        <w:t> — </w:t>
      </w:r>
      <w:r>
        <w:rPr>
          <w:rStyle w:val="CharDivText"/>
        </w:rPr>
        <w:t>Including witnesses in the SWPP</w:t>
      </w:r>
      <w:bookmarkEnd w:id="26"/>
      <w:bookmarkEnd w:id="27"/>
      <w:bookmarkEnd w:id="28"/>
    </w:p>
    <w:p>
      <w:pPr>
        <w:pStyle w:val="Heading5"/>
        <w:rPr>
          <w:snapToGrid w:val="0"/>
        </w:rPr>
      </w:pPr>
      <w:bookmarkStart w:id="29" w:name="_Toc406081410"/>
      <w:bookmarkStart w:id="30" w:name="_Toc423090698"/>
      <w:r>
        <w:rPr>
          <w:rStyle w:val="CharSectno"/>
        </w:rPr>
        <w:t>8</w:t>
      </w:r>
      <w:r>
        <w:rPr>
          <w:snapToGrid w:val="0"/>
        </w:rPr>
        <w:t>.</w:t>
      </w:r>
      <w:r>
        <w:rPr>
          <w:snapToGrid w:val="0"/>
        </w:rPr>
        <w:tab/>
        <w:t>Commissioner to decide who is included</w:t>
      </w:r>
      <w:bookmarkEnd w:id="29"/>
      <w:bookmarkEnd w:id="30"/>
    </w:p>
    <w:p>
      <w:pPr>
        <w:pStyle w:val="Subsection"/>
        <w:spacing w:before="140"/>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spacing w:before="140"/>
        <w:rPr>
          <w:snapToGrid w:val="0"/>
        </w:rPr>
      </w:pPr>
      <w:r>
        <w:rPr>
          <w:snapToGrid w:val="0"/>
        </w:rPr>
        <w:tab/>
        <w:t>(2)</w:t>
      </w:r>
      <w:r>
        <w:rPr>
          <w:snapToGrid w:val="0"/>
        </w:rPr>
        <w:tab/>
        <w:t>A witness may be included in the SWPP only if —</w:t>
      </w:r>
    </w:p>
    <w:p>
      <w:pPr>
        <w:pStyle w:val="Indenta"/>
        <w:spacing w:before="60"/>
        <w:rPr>
          <w:snapToGrid w:val="0"/>
        </w:rPr>
      </w:pPr>
      <w:r>
        <w:rPr>
          <w:snapToGrid w:val="0"/>
        </w:rPr>
        <w:tab/>
        <w:t>(a)</w:t>
      </w:r>
      <w:r>
        <w:rPr>
          <w:snapToGrid w:val="0"/>
        </w:rPr>
        <w:tab/>
        <w:t>the Commissioner has decided the witness needs protection and assistance of the kind able to be provided under the SWPP;</w:t>
      </w:r>
    </w:p>
    <w:p>
      <w:pPr>
        <w:pStyle w:val="Indenta"/>
        <w:spacing w:before="60"/>
        <w:rPr>
          <w:snapToGrid w:val="0"/>
        </w:rPr>
      </w:pPr>
      <w:r>
        <w:rPr>
          <w:snapToGrid w:val="0"/>
        </w:rPr>
        <w:tab/>
        <w:t>(b)</w:t>
      </w:r>
      <w:r>
        <w:rPr>
          <w:snapToGrid w:val="0"/>
        </w:rPr>
        <w:tab/>
        <w:t>the witness agrees to be included; and</w:t>
      </w:r>
    </w:p>
    <w:p>
      <w:pPr>
        <w:pStyle w:val="Indenta"/>
        <w:spacing w:before="60"/>
        <w:rPr>
          <w:snapToGrid w:val="0"/>
        </w:rPr>
      </w:pPr>
      <w:r>
        <w:rPr>
          <w:snapToGrid w:val="0"/>
        </w:rPr>
        <w:tab/>
        <w:t>(c)</w:t>
      </w:r>
      <w:r>
        <w:rPr>
          <w:snapToGrid w:val="0"/>
        </w:rPr>
        <w:tab/>
        <w:t>a memorandum of understanding is entered into by or on behalf of the witness in accordance with section 11.</w:t>
      </w:r>
    </w:p>
    <w:p>
      <w:pPr>
        <w:pStyle w:val="Subsection"/>
        <w:keepNext/>
        <w:spacing w:before="140"/>
        <w:rPr>
          <w:snapToGrid w:val="0"/>
        </w:rPr>
      </w:pPr>
      <w:r>
        <w:rPr>
          <w:snapToGrid w:val="0"/>
        </w:rPr>
        <w:tab/>
        <w:t>(3)</w:t>
      </w:r>
      <w:r>
        <w:rPr>
          <w:snapToGrid w:val="0"/>
        </w:rPr>
        <w:tab/>
        <w:t>In deciding whether to include a witness in the SWPP, the Commissioner must have regard to —</w:t>
      </w:r>
    </w:p>
    <w:p>
      <w:pPr>
        <w:pStyle w:val="Indenta"/>
        <w:rPr>
          <w:snapToGrid w:val="0"/>
        </w:rPr>
      </w:pPr>
      <w:r>
        <w:rPr>
          <w:snapToGrid w:val="0"/>
        </w:rPr>
        <w:tab/>
        <w:t>(a)</w:t>
      </w:r>
      <w:r>
        <w:rPr>
          <w:snapToGrid w:val="0"/>
        </w:rPr>
        <w:tab/>
        <w:t>whether the witness has a criminal record, particularly in respect of crimes of violence, and whether that record 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31" w:name="_Toc406081411"/>
      <w:bookmarkStart w:id="32" w:name="_Toc423090699"/>
      <w:r>
        <w:rPr>
          <w:rStyle w:val="CharSectno"/>
        </w:rPr>
        <w:t>9</w:t>
      </w:r>
      <w:r>
        <w:rPr>
          <w:snapToGrid w:val="0"/>
        </w:rPr>
        <w:t>.</w:t>
      </w:r>
      <w:r>
        <w:rPr>
          <w:snapToGrid w:val="0"/>
        </w:rPr>
        <w:tab/>
        <w:t>Inclusion not to be a reward for giving evidence etc.</w:t>
      </w:r>
      <w:bookmarkEnd w:id="31"/>
      <w:bookmarkEnd w:id="32"/>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33" w:name="_Toc406081412"/>
      <w:bookmarkStart w:id="34" w:name="_Toc423090700"/>
      <w:r>
        <w:rPr>
          <w:rStyle w:val="CharSectno"/>
        </w:rPr>
        <w:t>10</w:t>
      </w:r>
      <w:r>
        <w:rPr>
          <w:snapToGrid w:val="0"/>
        </w:rPr>
        <w:t>.</w:t>
      </w:r>
      <w:r>
        <w:rPr>
          <w:snapToGrid w:val="0"/>
        </w:rPr>
        <w:tab/>
        <w:t>Witness to provide Commissioner with information before inclusion</w:t>
      </w:r>
      <w:bookmarkEnd w:id="33"/>
      <w:bookmarkEnd w:id="34"/>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w:t>
      </w:r>
    </w:p>
    <w:p>
      <w:pPr>
        <w:pStyle w:val="Indenta"/>
        <w:keepNext/>
        <w:rPr>
          <w:snapToGrid w:val="0"/>
        </w:rPr>
      </w:pPr>
      <w:r>
        <w:rPr>
          <w:snapToGrid w:val="0"/>
        </w:rPr>
        <w:tab/>
        <w:t>(a)</w:t>
      </w:r>
      <w:r>
        <w:rPr>
          <w:snapToGrid w:val="0"/>
        </w:rPr>
        <w:tab/>
        <w:t>require the witness to undergo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35" w:name="_Toc406081413"/>
      <w:bookmarkStart w:id="36" w:name="_Toc423090701"/>
      <w:r>
        <w:rPr>
          <w:rStyle w:val="CharSectno"/>
        </w:rPr>
        <w:t>11</w:t>
      </w:r>
      <w:r>
        <w:rPr>
          <w:snapToGrid w:val="0"/>
        </w:rPr>
        <w:t>.</w:t>
      </w:r>
      <w:r>
        <w:rPr>
          <w:snapToGrid w:val="0"/>
        </w:rPr>
        <w:tab/>
        <w:t>Memorandum of understanding</w:t>
      </w:r>
      <w:bookmarkEnd w:id="35"/>
      <w:bookmarkEnd w:id="36"/>
    </w:p>
    <w:p>
      <w:pPr>
        <w:pStyle w:val="Subsection"/>
        <w:keepNext/>
        <w:rPr>
          <w:snapToGrid w:val="0"/>
        </w:rPr>
      </w:pPr>
      <w:r>
        <w:rPr>
          <w:snapToGrid w:val="0"/>
        </w:rPr>
        <w:tab/>
        <w:t>(1)</w:t>
      </w:r>
      <w:r>
        <w:rPr>
          <w:snapToGrid w:val="0"/>
        </w:rPr>
        <w:tab/>
        <w:t>A memorandum of understanding must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his or her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tab/>
        <w:t>(2)</w:t>
      </w:r>
      <w:r>
        <w:rPr>
          <w:snapToGrid w:val="0"/>
        </w:rPr>
        <w:tab/>
        <w:t>A memorandum of understanding in relation to a participant may also contain —</w:t>
      </w:r>
    </w:p>
    <w:p>
      <w:pPr>
        <w:pStyle w:val="Indenta"/>
        <w:rPr>
          <w:snapToGrid w:val="0"/>
        </w:rPr>
      </w:pPr>
      <w:r>
        <w:rPr>
          <w:snapToGrid w:val="0"/>
        </w:rPr>
        <w:tab/>
        <w:t>(a)</w:t>
      </w:r>
      <w:r>
        <w:rPr>
          <w:snapToGrid w:val="0"/>
        </w:rPr>
        <w:tab/>
        <w:t>the terms and conditions on which protection and assistance are to be provided to the participant;</w:t>
      </w:r>
    </w:p>
    <w:p>
      <w:pPr>
        <w:pStyle w:val="Indenta"/>
        <w:rPr>
          <w:snapToGrid w:val="0"/>
        </w:rPr>
      </w:pPr>
      <w:r>
        <w:rPr>
          <w:snapToGrid w:val="0"/>
        </w:rPr>
        <w:tab/>
        <w:t>(b)</w:t>
      </w:r>
      <w:r>
        <w:rPr>
          <w:snapToGrid w:val="0"/>
        </w:rPr>
        <w:tab/>
        <w:t>requirements that the participant must not engage in activities of a kind specified in the memorandum of understanding;</w:t>
      </w:r>
    </w:p>
    <w:p>
      <w:pPr>
        <w:pStyle w:val="Indenta"/>
        <w:rPr>
          <w:snapToGrid w:val="0"/>
        </w:rPr>
      </w:pPr>
      <w:r>
        <w:rPr>
          <w:snapToGrid w:val="0"/>
        </w:rPr>
        <w:tab/>
        <w:t>(c)</w:t>
      </w:r>
      <w:r>
        <w:rPr>
          <w:snapToGrid w:val="0"/>
        </w:rPr>
        <w:tab/>
        <w:t>an agreement by or on behalf of the participant not to compromise, directly or indirectly, the security of, or any other aspect of, the protection and assistance being provided;</w:t>
      </w:r>
    </w:p>
    <w:p>
      <w:pPr>
        <w:pStyle w:val="Indenta"/>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rPr>
          <w:snapToGrid w:val="0"/>
        </w:rPr>
      </w:pPr>
      <w:r>
        <w:rPr>
          <w:snapToGrid w:val="0"/>
        </w:rPr>
        <w:tab/>
        <w:t>(e)</w:t>
      </w:r>
      <w:r>
        <w:rPr>
          <w:snapToGrid w:val="0"/>
        </w:rPr>
        <w:tab/>
        <w:t>an agreement by or on behalf of the participant that the participant will, if required to do so by the Commissioner —</w:t>
      </w:r>
    </w:p>
    <w:p>
      <w:pPr>
        <w:pStyle w:val="Indenti"/>
        <w:rPr>
          <w:snapToGrid w:val="0"/>
        </w:rPr>
      </w:pPr>
      <w:r>
        <w:rPr>
          <w:snapToGrid w:val="0"/>
        </w:rPr>
        <w:tab/>
        <w:t>(i)</w:t>
      </w:r>
      <w:r>
        <w:rPr>
          <w:snapToGrid w:val="0"/>
        </w:rPr>
        <w:tab/>
        <w:t>undergo medical, psychological or psychiatric tests or examinations and make the results available to the Commissioner;</w:t>
      </w:r>
    </w:p>
    <w:p>
      <w:pPr>
        <w:pStyle w:val="Indenti"/>
        <w:rPr>
          <w:snapToGrid w:val="0"/>
        </w:rPr>
      </w:pPr>
      <w:r>
        <w:rPr>
          <w:snapToGrid w:val="0"/>
        </w:rPr>
        <w:tab/>
        <w:t>(ii)</w:t>
      </w:r>
      <w:r>
        <w:rPr>
          <w:snapToGrid w:val="0"/>
        </w:rPr>
        <w:tab/>
        <w:t>undergo counselling or treatment for alcohol or drug abuse;</w:t>
      </w:r>
    </w:p>
    <w:p>
      <w:pPr>
        <w:pStyle w:val="Indenti"/>
        <w:rPr>
          <w:snapToGrid w:val="0"/>
        </w:rPr>
      </w:pPr>
      <w:r>
        <w:rPr>
          <w:snapToGrid w:val="0"/>
        </w:rPr>
        <w:tab/>
        <w:t>(iii)</w:t>
      </w:r>
      <w:r>
        <w:rPr>
          <w:snapToGrid w:val="0"/>
        </w:rPr>
        <w:tab/>
        <w:t>allow prints of his or her fingers and palms to be taken; or</w:t>
      </w:r>
    </w:p>
    <w:p>
      <w:pPr>
        <w:pStyle w:val="Indenti"/>
        <w:rPr>
          <w:snapToGrid w:val="0"/>
        </w:rPr>
      </w:pPr>
      <w:r>
        <w:rPr>
          <w:snapToGrid w:val="0"/>
        </w:rPr>
        <w:tab/>
        <w:t>(iv)</w:t>
      </w:r>
      <w:r>
        <w:rPr>
          <w:snapToGrid w:val="0"/>
        </w:rPr>
        <w:tab/>
        <w:t>allow photographs to be taken of himself or herself;</w:t>
      </w:r>
    </w:p>
    <w:p>
      <w:pPr>
        <w:pStyle w:val="Indenta"/>
        <w:keepNext/>
        <w:rPr>
          <w:snapToGrid w:val="0"/>
        </w:rPr>
      </w:pPr>
      <w:r>
        <w:rPr>
          <w:snapToGrid w:val="0"/>
        </w:rPr>
        <w:tab/>
        <w:t>(f)</w:t>
      </w:r>
      <w:r>
        <w:rPr>
          <w:snapToGrid w:val="0"/>
        </w:rPr>
        <w:tab/>
        <w:t>a list of —</w:t>
      </w:r>
    </w:p>
    <w:p>
      <w:pPr>
        <w:pStyle w:val="Indenti"/>
        <w:rPr>
          <w:snapToGrid w:val="0"/>
        </w:rPr>
      </w:pPr>
      <w:r>
        <w:rPr>
          <w:snapToGrid w:val="0"/>
        </w:rPr>
        <w:tab/>
        <w:t>(i)</w:t>
      </w:r>
      <w:r>
        <w:rPr>
          <w:snapToGrid w:val="0"/>
        </w:rPr>
        <w:tab/>
        <w:t>the outstanding legal obligations (including family maintenance obligations and taxation obligations) of the participant; and</w:t>
      </w:r>
    </w:p>
    <w:p>
      <w:pPr>
        <w:pStyle w:val="Indenti"/>
        <w:rPr>
          <w:snapToGrid w:val="0"/>
        </w:rPr>
      </w:pPr>
      <w:r>
        <w:rPr>
          <w:snapToGrid w:val="0"/>
        </w:rPr>
        <w:tab/>
        <w:t>(ii)</w:t>
      </w:r>
      <w:r>
        <w:rPr>
          <w:snapToGrid w:val="0"/>
        </w:rPr>
        <w:tab/>
        <w:t>any other obligations of the participant,</w:t>
      </w:r>
    </w:p>
    <w:p>
      <w:pPr>
        <w:pStyle w:val="Indenta"/>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tab/>
        <w:t>(g)</w:t>
      </w:r>
      <w:r>
        <w:rPr>
          <w:snapToGrid w:val="0"/>
        </w:rPr>
        <w:tab/>
        <w:t>details of any financial assistance to be given to the participant; and</w:t>
      </w:r>
    </w:p>
    <w:p>
      <w:pPr>
        <w:pStyle w:val="Indenta"/>
        <w:rPr>
          <w:snapToGrid w:val="0"/>
        </w:rPr>
      </w:pPr>
      <w:r>
        <w:rPr>
          <w:snapToGrid w:val="0"/>
        </w:rPr>
        <w:tab/>
        <w:t>(h)</w:t>
      </w:r>
      <w:r>
        <w:rPr>
          <w:snapToGrid w:val="0"/>
        </w:rPr>
        <w:tab/>
        <w:t>an agreement by or on behalf of the participant that the participant will disclose to the Commissioner details of any criminal charges that are made against, and any civil or bankruptcy proceedings that are made in relation to, 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the witness is included in the SWPP and remains a participant until after he or she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tab/>
        <w:t>[Section 11 amended by No. 48 of 2003 s. 62 and Sch. 3</w:t>
      </w:r>
      <w:r>
        <w:rPr>
          <w:vertAlign w:val="superscript"/>
        </w:rPr>
        <w:t> 3</w:t>
      </w:r>
      <w:r>
        <w:t xml:space="preserve"> cl. 11.]</w:t>
      </w:r>
    </w:p>
    <w:p>
      <w:pPr>
        <w:pStyle w:val="Heading5"/>
        <w:rPr>
          <w:snapToGrid w:val="0"/>
        </w:rPr>
      </w:pPr>
      <w:bookmarkStart w:id="37" w:name="_Toc406081414"/>
      <w:bookmarkStart w:id="38" w:name="_Toc423090702"/>
      <w:r>
        <w:rPr>
          <w:rStyle w:val="CharSectno"/>
        </w:rPr>
        <w:t>12</w:t>
      </w:r>
      <w:r>
        <w:rPr>
          <w:snapToGrid w:val="0"/>
        </w:rPr>
        <w:t>.</w:t>
      </w:r>
      <w:r>
        <w:rPr>
          <w:snapToGrid w:val="0"/>
        </w:rPr>
        <w:tab/>
        <w:t>Amending a memorandum of understanding</w:t>
      </w:r>
      <w:bookmarkEnd w:id="37"/>
      <w:bookmarkEnd w:id="38"/>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tab/>
        <w:t>(2)</w:t>
      </w:r>
      <w:r>
        <w:rPr>
          <w:snapToGrid w:val="0"/>
        </w:rPr>
        <w:tab/>
        <w:t>An amendment must not have the effect of removing from the memorandum of understanding the provisions referred to in section 11(1).</w:t>
      </w:r>
    </w:p>
    <w:p>
      <w:pPr>
        <w:pStyle w:val="Heading3"/>
      </w:pPr>
      <w:bookmarkStart w:id="39" w:name="_Toc377039044"/>
      <w:bookmarkStart w:id="40" w:name="_Toc406081415"/>
      <w:bookmarkStart w:id="41" w:name="_Toc423090703"/>
      <w:r>
        <w:rPr>
          <w:rStyle w:val="CharDivNo"/>
        </w:rPr>
        <w:t>Division 3</w:t>
      </w:r>
      <w:r>
        <w:rPr>
          <w:snapToGrid w:val="0"/>
        </w:rPr>
        <w:t> — </w:t>
      </w:r>
      <w:r>
        <w:rPr>
          <w:rStyle w:val="CharDivText"/>
        </w:rPr>
        <w:t>Register of participants</w:t>
      </w:r>
      <w:bookmarkEnd w:id="39"/>
      <w:bookmarkEnd w:id="40"/>
      <w:bookmarkEnd w:id="41"/>
    </w:p>
    <w:p>
      <w:pPr>
        <w:pStyle w:val="Heading5"/>
        <w:rPr>
          <w:snapToGrid w:val="0"/>
        </w:rPr>
      </w:pPr>
      <w:bookmarkStart w:id="42" w:name="_Toc406081416"/>
      <w:bookmarkStart w:id="43" w:name="_Toc423090704"/>
      <w:r>
        <w:rPr>
          <w:rStyle w:val="CharSectno"/>
        </w:rPr>
        <w:t>13</w:t>
      </w:r>
      <w:r>
        <w:rPr>
          <w:snapToGrid w:val="0"/>
        </w:rPr>
        <w:t>.</w:t>
      </w:r>
      <w:r>
        <w:rPr>
          <w:snapToGrid w:val="0"/>
        </w:rPr>
        <w:tab/>
        <w:t>Commissioner to keep register</w:t>
      </w:r>
      <w:bookmarkEnd w:id="42"/>
      <w:bookmarkEnd w:id="43"/>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tab/>
        <w:t>(d)</w:t>
      </w:r>
      <w:r>
        <w:rPr>
          <w:snapToGrid w:val="0"/>
        </w:rPr>
        <w:tab/>
        <w:t>any document returned to the Commissioner under section 18(5) or pursuant to an order made under section 22.</w:t>
      </w:r>
    </w:p>
    <w:p>
      <w:pPr>
        <w:pStyle w:val="Heading5"/>
        <w:rPr>
          <w:snapToGrid w:val="0"/>
        </w:rPr>
      </w:pPr>
      <w:bookmarkStart w:id="44" w:name="_Toc406081417"/>
      <w:bookmarkStart w:id="45" w:name="_Toc423090705"/>
      <w:r>
        <w:rPr>
          <w:rStyle w:val="CharSectno"/>
        </w:rPr>
        <w:t>14</w:t>
      </w:r>
      <w:r>
        <w:rPr>
          <w:snapToGrid w:val="0"/>
        </w:rPr>
        <w:t>.</w:t>
      </w:r>
      <w:r>
        <w:rPr>
          <w:snapToGrid w:val="0"/>
        </w:rPr>
        <w:tab/>
        <w:t>Access to the register</w:t>
      </w:r>
      <w:bookmarkEnd w:id="44"/>
      <w:bookmarkEnd w:id="45"/>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The Commissioner must permit the Auditor General, or a person appointed by the Auditor General under</w:t>
      </w:r>
      <w:r>
        <w:t xml:space="preserve"> section 29 of the </w:t>
      </w:r>
      <w:r>
        <w:rPr>
          <w:i/>
        </w:rPr>
        <w:t>Auditor General Act 2006</w:t>
      </w:r>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 and Crime Commission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rPr>
          <w:snapToGrid w:val="0"/>
        </w:rPr>
      </w:pPr>
      <w:r>
        <w:rPr>
          <w:snapToGrid w:val="0"/>
        </w:rPr>
        <w:tab/>
        <w:t>(5)</w:t>
      </w:r>
      <w:r>
        <w:rPr>
          <w:snapToGrid w:val="0"/>
        </w:rPr>
        <w:tab/>
        <w:t>If the Commissioner is of the opinion that it is in the interests of the administration of justice to do so, he or she may permit another person to have access to the register or part of the register or to some or all of the documents kept in conjunction with it.</w:t>
      </w:r>
    </w:p>
    <w:p>
      <w:pPr>
        <w:pStyle w:val="Subsection"/>
        <w:keepNext/>
        <w:rPr>
          <w:snapToGrid w:val="0"/>
        </w:rPr>
      </w:pPr>
      <w:r>
        <w:rPr>
          <w:snapToGrid w:val="0"/>
        </w:rPr>
        <w:tab/>
        <w:t>(6)</w:t>
      </w:r>
      <w:r>
        <w:rPr>
          <w:snapToGrid w:val="0"/>
        </w:rPr>
        <w:tab/>
        <w:t>If the Commissioner permits another person to have access under subsection (5), the Commissioner must notify the relevant approved authority (if any) of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r>
        <w:tab/>
        <w:t>[Section 14 amended by No. 48 of 2003 s. 62 and Sch. 3</w:t>
      </w:r>
      <w:r>
        <w:rPr>
          <w:vertAlign w:val="superscript"/>
        </w:rPr>
        <w:t> 3</w:t>
      </w:r>
      <w:r>
        <w:t xml:space="preserve"> cl. 11; No. 77 of 2006 s. 17.]</w:t>
      </w:r>
    </w:p>
    <w:p>
      <w:pPr>
        <w:pStyle w:val="Heading3"/>
        <w:rPr>
          <w:snapToGrid w:val="0"/>
        </w:rPr>
      </w:pPr>
      <w:bookmarkStart w:id="46" w:name="_Toc377039047"/>
      <w:bookmarkStart w:id="47" w:name="_Toc406081418"/>
      <w:bookmarkStart w:id="48" w:name="_Toc423090706"/>
      <w:r>
        <w:rPr>
          <w:rStyle w:val="CharDivNo"/>
        </w:rPr>
        <w:t>Division 4</w:t>
      </w:r>
      <w:r>
        <w:rPr>
          <w:snapToGrid w:val="0"/>
        </w:rPr>
        <w:t> — </w:t>
      </w:r>
      <w:r>
        <w:rPr>
          <w:rStyle w:val="CharDivText"/>
        </w:rPr>
        <w:t>Protecting and assisting witnesses and participants</w:t>
      </w:r>
      <w:bookmarkEnd w:id="46"/>
      <w:bookmarkEnd w:id="47"/>
      <w:bookmarkEnd w:id="48"/>
    </w:p>
    <w:p>
      <w:pPr>
        <w:pStyle w:val="Heading5"/>
        <w:rPr>
          <w:snapToGrid w:val="0"/>
        </w:rPr>
      </w:pPr>
      <w:bookmarkStart w:id="49" w:name="_Toc406081419"/>
      <w:bookmarkStart w:id="50" w:name="_Toc423090707"/>
      <w:r>
        <w:rPr>
          <w:rStyle w:val="CharSectno"/>
        </w:rPr>
        <w:t>15</w:t>
      </w:r>
      <w:r>
        <w:rPr>
          <w:snapToGrid w:val="0"/>
        </w:rPr>
        <w:t>.</w:t>
      </w:r>
      <w:r>
        <w:rPr>
          <w:snapToGrid w:val="0"/>
        </w:rPr>
        <w:tab/>
        <w:t>Commissioner must take action to protect etc.</w:t>
      </w:r>
      <w:bookmarkEnd w:id="49"/>
      <w:bookmarkEnd w:id="50"/>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providing payments to the witness for the purpose of meeting the reasonable living expenses of the witness (including, where appropriate, living expenses of any 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51" w:name="_Toc406081420"/>
      <w:bookmarkStart w:id="52" w:name="_Toc423090708"/>
      <w:r>
        <w:rPr>
          <w:rStyle w:val="CharSectno"/>
        </w:rPr>
        <w:t>16</w:t>
      </w:r>
      <w:r>
        <w:rPr>
          <w:snapToGrid w:val="0"/>
        </w:rPr>
        <w:t>.</w:t>
      </w:r>
      <w:r>
        <w:rPr>
          <w:snapToGrid w:val="0"/>
        </w:rPr>
        <w:tab/>
        <w:t>Action as to obligations etc. of a participant</w:t>
      </w:r>
      <w:bookmarkEnd w:id="51"/>
      <w:bookmarkEnd w:id="52"/>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tab/>
        <w:t>(3)</w:t>
      </w:r>
      <w:r>
        <w:rPr>
          <w:snapToGrid w:val="0"/>
        </w:rPr>
        <w:tab/>
        <w:t>If the Commissioner is satisfied that a participant who has been given a new identity under the SWPP (whether under a court order or otherwise) is using the new identity to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the Commissioner must give notice in writing to the participant stating that he or she is so satisfied.</w:t>
      </w:r>
    </w:p>
    <w:p>
      <w:pPr>
        <w:pStyle w:val="Subsection"/>
        <w:rPr>
          <w:snapToGrid w:val="0"/>
        </w:rPr>
      </w:pPr>
      <w:r>
        <w:rPr>
          <w:snapToGrid w:val="0"/>
        </w:rPr>
        <w:tab/>
        <w:t>(4)</w:t>
      </w:r>
      <w:r>
        <w:rPr>
          <w:snapToGrid w:val="0"/>
        </w:rPr>
        <w:tab/>
        <w:t>The notice must also state that, unless the participant satisfies the Commissioner that the obligations will be dealt with according to law or the restrictions will be complied with, the Commissioner will take such action as he or she considers necessary to ensure they are dealt with according to law or complied with.</w:t>
      </w:r>
    </w:p>
    <w:p>
      <w:pPr>
        <w:pStyle w:val="Subsection"/>
        <w:rPr>
          <w:snapToGrid w:val="0"/>
        </w:rPr>
      </w:pPr>
      <w:r>
        <w:rPr>
          <w:snapToGrid w:val="0"/>
        </w:rPr>
        <w:tab/>
        <w:t>(5)</w:t>
      </w:r>
      <w:r>
        <w:rPr>
          <w:snapToGrid w:val="0"/>
        </w:rPr>
        <w:tab/>
        <w:t>That action may include informing a person who is seeking to enforce rights against the participant of the details of any property (whether real or personal) owned by the participant under his or her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53" w:name="_Toc406081421"/>
      <w:bookmarkStart w:id="54" w:name="_Toc423090709"/>
      <w:r>
        <w:rPr>
          <w:rStyle w:val="CharSectno"/>
        </w:rPr>
        <w:t>17</w:t>
      </w:r>
      <w:r>
        <w:rPr>
          <w:snapToGrid w:val="0"/>
        </w:rPr>
        <w:t>.</w:t>
      </w:r>
      <w:r>
        <w:rPr>
          <w:snapToGrid w:val="0"/>
        </w:rPr>
        <w:tab/>
        <w:t>Commercial arrangements for benefit of participant</w:t>
      </w:r>
      <w:bookmarkEnd w:id="53"/>
      <w:bookmarkEnd w:id="54"/>
    </w:p>
    <w:p>
      <w:pPr>
        <w:pStyle w:val="Subsection"/>
        <w:rPr>
          <w:snapToGrid w:val="0"/>
        </w:rPr>
      </w:pPr>
      <w:r>
        <w:rPr>
          <w:snapToGrid w:val="0"/>
        </w:rPr>
        <w:tab/>
      </w:r>
      <w:r>
        <w:rPr>
          <w:snapToGrid w:val="0"/>
        </w:rPr>
        <w:tab/>
        <w:t>This Act does not prevent the Commissioner from making commercial arrangements with a person under which a participant is able to obtain benefits under a contract or arrangement without revealing his or her former identity.</w:t>
      </w:r>
    </w:p>
    <w:p>
      <w:pPr>
        <w:pStyle w:val="Heading5"/>
        <w:rPr>
          <w:snapToGrid w:val="0"/>
        </w:rPr>
      </w:pPr>
      <w:bookmarkStart w:id="55" w:name="_Toc406081422"/>
      <w:bookmarkStart w:id="56" w:name="_Toc423090710"/>
      <w:r>
        <w:rPr>
          <w:rStyle w:val="CharSectno"/>
        </w:rPr>
        <w:t>18</w:t>
      </w:r>
      <w:r>
        <w:rPr>
          <w:snapToGrid w:val="0"/>
        </w:rPr>
        <w:t>.</w:t>
      </w:r>
      <w:r>
        <w:rPr>
          <w:snapToGrid w:val="0"/>
        </w:rPr>
        <w:tab/>
        <w:t>Identity documents in urgent cases</w:t>
      </w:r>
      <w:bookmarkEnd w:id="55"/>
      <w:bookmarkEnd w:id="56"/>
    </w:p>
    <w:p>
      <w:pPr>
        <w:pStyle w:val="Subsection"/>
        <w:keepNext/>
        <w:rPr>
          <w:snapToGrid w:val="0"/>
        </w:rPr>
      </w:pPr>
      <w:r>
        <w:rPr>
          <w:snapToGrid w:val="0"/>
        </w:rPr>
        <w:tab/>
        <w:t>(1)</w:t>
      </w:r>
      <w:r>
        <w:rPr>
          <w:snapToGrid w:val="0"/>
        </w:rPr>
        <w:tab/>
        <w:t>If the Commissioner is of the opinion that —</w:t>
      </w:r>
    </w:p>
    <w:p>
      <w:pPr>
        <w:pStyle w:val="Indenta"/>
        <w:rPr>
          <w:snapToGrid w:val="0"/>
        </w:rPr>
      </w:pPr>
      <w:r>
        <w:rPr>
          <w:snapToGrid w:val="0"/>
        </w:rPr>
        <w:tab/>
        <w:t>(a)</w:t>
      </w:r>
      <w:r>
        <w:rPr>
          <w:snapToGrid w:val="0"/>
        </w:rPr>
        <w:tab/>
        <w:t>in order to protect the safety and welfare of a person who is a participant, or a witness being assessed for 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spacing w:before="140"/>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spacing w:before="140"/>
        <w:rPr>
          <w:snapToGrid w:val="0"/>
        </w:rPr>
      </w:pPr>
      <w:r>
        <w:rPr>
          <w:snapToGrid w:val="0"/>
        </w:rPr>
        <w:tab/>
        <w:t>(2)</w:t>
      </w:r>
      <w:r>
        <w:rPr>
          <w:snapToGrid w:val="0"/>
        </w:rPr>
        <w:tab/>
        <w:t>The Commissioner must not request documentation for a person that represents the person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the SWPP.</w:t>
      </w:r>
    </w:p>
    <w:p>
      <w:pPr>
        <w:pStyle w:val="Subsection"/>
        <w:spacing w:before="140"/>
        <w:rPr>
          <w:snapToGrid w:val="0"/>
        </w:rPr>
      </w:pPr>
      <w:r>
        <w:rPr>
          <w:snapToGrid w:val="0"/>
        </w:rPr>
        <w:tab/>
        <w:t>(3)</w:t>
      </w:r>
      <w:r>
        <w:rPr>
          <w:snapToGrid w:val="0"/>
        </w:rPr>
        <w:tab/>
        <w:t>A prescribed authority that receives a written request under subsection (1) must comply with it.</w:t>
      </w:r>
    </w:p>
    <w:p>
      <w:pPr>
        <w:pStyle w:val="Subsection"/>
        <w:spacing w:before="140"/>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spacing w:before="140"/>
        <w:rPr>
          <w:snapToGrid w:val="0"/>
        </w:rPr>
      </w:pPr>
      <w:r>
        <w:rPr>
          <w:snapToGrid w:val="0"/>
        </w:rPr>
        <w:tab/>
        <w:t>(5)</w:t>
      </w:r>
      <w:r>
        <w:rPr>
          <w:snapToGrid w:val="0"/>
        </w:rPr>
        <w:tab/>
        <w:t>At any time the Commissioner, by a written notice given to the person, may direct the person to return such documents to the Commissioner.</w:t>
      </w:r>
    </w:p>
    <w:p>
      <w:pPr>
        <w:pStyle w:val="Subsection"/>
        <w:spacing w:before="140"/>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 by No. 40 of 1998 s. 18(3) and (4).]</w:t>
      </w:r>
    </w:p>
    <w:p>
      <w:pPr>
        <w:pStyle w:val="Heading3"/>
      </w:pPr>
      <w:bookmarkStart w:id="57" w:name="_Toc377039052"/>
      <w:bookmarkStart w:id="58" w:name="_Toc406081423"/>
      <w:bookmarkStart w:id="59" w:name="_Toc423090711"/>
      <w:r>
        <w:rPr>
          <w:rStyle w:val="CharDivNo"/>
        </w:rPr>
        <w:t>Division 5</w:t>
      </w:r>
      <w:r>
        <w:rPr>
          <w:snapToGrid w:val="0"/>
        </w:rPr>
        <w:t> — </w:t>
      </w:r>
      <w:r>
        <w:rPr>
          <w:rStyle w:val="CharDivText"/>
        </w:rPr>
        <w:t>New identity orders</w:t>
      </w:r>
      <w:bookmarkEnd w:id="57"/>
      <w:bookmarkEnd w:id="58"/>
      <w:bookmarkEnd w:id="59"/>
    </w:p>
    <w:p>
      <w:pPr>
        <w:pStyle w:val="Heading5"/>
        <w:rPr>
          <w:snapToGrid w:val="0"/>
        </w:rPr>
      </w:pPr>
      <w:bookmarkStart w:id="60" w:name="_Toc406081424"/>
      <w:bookmarkStart w:id="61" w:name="_Toc423090712"/>
      <w:r>
        <w:rPr>
          <w:rStyle w:val="CharSectno"/>
        </w:rPr>
        <w:t>19</w:t>
      </w:r>
      <w:r>
        <w:rPr>
          <w:snapToGrid w:val="0"/>
        </w:rPr>
        <w:t>.</w:t>
      </w:r>
      <w:r>
        <w:rPr>
          <w:snapToGrid w:val="0"/>
        </w:rPr>
        <w:tab/>
        <w:t>Terms used in this Division</w:t>
      </w:r>
      <w:bookmarkEnd w:id="60"/>
      <w:bookmarkEnd w:id="61"/>
    </w:p>
    <w:p>
      <w:pPr>
        <w:pStyle w:val="Subsection"/>
        <w:keepNext/>
        <w:rPr>
          <w:snapToGrid w:val="0"/>
        </w:rPr>
      </w:pPr>
      <w:r>
        <w:rPr>
          <w:snapToGrid w:val="0"/>
        </w:rPr>
        <w:tab/>
      </w:r>
      <w:r>
        <w:rPr>
          <w:snapToGrid w:val="0"/>
        </w:rPr>
        <w:tab/>
        <w:t>In this Division —</w:t>
      </w:r>
    </w:p>
    <w:p>
      <w:pPr>
        <w:pStyle w:val="Defstart"/>
        <w:keepNext/>
      </w:pPr>
      <w:r>
        <w:rPr>
          <w:b/>
        </w:rPr>
        <w:tab/>
      </w:r>
      <w:r>
        <w:rPr>
          <w:rStyle w:val="CharDefText"/>
        </w:rPr>
        <w:t>new identity order</w:t>
      </w:r>
      <w:r>
        <w:t>, in relation to a person, means an order directing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t>so as to give the person a new identity.</w:t>
      </w:r>
    </w:p>
    <w:p>
      <w:pPr>
        <w:pStyle w:val="Footnotesection"/>
      </w:pPr>
      <w:r>
        <w:tab/>
        <w:t>[Section 19 amended by No. 40 of 1998 s. 18(5).]</w:t>
      </w:r>
    </w:p>
    <w:p>
      <w:pPr>
        <w:pStyle w:val="Heading5"/>
        <w:rPr>
          <w:snapToGrid w:val="0"/>
        </w:rPr>
      </w:pPr>
      <w:bookmarkStart w:id="62" w:name="_Toc406081425"/>
      <w:bookmarkStart w:id="63" w:name="_Toc423090713"/>
      <w:r>
        <w:rPr>
          <w:rStyle w:val="CharSectno"/>
        </w:rPr>
        <w:t>20</w:t>
      </w:r>
      <w:r>
        <w:rPr>
          <w:snapToGrid w:val="0"/>
        </w:rPr>
        <w:t>.</w:t>
      </w:r>
      <w:r>
        <w:rPr>
          <w:snapToGrid w:val="0"/>
        </w:rPr>
        <w:tab/>
        <w:t>Application to Supreme Court</w:t>
      </w:r>
      <w:bookmarkEnd w:id="62"/>
      <w:bookmarkEnd w:id="63"/>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64" w:name="_Toc406081426"/>
      <w:bookmarkStart w:id="65" w:name="_Toc423090714"/>
      <w:r>
        <w:rPr>
          <w:rStyle w:val="CharSectno"/>
        </w:rPr>
        <w:t>21</w:t>
      </w:r>
      <w:r>
        <w:rPr>
          <w:snapToGrid w:val="0"/>
        </w:rPr>
        <w:t>.</w:t>
      </w:r>
      <w:r>
        <w:rPr>
          <w:snapToGrid w:val="0"/>
        </w:rPr>
        <w:tab/>
        <w:t>Supreme Court may make order</w:t>
      </w:r>
      <w:bookmarkEnd w:id="64"/>
      <w:bookmarkEnd w:id="65"/>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 by No. 40 of 1998 s. 18(6).]</w:t>
      </w:r>
    </w:p>
    <w:p>
      <w:pPr>
        <w:pStyle w:val="Heading5"/>
      </w:pPr>
      <w:bookmarkStart w:id="66" w:name="_Toc406081427"/>
      <w:bookmarkStart w:id="67" w:name="_Toc423090715"/>
      <w:r>
        <w:rPr>
          <w:rStyle w:val="CharSectno"/>
        </w:rPr>
        <w:t>22A</w:t>
      </w:r>
      <w:r>
        <w:t>.</w:t>
      </w:r>
      <w:r>
        <w:tab/>
        <w:t>Effect of new identity order</w:t>
      </w:r>
      <w:bookmarkEnd w:id="66"/>
      <w:bookmarkEnd w:id="67"/>
    </w:p>
    <w:p>
      <w:pPr>
        <w:pStyle w:val="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Footnotesection"/>
      </w:pPr>
      <w:r>
        <w:tab/>
        <w:t>[Section 22A inserted by No. 55 of 2012 s. 127.]</w:t>
      </w:r>
    </w:p>
    <w:p>
      <w:pPr>
        <w:pStyle w:val="Heading5"/>
        <w:rPr>
          <w:snapToGrid w:val="0"/>
        </w:rPr>
      </w:pPr>
      <w:bookmarkStart w:id="68" w:name="_Toc406081428"/>
      <w:bookmarkStart w:id="69" w:name="_Toc423090716"/>
      <w:r>
        <w:rPr>
          <w:rStyle w:val="CharSectno"/>
        </w:rPr>
        <w:t>22</w:t>
      </w:r>
      <w:r>
        <w:rPr>
          <w:snapToGrid w:val="0"/>
        </w:rPr>
        <w:t>.</w:t>
      </w:r>
      <w:r>
        <w:rPr>
          <w:snapToGrid w:val="0"/>
        </w:rPr>
        <w:tab/>
        <w:t>Supreme Court may order former identity to be restored</w:t>
      </w:r>
      <w:bookmarkEnd w:id="68"/>
      <w:bookmarkEnd w:id="69"/>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70" w:name="_Toc406081429"/>
      <w:bookmarkStart w:id="71" w:name="_Toc423090717"/>
      <w:r>
        <w:rPr>
          <w:rStyle w:val="CharSectno"/>
        </w:rPr>
        <w:t>23</w:t>
      </w:r>
      <w:r>
        <w:rPr>
          <w:snapToGrid w:val="0"/>
        </w:rPr>
        <w:t>.</w:t>
      </w:r>
      <w:r>
        <w:rPr>
          <w:snapToGrid w:val="0"/>
        </w:rPr>
        <w:tab/>
        <w:t>Proceedings to be in private</w:t>
      </w:r>
      <w:bookmarkEnd w:id="70"/>
      <w:bookmarkEnd w:id="71"/>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72" w:name="_Toc406081430"/>
      <w:bookmarkStart w:id="73" w:name="_Toc423090718"/>
      <w:r>
        <w:rPr>
          <w:rStyle w:val="CharSectno"/>
        </w:rPr>
        <w:t>24</w:t>
      </w:r>
      <w:r>
        <w:rPr>
          <w:snapToGrid w:val="0"/>
        </w:rPr>
        <w:t>.</w:t>
      </w:r>
      <w:r>
        <w:rPr>
          <w:snapToGrid w:val="0"/>
        </w:rPr>
        <w:tab/>
        <w:t>Effect of actions done under order</w:t>
      </w:r>
      <w:bookmarkEnd w:id="72"/>
      <w:bookmarkEnd w:id="73"/>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 by No. 40 of 1998 s. 18(7).]</w:t>
      </w:r>
    </w:p>
    <w:p>
      <w:pPr>
        <w:pStyle w:val="Heading3"/>
        <w:spacing w:before="260"/>
      </w:pPr>
      <w:bookmarkStart w:id="74" w:name="_Toc377039060"/>
      <w:bookmarkStart w:id="75" w:name="_Toc406081431"/>
      <w:bookmarkStart w:id="76" w:name="_Toc423090719"/>
      <w:r>
        <w:rPr>
          <w:rStyle w:val="CharDivNo"/>
        </w:rPr>
        <w:t>Division 6</w:t>
      </w:r>
      <w:r>
        <w:rPr>
          <w:snapToGrid w:val="0"/>
        </w:rPr>
        <w:t> — </w:t>
      </w:r>
      <w:r>
        <w:rPr>
          <w:rStyle w:val="CharDivText"/>
        </w:rPr>
        <w:t>Terminating protection and assistance</w:t>
      </w:r>
      <w:bookmarkEnd w:id="74"/>
      <w:bookmarkEnd w:id="75"/>
      <w:bookmarkEnd w:id="76"/>
    </w:p>
    <w:p>
      <w:pPr>
        <w:pStyle w:val="Heading5"/>
        <w:spacing w:before="200"/>
        <w:rPr>
          <w:snapToGrid w:val="0"/>
        </w:rPr>
      </w:pPr>
      <w:bookmarkStart w:id="77" w:name="_Toc406081432"/>
      <w:bookmarkStart w:id="78" w:name="_Toc423090720"/>
      <w:r>
        <w:rPr>
          <w:rStyle w:val="CharSectno"/>
        </w:rPr>
        <w:t>25</w:t>
      </w:r>
      <w:r>
        <w:rPr>
          <w:snapToGrid w:val="0"/>
        </w:rPr>
        <w:t>.</w:t>
      </w:r>
      <w:r>
        <w:rPr>
          <w:snapToGrid w:val="0"/>
        </w:rPr>
        <w:tab/>
        <w:t>Commissioner may terminate protection</w:t>
      </w:r>
      <w:bookmarkEnd w:id="77"/>
      <w:bookmarkEnd w:id="78"/>
    </w:p>
    <w:p>
      <w:pPr>
        <w:pStyle w:val="Subsection"/>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rPr>
          <w:snapToGrid w:val="0"/>
        </w:rPr>
      </w:pPr>
      <w:r>
        <w:rPr>
          <w:snapToGrid w:val="0"/>
        </w:rPr>
        <w:tab/>
        <w:t>(2)</w:t>
      </w:r>
      <w:r>
        <w:rPr>
          <w:snapToGrid w:val="0"/>
        </w:rPr>
        <w:tab/>
        <w:t>Protection and assistance provided under the SWPP to a participant may be terminated by the Commissioner if —</w:t>
      </w:r>
    </w:p>
    <w:p>
      <w:pPr>
        <w:pStyle w:val="Indenta"/>
        <w:rPr>
          <w:snapToGrid w:val="0"/>
        </w:rPr>
      </w:pPr>
      <w:r>
        <w:rPr>
          <w:snapToGrid w:val="0"/>
        </w:rPr>
        <w:tab/>
        <w:t>(a)</w:t>
      </w:r>
      <w:r>
        <w:rPr>
          <w:snapToGrid w:val="0"/>
        </w:rPr>
        <w:tab/>
        <w:t>the participant commits an offence against the law of this State or elsewhere;</w:t>
      </w:r>
      <w:r>
        <w:t xml:space="preserve"> or</w:t>
      </w:r>
    </w:p>
    <w:p>
      <w:pPr>
        <w:pStyle w:val="Indenta"/>
        <w:rPr>
          <w:snapToGrid w:val="0"/>
        </w:rPr>
      </w:pPr>
      <w:r>
        <w:rPr>
          <w:snapToGrid w:val="0"/>
        </w:rPr>
        <w:tab/>
        <w:t>(b)</w:t>
      </w:r>
      <w:r>
        <w:rPr>
          <w:snapToGrid w:val="0"/>
        </w:rPr>
        <w:tab/>
        <w:t>the participant breaches a term of the memorandum of understanding;</w:t>
      </w:r>
      <w:r>
        <w:t xml:space="preserve"> or</w:t>
      </w:r>
    </w:p>
    <w:p>
      <w:pPr>
        <w:pStyle w:val="Indenta"/>
        <w:rPr>
          <w:snapToGrid w:val="0"/>
        </w:rPr>
      </w:pPr>
      <w:r>
        <w:rPr>
          <w:snapToGrid w:val="0"/>
        </w:rPr>
        <w:tab/>
        <w:t>(c)</w:t>
      </w:r>
      <w:r>
        <w:rPr>
          <w:snapToGrid w:val="0"/>
        </w:rPr>
        <w:tab/>
        <w:t>the Commissioner discovers that the participant has knowingly given information to him or her that is false or misleading in a material particular;</w:t>
      </w:r>
      <w:r>
        <w:t xml:space="preserve"> or</w:t>
      </w:r>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r>
        <w:t xml:space="preserve"> or</w:t>
      </w:r>
    </w:p>
    <w:p>
      <w:pPr>
        <w:pStyle w:val="Indenta"/>
        <w:rPr>
          <w:snapToGrid w:val="0"/>
        </w:rPr>
      </w:pPr>
      <w:r>
        <w:rPr>
          <w:snapToGrid w:val="0"/>
        </w:rPr>
        <w:tab/>
        <w:t>(e)</w:t>
      </w:r>
      <w:r>
        <w:rPr>
          <w:snapToGrid w:val="0"/>
        </w:rPr>
        <w:tab/>
        <w:t>the circumstances that gave rise to the need for protection and assistance for the participant cease to exist;</w:t>
      </w:r>
      <w:r>
        <w:t xml:space="preserve"> or</w:t>
      </w:r>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r>
        <w:t xml:space="preserve"> or</w:t>
      </w:r>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w:t>
      </w:r>
      <w:r>
        <w:t xml:space="preserve"> SWPP;</w:t>
      </w:r>
    </w:p>
    <w:p>
      <w:pPr>
        <w:pStyle w:val="Indenta"/>
      </w:pPr>
      <w:r>
        <w:tab/>
        <w:t>(i)</w:t>
      </w:r>
      <w:r>
        <w:tab/>
        <w:t>the participant fails to comply with section 34A(2),</w:t>
      </w:r>
    </w:p>
    <w:p>
      <w:pPr>
        <w:pStyle w:val="Subsection"/>
        <w:rPr>
          <w:snapToGrid w:val="0"/>
        </w:rPr>
      </w:pPr>
      <w:r>
        <w:rPr>
          <w:snapToGrid w:val="0"/>
        </w:rPr>
        <w:tab/>
      </w:r>
      <w:r>
        <w:rPr>
          <w:snapToGrid w:val="0"/>
        </w:rPr>
        <w:tab/>
        <w:t>and the Commissioner is of the opinion that, in the circumstances of the case, the protection and assistance should be terminated.</w:t>
      </w:r>
    </w:p>
    <w:p>
      <w:pPr>
        <w:pStyle w:val="Subsection"/>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rPr>
          <w:snapToGrid w:val="0"/>
        </w:rPr>
      </w:pPr>
      <w:r>
        <w:rPr>
          <w:snapToGrid w:val="0"/>
        </w:rPr>
        <w:tab/>
        <w:t>(4)</w:t>
      </w:r>
      <w:r>
        <w:rPr>
          <w:snapToGrid w:val="0"/>
        </w:rPr>
        <w:tab/>
        <w:t>If the Commissioner terminates the provision of protection and assistance to a participant, he or she must notify the participant and the relevant approved authority (if any) of the decision.</w:t>
      </w:r>
    </w:p>
    <w:p>
      <w:pPr>
        <w:pStyle w:val="Subsection"/>
        <w:rPr>
          <w:snapToGrid w:val="0"/>
        </w:rPr>
      </w:pPr>
      <w:r>
        <w:rPr>
          <w:snapToGrid w:val="0"/>
        </w:rPr>
        <w:tab/>
        <w:t>(5)</w:t>
      </w:r>
      <w:r>
        <w:rPr>
          <w:snapToGrid w:val="0"/>
        </w:rPr>
        <w:tab/>
        <w:t>If under subsection (2) the Commissioner terminates the provision of protection and assistance to a participant, he or she must give the participant written reasons for doing so.</w:t>
      </w:r>
    </w:p>
    <w:p>
      <w:pPr>
        <w:pStyle w:val="Subsection"/>
        <w:rPr>
          <w:snapToGrid w:val="0"/>
        </w:rPr>
      </w:pPr>
      <w:r>
        <w:rPr>
          <w:snapToGrid w:val="0"/>
        </w:rPr>
        <w:tab/>
        <w:t>(6)</w:t>
      </w:r>
      <w:r>
        <w:rPr>
          <w:snapToGrid w:val="0"/>
        </w:rPr>
        <w:tab/>
        <w:t>If the Commissioner terminates the provision of protection and assistance to a participant, he or she ceases to be a participant.</w:t>
      </w:r>
    </w:p>
    <w:p>
      <w:pPr>
        <w:pStyle w:val="Footnotesection"/>
      </w:pPr>
      <w:r>
        <w:tab/>
        <w:t>[Section 25 amended by No. 55 of 2012 s. 128.]</w:t>
      </w:r>
    </w:p>
    <w:p>
      <w:pPr>
        <w:pStyle w:val="Heading5"/>
        <w:spacing w:before="200"/>
        <w:rPr>
          <w:snapToGrid w:val="0"/>
        </w:rPr>
      </w:pPr>
      <w:bookmarkStart w:id="79" w:name="_Toc406081433"/>
      <w:bookmarkStart w:id="80" w:name="_Toc423090721"/>
      <w:r>
        <w:rPr>
          <w:rStyle w:val="CharSectno"/>
        </w:rPr>
        <w:t>26</w:t>
      </w:r>
      <w:r>
        <w:rPr>
          <w:snapToGrid w:val="0"/>
        </w:rPr>
        <w:t>.</w:t>
      </w:r>
      <w:r>
        <w:rPr>
          <w:snapToGrid w:val="0"/>
        </w:rPr>
        <w:tab/>
        <w:t>Restoring a former identity</w:t>
      </w:r>
      <w:bookmarkEnd w:id="79"/>
      <w:bookmarkEnd w:id="80"/>
    </w:p>
    <w:p>
      <w:pPr>
        <w:pStyle w:val="Subsection"/>
        <w:keepNext/>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the Commissioner, if he or she considers it appropriate to do so, may apply under Division 5 for orders to restore the former participant’s former identity.</w:t>
      </w:r>
    </w:p>
    <w:p>
      <w:pPr>
        <w:pStyle w:val="Subsection"/>
        <w:rPr>
          <w:snapToGrid w:val="0"/>
        </w:rPr>
      </w:pPr>
      <w:r>
        <w:rPr>
          <w:snapToGrid w:val="0"/>
        </w:rPr>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81" w:name="_Toc377039063"/>
      <w:bookmarkStart w:id="82" w:name="_Toc406081434"/>
      <w:bookmarkStart w:id="83" w:name="_Toc423090722"/>
      <w:r>
        <w:rPr>
          <w:rStyle w:val="CharPartNo"/>
        </w:rPr>
        <w:t>Part 3</w:t>
      </w:r>
      <w:r>
        <w:t> — </w:t>
      </w:r>
      <w:r>
        <w:rPr>
          <w:rStyle w:val="CharPartText"/>
        </w:rPr>
        <w:t>Secrecy and disclosure</w:t>
      </w:r>
      <w:bookmarkEnd w:id="81"/>
      <w:bookmarkEnd w:id="82"/>
      <w:bookmarkEnd w:id="83"/>
    </w:p>
    <w:p>
      <w:pPr>
        <w:pStyle w:val="Heading3"/>
      </w:pPr>
      <w:bookmarkStart w:id="84" w:name="_Toc377039064"/>
      <w:bookmarkStart w:id="85" w:name="_Toc406081435"/>
      <w:bookmarkStart w:id="86" w:name="_Toc423090723"/>
      <w:r>
        <w:rPr>
          <w:rStyle w:val="CharDivNo"/>
        </w:rPr>
        <w:t>Division 1</w:t>
      </w:r>
      <w:r>
        <w:t> — </w:t>
      </w:r>
      <w:r>
        <w:rPr>
          <w:rStyle w:val="CharDivText"/>
        </w:rPr>
        <w:t>General</w:t>
      </w:r>
      <w:bookmarkEnd w:id="84"/>
      <w:bookmarkEnd w:id="85"/>
      <w:bookmarkEnd w:id="86"/>
    </w:p>
    <w:p>
      <w:pPr>
        <w:pStyle w:val="Footnoteheading"/>
      </w:pPr>
      <w:r>
        <w:tab/>
        <w:t>[Heading inserted by No. 55 of 2012 s. 129.]</w:t>
      </w:r>
    </w:p>
    <w:p>
      <w:pPr>
        <w:pStyle w:val="Heading5"/>
        <w:rPr>
          <w:snapToGrid w:val="0"/>
        </w:rPr>
      </w:pPr>
      <w:bookmarkStart w:id="87" w:name="_Toc406081436"/>
      <w:bookmarkStart w:id="88" w:name="_Toc423090724"/>
      <w:r>
        <w:rPr>
          <w:rStyle w:val="CharSectno"/>
        </w:rPr>
        <w:t>27</w:t>
      </w:r>
      <w:r>
        <w:rPr>
          <w:snapToGrid w:val="0"/>
        </w:rPr>
        <w:t>.</w:t>
      </w:r>
      <w:r>
        <w:rPr>
          <w:snapToGrid w:val="0"/>
        </w:rPr>
        <w:tab/>
        <w:t>Duty not to disclose</w:t>
      </w:r>
      <w:bookmarkEnd w:id="87"/>
      <w:bookmarkEnd w:id="88"/>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89" w:name="_Toc406081437"/>
      <w:bookmarkStart w:id="90" w:name="_Toc423090725"/>
      <w:r>
        <w:rPr>
          <w:rStyle w:val="CharSectno"/>
        </w:rPr>
        <w:t>28</w:t>
      </w:r>
      <w:r>
        <w:rPr>
          <w:snapToGrid w:val="0"/>
        </w:rPr>
        <w:t>.</w:t>
      </w:r>
      <w:r>
        <w:rPr>
          <w:snapToGrid w:val="0"/>
        </w:rPr>
        <w:tab/>
        <w:t>Disclosure of information cannot be compelled</w:t>
      </w:r>
      <w:bookmarkEnd w:id="89"/>
      <w:bookmarkEnd w:id="90"/>
    </w:p>
    <w:p>
      <w:pPr>
        <w:pStyle w:val="Subsection"/>
        <w:rPr>
          <w:snapToGrid w:val="0"/>
        </w:rPr>
      </w:pPr>
      <w:r>
        <w:rPr>
          <w:snapToGrid w:val="0"/>
        </w:rPr>
        <w:tab/>
        <w:t>(1)</w:t>
      </w:r>
      <w:r>
        <w:rPr>
          <w:snapToGrid w:val="0"/>
        </w:rPr>
        <w:tab/>
        <w:t>Subject to subsection (2) and section 30, no person who is given functions under this Act or under a complementary witness protection law or who, under a Supreme Court order made under Division 5 of Part 2, is required to do anything, shall be compelled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relevant information to the presiding officer in the absence of any person not directly concerned in the proceedings.</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91" w:name="_Toc406081438"/>
      <w:bookmarkStart w:id="92" w:name="_Toc423090726"/>
      <w:r>
        <w:rPr>
          <w:rStyle w:val="CharSectno"/>
        </w:rPr>
        <w:t>29</w:t>
      </w:r>
      <w:r>
        <w:rPr>
          <w:snapToGrid w:val="0"/>
        </w:rPr>
        <w:t>.</w:t>
      </w:r>
      <w:r>
        <w:rPr>
          <w:snapToGrid w:val="0"/>
        </w:rPr>
        <w:tab/>
        <w:t>Disclosing information to approved authorities</w:t>
      </w:r>
      <w:bookmarkEnd w:id="91"/>
      <w:bookmarkEnd w:id="92"/>
    </w:p>
    <w:p>
      <w:pPr>
        <w:pStyle w:val="Subsection"/>
        <w:keepNext/>
        <w:rPr>
          <w:snapToGrid w:val="0"/>
        </w:rPr>
      </w:pPr>
      <w:r>
        <w:rPr>
          <w:snapToGrid w:val="0"/>
        </w:rPr>
        <w:tab/>
      </w:r>
      <w:r>
        <w:rPr>
          <w:snapToGrid w:val="0"/>
        </w:rPr>
        <w:tab/>
        <w:t>If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rPr>
          <w:snapToGrid w:val="0"/>
        </w:rPr>
      </w:pPr>
      <w:r>
        <w:rPr>
          <w:snapToGrid w:val="0"/>
        </w:rPr>
        <w:tab/>
        <w:t>(f)</w:t>
      </w:r>
      <w:r>
        <w:rPr>
          <w:snapToGrid w:val="0"/>
        </w:rPr>
        <w:tab/>
        <w:t>if the Commissioner considers it appropriate to do so in the circumstances — allow officers of the approved authority or a police officer to interview police officers holding designated positions in relation to the participant.</w:t>
      </w:r>
    </w:p>
    <w:p>
      <w:pPr>
        <w:pStyle w:val="Ednotesection"/>
      </w:pPr>
      <w:r>
        <w:rPr>
          <w:snapToGrid/>
        </w:rPr>
        <w:t>[</w:t>
      </w:r>
      <w:r>
        <w:rPr>
          <w:b/>
          <w:snapToGrid/>
        </w:rPr>
        <w:t>30, 31</w:t>
      </w:r>
      <w:r>
        <w:rPr>
          <w:b/>
        </w:rPr>
        <w:t>.</w:t>
      </w:r>
      <w:r>
        <w:tab/>
        <w:t>Deleted by No. 55 of 2012 s. 130.]</w:t>
      </w:r>
    </w:p>
    <w:p>
      <w:pPr>
        <w:pStyle w:val="Heading5"/>
        <w:rPr>
          <w:snapToGrid w:val="0"/>
        </w:rPr>
      </w:pPr>
      <w:bookmarkStart w:id="93" w:name="_Toc406081439"/>
      <w:bookmarkStart w:id="94" w:name="_Toc423090727"/>
      <w:r>
        <w:rPr>
          <w:rStyle w:val="CharSectno"/>
        </w:rPr>
        <w:t>32</w:t>
      </w:r>
      <w:r>
        <w:rPr>
          <w:snapToGrid w:val="0"/>
        </w:rPr>
        <w:t>.</w:t>
      </w:r>
      <w:r>
        <w:rPr>
          <w:snapToGrid w:val="0"/>
        </w:rPr>
        <w:tab/>
        <w:t>Certain disclosures to court to be in private</w:t>
      </w:r>
      <w:bookmarkEnd w:id="93"/>
      <w:bookmarkEnd w:id="94"/>
    </w:p>
    <w:p>
      <w:pPr>
        <w:pStyle w:val="Subsection"/>
      </w:pPr>
      <w:r>
        <w:tab/>
        <w:t>(1A)</w:t>
      </w:r>
      <w:r>
        <w:tab/>
        <w:t>This section does not apply to the disclosure of a protected person’s identity under section 34D or 34K.</w:t>
      </w:r>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w:t>
      </w:r>
    </w:p>
    <w:p>
      <w:pPr>
        <w:pStyle w:val="Indenta"/>
        <w:rPr>
          <w:snapToGrid w:val="0"/>
        </w:rPr>
      </w:pPr>
      <w:r>
        <w:rPr>
          <w:snapToGrid w:val="0"/>
        </w:rPr>
        <w:tab/>
        <w:t>(a)</w:t>
      </w:r>
      <w:r>
        <w:rPr>
          <w:snapToGrid w:val="0"/>
        </w:rPr>
        <w:tab/>
        <w:t>the person’s new identity may be disclosed when he or she is using his or her former identity in the court; or</w:t>
      </w:r>
    </w:p>
    <w:p>
      <w:pPr>
        <w:pStyle w:val="Indenta"/>
        <w:rPr>
          <w:snapToGrid w:val="0"/>
        </w:rPr>
      </w:pPr>
      <w:r>
        <w:rPr>
          <w:snapToGrid w:val="0"/>
        </w:rPr>
        <w:tab/>
        <w:t>(b)</w:t>
      </w:r>
      <w:r>
        <w:rPr>
          <w:snapToGrid w:val="0"/>
        </w:rPr>
        <w:tab/>
        <w:t>the person’s former identity may be disclosed when he or she is using his or her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tab/>
        <w:t>(2)</w:t>
      </w:r>
      <w:r>
        <w:rPr>
          <w:snapToGrid w:val="0"/>
        </w:rPr>
        <w:tab/>
        <w:t>In subsection (1) —</w:t>
      </w:r>
    </w:p>
    <w:p>
      <w:pPr>
        <w:pStyle w:val="Defstart"/>
        <w:keepNext/>
      </w:pPr>
      <w:r>
        <w:rPr>
          <w:b/>
        </w:rPr>
        <w:tab/>
      </w:r>
      <w:r>
        <w:rPr>
          <w:rStyle w:val="CharDefText"/>
        </w:rPr>
        <w:t>sensitive information</w:t>
      </w:r>
      <w:r>
        <w:t xml:space="preserve"> means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Footnotesection"/>
      </w:pPr>
      <w:r>
        <w:tab/>
        <w:t>[Section 32 amended by No. 55 of 2012 s. 131.]</w:t>
      </w:r>
    </w:p>
    <w:p>
      <w:pPr>
        <w:pStyle w:val="Heading3"/>
      </w:pPr>
      <w:bookmarkStart w:id="95" w:name="_Toc377039069"/>
      <w:bookmarkStart w:id="96" w:name="_Toc406081440"/>
      <w:bookmarkStart w:id="97" w:name="_Toc423090728"/>
      <w:r>
        <w:rPr>
          <w:rStyle w:val="CharDivNo"/>
        </w:rPr>
        <w:t>Division 2</w:t>
      </w:r>
      <w:r>
        <w:t> — </w:t>
      </w:r>
      <w:r>
        <w:rPr>
          <w:rStyle w:val="CharDivText"/>
        </w:rPr>
        <w:t>Evidence by participants</w:t>
      </w:r>
      <w:bookmarkEnd w:id="95"/>
      <w:bookmarkEnd w:id="96"/>
      <w:bookmarkEnd w:id="97"/>
    </w:p>
    <w:p>
      <w:pPr>
        <w:pStyle w:val="Footnoteheading"/>
      </w:pPr>
      <w:r>
        <w:tab/>
        <w:t>[Heading inserted by No. 55 of 2012 s. 132.]</w:t>
      </w:r>
    </w:p>
    <w:p>
      <w:pPr>
        <w:pStyle w:val="Heading4"/>
      </w:pPr>
      <w:bookmarkStart w:id="98" w:name="_Toc377039070"/>
      <w:bookmarkStart w:id="99" w:name="_Toc406081441"/>
      <w:bookmarkStart w:id="100" w:name="_Toc423090729"/>
      <w:r>
        <w:t>Subdivision 1 — Terms used</w:t>
      </w:r>
      <w:bookmarkEnd w:id="98"/>
      <w:bookmarkEnd w:id="99"/>
      <w:bookmarkEnd w:id="100"/>
    </w:p>
    <w:p>
      <w:pPr>
        <w:pStyle w:val="Footnoteheading"/>
      </w:pPr>
      <w:r>
        <w:tab/>
        <w:t>[Heading inserted by No. 55 of 2012 s. 132.]</w:t>
      </w:r>
    </w:p>
    <w:p>
      <w:pPr>
        <w:pStyle w:val="Heading5"/>
      </w:pPr>
      <w:bookmarkStart w:id="101" w:name="_Toc406081442"/>
      <w:bookmarkStart w:id="102" w:name="_Toc423090730"/>
      <w:r>
        <w:rPr>
          <w:rStyle w:val="CharSectno"/>
        </w:rPr>
        <w:t>33</w:t>
      </w:r>
      <w:r>
        <w:t>.</w:t>
      </w:r>
      <w:r>
        <w:tab/>
        <w:t>Terms used</w:t>
      </w:r>
      <w:bookmarkEnd w:id="101"/>
      <w:bookmarkEnd w:id="102"/>
    </w:p>
    <w:p>
      <w:pPr>
        <w:pStyle w:val="Subsection"/>
      </w:pPr>
      <w:r>
        <w:tab/>
      </w:r>
      <w:r>
        <w:tab/>
        <w:t>In this Division —</w:t>
      </w:r>
    </w:p>
    <w:p>
      <w:pPr>
        <w:pStyle w:val="Defstart"/>
      </w:pPr>
      <w:r>
        <w:tab/>
      </w:r>
      <w:r>
        <w:rPr>
          <w:rStyle w:val="CharDefText"/>
        </w:rPr>
        <w:t>another jurisdiction</w:t>
      </w:r>
      <w:r>
        <w:t xml:space="preserve"> means another State, a Territory or the Commonwealth;</w:t>
      </w:r>
    </w:p>
    <w:p>
      <w:pPr>
        <w:pStyle w:val="Defstart"/>
      </w:pPr>
      <w:r>
        <w:tab/>
      </w:r>
      <w:r>
        <w:rPr>
          <w:rStyle w:val="CharDefText"/>
        </w:rPr>
        <w:t>corresponding law</w:t>
      </w:r>
      <w:r>
        <w:t xml:space="preserve"> means a law of another jurisdiction that corresponds to this Division, and includes a prescribed law of another jurisdiction;</w:t>
      </w:r>
    </w:p>
    <w:p>
      <w:pPr>
        <w:pStyle w:val="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proceedings</w:t>
      </w:r>
      <w:r>
        <w:t xml:space="preserve"> means any proceedings in a court;</w:t>
      </w:r>
    </w:p>
    <w:p>
      <w:pPr>
        <w:pStyle w:val="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non</w:t>
      </w:r>
      <w:r>
        <w:rPr>
          <w:rStyle w:val="CharDefText"/>
        </w:rPr>
        <w:noBreakHyphen/>
        <w:t>disclosure certificate</w:t>
      </w:r>
      <w:r>
        <w:t xml:space="preserve"> means a certificate given under section 34A(3);</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proceedings</w:t>
      </w:r>
      <w:r>
        <w:t xml:space="preserve"> means any proceedings before a parliamentary committee;</w:t>
      </w:r>
    </w:p>
    <w:p>
      <w:pPr>
        <w:pStyle w:val="Defstart"/>
      </w:pPr>
      <w:r>
        <w:tab/>
      </w:r>
      <w:r>
        <w:rPr>
          <w:rStyle w:val="CharDefText"/>
        </w:rPr>
        <w:t>party</w:t>
      </w:r>
      <w:r>
        <w:t>, to proceedings, means —</w:t>
      </w:r>
    </w:p>
    <w:p>
      <w:pPr>
        <w:pStyle w:val="Defpara"/>
      </w:pPr>
      <w:r>
        <w:tab/>
        <w:t>(a)</w:t>
      </w:r>
      <w:r>
        <w:tab/>
        <w:t>for criminal proceedings, the prosecutor and each accused person; or</w:t>
      </w:r>
    </w:p>
    <w:p>
      <w:pPr>
        <w:pStyle w:val="Defpara"/>
      </w:pPr>
      <w:r>
        <w:tab/>
        <w:t>(b)</w:t>
      </w:r>
      <w:r>
        <w:tab/>
        <w:t>for civil proceedings, each person who is a party to the proceedings; or</w:t>
      </w:r>
    </w:p>
    <w:p>
      <w:pPr>
        <w:pStyle w:val="Defpara"/>
      </w:pPr>
      <w:r>
        <w:tab/>
        <w:t>(c)</w:t>
      </w:r>
      <w:r>
        <w:tab/>
        <w:t>for any other proceedings, each person who may appear or give evidence in the proceedings;</w:t>
      </w:r>
    </w:p>
    <w:p>
      <w:pPr>
        <w:pStyle w:val="Defstart"/>
      </w:pPr>
      <w:r>
        <w:tab/>
      </w:r>
      <w:r>
        <w:rPr>
          <w:rStyle w:val="CharDefText"/>
        </w:rPr>
        <w:t>proceedings</w:t>
      </w:r>
      <w:r>
        <w:t xml:space="preserve"> means court proceedings or parliamentary proceedings;</w:t>
      </w:r>
    </w:p>
    <w:p>
      <w:pPr>
        <w:pStyle w:val="Defstart"/>
      </w:pPr>
      <w:r>
        <w:tab/>
      </w:r>
      <w:r>
        <w:rPr>
          <w:rStyle w:val="CharDefText"/>
        </w:rPr>
        <w:t>protected address</w:t>
      </w:r>
      <w:r>
        <w:t xml:space="preserve">, of a protected person, means — </w:t>
      </w:r>
    </w:p>
    <w:p>
      <w:pPr>
        <w:pStyle w:val="Defpara"/>
      </w:pPr>
      <w:r>
        <w:tab/>
        <w:t>(a)</w:t>
      </w:r>
      <w:r>
        <w:tab/>
        <w:t>for proceedings in which the protected person is or may be required to give evidence under the person’s new identity, the last place where the person lived under the person’s former identity; or</w:t>
      </w:r>
    </w:p>
    <w:p>
      <w:pPr>
        <w:pStyle w:val="Defpara"/>
      </w:pPr>
      <w:r>
        <w:tab/>
        <w:t>(b)</w:t>
      </w:r>
      <w:r>
        <w:tab/>
        <w:t>for proceedings in which the protected person is or may be required to give evidence under the person’s former identity, the place where the person lives;</w:t>
      </w:r>
    </w:p>
    <w:p>
      <w:pPr>
        <w:pStyle w:val="Defstart"/>
      </w:pPr>
      <w:r>
        <w:tab/>
      </w:r>
      <w:r>
        <w:rPr>
          <w:rStyle w:val="CharDefText"/>
        </w:rPr>
        <w:t>protected identity</w:t>
      </w:r>
      <w:r>
        <w:t>, of a protected person, means —</w:t>
      </w:r>
    </w:p>
    <w:p>
      <w:pPr>
        <w:pStyle w:val="Defpara"/>
      </w:pPr>
      <w:r>
        <w:tab/>
        <w:t>(a)</w:t>
      </w:r>
      <w:r>
        <w:tab/>
        <w:t>for proceedings in which the protected person is or may be required to give evidence under the person’s new identity, the person’s former identity; or</w:t>
      </w:r>
    </w:p>
    <w:p>
      <w:pPr>
        <w:pStyle w:val="Defpara"/>
      </w:pPr>
      <w:r>
        <w:tab/>
        <w:t>(b)</w:t>
      </w:r>
      <w:r>
        <w:tab/>
        <w:t>for proceedings in which the protected person is or may be required to give evidence under the person’s former identity, the person’s new identity;</w:t>
      </w:r>
    </w:p>
    <w:p>
      <w:pPr>
        <w:pStyle w:val="Defstart"/>
      </w:pPr>
      <w:r>
        <w:tab/>
      </w:r>
      <w:r>
        <w:rPr>
          <w:rStyle w:val="CharDefText"/>
        </w:rPr>
        <w:t>protected person</w:t>
      </w:r>
      <w:r>
        <w:t xml:space="preserve"> means a person who, having been given a new identity under the SWPP, keeps the identity whether or not the person remains a participant.</w:t>
      </w:r>
    </w:p>
    <w:p>
      <w:pPr>
        <w:pStyle w:val="Footnotesection"/>
      </w:pPr>
      <w:r>
        <w:tab/>
        <w:t>[Section 33 inserted by No. 55 of 2012 s. 133.]</w:t>
      </w:r>
    </w:p>
    <w:p>
      <w:pPr>
        <w:pStyle w:val="Heading4"/>
      </w:pPr>
      <w:bookmarkStart w:id="103" w:name="_Toc377039072"/>
      <w:bookmarkStart w:id="104" w:name="_Toc406081443"/>
      <w:bookmarkStart w:id="105" w:name="_Toc423090731"/>
      <w:r>
        <w:t>Subdivision 2 — Non-disclosure certificates for protected persons</w:t>
      </w:r>
      <w:bookmarkEnd w:id="103"/>
      <w:bookmarkEnd w:id="104"/>
      <w:bookmarkEnd w:id="105"/>
    </w:p>
    <w:p>
      <w:pPr>
        <w:pStyle w:val="Footnoteheading"/>
      </w:pPr>
      <w:r>
        <w:tab/>
        <w:t>[Heading inserted by No. 55 of 2012 s. 133.]</w:t>
      </w:r>
    </w:p>
    <w:p>
      <w:pPr>
        <w:pStyle w:val="Heading5"/>
      </w:pPr>
      <w:bookmarkStart w:id="106" w:name="_Toc406081444"/>
      <w:bookmarkStart w:id="107" w:name="_Toc423090732"/>
      <w:r>
        <w:rPr>
          <w:rStyle w:val="CharSectno"/>
        </w:rPr>
        <w:t>34A</w:t>
      </w:r>
      <w:r>
        <w:t>.</w:t>
      </w:r>
      <w:r>
        <w:tab/>
        <w:t>Non</w:t>
      </w:r>
      <w:r>
        <w:noBreakHyphen/>
        <w:t>disclosure certificates</w:t>
      </w:r>
      <w:bookmarkEnd w:id="106"/>
      <w:bookmarkEnd w:id="107"/>
    </w:p>
    <w:p>
      <w:pPr>
        <w:pStyle w:val="Subsection"/>
      </w:pPr>
      <w:r>
        <w:tab/>
        <w:t>(1)</w:t>
      </w:r>
      <w:r>
        <w:tab/>
        <w:t xml:space="preserve">In this section — </w:t>
      </w:r>
    </w:p>
    <w:p>
      <w:pPr>
        <w:pStyle w:val="Defstart"/>
      </w:pPr>
      <w:r>
        <w:tab/>
      </w:r>
      <w:r>
        <w:rPr>
          <w:rStyle w:val="CharDefText"/>
        </w:rPr>
        <w:t>court</w:t>
      </w:r>
      <w:r>
        <w:t xml:space="preserve"> includes a court, within the meaning of that term in this Act, of another jurisdiction.</w:t>
      </w:r>
    </w:p>
    <w:p>
      <w:pPr>
        <w:pStyle w:val="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Subsection"/>
      </w:pPr>
      <w:r>
        <w:tab/>
        <w:t>(3)</w:t>
      </w:r>
      <w:r>
        <w:tab/>
        <w:t>The Commissioner may give a certificate for the protected person in relation to the proceedings and —</w:t>
      </w:r>
    </w:p>
    <w:p>
      <w:pPr>
        <w:pStyle w:val="Indenta"/>
      </w:pPr>
      <w:r>
        <w:tab/>
        <w:t>(a)</w:t>
      </w:r>
      <w:r>
        <w:tab/>
        <w:t>file a copy with the court; or</w:t>
      </w:r>
    </w:p>
    <w:p>
      <w:pPr>
        <w:pStyle w:val="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Subsection"/>
      </w:pPr>
      <w:r>
        <w:tab/>
      </w:r>
      <w:r>
        <w:tab/>
        <w:t>as the case requires.</w:t>
      </w:r>
    </w:p>
    <w:p>
      <w:pPr>
        <w:pStyle w:val="Footnotesection"/>
      </w:pPr>
      <w:r>
        <w:tab/>
        <w:t>[Section 34A inserted by No. 55 of 2012 s. 133.]</w:t>
      </w:r>
    </w:p>
    <w:p>
      <w:pPr>
        <w:pStyle w:val="Heading5"/>
      </w:pPr>
      <w:bookmarkStart w:id="108" w:name="_Toc406081445"/>
      <w:bookmarkStart w:id="109" w:name="_Toc423090733"/>
      <w:r>
        <w:rPr>
          <w:rStyle w:val="CharSectno"/>
        </w:rPr>
        <w:t>34B</w:t>
      </w:r>
      <w:r>
        <w:t>.</w:t>
      </w:r>
      <w:r>
        <w:tab/>
        <w:t>What non</w:t>
      </w:r>
      <w:r>
        <w:noBreakHyphen/>
        <w:t>disclosure certificate must state</w:t>
      </w:r>
      <w:bookmarkEnd w:id="108"/>
      <w:bookmarkEnd w:id="109"/>
      <w:r>
        <w:t xml:space="preserve"> </w:t>
      </w:r>
    </w:p>
    <w:p>
      <w:pPr>
        <w:pStyle w:val="Subsection"/>
      </w:pPr>
      <w:r>
        <w:tab/>
        <w:t>(1)</w:t>
      </w:r>
      <w:r>
        <w:tab/>
        <w:t>A non</w:t>
      </w:r>
      <w:r>
        <w:noBreakHyphen/>
        <w:t>disclosure certificate for a protected person must state —</w:t>
      </w:r>
    </w:p>
    <w:p>
      <w:pPr>
        <w:pStyle w:val="Indenta"/>
      </w:pPr>
      <w:r>
        <w:tab/>
        <w:t>(a)</w:t>
      </w:r>
      <w:r>
        <w:tab/>
        <w:t>that the person is, or has been, included in the SWPP; and</w:t>
      </w:r>
    </w:p>
    <w:p>
      <w:pPr>
        <w:pStyle w:val="Indenta"/>
      </w:pPr>
      <w:r>
        <w:tab/>
        <w:t>(b)</w:t>
      </w:r>
      <w:r>
        <w:tab/>
        <w:t>that the person has been given a new identity under the SWPP; and</w:t>
      </w:r>
    </w:p>
    <w:p>
      <w:pPr>
        <w:pStyle w:val="Indenta"/>
      </w:pPr>
      <w:r>
        <w:tab/>
        <w:t>(c)</w:t>
      </w:r>
      <w:r>
        <w:tab/>
        <w:t>that the person has not been convicted or found guilty of any offence other than an offence mentioned in the certificate.</w:t>
      </w:r>
    </w:p>
    <w:p>
      <w:pPr>
        <w:pStyle w:val="Subsection"/>
      </w:pPr>
      <w:r>
        <w:tab/>
        <w:t>(2)</w:t>
      </w:r>
      <w:r>
        <w:tab/>
        <w:t>The non</w:t>
      </w:r>
      <w:r>
        <w:noBreakHyphen/>
        <w:t xml:space="preserve">disclosure certificate must not include information that discloses, or may lead to the disclosure of any of the following — </w:t>
      </w:r>
    </w:p>
    <w:p>
      <w:pPr>
        <w:pStyle w:val="Indenta"/>
      </w:pPr>
      <w:r>
        <w:tab/>
        <w:t>(a)</w:t>
      </w:r>
      <w:r>
        <w:tab/>
        <w:t>the person’s protected identity;</w:t>
      </w:r>
    </w:p>
    <w:p>
      <w:pPr>
        <w:pStyle w:val="Indenta"/>
      </w:pPr>
      <w:r>
        <w:tab/>
        <w:t>(b)</w:t>
      </w:r>
      <w:r>
        <w:tab/>
        <w:t>the person’s protected address;</w:t>
      </w:r>
    </w:p>
    <w:p>
      <w:pPr>
        <w:pStyle w:val="Indenta"/>
      </w:pPr>
      <w:r>
        <w:tab/>
        <w:t>(c)</w:t>
      </w:r>
      <w:r>
        <w:tab/>
        <w:t>any other sensitive information as defined in section 32(2).</w:t>
      </w:r>
    </w:p>
    <w:p>
      <w:pPr>
        <w:pStyle w:val="Footnotesection"/>
      </w:pPr>
      <w:r>
        <w:tab/>
        <w:t>[Section 34B inserted by No. 55 of 2012 s. 133.]</w:t>
      </w:r>
    </w:p>
    <w:p>
      <w:pPr>
        <w:pStyle w:val="Heading4"/>
      </w:pPr>
      <w:bookmarkStart w:id="110" w:name="_Toc377039075"/>
      <w:bookmarkStart w:id="111" w:name="_Toc406081446"/>
      <w:bookmarkStart w:id="112" w:name="_Toc423090734"/>
      <w:r>
        <w:t>Subdivision 3 — Provisions applicable to court proceedings</w:t>
      </w:r>
      <w:bookmarkEnd w:id="110"/>
      <w:bookmarkEnd w:id="111"/>
      <w:bookmarkEnd w:id="112"/>
    </w:p>
    <w:p>
      <w:pPr>
        <w:pStyle w:val="Footnoteheading"/>
      </w:pPr>
      <w:r>
        <w:tab/>
        <w:t>[Heading inserted by No. 55 of 2012 s. 133.]</w:t>
      </w:r>
    </w:p>
    <w:p>
      <w:pPr>
        <w:pStyle w:val="Heading5"/>
      </w:pPr>
      <w:bookmarkStart w:id="113" w:name="_Toc406081447"/>
      <w:bookmarkStart w:id="114" w:name="_Toc423090735"/>
      <w:r>
        <w:rPr>
          <w:rStyle w:val="CharSectno"/>
        </w:rPr>
        <w:t>34CA</w:t>
      </w:r>
      <w:r>
        <w:t>.</w:t>
      </w:r>
      <w:r>
        <w:tab/>
        <w:t>Application of Subdivision</w:t>
      </w:r>
      <w:bookmarkEnd w:id="113"/>
      <w:bookmarkEnd w:id="114"/>
    </w:p>
    <w:p>
      <w:pPr>
        <w:pStyle w:val="Subsection"/>
      </w:pPr>
      <w:r>
        <w:tab/>
      </w:r>
      <w:r>
        <w:tab/>
        <w:t>This Subdivision applies in relation to court proceedings in which a protected person is, or may be, required to give evidence.</w:t>
      </w:r>
    </w:p>
    <w:p>
      <w:pPr>
        <w:pStyle w:val="Footnotesection"/>
      </w:pPr>
      <w:r>
        <w:tab/>
        <w:t>[Section 34CA inserted by No. 55 of 2012 s. 133.]</w:t>
      </w:r>
    </w:p>
    <w:p>
      <w:pPr>
        <w:pStyle w:val="Heading5"/>
      </w:pPr>
      <w:bookmarkStart w:id="115" w:name="_Toc406081448"/>
      <w:bookmarkStart w:id="116" w:name="_Toc423090736"/>
      <w:r>
        <w:rPr>
          <w:rStyle w:val="CharSectno"/>
        </w:rPr>
        <w:t>34C</w:t>
      </w:r>
      <w:r>
        <w:t>.</w:t>
      </w:r>
      <w:r>
        <w:tab/>
        <w:t>Effect of non</w:t>
      </w:r>
      <w:r>
        <w:noBreakHyphen/>
        <w:t>disclosure certificate</w:t>
      </w:r>
      <w:bookmarkEnd w:id="115"/>
      <w:bookmarkEnd w:id="116"/>
    </w:p>
    <w:p>
      <w:pPr>
        <w:pStyle w:val="Subsection"/>
      </w:pPr>
      <w:r>
        <w:tab/>
        <w:t>(1)</w:t>
      </w:r>
      <w:r>
        <w:tab/>
        <w:t xml:space="preserve">In this section — </w:t>
      </w:r>
    </w:p>
    <w:p>
      <w:pPr>
        <w:pStyle w:val="Defstart"/>
      </w:pPr>
      <w:r>
        <w:tab/>
      </w:r>
      <w:r>
        <w:rPr>
          <w:rStyle w:val="CharDefText"/>
        </w:rPr>
        <w:t>person involved</w:t>
      </w:r>
      <w:r>
        <w:t xml:space="preserve">, in proceedings, includes — </w:t>
      </w:r>
    </w:p>
    <w:p>
      <w:pPr>
        <w:pStyle w:val="Defpara"/>
      </w:pPr>
      <w:r>
        <w:tab/>
        <w:t>(a)</w:t>
      </w:r>
      <w:r>
        <w:tab/>
        <w:t>the court;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court in the proceedings; and</w:t>
      </w:r>
    </w:p>
    <w:p>
      <w:pPr>
        <w:pStyle w:val="Defpara"/>
      </w:pPr>
      <w:r>
        <w:tab/>
        <w:t>(e)</w:t>
      </w:r>
      <w:r>
        <w:tab/>
        <w:t>any other officer of the court or person assisting the court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w:t>
      </w:r>
      <w:r>
        <w:noBreakHyphen/>
        <w:t>disclosure certificate for a protected person in relation to proceedings is filed in a court in this State.</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court may disclose to each party to the proceedings —</w:t>
      </w:r>
    </w:p>
    <w:p>
      <w:pPr>
        <w:pStyle w:val="Indenta"/>
      </w:pPr>
      <w:r>
        <w:tab/>
        <w:t>(a)</w:t>
      </w:r>
      <w:r>
        <w:tab/>
        <w:t>that the court has been given a non</w:t>
      </w:r>
      <w:r>
        <w:noBreakHyphen/>
        <w:t>disclosure certificate for a person who may be required to give evidence in the proceedings; and</w:t>
      </w:r>
    </w:p>
    <w:p>
      <w:pPr>
        <w:pStyle w:val="Indenta"/>
      </w:pPr>
      <w:r>
        <w:tab/>
        <w:t>(b)</w:t>
      </w:r>
      <w:r>
        <w:tab/>
        <w:t>what the certificate states.</w:t>
      </w:r>
    </w:p>
    <w:p>
      <w:pPr>
        <w:pStyle w:val="Subsection"/>
      </w:pPr>
      <w:r>
        <w:tab/>
        <w:t>(5)</w:t>
      </w:r>
      <w:r>
        <w:tab/>
        <w:t>The court may only disclose what the non</w:t>
      </w:r>
      <w:r>
        <w:noBreakHyphen/>
        <w:t xml:space="preserve">disclosure certificate states in the absence of the jury (if any) and the public. </w:t>
      </w:r>
    </w:p>
    <w:p>
      <w:pPr>
        <w:pStyle w:val="Subsection"/>
      </w:pPr>
      <w:r>
        <w:tab/>
        <w:t>(6)</w:t>
      </w:r>
      <w:r>
        <w:tab/>
        <w:t>If the court makes a disclosure about the non</w:t>
      </w:r>
      <w:r>
        <w:noBreakHyphen/>
        <w:t>disclosure certificate under subsection (4), the court must also inform the parties of the effect of the certificate.</w:t>
      </w:r>
    </w:p>
    <w:p>
      <w:pPr>
        <w:pStyle w:val="Subsection"/>
      </w:pPr>
      <w:r>
        <w:tab/>
        <w:t>(7)</w:t>
      </w:r>
      <w:r>
        <w:tab/>
        <w:t>This section applies despite any other Act, but subject to section 34D.</w:t>
      </w:r>
    </w:p>
    <w:p>
      <w:pPr>
        <w:pStyle w:val="Footnotesection"/>
      </w:pPr>
      <w:r>
        <w:tab/>
        <w:t>[Section 34C inserted by No. 55 of 2012 s. 133.]</w:t>
      </w:r>
    </w:p>
    <w:p>
      <w:pPr>
        <w:pStyle w:val="Heading5"/>
      </w:pPr>
      <w:bookmarkStart w:id="117" w:name="_Toc406081449"/>
      <w:bookmarkStart w:id="118" w:name="_Toc423090737"/>
      <w:r>
        <w:rPr>
          <w:rStyle w:val="CharSectno"/>
        </w:rPr>
        <w:t>34D</w:t>
      </w:r>
      <w:r>
        <w:t>.</w:t>
      </w:r>
      <w:r>
        <w:tab/>
        <w:t>Disclosure of protected person’s identity despite certificate</w:t>
      </w:r>
      <w:bookmarkEnd w:id="117"/>
      <w:bookmarkEnd w:id="118"/>
    </w:p>
    <w:p>
      <w:pPr>
        <w:pStyle w:val="Subsection"/>
      </w:pPr>
      <w:r>
        <w:tab/>
        <w:t>(1)</w:t>
      </w:r>
      <w:r>
        <w:tab/>
        <w:t>This section applies if a non</w:t>
      </w:r>
      <w:r>
        <w:noBreakHyphen/>
        <w:t xml:space="preserve">disclosure certificate for a protected person in relation to proceedings is filed in a court in this State. </w:t>
      </w:r>
    </w:p>
    <w:p>
      <w:pPr>
        <w:pStyle w:val="Subsection"/>
      </w:pPr>
      <w:r>
        <w:tab/>
        <w:t>(2)</w:t>
      </w:r>
      <w:r>
        <w:tab/>
        <w:t>A party to the proceedings, or a lawyer assisting the court in the proceedings, may apply to the court —</w:t>
      </w:r>
    </w:p>
    <w:p>
      <w:pPr>
        <w:pStyle w:val="Indenta"/>
      </w:pPr>
      <w:r>
        <w:tab/>
        <w:t>(a)</w:t>
      </w:r>
      <w:r>
        <w:tab/>
        <w:t>for leave —</w:t>
      </w:r>
    </w:p>
    <w:p>
      <w:pPr>
        <w:pStyle w:val="Indenti"/>
      </w:pPr>
      <w:r>
        <w:tab/>
        <w:t>(i)</w:t>
      </w:r>
      <w:r>
        <w:tab/>
        <w:t>to ask a question of a witness, including the protected person, that may lead to the disclosure of the protected person’s protected identity or protected address or both; or</w:t>
      </w:r>
    </w:p>
    <w:p>
      <w:pPr>
        <w:pStyle w:val="Indenti"/>
      </w:pPr>
      <w:r>
        <w:tab/>
        <w:t>(ii)</w:t>
      </w:r>
      <w:r>
        <w:tab/>
        <w:t xml:space="preserve">for a person involved in the proceedings to make a statement that discloses, or may lead to the disclosure of, the protected person’s protected identity or protected address or both; </w:t>
      </w:r>
    </w:p>
    <w:p>
      <w:pPr>
        <w:pStyle w:val="Indenta"/>
      </w:pPr>
      <w:r>
        <w:tab/>
      </w:r>
      <w:r>
        <w:tab/>
        <w:t>or</w:t>
      </w:r>
    </w:p>
    <w:p>
      <w:pPr>
        <w:pStyle w:val="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Indenta"/>
      </w:pPr>
      <w:r>
        <w:tab/>
        <w:t>(c)</w:t>
      </w:r>
      <w:r>
        <w:tab/>
        <w:t>it is in the interests of justice for the protected person’s credibility to be able to be tested.</w:t>
      </w:r>
    </w:p>
    <w:p>
      <w:pPr>
        <w:pStyle w:val="Subsection"/>
      </w:pPr>
      <w:r>
        <w:tab/>
        <w:t>(5)</w:t>
      </w:r>
      <w:r>
        <w:tab/>
        <w:t xml:space="preserve">If there is a jury in the proceedings, the application must be heard in the absence of the jury. </w:t>
      </w:r>
    </w:p>
    <w:p>
      <w:pPr>
        <w:pStyle w:val="Subsection"/>
      </w:pPr>
      <w:r>
        <w:tab/>
        <w:t>(6)</w:t>
      </w:r>
      <w:r>
        <w:tab/>
        <w:t>Unless the court considers that the interests of justice require otherwise, the court must be closed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Subsection"/>
      </w:pPr>
      <w:r>
        <w:tab/>
        <w:t>(9)</w:t>
      </w:r>
      <w:r>
        <w:tab/>
        <w:t>The court may make any other order it considers appropriate to protect the protected person’s protected identity or protected address or both.</w:t>
      </w:r>
    </w:p>
    <w:p>
      <w:pPr>
        <w:pStyle w:val="Subsection"/>
      </w:pPr>
      <w:r>
        <w:tab/>
        <w:t>(10)</w:t>
      </w:r>
      <w:r>
        <w:tab/>
        <w:t>A person must not contravene an order under subsection (7), (8) or (9).</w:t>
      </w:r>
    </w:p>
    <w:p>
      <w:pPr>
        <w:pStyle w:val="Penstart"/>
      </w:pPr>
      <w:r>
        <w:tab/>
        <w:t>Penalty: imprisonment for 2 years.</w:t>
      </w:r>
    </w:p>
    <w:p>
      <w:pPr>
        <w:pStyle w:val="Subsection"/>
      </w:pPr>
      <w:r>
        <w:tab/>
        <w:t>(11)</w:t>
      </w:r>
      <w:r>
        <w:tab/>
        <w:t xml:space="preserve">Subsection (10) does not limit the court’s power to punish for contempt. </w:t>
      </w:r>
    </w:p>
    <w:p>
      <w:pPr>
        <w:pStyle w:val="Footnotesection"/>
      </w:pPr>
      <w:r>
        <w:tab/>
        <w:t>[Section 34D inserted by No. 55 of 2012 s. 133.]</w:t>
      </w:r>
    </w:p>
    <w:p>
      <w:pPr>
        <w:pStyle w:val="Heading5"/>
      </w:pPr>
      <w:bookmarkStart w:id="119" w:name="_Toc406081450"/>
      <w:bookmarkStart w:id="120" w:name="_Toc423090738"/>
      <w:r>
        <w:rPr>
          <w:rStyle w:val="CharSectno"/>
        </w:rPr>
        <w:t>34E</w:t>
      </w:r>
      <w:r>
        <w:t>.</w:t>
      </w:r>
      <w:r>
        <w:tab/>
        <w:t>Directions to jury</w:t>
      </w:r>
      <w:bookmarkEnd w:id="119"/>
      <w:bookmarkEnd w:id="120"/>
    </w:p>
    <w:p>
      <w:pPr>
        <w:pStyle w:val="Subsection"/>
      </w:pPr>
      <w:r>
        <w:tab/>
        <w:t>(1)</w:t>
      </w:r>
      <w:r>
        <w:tab/>
        <w:t>This section applies if —</w:t>
      </w:r>
    </w:p>
    <w:p>
      <w:pPr>
        <w:pStyle w:val="Indenta"/>
      </w:pPr>
      <w:r>
        <w:tab/>
        <w:t>(a)</w:t>
      </w:r>
      <w:r>
        <w:tab/>
        <w:t>a non</w:t>
      </w:r>
      <w:r>
        <w:noBreakHyphen/>
        <w:t>disclosure certificate for a protected person in relation to proceedings is filed in a court; and</w:t>
      </w:r>
    </w:p>
    <w:p>
      <w:pPr>
        <w:pStyle w:val="Indenta"/>
      </w:pPr>
      <w:r>
        <w:tab/>
        <w:t>(b)</w:t>
      </w:r>
      <w:r>
        <w:tab/>
        <w:t>there is a jury in the proceedings; and</w:t>
      </w:r>
    </w:p>
    <w:p>
      <w:pPr>
        <w:pStyle w:val="Indenta"/>
      </w:pPr>
      <w:r>
        <w:tab/>
        <w:t>(c)</w:t>
      </w:r>
      <w:r>
        <w:tab/>
        <w:t>the protected person gives evidence.</w:t>
      </w:r>
    </w:p>
    <w:p>
      <w:pPr>
        <w:pStyle w:val="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Indenta"/>
      </w:pPr>
      <w:r>
        <w:tab/>
        <w:t>(a)</w:t>
      </w:r>
      <w:r>
        <w:tab/>
        <w:t>there is a non</w:t>
      </w:r>
      <w:r>
        <w:noBreakHyphen/>
        <w:t>disclosure certificate for the protected person; or</w:t>
      </w:r>
    </w:p>
    <w:p>
      <w:pPr>
        <w:pStyle w:val="Indenta"/>
      </w:pPr>
      <w:r>
        <w:tab/>
        <w:t>(b)</w:t>
      </w:r>
      <w:r>
        <w:tab/>
        <w:t>the court has made an order under section 32 or 34D(7), (8) or (9).</w:t>
      </w:r>
    </w:p>
    <w:p>
      <w:pPr>
        <w:pStyle w:val="Footnotesection"/>
      </w:pPr>
      <w:r>
        <w:tab/>
        <w:t>[Section 34E inserted by No. 55 of 2012 s. 133.]</w:t>
      </w:r>
    </w:p>
    <w:p>
      <w:pPr>
        <w:pStyle w:val="Heading5"/>
      </w:pPr>
      <w:bookmarkStart w:id="121" w:name="_Toc406081451"/>
      <w:bookmarkStart w:id="122" w:name="_Toc423090739"/>
      <w:r>
        <w:rPr>
          <w:rStyle w:val="CharSectno"/>
        </w:rPr>
        <w:t>34F</w:t>
      </w:r>
      <w:r>
        <w:t>.</w:t>
      </w:r>
      <w:r>
        <w:tab/>
        <w:t>Adjournment for appeal decision</w:t>
      </w:r>
      <w:bookmarkEnd w:id="121"/>
      <w:bookmarkEnd w:id="122"/>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34D(3)(a) in relation to a non</w:t>
      </w:r>
      <w:r>
        <w:noBreakHyphen/>
        <w:t>disclosure certificate for a protected person; or</w:t>
      </w:r>
    </w:p>
    <w:p>
      <w:pPr>
        <w:pStyle w:val="Indenta"/>
      </w:pPr>
      <w:r>
        <w:tab/>
        <w:t>(b)</w:t>
      </w:r>
      <w:r>
        <w:tab/>
        <w:t>the original court makes, or refuses to make, an order under section 34D(3)(b) in relation to a non</w:t>
      </w:r>
      <w:r>
        <w:noBreakHyphen/>
        <w:t>disclosure certificate for a protected person.</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Footnotesection"/>
      </w:pPr>
      <w:r>
        <w:tab/>
        <w:t>[Section 34F inserted by No. 55 of 2012 s. 133.]</w:t>
      </w:r>
    </w:p>
    <w:p>
      <w:pPr>
        <w:pStyle w:val="Heading5"/>
      </w:pPr>
      <w:bookmarkStart w:id="123" w:name="_Toc406081452"/>
      <w:bookmarkStart w:id="124" w:name="_Toc423090740"/>
      <w:r>
        <w:rPr>
          <w:rStyle w:val="CharSectno"/>
        </w:rPr>
        <w:t>34G</w:t>
      </w:r>
      <w:r>
        <w:t>.</w:t>
      </w:r>
      <w:r>
        <w:tab/>
        <w:t>Jurisdiction to hear and determine appeals</w:t>
      </w:r>
      <w:bookmarkEnd w:id="123"/>
      <w:bookmarkEnd w:id="124"/>
    </w:p>
    <w:p>
      <w:pPr>
        <w:pStyle w:val="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Footnotesection"/>
      </w:pPr>
      <w:r>
        <w:tab/>
        <w:t>[Section 34G inserted by No. 55 of 2012 s. 133.]</w:t>
      </w:r>
    </w:p>
    <w:p>
      <w:pPr>
        <w:pStyle w:val="Heading5"/>
      </w:pPr>
      <w:bookmarkStart w:id="125" w:name="_Toc406081453"/>
      <w:bookmarkStart w:id="126" w:name="_Toc423090741"/>
      <w:r>
        <w:rPr>
          <w:rStyle w:val="CharSectno"/>
        </w:rPr>
        <w:t>34H</w:t>
      </w:r>
      <w:r>
        <w:t>.</w:t>
      </w:r>
      <w:r>
        <w:tab/>
        <w:t>Recognition of non</w:t>
      </w:r>
      <w:r>
        <w:noBreakHyphen/>
        <w:t>disclosure certificates under corresponding laws</w:t>
      </w:r>
      <w:bookmarkEnd w:id="125"/>
      <w:bookmarkEnd w:id="126"/>
      <w:r>
        <w:t xml:space="preserve"> </w:t>
      </w:r>
    </w:p>
    <w:p>
      <w:pPr>
        <w:pStyle w:val="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Indenta"/>
      </w:pPr>
      <w:r>
        <w:tab/>
        <w:t>(a)</w:t>
      </w:r>
      <w:r>
        <w:tab/>
        <w:t>section 34C (Effect of non</w:t>
      </w:r>
      <w:r>
        <w:noBreakHyphen/>
        <w:t>disclosure certificate);</w:t>
      </w:r>
    </w:p>
    <w:p>
      <w:pPr>
        <w:pStyle w:val="Indenta"/>
      </w:pPr>
      <w:r>
        <w:tab/>
        <w:t>(b)</w:t>
      </w:r>
      <w:r>
        <w:tab/>
        <w:t>section 34D (Disclosure of protected person’s identity despite certificate).</w:t>
      </w:r>
    </w:p>
    <w:p>
      <w:pPr>
        <w:pStyle w:val="Footnotesection"/>
      </w:pPr>
      <w:r>
        <w:tab/>
        <w:t>[Section 34H inserted by No. 55 of 2012 s. 133.]</w:t>
      </w:r>
    </w:p>
    <w:p>
      <w:pPr>
        <w:pStyle w:val="Heading4"/>
      </w:pPr>
      <w:bookmarkStart w:id="127" w:name="_Toc377039083"/>
      <w:bookmarkStart w:id="128" w:name="_Toc406081454"/>
      <w:bookmarkStart w:id="129" w:name="_Toc423090742"/>
      <w:r>
        <w:t>Subdivision 4 — Provisions applicable to parliamentary proceedings</w:t>
      </w:r>
      <w:bookmarkEnd w:id="127"/>
      <w:bookmarkEnd w:id="128"/>
      <w:bookmarkEnd w:id="129"/>
    </w:p>
    <w:p>
      <w:pPr>
        <w:pStyle w:val="Footnoteheading"/>
      </w:pPr>
      <w:r>
        <w:tab/>
        <w:t>[Heading inserted by No. 55 of 2012 s. 133.]</w:t>
      </w:r>
    </w:p>
    <w:p>
      <w:pPr>
        <w:pStyle w:val="Heading5"/>
      </w:pPr>
      <w:bookmarkStart w:id="130" w:name="_Toc406081455"/>
      <w:bookmarkStart w:id="131" w:name="_Toc423090743"/>
      <w:r>
        <w:t>34I.</w:t>
      </w:r>
      <w:r>
        <w:tab/>
        <w:t>Application of Subdivision</w:t>
      </w:r>
      <w:bookmarkEnd w:id="130"/>
      <w:bookmarkEnd w:id="131"/>
    </w:p>
    <w:p>
      <w:pPr>
        <w:pStyle w:val="Subsection"/>
      </w:pPr>
      <w:r>
        <w:tab/>
      </w:r>
      <w:r>
        <w:tab/>
        <w:t>This Subdivision applies in relation to parliamentary proceedings in which a protected person is, or may be, required to give evidence.</w:t>
      </w:r>
    </w:p>
    <w:p>
      <w:pPr>
        <w:pStyle w:val="Footnotesection"/>
      </w:pPr>
      <w:r>
        <w:tab/>
        <w:t>[Section 34I inserted by No. 55 of 2012 s. 133.]</w:t>
      </w:r>
    </w:p>
    <w:p>
      <w:pPr>
        <w:pStyle w:val="Heading5"/>
      </w:pPr>
      <w:bookmarkStart w:id="132" w:name="_Toc406081456"/>
      <w:bookmarkStart w:id="133" w:name="_Toc423090744"/>
      <w:r>
        <w:rPr>
          <w:rStyle w:val="CharSectno"/>
        </w:rPr>
        <w:t>34J</w:t>
      </w:r>
      <w:r>
        <w:t>.</w:t>
      </w:r>
      <w:r>
        <w:tab/>
        <w:t>Effect of non-disclosure certificate</w:t>
      </w:r>
      <w:bookmarkEnd w:id="132"/>
      <w:bookmarkEnd w:id="133"/>
    </w:p>
    <w:p>
      <w:pPr>
        <w:pStyle w:val="Subsection"/>
      </w:pPr>
      <w:r>
        <w:tab/>
        <w:t>(1)</w:t>
      </w:r>
      <w:r>
        <w:tab/>
        <w:t>In this section —</w:t>
      </w:r>
    </w:p>
    <w:p>
      <w:pPr>
        <w:pStyle w:val="Defstart"/>
      </w:pPr>
      <w:r>
        <w:tab/>
      </w:r>
      <w:r>
        <w:rPr>
          <w:rStyle w:val="CharDefText"/>
        </w:rPr>
        <w:t>person involved</w:t>
      </w:r>
      <w:r>
        <w:rPr>
          <w:rStyle w:val="CharDefText"/>
          <w:b w:val="0"/>
          <w:i w:val="0"/>
        </w:rPr>
        <w:t>,</w:t>
      </w:r>
      <w:r>
        <w:t xml:space="preserve"> in proceedings, includes —</w:t>
      </w:r>
    </w:p>
    <w:p>
      <w:pPr>
        <w:pStyle w:val="Defpara"/>
      </w:pPr>
      <w:r>
        <w:tab/>
        <w:t>(a)</w:t>
      </w:r>
      <w:r>
        <w:tab/>
        <w:t>a member of the parliamentary committee;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parliamentary committee in the proceedings; and</w:t>
      </w:r>
    </w:p>
    <w:p>
      <w:pPr>
        <w:pStyle w:val="Defpara"/>
      </w:pPr>
      <w:r>
        <w:tab/>
        <w:t>(e)</w:t>
      </w:r>
      <w:r>
        <w:tab/>
        <w:t>any other person assisting the parliamentary committee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parliamentary committee may disclose to each party to the proceedings —</w:t>
      </w:r>
    </w:p>
    <w:p>
      <w:pPr>
        <w:pStyle w:val="Indenta"/>
      </w:pPr>
      <w:r>
        <w:tab/>
        <w:t>(a)</w:t>
      </w:r>
      <w:r>
        <w:tab/>
        <w:t>that a non-disclosure certificate for a person who may be required to give evidence in the proceedings has been given; and</w:t>
      </w:r>
    </w:p>
    <w:p>
      <w:pPr>
        <w:pStyle w:val="Indenta"/>
      </w:pPr>
      <w:r>
        <w:tab/>
        <w:t>(b)</w:t>
      </w:r>
      <w:r>
        <w:tab/>
        <w:t>what the certificate states.</w:t>
      </w:r>
    </w:p>
    <w:p>
      <w:pPr>
        <w:pStyle w:val="Subsection"/>
      </w:pPr>
      <w:r>
        <w:tab/>
        <w:t>(5)</w:t>
      </w:r>
      <w:r>
        <w:tab/>
        <w:t>If the parliamentary committee makes a disclosure about the non-disclosure certificate under subsection (4), the committee must also inform the parties of the effect of the certificate.</w:t>
      </w:r>
    </w:p>
    <w:p>
      <w:pPr>
        <w:pStyle w:val="Subsection"/>
      </w:pPr>
      <w:r>
        <w:tab/>
        <w:t>(6)</w:t>
      </w:r>
      <w:r>
        <w:tab/>
        <w:t>This section applies despite any other Act, but subject to section 34K.</w:t>
      </w:r>
    </w:p>
    <w:p>
      <w:pPr>
        <w:pStyle w:val="Footnotesection"/>
      </w:pPr>
      <w:r>
        <w:tab/>
        <w:t>[Section 34J inserted by No. 55 of 2012 s. 133.]</w:t>
      </w:r>
    </w:p>
    <w:p>
      <w:pPr>
        <w:pStyle w:val="Heading5"/>
      </w:pPr>
      <w:bookmarkStart w:id="134" w:name="_Toc406081457"/>
      <w:bookmarkStart w:id="135" w:name="_Toc423090745"/>
      <w:r>
        <w:rPr>
          <w:rStyle w:val="CharSectno"/>
        </w:rPr>
        <w:t>34K</w:t>
      </w:r>
      <w:r>
        <w:t>.</w:t>
      </w:r>
      <w:r>
        <w:tab/>
        <w:t>Disclosure of protected person’s identity despite certificate</w:t>
      </w:r>
      <w:bookmarkEnd w:id="134"/>
      <w:bookmarkEnd w:id="135"/>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The parliamentary committee may seek the authorisation of the relevant House —</w:t>
      </w:r>
    </w:p>
    <w:p>
      <w:pPr>
        <w:pStyle w:val="Indenta"/>
      </w:pPr>
      <w:r>
        <w:tab/>
        <w:t>(a)</w:t>
      </w:r>
      <w:r>
        <w:tab/>
        <w:t>to ask a question of a witness, including the protected person, that may lead to the disclosure of the protected person’s protected identity or protected address or both; or</w:t>
      </w:r>
    </w:p>
    <w:p>
      <w:pPr>
        <w:pStyle w:val="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Indenta"/>
      </w:pPr>
      <w:r>
        <w:tab/>
        <w:t>(c)</w:t>
      </w:r>
      <w:r>
        <w:tab/>
        <w:t>for a person involved in the proceedings to make a statement that discloses, or may lead to the disclosure of, the protected person’s protected identity or protected address or both.</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Footnotesection"/>
      </w:pPr>
      <w:r>
        <w:tab/>
        <w:t>[Section 34K inserted by No. 55 of 2012 s. 133.]</w:t>
      </w:r>
    </w:p>
    <w:p>
      <w:pPr>
        <w:pStyle w:val="Heading5"/>
      </w:pPr>
      <w:bookmarkStart w:id="136" w:name="_Toc406081458"/>
      <w:bookmarkStart w:id="137" w:name="_Toc423090746"/>
      <w:r>
        <w:rPr>
          <w:rStyle w:val="CharSectno"/>
        </w:rPr>
        <w:t>34L</w:t>
      </w:r>
      <w:r>
        <w:t>.</w:t>
      </w:r>
      <w:r>
        <w:tab/>
        <w:t>Restrictions on content of reports to Parliament</w:t>
      </w:r>
      <w:bookmarkEnd w:id="136"/>
      <w:bookmarkEnd w:id="137"/>
    </w:p>
    <w:p>
      <w:pPr>
        <w:pStyle w:val="Subsection"/>
      </w:pPr>
      <w:r>
        <w:tab/>
      </w:r>
      <w:r>
        <w:tab/>
        <w:t>If a non-disclosure certificate for a protected person is given under section 34A(3)(b) in relation to parliamentary proceedings, the parliamentary committee must not disclose in a report to a House of Parliament —</w:t>
      </w:r>
    </w:p>
    <w:p>
      <w:pPr>
        <w:pStyle w:val="Indenta"/>
      </w:pPr>
      <w:r>
        <w:tab/>
        <w:t>(a)</w:t>
      </w:r>
      <w:r>
        <w:tab/>
        <w:t>the protected person’s protected identity or protected address; or</w:t>
      </w:r>
    </w:p>
    <w:p>
      <w:pPr>
        <w:pStyle w:val="Indenta"/>
      </w:pPr>
      <w:r>
        <w:tab/>
        <w:t>(b)</w:t>
      </w:r>
      <w:r>
        <w:tab/>
        <w:t>information that may lead to the disclosure of the protected person’s protected identity or protected address.</w:t>
      </w:r>
    </w:p>
    <w:p>
      <w:pPr>
        <w:pStyle w:val="Footnotesection"/>
      </w:pPr>
      <w:r>
        <w:tab/>
        <w:t>[Section 34L inserted by No. 55 of 2012 s. 133.]</w:t>
      </w:r>
    </w:p>
    <w:p>
      <w:pPr>
        <w:pStyle w:val="Heading3"/>
      </w:pPr>
      <w:bookmarkStart w:id="138" w:name="_Toc377039088"/>
      <w:bookmarkStart w:id="139" w:name="_Toc406081459"/>
      <w:bookmarkStart w:id="140" w:name="_Toc423090747"/>
      <w:r>
        <w:rPr>
          <w:rStyle w:val="CharDivNo"/>
        </w:rPr>
        <w:t>Division 3</w:t>
      </w:r>
      <w:r>
        <w:t> — </w:t>
      </w:r>
      <w:r>
        <w:rPr>
          <w:rStyle w:val="CharDivText"/>
        </w:rPr>
        <w:t>Miscellaneous</w:t>
      </w:r>
      <w:bookmarkEnd w:id="138"/>
      <w:bookmarkEnd w:id="139"/>
      <w:bookmarkEnd w:id="140"/>
    </w:p>
    <w:p>
      <w:pPr>
        <w:pStyle w:val="Footnoteheading"/>
      </w:pPr>
      <w:r>
        <w:tab/>
        <w:t>[Heading inserted by No. 55 of 2012 s. 134.]</w:t>
      </w:r>
    </w:p>
    <w:p>
      <w:pPr>
        <w:pStyle w:val="Heading5"/>
        <w:rPr>
          <w:snapToGrid w:val="0"/>
        </w:rPr>
      </w:pPr>
      <w:bookmarkStart w:id="141" w:name="_Toc406081460"/>
      <w:bookmarkStart w:id="142" w:name="_Toc423090748"/>
      <w:r>
        <w:rPr>
          <w:rStyle w:val="CharSectno"/>
        </w:rPr>
        <w:t>34</w:t>
      </w:r>
      <w:r>
        <w:rPr>
          <w:snapToGrid w:val="0"/>
        </w:rPr>
        <w:t>.</w:t>
      </w:r>
      <w:r>
        <w:rPr>
          <w:snapToGrid w:val="0"/>
        </w:rPr>
        <w:tab/>
        <w:t xml:space="preserve">Disclosure by Auditor General, Parliamentary Commissioner or </w:t>
      </w:r>
      <w:r>
        <w:t>Corruption and Crime Commission</w:t>
      </w:r>
      <w:bookmarkEnd w:id="141"/>
      <w:bookmarkEnd w:id="142"/>
    </w:p>
    <w:p>
      <w:pPr>
        <w:pStyle w:val="Subsection"/>
        <w:rPr>
          <w:snapToGrid w:val="0"/>
        </w:rPr>
      </w:pPr>
      <w:r>
        <w:rPr>
          <w:snapToGrid w:val="0"/>
        </w:rPr>
        <w:tab/>
        <w:t>(1)</w:t>
      </w:r>
      <w:r>
        <w:rPr>
          <w:snapToGrid w:val="0"/>
        </w:rPr>
        <w:tab/>
        <w:t>Subject to subsection (3), nothing in this Act prevents the Auditor General from disclosing information in accordance with the</w:t>
      </w:r>
      <w:r>
        <w:rPr>
          <w:i/>
        </w:rPr>
        <w:t xml:space="preserve"> Auditor General Act 2006</w:t>
      </w:r>
      <w:r>
        <w:t>.</w:t>
      </w:r>
    </w:p>
    <w:p>
      <w:pPr>
        <w:pStyle w:val="Subsection"/>
        <w:rPr>
          <w:snapToGrid w:val="0"/>
        </w:rPr>
      </w:pPr>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p>
    <w:p>
      <w:pPr>
        <w:pStyle w:val="Subsection"/>
      </w:pPr>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 and Crime Commission Act 2003</w:t>
      </w:r>
      <w:r>
        <w:t>.</w:t>
      </w:r>
    </w:p>
    <w:p>
      <w:pPr>
        <w:pStyle w:val="Subsection"/>
        <w:rPr>
          <w:snapToGrid w:val="0"/>
        </w:rPr>
      </w:pPr>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p>
    <w:p>
      <w:pPr>
        <w:pStyle w:val="Footnotesection"/>
      </w:pPr>
      <w:r>
        <w:tab/>
        <w:t>[Section 34 amended by No. 48 of 2003 s. 62 and Sch. 3</w:t>
      </w:r>
      <w:r>
        <w:rPr>
          <w:vertAlign w:val="superscript"/>
        </w:rPr>
        <w:t> 3</w:t>
      </w:r>
      <w:r>
        <w:t xml:space="preserve"> cl. 11; No. 77 of 2006 s. 17.]</w:t>
      </w:r>
    </w:p>
    <w:p>
      <w:pPr>
        <w:pStyle w:val="Heading2"/>
      </w:pPr>
      <w:bookmarkStart w:id="143" w:name="_Toc377039090"/>
      <w:bookmarkStart w:id="144" w:name="_Toc406081461"/>
      <w:bookmarkStart w:id="145" w:name="_Toc423090749"/>
      <w:r>
        <w:rPr>
          <w:rStyle w:val="CharPartNo"/>
        </w:rPr>
        <w:t>Part 4</w:t>
      </w:r>
      <w:r>
        <w:rPr>
          <w:rStyle w:val="CharDivNo"/>
        </w:rPr>
        <w:t> </w:t>
      </w:r>
      <w:r>
        <w:t>—</w:t>
      </w:r>
      <w:r>
        <w:rPr>
          <w:rStyle w:val="CharDivText"/>
        </w:rPr>
        <w:t> </w:t>
      </w:r>
      <w:r>
        <w:rPr>
          <w:rStyle w:val="CharPartText"/>
        </w:rPr>
        <w:t>Miscellaneous</w:t>
      </w:r>
      <w:bookmarkEnd w:id="143"/>
      <w:bookmarkEnd w:id="144"/>
      <w:bookmarkEnd w:id="145"/>
    </w:p>
    <w:p>
      <w:pPr>
        <w:pStyle w:val="Heading5"/>
        <w:spacing w:before="260"/>
        <w:rPr>
          <w:snapToGrid w:val="0"/>
        </w:rPr>
      </w:pPr>
      <w:bookmarkStart w:id="146" w:name="_Toc406081462"/>
      <w:bookmarkStart w:id="147" w:name="_Toc423090750"/>
      <w:r>
        <w:rPr>
          <w:rStyle w:val="CharSectno"/>
        </w:rPr>
        <w:t>35</w:t>
      </w:r>
      <w:r>
        <w:rPr>
          <w:snapToGrid w:val="0"/>
        </w:rPr>
        <w:t>.</w:t>
      </w:r>
      <w:r>
        <w:rPr>
          <w:snapToGrid w:val="0"/>
        </w:rPr>
        <w:tab/>
        <w:t>Offences</w:t>
      </w:r>
      <w:bookmarkEnd w:id="146"/>
      <w:bookmarkEnd w:id="147"/>
    </w:p>
    <w:p>
      <w:pPr>
        <w:pStyle w:val="Subsection"/>
        <w:spacing w:before="180"/>
        <w:rPr>
          <w:snapToGrid w:val="0"/>
        </w:rPr>
      </w:pPr>
      <w:r>
        <w:rPr>
          <w:snapToGrid w:val="0"/>
        </w:rPr>
        <w:tab/>
        <w:t>(1)</w:t>
      </w:r>
      <w:r>
        <w:rPr>
          <w:snapToGrid w:val="0"/>
        </w:rPr>
        <w:tab/>
        <w:t>A person who, without lawful authority, discloses —</w:t>
      </w:r>
    </w:p>
    <w:p>
      <w:pPr>
        <w:pStyle w:val="Indenta"/>
        <w:spacing w:before="100"/>
        <w:rPr>
          <w:snapToGrid w:val="0"/>
        </w:rPr>
      </w:pPr>
      <w:r>
        <w:rPr>
          <w:snapToGrid w:val="0"/>
        </w:rPr>
        <w:tab/>
        <w:t>(a)</w:t>
      </w:r>
      <w:r>
        <w:rPr>
          <w:snapToGrid w:val="0"/>
        </w:rPr>
        <w:tab/>
        <w:t>information that identifies a person as a person who is or was included in a witness protection program or the location or circumstances of such a person; or</w:t>
      </w:r>
    </w:p>
    <w:p>
      <w:pPr>
        <w:pStyle w:val="Indenta"/>
        <w:spacing w:before="100"/>
        <w:rPr>
          <w:snapToGrid w:val="0"/>
        </w:rPr>
      </w:pPr>
      <w:r>
        <w:rPr>
          <w:snapToGrid w:val="0"/>
        </w:rPr>
        <w:tab/>
        <w:t>(b)</w:t>
      </w:r>
      <w:r>
        <w:rPr>
          <w:snapToGrid w:val="0"/>
        </w:rPr>
        <w:tab/>
        <w:t>information that compromises the security of such a person,</w:t>
      </w:r>
    </w:p>
    <w:p>
      <w:pPr>
        <w:pStyle w:val="Subsection"/>
        <w:spacing w:before="180"/>
        <w:rPr>
          <w:snapToGrid w:val="0"/>
        </w:rPr>
      </w:pPr>
      <w:r>
        <w:rPr>
          <w:snapToGrid w:val="0"/>
        </w:rPr>
        <w:tab/>
      </w:r>
      <w:r>
        <w:rPr>
          <w:snapToGrid w:val="0"/>
        </w:rPr>
        <w:tab/>
        <w:t>is guilty of a crime and is liable to imprisonment for 10 years.</w:t>
      </w:r>
    </w:p>
    <w:p>
      <w:pPr>
        <w:pStyle w:val="Penstart"/>
        <w:spacing w:before="100"/>
        <w:rPr>
          <w:snapToGrid w:val="0"/>
        </w:rPr>
      </w:pPr>
      <w:r>
        <w:rPr>
          <w:snapToGrid w:val="0"/>
        </w:rPr>
        <w:tab/>
        <w:t>Summary Conviction Penalty: Imprisonment for 3 years or a fine of $12 000.</w:t>
      </w:r>
    </w:p>
    <w:p>
      <w:pPr>
        <w:pStyle w:val="Subsection"/>
        <w:spacing w:before="180"/>
        <w:rPr>
          <w:snapToGrid w:val="0"/>
        </w:rPr>
      </w:pPr>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p>
    <w:p>
      <w:pPr>
        <w:pStyle w:val="Indenta"/>
        <w:spacing w:before="100"/>
        <w:rPr>
          <w:snapToGrid w:val="0"/>
        </w:rPr>
      </w:pPr>
      <w:r>
        <w:rPr>
          <w:snapToGrid w:val="0"/>
        </w:rPr>
        <w:tab/>
        <w:t>(a)</w:t>
      </w:r>
      <w:r>
        <w:rPr>
          <w:snapToGrid w:val="0"/>
        </w:rPr>
        <w:tab/>
        <w:t>when required by a court to do so;</w:t>
      </w:r>
    </w:p>
    <w:p>
      <w:pPr>
        <w:pStyle w:val="Indenta"/>
        <w:spacing w:before="100"/>
        <w:rPr>
          <w:snapToGrid w:val="0"/>
        </w:rPr>
      </w:pPr>
      <w:r>
        <w:rPr>
          <w:snapToGrid w:val="0"/>
        </w:rPr>
        <w:tab/>
        <w:t>(b)</w:t>
      </w:r>
      <w:r>
        <w:rPr>
          <w:snapToGrid w:val="0"/>
        </w:rPr>
        <w:tab/>
        <w:t>when authorised by the Commissioner to do so; or</w:t>
      </w:r>
    </w:p>
    <w:p>
      <w:pPr>
        <w:pStyle w:val="Indenta"/>
        <w:spacing w:before="100"/>
        <w:rPr>
          <w:snapToGrid w:val="0"/>
        </w:rPr>
      </w:pPr>
      <w:r>
        <w:rPr>
          <w:snapToGrid w:val="0"/>
        </w:rPr>
        <w:tab/>
        <w:t>(c)</w:t>
      </w:r>
      <w:r>
        <w:rPr>
          <w:snapToGrid w:val="0"/>
        </w:rPr>
        <w:tab/>
        <w:t>for the purposes of making a complaint to the Parliamentary Commissioner,</w:t>
      </w:r>
    </w:p>
    <w:p>
      <w:pPr>
        <w:pStyle w:val="Subsection"/>
        <w:spacing w:before="180"/>
        <w:rPr>
          <w:snapToGrid w:val="0"/>
        </w:rPr>
      </w:pPr>
      <w:r>
        <w:rPr>
          <w:snapToGrid w:val="0"/>
        </w:rPr>
        <w:tab/>
      </w:r>
      <w:r>
        <w:rPr>
          <w:snapToGrid w:val="0"/>
        </w:rPr>
        <w:tab/>
        <w:t>is guilty of a crime and is liable to imprisonment for 5 years.</w:t>
      </w:r>
    </w:p>
    <w:p>
      <w:pPr>
        <w:pStyle w:val="Penstart"/>
        <w:spacing w:before="100"/>
        <w:rPr>
          <w:snapToGrid w:val="0"/>
        </w:rPr>
      </w:pPr>
      <w:r>
        <w:rPr>
          <w:snapToGrid w:val="0"/>
        </w:rPr>
        <w:tab/>
        <w:t>Summary Conviction Penalty: Imprisonment for 2 years or a fine of $8 000.</w:t>
      </w:r>
    </w:p>
    <w:p>
      <w:pPr>
        <w:pStyle w:val="Subsection"/>
        <w:spacing w:before="180"/>
        <w:rPr>
          <w:snapToGrid w:val="0"/>
        </w:rPr>
      </w:pPr>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w:t>
      </w:r>
    </w:p>
    <w:p>
      <w:pPr>
        <w:pStyle w:val="Indenta"/>
        <w:spacing w:before="100"/>
        <w:rPr>
          <w:snapToGrid w:val="0"/>
        </w:rPr>
      </w:pPr>
      <w:r>
        <w:rPr>
          <w:snapToGrid w:val="0"/>
        </w:rPr>
        <w:tab/>
        <w:t>(a)</w:t>
      </w:r>
      <w:r>
        <w:rPr>
          <w:snapToGrid w:val="0"/>
        </w:rPr>
        <w:tab/>
        <w:t>for the purposes of or under this Act; or</w:t>
      </w:r>
    </w:p>
    <w:p>
      <w:pPr>
        <w:pStyle w:val="Indenta"/>
        <w:spacing w:before="100"/>
        <w:rPr>
          <w:snapToGrid w:val="0"/>
        </w:rPr>
      </w:pPr>
      <w:r>
        <w:rPr>
          <w:snapToGrid w:val="0"/>
        </w:rPr>
        <w:tab/>
        <w:t>(b)</w:t>
      </w:r>
      <w:r>
        <w:rPr>
          <w:snapToGrid w:val="0"/>
        </w:rPr>
        <w:tab/>
        <w:t>for the purposes of an investigation by the Parliamentary Commissioner,</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Heading5"/>
        <w:rPr>
          <w:snapToGrid w:val="0"/>
        </w:rPr>
      </w:pPr>
      <w:bookmarkStart w:id="148" w:name="_Toc406081463"/>
      <w:bookmarkStart w:id="149" w:name="_Toc423090751"/>
      <w:r>
        <w:rPr>
          <w:rStyle w:val="CharSectno"/>
        </w:rPr>
        <w:t>36</w:t>
      </w:r>
      <w:r>
        <w:rPr>
          <w:snapToGrid w:val="0"/>
        </w:rPr>
        <w:t>.</w:t>
      </w:r>
      <w:r>
        <w:rPr>
          <w:snapToGrid w:val="0"/>
        </w:rPr>
        <w:tab/>
        <w:t>Delegation</w:t>
      </w:r>
      <w:bookmarkEnd w:id="148"/>
      <w:bookmarkEnd w:id="149"/>
    </w:p>
    <w:p>
      <w:pPr>
        <w:pStyle w:val="Subsection"/>
        <w:keepNext/>
        <w:rPr>
          <w:snapToGrid w:val="0"/>
        </w:rPr>
      </w:pPr>
      <w:r>
        <w:rPr>
          <w:snapToGrid w:val="0"/>
        </w:rPr>
        <w:tab/>
        <w:t>(1)</w:t>
      </w:r>
      <w:r>
        <w:rPr>
          <w:snapToGrid w:val="0"/>
        </w:rPr>
        <w:tab/>
        <w:t>The Commissioner, in writing, may delegate to any police officer holding a designated position, any of the Commissioner’s functions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declare an office in the Police Force to be a designated position;</w:t>
      </w:r>
    </w:p>
    <w:p>
      <w:pPr>
        <w:pStyle w:val="Indenta"/>
        <w:rPr>
          <w:snapToGrid w:val="0"/>
        </w:rPr>
      </w:pPr>
      <w:r>
        <w:rPr>
          <w:snapToGrid w:val="0"/>
        </w:rPr>
        <w:tab/>
        <w:t>(c)</w:t>
      </w:r>
      <w:r>
        <w:rPr>
          <w:snapToGrid w:val="0"/>
        </w:rPr>
        <w:tab/>
        <w:t>the powers under section 14 to authorise or permit people to have access to the register or documents kept in conjunction with it; and</w:t>
      </w:r>
    </w:p>
    <w:p>
      <w:pPr>
        <w:pStyle w:val="Indenta"/>
        <w:rPr>
          <w:snapToGrid w:val="0"/>
        </w:rPr>
      </w:pPr>
      <w:r>
        <w:rPr>
          <w:snapToGrid w:val="0"/>
        </w:rPr>
        <w:tab/>
        <w:t>(d)</w:t>
      </w:r>
      <w:r>
        <w:rPr>
          <w:snapToGrid w:val="0"/>
        </w:rPr>
        <w:tab/>
        <w:t>the power to authorise disclosure under section 27.</w:t>
      </w:r>
    </w:p>
    <w:p>
      <w:pPr>
        <w:pStyle w:val="Subsection"/>
        <w:rPr>
          <w:snapToGrid w:val="0"/>
        </w:rPr>
      </w:pPr>
      <w:r>
        <w:rPr>
          <w:snapToGrid w:val="0"/>
        </w:rPr>
        <w:tab/>
        <w:t>(2)</w:t>
      </w:r>
      <w:r>
        <w:rPr>
          <w:snapToGrid w:val="0"/>
        </w:rPr>
        <w:tab/>
        <w:t>A police officer holding a designated position may perform any function delegated to him or her by the Commissioner under a complementary witness protection law.</w:t>
      </w:r>
    </w:p>
    <w:p>
      <w:pPr>
        <w:pStyle w:val="Heading5"/>
        <w:rPr>
          <w:snapToGrid w:val="0"/>
        </w:rPr>
      </w:pPr>
      <w:bookmarkStart w:id="150" w:name="_Toc406081464"/>
      <w:bookmarkStart w:id="151" w:name="_Toc423090752"/>
      <w:r>
        <w:rPr>
          <w:rStyle w:val="CharSectno"/>
        </w:rPr>
        <w:t>37</w:t>
      </w:r>
      <w:r>
        <w:rPr>
          <w:snapToGrid w:val="0"/>
        </w:rPr>
        <w:t>.</w:t>
      </w:r>
      <w:r>
        <w:rPr>
          <w:snapToGrid w:val="0"/>
        </w:rPr>
        <w:tab/>
        <w:t>Reporting on the SWPP</w:t>
      </w:r>
      <w:bookmarkEnd w:id="150"/>
      <w:bookmarkEnd w:id="151"/>
    </w:p>
    <w:p>
      <w:pPr>
        <w:pStyle w:val="Subsection"/>
        <w:rPr>
          <w:snapToGrid w:val="0"/>
        </w:rPr>
      </w:pPr>
      <w:r>
        <w:rPr>
          <w:snapToGrid w:val="0"/>
        </w:rPr>
        <w:tab/>
        <w:t>(1)</w:t>
      </w:r>
      <w:r>
        <w:rPr>
          <w:snapToGrid w:val="0"/>
        </w:rPr>
        <w:tab/>
        <w:t>The Commissioner must keep the Minister informed of the general operations and performance of the SWPP.</w:t>
      </w:r>
    </w:p>
    <w:p>
      <w:pPr>
        <w:pStyle w:val="Subsection"/>
        <w:rPr>
          <w:snapToGrid w:val="0"/>
        </w:rPr>
      </w:pPr>
      <w:r>
        <w:rPr>
          <w:snapToGrid w:val="0"/>
        </w:rPr>
        <w:tab/>
        <w:t>(2)</w:t>
      </w:r>
      <w:r>
        <w:rPr>
          <w:snapToGrid w:val="0"/>
        </w:rPr>
        <w:tab/>
        <w:t xml:space="preserve">On or before 1 September in each year, the Minister, in consultation with the Commissioner, must prepare a report (the </w:t>
      </w:r>
      <w:r>
        <w:rPr>
          <w:rStyle w:val="CharDefText"/>
        </w:rPr>
        <w:t>annual report</w:t>
      </w:r>
      <w:r>
        <w:rPr>
          <w:snapToGrid w:val="0"/>
        </w:rPr>
        <w:t>) on the general operations and performance of the SWPP with respect to the previous financial year.</w:t>
      </w:r>
    </w:p>
    <w:p>
      <w:pPr>
        <w:pStyle w:val="Subsection"/>
        <w:rPr>
          <w:snapToGrid w:val="0"/>
        </w:rPr>
      </w:pPr>
      <w:r>
        <w:rPr>
          <w:snapToGrid w:val="0"/>
        </w:rPr>
        <w:tab/>
        <w:t>(3)</w:t>
      </w:r>
      <w:r>
        <w:rPr>
          <w:snapToGrid w:val="0"/>
        </w:rPr>
        <w:tab/>
        <w:t>The annual report must be prepared in a manner that does not prejudice the effectiveness or security of a witness protection program, despite</w:t>
      </w:r>
      <w:r>
        <w:t xml:space="preserve"> sections 81 and 82 of the </w:t>
      </w:r>
      <w:r>
        <w:rPr>
          <w:i/>
        </w:rPr>
        <w:t>Financial Management Act 2006</w:t>
      </w:r>
      <w:r>
        <w:t>.</w:t>
      </w:r>
    </w:p>
    <w:p>
      <w:pPr>
        <w:pStyle w:val="Subsection"/>
        <w:rPr>
          <w:snapToGrid w:val="0"/>
        </w:rPr>
      </w:pPr>
      <w:r>
        <w:rPr>
          <w:snapToGrid w:val="0"/>
        </w:rPr>
        <w:tab/>
        <w:t>(4)</w:t>
      </w:r>
      <w:r>
        <w:rPr>
          <w:snapToGrid w:val="0"/>
        </w:rPr>
        <w:tab/>
        <w:t>The Minister must cause the annual report to be laid before both Houses of Parliament within 14 sitting days after it is prepared.</w:t>
      </w:r>
    </w:p>
    <w:p>
      <w:pPr>
        <w:pStyle w:val="Subsection"/>
        <w:rPr>
          <w:snapToGrid w:val="0"/>
        </w:rPr>
      </w:pPr>
      <w:r>
        <w:rPr>
          <w:snapToGrid w:val="0"/>
        </w:rPr>
        <w:tab/>
        <w:t>(5)</w:t>
      </w:r>
      <w:r>
        <w:rPr>
          <w:snapToGrid w:val="0"/>
        </w:rPr>
        <w:tab/>
        <w:t xml:space="preserve">Despite </w:t>
      </w:r>
      <w:r>
        <w:t xml:space="preserve">Part 5 of the </w:t>
      </w:r>
      <w:r>
        <w:rPr>
          <w:i/>
        </w:rPr>
        <w:t>Financial Management Act 2006</w:t>
      </w:r>
      <w:r>
        <w:t>, the annual report required under that Part</w:t>
      </w:r>
      <w:r>
        <w:rPr>
          <w:snapToGrid w:val="0"/>
        </w:rPr>
        <w:t xml:space="preserve"> must be prepared in a manner that does not prejudice the effectiveness or security of a witness protection program.</w:t>
      </w:r>
    </w:p>
    <w:p>
      <w:pPr>
        <w:pStyle w:val="Footnotesection"/>
      </w:pPr>
      <w:r>
        <w:tab/>
        <w:t>[Section 37 amended by No. 77 of 2006 s. 17.]</w:t>
      </w:r>
    </w:p>
    <w:p>
      <w:pPr>
        <w:pStyle w:val="Heading5"/>
        <w:rPr>
          <w:snapToGrid w:val="0"/>
        </w:rPr>
      </w:pPr>
      <w:bookmarkStart w:id="152" w:name="_Toc406081465"/>
      <w:bookmarkStart w:id="153" w:name="_Toc423090753"/>
      <w:r>
        <w:rPr>
          <w:rStyle w:val="CharSectno"/>
        </w:rPr>
        <w:t>38</w:t>
      </w:r>
      <w:r>
        <w:rPr>
          <w:snapToGrid w:val="0"/>
        </w:rPr>
        <w:t>.</w:t>
      </w:r>
      <w:r>
        <w:rPr>
          <w:snapToGrid w:val="0"/>
        </w:rPr>
        <w:tab/>
        <w:t>Protection from liability for wrongdoing</w:t>
      </w:r>
      <w:bookmarkEnd w:id="152"/>
      <w:bookmarkEnd w:id="153"/>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rPr>
          <w:snapToGrid w:val="0"/>
        </w:rPr>
      </w:pPr>
      <w:bookmarkStart w:id="154" w:name="_Toc406081466"/>
      <w:bookmarkStart w:id="155" w:name="_Toc423090754"/>
      <w:r>
        <w:rPr>
          <w:rStyle w:val="CharSectno"/>
        </w:rPr>
        <w:t>39</w:t>
      </w:r>
      <w:r>
        <w:rPr>
          <w:snapToGrid w:val="0"/>
        </w:rPr>
        <w:t>.</w:t>
      </w:r>
      <w:r>
        <w:rPr>
          <w:snapToGrid w:val="0"/>
        </w:rPr>
        <w:tab/>
        <w:t>Regulations</w:t>
      </w:r>
      <w:bookmarkEnd w:id="154"/>
      <w:bookmarkEnd w:id="15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56" w:name="_Toc377039096"/>
      <w:bookmarkStart w:id="157" w:name="_Toc406081467"/>
      <w:bookmarkStart w:id="158" w:name="_Toc423090755"/>
      <w:r>
        <w:rPr>
          <w:rStyle w:val="CharPartNo"/>
        </w:rPr>
        <w:t>Part 5</w:t>
      </w:r>
      <w:r>
        <w:rPr>
          <w:rStyle w:val="CharDivNo"/>
        </w:rPr>
        <w:t> </w:t>
      </w:r>
      <w:r>
        <w:t>—</w:t>
      </w:r>
      <w:r>
        <w:rPr>
          <w:rStyle w:val="CharDivText"/>
        </w:rPr>
        <w:t> </w:t>
      </w:r>
      <w:r>
        <w:rPr>
          <w:rStyle w:val="CharPartText"/>
        </w:rPr>
        <w:t>Transitional and savings provisions</w:t>
      </w:r>
      <w:bookmarkEnd w:id="156"/>
      <w:bookmarkEnd w:id="157"/>
      <w:bookmarkEnd w:id="158"/>
    </w:p>
    <w:p>
      <w:pPr>
        <w:pStyle w:val="Footnoteheading"/>
      </w:pPr>
      <w:r>
        <w:tab/>
        <w:t>[Heading inserted by No. 55 of 2012 s. 135.]</w:t>
      </w:r>
    </w:p>
    <w:p>
      <w:pPr>
        <w:pStyle w:val="Heading5"/>
        <w:spacing w:before="180"/>
        <w:rPr>
          <w:snapToGrid w:val="0"/>
        </w:rPr>
      </w:pPr>
      <w:bookmarkStart w:id="159" w:name="_Toc406081468"/>
      <w:bookmarkStart w:id="160" w:name="_Toc423090756"/>
      <w:r>
        <w:rPr>
          <w:rStyle w:val="CharSectno"/>
        </w:rPr>
        <w:t>40</w:t>
      </w:r>
      <w:r>
        <w:rPr>
          <w:snapToGrid w:val="0"/>
        </w:rPr>
        <w:t>.</w:t>
      </w:r>
      <w:r>
        <w:rPr>
          <w:snapToGrid w:val="0"/>
        </w:rPr>
        <w:tab/>
        <w:t>Transitional</w:t>
      </w:r>
      <w:bookmarkEnd w:id="159"/>
      <w:bookmarkEnd w:id="160"/>
    </w:p>
    <w:p>
      <w:pPr>
        <w:pStyle w:val="Subsection"/>
        <w:spacing w:before="120"/>
        <w:rPr>
          <w:snapToGrid w:val="0"/>
        </w:rPr>
      </w:pPr>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p>
    <w:p>
      <w:pPr>
        <w:pStyle w:val="Heading5"/>
      </w:pPr>
      <w:bookmarkStart w:id="161" w:name="_Toc406081469"/>
      <w:bookmarkStart w:id="162" w:name="_Toc423090757"/>
      <w:r>
        <w:rPr>
          <w:rStyle w:val="CharSectno"/>
        </w:rPr>
        <w:t>41</w:t>
      </w:r>
      <w:r>
        <w:t>.</w:t>
      </w:r>
      <w:r>
        <w:tab/>
        <w:t xml:space="preserve">Savings provision relating to </w:t>
      </w:r>
      <w:r>
        <w:rPr>
          <w:i/>
        </w:rPr>
        <w:t>Criminal Investigation (Covert Powers) Act 2012</w:t>
      </w:r>
      <w:bookmarkEnd w:id="161"/>
      <w:bookmarkEnd w:id="16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Defstart"/>
      </w:pPr>
      <w:r>
        <w:tab/>
      </w:r>
      <w:r>
        <w:rPr>
          <w:rStyle w:val="CharDefText"/>
        </w:rPr>
        <w:t>permission</w:t>
      </w:r>
      <w:r>
        <w:t xml:space="preserve"> means a permission under section 33(1)(b) as in force immediately before the commencement day.</w:t>
      </w:r>
    </w:p>
    <w:p>
      <w:pPr>
        <w:pStyle w:val="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Indenta"/>
      </w:pPr>
      <w:r>
        <w:tab/>
        <w:t>(a)</w:t>
      </w:r>
      <w:r>
        <w:tab/>
        <w:t>for the person; and</w:t>
      </w:r>
    </w:p>
    <w:p>
      <w:pPr>
        <w:pStyle w:val="Indenta"/>
      </w:pPr>
      <w:r>
        <w:tab/>
        <w:t>(b)</w:t>
      </w:r>
      <w:r>
        <w:tab/>
        <w:t>in relation to the proceedings,</w:t>
      </w:r>
    </w:p>
    <w:p>
      <w:pPr>
        <w:pStyle w:val="Subsection"/>
      </w:pPr>
      <w:r>
        <w:tab/>
      </w:r>
      <w:r>
        <w:tab/>
        <w:t>and Part 3 Division 3 applies, with any necessary modifications, to that certificate.</w:t>
      </w:r>
    </w:p>
    <w:p>
      <w:pPr>
        <w:pStyle w:val="Footnotesection"/>
      </w:pPr>
      <w:r>
        <w:tab/>
        <w:t>[Section 41 inserted by No. 55 of 2012 s. 136.]</w:t>
      </w:r>
    </w:p>
    <w:p>
      <w:pPr>
        <w:pStyle w:val="Ednotesection"/>
        <w:spacing w:before="400"/>
        <w:ind w:left="890" w:hanging="890"/>
      </w:pPr>
      <w:r>
        <w:t>[Schedule 1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63" w:name="_Toc377039099"/>
      <w:bookmarkStart w:id="164" w:name="_Toc406081470"/>
      <w:bookmarkStart w:id="165" w:name="_Toc423090758"/>
      <w:r>
        <w:t>Notes</w:t>
      </w:r>
      <w:bookmarkEnd w:id="163"/>
      <w:bookmarkEnd w:id="164"/>
      <w:bookmarkEnd w:id="165"/>
    </w:p>
    <w:p>
      <w:pPr>
        <w:pStyle w:val="nSubsection"/>
        <w:rPr>
          <w:snapToGrid w:val="0"/>
        </w:rPr>
      </w:pPr>
      <w:r>
        <w:rPr>
          <w:snapToGrid w:val="0"/>
          <w:vertAlign w:val="superscript"/>
        </w:rPr>
        <w:t>1</w:t>
      </w:r>
      <w:r>
        <w:rPr>
          <w:snapToGrid w:val="0"/>
        </w:rPr>
        <w:tab/>
        <w:t xml:space="preserve">This is a compilation of the </w:t>
      </w:r>
      <w:r>
        <w:rPr>
          <w:i/>
          <w:noProof/>
          <w:snapToGrid w:val="0"/>
        </w:rPr>
        <w:t>Witness Protection (</w:t>
      </w:r>
      <w:smartTag w:uri="urn:schemas-microsoft-com:office:smarttags" w:element="State">
        <w:smartTag w:uri="urn:schemas-microsoft-com:office:smarttags" w:element="place">
          <w:r>
            <w:rPr>
              <w:i/>
              <w:noProof/>
              <w:snapToGrid w:val="0"/>
            </w:rPr>
            <w:t>Western Australia</w:t>
          </w:r>
        </w:smartTag>
      </w:smartTag>
      <w:r>
        <w:rPr>
          <w:i/>
          <w:noProof/>
          <w:snapToGrid w:val="0"/>
        </w:rPr>
        <w:t>)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66" w:name="_Toc406081471"/>
      <w:bookmarkStart w:id="167" w:name="_Toc423090759"/>
      <w:r>
        <w:t>Compilation table</w:t>
      </w:r>
      <w:bookmarkEnd w:id="166"/>
      <w:bookmarkEnd w:id="167"/>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5"/>
        <w:gridCol w:w="1135"/>
        <w:gridCol w:w="2552"/>
      </w:tblGrid>
      <w:tr>
        <w:trPr>
          <w:tblHeader/>
        </w:trPr>
        <w:tc>
          <w:tcPr>
            <w:tcW w:w="2270"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70" w:type="dxa"/>
            <w:tcBorders>
              <w:top w:val="nil"/>
              <w:bottom w:val="nil"/>
            </w:tcBorders>
          </w:tcPr>
          <w:p>
            <w:pPr>
              <w:pStyle w:val="nTable"/>
              <w:spacing w:after="40"/>
            </w:pPr>
            <w:r>
              <w:rPr>
                <w:i/>
              </w:rPr>
              <w:t>Witness Protection (</w:t>
            </w:r>
            <w:smartTag w:uri="urn:schemas-microsoft-com:office:smarttags" w:element="State">
              <w:smartTag w:uri="urn:schemas-microsoft-com:office:smarttags" w:element="place">
                <w:r>
                  <w:rPr>
                    <w:i/>
                  </w:rPr>
                  <w:t>Western Australia</w:t>
                </w:r>
              </w:smartTag>
            </w:smartTag>
            <w:r>
              <w:rPr>
                <w:i/>
              </w:rPr>
              <w:t>) Act 1996</w:t>
            </w:r>
          </w:p>
        </w:tc>
        <w:tc>
          <w:tcPr>
            <w:tcW w:w="1135" w:type="dxa"/>
            <w:tcBorders>
              <w:top w:val="nil"/>
              <w:bottom w:val="nil"/>
            </w:tcBorders>
          </w:tcPr>
          <w:p>
            <w:pPr>
              <w:pStyle w:val="nTable"/>
              <w:spacing w:after="40"/>
            </w:pPr>
            <w:r>
              <w:t>11 of 1996</w:t>
            </w:r>
          </w:p>
        </w:tc>
        <w:tc>
          <w:tcPr>
            <w:tcW w:w="1135" w:type="dxa"/>
            <w:tcBorders>
              <w:top w:val="nil"/>
              <w:bottom w:val="nil"/>
            </w:tcBorders>
          </w:tcPr>
          <w:p>
            <w:pPr>
              <w:pStyle w:val="nTable"/>
              <w:spacing w:after="40"/>
            </w:pPr>
            <w:r>
              <w:t>28 Jun 1996</w:t>
            </w:r>
          </w:p>
        </w:tc>
        <w:tc>
          <w:tcPr>
            <w:tcW w:w="2552" w:type="dxa"/>
            <w:tcBorders>
              <w:top w:val="nil"/>
              <w:bottom w:val="nil"/>
            </w:tcBorders>
          </w:tcPr>
          <w:p>
            <w:pPr>
              <w:pStyle w:val="nTable"/>
              <w:spacing w:after="40"/>
            </w:pPr>
            <w:r>
              <w:t>s. 1 and 2: 28 Jun 1996;</w:t>
            </w:r>
            <w:r>
              <w:br/>
              <w:t xml:space="preserve">Act other than s. 1 and 2: 7 Dec 1996 (see s. 2 and </w:t>
            </w:r>
            <w:r>
              <w:rPr>
                <w:i/>
              </w:rPr>
              <w:t>Gazette</w:t>
            </w:r>
            <w:r>
              <w:t xml:space="preserve"> 6 Dec 1996 p. 6699)</w:t>
            </w:r>
          </w:p>
        </w:tc>
      </w:tr>
      <w:tr>
        <w:tc>
          <w:tcPr>
            <w:tcW w:w="2270" w:type="dxa"/>
            <w:tcBorders>
              <w:top w:val="nil"/>
              <w:bottom w:val="nil"/>
            </w:tcBorders>
          </w:tcPr>
          <w:p>
            <w:pPr>
              <w:pStyle w:val="nTable"/>
              <w:spacing w:after="40"/>
            </w:pPr>
            <w:r>
              <w:rPr>
                <w:i/>
              </w:rPr>
              <w:t>Statutes (Repeals and Minor Amendments) Act 1997</w:t>
            </w:r>
            <w:r>
              <w:t xml:space="preserve"> s. 133</w:t>
            </w:r>
          </w:p>
        </w:tc>
        <w:tc>
          <w:tcPr>
            <w:tcW w:w="1135" w:type="dxa"/>
            <w:tcBorders>
              <w:top w:val="nil"/>
              <w:bottom w:val="nil"/>
            </w:tcBorders>
          </w:tcPr>
          <w:p>
            <w:pPr>
              <w:pStyle w:val="nTable"/>
              <w:spacing w:after="40"/>
            </w:pPr>
            <w:r>
              <w:t>57 of 1997</w:t>
            </w:r>
          </w:p>
        </w:tc>
        <w:tc>
          <w:tcPr>
            <w:tcW w:w="1135" w:type="dxa"/>
            <w:tcBorders>
              <w:top w:val="nil"/>
              <w:bottom w:val="nil"/>
            </w:tcBorders>
          </w:tcPr>
          <w:p>
            <w:pPr>
              <w:pStyle w:val="nTable"/>
              <w:spacing w:after="40"/>
            </w:pPr>
            <w:r>
              <w:t>15 Dec 1997</w:t>
            </w:r>
          </w:p>
        </w:tc>
        <w:tc>
          <w:tcPr>
            <w:tcW w:w="2552" w:type="dxa"/>
            <w:tcBorders>
              <w:top w:val="nil"/>
              <w:bottom w:val="nil"/>
            </w:tcBorders>
          </w:tcPr>
          <w:p>
            <w:pPr>
              <w:pStyle w:val="nTable"/>
              <w:spacing w:after="40"/>
            </w:pPr>
            <w:r>
              <w:t>28 Jun 1996 (see s. 2(2))</w:t>
            </w:r>
          </w:p>
        </w:tc>
      </w:tr>
      <w:tr>
        <w:tc>
          <w:tcPr>
            <w:tcW w:w="2270" w:type="dxa"/>
            <w:tcBorders>
              <w:top w:val="nil"/>
              <w:bottom w:val="nil"/>
            </w:tcBorders>
          </w:tcPr>
          <w:p>
            <w:pPr>
              <w:pStyle w:val="nTable"/>
              <w:spacing w:after="40"/>
            </w:pPr>
            <w:r>
              <w:rPr>
                <w:i/>
              </w:rPr>
              <w:t xml:space="preserve">Acts Repeal and Amendment (Births, Deaths and Marriages Registration) Act 1998 </w:t>
            </w:r>
            <w:r>
              <w:t>s. 18</w:t>
            </w:r>
          </w:p>
        </w:tc>
        <w:tc>
          <w:tcPr>
            <w:tcW w:w="1135" w:type="dxa"/>
            <w:tcBorders>
              <w:top w:val="nil"/>
              <w:bottom w:val="nil"/>
            </w:tcBorders>
          </w:tcPr>
          <w:p>
            <w:pPr>
              <w:pStyle w:val="nTable"/>
              <w:spacing w:after="40"/>
            </w:pPr>
            <w:r>
              <w:t>40 of 1998</w:t>
            </w:r>
          </w:p>
        </w:tc>
        <w:tc>
          <w:tcPr>
            <w:tcW w:w="1135" w:type="dxa"/>
            <w:tcBorders>
              <w:top w:val="nil"/>
              <w:bottom w:val="nil"/>
            </w:tcBorders>
          </w:tcPr>
          <w:p>
            <w:pPr>
              <w:pStyle w:val="nTable"/>
              <w:spacing w:after="40"/>
            </w:pPr>
            <w:r>
              <w:t>30 Oct 1998</w:t>
            </w:r>
          </w:p>
        </w:tc>
        <w:tc>
          <w:tcPr>
            <w:tcW w:w="2552" w:type="dxa"/>
            <w:tcBorders>
              <w:top w:val="nil"/>
              <w:bottom w:val="nil"/>
            </w:tcBorders>
          </w:tcPr>
          <w:p>
            <w:pPr>
              <w:pStyle w:val="nTable"/>
              <w:spacing w:after="40"/>
            </w:pPr>
            <w:r>
              <w:t xml:space="preserve">14 Apr 1999 (see s. 2 and </w:t>
            </w:r>
            <w:r>
              <w:rPr>
                <w:i/>
              </w:rPr>
              <w:t>Gazette</w:t>
            </w:r>
            <w:r>
              <w:t xml:space="preserve"> 9 Apr 1999 p. 1433)</w:t>
            </w:r>
          </w:p>
        </w:tc>
      </w:tr>
      <w:tr>
        <w:tc>
          <w:tcPr>
            <w:tcW w:w="2270" w:type="dxa"/>
            <w:tcBorders>
              <w:top w:val="nil"/>
              <w:bottom w:val="nil"/>
            </w:tcBorders>
          </w:tcPr>
          <w:p>
            <w:pPr>
              <w:pStyle w:val="nTable"/>
              <w:spacing w:after="40"/>
            </w:pPr>
            <w:r>
              <w:rPr>
                <w:i/>
              </w:rPr>
              <w:t>Corruption and Crime Commission Act 2003</w:t>
            </w:r>
            <w:r>
              <w:t xml:space="preserve"> s. 62 and Sch. 3</w:t>
            </w:r>
            <w:r>
              <w:rPr>
                <w:vertAlign w:val="superscript"/>
              </w:rPr>
              <w:t> 3</w:t>
            </w:r>
            <w:r>
              <w:t xml:space="preserve"> cl. 11</w:t>
            </w:r>
          </w:p>
        </w:tc>
        <w:tc>
          <w:tcPr>
            <w:tcW w:w="1135" w:type="dxa"/>
            <w:tcBorders>
              <w:top w:val="nil"/>
              <w:bottom w:val="nil"/>
            </w:tcBorders>
          </w:tcPr>
          <w:p>
            <w:pPr>
              <w:pStyle w:val="nTable"/>
              <w:spacing w:after="40"/>
            </w:pPr>
            <w:r>
              <w:t>48 of 2003</w:t>
            </w:r>
          </w:p>
        </w:tc>
        <w:tc>
          <w:tcPr>
            <w:tcW w:w="1135" w:type="dxa"/>
            <w:tcBorders>
              <w:top w:val="nil"/>
              <w:bottom w:val="nil"/>
            </w:tcBorders>
          </w:tcPr>
          <w:p>
            <w:pPr>
              <w:pStyle w:val="nTable"/>
              <w:spacing w:after="40"/>
            </w:pPr>
            <w:r>
              <w:t>3 Jul 2003</w:t>
            </w:r>
          </w:p>
        </w:tc>
        <w:tc>
          <w:tcPr>
            <w:tcW w:w="2552"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7092" w:type="dxa"/>
            <w:gridSpan w:val="4"/>
            <w:tcBorders>
              <w:top w:val="nil"/>
              <w:bottom w:val="nil"/>
            </w:tcBorders>
          </w:tcPr>
          <w:p>
            <w:pPr>
              <w:pStyle w:val="nTable"/>
              <w:spacing w:after="40"/>
            </w:pPr>
            <w:r>
              <w:rPr>
                <w:b/>
              </w:rPr>
              <w:t xml:space="preserve">Reprint 1: The </w:t>
            </w:r>
            <w:r>
              <w:rPr>
                <w:b/>
                <w:i/>
              </w:rPr>
              <w:t>Witness Protection (</w:t>
            </w:r>
            <w:smartTag w:uri="urn:schemas-microsoft-com:office:smarttags" w:element="State">
              <w:smartTag w:uri="urn:schemas-microsoft-com:office:smarttags" w:element="place">
                <w:r>
                  <w:rPr>
                    <w:b/>
                    <w:i/>
                  </w:rPr>
                  <w:t>Western Australia</w:t>
                </w:r>
              </w:smartTag>
            </w:smartTag>
            <w:r>
              <w:rPr>
                <w:b/>
                <w:i/>
              </w:rPr>
              <w:t>) Act 1996</w:t>
            </w:r>
            <w:r>
              <w:rPr>
                <w:b/>
              </w:rPr>
              <w:t xml:space="preserve"> as at 10 Oct 2003</w:t>
            </w:r>
            <w:r>
              <w:t xml:space="preserve"> (includes amendments listed above except those in the </w:t>
            </w:r>
            <w:r>
              <w:rPr>
                <w:i/>
              </w:rPr>
              <w:t>Corruption and Crime Commission Act 2003</w:t>
            </w:r>
            <w:r>
              <w:t>)</w:t>
            </w:r>
          </w:p>
        </w:tc>
      </w:tr>
      <w:tr>
        <w:tc>
          <w:tcPr>
            <w:tcW w:w="2270" w:type="dxa"/>
            <w:tcBorders>
              <w:top w:val="nil"/>
              <w:bottom w:val="nil"/>
            </w:tcBorders>
          </w:tcPr>
          <w:p>
            <w:pPr>
              <w:pStyle w:val="nTable"/>
              <w:spacing w:after="40"/>
            </w:pPr>
            <w:r>
              <w:rPr>
                <w:i/>
              </w:rPr>
              <w:t>Criminal Code Amendment Act 2004</w:t>
            </w:r>
            <w:r>
              <w:t xml:space="preserve"> s. 58</w:t>
            </w:r>
          </w:p>
        </w:tc>
        <w:tc>
          <w:tcPr>
            <w:tcW w:w="1135" w:type="dxa"/>
            <w:tcBorders>
              <w:top w:val="nil"/>
              <w:bottom w:val="nil"/>
            </w:tcBorders>
          </w:tcPr>
          <w:p>
            <w:pPr>
              <w:pStyle w:val="nTable"/>
              <w:spacing w:after="40"/>
            </w:pPr>
            <w:r>
              <w:t>4 of 2004</w:t>
            </w:r>
          </w:p>
        </w:tc>
        <w:tc>
          <w:tcPr>
            <w:tcW w:w="1135" w:type="dxa"/>
            <w:tcBorders>
              <w:top w:val="nil"/>
              <w:bottom w:val="nil"/>
            </w:tcBorders>
          </w:tcPr>
          <w:p>
            <w:pPr>
              <w:pStyle w:val="nTable"/>
              <w:spacing w:after="40"/>
            </w:pPr>
            <w:r>
              <w:t>23 Apr 2004</w:t>
            </w:r>
          </w:p>
        </w:tc>
        <w:tc>
          <w:tcPr>
            <w:tcW w:w="2552" w:type="dxa"/>
            <w:tcBorders>
              <w:top w:val="nil"/>
              <w:bottom w:val="nil"/>
            </w:tcBorders>
          </w:tcPr>
          <w:p>
            <w:pPr>
              <w:pStyle w:val="nTable"/>
              <w:spacing w:after="40"/>
            </w:pPr>
            <w:r>
              <w:t>21 May 2004 (see s. 2)</w:t>
            </w:r>
          </w:p>
        </w:tc>
      </w:tr>
      <w:tr>
        <w:tc>
          <w:tcPr>
            <w:tcW w:w="2270" w:type="dxa"/>
            <w:tcBorders>
              <w:top w:val="nil"/>
              <w:bottom w:val="nil"/>
            </w:tcBorders>
          </w:tcPr>
          <w:p>
            <w:pPr>
              <w:pStyle w:val="nTable"/>
              <w:spacing w:after="40"/>
              <w:rPr>
                <w:snapToGrid w:val="0"/>
                <w:vertAlign w:val="superscript"/>
              </w:rPr>
            </w:pPr>
            <w:r>
              <w:rPr>
                <w:i/>
                <w:snapToGrid w:val="0"/>
              </w:rPr>
              <w:t>Australian Crime Commission (</w:t>
            </w:r>
            <w:smartTag w:uri="urn:schemas-microsoft-com:office:smarttags" w:element="State">
              <w:smartTag w:uri="urn:schemas-microsoft-com:office:smarttags" w:element="place">
                <w:r>
                  <w:rPr>
                    <w:i/>
                    <w:snapToGrid w:val="0"/>
                  </w:rPr>
                  <w:t>Western Australia</w:t>
                </w:r>
              </w:smartTag>
            </w:smartTag>
            <w:r>
              <w:rPr>
                <w:i/>
                <w:snapToGrid w:val="0"/>
              </w:rPr>
              <w:t xml:space="preserve">) Act 2004 </w:t>
            </w:r>
            <w:r>
              <w:rPr>
                <w:snapToGrid w:val="0"/>
              </w:rPr>
              <w:t>s. 75</w:t>
            </w:r>
          </w:p>
        </w:tc>
        <w:tc>
          <w:tcPr>
            <w:tcW w:w="1135" w:type="dxa"/>
            <w:tcBorders>
              <w:top w:val="nil"/>
              <w:bottom w:val="nil"/>
            </w:tcBorders>
          </w:tcPr>
          <w:p>
            <w:pPr>
              <w:pStyle w:val="nTable"/>
              <w:spacing w:after="40"/>
              <w:rPr>
                <w:snapToGrid w:val="0"/>
              </w:rPr>
            </w:pPr>
            <w:r>
              <w:rPr>
                <w:snapToGrid w:val="0"/>
              </w:rPr>
              <w:t>74 of 2004</w:t>
            </w:r>
          </w:p>
        </w:tc>
        <w:tc>
          <w:tcPr>
            <w:tcW w:w="1135" w:type="dxa"/>
            <w:tcBorders>
              <w:top w:val="nil"/>
              <w:bottom w:val="nil"/>
            </w:tcBorders>
          </w:tcPr>
          <w:p>
            <w:pPr>
              <w:pStyle w:val="nTable"/>
              <w:spacing w:after="40"/>
              <w:rPr>
                <w:snapToGrid w:val="0"/>
              </w:rPr>
            </w:pPr>
            <w:r>
              <w:rPr>
                <w:snapToGrid w:val="0"/>
              </w:rPr>
              <w:t>8 Dec 2004</w:t>
            </w:r>
          </w:p>
        </w:tc>
        <w:tc>
          <w:tcPr>
            <w:tcW w:w="2552" w:type="dxa"/>
            <w:tcBorders>
              <w:top w:val="nil"/>
              <w:bottom w:val="nil"/>
            </w:tcBorders>
          </w:tcPr>
          <w:p>
            <w:pPr>
              <w:pStyle w:val="nTable"/>
              <w:spacing w:after="40"/>
              <w:rPr>
                <w:snapToGrid w:val="0"/>
              </w:rPr>
            </w:pPr>
            <w:r>
              <w:rPr>
                <w:snapToGrid w:val="0"/>
              </w:rPr>
              <w:t xml:space="preserve">1 Feb 2005 (see s. 2 and </w:t>
            </w:r>
            <w:r>
              <w:rPr>
                <w:i/>
                <w:snapToGrid w:val="0"/>
              </w:rPr>
              <w:t xml:space="preserve">Gazette </w:t>
            </w:r>
            <w:r>
              <w:rPr>
                <w:snapToGrid w:val="0"/>
              </w:rPr>
              <w:t>31 Dec 2004 p. 7130)</w:t>
            </w:r>
          </w:p>
        </w:tc>
      </w:tr>
      <w:tr>
        <w:tc>
          <w:tcPr>
            <w:tcW w:w="2270" w:type="dxa"/>
            <w:tcBorders>
              <w:top w:val="nil"/>
              <w:bottom w:val="nil"/>
            </w:tcBorders>
          </w:tcPr>
          <w:p>
            <w:pPr>
              <w:pStyle w:val="nTable"/>
              <w:spacing w:after="40"/>
              <w:rPr>
                <w:i/>
                <w:snapToGrid w:val="0"/>
              </w:rPr>
            </w:pPr>
            <w:r>
              <w:rPr>
                <w:i/>
                <w:snapToGrid w:val="0"/>
              </w:rPr>
              <w:t>Financial Legislation Amendment and Repeal Act 2006</w:t>
            </w:r>
            <w:r>
              <w:rPr>
                <w:snapToGrid w:val="0"/>
              </w:rPr>
              <w:t xml:space="preserve"> s. 17</w:t>
            </w:r>
          </w:p>
        </w:tc>
        <w:tc>
          <w:tcPr>
            <w:tcW w:w="1135" w:type="dxa"/>
            <w:tcBorders>
              <w:top w:val="nil"/>
              <w:bottom w:val="nil"/>
            </w:tcBorders>
          </w:tcPr>
          <w:p>
            <w:pPr>
              <w:pStyle w:val="nTable"/>
              <w:spacing w:after="40"/>
              <w:rPr>
                <w:snapToGrid w:val="0"/>
              </w:rPr>
            </w:pPr>
            <w:r>
              <w:rPr>
                <w:snapToGrid w:val="0"/>
              </w:rPr>
              <w:t>77 of 2006</w:t>
            </w:r>
          </w:p>
        </w:tc>
        <w:tc>
          <w:tcPr>
            <w:tcW w:w="1135" w:type="dxa"/>
            <w:tcBorders>
              <w:top w:val="nil"/>
              <w:bottom w:val="nil"/>
            </w:tcBorders>
          </w:tcPr>
          <w:p>
            <w:pPr>
              <w:pStyle w:val="nTable"/>
              <w:spacing w:after="40"/>
              <w:rPr>
                <w:snapToGrid w:val="0"/>
              </w:rPr>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70" w:type="dxa"/>
            <w:tcBorders>
              <w:top w:val="nil"/>
              <w:bottom w:val="nil"/>
            </w:tcBorders>
          </w:tcPr>
          <w:p>
            <w:pPr>
              <w:pStyle w:val="nTable"/>
              <w:spacing w:after="40"/>
              <w:rPr>
                <w:i/>
                <w:snapToGrid w:val="0"/>
              </w:rPr>
            </w:pPr>
            <w:r>
              <w:rPr>
                <w:i/>
              </w:rPr>
              <w:t xml:space="preserve">Police Amendment Act 2008 </w:t>
            </w:r>
            <w:r>
              <w:rPr>
                <w:iCs/>
              </w:rPr>
              <w:t>s. 22 and 23(9)</w:t>
            </w:r>
          </w:p>
        </w:tc>
        <w:tc>
          <w:tcPr>
            <w:tcW w:w="1135" w:type="dxa"/>
            <w:tcBorders>
              <w:top w:val="nil"/>
              <w:bottom w:val="nil"/>
            </w:tcBorders>
          </w:tcPr>
          <w:p>
            <w:pPr>
              <w:pStyle w:val="nTable"/>
              <w:spacing w:after="40"/>
              <w:rPr>
                <w:snapToGrid w:val="0"/>
              </w:rPr>
            </w:pPr>
            <w:r>
              <w:t>8 of 2008</w:t>
            </w:r>
          </w:p>
        </w:tc>
        <w:tc>
          <w:tcPr>
            <w:tcW w:w="1135" w:type="dxa"/>
            <w:tcBorders>
              <w:top w:val="nil"/>
              <w:bottom w:val="nil"/>
            </w:tcBorders>
          </w:tcPr>
          <w:p>
            <w:pPr>
              <w:pStyle w:val="nTable"/>
              <w:spacing w:after="40"/>
              <w:rPr>
                <w:snapToGrid w:val="0"/>
              </w:rPr>
            </w:pPr>
            <w:r>
              <w:t>31 Mar 2008</w:t>
            </w:r>
          </w:p>
        </w:tc>
        <w:tc>
          <w:tcPr>
            <w:tcW w:w="2552" w:type="dxa"/>
            <w:tcBorders>
              <w:top w:val="nil"/>
              <w:bottom w:val="nil"/>
            </w:tcBorders>
          </w:tcPr>
          <w:p>
            <w:pPr>
              <w:pStyle w:val="nTable"/>
              <w:spacing w:after="40"/>
              <w:rPr>
                <w:snapToGrid w:val="0"/>
              </w:rPr>
            </w:pPr>
            <w:r>
              <w:t>s. 22: 1 Apr 2008 (see s. 2(1));</w:t>
            </w:r>
            <w:r>
              <w:br/>
              <w:t xml:space="preserve">s. 23(9): 21 Jun 2008 (see s. 2(2) and </w:t>
            </w:r>
            <w:r>
              <w:rPr>
                <w:i/>
                <w:iCs/>
              </w:rPr>
              <w:t>Gazette</w:t>
            </w:r>
            <w:r>
              <w:t xml:space="preserve"> 20 Jun 2008 p. 2706)</w:t>
            </w:r>
          </w:p>
        </w:tc>
      </w:tr>
      <w:tr>
        <w:trPr>
          <w:cantSplit/>
        </w:trPr>
        <w:tc>
          <w:tcPr>
            <w:tcW w:w="7092" w:type="dxa"/>
            <w:gridSpan w:val="4"/>
            <w:tcBorders>
              <w:top w:val="nil"/>
              <w:bottom w:val="nil"/>
            </w:tcBorders>
          </w:tcPr>
          <w:p>
            <w:pPr>
              <w:pStyle w:val="nTable"/>
              <w:keepLines/>
              <w:spacing w:after="40"/>
            </w:pPr>
            <w:r>
              <w:rPr>
                <w:b/>
              </w:rPr>
              <w:t xml:space="preserve">Reprint 2: The </w:t>
            </w:r>
            <w:r>
              <w:rPr>
                <w:b/>
                <w:i/>
              </w:rPr>
              <w:t>Witness Protection (</w:t>
            </w:r>
            <w:smartTag w:uri="urn:schemas-microsoft-com:office:smarttags" w:element="State">
              <w:smartTag w:uri="urn:schemas-microsoft-com:office:smarttags" w:element="place">
                <w:r>
                  <w:rPr>
                    <w:b/>
                    <w:i/>
                  </w:rPr>
                  <w:t>Western Australia</w:t>
                </w:r>
              </w:smartTag>
            </w:smartTag>
            <w:r>
              <w:rPr>
                <w:b/>
                <w:i/>
              </w:rPr>
              <w:t>) Act 1996</w:t>
            </w:r>
            <w:r>
              <w:rPr>
                <w:b/>
              </w:rPr>
              <w:t xml:space="preserve"> as at 8 Aug 2008</w:t>
            </w:r>
            <w:r>
              <w:t xml:space="preserve"> (includes amendments listed above)</w:t>
            </w:r>
          </w:p>
        </w:tc>
      </w:tr>
      <w:tr>
        <w:trPr>
          <w:cantSplit/>
        </w:trPr>
        <w:tc>
          <w:tcPr>
            <w:tcW w:w="2270" w:type="dxa"/>
            <w:tcBorders>
              <w:top w:val="nil"/>
              <w:bottom w:val="single" w:sz="4" w:space="0" w:color="auto"/>
            </w:tcBorders>
          </w:tcPr>
          <w:p>
            <w:pPr>
              <w:pStyle w:val="nTable"/>
              <w:spacing w:after="40"/>
              <w:rPr>
                <w:i/>
                <w:snapToGrid w:val="0"/>
              </w:rPr>
            </w:pPr>
            <w:r>
              <w:rPr>
                <w:i/>
                <w:snapToGrid w:val="0"/>
              </w:rPr>
              <w:t>Criminal Investigation (Covert Powers) Act 2012</w:t>
            </w:r>
            <w:r>
              <w:rPr>
                <w:snapToGrid w:val="0"/>
              </w:rPr>
              <w:t xml:space="preserve"> Pt. 11</w:t>
            </w:r>
          </w:p>
        </w:tc>
        <w:tc>
          <w:tcPr>
            <w:tcW w:w="1135" w:type="dxa"/>
            <w:tcBorders>
              <w:top w:val="nil"/>
              <w:bottom w:val="single" w:sz="4" w:space="0" w:color="auto"/>
            </w:tcBorders>
          </w:tcPr>
          <w:p>
            <w:pPr>
              <w:pStyle w:val="nTable"/>
              <w:spacing w:after="40"/>
              <w:rPr>
                <w:snapToGrid w:val="0"/>
              </w:rPr>
            </w:pPr>
            <w:r>
              <w:t>55 of 2012</w:t>
            </w:r>
          </w:p>
        </w:tc>
        <w:tc>
          <w:tcPr>
            <w:tcW w:w="1135" w:type="dxa"/>
            <w:tcBorders>
              <w:top w:val="nil"/>
              <w:bottom w:val="single" w:sz="4" w:space="0" w:color="auto"/>
            </w:tcBorders>
          </w:tcPr>
          <w:p>
            <w:pPr>
              <w:pStyle w:val="nTable"/>
              <w:spacing w:after="40"/>
              <w:rPr>
                <w:snapToGrid w:val="0"/>
              </w:rPr>
            </w:pPr>
            <w:r>
              <w:t>3 Dec 2012</w:t>
            </w:r>
          </w:p>
        </w:tc>
        <w:tc>
          <w:tcPr>
            <w:tcW w:w="2552" w:type="dxa"/>
            <w:tcBorders>
              <w:top w:val="nil"/>
              <w:bottom w:val="single" w:sz="4" w:space="0" w:color="auto"/>
            </w:tcBorders>
          </w:tcPr>
          <w:p>
            <w:pPr>
              <w:pStyle w:val="nTable"/>
              <w:spacing w:after="40"/>
              <w:rPr>
                <w:snapToGrid w:val="0"/>
              </w:rPr>
            </w:pPr>
            <w:r>
              <w:t xml:space="preserve">1 Mar 2013 (see s. 2(b) and </w:t>
            </w:r>
            <w:r>
              <w:rPr>
                <w:i/>
              </w:rPr>
              <w:t>Gazette</w:t>
            </w:r>
            <w:r>
              <w:t xml:space="preserve"> 25 Jan 2013 p. 271)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8" w:name="_Toc7405065"/>
      <w:bookmarkStart w:id="169" w:name="_Toc405978355"/>
      <w:bookmarkStart w:id="170" w:name="_Toc406081472"/>
      <w:bookmarkStart w:id="171" w:name="_Toc423090760"/>
      <w:r>
        <w:t>Provisions that have not come into operation</w:t>
      </w:r>
      <w:bookmarkEnd w:id="168"/>
      <w:bookmarkEnd w:id="169"/>
      <w:bookmarkEnd w:id="170"/>
      <w:bookmarkEnd w:id="171"/>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tcPr>
          <w:p>
            <w:pPr>
              <w:pStyle w:val="nTable"/>
              <w:spacing w:after="40"/>
              <w:rPr>
                <w:b/>
                <w:snapToGrid w:val="0"/>
                <w:lang w:val="en-US"/>
              </w:rPr>
            </w:pPr>
            <w:r>
              <w:rPr>
                <w:b/>
                <w:snapToGrid w:val="0"/>
                <w:lang w:val="en-US"/>
              </w:rPr>
              <w:t>Commencement</w:t>
            </w:r>
          </w:p>
        </w:tc>
      </w:tr>
      <w:tr>
        <w:tc>
          <w:tcPr>
            <w:tcW w:w="2268" w:type="dxa"/>
          </w:tcPr>
          <w:p>
            <w:pPr>
              <w:pStyle w:val="nTable"/>
              <w:spacing w:after="40"/>
              <w:rPr>
                <w:snapToGrid w:val="0"/>
                <w:lang w:val="en-US"/>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4</w:t>
            </w:r>
          </w:p>
        </w:tc>
        <w:tc>
          <w:tcPr>
            <w:tcW w:w="1118" w:type="dxa"/>
          </w:tcPr>
          <w:p>
            <w:pPr>
              <w:pStyle w:val="nTable"/>
              <w:spacing w:after="40"/>
              <w:rPr>
                <w:snapToGrid w:val="0"/>
                <w:lang w:val="en-US"/>
              </w:rPr>
            </w:pPr>
            <w:r>
              <w:rPr>
                <w:snapToGrid w:val="0"/>
                <w:lang w:val="en-US"/>
              </w:rPr>
              <w:t>35 of 2014</w:t>
            </w:r>
          </w:p>
        </w:tc>
        <w:tc>
          <w:tcPr>
            <w:tcW w:w="1134" w:type="dxa"/>
          </w:tcPr>
          <w:p>
            <w:pPr>
              <w:pStyle w:val="nTable"/>
              <w:spacing w:after="40"/>
              <w:rPr>
                <w:snapToGrid w:val="0"/>
                <w:lang w:val="en-US"/>
              </w:rPr>
            </w:pPr>
            <w:r>
              <w:t>9 Dec 2014</w:t>
            </w:r>
          </w:p>
        </w:tc>
        <w:tc>
          <w:tcPr>
            <w:tcW w:w="2552" w:type="dxa"/>
          </w:tcPr>
          <w:p>
            <w:pPr>
              <w:pStyle w:val="nTable"/>
              <w:spacing w:after="40"/>
              <w:rPr>
                <w:snapToGrid w:val="0"/>
                <w:lang w:val="en-US"/>
              </w:rPr>
            </w:pPr>
            <w:r>
              <w:rPr>
                <w:snapToGrid w:val="0"/>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iCs/>
          <w:snapToGrid w:val="0"/>
        </w:rPr>
        <w:t>Sentencing Legislation Amendment and Repeal Act 2003</w:t>
      </w:r>
      <w:r>
        <w:rPr>
          <w:snapToGrid w:val="0"/>
        </w:rPr>
        <w:t>.</w:t>
      </w:r>
    </w:p>
    <w:p>
      <w:pPr>
        <w:pStyle w:val="nSubsection"/>
        <w:rPr>
          <w:snapToGrid w:val="0"/>
        </w:rPr>
      </w:pPr>
      <w:r>
        <w:rPr>
          <w:snapToGrid w:val="0"/>
          <w:vertAlign w:val="superscript"/>
        </w:rPr>
        <w:t>3</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172" w:name="_Toc405898145"/>
      <w:bookmarkStart w:id="173" w:name="_Toc405975526"/>
      <w:r>
        <w:rPr>
          <w:rStyle w:val="CharSectno"/>
        </w:rPr>
        <w:t>39</w:t>
      </w:r>
      <w:r>
        <w:t>.</w:t>
      </w:r>
      <w:r>
        <w:tab/>
        <w:t>References in other Acts to “</w:t>
      </w:r>
      <w:r>
        <w:rPr>
          <w:i/>
        </w:rPr>
        <w:t>Corruption and Crime Commission Act 2003</w:t>
      </w:r>
      <w:r>
        <w:t>” amended</w:t>
      </w:r>
      <w:bookmarkEnd w:id="172"/>
      <w:bookmarkEnd w:id="173"/>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vertAlign w:val="superscript"/>
              </w:rPr>
              <w:t> </w:t>
            </w:r>
          </w:p>
        </w:tc>
        <w:tc>
          <w:tcPr>
            <w:tcW w:w="3402" w:type="dxa"/>
          </w:tcPr>
          <w:p>
            <w:pPr>
              <w:pStyle w:val="TableAm"/>
              <w:tabs>
                <w:tab w:val="left" w:pos="2694"/>
              </w:tabs>
            </w:pPr>
            <w:r>
              <w:t xml:space="preserve">s. 3(1) def. of </w:t>
            </w:r>
            <w:r>
              <w:rPr>
                <w:b/>
                <w:i/>
              </w:rPr>
              <w:t>Corruption and Crime Commission</w:t>
            </w:r>
            <w:r>
              <w:t xml:space="preserve"> and </w:t>
            </w:r>
            <w:r>
              <w:rPr>
                <w:b/>
                <w:i/>
              </w:rPr>
              <w:t>officer of the Corruption and Crime Commission</w:t>
            </w:r>
            <w:r>
              <w:t>, 14(2a), 34(2a)</w:t>
            </w:r>
          </w:p>
        </w:tc>
      </w:tr>
    </w:tbl>
    <w:p>
      <w:pPr>
        <w:pStyle w:val="BlankClose"/>
      </w:pPr>
    </w:p>
    <w:p>
      <w:pPr>
        <w:rPr>
          <w:snapToGrid w:val="0"/>
        </w:rPr>
      </w:pPr>
    </w:p>
    <w:p>
      <w:pPr>
        <w:rPr>
          <w:snapToGrid w:val="0"/>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annual report</w:t>
      </w:r>
      <w:r>
        <w:tab/>
        <w:t>37(2)</w:t>
      </w:r>
    </w:p>
    <w:p>
      <w:pPr>
        <w:pStyle w:val="DefinedTerms"/>
      </w:pPr>
      <w:r>
        <w:t>another jurisdiction</w:t>
      </w:r>
      <w:r>
        <w:tab/>
        <w:t>33</w:t>
      </w:r>
    </w:p>
    <w:p>
      <w:pPr>
        <w:pStyle w:val="DefinedTerms"/>
      </w:pPr>
      <w:r>
        <w:t>approved authority</w:t>
      </w:r>
      <w:r>
        <w:tab/>
        <w:t>3(1)</w:t>
      </w:r>
    </w:p>
    <w:p>
      <w:pPr>
        <w:pStyle w:val="DefinedTerms"/>
      </w:pPr>
      <w:r>
        <w:t>commencement day</w:t>
      </w:r>
      <w:r>
        <w:tab/>
        <w:t>41(1)</w:t>
      </w:r>
    </w:p>
    <w:p>
      <w:pPr>
        <w:pStyle w:val="DefinedTerms"/>
      </w:pPr>
      <w:r>
        <w:t>Commissioner</w:t>
      </w:r>
      <w:r>
        <w:tab/>
        <w:t>3(1)</w:t>
      </w:r>
    </w:p>
    <w:p>
      <w:pPr>
        <w:pStyle w:val="DefinedTerms"/>
      </w:pPr>
      <w:r>
        <w:t>Commonwealth Act</w:t>
      </w:r>
      <w:r>
        <w:tab/>
        <w:t>3(1)</w:t>
      </w:r>
    </w:p>
    <w:p>
      <w:pPr>
        <w:pStyle w:val="DefinedTerms"/>
      </w:pPr>
      <w:r>
        <w:t>complementary witness protection law</w:t>
      </w:r>
      <w:r>
        <w:tab/>
        <w:t>3(1)</w:t>
      </w:r>
    </w:p>
    <w:p>
      <w:pPr>
        <w:pStyle w:val="DefinedTerms"/>
      </w:pPr>
      <w:r>
        <w:t>corresponding law</w:t>
      </w:r>
      <w:r>
        <w:tab/>
        <w:t>33</w:t>
      </w:r>
    </w:p>
    <w:p>
      <w:pPr>
        <w:pStyle w:val="DefinedTerms"/>
      </w:pPr>
      <w:r>
        <w:t>corresponding non</w:t>
      </w:r>
      <w:r>
        <w:noBreakHyphen/>
        <w:t>disclosure certificate</w:t>
      </w:r>
      <w:r>
        <w:tab/>
        <w:t>33</w:t>
      </w:r>
    </w:p>
    <w:p>
      <w:pPr>
        <w:pStyle w:val="DefinedTerms"/>
      </w:pPr>
      <w:r>
        <w:t>Corruption and Crime Commission</w:t>
      </w:r>
      <w:r>
        <w:tab/>
        <w:t>3(1)</w:t>
      </w:r>
    </w:p>
    <w:p>
      <w:pPr>
        <w:pStyle w:val="DefinedTerms"/>
      </w:pPr>
      <w:r>
        <w:t>court</w:t>
      </w:r>
      <w:r>
        <w:tab/>
        <w:t>3(1), 33, 34A(1)</w:t>
      </w:r>
    </w:p>
    <w:p>
      <w:pPr>
        <w:pStyle w:val="DefinedTerms"/>
      </w:pPr>
      <w:r>
        <w:t>court proceedings</w:t>
      </w:r>
      <w:r>
        <w:tab/>
        <w:t>33</w:t>
      </w:r>
    </w:p>
    <w:p>
      <w:pPr>
        <w:pStyle w:val="DefinedTerms"/>
      </w:pPr>
      <w:r>
        <w:t>designated position</w:t>
      </w:r>
      <w:r>
        <w:tab/>
        <w:t>3(1)</w:t>
      </w:r>
    </w:p>
    <w:p>
      <w:pPr>
        <w:pStyle w:val="DefinedTerms"/>
      </w:pPr>
      <w:r>
        <w:t>lawyer</w:t>
      </w:r>
      <w:r>
        <w:tab/>
        <w:t>33</w:t>
      </w:r>
    </w:p>
    <w:p>
      <w:pPr>
        <w:pStyle w:val="DefinedTerms"/>
      </w:pPr>
      <w:r>
        <w:t>new identity order</w:t>
      </w:r>
      <w:r>
        <w:tab/>
        <w:t>19</w:t>
      </w:r>
    </w:p>
    <w:p>
      <w:pPr>
        <w:pStyle w:val="DefinedTerms"/>
      </w:pPr>
      <w:r>
        <w:t>non</w:t>
      </w:r>
      <w:r>
        <w:noBreakHyphen/>
        <w:t>disclosure certificate</w:t>
      </w:r>
      <w:r>
        <w:tab/>
        <w:t>33</w:t>
      </w:r>
    </w:p>
    <w:p>
      <w:pPr>
        <w:pStyle w:val="DefinedTerms"/>
      </w:pPr>
      <w:r>
        <w:t>officer of the Corruption and Crime Commission</w:t>
      </w:r>
      <w:r>
        <w:tab/>
        <w:t>3(1)</w:t>
      </w:r>
    </w:p>
    <w:p>
      <w:pPr>
        <w:pStyle w:val="DefinedTerms"/>
      </w:pPr>
      <w:r>
        <w:t>original court</w:t>
      </w:r>
      <w:r>
        <w:tab/>
        <w:t>34F(1)</w:t>
      </w:r>
    </w:p>
    <w:p>
      <w:pPr>
        <w:pStyle w:val="DefinedTerms"/>
      </w:pPr>
      <w:r>
        <w:t>Parliamentary Commissioner</w:t>
      </w:r>
      <w:r>
        <w:tab/>
        <w:t>3(1)</w:t>
      </w:r>
    </w:p>
    <w:p>
      <w:pPr>
        <w:pStyle w:val="DefinedTerms"/>
      </w:pPr>
      <w:r>
        <w:t>parliamentary committee</w:t>
      </w:r>
      <w:r>
        <w:tab/>
        <w:t>33</w:t>
      </w:r>
    </w:p>
    <w:p>
      <w:pPr>
        <w:pStyle w:val="DefinedTerms"/>
      </w:pPr>
      <w:r>
        <w:t>parliamentary proceedings</w:t>
      </w:r>
      <w:r>
        <w:tab/>
        <w:t>33</w:t>
      </w:r>
    </w:p>
    <w:p>
      <w:pPr>
        <w:pStyle w:val="DefinedTerms"/>
      </w:pPr>
      <w:r>
        <w:t>participant</w:t>
      </w:r>
      <w:r>
        <w:tab/>
        <w:t>3(1)</w:t>
      </w:r>
    </w:p>
    <w:p>
      <w:pPr>
        <w:pStyle w:val="DefinedTerms"/>
      </w:pPr>
      <w:r>
        <w:t>party</w:t>
      </w:r>
      <w:r>
        <w:tab/>
        <w:t>33</w:t>
      </w:r>
    </w:p>
    <w:p>
      <w:pPr>
        <w:pStyle w:val="DefinedTerms"/>
      </w:pPr>
      <w:r>
        <w:t>permission</w:t>
      </w:r>
      <w:r>
        <w:tab/>
        <w:t>41(1)</w:t>
      </w:r>
    </w:p>
    <w:p>
      <w:pPr>
        <w:pStyle w:val="DefinedTerms"/>
      </w:pPr>
      <w:r>
        <w:t>person involved</w:t>
      </w:r>
      <w:r>
        <w:tab/>
        <w:t>34C(1)</w:t>
      </w:r>
    </w:p>
    <w:p>
      <w:pPr>
        <w:pStyle w:val="DefinedTerms"/>
      </w:pPr>
      <w:r>
        <w:t>person involved,</w:t>
      </w:r>
      <w:r>
        <w:tab/>
        <w:t>34J(1)</w:t>
      </w:r>
    </w:p>
    <w:p>
      <w:pPr>
        <w:pStyle w:val="DefinedTerms"/>
      </w:pPr>
      <w:r>
        <w:t>prescribed authority</w:t>
      </w:r>
      <w:r>
        <w:tab/>
        <w:t>3(1)</w:t>
      </w:r>
    </w:p>
    <w:p>
      <w:pPr>
        <w:pStyle w:val="DefinedTerms"/>
      </w:pPr>
      <w:r>
        <w:t>prescribed register</w:t>
      </w:r>
      <w:r>
        <w:tab/>
        <w:t>3(1)</w:t>
      </w:r>
    </w:p>
    <w:p>
      <w:pPr>
        <w:pStyle w:val="DefinedTerms"/>
      </w:pPr>
      <w:r>
        <w:t>proceedings</w:t>
      </w:r>
      <w:r>
        <w:tab/>
        <w:t>33</w:t>
      </w:r>
    </w:p>
    <w:p>
      <w:pPr>
        <w:pStyle w:val="DefinedTerms"/>
      </w:pPr>
      <w:r>
        <w:t>protected address</w:t>
      </w:r>
      <w:r>
        <w:tab/>
        <w:t>33</w:t>
      </w:r>
    </w:p>
    <w:p>
      <w:pPr>
        <w:pStyle w:val="DefinedTerms"/>
      </w:pPr>
      <w:r>
        <w:t>protected identity</w:t>
      </w:r>
      <w:r>
        <w:tab/>
        <w:t>33</w:t>
      </w:r>
    </w:p>
    <w:p>
      <w:pPr>
        <w:pStyle w:val="DefinedTerms"/>
      </w:pPr>
      <w:r>
        <w:t>protected person</w:t>
      </w:r>
      <w:r>
        <w:tab/>
        <w:t>33</w:t>
      </w:r>
    </w:p>
    <w:p>
      <w:pPr>
        <w:pStyle w:val="DefinedTerms"/>
      </w:pPr>
      <w:r>
        <w:t>relevant House,</w:t>
      </w:r>
      <w:r>
        <w:tab/>
        <w:t>34K(1)</w:t>
      </w:r>
    </w:p>
    <w:p>
      <w:pPr>
        <w:pStyle w:val="DefinedTerms"/>
      </w:pPr>
      <w:r>
        <w:t>sensitive information</w:t>
      </w:r>
      <w:r>
        <w:tab/>
        <w:t>32(2)</w:t>
      </w:r>
    </w:p>
    <w:p>
      <w:pPr>
        <w:pStyle w:val="DefinedTerms"/>
      </w:pPr>
      <w:r>
        <w:t>State Witness Protection Program</w:t>
      </w:r>
      <w:r>
        <w:tab/>
        <w:t>3(1)</w:t>
      </w:r>
    </w:p>
    <w:p>
      <w:pPr>
        <w:pStyle w:val="DefinedTerms"/>
      </w:pPr>
      <w:r>
        <w:t>SWPP</w:t>
      </w:r>
      <w:r>
        <w:tab/>
        <w:t>3(2)</w:t>
      </w:r>
    </w:p>
    <w:p>
      <w:pPr>
        <w:pStyle w:val="DefinedTerms"/>
      </w:pPr>
      <w:r>
        <w:t>witness</w:t>
      </w:r>
      <w:r>
        <w:tab/>
        <w:t>3(1)</w:t>
      </w:r>
    </w:p>
    <w:p>
      <w:pPr>
        <w:pStyle w:val="DefinedTerms"/>
      </w:pPr>
      <w:r>
        <w:t>witness protection program</w:t>
      </w:r>
      <w:r>
        <w:tab/>
        <w:t>3(1)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4" w:name="Compilation"/>
    <w:bookmarkEnd w:id="1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5" w:name="DefinedTerms"/>
    <w:bookmarkEnd w:id="1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6" w:name="Coversheet"/>
    <w:bookmarkEnd w:id="1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C882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D82C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59ED6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745A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877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104F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749C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B4693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AE3638"/>
    <w:lvl w:ilvl="0">
      <w:start w:val="1"/>
      <w:numFmt w:val="decimal"/>
      <w:pStyle w:val="ListNumber"/>
      <w:lvlText w:val="%1."/>
      <w:lvlJc w:val="left"/>
      <w:pPr>
        <w:tabs>
          <w:tab w:val="num" w:pos="360"/>
        </w:tabs>
        <w:ind w:left="360" w:hanging="360"/>
      </w:pPr>
    </w:lvl>
  </w:abstractNum>
  <w:abstractNum w:abstractNumId="9">
    <w:nsid w:val="FFFFFF89"/>
    <w:multiLevelType w:val="singleLevel"/>
    <w:tmpl w:val="5CD0EC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B6C16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628903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257"/>
    <w:docVar w:name="WAFER_20140109134709" w:val="RemoveTocBookmarks,RemoveUnusedBookmarks,RemoveLanguageTags,UsedStyles,ResetPageSize,UpdateArrangement"/>
    <w:docVar w:name="WAFER_20140109134709_GUID" w:val="1ee9ecef-cd06-461f-8af9-1ebf3a0a4fdf"/>
    <w:docVar w:name="WAFER_20140109135147" w:val="RemoveTocBookmarks,RunningHeaders"/>
    <w:docVar w:name="WAFER_20140109135147_GUID" w:val="46b888ae-5179-433b-85fb-69b2d5e2500f"/>
    <w:docVar w:name="WAFER_20150626135910" w:val="ResetPageSize,UpdateArrangement,UpdateNTable"/>
    <w:docVar w:name="WAFER_20150626135910_GUID" w:val="6286fa0e-941f-4d32-a1c7-363f10f0dc6e"/>
    <w:docVar w:name="WAFER_20151216143257" w:val="RemoveTrackChanges"/>
    <w:docVar w:name="WAFER_20151216143257_GUID" w:val="7467ad65-40c3-4399-b0f2-67ed9bf67b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11714</Words>
  <Characters>58691</Characters>
  <Application>Microsoft Office Word</Application>
  <DocSecurity>0</DocSecurity>
  <Lines>1630</Lines>
  <Paragraphs>926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1996 - 02-d0-02</dc:title>
  <dc:subject/>
  <dc:creator/>
  <cp:keywords/>
  <dc:description/>
  <cp:lastModifiedBy>svcMRProcess</cp:lastModifiedBy>
  <cp:revision>4</cp:revision>
  <cp:lastPrinted>2008-08-12T06:35:00Z</cp:lastPrinted>
  <dcterms:created xsi:type="dcterms:W3CDTF">2018-09-10T01:06:00Z</dcterms:created>
  <dcterms:modified xsi:type="dcterms:W3CDTF">2018-09-10T01:06:00Z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911</vt:i4>
  </property>
  <property fmtid="{D5CDD505-2E9C-101B-9397-08002B2CF9AE}" pid="6" name="ReprintNo">
    <vt:lpwstr>2</vt:lpwstr>
  </property>
  <property fmtid="{D5CDD505-2E9C-101B-9397-08002B2CF9AE}" pid="7" name="AsAtDate">
    <vt:lpwstr>09 Dec 2014</vt:lpwstr>
  </property>
  <property fmtid="{D5CDD505-2E9C-101B-9397-08002B2CF9AE}" pid="8" name="Suffix">
    <vt:lpwstr>02-d0-02</vt:lpwstr>
  </property>
</Properties>
</file>