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4" name="Picture 4"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t>Environmental Protection Act 1986</w:t>
      </w:r>
    </w:p>
    <w:p>
      <w:pPr>
        <w:pStyle w:val="NameofActRegPage1"/>
        <w:spacing w:before="120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Environmental Protection Regulations 1987</w:t>
      </w:r>
      <w:r>
        <w:rPr>
          <w:sz w:val="48"/>
        </w:rPr>
        <w:fldChar w:fldCharType="end"/>
      </w:r>
    </w:p>
    <w:p>
      <w:pPr>
        <w:pStyle w:val="ReprintNo"/>
        <w:outlineLvl w:val="9"/>
      </w:pPr>
      <w:r>
        <w:t>Reprint 8:  The regulations as at 5 December 2014</w:t>
      </w:r>
    </w:p>
    <w:p>
      <w:pPr>
        <w:tabs>
          <w:tab w:val="left" w:pos="567"/>
          <w:tab w:val="left" w:pos="851"/>
        </w:tabs>
        <w:ind w:left="851" w:hanging="851"/>
        <w:rPr>
          <w:b/>
          <w:sz w:val="20"/>
        </w:rPr>
      </w:pPr>
      <w:r>
        <w:rPr>
          <w:b/>
          <w:sz w:val="22"/>
        </w:rPr>
        <w:br w:type="page"/>
      </w:r>
      <w:r>
        <w:rPr>
          <w:b/>
          <w:sz w:val="20"/>
        </w:rPr>
        <w:lastRenderedPageBreak/>
        <w:tab/>
      </w:r>
      <w:r>
        <w:rPr>
          <w:b/>
          <w:sz w:val="20"/>
        </w:rPr>
        <w:tab/>
        <w:t>Guide for using this reprint</w:t>
      </w:r>
    </w:p>
    <w:p>
      <w:pPr>
        <w:tabs>
          <w:tab w:val="left" w:pos="567"/>
          <w:tab w:val="left" w:pos="851"/>
        </w:tabs>
        <w:spacing w:before="120" w:after="60"/>
        <w:ind w:left="851" w:hanging="851"/>
        <w:rPr>
          <w:b/>
          <w:i/>
          <w:sz w:val="20"/>
        </w:rPr>
      </w:pPr>
      <w:r>
        <w:rPr>
          <w:b/>
          <w:sz w:val="20"/>
        </w:rPr>
        <w:tab/>
      </w:r>
      <w:r>
        <w:rPr>
          <w:b/>
          <w:sz w:val="20"/>
        </w:rPr>
        <w:tab/>
      </w:r>
      <w:r>
        <w:rPr>
          <w:b/>
          <w:i/>
          <w:sz w:val="20"/>
        </w:rPr>
        <w:t>What the reprint includes</w:t>
      </w:r>
    </w:p>
    <w:p>
      <w:pPr>
        <w:tabs>
          <w:tab w:val="left" w:pos="567"/>
          <w:tab w:val="left" w:pos="851"/>
        </w:tabs>
        <w:ind w:left="1418" w:hanging="851"/>
        <w:rPr>
          <w:b/>
          <w:sz w:val="20"/>
        </w:rPr>
      </w:pPr>
      <w:r>
        <w:rPr>
          <w:sz w:val="20"/>
        </w:rPr>
        <w:object w:dxaOrig="6315" w:dyaOrig="5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75pt;height:27.75pt" o:ole="" fillcolor="window">
            <v:imagedata r:id="rId10" o:title=""/>
          </v:shape>
          <o:OLEObject Type="Embed" ProgID="Word.Picture.8" ShapeID="_x0000_i1025" DrawAspect="Content" ObjectID="_1645167430" r:id="rId11"/>
        </w:object>
      </w:r>
    </w:p>
    <w:p>
      <w:pPr>
        <w:tabs>
          <w:tab w:val="left" w:pos="567"/>
          <w:tab w:val="left" w:pos="851"/>
        </w:tabs>
        <w:spacing w:before="120"/>
        <w:ind w:left="851" w:hanging="851"/>
        <w:rPr>
          <w:b/>
          <w:i/>
          <w:sz w:val="20"/>
        </w:rPr>
      </w:pPr>
      <w:r>
        <w:rPr>
          <w:b/>
          <w:sz w:val="20"/>
        </w:rPr>
        <w:tab/>
      </w:r>
      <w:r>
        <w:rPr>
          <w:b/>
          <w:sz w:val="20"/>
        </w:rPr>
        <w:tab/>
      </w:r>
      <w:r>
        <w:rPr>
          <w:b/>
          <w:i/>
          <w:sz w:val="20"/>
        </w:rPr>
        <w:t>Endnotes, Compilation table, and Table of provisions that have not come into operation</w:t>
      </w:r>
    </w:p>
    <w:p>
      <w:pPr>
        <w:tabs>
          <w:tab w:val="left" w:pos="567"/>
          <w:tab w:val="left" w:pos="851"/>
        </w:tabs>
        <w:ind w:left="851" w:hanging="851"/>
        <w:rPr>
          <w:sz w:val="20"/>
        </w:rPr>
      </w:pPr>
      <w:r>
        <w:rPr>
          <w:sz w:val="20"/>
        </w:rPr>
        <w:tab/>
        <w:t>1.</w:t>
      </w:r>
      <w:r>
        <w:rPr>
          <w:sz w:val="20"/>
        </w:rPr>
        <w:tab/>
        <w:t>Details about the original regulations and legislation that has amended its text are shown in the Compilation table in endnote 1, at the back of the reprint.  The table also shows any previous reprint.</w:t>
      </w:r>
    </w:p>
    <w:p>
      <w:pPr>
        <w:tabs>
          <w:tab w:val="left" w:pos="567"/>
          <w:tab w:val="left" w:pos="851"/>
        </w:tabs>
        <w:spacing w:before="60"/>
        <w:ind w:left="851" w:hanging="851"/>
        <w:rPr>
          <w:sz w:val="20"/>
        </w:rPr>
      </w:pPr>
      <w:r>
        <w:rPr>
          <w:sz w:val="20"/>
        </w:rPr>
        <w:tab/>
        <w:t>2.</w:t>
      </w:r>
      <w:r>
        <w:rPr>
          <w:sz w:val="20"/>
        </w:rPr>
        <w:tab/>
        <w:t>Transitional, savings, modifying or other provisions identified in the Compilation table may be important.  The table may refer to another endnote setting out the text of these provisions in full.</w:t>
      </w:r>
    </w:p>
    <w:p>
      <w:pPr>
        <w:tabs>
          <w:tab w:val="left" w:pos="567"/>
          <w:tab w:val="left" w:pos="851"/>
        </w:tabs>
        <w:spacing w:before="60"/>
        <w:ind w:left="851" w:hanging="851"/>
        <w:rPr>
          <w:sz w:val="20"/>
        </w:rPr>
      </w:pPr>
      <w:r>
        <w:rPr>
          <w:sz w:val="20"/>
        </w:rPr>
        <w:tab/>
        <w:t>3.</w:t>
      </w:r>
      <w:r>
        <w:rPr>
          <w:sz w:val="20"/>
        </w:rPr>
        <w:tab/>
        <w:t>A table of provisions that have not come into operation, to be found in endnote 1a if it is needed, lists any provisions of the regulations being reprinted that have not come into operation and any amendments that have not come into operation.  The full text is set out in another endnote that is referred to in the table.</w:t>
      </w:r>
    </w:p>
    <w:p>
      <w:pPr>
        <w:tabs>
          <w:tab w:val="left" w:pos="567"/>
          <w:tab w:val="left" w:pos="851"/>
        </w:tabs>
        <w:spacing w:before="120"/>
        <w:ind w:left="851" w:hanging="851"/>
        <w:rPr>
          <w:b/>
          <w:i/>
          <w:sz w:val="20"/>
        </w:rPr>
      </w:pPr>
      <w:r>
        <w:rPr>
          <w:b/>
          <w:sz w:val="20"/>
        </w:rPr>
        <w:tab/>
      </w:r>
      <w:r>
        <w:rPr>
          <w:b/>
          <w:sz w:val="20"/>
        </w:rPr>
        <w:tab/>
      </w:r>
      <w:r>
        <w:rPr>
          <w:b/>
          <w:i/>
          <w:sz w:val="20"/>
        </w:rPr>
        <w:t>Notes amongst text (italicised and within square brackets)</w:t>
      </w:r>
    </w:p>
    <w:p>
      <w:pPr>
        <w:tabs>
          <w:tab w:val="left" w:pos="567"/>
          <w:tab w:val="left" w:pos="851"/>
        </w:tabs>
        <w:ind w:left="851" w:hanging="851"/>
        <w:rPr>
          <w:sz w:val="20"/>
        </w:rPr>
      </w:pPr>
      <w:r>
        <w:rPr>
          <w:sz w:val="20"/>
        </w:rPr>
        <w:tab/>
        <w:t>1.</w:t>
      </w:r>
      <w:r>
        <w:rPr>
          <w:sz w:val="20"/>
        </w:rPr>
        <w:tab/>
        <w:t>If the reprint includes a regulation that was inserted, or has been amended, since the regulations being reprinted were made, editorial notes at the foot of the regulation give some history of how the regulation came to be as it is.  If the regulation replaced an earlier regulation, no history of the earlier regulation is given (the full history of the regulations is in the Compilation table).</w:t>
      </w:r>
    </w:p>
    <w:p>
      <w:pPr>
        <w:tabs>
          <w:tab w:val="left" w:pos="567"/>
          <w:tab w:val="left" w:pos="851"/>
        </w:tabs>
        <w:spacing w:before="60"/>
        <w:ind w:left="851" w:hanging="851"/>
        <w:rPr>
          <w:sz w:val="20"/>
        </w:rPr>
      </w:pPr>
      <w:r>
        <w:rPr>
          <w:sz w:val="20"/>
        </w:rPr>
        <w:tab/>
      </w:r>
      <w:r>
        <w:rPr>
          <w:sz w:val="20"/>
        </w:rPr>
        <w:tab/>
        <w:t>Notes of this kind may also be at the foot of Schedules or headings.</w:t>
      </w:r>
    </w:p>
    <w:p>
      <w:pPr>
        <w:tabs>
          <w:tab w:val="left" w:pos="567"/>
          <w:tab w:val="left" w:pos="851"/>
        </w:tabs>
        <w:spacing w:before="60"/>
        <w:ind w:left="851" w:hanging="851"/>
        <w:rPr>
          <w:sz w:val="20"/>
        </w:rPr>
      </w:pPr>
      <w:r>
        <w:rPr>
          <w:sz w:val="20"/>
        </w:rPr>
        <w:tab/>
        <w:t>2.</w:t>
      </w:r>
      <w:r>
        <w:rPr>
          <w:sz w:val="20"/>
        </w:rPr>
        <w:tab/>
        <w:t xml:space="preserve">The other kind of editorial note shows something has been — </w:t>
      </w:r>
    </w:p>
    <w:p>
      <w:pPr>
        <w:numPr>
          <w:ilvl w:val="0"/>
          <w:numId w:val="27"/>
        </w:numPr>
        <w:tabs>
          <w:tab w:val="clear" w:pos="360"/>
          <w:tab w:val="num" w:pos="1197"/>
        </w:tabs>
        <w:ind w:left="1208" w:hanging="357"/>
        <w:rPr>
          <w:sz w:val="20"/>
        </w:rPr>
      </w:pPr>
      <w:r>
        <w:rPr>
          <w:rFonts w:ascii="Times" w:hAnsi="Times"/>
          <w:sz w:val="20"/>
        </w:rPr>
        <w:t>removed (because it was repealed or deleted from the law); or</w:t>
      </w:r>
    </w:p>
    <w:p>
      <w:pPr>
        <w:numPr>
          <w:ilvl w:val="0"/>
          <w:numId w:val="27"/>
        </w:numPr>
        <w:tabs>
          <w:tab w:val="clear" w:pos="360"/>
          <w:tab w:val="num" w:pos="1197"/>
        </w:tabs>
        <w:ind w:left="1208" w:hanging="357"/>
        <w:rPr>
          <w:sz w:val="20"/>
        </w:rPr>
      </w:pPr>
      <w:r>
        <w:rPr>
          <w:sz w:val="20"/>
        </w:rPr>
        <w:t xml:space="preserve">omitted under the </w:t>
      </w:r>
      <w:r>
        <w:rPr>
          <w:i/>
          <w:sz w:val="20"/>
        </w:rPr>
        <w:t>Reprints Act 1984</w:t>
      </w:r>
      <w:r>
        <w:rPr>
          <w:sz w:val="20"/>
        </w:rPr>
        <w:t xml:space="preserve"> s. 7(4) (because, although still technically part of the text, it no longer has any effect).</w:t>
      </w:r>
    </w:p>
    <w:p>
      <w:pPr>
        <w:spacing w:before="60"/>
        <w:ind w:left="851"/>
        <w:rPr>
          <w:sz w:val="20"/>
        </w:rPr>
      </w:pPr>
      <w:r>
        <w:rPr>
          <w:sz w:val="20"/>
        </w:rPr>
        <w:t>The text of anything removed or omitted can be found in an earlier reprint (if there is one) or one of the written laws identified in the Compilation table.</w:t>
      </w:r>
    </w:p>
    <w:p>
      <w:pPr>
        <w:tabs>
          <w:tab w:val="left" w:pos="567"/>
          <w:tab w:val="left" w:pos="851"/>
        </w:tabs>
        <w:spacing w:before="120"/>
        <w:ind w:left="851" w:hanging="851"/>
        <w:outlineLvl w:val="0"/>
        <w:rPr>
          <w:b/>
          <w:i/>
          <w:sz w:val="20"/>
        </w:rPr>
      </w:pPr>
      <w:r>
        <w:rPr>
          <w:b/>
          <w:i/>
          <w:sz w:val="20"/>
        </w:rPr>
        <w:tab/>
      </w:r>
      <w:r>
        <w:rPr>
          <w:b/>
          <w:i/>
          <w:sz w:val="20"/>
        </w:rPr>
        <w:tab/>
        <w:t>Reprint numbering and date</w:t>
      </w:r>
    </w:p>
    <w:p>
      <w:pPr>
        <w:tabs>
          <w:tab w:val="left" w:pos="567"/>
          <w:tab w:val="left" w:pos="851"/>
        </w:tabs>
        <w:ind w:left="851" w:hanging="851"/>
        <w:rPr>
          <w:spacing w:val="-3"/>
          <w:sz w:val="20"/>
        </w:rPr>
      </w:pPr>
      <w:r>
        <w:rPr>
          <w:spacing w:val="-3"/>
          <w:sz w:val="20"/>
        </w:rPr>
        <w:tab/>
        <w:t>1.</w:t>
      </w:r>
      <w:r>
        <w:rPr>
          <w:spacing w:val="-3"/>
          <w:sz w:val="20"/>
        </w:rPr>
        <w:tab/>
        <w:t>The reprint number (in the footer of each page of the document) shows how many times the regulations have been reprinted.  For example, numbering a reprint as “Reprint 3” would mean that the reprint was the 3</w:t>
      </w:r>
      <w:r>
        <w:rPr>
          <w:spacing w:val="-3"/>
          <w:sz w:val="20"/>
          <w:vertAlign w:val="superscript"/>
        </w:rPr>
        <w:t>rd</w:t>
      </w:r>
      <w:r>
        <w:rPr>
          <w:spacing w:val="-3"/>
          <w:sz w:val="20"/>
        </w:rPr>
        <w:t xml:space="preserve"> reprint since the regulations were published.  Reprint numbering was implemented as from 1 January 2003.</w:t>
      </w:r>
    </w:p>
    <w:p>
      <w:pPr>
        <w:tabs>
          <w:tab w:val="left" w:pos="567"/>
        </w:tabs>
        <w:spacing w:before="60"/>
        <w:ind w:left="851" w:hanging="851"/>
        <w:rPr>
          <w:spacing w:val="-3"/>
          <w:sz w:val="20"/>
        </w:rPr>
      </w:pPr>
      <w:r>
        <w:rPr>
          <w:spacing w:val="-3"/>
          <w:sz w:val="20"/>
        </w:rPr>
        <w:tab/>
        <w:t>2.</w:t>
      </w:r>
      <w:r>
        <w:rPr>
          <w:spacing w:val="-3"/>
          <w:sz w:val="20"/>
        </w:rPr>
        <w:tab/>
        <w:t>The information in the reprint is current on the date shown as the date as at which the regulations are reprinted.  That date is not the date when the reprint was published by the State Law Publisher and it is probably not the date when the most recent amendment had effect.</w:t>
      </w:r>
    </w:p>
    <w:p>
      <w:pPr>
        <w:tabs>
          <w:tab w:val="left" w:pos="567"/>
        </w:tabs>
        <w:spacing w:before="60"/>
        <w:ind w:left="851" w:hanging="851"/>
        <w:rPr>
          <w:spacing w:val="-3"/>
          <w:sz w:val="20"/>
        </w:rPr>
      </w:pPr>
    </w:p>
    <w:p>
      <w:pPr>
        <w:jc w:val="center"/>
        <w:rPr>
          <w:b/>
        </w:rPr>
        <w:sectPr>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2381" w:right="2409" w:bottom="3515" w:left="2409" w:header="709"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at </w:t>
            </w:r>
            <w:r>
              <w:rPr>
                <w:b/>
                <w:sz w:val="22"/>
              </w:rPr>
              <w:fldChar w:fldCharType="begin"/>
            </w:r>
            <w:r>
              <w:rPr>
                <w:b/>
                <w:sz w:val="22"/>
              </w:rPr>
              <w:instrText xml:space="preserve"> DOCPROPERTY "ReprintedAsAt"  \@ </w:instrText>
            </w:r>
            <w:r>
              <w:rPr>
                <w:b/>
                <w:snapToGrid w:val="0"/>
                <w:sz w:val="22"/>
              </w:rPr>
              <w:instrText xml:space="preserve">"d MMMM yyyy" </w:instrText>
            </w:r>
            <w:r>
              <w:rPr>
                <w:b/>
                <w:sz w:val="22"/>
              </w:rPr>
              <w:instrText>\* MERGEFORMAT</w:instrText>
            </w:r>
            <w:r>
              <w:rPr>
                <w:b/>
                <w:sz w:val="22"/>
              </w:rPr>
              <w:fldChar w:fldCharType="separate"/>
            </w:r>
            <w:r>
              <w:rPr>
                <w:b/>
                <w:sz w:val="22"/>
              </w:rPr>
              <w:t>5 December 2014</w:t>
            </w:r>
            <w:r>
              <w:rPr>
                <w:b/>
                <w:sz w:val="22"/>
              </w:rPr>
              <w:fldChar w:fldCharType="end"/>
            </w:r>
          </w:p>
        </w:tc>
      </w:tr>
    </w:tbl>
    <w:p>
      <w:pPr>
        <w:pStyle w:val="WA"/>
        <w:spacing w:before="120"/>
      </w:pPr>
      <w:r>
        <w:t>Western Australia</w:t>
      </w:r>
    </w:p>
    <w:p>
      <w:pPr>
        <w:pStyle w:val="NameofActRegPage1"/>
      </w:pPr>
      <w:r>
        <w:fldChar w:fldCharType="begin"/>
      </w:r>
      <w:r>
        <w:instrText xml:space="preserve"> STYLEREF "Name Of Act/Reg"</w:instrText>
      </w:r>
      <w:r>
        <w:fldChar w:fldCharType="separate"/>
      </w:r>
      <w:r>
        <w:rPr>
          <w:noProof/>
        </w:rPr>
        <w:t>Environmental Protection Regulations 1987</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 xml:space="preserve">. </w:t>
      </w:r>
      <w:r>
        <w:rPr>
          <w:snapToGrid w:val="0"/>
        </w:rPr>
        <w:tab/>
        <w:t>Citation</w:t>
      </w:r>
      <w:r>
        <w:tab/>
      </w:r>
      <w:r>
        <w:fldChar w:fldCharType="begin"/>
      </w:r>
      <w:r>
        <w:instrText xml:space="preserve"> PAGEREF _Toc404948512 \h </w:instrText>
      </w:r>
      <w:r>
        <w:fldChar w:fldCharType="separate"/>
      </w:r>
      <w:r>
        <w:t>1</w:t>
      </w:r>
      <w:r>
        <w:fldChar w:fldCharType="end"/>
      </w:r>
    </w:p>
    <w:p>
      <w:pPr>
        <w:pStyle w:val="TOC8"/>
        <w:rPr>
          <w:rFonts w:asciiTheme="minorHAnsi" w:eastAsiaTheme="minorEastAsia" w:hAnsiTheme="minorHAnsi" w:cstheme="minorBidi"/>
          <w:szCs w:val="22"/>
        </w:rPr>
      </w:pPr>
      <w:r>
        <w:t>2</w:t>
      </w:r>
      <w:r>
        <w:rPr>
          <w:snapToGrid w:val="0"/>
        </w:rPr>
        <w:t xml:space="preserve">. </w:t>
      </w:r>
      <w:r>
        <w:rPr>
          <w:snapToGrid w:val="0"/>
        </w:rPr>
        <w:tab/>
        <w:t>Commencement</w:t>
      </w:r>
      <w:r>
        <w:tab/>
      </w:r>
      <w:r>
        <w:fldChar w:fldCharType="begin"/>
      </w:r>
      <w:r>
        <w:instrText xml:space="preserve"> PAGEREF _Toc404948513 \h </w:instrText>
      </w:r>
      <w:r>
        <w:fldChar w:fldCharType="separate"/>
      </w:r>
      <w:r>
        <w:t>1</w:t>
      </w:r>
      <w:r>
        <w:fldChar w:fldCharType="end"/>
      </w:r>
    </w:p>
    <w:p>
      <w:pPr>
        <w:pStyle w:val="TOC8"/>
        <w:rPr>
          <w:rFonts w:asciiTheme="minorHAnsi" w:eastAsiaTheme="minorEastAsia" w:hAnsiTheme="minorHAnsi" w:cstheme="minorBidi"/>
          <w:szCs w:val="22"/>
        </w:rPr>
      </w:pPr>
      <w:r>
        <w:t>2AA.</w:t>
      </w:r>
      <w:r>
        <w:tab/>
        <w:t>Terms used</w:t>
      </w:r>
      <w:r>
        <w:tab/>
      </w:r>
      <w:r>
        <w:fldChar w:fldCharType="begin"/>
      </w:r>
      <w:r>
        <w:instrText xml:space="preserve"> PAGEREF _Toc404948514 \h </w:instrText>
      </w:r>
      <w:r>
        <w:fldChar w:fldCharType="separate"/>
      </w:r>
      <w:r>
        <w:t>1</w:t>
      </w:r>
      <w:r>
        <w:fldChar w:fldCharType="end"/>
      </w:r>
    </w:p>
    <w:p>
      <w:pPr>
        <w:pStyle w:val="TOC2"/>
        <w:tabs>
          <w:tab w:val="right" w:leader="dot" w:pos="7086"/>
        </w:tabs>
        <w:rPr>
          <w:rFonts w:asciiTheme="minorHAnsi" w:eastAsiaTheme="minorEastAsia" w:hAnsiTheme="minorHAnsi" w:cstheme="minorBidi"/>
          <w:b w:val="0"/>
          <w:sz w:val="22"/>
          <w:szCs w:val="22"/>
        </w:rPr>
      </w:pPr>
      <w:r>
        <w:t>Part 2 — Administrative matters</w:t>
      </w:r>
    </w:p>
    <w:p>
      <w:pPr>
        <w:pStyle w:val="TOC8"/>
        <w:rPr>
          <w:rFonts w:asciiTheme="minorHAnsi" w:eastAsiaTheme="minorEastAsia" w:hAnsiTheme="minorHAnsi" w:cstheme="minorBidi"/>
          <w:szCs w:val="22"/>
        </w:rPr>
      </w:pPr>
      <w:r>
        <w:t>2A</w:t>
      </w:r>
      <w:r>
        <w:rPr>
          <w:snapToGrid w:val="0"/>
        </w:rPr>
        <w:t>.</w:t>
      </w:r>
      <w:r>
        <w:rPr>
          <w:snapToGrid w:val="0"/>
        </w:rPr>
        <w:tab/>
        <w:t>Draft policies, where and when public may inspect (Act s. 26(1)(d))</w:t>
      </w:r>
      <w:r>
        <w:tab/>
      </w:r>
      <w:r>
        <w:fldChar w:fldCharType="begin"/>
      </w:r>
      <w:r>
        <w:instrText xml:space="preserve"> PAGEREF _Toc404948516 \h </w:instrText>
      </w:r>
      <w:r>
        <w:fldChar w:fldCharType="separate"/>
      </w:r>
      <w:r>
        <w:t>2</w:t>
      </w:r>
      <w:r>
        <w:fldChar w:fldCharType="end"/>
      </w:r>
    </w:p>
    <w:p>
      <w:pPr>
        <w:pStyle w:val="TOC8"/>
        <w:rPr>
          <w:rFonts w:asciiTheme="minorHAnsi" w:eastAsiaTheme="minorEastAsia" w:hAnsiTheme="minorHAnsi" w:cstheme="minorBidi"/>
          <w:szCs w:val="22"/>
        </w:rPr>
      </w:pPr>
      <w:r>
        <w:t>2B</w:t>
      </w:r>
      <w:r>
        <w:rPr>
          <w:snapToGrid w:val="0"/>
        </w:rPr>
        <w:t>.</w:t>
      </w:r>
      <w:r>
        <w:rPr>
          <w:snapToGrid w:val="0"/>
        </w:rPr>
        <w:tab/>
        <w:t>Minutes of EPA, public inspection of</w:t>
      </w:r>
      <w:r>
        <w:tab/>
      </w:r>
      <w:r>
        <w:fldChar w:fldCharType="begin"/>
      </w:r>
      <w:r>
        <w:instrText xml:space="preserve"> PAGEREF _Toc404948517 \h </w:instrText>
      </w:r>
      <w:r>
        <w:fldChar w:fldCharType="separate"/>
      </w:r>
      <w:r>
        <w:t>2</w:t>
      </w:r>
      <w:r>
        <w:fldChar w:fldCharType="end"/>
      </w:r>
    </w:p>
    <w:p>
      <w:pPr>
        <w:pStyle w:val="TOC8"/>
        <w:rPr>
          <w:rFonts w:asciiTheme="minorHAnsi" w:eastAsiaTheme="minorEastAsia" w:hAnsiTheme="minorHAnsi" w:cstheme="minorBidi"/>
          <w:szCs w:val="22"/>
        </w:rPr>
      </w:pPr>
      <w:r>
        <w:t>2C</w:t>
      </w:r>
      <w:r>
        <w:rPr>
          <w:snapToGrid w:val="0"/>
        </w:rPr>
        <w:t>.</w:t>
      </w:r>
      <w:r>
        <w:rPr>
          <w:snapToGrid w:val="0"/>
        </w:rPr>
        <w:tab/>
        <w:t>Proposals of prescribed class (Act s. 38)</w:t>
      </w:r>
      <w:r>
        <w:tab/>
      </w:r>
      <w:r>
        <w:fldChar w:fldCharType="begin"/>
      </w:r>
      <w:r>
        <w:instrText xml:space="preserve"> PAGEREF _Toc404948518 \h </w:instrText>
      </w:r>
      <w:r>
        <w:fldChar w:fldCharType="separate"/>
      </w:r>
      <w:r>
        <w:t>3</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Details prescribed for records of proposals (Act s. 39(1)); where and when public may inspect records</w:t>
      </w:r>
      <w:r>
        <w:tab/>
      </w:r>
      <w:r>
        <w:fldChar w:fldCharType="begin"/>
      </w:r>
      <w:r>
        <w:instrText xml:space="preserve"> PAGEREF _Toc404948519 \h </w:instrText>
      </w:r>
      <w:r>
        <w:fldChar w:fldCharType="separate"/>
      </w:r>
      <w:r>
        <w:t>4</w:t>
      </w:r>
      <w:r>
        <w:fldChar w:fldCharType="end"/>
      </w:r>
    </w:p>
    <w:p>
      <w:pPr>
        <w:pStyle w:val="TOC2"/>
        <w:tabs>
          <w:tab w:val="right" w:leader="dot" w:pos="7086"/>
        </w:tabs>
        <w:rPr>
          <w:rFonts w:asciiTheme="minorHAnsi" w:eastAsiaTheme="minorEastAsia" w:hAnsiTheme="minorHAnsi" w:cstheme="minorBidi"/>
          <w:b w:val="0"/>
          <w:sz w:val="22"/>
          <w:szCs w:val="22"/>
        </w:rPr>
      </w:pPr>
      <w:r>
        <w:t>Part 3 — Control of pollution generally</w:t>
      </w:r>
    </w:p>
    <w:p>
      <w:pPr>
        <w:pStyle w:val="TOC8"/>
        <w:rPr>
          <w:rFonts w:asciiTheme="minorHAnsi" w:eastAsiaTheme="minorEastAsia" w:hAnsiTheme="minorHAnsi" w:cstheme="minorBidi"/>
          <w:szCs w:val="22"/>
        </w:rPr>
      </w:pPr>
      <w:r>
        <w:t>4</w:t>
      </w:r>
      <w:r>
        <w:rPr>
          <w:snapToGrid w:val="0"/>
        </w:rPr>
        <w:t>.</w:t>
      </w:r>
      <w:r>
        <w:rPr>
          <w:snapToGrid w:val="0"/>
        </w:rPr>
        <w:tab/>
        <w:t>Terms used; amounts of units for fees</w:t>
      </w:r>
      <w:r>
        <w:tab/>
      </w:r>
      <w:r>
        <w:fldChar w:fldCharType="begin"/>
      </w:r>
      <w:r>
        <w:instrText xml:space="preserve"> PAGEREF _Toc404948521 \h </w:instrText>
      </w:r>
      <w:r>
        <w:fldChar w:fldCharType="separate"/>
      </w:r>
      <w:r>
        <w:t>5</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Premises prescribed (Act Part V)</w:t>
      </w:r>
      <w:r>
        <w:tab/>
      </w:r>
      <w:r>
        <w:fldChar w:fldCharType="begin"/>
      </w:r>
      <w:r>
        <w:instrText xml:space="preserve"> PAGEREF _Toc404948522 \h </w:instrText>
      </w:r>
      <w:r>
        <w:fldChar w:fldCharType="separate"/>
      </w:r>
      <w:r>
        <w:t>8</w:t>
      </w:r>
      <w:r>
        <w:fldChar w:fldCharType="end"/>
      </w:r>
    </w:p>
    <w:p>
      <w:pPr>
        <w:pStyle w:val="TOC8"/>
        <w:rPr>
          <w:rFonts w:asciiTheme="minorHAnsi" w:eastAsiaTheme="minorEastAsia" w:hAnsiTheme="minorHAnsi" w:cstheme="minorBidi"/>
          <w:szCs w:val="22"/>
        </w:rPr>
      </w:pPr>
      <w:r>
        <w:t>5A</w:t>
      </w:r>
      <w:r>
        <w:rPr>
          <w:snapToGrid w:val="0"/>
        </w:rPr>
        <w:t>.</w:t>
      </w:r>
      <w:r>
        <w:rPr>
          <w:snapToGrid w:val="0"/>
        </w:rPr>
        <w:tab/>
        <w:t>Registration of Sch. 1 Part 2 premises, effect and cancellation of etc.</w:t>
      </w:r>
      <w:r>
        <w:tab/>
      </w:r>
      <w:r>
        <w:fldChar w:fldCharType="begin"/>
      </w:r>
      <w:r>
        <w:instrText xml:space="preserve"> PAGEREF _Toc404948523 \h </w:instrText>
      </w:r>
      <w:r>
        <w:fldChar w:fldCharType="separate"/>
      </w:r>
      <w:r>
        <w:t>8</w:t>
      </w:r>
      <w:r>
        <w:fldChar w:fldCharType="end"/>
      </w:r>
    </w:p>
    <w:p>
      <w:pPr>
        <w:pStyle w:val="TOC8"/>
        <w:rPr>
          <w:rFonts w:asciiTheme="minorHAnsi" w:eastAsiaTheme="minorEastAsia" w:hAnsiTheme="minorHAnsi" w:cstheme="minorBidi"/>
          <w:szCs w:val="22"/>
        </w:rPr>
      </w:pPr>
      <w:r>
        <w:t>5B</w:t>
      </w:r>
      <w:r>
        <w:rPr>
          <w:snapToGrid w:val="0"/>
        </w:rPr>
        <w:t>.</w:t>
      </w:r>
      <w:r>
        <w:rPr>
          <w:snapToGrid w:val="0"/>
        </w:rPr>
        <w:tab/>
        <w:t>Registration of premises, application for etc.</w:t>
      </w:r>
      <w:r>
        <w:tab/>
      </w:r>
      <w:r>
        <w:fldChar w:fldCharType="begin"/>
      </w:r>
      <w:r>
        <w:instrText xml:space="preserve"> PAGEREF _Toc404948524 \h </w:instrText>
      </w:r>
      <w:r>
        <w:fldChar w:fldCharType="separate"/>
      </w:r>
      <w:r>
        <w:t>9</w:t>
      </w:r>
      <w:r>
        <w:fldChar w:fldCharType="end"/>
      </w:r>
    </w:p>
    <w:p>
      <w:pPr>
        <w:pStyle w:val="TOC8"/>
        <w:rPr>
          <w:rFonts w:asciiTheme="minorHAnsi" w:eastAsiaTheme="minorEastAsia" w:hAnsiTheme="minorHAnsi" w:cstheme="minorBidi"/>
          <w:szCs w:val="22"/>
        </w:rPr>
      </w:pPr>
      <w:r>
        <w:t>5C</w:t>
      </w:r>
      <w:r>
        <w:rPr>
          <w:snapToGrid w:val="0"/>
        </w:rPr>
        <w:t>.</w:t>
      </w:r>
      <w:r>
        <w:rPr>
          <w:snapToGrid w:val="0"/>
        </w:rPr>
        <w:tab/>
        <w:t>Fees prescribed for works approval and transfer of works approval (Act s. 54(1) and 64(1))</w:t>
      </w:r>
      <w:r>
        <w:tab/>
      </w:r>
      <w:r>
        <w:fldChar w:fldCharType="begin"/>
      </w:r>
      <w:r>
        <w:instrText xml:space="preserve"> PAGEREF _Toc404948525 \h </w:instrText>
      </w:r>
      <w:r>
        <w:fldChar w:fldCharType="separate"/>
      </w:r>
      <w:r>
        <w:t>10</w:t>
      </w:r>
      <w:r>
        <w:fldChar w:fldCharType="end"/>
      </w:r>
    </w:p>
    <w:p>
      <w:pPr>
        <w:pStyle w:val="TOC8"/>
        <w:rPr>
          <w:rFonts w:asciiTheme="minorHAnsi" w:eastAsiaTheme="minorEastAsia" w:hAnsiTheme="minorHAnsi" w:cstheme="minorBidi"/>
          <w:szCs w:val="22"/>
        </w:rPr>
      </w:pPr>
      <w:r>
        <w:t>5CA.</w:t>
      </w:r>
      <w:r>
        <w:tab/>
        <w:t>Fee for works approval, CEO may waive</w:t>
      </w:r>
      <w:r>
        <w:tab/>
      </w:r>
      <w:r>
        <w:fldChar w:fldCharType="begin"/>
      </w:r>
      <w:r>
        <w:instrText xml:space="preserve"> PAGEREF _Toc404948526 \h </w:instrText>
      </w:r>
      <w:r>
        <w:fldChar w:fldCharType="separate"/>
      </w:r>
      <w:r>
        <w:t>10</w:t>
      </w:r>
      <w:r>
        <w:fldChar w:fldCharType="end"/>
      </w:r>
    </w:p>
    <w:p>
      <w:pPr>
        <w:pStyle w:val="TOC8"/>
        <w:rPr>
          <w:rFonts w:asciiTheme="minorHAnsi" w:eastAsiaTheme="minorEastAsia" w:hAnsiTheme="minorHAnsi" w:cstheme="minorBidi"/>
          <w:szCs w:val="22"/>
        </w:rPr>
      </w:pPr>
      <w:r>
        <w:t>5CAA.</w:t>
      </w:r>
      <w:r>
        <w:tab/>
        <w:t>Manner of advertising prescribed</w:t>
      </w:r>
      <w:r>
        <w:rPr>
          <w:snapToGrid w:val="0"/>
        </w:rPr>
        <w:t xml:space="preserve"> (Act s. 54(2a))</w:t>
      </w:r>
      <w:r>
        <w:tab/>
      </w:r>
      <w:r>
        <w:fldChar w:fldCharType="begin"/>
      </w:r>
      <w:r>
        <w:instrText xml:space="preserve"> PAGEREF _Toc404948527 \h </w:instrText>
      </w:r>
      <w:r>
        <w:fldChar w:fldCharType="separate"/>
      </w:r>
      <w:r>
        <w:t>11</w:t>
      </w:r>
      <w:r>
        <w:fldChar w:fldCharType="end"/>
      </w:r>
    </w:p>
    <w:p>
      <w:pPr>
        <w:pStyle w:val="TOC8"/>
        <w:rPr>
          <w:rFonts w:asciiTheme="minorHAnsi" w:eastAsiaTheme="minorEastAsia" w:hAnsiTheme="minorHAnsi" w:cstheme="minorBidi"/>
          <w:szCs w:val="22"/>
        </w:rPr>
      </w:pPr>
      <w:r>
        <w:t>5CB.</w:t>
      </w:r>
      <w:r>
        <w:tab/>
        <w:t>Replacement of expiring licence, application for</w:t>
      </w:r>
      <w:r>
        <w:tab/>
      </w:r>
      <w:r>
        <w:fldChar w:fldCharType="begin"/>
      </w:r>
      <w:r>
        <w:instrText xml:space="preserve"> PAGEREF _Toc404948528 \h </w:instrText>
      </w:r>
      <w:r>
        <w:fldChar w:fldCharType="separate"/>
      </w:r>
      <w:r>
        <w:t>11</w:t>
      </w:r>
      <w:r>
        <w:fldChar w:fldCharType="end"/>
      </w:r>
    </w:p>
    <w:p>
      <w:pPr>
        <w:pStyle w:val="TOC8"/>
        <w:rPr>
          <w:rFonts w:asciiTheme="minorHAnsi" w:eastAsiaTheme="minorEastAsia" w:hAnsiTheme="minorHAnsi" w:cstheme="minorBidi"/>
          <w:szCs w:val="22"/>
        </w:rPr>
      </w:pPr>
      <w:r>
        <w:t>5D</w:t>
      </w:r>
      <w:r>
        <w:rPr>
          <w:snapToGrid w:val="0"/>
        </w:rPr>
        <w:t>.</w:t>
      </w:r>
      <w:r>
        <w:rPr>
          <w:snapToGrid w:val="0"/>
        </w:rPr>
        <w:tab/>
        <w:t>Prescribed premises, fee for licence for</w:t>
      </w:r>
      <w:r>
        <w:tab/>
      </w:r>
      <w:r>
        <w:fldChar w:fldCharType="begin"/>
      </w:r>
      <w:r>
        <w:instrText xml:space="preserve"> PAGEREF _Toc404948529 \h </w:instrText>
      </w:r>
      <w:r>
        <w:fldChar w:fldCharType="separate"/>
      </w:r>
      <w:r>
        <w:t>12</w:t>
      </w:r>
      <w:r>
        <w:fldChar w:fldCharType="end"/>
      </w:r>
    </w:p>
    <w:p>
      <w:pPr>
        <w:pStyle w:val="TOC8"/>
        <w:rPr>
          <w:rFonts w:asciiTheme="minorHAnsi" w:eastAsiaTheme="minorEastAsia" w:hAnsiTheme="minorHAnsi" w:cstheme="minorBidi"/>
          <w:szCs w:val="22"/>
        </w:rPr>
      </w:pPr>
      <w:r>
        <w:t>5DA.</w:t>
      </w:r>
      <w:r>
        <w:tab/>
        <w:t>Payment of licence fees</w:t>
      </w:r>
      <w:r>
        <w:tab/>
      </w:r>
      <w:r>
        <w:fldChar w:fldCharType="begin"/>
      </w:r>
      <w:r>
        <w:instrText xml:space="preserve"> PAGEREF _Toc404948530 \h </w:instrText>
      </w:r>
      <w:r>
        <w:fldChar w:fldCharType="separate"/>
      </w:r>
      <w:r>
        <w:t>13</w:t>
      </w:r>
      <w:r>
        <w:fldChar w:fldCharType="end"/>
      </w:r>
    </w:p>
    <w:p>
      <w:pPr>
        <w:pStyle w:val="TOC8"/>
        <w:rPr>
          <w:rFonts w:asciiTheme="minorHAnsi" w:eastAsiaTheme="minorEastAsia" w:hAnsiTheme="minorHAnsi" w:cstheme="minorBidi"/>
          <w:szCs w:val="22"/>
        </w:rPr>
      </w:pPr>
      <w:r>
        <w:t>5E</w:t>
      </w:r>
      <w:r>
        <w:rPr>
          <w:snapToGrid w:val="0"/>
        </w:rPr>
        <w:t>.</w:t>
      </w:r>
      <w:r>
        <w:rPr>
          <w:snapToGrid w:val="0"/>
        </w:rPr>
        <w:tab/>
        <w:t>Amount in r. 5D(1a)(c), calculation of</w:t>
      </w:r>
      <w:r>
        <w:tab/>
      </w:r>
      <w:r>
        <w:fldChar w:fldCharType="begin"/>
      </w:r>
      <w:r>
        <w:instrText xml:space="preserve"> PAGEREF _Toc404948531 \h </w:instrText>
      </w:r>
      <w:r>
        <w:fldChar w:fldCharType="separate"/>
      </w:r>
      <w:r>
        <w:t>14</w:t>
      </w:r>
      <w:r>
        <w:fldChar w:fldCharType="end"/>
      </w:r>
    </w:p>
    <w:p>
      <w:pPr>
        <w:pStyle w:val="TOC8"/>
        <w:rPr>
          <w:rFonts w:asciiTheme="minorHAnsi" w:eastAsiaTheme="minorEastAsia" w:hAnsiTheme="minorHAnsi" w:cstheme="minorBidi"/>
          <w:szCs w:val="22"/>
        </w:rPr>
      </w:pPr>
      <w:r>
        <w:t>5EA</w:t>
      </w:r>
      <w:r>
        <w:rPr>
          <w:snapToGrid w:val="0"/>
        </w:rPr>
        <w:t>.</w:t>
      </w:r>
      <w:r>
        <w:rPr>
          <w:snapToGrid w:val="0"/>
        </w:rPr>
        <w:tab/>
        <w:t>Fees under r. 5D(1a)(b) and (c), CEO may waive</w:t>
      </w:r>
      <w:r>
        <w:tab/>
      </w:r>
      <w:r>
        <w:fldChar w:fldCharType="begin"/>
      </w:r>
      <w:r>
        <w:instrText xml:space="preserve"> PAGEREF _Toc404948532 \h </w:instrText>
      </w:r>
      <w:r>
        <w:fldChar w:fldCharType="separate"/>
      </w:r>
      <w:r>
        <w:t>15</w:t>
      </w:r>
      <w:r>
        <w:fldChar w:fldCharType="end"/>
      </w:r>
    </w:p>
    <w:p>
      <w:pPr>
        <w:pStyle w:val="TOC8"/>
        <w:rPr>
          <w:rFonts w:asciiTheme="minorHAnsi" w:eastAsiaTheme="minorEastAsia" w:hAnsiTheme="minorHAnsi" w:cstheme="minorBidi"/>
          <w:szCs w:val="22"/>
        </w:rPr>
      </w:pPr>
      <w:r>
        <w:t>5EB.</w:t>
      </w:r>
      <w:r>
        <w:tab/>
        <w:t>Fees under r. 5D, CEO may waive</w:t>
      </w:r>
      <w:r>
        <w:tab/>
      </w:r>
      <w:r>
        <w:fldChar w:fldCharType="begin"/>
      </w:r>
      <w:r>
        <w:instrText xml:space="preserve"> PAGEREF _Toc404948533 \h </w:instrText>
      </w:r>
      <w:r>
        <w:fldChar w:fldCharType="separate"/>
      </w:r>
      <w:r>
        <w:t>16</w:t>
      </w:r>
      <w:r>
        <w:fldChar w:fldCharType="end"/>
      </w:r>
    </w:p>
    <w:p>
      <w:pPr>
        <w:pStyle w:val="TOC8"/>
        <w:rPr>
          <w:rFonts w:asciiTheme="minorHAnsi" w:eastAsiaTheme="minorEastAsia" w:hAnsiTheme="minorHAnsi" w:cstheme="minorBidi"/>
          <w:szCs w:val="22"/>
        </w:rPr>
      </w:pPr>
      <w:r>
        <w:t>5F</w:t>
      </w:r>
      <w:r>
        <w:rPr>
          <w:snapToGrid w:val="0"/>
        </w:rPr>
        <w:t>.</w:t>
      </w:r>
      <w:r>
        <w:rPr>
          <w:snapToGrid w:val="0"/>
        </w:rPr>
        <w:tab/>
        <w:t>Fee under r. 5D(1a)(c) if discharged waste harmless</w:t>
      </w:r>
      <w:r>
        <w:tab/>
      </w:r>
      <w:r>
        <w:fldChar w:fldCharType="begin"/>
      </w:r>
      <w:r>
        <w:instrText xml:space="preserve"> PAGEREF _Toc404948534 \h </w:instrText>
      </w:r>
      <w:r>
        <w:fldChar w:fldCharType="separate"/>
      </w:r>
      <w:r>
        <w:t>16</w:t>
      </w:r>
      <w:r>
        <w:fldChar w:fldCharType="end"/>
      </w:r>
    </w:p>
    <w:p>
      <w:pPr>
        <w:pStyle w:val="TOC8"/>
        <w:rPr>
          <w:rFonts w:asciiTheme="minorHAnsi" w:eastAsiaTheme="minorEastAsia" w:hAnsiTheme="minorHAnsi" w:cstheme="minorBidi"/>
          <w:szCs w:val="22"/>
        </w:rPr>
      </w:pPr>
      <w:r>
        <w:t>5G.</w:t>
      </w:r>
      <w:r>
        <w:tab/>
        <w:t>Maximum fees under r. 5D(1a)</w:t>
      </w:r>
      <w:r>
        <w:tab/>
      </w:r>
      <w:r>
        <w:fldChar w:fldCharType="begin"/>
      </w:r>
      <w:r>
        <w:instrText xml:space="preserve"> PAGEREF _Toc404948535 \h </w:instrText>
      </w:r>
      <w:r>
        <w:fldChar w:fldCharType="separate"/>
      </w:r>
      <w:r>
        <w:t>16</w:t>
      </w:r>
      <w:r>
        <w:fldChar w:fldCharType="end"/>
      </w:r>
    </w:p>
    <w:p>
      <w:pPr>
        <w:pStyle w:val="TOC8"/>
        <w:rPr>
          <w:rFonts w:asciiTheme="minorHAnsi" w:eastAsiaTheme="minorEastAsia" w:hAnsiTheme="minorHAnsi" w:cstheme="minorBidi"/>
          <w:szCs w:val="22"/>
        </w:rPr>
      </w:pPr>
      <w:r>
        <w:t>5H</w:t>
      </w:r>
      <w:r>
        <w:rPr>
          <w:snapToGrid w:val="0"/>
        </w:rPr>
        <w:t>.</w:t>
      </w:r>
      <w:r>
        <w:rPr>
          <w:snapToGrid w:val="0"/>
        </w:rPr>
        <w:tab/>
        <w:t>Partial refunds of fees for licences</w:t>
      </w:r>
      <w:r>
        <w:tab/>
      </w:r>
      <w:r>
        <w:fldChar w:fldCharType="begin"/>
      </w:r>
      <w:r>
        <w:instrText xml:space="preserve"> PAGEREF _Toc404948536 \h </w:instrText>
      </w:r>
      <w:r>
        <w:fldChar w:fldCharType="separate"/>
      </w:r>
      <w:r>
        <w:t>19</w:t>
      </w:r>
      <w:r>
        <w:fldChar w:fldCharType="end"/>
      </w:r>
    </w:p>
    <w:p>
      <w:pPr>
        <w:pStyle w:val="TOC8"/>
        <w:rPr>
          <w:rFonts w:asciiTheme="minorHAnsi" w:eastAsiaTheme="minorEastAsia" w:hAnsiTheme="minorHAnsi" w:cstheme="minorBidi"/>
          <w:szCs w:val="22"/>
        </w:rPr>
      </w:pPr>
      <w:r>
        <w:t>5I</w:t>
      </w:r>
      <w:r>
        <w:rPr>
          <w:snapToGrid w:val="0"/>
        </w:rPr>
        <w:t>.</w:t>
      </w:r>
      <w:r>
        <w:rPr>
          <w:snapToGrid w:val="0"/>
        </w:rPr>
        <w:tab/>
        <w:t>Certain matters relevant to fees to be determined by CEO</w:t>
      </w:r>
      <w:r>
        <w:tab/>
      </w:r>
      <w:r>
        <w:fldChar w:fldCharType="begin"/>
      </w:r>
      <w:r>
        <w:instrText xml:space="preserve"> PAGEREF _Toc404948537 \h </w:instrText>
      </w:r>
      <w:r>
        <w:fldChar w:fldCharType="separate"/>
      </w:r>
      <w:r>
        <w:t>20</w:t>
      </w:r>
      <w:r>
        <w:fldChar w:fldCharType="end"/>
      </w:r>
    </w:p>
    <w:p>
      <w:pPr>
        <w:pStyle w:val="TOC8"/>
        <w:rPr>
          <w:rFonts w:asciiTheme="minorHAnsi" w:eastAsiaTheme="minorEastAsia" w:hAnsiTheme="minorHAnsi" w:cstheme="minorBidi"/>
          <w:szCs w:val="22"/>
        </w:rPr>
      </w:pPr>
      <w:r>
        <w:t>5IA</w:t>
      </w:r>
      <w:r>
        <w:rPr>
          <w:snapToGrid w:val="0"/>
        </w:rPr>
        <w:t>.</w:t>
      </w:r>
      <w:r>
        <w:rPr>
          <w:snapToGrid w:val="0"/>
        </w:rPr>
        <w:tab/>
        <w:t>Compliance with best practice criteria may be condition of licence (Act s. 62(2))</w:t>
      </w:r>
      <w:r>
        <w:tab/>
      </w:r>
      <w:r>
        <w:fldChar w:fldCharType="begin"/>
      </w:r>
      <w:r>
        <w:instrText xml:space="preserve"> PAGEREF _Toc404948538 \h </w:instrText>
      </w:r>
      <w:r>
        <w:fldChar w:fldCharType="separate"/>
      </w:r>
      <w:r>
        <w:t>21</w:t>
      </w:r>
      <w:r>
        <w:fldChar w:fldCharType="end"/>
      </w:r>
    </w:p>
    <w:p>
      <w:pPr>
        <w:pStyle w:val="TOC8"/>
        <w:rPr>
          <w:rFonts w:asciiTheme="minorHAnsi" w:eastAsiaTheme="minorEastAsia" w:hAnsiTheme="minorHAnsi" w:cstheme="minorBidi"/>
          <w:szCs w:val="22"/>
        </w:rPr>
      </w:pPr>
      <w:r>
        <w:t>5J.</w:t>
      </w:r>
      <w:r>
        <w:tab/>
        <w:t>Manner of advertising prescribed</w:t>
      </w:r>
      <w:r>
        <w:rPr>
          <w:snapToGrid w:val="0"/>
        </w:rPr>
        <w:t xml:space="preserve"> (Act s. 57(2a))</w:t>
      </w:r>
      <w:r>
        <w:tab/>
      </w:r>
      <w:r>
        <w:fldChar w:fldCharType="begin"/>
      </w:r>
      <w:r>
        <w:instrText xml:space="preserve"> PAGEREF _Toc404948539 \h </w:instrText>
      </w:r>
      <w:r>
        <w:fldChar w:fldCharType="separate"/>
      </w:r>
      <w:r>
        <w:t>21</w:t>
      </w:r>
      <w:r>
        <w:fldChar w:fldCharType="end"/>
      </w:r>
    </w:p>
    <w:p>
      <w:pPr>
        <w:pStyle w:val="TOC8"/>
        <w:rPr>
          <w:rFonts w:asciiTheme="minorHAnsi" w:eastAsiaTheme="minorEastAsia" w:hAnsiTheme="minorHAnsi" w:cstheme="minorBidi"/>
          <w:szCs w:val="22"/>
        </w:rPr>
      </w:pPr>
      <w:r>
        <w:t>5K.</w:t>
      </w:r>
      <w:r>
        <w:tab/>
        <w:t xml:space="preserve">Details of discharge prescribed </w:t>
      </w:r>
      <w:r>
        <w:rPr>
          <w:snapToGrid w:val="0"/>
        </w:rPr>
        <w:t>(Act s. 72(1))</w:t>
      </w:r>
      <w:r>
        <w:tab/>
      </w:r>
      <w:r>
        <w:fldChar w:fldCharType="begin"/>
      </w:r>
      <w:r>
        <w:instrText xml:space="preserve"> PAGEREF _Toc404948540 \h </w:instrText>
      </w:r>
      <w:r>
        <w:fldChar w:fldCharType="separate"/>
      </w:r>
      <w:r>
        <w:t>22</w:t>
      </w:r>
      <w:r>
        <w:fldChar w:fldCharType="end"/>
      </w:r>
    </w:p>
    <w:p>
      <w:pPr>
        <w:pStyle w:val="TOC8"/>
        <w:rPr>
          <w:rFonts w:asciiTheme="minorHAnsi" w:eastAsiaTheme="minorEastAsia" w:hAnsiTheme="minorHAnsi" w:cstheme="minorBidi"/>
          <w:szCs w:val="22"/>
        </w:rPr>
      </w:pPr>
      <w:r>
        <w:t>5L.</w:t>
      </w:r>
      <w:r>
        <w:tab/>
        <w:t>Manner of notifying prescribed</w:t>
      </w:r>
      <w:r>
        <w:rPr>
          <w:snapToGrid w:val="0"/>
        </w:rPr>
        <w:t xml:space="preserve"> (Act s. 72)</w:t>
      </w:r>
      <w:r>
        <w:tab/>
      </w:r>
      <w:r>
        <w:fldChar w:fldCharType="begin"/>
      </w:r>
      <w:r>
        <w:instrText xml:space="preserve"> PAGEREF _Toc404948541 \h </w:instrText>
      </w:r>
      <w:r>
        <w:fldChar w:fldCharType="separate"/>
      </w:r>
      <w:r>
        <w:t>22</w:t>
      </w:r>
      <w:r>
        <w:fldChar w:fldCharType="end"/>
      </w:r>
    </w:p>
    <w:p>
      <w:pPr>
        <w:pStyle w:val="TOC8"/>
        <w:rPr>
          <w:rFonts w:asciiTheme="minorHAnsi" w:eastAsiaTheme="minorEastAsia" w:hAnsiTheme="minorHAnsi" w:cstheme="minorBidi"/>
          <w:szCs w:val="22"/>
        </w:rPr>
      </w:pPr>
      <w:r>
        <w:t>5M.</w:t>
      </w:r>
      <w:r>
        <w:tab/>
        <w:t>Changes in information given to Department, occupier etc. to notify Department of</w:t>
      </w:r>
      <w:r>
        <w:tab/>
      </w:r>
      <w:r>
        <w:fldChar w:fldCharType="begin"/>
      </w:r>
      <w:r>
        <w:instrText xml:space="preserve"> PAGEREF _Toc404948542 \h </w:instrText>
      </w:r>
      <w:r>
        <w:fldChar w:fldCharType="separate"/>
      </w:r>
      <w:r>
        <w:t>23</w:t>
      </w:r>
      <w:r>
        <w:fldChar w:fldCharType="end"/>
      </w:r>
    </w:p>
    <w:p>
      <w:pPr>
        <w:pStyle w:val="TOC8"/>
        <w:rPr>
          <w:rFonts w:asciiTheme="minorHAnsi" w:eastAsiaTheme="minorEastAsia" w:hAnsiTheme="minorHAnsi" w:cstheme="minorBidi"/>
          <w:szCs w:val="22"/>
        </w:rPr>
      </w:pPr>
      <w:r>
        <w:t>5N.</w:t>
      </w:r>
      <w:r>
        <w:tab/>
        <w:t>Transitional provision (reduced fees)</w:t>
      </w:r>
      <w:r>
        <w:tab/>
      </w:r>
      <w:r>
        <w:fldChar w:fldCharType="begin"/>
      </w:r>
      <w:r>
        <w:instrText xml:space="preserve"> PAGEREF _Toc404948543 \h </w:instrText>
      </w:r>
      <w:r>
        <w:fldChar w:fldCharType="separate"/>
      </w:r>
      <w:r>
        <w:t>23</w:t>
      </w:r>
      <w:r>
        <w:fldChar w:fldCharType="end"/>
      </w:r>
    </w:p>
    <w:p>
      <w:pPr>
        <w:pStyle w:val="TOC8"/>
        <w:rPr>
          <w:rFonts w:asciiTheme="minorHAnsi" w:eastAsiaTheme="minorEastAsia" w:hAnsiTheme="minorHAnsi" w:cstheme="minorBidi"/>
          <w:szCs w:val="22"/>
        </w:rPr>
      </w:pPr>
      <w:r>
        <w:t>5O.</w:t>
      </w:r>
      <w:r>
        <w:tab/>
        <w:t>Reduction, waiver, or refund of fees, CEO’s powers as to</w:t>
      </w:r>
      <w:r>
        <w:tab/>
      </w:r>
      <w:r>
        <w:fldChar w:fldCharType="begin"/>
      </w:r>
      <w:r>
        <w:instrText xml:space="preserve"> PAGEREF _Toc404948544 \h </w:instrText>
      </w:r>
      <w:r>
        <w:fldChar w:fldCharType="separate"/>
      </w:r>
      <w:r>
        <w:t>24</w:t>
      </w:r>
      <w:r>
        <w:fldChar w:fldCharType="end"/>
      </w:r>
    </w:p>
    <w:p>
      <w:pPr>
        <w:pStyle w:val="TOC2"/>
        <w:tabs>
          <w:tab w:val="right" w:leader="dot" w:pos="7086"/>
        </w:tabs>
        <w:rPr>
          <w:rFonts w:asciiTheme="minorHAnsi" w:eastAsiaTheme="minorEastAsia" w:hAnsiTheme="minorHAnsi" w:cstheme="minorBidi"/>
          <w:b w:val="0"/>
          <w:sz w:val="22"/>
          <w:szCs w:val="22"/>
        </w:rPr>
      </w:pPr>
      <w:r>
        <w:t>Part 4 — Audible alarms</w:t>
      </w:r>
    </w:p>
    <w:p>
      <w:pPr>
        <w:pStyle w:val="TOC8"/>
        <w:rPr>
          <w:rFonts w:asciiTheme="minorHAnsi" w:eastAsiaTheme="minorEastAsia" w:hAnsiTheme="minorHAnsi" w:cstheme="minorBidi"/>
          <w:szCs w:val="22"/>
        </w:rPr>
      </w:pPr>
      <w:r>
        <w:t>6</w:t>
      </w:r>
      <w:r>
        <w:rPr>
          <w:snapToGrid w:val="0"/>
        </w:rPr>
        <w:t>.</w:t>
      </w:r>
      <w:r>
        <w:rPr>
          <w:snapToGrid w:val="0"/>
        </w:rPr>
        <w:tab/>
        <w:t>Period prescribed for audible alarms (Act s. 99(1)(a))</w:t>
      </w:r>
      <w:r>
        <w:tab/>
      </w:r>
      <w:r>
        <w:fldChar w:fldCharType="begin"/>
      </w:r>
      <w:r>
        <w:instrText xml:space="preserve"> PAGEREF _Toc404948546 \h </w:instrText>
      </w:r>
      <w:r>
        <w:fldChar w:fldCharType="separate"/>
      </w:r>
      <w:r>
        <w:t>25</w:t>
      </w:r>
      <w:r>
        <w:fldChar w:fldCharType="end"/>
      </w:r>
    </w:p>
    <w:p>
      <w:pPr>
        <w:pStyle w:val="TOC2"/>
        <w:tabs>
          <w:tab w:val="right" w:leader="dot" w:pos="7086"/>
        </w:tabs>
        <w:rPr>
          <w:rFonts w:asciiTheme="minorHAnsi" w:eastAsiaTheme="minorEastAsia" w:hAnsiTheme="minorHAnsi" w:cstheme="minorBidi"/>
          <w:b w:val="0"/>
          <w:sz w:val="22"/>
          <w:szCs w:val="22"/>
        </w:rPr>
      </w:pPr>
      <w:r>
        <w:t>Part 5 — Appeals</w:t>
      </w:r>
    </w:p>
    <w:p>
      <w:pPr>
        <w:pStyle w:val="TOC8"/>
        <w:rPr>
          <w:rFonts w:asciiTheme="minorHAnsi" w:eastAsiaTheme="minorEastAsia" w:hAnsiTheme="minorHAnsi" w:cstheme="minorBidi"/>
          <w:szCs w:val="22"/>
        </w:rPr>
      </w:pPr>
      <w:r>
        <w:t>7</w:t>
      </w:r>
      <w:r>
        <w:rPr>
          <w:snapToGrid w:val="0"/>
        </w:rPr>
        <w:t>.</w:t>
      </w:r>
      <w:r>
        <w:rPr>
          <w:snapToGrid w:val="0"/>
        </w:rPr>
        <w:tab/>
        <w:t>Commencing appeals under Act Part VII, manner of</w:t>
      </w:r>
      <w:r>
        <w:tab/>
      </w:r>
      <w:r>
        <w:fldChar w:fldCharType="begin"/>
      </w:r>
      <w:r>
        <w:instrText xml:space="preserve"> PAGEREF _Toc404948548 \h </w:instrText>
      </w:r>
      <w:r>
        <w:fldChar w:fldCharType="separate"/>
      </w:r>
      <w:r>
        <w:t>26</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Decisions on appeals, Minister to publish</w:t>
      </w:r>
      <w:r>
        <w:tab/>
      </w:r>
      <w:r>
        <w:fldChar w:fldCharType="begin"/>
      </w:r>
      <w:r>
        <w:instrText xml:space="preserve"> PAGEREF _Toc404948549 \h </w:instrText>
      </w:r>
      <w:r>
        <w:fldChar w:fldCharType="separate"/>
      </w:r>
      <w:r>
        <w:t>27</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Decisions on appeals, persons to be notified of</w:t>
      </w:r>
      <w:r>
        <w:tab/>
      </w:r>
      <w:r>
        <w:fldChar w:fldCharType="begin"/>
      </w:r>
      <w:r>
        <w:instrText xml:space="preserve"> PAGEREF _Toc404948550 \h </w:instrText>
      </w:r>
      <w:r>
        <w:fldChar w:fldCharType="separate"/>
      </w:r>
      <w:r>
        <w:t>28</w:t>
      </w:r>
      <w:r>
        <w:fldChar w:fldCharType="end"/>
      </w:r>
    </w:p>
    <w:p>
      <w:pPr>
        <w:pStyle w:val="TOC2"/>
        <w:tabs>
          <w:tab w:val="right" w:leader="dot" w:pos="7086"/>
        </w:tabs>
        <w:rPr>
          <w:rFonts w:asciiTheme="minorHAnsi" w:eastAsiaTheme="minorEastAsia" w:hAnsiTheme="minorHAnsi" w:cstheme="minorBidi"/>
          <w:b w:val="0"/>
          <w:sz w:val="22"/>
          <w:szCs w:val="22"/>
        </w:rPr>
      </w:pPr>
      <w:r>
        <w:t>Part 6 — Tyres</w:t>
      </w:r>
    </w:p>
    <w:p>
      <w:pPr>
        <w:pStyle w:val="TOC8"/>
        <w:rPr>
          <w:rFonts w:asciiTheme="minorHAnsi" w:eastAsiaTheme="minorEastAsia" w:hAnsiTheme="minorHAnsi" w:cstheme="minorBidi"/>
          <w:szCs w:val="22"/>
        </w:rPr>
      </w:pPr>
      <w:r>
        <w:t>11</w:t>
      </w:r>
      <w:r>
        <w:rPr>
          <w:snapToGrid w:val="0"/>
        </w:rPr>
        <w:t>.</w:t>
      </w:r>
      <w:r>
        <w:rPr>
          <w:snapToGrid w:val="0"/>
        </w:rPr>
        <w:tab/>
        <w:t>Terms used; calculating quantity of used tyres</w:t>
      </w:r>
      <w:r>
        <w:tab/>
      </w:r>
      <w:r>
        <w:fldChar w:fldCharType="begin"/>
      </w:r>
      <w:r>
        <w:instrText xml:space="preserve"> PAGEREF _Toc404948552 \h </w:instrText>
      </w:r>
      <w:r>
        <w:fldChar w:fldCharType="separate"/>
      </w:r>
      <w:r>
        <w:t>30</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 xml:space="preserve">Disposal and storage of tyres prescribed as alteration of environment (Act s. 3(1) </w:t>
      </w:r>
      <w:r>
        <w:rPr>
          <w:i/>
          <w:snapToGrid w:val="0"/>
        </w:rPr>
        <w:t>pollution</w:t>
      </w:r>
      <w:r>
        <w:rPr>
          <w:snapToGrid w:val="0"/>
        </w:rPr>
        <w:t>)</w:t>
      </w:r>
      <w:r>
        <w:tab/>
      </w:r>
      <w:r>
        <w:fldChar w:fldCharType="begin"/>
      </w:r>
      <w:r>
        <w:instrText xml:space="preserve"> PAGEREF _Toc404948553 \h </w:instrText>
      </w:r>
      <w:r>
        <w:fldChar w:fldCharType="separate"/>
      </w:r>
      <w:r>
        <w:t>31</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Transport of used tyres for reward etc., when permitted</w:t>
      </w:r>
      <w:r>
        <w:tab/>
      </w:r>
      <w:r>
        <w:fldChar w:fldCharType="begin"/>
      </w:r>
      <w:r>
        <w:instrText xml:space="preserve"> PAGEREF _Toc404948554 \h </w:instrText>
      </w:r>
      <w:r>
        <w:fldChar w:fldCharType="separate"/>
      </w:r>
      <w:r>
        <w:t>31</w:t>
      </w:r>
      <w:r>
        <w:fldChar w:fldCharType="end"/>
      </w:r>
    </w:p>
    <w:p>
      <w:pPr>
        <w:pStyle w:val="TOC8"/>
        <w:rPr>
          <w:rFonts w:asciiTheme="minorHAnsi" w:eastAsiaTheme="minorEastAsia" w:hAnsiTheme="minorHAnsi" w:cstheme="minorBidi"/>
          <w:szCs w:val="22"/>
        </w:rPr>
      </w:pPr>
      <w:r>
        <w:t>13A</w:t>
      </w:r>
      <w:r>
        <w:rPr>
          <w:snapToGrid w:val="0"/>
        </w:rPr>
        <w:t>.</w:t>
      </w:r>
      <w:r>
        <w:rPr>
          <w:snapToGrid w:val="0"/>
        </w:rPr>
        <w:tab/>
        <w:t>Tyre retailer not to damage used tyres</w:t>
      </w:r>
      <w:r>
        <w:tab/>
      </w:r>
      <w:r>
        <w:fldChar w:fldCharType="begin"/>
      </w:r>
      <w:r>
        <w:instrText xml:space="preserve"> PAGEREF _Toc404948555 \h </w:instrText>
      </w:r>
      <w:r>
        <w:fldChar w:fldCharType="separate"/>
      </w:r>
      <w:r>
        <w:t>32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Disposal of tyres, permitted means for</w:t>
      </w:r>
      <w:r>
        <w:tab/>
      </w:r>
      <w:r>
        <w:fldChar w:fldCharType="begin"/>
      </w:r>
      <w:r>
        <w:instrText xml:space="preserve"> PAGEREF _Toc404948556 \h </w:instrText>
      </w:r>
      <w:r>
        <w:fldChar w:fldCharType="separate"/>
      </w:r>
      <w:r>
        <w:t>32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Used tyres, storage of on licensed premises</w:t>
      </w:r>
      <w:r>
        <w:tab/>
      </w:r>
      <w:r>
        <w:fldChar w:fldCharType="begin"/>
      </w:r>
      <w:r>
        <w:instrText xml:space="preserve"> PAGEREF _Toc404948557 \h </w:instrText>
      </w:r>
      <w:r>
        <w:fldChar w:fldCharType="separate"/>
      </w:r>
      <w:r>
        <w:t>34</w:t>
      </w:r>
      <w:r>
        <w:fldChar w:fldCharType="end"/>
      </w:r>
    </w:p>
    <w:p>
      <w:pPr>
        <w:pStyle w:val="TOC2"/>
        <w:tabs>
          <w:tab w:val="right" w:leader="dot" w:pos="7086"/>
        </w:tabs>
        <w:rPr>
          <w:rFonts w:asciiTheme="minorHAnsi" w:eastAsiaTheme="minorEastAsia" w:hAnsiTheme="minorHAnsi" w:cstheme="minorBidi"/>
          <w:b w:val="0"/>
          <w:sz w:val="22"/>
          <w:szCs w:val="22"/>
        </w:rPr>
      </w:pPr>
      <w:r>
        <w:t>Part 7 — Anti</w:t>
      </w:r>
      <w:r>
        <w:noBreakHyphen/>
        <w:t>fouling paint</w:t>
      </w:r>
    </w:p>
    <w:p>
      <w:pPr>
        <w:pStyle w:val="TOC8"/>
        <w:rPr>
          <w:rFonts w:asciiTheme="minorHAnsi" w:eastAsiaTheme="minorEastAsia" w:hAnsiTheme="minorHAnsi" w:cstheme="minorBidi"/>
          <w:szCs w:val="22"/>
        </w:rPr>
      </w:pPr>
      <w:r>
        <w:t>16</w:t>
      </w:r>
      <w:r>
        <w:rPr>
          <w:snapToGrid w:val="0"/>
        </w:rPr>
        <w:t>.</w:t>
      </w:r>
      <w:r>
        <w:rPr>
          <w:snapToGrid w:val="0"/>
        </w:rPr>
        <w:tab/>
        <w:t>Organotin anti</w:t>
      </w:r>
      <w:r>
        <w:rPr>
          <w:snapToGrid w:val="0"/>
        </w:rPr>
        <w:noBreakHyphen/>
        <w:t>fouling paint, restrictions on use, sale etc. of</w:t>
      </w:r>
      <w:r>
        <w:tab/>
      </w:r>
      <w:r>
        <w:fldChar w:fldCharType="begin"/>
      </w:r>
      <w:r>
        <w:instrText xml:space="preserve"> PAGEREF _Toc404948559 \h </w:instrText>
      </w:r>
      <w:r>
        <w:fldChar w:fldCharType="separate"/>
      </w:r>
      <w:r>
        <w:t>35</w:t>
      </w:r>
      <w:r>
        <w:fldChar w:fldCharType="end"/>
      </w:r>
    </w:p>
    <w:p>
      <w:pPr>
        <w:pStyle w:val="TOC2"/>
        <w:tabs>
          <w:tab w:val="right" w:leader="dot" w:pos="7086"/>
        </w:tabs>
        <w:rPr>
          <w:rFonts w:asciiTheme="minorHAnsi" w:eastAsiaTheme="minorEastAsia" w:hAnsiTheme="minorHAnsi" w:cstheme="minorBidi"/>
          <w:b w:val="0"/>
          <w:sz w:val="22"/>
          <w:szCs w:val="22"/>
        </w:rPr>
      </w:pPr>
      <w:r>
        <w:t>Part 7A — Burning on development sites</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_Toc404948561 \h </w:instrText>
      </w:r>
      <w:r>
        <w:fldChar w:fldCharType="separate"/>
      </w:r>
      <w:r>
        <w:t>37</w:t>
      </w:r>
      <w:r>
        <w:fldChar w:fldCharType="end"/>
      </w:r>
    </w:p>
    <w:p>
      <w:pPr>
        <w:pStyle w:val="TOC8"/>
        <w:rPr>
          <w:rFonts w:asciiTheme="minorHAnsi" w:eastAsiaTheme="minorEastAsia" w:hAnsiTheme="minorHAnsi" w:cstheme="minorBidi"/>
          <w:szCs w:val="22"/>
        </w:rPr>
      </w:pPr>
      <w:r>
        <w:t>16B.</w:t>
      </w:r>
      <w:r>
        <w:tab/>
        <w:t>Burning vegetation etc. on development sites in Sch. 5A areas restricted</w:t>
      </w:r>
      <w:r>
        <w:tab/>
      </w:r>
      <w:r>
        <w:fldChar w:fldCharType="begin"/>
      </w:r>
      <w:r>
        <w:instrText xml:space="preserve"> PAGEREF _Toc404948562 \h </w:instrText>
      </w:r>
      <w:r>
        <w:fldChar w:fldCharType="separate"/>
      </w:r>
      <w:r>
        <w:t>37</w:t>
      </w:r>
      <w:r>
        <w:fldChar w:fldCharType="end"/>
      </w:r>
    </w:p>
    <w:p>
      <w:pPr>
        <w:pStyle w:val="TOC2"/>
        <w:tabs>
          <w:tab w:val="right" w:leader="dot" w:pos="7086"/>
        </w:tabs>
        <w:rPr>
          <w:rFonts w:asciiTheme="minorHAnsi" w:eastAsiaTheme="minorEastAsia" w:hAnsiTheme="minorHAnsi" w:cstheme="minorBidi"/>
          <w:b w:val="0"/>
          <w:sz w:val="22"/>
          <w:szCs w:val="22"/>
        </w:rPr>
      </w:pPr>
      <w:r>
        <w:t>Part 8 — Monitoring</w:t>
      </w:r>
    </w:p>
    <w:p>
      <w:pPr>
        <w:pStyle w:val="TOC8"/>
        <w:rPr>
          <w:rFonts w:asciiTheme="minorHAnsi" w:eastAsiaTheme="minorEastAsia" w:hAnsiTheme="minorHAnsi" w:cstheme="minorBidi"/>
          <w:szCs w:val="22"/>
        </w:rPr>
      </w:pPr>
      <w:r>
        <w:t>17.</w:t>
      </w:r>
      <w:r>
        <w:tab/>
        <w:t>Terms used</w:t>
      </w:r>
      <w:r>
        <w:tab/>
      </w:r>
      <w:r>
        <w:fldChar w:fldCharType="begin"/>
      </w:r>
      <w:r>
        <w:instrText xml:space="preserve"> PAGEREF _Toc404948564 \h </w:instrText>
      </w:r>
      <w:r>
        <w:fldChar w:fldCharType="separate"/>
      </w:r>
      <w:r>
        <w:t>38</w:t>
      </w:r>
      <w:r>
        <w:fldChar w:fldCharType="end"/>
      </w:r>
    </w:p>
    <w:p>
      <w:pPr>
        <w:pStyle w:val="TOC8"/>
        <w:rPr>
          <w:rFonts w:asciiTheme="minorHAnsi" w:eastAsiaTheme="minorEastAsia" w:hAnsiTheme="minorHAnsi" w:cstheme="minorBidi"/>
          <w:szCs w:val="22"/>
        </w:rPr>
      </w:pPr>
      <w:r>
        <w:t>18.</w:t>
      </w:r>
      <w:r>
        <w:tab/>
        <w:t>Conditions prescribed</w:t>
      </w:r>
      <w:r>
        <w:rPr>
          <w:snapToGrid w:val="0"/>
        </w:rPr>
        <w:t xml:space="preserve"> (Act s. 62(1))</w:t>
      </w:r>
      <w:r>
        <w:tab/>
      </w:r>
      <w:r>
        <w:fldChar w:fldCharType="begin"/>
      </w:r>
      <w:r>
        <w:instrText xml:space="preserve"> PAGEREF _Toc404948565 \h </w:instrText>
      </w:r>
      <w:r>
        <w:fldChar w:fldCharType="separate"/>
      </w:r>
      <w:r>
        <w:t>38</w:t>
      </w:r>
      <w:r>
        <w:fldChar w:fldCharType="end"/>
      </w:r>
    </w:p>
    <w:p>
      <w:pPr>
        <w:pStyle w:val="TOC8"/>
        <w:rPr>
          <w:rFonts w:asciiTheme="minorHAnsi" w:eastAsiaTheme="minorEastAsia" w:hAnsiTheme="minorHAnsi" w:cstheme="minorBidi"/>
          <w:szCs w:val="22"/>
        </w:rPr>
      </w:pPr>
      <w:r>
        <w:t>19.</w:t>
      </w:r>
      <w:r>
        <w:tab/>
        <w:t>Approved monitoring equipment, to be used in specified monitoring programmes</w:t>
      </w:r>
      <w:r>
        <w:tab/>
      </w:r>
      <w:r>
        <w:fldChar w:fldCharType="begin"/>
      </w:r>
      <w:r>
        <w:instrText xml:space="preserve"> PAGEREF _Toc404948566 \h </w:instrText>
      </w:r>
      <w:r>
        <w:fldChar w:fldCharType="separate"/>
      </w:r>
      <w:r>
        <w:t>38</w:t>
      </w:r>
      <w:r>
        <w:fldChar w:fldCharType="end"/>
      </w:r>
    </w:p>
    <w:p>
      <w:pPr>
        <w:pStyle w:val="TOC8"/>
        <w:rPr>
          <w:rFonts w:asciiTheme="minorHAnsi" w:eastAsiaTheme="minorEastAsia" w:hAnsiTheme="minorHAnsi" w:cstheme="minorBidi"/>
          <w:szCs w:val="22"/>
        </w:rPr>
      </w:pPr>
      <w:r>
        <w:t>20.</w:t>
      </w:r>
      <w:r>
        <w:tab/>
        <w:t>Approved monitoring equipment, duty to ensure accuracy of</w:t>
      </w:r>
      <w:r>
        <w:tab/>
      </w:r>
      <w:r>
        <w:fldChar w:fldCharType="begin"/>
      </w:r>
      <w:r>
        <w:instrText xml:space="preserve"> PAGEREF _Toc404948567 \h </w:instrText>
      </w:r>
      <w:r>
        <w:fldChar w:fldCharType="separate"/>
      </w:r>
      <w:r>
        <w:t>39</w:t>
      </w:r>
      <w:r>
        <w:fldChar w:fldCharType="end"/>
      </w:r>
    </w:p>
    <w:p>
      <w:pPr>
        <w:pStyle w:val="TOC8"/>
        <w:rPr>
          <w:rFonts w:asciiTheme="minorHAnsi" w:eastAsiaTheme="minorEastAsia" w:hAnsiTheme="minorHAnsi" w:cstheme="minorBidi"/>
          <w:szCs w:val="22"/>
        </w:rPr>
      </w:pPr>
      <w:r>
        <w:t>20A.</w:t>
      </w:r>
      <w:r>
        <w:tab/>
        <w:t>Approved monitoring equipment, duty to comply with conditions of approval of</w:t>
      </w:r>
      <w:r>
        <w:tab/>
      </w:r>
      <w:r>
        <w:fldChar w:fldCharType="begin"/>
      </w:r>
      <w:r>
        <w:instrText xml:space="preserve"> PAGEREF _Toc404948568 \h </w:instrText>
      </w:r>
      <w:r>
        <w:fldChar w:fldCharType="separate"/>
      </w:r>
      <w:r>
        <w:t>39</w:t>
      </w:r>
      <w:r>
        <w:fldChar w:fldCharType="end"/>
      </w:r>
    </w:p>
    <w:p>
      <w:pPr>
        <w:pStyle w:val="TOC8"/>
        <w:rPr>
          <w:rFonts w:asciiTheme="minorHAnsi" w:eastAsiaTheme="minorEastAsia" w:hAnsiTheme="minorHAnsi" w:cstheme="minorBidi"/>
          <w:szCs w:val="22"/>
        </w:rPr>
      </w:pPr>
      <w:r>
        <w:t>20B.</w:t>
      </w:r>
      <w:r>
        <w:tab/>
        <w:t>Approved monitoring equipment, duty to report results of to CEO</w:t>
      </w:r>
      <w:r>
        <w:tab/>
      </w:r>
      <w:r>
        <w:fldChar w:fldCharType="begin"/>
      </w:r>
      <w:r>
        <w:instrText xml:space="preserve"> PAGEREF _Toc404948569 \h </w:instrText>
      </w:r>
      <w:r>
        <w:fldChar w:fldCharType="separate"/>
      </w:r>
      <w:r>
        <w:t>40</w:t>
      </w:r>
      <w:r>
        <w:fldChar w:fldCharType="end"/>
      </w:r>
    </w:p>
    <w:p>
      <w:pPr>
        <w:pStyle w:val="TOC8"/>
        <w:rPr>
          <w:rFonts w:asciiTheme="minorHAnsi" w:eastAsiaTheme="minorEastAsia" w:hAnsiTheme="minorHAnsi" w:cstheme="minorBidi"/>
          <w:szCs w:val="22"/>
        </w:rPr>
      </w:pPr>
      <w:r>
        <w:t>20C.</w:t>
      </w:r>
      <w:r>
        <w:tab/>
        <w:t>Approved monitoring equipment, presumption of accuracy of</w:t>
      </w:r>
      <w:r>
        <w:tab/>
      </w:r>
      <w:r>
        <w:fldChar w:fldCharType="begin"/>
      </w:r>
      <w:r>
        <w:instrText xml:space="preserve"> PAGEREF _Toc404948570 \h </w:instrText>
      </w:r>
      <w:r>
        <w:fldChar w:fldCharType="separate"/>
      </w:r>
      <w:r>
        <w:t>41</w:t>
      </w:r>
      <w:r>
        <w:fldChar w:fldCharType="end"/>
      </w:r>
    </w:p>
    <w:p>
      <w:pPr>
        <w:pStyle w:val="TOC8"/>
        <w:rPr>
          <w:rFonts w:asciiTheme="minorHAnsi" w:eastAsiaTheme="minorEastAsia" w:hAnsiTheme="minorHAnsi" w:cstheme="minorBidi"/>
          <w:szCs w:val="22"/>
        </w:rPr>
      </w:pPr>
      <w:r>
        <w:t>20D.</w:t>
      </w:r>
      <w:r>
        <w:tab/>
        <w:t>Report of specified monitoring programme, presumption of accuracy of measurement in</w:t>
      </w:r>
      <w:r>
        <w:tab/>
      </w:r>
      <w:r>
        <w:fldChar w:fldCharType="begin"/>
      </w:r>
      <w:r>
        <w:instrText xml:space="preserve"> PAGEREF _Toc404948571 \h </w:instrText>
      </w:r>
      <w:r>
        <w:fldChar w:fldCharType="separate"/>
      </w:r>
      <w:r>
        <w:t>41</w:t>
      </w:r>
      <w:r>
        <w:fldChar w:fldCharType="end"/>
      </w:r>
    </w:p>
    <w:p>
      <w:pPr>
        <w:pStyle w:val="TOC8"/>
        <w:rPr>
          <w:rFonts w:asciiTheme="minorHAnsi" w:eastAsiaTheme="minorEastAsia" w:hAnsiTheme="minorHAnsi" w:cstheme="minorBidi"/>
          <w:szCs w:val="22"/>
        </w:rPr>
      </w:pPr>
      <w:r>
        <w:t>20E.</w:t>
      </w:r>
      <w:r>
        <w:tab/>
        <w:t>Inaccurate measurement in r. 20B report, duty to notify CEO of</w:t>
      </w:r>
      <w:r>
        <w:tab/>
      </w:r>
      <w:r>
        <w:fldChar w:fldCharType="begin"/>
      </w:r>
      <w:r>
        <w:instrText xml:space="preserve"> PAGEREF _Toc404948572 \h </w:instrText>
      </w:r>
      <w:r>
        <w:fldChar w:fldCharType="separate"/>
      </w:r>
      <w:r>
        <w:t>41</w:t>
      </w:r>
      <w:r>
        <w:fldChar w:fldCharType="end"/>
      </w:r>
    </w:p>
    <w:p>
      <w:pPr>
        <w:pStyle w:val="TOC8"/>
        <w:rPr>
          <w:rFonts w:asciiTheme="minorHAnsi" w:eastAsiaTheme="minorEastAsia" w:hAnsiTheme="minorHAnsi" w:cstheme="minorBidi"/>
          <w:szCs w:val="22"/>
        </w:rPr>
      </w:pPr>
      <w:r>
        <w:t>20F.</w:t>
      </w:r>
      <w:r>
        <w:tab/>
        <w:t>Monitoring equipment, approval of</w:t>
      </w:r>
      <w:r>
        <w:tab/>
      </w:r>
      <w:r>
        <w:fldChar w:fldCharType="begin"/>
      </w:r>
      <w:r>
        <w:instrText xml:space="preserve"> PAGEREF _Toc404948573 \h </w:instrText>
      </w:r>
      <w:r>
        <w:fldChar w:fldCharType="separate"/>
      </w:r>
      <w:r>
        <w:t>41</w:t>
      </w:r>
      <w:r>
        <w:fldChar w:fldCharType="end"/>
      </w:r>
    </w:p>
    <w:p>
      <w:pPr>
        <w:pStyle w:val="TOC8"/>
        <w:rPr>
          <w:rFonts w:asciiTheme="minorHAnsi" w:eastAsiaTheme="minorEastAsia" w:hAnsiTheme="minorHAnsi" w:cstheme="minorBidi"/>
          <w:szCs w:val="22"/>
        </w:rPr>
      </w:pPr>
      <w:r>
        <w:t>20G.</w:t>
      </w:r>
      <w:r>
        <w:tab/>
        <w:t>Monitoring equipment, conditions of approval of</w:t>
      </w:r>
      <w:r>
        <w:tab/>
      </w:r>
      <w:r>
        <w:fldChar w:fldCharType="begin"/>
      </w:r>
      <w:r>
        <w:instrText xml:space="preserve"> PAGEREF _Toc404948574 \h </w:instrText>
      </w:r>
      <w:r>
        <w:fldChar w:fldCharType="separate"/>
      </w:r>
      <w:r>
        <w:t>43</w:t>
      </w:r>
      <w:r>
        <w:fldChar w:fldCharType="end"/>
      </w:r>
    </w:p>
    <w:p>
      <w:pPr>
        <w:pStyle w:val="TOC8"/>
        <w:rPr>
          <w:rFonts w:asciiTheme="minorHAnsi" w:eastAsiaTheme="minorEastAsia" w:hAnsiTheme="minorHAnsi" w:cstheme="minorBidi"/>
          <w:szCs w:val="22"/>
        </w:rPr>
      </w:pPr>
      <w:r>
        <w:t>20H.</w:t>
      </w:r>
      <w:r>
        <w:tab/>
        <w:t>Approval of monitoring equipment, revoking</w:t>
      </w:r>
      <w:r>
        <w:tab/>
      </w:r>
      <w:r>
        <w:fldChar w:fldCharType="begin"/>
      </w:r>
      <w:r>
        <w:instrText xml:space="preserve"> PAGEREF _Toc404948575 \h </w:instrText>
      </w:r>
      <w:r>
        <w:fldChar w:fldCharType="separate"/>
      </w:r>
      <w:r>
        <w:t>44</w:t>
      </w:r>
      <w:r>
        <w:fldChar w:fldCharType="end"/>
      </w:r>
    </w:p>
    <w:p>
      <w:pPr>
        <w:pStyle w:val="TOC8"/>
        <w:rPr>
          <w:rFonts w:asciiTheme="minorHAnsi" w:eastAsiaTheme="minorEastAsia" w:hAnsiTheme="minorHAnsi" w:cstheme="minorBidi"/>
          <w:szCs w:val="22"/>
        </w:rPr>
      </w:pPr>
      <w:r>
        <w:t>20I.</w:t>
      </w:r>
      <w:r>
        <w:tab/>
        <w:t>Appeal against r. 20F, 20G or 20H decision</w:t>
      </w:r>
      <w:r>
        <w:tab/>
      </w:r>
      <w:r>
        <w:fldChar w:fldCharType="begin"/>
      </w:r>
      <w:r>
        <w:instrText xml:space="preserve"> PAGEREF _Toc404948576 \h </w:instrText>
      </w:r>
      <w:r>
        <w:fldChar w:fldCharType="separate"/>
      </w:r>
      <w:r>
        <w:t>45</w:t>
      </w:r>
      <w:r>
        <w:fldChar w:fldCharType="end"/>
      </w:r>
    </w:p>
    <w:p>
      <w:pPr>
        <w:pStyle w:val="TOC8"/>
        <w:rPr>
          <w:rFonts w:asciiTheme="minorHAnsi" w:eastAsiaTheme="minorEastAsia" w:hAnsiTheme="minorHAnsi" w:cstheme="minorBidi"/>
          <w:szCs w:val="22"/>
        </w:rPr>
      </w:pPr>
      <w:r>
        <w:t>20J.</w:t>
      </w:r>
      <w:r>
        <w:tab/>
        <w:t>Revocation of approval, use of monitoring equipment pending determination of appeal against</w:t>
      </w:r>
      <w:r>
        <w:tab/>
      </w:r>
      <w:r>
        <w:fldChar w:fldCharType="begin"/>
      </w:r>
      <w:r>
        <w:instrText xml:space="preserve"> PAGEREF _Toc404948577 \h </w:instrText>
      </w:r>
      <w:r>
        <w:fldChar w:fldCharType="separate"/>
      </w:r>
      <w:r>
        <w:t>45</w:t>
      </w:r>
      <w:r>
        <w:fldChar w:fldCharType="end"/>
      </w:r>
    </w:p>
    <w:p>
      <w:pPr>
        <w:pStyle w:val="TOC8"/>
        <w:rPr>
          <w:rFonts w:asciiTheme="minorHAnsi" w:eastAsiaTheme="minorEastAsia" w:hAnsiTheme="minorHAnsi" w:cstheme="minorBidi"/>
          <w:szCs w:val="22"/>
        </w:rPr>
      </w:pPr>
      <w:r>
        <w:t>20K.</w:t>
      </w:r>
      <w:r>
        <w:tab/>
        <w:t>CEO’s signature, judicial notice of</w:t>
      </w:r>
      <w:r>
        <w:tab/>
      </w:r>
      <w:r>
        <w:fldChar w:fldCharType="begin"/>
      </w:r>
      <w:r>
        <w:instrText xml:space="preserve"> PAGEREF _Toc404948578 \h </w:instrText>
      </w:r>
      <w:r>
        <w:fldChar w:fldCharType="separate"/>
      </w:r>
      <w:r>
        <w:t>46</w:t>
      </w:r>
      <w:r>
        <w:fldChar w:fldCharType="end"/>
      </w:r>
    </w:p>
    <w:p>
      <w:pPr>
        <w:pStyle w:val="TOC8"/>
        <w:rPr>
          <w:rFonts w:asciiTheme="minorHAnsi" w:eastAsiaTheme="minorEastAsia" w:hAnsiTheme="minorHAnsi" w:cstheme="minorBidi"/>
          <w:szCs w:val="22"/>
        </w:rPr>
      </w:pPr>
      <w:r>
        <w:t>20KA.</w:t>
      </w:r>
      <w:r>
        <w:tab/>
        <w:t>Guidelines for performance of CEO’s functions, Minister may make etc.</w:t>
      </w:r>
      <w:r>
        <w:tab/>
      </w:r>
      <w:r>
        <w:fldChar w:fldCharType="begin"/>
      </w:r>
      <w:r>
        <w:instrText xml:space="preserve"> PAGEREF _Toc404948579 \h </w:instrText>
      </w:r>
      <w:r>
        <w:fldChar w:fldCharType="separate"/>
      </w:r>
      <w:r>
        <w:t>46</w:t>
      </w:r>
      <w:r>
        <w:fldChar w:fldCharType="end"/>
      </w:r>
    </w:p>
    <w:p>
      <w:pPr>
        <w:pStyle w:val="TOC8"/>
        <w:rPr>
          <w:rFonts w:asciiTheme="minorHAnsi" w:eastAsiaTheme="minorEastAsia" w:hAnsiTheme="minorHAnsi" w:cstheme="minorBidi"/>
          <w:szCs w:val="22"/>
        </w:rPr>
      </w:pPr>
      <w:r>
        <w:t>20L.</w:t>
      </w:r>
      <w:r>
        <w:tab/>
        <w:t>Review of this Part</w:t>
      </w:r>
      <w:r>
        <w:tab/>
      </w:r>
      <w:r>
        <w:fldChar w:fldCharType="begin"/>
      </w:r>
      <w:r>
        <w:instrText xml:space="preserve"> PAGEREF _Toc404948580 \h </w:instrText>
      </w:r>
      <w:r>
        <w:fldChar w:fldCharType="separate"/>
      </w:r>
      <w:r>
        <w:t>46</w:t>
      </w:r>
      <w:r>
        <w:fldChar w:fldCharType="end"/>
      </w:r>
    </w:p>
    <w:p>
      <w:pPr>
        <w:pStyle w:val="TOC2"/>
        <w:tabs>
          <w:tab w:val="right" w:leader="dot" w:pos="7086"/>
        </w:tabs>
        <w:rPr>
          <w:rFonts w:asciiTheme="minorHAnsi" w:eastAsiaTheme="minorEastAsia" w:hAnsiTheme="minorHAnsi" w:cstheme="minorBidi"/>
          <w:b w:val="0"/>
          <w:sz w:val="22"/>
          <w:szCs w:val="22"/>
        </w:rPr>
      </w:pPr>
      <w:r>
        <w:t>Part 9 — Landfill levy</w:t>
      </w:r>
    </w:p>
    <w:p>
      <w:pPr>
        <w:pStyle w:val="TOC8"/>
        <w:rPr>
          <w:rFonts w:asciiTheme="minorHAnsi" w:eastAsiaTheme="minorEastAsia" w:hAnsiTheme="minorHAnsi" w:cstheme="minorBidi"/>
          <w:szCs w:val="22"/>
        </w:rPr>
      </w:pPr>
      <w:r>
        <w:t>21</w:t>
      </w:r>
      <w:r>
        <w:rPr>
          <w:snapToGrid w:val="0"/>
        </w:rPr>
        <w:t>.</w:t>
      </w:r>
      <w:r>
        <w:rPr>
          <w:snapToGrid w:val="0"/>
        </w:rPr>
        <w:tab/>
        <w:t>Terms used</w:t>
      </w:r>
      <w:r>
        <w:tab/>
      </w:r>
      <w:r>
        <w:fldChar w:fldCharType="begin"/>
      </w:r>
      <w:r>
        <w:instrText xml:space="preserve"> PAGEREF _Toc404948582 \h </w:instrText>
      </w:r>
      <w:r>
        <w:fldChar w:fldCharType="separate"/>
      </w:r>
      <w:r>
        <w:t>48</w:t>
      </w:r>
      <w:r>
        <w:fldChar w:fldCharType="end"/>
      </w:r>
    </w:p>
    <w:p>
      <w:pPr>
        <w:pStyle w:val="TOC8"/>
        <w:rPr>
          <w:rFonts w:asciiTheme="minorHAnsi" w:eastAsiaTheme="minorEastAsia" w:hAnsiTheme="minorHAnsi" w:cstheme="minorBidi"/>
          <w:szCs w:val="22"/>
        </w:rPr>
      </w:pPr>
      <w:r>
        <w:t>22</w:t>
      </w:r>
      <w:r>
        <w:rPr>
          <w:snapToGrid w:val="0"/>
        </w:rPr>
        <w:t xml:space="preserve">. </w:t>
      </w:r>
      <w:r>
        <w:rPr>
          <w:snapToGrid w:val="0"/>
        </w:rPr>
        <w:tab/>
        <w:t>Application of this Part</w:t>
      </w:r>
      <w:r>
        <w:tab/>
      </w:r>
      <w:r>
        <w:fldChar w:fldCharType="begin"/>
      </w:r>
      <w:r>
        <w:instrText xml:space="preserve"> PAGEREF _Toc404948583 \h </w:instrText>
      </w:r>
      <w:r>
        <w:fldChar w:fldCharType="separate"/>
      </w:r>
      <w:r>
        <w:t>49</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Exemptions from this Part; refunds etc. of levy</w:t>
      </w:r>
      <w:r>
        <w:tab/>
      </w:r>
      <w:r>
        <w:fldChar w:fldCharType="begin"/>
      </w:r>
      <w:r>
        <w:instrText xml:space="preserve"> PAGEREF _Toc404948584 \h </w:instrText>
      </w:r>
      <w:r>
        <w:fldChar w:fldCharType="separate"/>
      </w:r>
      <w:r>
        <w:t>50</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Financial assurance, CEO may require from licensee with r. 23(1)(b) exemption</w:t>
      </w:r>
      <w:r>
        <w:tab/>
      </w:r>
      <w:r>
        <w:fldChar w:fldCharType="begin"/>
      </w:r>
      <w:r>
        <w:instrText xml:space="preserve"> PAGEREF _Toc404948585 \h </w:instrText>
      </w:r>
      <w:r>
        <w:fldChar w:fldCharType="separate"/>
      </w:r>
      <w:r>
        <w:t>51</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Waste received at category 64 or 65 licensed landfill, calculating amount of</w:t>
      </w:r>
      <w:r>
        <w:tab/>
      </w:r>
      <w:r>
        <w:fldChar w:fldCharType="begin"/>
      </w:r>
      <w:r>
        <w:instrText xml:space="preserve"> PAGEREF _Toc404948586 \h </w:instrText>
      </w:r>
      <w:r>
        <w:fldChar w:fldCharType="separate"/>
      </w:r>
      <w:r>
        <w:t>52</w:t>
      </w:r>
      <w:r>
        <w:fldChar w:fldCharType="end"/>
      </w:r>
    </w:p>
    <w:p>
      <w:pPr>
        <w:pStyle w:val="TOC8"/>
        <w:rPr>
          <w:rFonts w:asciiTheme="minorHAnsi" w:eastAsiaTheme="minorEastAsia" w:hAnsiTheme="minorHAnsi" w:cstheme="minorBidi"/>
          <w:szCs w:val="22"/>
        </w:rPr>
      </w:pPr>
      <w:r>
        <w:t>26.</w:t>
      </w:r>
      <w:r>
        <w:tab/>
        <w:t>Waste disposed of in category 63 licensed landfill, calculating amount of</w:t>
      </w:r>
      <w:r>
        <w:tab/>
      </w:r>
      <w:r>
        <w:fldChar w:fldCharType="begin"/>
      </w:r>
      <w:r>
        <w:instrText xml:space="preserve"> PAGEREF _Toc404948587 \h </w:instrText>
      </w:r>
      <w:r>
        <w:fldChar w:fldCharType="separate"/>
      </w:r>
      <w:r>
        <w:t>53</w:t>
      </w:r>
      <w:r>
        <w:fldChar w:fldCharType="end"/>
      </w:r>
    </w:p>
    <w:p>
      <w:pPr>
        <w:pStyle w:val="TOC8"/>
        <w:rPr>
          <w:rFonts w:asciiTheme="minorHAnsi" w:eastAsiaTheme="minorEastAsia" w:hAnsiTheme="minorHAnsi" w:cstheme="minorBidi"/>
          <w:szCs w:val="22"/>
        </w:rPr>
      </w:pPr>
      <w:r>
        <w:t>26A.</w:t>
      </w:r>
      <w:r>
        <w:tab/>
        <w:t>Breach of r. 26, CEO may estimate amount in case of etc.</w:t>
      </w:r>
      <w:r>
        <w:tab/>
      </w:r>
      <w:r>
        <w:fldChar w:fldCharType="begin"/>
      </w:r>
      <w:r>
        <w:instrText xml:space="preserve"> PAGEREF _Toc404948588 \h </w:instrText>
      </w:r>
      <w:r>
        <w:fldChar w:fldCharType="separate"/>
      </w:r>
      <w:r>
        <w:t>55</w:t>
      </w:r>
      <w:r>
        <w:fldChar w:fldCharType="end"/>
      </w:r>
    </w:p>
    <w:p>
      <w:pPr>
        <w:pStyle w:val="TOC8"/>
        <w:rPr>
          <w:rFonts w:asciiTheme="minorHAnsi" w:eastAsiaTheme="minorEastAsia" w:hAnsiTheme="minorHAnsi" w:cstheme="minorBidi"/>
          <w:szCs w:val="22"/>
        </w:rPr>
      </w:pPr>
      <w:r>
        <w:t>27.</w:t>
      </w:r>
      <w:r>
        <w:tab/>
        <w:t>Levy, determining amount of</w:t>
      </w:r>
      <w:r>
        <w:tab/>
      </w:r>
      <w:r>
        <w:fldChar w:fldCharType="begin"/>
      </w:r>
      <w:r>
        <w:instrText xml:space="preserve"> PAGEREF _Toc404948589 \h </w:instrText>
      </w:r>
      <w:r>
        <w:fldChar w:fldCharType="separate"/>
      </w:r>
      <w:r>
        <w:t>56</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Financial assurance, licensees to pay</w:t>
      </w:r>
      <w:r>
        <w:tab/>
      </w:r>
      <w:r>
        <w:fldChar w:fldCharType="begin"/>
      </w:r>
      <w:r>
        <w:instrText xml:space="preserve"> PAGEREF _Toc404948590 \h </w:instrText>
      </w:r>
      <w:r>
        <w:fldChar w:fldCharType="separate"/>
      </w:r>
      <w:r>
        <w:t>57</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Records of waste received, licensees’ duties as to</w:t>
      </w:r>
      <w:r>
        <w:tab/>
      </w:r>
      <w:r>
        <w:fldChar w:fldCharType="begin"/>
      </w:r>
      <w:r>
        <w:instrText xml:space="preserve"> PAGEREF _Toc404948591 \h </w:instrText>
      </w:r>
      <w:r>
        <w:fldChar w:fldCharType="separate"/>
      </w:r>
      <w:r>
        <w:t>58</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Levy, payment of; returns to be lodged</w:t>
      </w:r>
      <w:r>
        <w:tab/>
      </w:r>
      <w:r>
        <w:fldChar w:fldCharType="begin"/>
      </w:r>
      <w:r>
        <w:instrText xml:space="preserve"> PAGEREF _Toc404948592 \h </w:instrText>
      </w:r>
      <w:r>
        <w:fldChar w:fldCharType="separate"/>
      </w:r>
      <w:r>
        <w:t>60</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Audits, CEO’s powers to direct etc.</w:t>
      </w:r>
      <w:r>
        <w:tab/>
      </w:r>
      <w:r>
        <w:fldChar w:fldCharType="begin"/>
      </w:r>
      <w:r>
        <w:instrText xml:space="preserve"> PAGEREF _Toc404948593 \h </w:instrText>
      </w:r>
      <w:r>
        <w:fldChar w:fldCharType="separate"/>
      </w:r>
      <w:r>
        <w:t>60</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CEO’s decisions, review of and appeal against</w:t>
      </w:r>
      <w:r>
        <w:tab/>
      </w:r>
      <w:r>
        <w:fldChar w:fldCharType="begin"/>
      </w:r>
      <w:r>
        <w:instrText xml:space="preserve"> PAGEREF _Toc404948594 \h </w:instrText>
      </w:r>
      <w:r>
        <w:fldChar w:fldCharType="separate"/>
      </w:r>
      <w:r>
        <w:t>61</w:t>
      </w:r>
      <w:r>
        <w:fldChar w:fldCharType="end"/>
      </w:r>
    </w:p>
    <w:p>
      <w:pPr>
        <w:pStyle w:val="TOC8"/>
        <w:rPr>
          <w:rFonts w:asciiTheme="minorHAnsi" w:eastAsiaTheme="minorEastAsia" w:hAnsiTheme="minorHAnsi" w:cstheme="minorBidi"/>
          <w:szCs w:val="22"/>
        </w:rPr>
      </w:pPr>
      <w:r>
        <w:t>33.</w:t>
      </w:r>
      <w:r>
        <w:tab/>
        <w:t>Payment of levies is condition of licence</w:t>
      </w:r>
      <w:r>
        <w:tab/>
      </w:r>
      <w:r>
        <w:fldChar w:fldCharType="begin"/>
      </w:r>
      <w:r>
        <w:instrText xml:space="preserve"> PAGEREF _Toc404948595 \h </w:instrText>
      </w:r>
      <w:r>
        <w:fldChar w:fldCharType="separate"/>
      </w:r>
      <w:r>
        <w:t>62</w:t>
      </w:r>
      <w:r>
        <w:fldChar w:fldCharType="end"/>
      </w:r>
    </w:p>
    <w:p>
      <w:pPr>
        <w:pStyle w:val="TOC2"/>
        <w:tabs>
          <w:tab w:val="right" w:leader="dot" w:pos="7086"/>
        </w:tabs>
        <w:rPr>
          <w:rFonts w:asciiTheme="minorHAnsi" w:eastAsiaTheme="minorEastAsia" w:hAnsiTheme="minorHAnsi" w:cstheme="minorBidi"/>
          <w:b w:val="0"/>
          <w:sz w:val="22"/>
          <w:szCs w:val="22"/>
        </w:rPr>
      </w:pPr>
      <w:r>
        <w:t>Part 10 — Things seized or forfeited</w:t>
      </w:r>
    </w:p>
    <w:p>
      <w:pPr>
        <w:pStyle w:val="TOC8"/>
        <w:rPr>
          <w:rFonts w:asciiTheme="minorHAnsi" w:eastAsiaTheme="minorEastAsia" w:hAnsiTheme="minorHAnsi" w:cstheme="minorBidi"/>
          <w:szCs w:val="22"/>
        </w:rPr>
      </w:pPr>
      <w:r>
        <w:t>34.</w:t>
      </w:r>
      <w:r>
        <w:tab/>
        <w:t>Ways prescribed of dealing with seized things (Act s. 92B(1))</w:t>
      </w:r>
      <w:r>
        <w:tab/>
      </w:r>
      <w:r>
        <w:fldChar w:fldCharType="begin"/>
      </w:r>
      <w:r>
        <w:instrText xml:space="preserve"> PAGEREF _Toc404948597 \h </w:instrText>
      </w:r>
      <w:r>
        <w:fldChar w:fldCharType="separate"/>
      </w:r>
      <w:r>
        <w:t>63</w:t>
      </w:r>
      <w:r>
        <w:fldChar w:fldCharType="end"/>
      </w:r>
    </w:p>
    <w:p>
      <w:pPr>
        <w:pStyle w:val="TOC8"/>
        <w:rPr>
          <w:rFonts w:asciiTheme="minorHAnsi" w:eastAsiaTheme="minorEastAsia" w:hAnsiTheme="minorHAnsi" w:cstheme="minorBidi"/>
          <w:szCs w:val="22"/>
        </w:rPr>
      </w:pPr>
      <w:r>
        <w:t>35.</w:t>
      </w:r>
      <w:r>
        <w:tab/>
        <w:t>Manner of giving notice prescribed (Act s. 92D)</w:t>
      </w:r>
      <w:r>
        <w:tab/>
      </w:r>
      <w:r>
        <w:fldChar w:fldCharType="begin"/>
      </w:r>
      <w:r>
        <w:instrText xml:space="preserve"> PAGEREF _Toc404948598 \h </w:instrText>
      </w:r>
      <w:r>
        <w:fldChar w:fldCharType="separate"/>
      </w:r>
      <w:r>
        <w:t>63</w:t>
      </w:r>
      <w:r>
        <w:fldChar w:fldCharType="end"/>
      </w:r>
    </w:p>
    <w:p>
      <w:pPr>
        <w:pStyle w:val="TOC8"/>
        <w:rPr>
          <w:rFonts w:asciiTheme="minorHAnsi" w:eastAsiaTheme="minorEastAsia" w:hAnsiTheme="minorHAnsi" w:cstheme="minorBidi"/>
          <w:szCs w:val="22"/>
        </w:rPr>
      </w:pPr>
      <w:r>
        <w:t>36.</w:t>
      </w:r>
      <w:r>
        <w:tab/>
        <w:t>Ways prescribed of disposing of thing forfeited to Crown</w:t>
      </w:r>
      <w:r>
        <w:rPr>
          <w:snapToGrid w:val="0"/>
        </w:rPr>
        <w:t xml:space="preserve"> (Act s. 99W(1))</w:t>
      </w:r>
      <w:r>
        <w:tab/>
      </w:r>
      <w:r>
        <w:fldChar w:fldCharType="begin"/>
      </w:r>
      <w:r>
        <w:instrText xml:space="preserve"> PAGEREF _Toc404948599 \h </w:instrText>
      </w:r>
      <w:r>
        <w:fldChar w:fldCharType="separate"/>
      </w:r>
      <w:r>
        <w:t>64</w:t>
      </w:r>
      <w:r>
        <w:fldChar w:fldCharType="end"/>
      </w:r>
    </w:p>
    <w:p>
      <w:pPr>
        <w:pStyle w:val="TOC2"/>
        <w:tabs>
          <w:tab w:val="right" w:leader="dot" w:pos="7086"/>
        </w:tabs>
        <w:rPr>
          <w:rFonts w:asciiTheme="minorHAnsi" w:eastAsiaTheme="minorEastAsia" w:hAnsiTheme="minorHAnsi" w:cstheme="minorBidi"/>
          <w:b w:val="0"/>
          <w:sz w:val="22"/>
          <w:szCs w:val="22"/>
        </w:rPr>
      </w:pPr>
      <w:r>
        <w:t>Part 11 — Modified penalties and Tier 2 offences</w:t>
      </w:r>
    </w:p>
    <w:p>
      <w:pPr>
        <w:pStyle w:val="TOC8"/>
        <w:rPr>
          <w:rFonts w:asciiTheme="minorHAnsi" w:eastAsiaTheme="minorEastAsia" w:hAnsiTheme="minorHAnsi" w:cstheme="minorBidi"/>
          <w:szCs w:val="22"/>
        </w:rPr>
      </w:pPr>
      <w:r>
        <w:t>37.</w:t>
      </w:r>
      <w:r>
        <w:tab/>
        <w:t>Form of modified penalty notice prescribed (Act s. 99B(1))</w:t>
      </w:r>
      <w:r>
        <w:tab/>
      </w:r>
      <w:r>
        <w:fldChar w:fldCharType="begin"/>
      </w:r>
      <w:r>
        <w:instrText xml:space="preserve"> PAGEREF _Toc404948601 \h </w:instrText>
      </w:r>
      <w:r>
        <w:fldChar w:fldCharType="separate"/>
      </w:r>
      <w:r>
        <w:t>65</w:t>
      </w:r>
      <w:r>
        <w:fldChar w:fldCharType="end"/>
      </w:r>
    </w:p>
    <w:p>
      <w:pPr>
        <w:pStyle w:val="TOC8"/>
        <w:rPr>
          <w:rFonts w:asciiTheme="minorHAnsi" w:eastAsiaTheme="minorEastAsia" w:hAnsiTheme="minorHAnsi" w:cstheme="minorBidi"/>
          <w:szCs w:val="22"/>
        </w:rPr>
      </w:pPr>
      <w:r>
        <w:t>38.</w:t>
      </w:r>
      <w:r>
        <w:tab/>
        <w:t>Form of notice of withdrawal prescribed (Act s. 99D(1))</w:t>
      </w:r>
      <w:r>
        <w:tab/>
      </w:r>
      <w:r>
        <w:fldChar w:fldCharType="begin"/>
      </w:r>
      <w:r>
        <w:instrText xml:space="preserve"> PAGEREF _Toc404948602 \h </w:instrText>
      </w:r>
      <w:r>
        <w:fldChar w:fldCharType="separate"/>
      </w:r>
      <w:r>
        <w:t>65</w:t>
      </w:r>
      <w:r>
        <w:fldChar w:fldCharType="end"/>
      </w:r>
    </w:p>
    <w:p>
      <w:pPr>
        <w:pStyle w:val="TOC8"/>
        <w:rPr>
          <w:rFonts w:asciiTheme="minorHAnsi" w:eastAsiaTheme="minorEastAsia" w:hAnsiTheme="minorHAnsi" w:cstheme="minorBidi"/>
          <w:szCs w:val="22"/>
        </w:rPr>
      </w:pPr>
      <w:r>
        <w:t>39.</w:t>
      </w:r>
      <w:r>
        <w:tab/>
        <w:t>Particulars prescribed (Act s. 99E(3))</w:t>
      </w:r>
      <w:r>
        <w:tab/>
      </w:r>
      <w:r>
        <w:fldChar w:fldCharType="begin"/>
      </w:r>
      <w:r>
        <w:instrText xml:space="preserve"> PAGEREF _Toc404948603 \h </w:instrText>
      </w:r>
      <w:r>
        <w:fldChar w:fldCharType="separate"/>
      </w:r>
      <w:r>
        <w:t>65</w:t>
      </w:r>
      <w:r>
        <w:fldChar w:fldCharType="end"/>
      </w:r>
    </w:p>
    <w:p>
      <w:pPr>
        <w:pStyle w:val="TOC8"/>
        <w:rPr>
          <w:rFonts w:asciiTheme="minorHAnsi" w:eastAsiaTheme="minorEastAsia" w:hAnsiTheme="minorHAnsi" w:cstheme="minorBidi"/>
          <w:szCs w:val="22"/>
        </w:rPr>
      </w:pPr>
      <w:r>
        <w:t>40.</w:t>
      </w:r>
      <w:r>
        <w:tab/>
        <w:t>Where and when public may inspect register (Act s. 99F(2))</w:t>
      </w:r>
      <w:r>
        <w:tab/>
      </w:r>
      <w:r>
        <w:fldChar w:fldCharType="begin"/>
      </w:r>
      <w:r>
        <w:instrText xml:space="preserve"> PAGEREF _Toc404948604 \h </w:instrText>
      </w:r>
      <w:r>
        <w:fldChar w:fldCharType="separate"/>
      </w:r>
      <w:r>
        <w:t>65</w:t>
      </w:r>
      <w:r>
        <w:fldChar w:fldCharType="end"/>
      </w:r>
    </w:p>
    <w:p>
      <w:pPr>
        <w:pStyle w:val="TOC2"/>
        <w:tabs>
          <w:tab w:val="right" w:leader="dot" w:pos="7086"/>
        </w:tabs>
        <w:rPr>
          <w:rFonts w:asciiTheme="minorHAnsi" w:eastAsiaTheme="minorEastAsia" w:hAnsiTheme="minorHAnsi" w:cstheme="minorBidi"/>
          <w:b w:val="0"/>
          <w:sz w:val="22"/>
          <w:szCs w:val="22"/>
        </w:rPr>
      </w:pPr>
      <w:r>
        <w:t>Part 12 — Infringement notices and offences</w:t>
      </w:r>
    </w:p>
    <w:p>
      <w:pPr>
        <w:pStyle w:val="TOC8"/>
        <w:rPr>
          <w:rFonts w:asciiTheme="minorHAnsi" w:eastAsiaTheme="minorEastAsia" w:hAnsiTheme="minorHAnsi" w:cstheme="minorBidi"/>
          <w:szCs w:val="22"/>
        </w:rPr>
      </w:pPr>
      <w:r>
        <w:t>41.</w:t>
      </w:r>
      <w:r>
        <w:tab/>
        <w:t>Infringement notice offences and modified penalties prescribed (Act s. 99H and 99K)</w:t>
      </w:r>
      <w:r>
        <w:tab/>
      </w:r>
      <w:r>
        <w:fldChar w:fldCharType="begin"/>
      </w:r>
      <w:r>
        <w:instrText xml:space="preserve"> PAGEREF _Toc404948606 \h </w:instrText>
      </w:r>
      <w:r>
        <w:fldChar w:fldCharType="separate"/>
      </w:r>
      <w:r>
        <w:t>66</w:t>
      </w:r>
      <w:r>
        <w:fldChar w:fldCharType="end"/>
      </w:r>
    </w:p>
    <w:p>
      <w:pPr>
        <w:pStyle w:val="TOC8"/>
        <w:rPr>
          <w:rFonts w:asciiTheme="minorHAnsi" w:eastAsiaTheme="minorEastAsia" w:hAnsiTheme="minorHAnsi" w:cstheme="minorBidi"/>
          <w:szCs w:val="22"/>
        </w:rPr>
      </w:pPr>
      <w:r>
        <w:t>42.</w:t>
      </w:r>
      <w:r>
        <w:tab/>
        <w:t>Form of infringement notice prescribed (Act s. 99K(1))</w:t>
      </w:r>
      <w:r>
        <w:tab/>
      </w:r>
      <w:r>
        <w:fldChar w:fldCharType="begin"/>
      </w:r>
      <w:r>
        <w:instrText xml:space="preserve"> PAGEREF _Toc404948607 \h </w:instrText>
      </w:r>
      <w:r>
        <w:fldChar w:fldCharType="separate"/>
      </w:r>
      <w:r>
        <w:t>67</w:t>
      </w:r>
      <w:r>
        <w:fldChar w:fldCharType="end"/>
      </w:r>
    </w:p>
    <w:p>
      <w:pPr>
        <w:pStyle w:val="TOC8"/>
        <w:rPr>
          <w:rFonts w:asciiTheme="minorHAnsi" w:eastAsiaTheme="minorEastAsia" w:hAnsiTheme="minorHAnsi" w:cstheme="minorBidi"/>
          <w:szCs w:val="22"/>
        </w:rPr>
      </w:pPr>
      <w:r>
        <w:t>43.</w:t>
      </w:r>
      <w:r>
        <w:tab/>
        <w:t>Form of notice of withdrawal prescribed (Act s. 99N(1))</w:t>
      </w:r>
      <w:r>
        <w:tab/>
      </w:r>
      <w:r>
        <w:fldChar w:fldCharType="begin"/>
      </w:r>
      <w:r>
        <w:instrText xml:space="preserve"> PAGEREF _Toc404948608 \h </w:instrText>
      </w:r>
      <w:r>
        <w:fldChar w:fldCharType="separate"/>
      </w:r>
      <w:r>
        <w:t>67</w:t>
      </w:r>
      <w:r>
        <w:fldChar w:fldCharType="end"/>
      </w:r>
    </w:p>
    <w:p>
      <w:pPr>
        <w:pStyle w:val="TOC2"/>
        <w:tabs>
          <w:tab w:val="right" w:leader="dot" w:pos="7086"/>
        </w:tabs>
        <w:rPr>
          <w:rFonts w:asciiTheme="minorHAnsi" w:eastAsiaTheme="minorEastAsia" w:hAnsiTheme="minorHAnsi" w:cstheme="minorBidi"/>
          <w:b w:val="0"/>
          <w:sz w:val="22"/>
          <w:szCs w:val="22"/>
        </w:rPr>
      </w:pPr>
      <w:r>
        <w:t>Part 13 — Miscellaneous</w:t>
      </w:r>
    </w:p>
    <w:p>
      <w:pPr>
        <w:pStyle w:val="TOC8"/>
        <w:rPr>
          <w:rFonts w:asciiTheme="minorHAnsi" w:eastAsiaTheme="minorEastAsia" w:hAnsiTheme="minorHAnsi" w:cstheme="minorBidi"/>
          <w:szCs w:val="22"/>
        </w:rPr>
      </w:pPr>
      <w:r>
        <w:t>44.</w:t>
      </w:r>
      <w:r>
        <w:tab/>
        <w:t>Maximum amount prescribed (Act s. 99Y(1))</w:t>
      </w:r>
      <w:r>
        <w:tab/>
      </w:r>
      <w:r>
        <w:fldChar w:fldCharType="begin"/>
      </w:r>
      <w:r>
        <w:instrText xml:space="preserve"> PAGEREF _Toc404948610 \h </w:instrText>
      </w:r>
      <w:r>
        <w:fldChar w:fldCharType="separate"/>
      </w:r>
      <w:r>
        <w:t>68</w:t>
      </w:r>
      <w:r>
        <w:fldChar w:fldCharType="end"/>
      </w:r>
    </w:p>
    <w:p>
      <w:pPr>
        <w:pStyle w:val="TOC2"/>
        <w:tabs>
          <w:tab w:val="right" w:leader="dot" w:pos="7086"/>
        </w:tabs>
        <w:rPr>
          <w:rFonts w:asciiTheme="minorHAnsi" w:eastAsiaTheme="minorEastAsia" w:hAnsiTheme="minorHAnsi" w:cstheme="minorBidi"/>
          <w:b w:val="0"/>
          <w:sz w:val="22"/>
          <w:szCs w:val="22"/>
        </w:rPr>
      </w:pPr>
      <w:r>
        <w:t>Schedule 1 — Prescribed premises</w:t>
      </w:r>
    </w:p>
    <w:p>
      <w:pPr>
        <w:pStyle w:val="TOC2"/>
        <w:tabs>
          <w:tab w:val="right" w:leader="dot" w:pos="7086"/>
        </w:tabs>
        <w:rPr>
          <w:rFonts w:asciiTheme="minorHAnsi" w:eastAsiaTheme="minorEastAsia" w:hAnsiTheme="minorHAnsi" w:cstheme="minorBidi"/>
          <w:b w:val="0"/>
          <w:sz w:val="22"/>
          <w:szCs w:val="22"/>
        </w:rPr>
      </w:pPr>
      <w:r>
        <w:t>Schedule 3 — Works approval fee</w:t>
      </w:r>
    </w:p>
    <w:p>
      <w:pPr>
        <w:pStyle w:val="TOC2"/>
        <w:tabs>
          <w:tab w:val="right" w:leader="dot" w:pos="7086"/>
        </w:tabs>
        <w:rPr>
          <w:rFonts w:asciiTheme="minorHAnsi" w:eastAsiaTheme="minorEastAsia" w:hAnsiTheme="minorHAnsi" w:cstheme="minorBidi"/>
          <w:b w:val="0"/>
          <w:sz w:val="22"/>
          <w:szCs w:val="22"/>
        </w:rPr>
      </w:pPr>
      <w:r>
        <w:t>Schedule 4 — Licence fee</w:t>
      </w:r>
    </w:p>
    <w:p>
      <w:pPr>
        <w:pStyle w:val="TOC4"/>
        <w:tabs>
          <w:tab w:val="right" w:leader="dot" w:pos="7086"/>
        </w:tabs>
        <w:rPr>
          <w:rFonts w:asciiTheme="minorHAnsi" w:eastAsiaTheme="minorEastAsia" w:hAnsiTheme="minorHAnsi" w:cstheme="minorBidi"/>
          <w:b w:val="0"/>
          <w:szCs w:val="22"/>
        </w:rPr>
      </w:pPr>
      <w:r>
        <w:t>Part 1 — Premises component</w:t>
      </w:r>
    </w:p>
    <w:p>
      <w:pPr>
        <w:pStyle w:val="TOC4"/>
        <w:tabs>
          <w:tab w:val="right" w:leader="dot" w:pos="7086"/>
        </w:tabs>
        <w:rPr>
          <w:rFonts w:asciiTheme="minorHAnsi" w:eastAsiaTheme="minorEastAsia" w:hAnsiTheme="minorHAnsi" w:cstheme="minorBidi"/>
          <w:b w:val="0"/>
          <w:szCs w:val="22"/>
        </w:rPr>
      </w:pPr>
      <w:r>
        <w:t>Part 2 — Part 2 waste</w:t>
      </w:r>
    </w:p>
    <w:p>
      <w:pPr>
        <w:pStyle w:val="TOC4"/>
        <w:tabs>
          <w:tab w:val="right" w:leader="dot" w:pos="7086"/>
        </w:tabs>
        <w:rPr>
          <w:rFonts w:asciiTheme="minorHAnsi" w:eastAsiaTheme="minorEastAsia" w:hAnsiTheme="minorHAnsi" w:cstheme="minorBidi"/>
          <w:b w:val="0"/>
          <w:szCs w:val="22"/>
        </w:rPr>
      </w:pPr>
      <w:r>
        <w:t>Part 3 — Discharge component</w:t>
      </w:r>
    </w:p>
    <w:p>
      <w:pPr>
        <w:pStyle w:val="TOC2"/>
        <w:tabs>
          <w:tab w:val="right" w:leader="dot" w:pos="7086"/>
        </w:tabs>
        <w:rPr>
          <w:rFonts w:asciiTheme="minorHAnsi" w:eastAsiaTheme="minorEastAsia" w:hAnsiTheme="minorHAnsi" w:cstheme="minorBidi"/>
          <w:b w:val="0"/>
          <w:sz w:val="22"/>
          <w:szCs w:val="22"/>
        </w:rPr>
      </w:pPr>
      <w:r>
        <w:t>Schedule 5 — Tyre landfill exclusion zone</w:t>
      </w:r>
    </w:p>
    <w:p>
      <w:pPr>
        <w:pStyle w:val="TOC4"/>
        <w:tabs>
          <w:tab w:val="right" w:leader="dot" w:pos="7086"/>
        </w:tabs>
        <w:rPr>
          <w:rFonts w:asciiTheme="minorHAnsi" w:eastAsiaTheme="minorEastAsia" w:hAnsiTheme="minorHAnsi" w:cstheme="minorBidi"/>
          <w:b w:val="0"/>
          <w:szCs w:val="22"/>
        </w:rPr>
      </w:pPr>
      <w:r>
        <w:t>Part 1 — Metropolitan</w:t>
      </w:r>
    </w:p>
    <w:p>
      <w:pPr>
        <w:pStyle w:val="TOC4"/>
        <w:tabs>
          <w:tab w:val="right" w:leader="dot" w:pos="7086"/>
        </w:tabs>
        <w:rPr>
          <w:rFonts w:asciiTheme="minorHAnsi" w:eastAsiaTheme="minorEastAsia" w:hAnsiTheme="minorHAnsi" w:cstheme="minorBidi"/>
          <w:b w:val="0"/>
          <w:szCs w:val="22"/>
        </w:rPr>
      </w:pPr>
      <w:r>
        <w:t>Part 2 — Country</w:t>
      </w:r>
    </w:p>
    <w:p>
      <w:pPr>
        <w:pStyle w:val="TOC2"/>
        <w:tabs>
          <w:tab w:val="right" w:leader="dot" w:pos="7086"/>
        </w:tabs>
        <w:rPr>
          <w:rFonts w:asciiTheme="minorHAnsi" w:eastAsiaTheme="minorEastAsia" w:hAnsiTheme="minorHAnsi" w:cstheme="minorBidi"/>
          <w:b w:val="0"/>
          <w:sz w:val="22"/>
          <w:szCs w:val="22"/>
        </w:rPr>
      </w:pPr>
      <w:r>
        <w:t>Schedule 5A — Areas where burning matter on or from development sites is prohibited</w:t>
      </w:r>
    </w:p>
    <w:p>
      <w:pPr>
        <w:pStyle w:val="TOC8"/>
        <w:rPr>
          <w:rFonts w:asciiTheme="minorHAnsi" w:eastAsiaTheme="minorEastAsia" w:hAnsiTheme="minorHAnsi" w:cstheme="minorBidi"/>
          <w:szCs w:val="22"/>
        </w:rPr>
      </w:pPr>
      <w:r>
        <w:t>1.</w:t>
      </w:r>
      <w:r>
        <w:tab/>
        <w:t>Perth metropolitan area</w:t>
      </w:r>
      <w:r>
        <w:tab/>
      </w:r>
      <w:r>
        <w:fldChar w:fldCharType="begin"/>
      </w:r>
      <w:r>
        <w:instrText xml:space="preserve"> PAGEREF _Toc404948621 \h </w:instrText>
      </w:r>
      <w:r>
        <w:fldChar w:fldCharType="separate"/>
      </w:r>
      <w:r>
        <w:t>96</w:t>
      </w:r>
      <w:r>
        <w:fldChar w:fldCharType="end"/>
      </w:r>
    </w:p>
    <w:p>
      <w:pPr>
        <w:pStyle w:val="TOC8"/>
        <w:rPr>
          <w:rFonts w:asciiTheme="minorHAnsi" w:eastAsiaTheme="minorEastAsia" w:hAnsiTheme="minorHAnsi" w:cstheme="minorBidi"/>
          <w:szCs w:val="22"/>
        </w:rPr>
      </w:pPr>
      <w:r>
        <w:t>2.</w:t>
      </w:r>
      <w:r>
        <w:tab/>
        <w:t>Mandurah area</w:t>
      </w:r>
      <w:r>
        <w:tab/>
      </w:r>
      <w:r>
        <w:fldChar w:fldCharType="begin"/>
      </w:r>
      <w:r>
        <w:instrText xml:space="preserve"> PAGEREF _Toc404948622 \h </w:instrText>
      </w:r>
      <w:r>
        <w:fldChar w:fldCharType="separate"/>
      </w:r>
      <w:r>
        <w:t>96</w:t>
      </w:r>
      <w:r>
        <w:fldChar w:fldCharType="end"/>
      </w:r>
    </w:p>
    <w:p>
      <w:pPr>
        <w:pStyle w:val="TOC2"/>
        <w:keepNext w:val="0"/>
        <w:tabs>
          <w:tab w:val="right" w:leader="dot" w:pos="7086"/>
        </w:tabs>
        <w:rPr>
          <w:rFonts w:asciiTheme="minorHAnsi" w:eastAsiaTheme="minorEastAsia" w:hAnsiTheme="minorHAnsi" w:cstheme="minorBidi"/>
          <w:b w:val="0"/>
          <w:sz w:val="22"/>
          <w:szCs w:val="22"/>
        </w:rPr>
      </w:pPr>
      <w:r>
        <w:t>Schedule 6 — Infringement notice offences</w:t>
      </w:r>
    </w:p>
    <w:p>
      <w:pPr>
        <w:pStyle w:val="TOC2"/>
        <w:keepNext w:val="0"/>
        <w:tabs>
          <w:tab w:val="right" w:leader="dot" w:pos="7086"/>
        </w:tabs>
        <w:rPr>
          <w:rFonts w:asciiTheme="minorHAnsi" w:eastAsiaTheme="minorEastAsia" w:hAnsiTheme="minorHAnsi" w:cstheme="minorBidi"/>
          <w:b w:val="0"/>
          <w:sz w:val="22"/>
          <w:szCs w:val="22"/>
        </w:rPr>
      </w:pPr>
      <w:r>
        <w:t>Schedule 7 — Forms</w:t>
      </w:r>
    </w:p>
    <w:p>
      <w:pPr>
        <w:pStyle w:val="TOC2"/>
        <w:keepLines/>
        <w:tabs>
          <w:tab w:val="right" w:leader="dot" w:pos="7086"/>
        </w:tabs>
        <w:rPr>
          <w:rFonts w:asciiTheme="minorHAnsi" w:eastAsiaTheme="minorEastAsia" w:hAnsiTheme="minorHAnsi" w:cstheme="minorBidi"/>
          <w:b w:val="0"/>
          <w:sz w:val="22"/>
          <w:szCs w:val="22"/>
        </w:rPr>
      </w:pPr>
      <w:r>
        <w:t>Notes</w:t>
      </w:r>
    </w:p>
    <w:p>
      <w:pPr>
        <w:pStyle w:val="TOC8"/>
        <w:keepNext/>
        <w:keepLines/>
        <w:rPr>
          <w:rFonts w:asciiTheme="minorHAnsi" w:eastAsiaTheme="minorEastAsia" w:hAnsiTheme="minorHAnsi" w:cstheme="minorBidi"/>
          <w:szCs w:val="22"/>
        </w:rPr>
      </w:pPr>
      <w:r>
        <w:rPr>
          <w:snapToGrid w:val="0"/>
        </w:rPr>
        <w:tab/>
        <w:t>Compilation table</w:t>
      </w:r>
      <w:r>
        <w:tab/>
      </w:r>
      <w:r>
        <w:fldChar w:fldCharType="begin"/>
      </w:r>
      <w:r>
        <w:instrText xml:space="preserve"> PAGEREF _Toc404948626 \h </w:instrText>
      </w:r>
      <w:r>
        <w:fldChar w:fldCharType="separate"/>
      </w:r>
      <w:r>
        <w:t>114</w:t>
      </w:r>
      <w:r>
        <w:fldChar w:fldCharType="end"/>
      </w:r>
    </w:p>
    <w:p>
      <w:pPr>
        <w:pStyle w:val="TOC2"/>
        <w:tabs>
          <w:tab w:val="right" w:leader="dot" w:pos="7086"/>
        </w:tabs>
        <w:rPr>
          <w:rFonts w:asciiTheme="minorHAnsi" w:eastAsiaTheme="minorEastAsia" w:hAnsiTheme="minorHAnsi" w:cstheme="minorBidi"/>
          <w:b w:val="0"/>
          <w:sz w:val="22"/>
          <w:szCs w:val="22"/>
        </w:rPr>
      </w:pPr>
      <w:r>
        <w:t>Defined terms</w:t>
      </w:r>
    </w:p>
    <w:p>
      <w:pPr>
        <w:pStyle w:val="TOC4"/>
        <w:keepNext w:val="0"/>
        <w:widowControl w:val="0"/>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pPr>
        <w:pStyle w:val="NoteHeading"/>
        <w:sectPr>
          <w:headerReference w:type="even" r:id="rId18"/>
          <w:headerReference w:type="default" r:id="rId19"/>
          <w:footerReference w:type="even" r:id="rId20"/>
          <w:footerReference w:type="default" r:id="rId21"/>
          <w:headerReference w:type="first" r:id="rId22"/>
          <w:footerReference w:type="first" r:id="rId23"/>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rPr>
              <w:drawing>
                <wp:inline distT="0" distB="0" distL="0" distR="0">
                  <wp:extent cx="533400" cy="476250"/>
                  <wp:effectExtent l="0" t="0" r="0" b="0"/>
                  <wp:docPr id="6" name="Picture 6"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at </w:t>
            </w:r>
            <w:r>
              <w:rPr>
                <w:b/>
                <w:sz w:val="22"/>
              </w:rPr>
              <w:fldChar w:fldCharType="begin"/>
            </w:r>
            <w:r>
              <w:rPr>
                <w:b/>
                <w:sz w:val="22"/>
              </w:rPr>
              <w:instrText xml:space="preserve"> DOCPROPERTY "ReprintedAsAt"  \@ </w:instrText>
            </w:r>
            <w:r>
              <w:rPr>
                <w:b/>
                <w:snapToGrid w:val="0"/>
                <w:sz w:val="22"/>
              </w:rPr>
              <w:instrText xml:space="preserve">"d MMMM yyyy" </w:instrText>
            </w:r>
            <w:r>
              <w:rPr>
                <w:b/>
                <w:sz w:val="22"/>
              </w:rPr>
              <w:instrText>\* MERGEFORMAT</w:instrText>
            </w:r>
            <w:r>
              <w:rPr>
                <w:b/>
                <w:sz w:val="22"/>
              </w:rPr>
              <w:fldChar w:fldCharType="separate"/>
            </w:r>
            <w:r>
              <w:rPr>
                <w:b/>
                <w:sz w:val="22"/>
              </w:rPr>
              <w:t>5</w:t>
            </w:r>
            <w:r>
              <w:rPr>
                <w:b/>
                <w:snapToGrid w:val="0"/>
                <w:sz w:val="22"/>
              </w:rPr>
              <w:t xml:space="preserve"> December 2014</w:t>
            </w:r>
            <w:r>
              <w:rPr>
                <w:b/>
                <w:sz w:val="22"/>
              </w:rPr>
              <w:fldChar w:fldCharType="end"/>
            </w:r>
          </w:p>
        </w:tc>
      </w:tr>
    </w:tbl>
    <w:p>
      <w:pPr>
        <w:pStyle w:val="WA"/>
        <w:spacing w:before="120"/>
      </w:pPr>
      <w:r>
        <w:t>Western Australia</w:t>
      </w:r>
    </w:p>
    <w:p>
      <w:pPr>
        <w:pStyle w:val="PrincipalActReg"/>
        <w:rPr>
          <w:snapToGrid w:val="0"/>
        </w:rPr>
      </w:pPr>
      <w:r>
        <w:rPr>
          <w:snapToGrid w:val="0"/>
        </w:rPr>
        <w:t>Environmental Protection Act 1986</w:t>
      </w:r>
    </w:p>
    <w:p>
      <w:pPr>
        <w:pStyle w:val="NameofActReg"/>
        <w:spacing w:before="600" w:after="720"/>
      </w:pPr>
      <w:r>
        <w:t>Environmental Protection Regulations 1987</w:t>
      </w:r>
    </w:p>
    <w:p>
      <w:pPr>
        <w:pStyle w:val="Heading2"/>
        <w:pageBreakBefore w:val="0"/>
      </w:pPr>
      <w:bookmarkStart w:id="1" w:name="_Toc404948511"/>
      <w:r>
        <w:rPr>
          <w:rStyle w:val="CharPartNo"/>
        </w:rPr>
        <w:t>Part 1</w:t>
      </w:r>
      <w:r>
        <w:rPr>
          <w:rStyle w:val="CharDivNo"/>
        </w:rPr>
        <w:t> </w:t>
      </w:r>
      <w:r>
        <w:t>—</w:t>
      </w:r>
      <w:r>
        <w:rPr>
          <w:rStyle w:val="CharDivText"/>
        </w:rPr>
        <w:t> </w:t>
      </w:r>
      <w:r>
        <w:rPr>
          <w:rStyle w:val="CharPartText"/>
        </w:rPr>
        <w:t>Preliminary</w:t>
      </w:r>
      <w:bookmarkEnd w:id="1"/>
    </w:p>
    <w:p>
      <w:pPr>
        <w:pStyle w:val="Footnoteheading"/>
        <w:rPr>
          <w:snapToGrid w:val="0"/>
        </w:rPr>
      </w:pPr>
      <w:r>
        <w:rPr>
          <w:snapToGrid w:val="0"/>
        </w:rPr>
        <w:tab/>
        <w:t>[Heading inserted in Gazette 13 Sep 1996 p. 4545.]</w:t>
      </w:r>
    </w:p>
    <w:p>
      <w:pPr>
        <w:pStyle w:val="Heading5"/>
        <w:spacing w:before="180"/>
        <w:rPr>
          <w:snapToGrid w:val="0"/>
        </w:rPr>
      </w:pPr>
      <w:bookmarkStart w:id="2" w:name="_Toc404948512"/>
      <w:r>
        <w:rPr>
          <w:rStyle w:val="CharSectno"/>
        </w:rPr>
        <w:t>1</w:t>
      </w:r>
      <w:r>
        <w:rPr>
          <w:snapToGrid w:val="0"/>
        </w:rPr>
        <w:t xml:space="preserve">. </w:t>
      </w:r>
      <w:r>
        <w:rPr>
          <w:snapToGrid w:val="0"/>
        </w:rPr>
        <w:tab/>
        <w:t>Citation</w:t>
      </w:r>
      <w:bookmarkEnd w:id="2"/>
    </w:p>
    <w:p>
      <w:pPr>
        <w:pStyle w:val="Subsection"/>
        <w:spacing w:before="120"/>
        <w:rPr>
          <w:snapToGrid w:val="0"/>
        </w:rPr>
      </w:pPr>
      <w:r>
        <w:rPr>
          <w:snapToGrid w:val="0"/>
        </w:rPr>
        <w:tab/>
      </w:r>
      <w:r>
        <w:rPr>
          <w:snapToGrid w:val="0"/>
        </w:rPr>
        <w:tab/>
        <w:t xml:space="preserve">These regulations may be cited as the </w:t>
      </w:r>
      <w:r>
        <w:rPr>
          <w:i/>
          <w:snapToGrid w:val="0"/>
        </w:rPr>
        <w:t>Environmental Protection Regulations 1987</w:t>
      </w:r>
      <w:r>
        <w:rPr>
          <w:snapToGrid w:val="0"/>
        </w:rPr>
        <w:t xml:space="preserve"> </w:t>
      </w:r>
      <w:r>
        <w:rPr>
          <w:snapToGrid w:val="0"/>
          <w:vertAlign w:val="superscript"/>
        </w:rPr>
        <w:t>1</w:t>
      </w:r>
      <w:r>
        <w:rPr>
          <w:snapToGrid w:val="0"/>
        </w:rPr>
        <w:t>.</w:t>
      </w:r>
    </w:p>
    <w:p>
      <w:pPr>
        <w:pStyle w:val="Heading5"/>
        <w:spacing w:before="180"/>
        <w:rPr>
          <w:snapToGrid w:val="0"/>
        </w:rPr>
      </w:pPr>
      <w:bookmarkStart w:id="3" w:name="_Toc404948513"/>
      <w:r>
        <w:rPr>
          <w:rStyle w:val="CharSectno"/>
        </w:rPr>
        <w:t>2</w:t>
      </w:r>
      <w:r>
        <w:rPr>
          <w:snapToGrid w:val="0"/>
        </w:rPr>
        <w:t xml:space="preserve">. </w:t>
      </w:r>
      <w:r>
        <w:rPr>
          <w:snapToGrid w:val="0"/>
        </w:rPr>
        <w:tab/>
        <w:t>Commencement</w:t>
      </w:r>
      <w:bookmarkEnd w:id="3"/>
    </w:p>
    <w:p>
      <w:pPr>
        <w:pStyle w:val="Subsection"/>
        <w:spacing w:before="120"/>
        <w:rPr>
          <w:snapToGrid w:val="0"/>
        </w:rPr>
      </w:pPr>
      <w:r>
        <w:rPr>
          <w:snapToGrid w:val="0"/>
        </w:rPr>
        <w:tab/>
      </w:r>
      <w:r>
        <w:rPr>
          <w:snapToGrid w:val="0"/>
        </w:rPr>
        <w:tab/>
        <w:t xml:space="preserve">These regulations shall come into operation on the day on which section 3 of the </w:t>
      </w:r>
      <w:r>
        <w:rPr>
          <w:i/>
          <w:snapToGrid w:val="0"/>
        </w:rPr>
        <w:t>Environmental Protection Act 1986</w:t>
      </w:r>
      <w:r>
        <w:rPr>
          <w:snapToGrid w:val="0"/>
        </w:rPr>
        <w:t xml:space="preserve"> comes into operation</w:t>
      </w:r>
      <w:r>
        <w:rPr>
          <w:snapToGrid w:val="0"/>
          <w:vertAlign w:val="superscript"/>
        </w:rPr>
        <w:t xml:space="preserve"> 1</w:t>
      </w:r>
      <w:r>
        <w:rPr>
          <w:snapToGrid w:val="0"/>
        </w:rPr>
        <w:t>.</w:t>
      </w:r>
    </w:p>
    <w:p>
      <w:pPr>
        <w:pStyle w:val="Heading5"/>
        <w:spacing w:before="180"/>
      </w:pPr>
      <w:bookmarkStart w:id="4" w:name="_Toc404948514"/>
      <w:r>
        <w:rPr>
          <w:rStyle w:val="CharSectno"/>
        </w:rPr>
        <w:t>2AA</w:t>
      </w:r>
      <w:r>
        <w:t>.</w:t>
      </w:r>
      <w:r>
        <w:tab/>
        <w:t>Terms used</w:t>
      </w:r>
      <w:bookmarkEnd w:id="4"/>
    </w:p>
    <w:p>
      <w:pPr>
        <w:pStyle w:val="Subsection"/>
        <w:spacing w:before="120"/>
      </w:pPr>
      <w:r>
        <w:tab/>
      </w:r>
      <w:r>
        <w:tab/>
        <w:t>In these regulations, unless the contrary intention appears —</w:t>
      </w:r>
    </w:p>
    <w:p>
      <w:pPr>
        <w:pStyle w:val="Defstart"/>
      </w:pPr>
      <w:r>
        <w:rPr>
          <w:b/>
        </w:rPr>
        <w:tab/>
      </w:r>
      <w:r>
        <w:rPr>
          <w:rStyle w:val="CharDefText"/>
        </w:rPr>
        <w:t>Departmental library</w:t>
      </w:r>
      <w:r>
        <w:t xml:space="preserve"> means the Department’s library located at The Atrium, 168 </w:t>
      </w:r>
      <w:smartTag w:uri="urn:schemas-microsoft-com:office:smarttags" w:element="City">
        <w:r>
          <w:t>St George’s</w:t>
        </w:r>
      </w:smartTag>
      <w:r>
        <w:t xml:space="preserve"> Terrace, </w:t>
      </w:r>
      <w:smartTag w:uri="urn:schemas-microsoft-com:office:smarttags" w:element="place">
        <w:smartTag w:uri="urn:schemas-microsoft-com:office:smarttags" w:element="City">
          <w:r>
            <w:t>Perth</w:t>
          </w:r>
        </w:smartTag>
        <w:r>
          <w:t xml:space="preserve">, </w:t>
        </w:r>
        <w:smartTag w:uri="urn:schemas-microsoft-com:office:smarttags" w:element="State">
          <w:r>
            <w:t>Western Australia</w:t>
          </w:r>
        </w:smartTag>
      </w:smartTag>
      <w:r>
        <w:t>;</w:t>
      </w:r>
    </w:p>
    <w:p>
      <w:pPr>
        <w:pStyle w:val="Defstart"/>
      </w:pPr>
      <w:r>
        <w:rPr>
          <w:b/>
        </w:rPr>
        <w:tab/>
      </w:r>
      <w:r>
        <w:rPr>
          <w:rStyle w:val="CharDefText"/>
        </w:rPr>
        <w:t>head office</w:t>
      </w:r>
      <w:r>
        <w:t xml:space="preserve"> means the premises of the Authority at Level 8, The Atrium, 168 </w:t>
      </w:r>
      <w:smartTag w:uri="urn:schemas-microsoft-com:office:smarttags" w:element="City">
        <w:r>
          <w:t>St George’s</w:t>
        </w:r>
      </w:smartTag>
      <w:r>
        <w:t xml:space="preserve"> Terrace, </w:t>
      </w:r>
      <w:smartTag w:uri="urn:schemas-microsoft-com:office:smarttags" w:element="place">
        <w:smartTag w:uri="urn:schemas-microsoft-com:office:smarttags" w:element="City">
          <w:r>
            <w:t>Perth</w:t>
          </w:r>
        </w:smartTag>
        <w:r>
          <w:t xml:space="preserve">, </w:t>
        </w:r>
        <w:smartTag w:uri="urn:schemas-microsoft-com:office:smarttags" w:element="State">
          <w:r>
            <w:t>Western Australia</w:t>
          </w:r>
        </w:smartTag>
      </w:smartTag>
      <w:r>
        <w:t>.</w:t>
      </w:r>
    </w:p>
    <w:p>
      <w:pPr>
        <w:pStyle w:val="Footnotesection"/>
      </w:pPr>
      <w:r>
        <w:tab/>
        <w:t>[Regulation 2AA inserted in Gazette 29 Sep 2006 p. 4261.]</w:t>
      </w:r>
    </w:p>
    <w:p>
      <w:pPr>
        <w:pStyle w:val="Heading2"/>
      </w:pPr>
      <w:bookmarkStart w:id="5" w:name="_Toc404948515"/>
      <w:r>
        <w:rPr>
          <w:rStyle w:val="CharPartNo"/>
        </w:rPr>
        <w:t>Part 2</w:t>
      </w:r>
      <w:r>
        <w:rPr>
          <w:rStyle w:val="CharDivNo"/>
        </w:rPr>
        <w:t> </w:t>
      </w:r>
      <w:r>
        <w:t>—</w:t>
      </w:r>
      <w:r>
        <w:rPr>
          <w:rStyle w:val="CharDivText"/>
        </w:rPr>
        <w:t> </w:t>
      </w:r>
      <w:r>
        <w:rPr>
          <w:rStyle w:val="CharPartText"/>
        </w:rPr>
        <w:t>Administrative matters</w:t>
      </w:r>
      <w:bookmarkEnd w:id="5"/>
    </w:p>
    <w:p>
      <w:pPr>
        <w:pStyle w:val="Footnoteheading"/>
        <w:rPr>
          <w:snapToGrid w:val="0"/>
        </w:rPr>
      </w:pPr>
      <w:r>
        <w:rPr>
          <w:snapToGrid w:val="0"/>
        </w:rPr>
        <w:tab/>
        <w:t>[Heading inserted in Gazette 13 Sep 1996 p. 4545.]</w:t>
      </w:r>
    </w:p>
    <w:p>
      <w:pPr>
        <w:pStyle w:val="Heading5"/>
        <w:spacing w:before="180"/>
        <w:rPr>
          <w:snapToGrid w:val="0"/>
        </w:rPr>
      </w:pPr>
      <w:bookmarkStart w:id="6" w:name="_Toc404948516"/>
      <w:r>
        <w:rPr>
          <w:rStyle w:val="CharSectno"/>
        </w:rPr>
        <w:t>2A</w:t>
      </w:r>
      <w:r>
        <w:rPr>
          <w:snapToGrid w:val="0"/>
        </w:rPr>
        <w:t>.</w:t>
      </w:r>
      <w:r>
        <w:rPr>
          <w:snapToGrid w:val="0"/>
        </w:rPr>
        <w:tab/>
        <w:t>Draft policies, where and when public may inspect (Act s. 26(1)(d))</w:t>
      </w:r>
      <w:bookmarkEnd w:id="6"/>
    </w:p>
    <w:p>
      <w:pPr>
        <w:pStyle w:val="Subsection"/>
        <w:spacing w:before="120"/>
        <w:rPr>
          <w:snapToGrid w:val="0"/>
        </w:rPr>
      </w:pPr>
      <w:r>
        <w:rPr>
          <w:snapToGrid w:val="0"/>
        </w:rPr>
        <w:tab/>
      </w:r>
      <w:r>
        <w:rPr>
          <w:snapToGrid w:val="0"/>
        </w:rPr>
        <w:tab/>
        <w:t>For the purposes of section 26(1)(d) of the Act —</w:t>
      </w:r>
    </w:p>
    <w:p>
      <w:pPr>
        <w:pStyle w:val="Indenta"/>
        <w:spacing w:before="60"/>
        <w:rPr>
          <w:snapToGrid w:val="0"/>
        </w:rPr>
      </w:pPr>
      <w:r>
        <w:rPr>
          <w:snapToGrid w:val="0"/>
        </w:rPr>
        <w:tab/>
        <w:t>(a)</w:t>
      </w:r>
      <w:r>
        <w:rPr>
          <w:snapToGrid w:val="0"/>
        </w:rPr>
        <w:tab/>
        <w:t>the places at which a draft policy will be available for public inspection are —</w:t>
      </w:r>
    </w:p>
    <w:p>
      <w:pPr>
        <w:pStyle w:val="Indenti"/>
        <w:spacing w:before="60"/>
        <w:rPr>
          <w:snapToGrid w:val="0"/>
        </w:rPr>
      </w:pPr>
      <w:r>
        <w:tab/>
        <w:t>(i)</w:t>
      </w:r>
      <w:r>
        <w:tab/>
        <w:t>the Departmental library; and</w:t>
      </w:r>
    </w:p>
    <w:p>
      <w:pPr>
        <w:pStyle w:val="Ednotesubpara"/>
        <w:spacing w:before="60"/>
        <w:rPr>
          <w:iCs/>
          <w:snapToGrid w:val="0"/>
        </w:rPr>
      </w:pPr>
      <w:r>
        <w:rPr>
          <w:snapToGrid w:val="0"/>
        </w:rPr>
        <w:tab/>
      </w:r>
      <w:r>
        <w:rPr>
          <w:iCs/>
          <w:snapToGrid w:val="0"/>
        </w:rPr>
        <w:t>[(ii)</w:t>
      </w:r>
      <w:r>
        <w:rPr>
          <w:iCs/>
          <w:snapToGrid w:val="0"/>
        </w:rPr>
        <w:tab/>
        <w:t>deleted]</w:t>
      </w:r>
    </w:p>
    <w:p>
      <w:pPr>
        <w:pStyle w:val="Indenti"/>
        <w:spacing w:before="60"/>
        <w:rPr>
          <w:snapToGrid w:val="0"/>
        </w:rPr>
      </w:pPr>
      <w:r>
        <w:rPr>
          <w:snapToGrid w:val="0"/>
        </w:rPr>
        <w:tab/>
        <w:t>(iii)</w:t>
      </w:r>
      <w:r>
        <w:rPr>
          <w:snapToGrid w:val="0"/>
        </w:rPr>
        <w:tab/>
      </w:r>
      <w:r>
        <w:t>the premises of the Department</w:t>
      </w:r>
      <w:r>
        <w:rPr>
          <w:snapToGrid w:val="0"/>
        </w:rPr>
        <w:t xml:space="preserve"> at </w:t>
      </w:r>
      <w:smartTag w:uri="urn:schemas-microsoft-com:office:smarttags" w:element="place">
        <w:smartTag w:uri="urn:schemas-microsoft-com:office:smarttags" w:element="PlaceName">
          <w:r>
            <w:rPr>
              <w:snapToGrid w:val="0"/>
            </w:rPr>
            <w:t>SGIO</w:t>
          </w:r>
        </w:smartTag>
        <w:r>
          <w:rPr>
            <w:snapToGrid w:val="0"/>
          </w:rPr>
          <w:t> </w:t>
        </w:r>
        <w:smartTag w:uri="urn:schemas-microsoft-com:office:smarttags" w:element="PlaceType">
          <w:r>
            <w:rPr>
              <w:snapToGrid w:val="0"/>
            </w:rPr>
            <w:t>Building</w:t>
          </w:r>
        </w:smartTag>
      </w:smartTag>
      <w:r>
        <w:rPr>
          <w:snapToGrid w:val="0"/>
        </w:rPr>
        <w:t xml:space="preserve">, </w:t>
      </w:r>
      <w:smartTag w:uri="urn:schemas-microsoft-com:office:smarttags" w:element="address">
        <w:smartTag w:uri="urn:schemas-microsoft-com:office:smarttags" w:element="Street">
          <w:r>
            <w:rPr>
              <w:snapToGrid w:val="0"/>
            </w:rPr>
            <w:t>Welcome Road</w:t>
          </w:r>
        </w:smartTag>
        <w:r>
          <w:rPr>
            <w:snapToGrid w:val="0"/>
          </w:rPr>
          <w:t xml:space="preserve">, </w:t>
        </w:r>
        <w:smartTag w:uri="urn:schemas-microsoft-com:office:smarttags" w:element="City">
          <w:r>
            <w:rPr>
              <w:snapToGrid w:val="0"/>
            </w:rPr>
            <w:t>Karratha</w:t>
          </w:r>
        </w:smartTag>
        <w:r>
          <w:rPr>
            <w:snapToGrid w:val="0"/>
          </w:rPr>
          <w:t xml:space="preserve">, </w:t>
        </w:r>
        <w:smartTag w:uri="urn:schemas-microsoft-com:office:smarttags" w:element="State">
          <w:r>
            <w:rPr>
              <w:snapToGrid w:val="0"/>
            </w:rPr>
            <w:t>Western Australia</w:t>
          </w:r>
        </w:smartTag>
      </w:smartTag>
      <w:r>
        <w:rPr>
          <w:snapToGrid w:val="0"/>
        </w:rPr>
        <w:t xml:space="preserve"> 6714; and</w:t>
      </w:r>
    </w:p>
    <w:p>
      <w:pPr>
        <w:pStyle w:val="Indenti"/>
        <w:spacing w:before="60"/>
        <w:rPr>
          <w:snapToGrid w:val="0"/>
        </w:rPr>
      </w:pPr>
      <w:r>
        <w:rPr>
          <w:snapToGrid w:val="0"/>
        </w:rPr>
        <w:tab/>
        <w:t>(iv)</w:t>
      </w:r>
      <w:r>
        <w:rPr>
          <w:snapToGrid w:val="0"/>
        </w:rPr>
        <w:tab/>
      </w:r>
      <w:r>
        <w:t>the premises of the Department</w:t>
      </w:r>
      <w:r>
        <w:rPr>
          <w:snapToGrid w:val="0"/>
        </w:rPr>
        <w:t xml:space="preserve"> at </w:t>
      </w:r>
      <w:smartTag w:uri="urn:schemas-microsoft-com:office:smarttags" w:element="address">
        <w:smartTag w:uri="urn:schemas-microsoft-com:office:smarttags" w:element="Street">
          <w:r>
            <w:rPr>
              <w:snapToGrid w:val="0"/>
            </w:rPr>
            <w:t>165 </w:t>
          </w:r>
          <w:smartTag w:uri="urn:schemas-microsoft-com:office:smarttags" w:element="address">
            <w:smartTag w:uri="urn:schemas-microsoft-com:office:smarttags" w:element="Street">
              <w:r>
                <w:rPr>
                  <w:snapToGrid w:val="0"/>
                </w:rPr>
                <w:t>Gilmore Avenue</w:t>
              </w:r>
            </w:smartTag>
          </w:smartTag>
        </w:smartTag>
        <w:r>
          <w:rPr>
            <w:snapToGrid w:val="0"/>
          </w:rPr>
          <w:t xml:space="preserve">, </w:t>
        </w:r>
        <w:smartTag w:uri="urn:schemas-microsoft-com:office:smarttags" w:element="City">
          <w:r>
            <w:rPr>
              <w:snapToGrid w:val="0"/>
            </w:rPr>
            <w:t>Kwinana</w:t>
          </w:r>
        </w:smartTag>
        <w:r>
          <w:rPr>
            <w:snapToGrid w:val="0"/>
          </w:rPr>
          <w:t xml:space="preserve">, </w:t>
        </w:r>
        <w:smartTag w:uri="urn:schemas-microsoft-com:office:smarttags" w:element="State">
          <w:r>
            <w:rPr>
              <w:snapToGrid w:val="0"/>
            </w:rPr>
            <w:t>Western Australia</w:t>
          </w:r>
        </w:smartTag>
      </w:smartTag>
      <w:r>
        <w:rPr>
          <w:snapToGrid w:val="0"/>
        </w:rPr>
        <w:t xml:space="preserve"> 6167; and</w:t>
      </w:r>
    </w:p>
    <w:p>
      <w:pPr>
        <w:pStyle w:val="Indenti"/>
        <w:spacing w:before="60"/>
      </w:pPr>
      <w:r>
        <w:tab/>
        <w:t>(v)</w:t>
      </w:r>
      <w:r>
        <w:tab/>
        <w:t>the premises of the Department at 10th</w:t>
      </w:r>
      <w:r>
        <w:rPr>
          <w:rFonts w:ascii="Times" w:hAnsi="Times"/>
        </w:rPr>
        <w:t> </w:t>
      </w:r>
      <w:r>
        <w:t>Floor, Bunbury Tower, 61 Victoria Street, Bunbury, Western Australia, 6231; and</w:t>
      </w:r>
    </w:p>
    <w:p>
      <w:pPr>
        <w:pStyle w:val="Indenti"/>
        <w:spacing w:before="60"/>
        <w:rPr>
          <w:snapToGrid w:val="0"/>
        </w:rPr>
      </w:pPr>
      <w:r>
        <w:tab/>
        <w:t>(vi)</w:t>
      </w:r>
      <w:r>
        <w:tab/>
        <w:t xml:space="preserve">the premises of the Department at </w:t>
      </w:r>
      <w:smartTag w:uri="urn:schemas-microsoft-com:office:smarttags" w:element="address">
        <w:smartTag w:uri="urn:schemas-microsoft-com:office:smarttags" w:element="Street">
          <w:r>
            <w:t>5 Burges Street</w:t>
          </w:r>
        </w:smartTag>
        <w:r>
          <w:t xml:space="preserve">, </w:t>
        </w:r>
        <w:smartTag w:uri="urn:schemas-microsoft-com:office:smarttags" w:element="City">
          <w:r>
            <w:t>Geraldton</w:t>
          </w:r>
        </w:smartTag>
        <w:r>
          <w:t xml:space="preserve">, </w:t>
        </w:r>
        <w:smartTag w:uri="urn:schemas-microsoft-com:office:smarttags" w:element="State">
          <w:r>
            <w:t>Western Australia</w:t>
          </w:r>
        </w:smartTag>
      </w:smartTag>
      <w:r>
        <w:t>, 6530;</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spacing w:val="-4"/>
        </w:rPr>
        <w:tab/>
      </w:r>
      <w:r>
        <w:rPr>
          <w:snapToGrid w:val="0"/>
        </w:rPr>
        <w:t>(b)</w:t>
      </w:r>
      <w:r>
        <w:rPr>
          <w:snapToGrid w:val="0"/>
        </w:rPr>
        <w:tab/>
        <w:t>the period during which a draft policy will be available for public inspection is the period of 21 days commencing on the last day on which a notice is published under that section in respect of the draft policy.</w:t>
      </w:r>
    </w:p>
    <w:p>
      <w:pPr>
        <w:pStyle w:val="Footnotesection"/>
      </w:pPr>
      <w:r>
        <w:tab/>
        <w:t>[Regulation 2A inserted in Gazette 5 May 1989 p. 1379; amended in Gazette 24 Jan 1992 p. 362; 11 Dec 1998 p. 6598; 29 Sep 2006 p. 4261.]</w:t>
      </w:r>
    </w:p>
    <w:p>
      <w:pPr>
        <w:pStyle w:val="Heading5"/>
        <w:spacing w:before="180"/>
        <w:rPr>
          <w:snapToGrid w:val="0"/>
        </w:rPr>
      </w:pPr>
      <w:bookmarkStart w:id="7" w:name="_Toc404948517"/>
      <w:r>
        <w:rPr>
          <w:rStyle w:val="CharSectno"/>
        </w:rPr>
        <w:t>2B</w:t>
      </w:r>
      <w:r>
        <w:rPr>
          <w:snapToGrid w:val="0"/>
        </w:rPr>
        <w:t>.</w:t>
      </w:r>
      <w:r>
        <w:rPr>
          <w:snapToGrid w:val="0"/>
        </w:rPr>
        <w:tab/>
        <w:t>Minutes of EPA, public inspection of</w:t>
      </w:r>
      <w:bookmarkEnd w:id="7"/>
    </w:p>
    <w:p>
      <w:pPr>
        <w:pStyle w:val="Subsection"/>
        <w:spacing w:before="120"/>
        <w:rPr>
          <w:snapToGrid w:val="0"/>
        </w:rPr>
      </w:pPr>
      <w:r>
        <w:rPr>
          <w:snapToGrid w:val="0"/>
        </w:rPr>
        <w:tab/>
        <w:t>(1)</w:t>
      </w:r>
      <w:r>
        <w:rPr>
          <w:snapToGrid w:val="0"/>
        </w:rPr>
        <w:tab/>
        <w:t>In this regulation —</w:t>
      </w:r>
    </w:p>
    <w:p>
      <w:pPr>
        <w:pStyle w:val="Defstart"/>
      </w:pPr>
      <w:r>
        <w:tab/>
      </w:r>
      <w:r>
        <w:rPr>
          <w:rStyle w:val="CharDefText"/>
        </w:rPr>
        <w:t>exempt matter</w:t>
      </w:r>
      <w:r>
        <w:t xml:space="preserve"> means matter that is exempt under the </w:t>
      </w:r>
      <w:r>
        <w:rPr>
          <w:i/>
        </w:rPr>
        <w:t xml:space="preserve">Freedom of Information Act 1992 </w:t>
      </w:r>
      <w:r>
        <w:t>Schedule 1;</w:t>
      </w:r>
    </w:p>
    <w:p>
      <w:pPr>
        <w:pStyle w:val="Defstart"/>
      </w:pPr>
      <w:r>
        <w:rPr>
          <w:b/>
        </w:rPr>
        <w:tab/>
      </w:r>
      <w:r>
        <w:rPr>
          <w:rStyle w:val="CharDefText"/>
        </w:rPr>
        <w:t>minute</w:t>
      </w:r>
      <w:r>
        <w:t xml:space="preserve"> means a minute of proceedings of a meeting of the Authority.</w:t>
      </w:r>
    </w:p>
    <w:p>
      <w:pPr>
        <w:pStyle w:val="Subsection"/>
        <w:rPr>
          <w:snapToGrid w:val="0"/>
        </w:rPr>
      </w:pPr>
      <w:r>
        <w:rPr>
          <w:snapToGrid w:val="0"/>
        </w:rPr>
        <w:tab/>
        <w:t>(2)</w:t>
      </w:r>
      <w:r>
        <w:rPr>
          <w:snapToGrid w:val="0"/>
        </w:rPr>
        <w:tab/>
        <w:t>Subject to subregulation (4), a minute relating to a matter is to be made available for public inspection after the expiration of 6 months from the day on which the minute was made.</w:t>
      </w:r>
    </w:p>
    <w:p>
      <w:pPr>
        <w:pStyle w:val="Subsection"/>
      </w:pPr>
      <w:r>
        <w:tab/>
        <w:t>(3)</w:t>
      </w:r>
      <w:r>
        <w:tab/>
        <w:t>The Authority may determine that a particular minute contains exempt matter.</w:t>
      </w:r>
    </w:p>
    <w:p>
      <w:pPr>
        <w:pStyle w:val="Subsection"/>
      </w:pPr>
      <w:r>
        <w:tab/>
        <w:t>(4)</w:t>
      </w:r>
      <w:r>
        <w:tab/>
        <w:t xml:space="preserve">No part of a minute that is the subject of a determination referred to in subregulation (3) is to be made available to a person under subregulation (2) unless a decision has been made pursuant to an access application under the </w:t>
      </w:r>
      <w:r>
        <w:rPr>
          <w:i/>
        </w:rPr>
        <w:t xml:space="preserve">Freedom of Information Act 1992 </w:t>
      </w:r>
      <w:r>
        <w:t>that the person is to be given access to the minute or part of the minute.</w:t>
      </w:r>
    </w:p>
    <w:p>
      <w:pPr>
        <w:pStyle w:val="Subsection"/>
      </w:pPr>
      <w:r>
        <w:tab/>
        <w:t>(5A)</w:t>
      </w:r>
      <w:r>
        <w:tab/>
        <w:t>The Authority may revoke a determination made under subregulation (3).</w:t>
      </w:r>
    </w:p>
    <w:p>
      <w:pPr>
        <w:pStyle w:val="Subsection"/>
        <w:spacing w:before="120"/>
        <w:rPr>
          <w:snapToGrid w:val="0"/>
        </w:rPr>
      </w:pPr>
      <w:r>
        <w:tab/>
        <w:t>(5)</w:t>
      </w:r>
      <w:r>
        <w:tab/>
      </w:r>
      <w:r>
        <w:rPr>
          <w:snapToGrid w:val="0"/>
        </w:rPr>
        <w:t>Minutes</w:t>
      </w:r>
      <w:r>
        <w:t xml:space="preserve"> are to be made available for public inspection during normal office hours at the head office and the Departmental library.</w:t>
      </w:r>
    </w:p>
    <w:p>
      <w:pPr>
        <w:pStyle w:val="Footnotesection"/>
      </w:pPr>
      <w:r>
        <w:tab/>
        <w:t>[Regulation 2B inserted in Gazette 5 May 1995 p. 1701</w:t>
      </w:r>
      <w:r>
        <w:noBreakHyphen/>
        <w:t>2; amended in Gazette 11 Dec 1998 p. 6598; 29 Sep 2006 p. 4261; 27 Nov 2012 p. 5738.]</w:t>
      </w:r>
    </w:p>
    <w:p>
      <w:pPr>
        <w:pStyle w:val="Heading5"/>
        <w:rPr>
          <w:snapToGrid w:val="0"/>
        </w:rPr>
      </w:pPr>
      <w:bookmarkStart w:id="8" w:name="_Toc404948518"/>
      <w:r>
        <w:rPr>
          <w:rStyle w:val="CharSectno"/>
        </w:rPr>
        <w:t>2C</w:t>
      </w:r>
      <w:r>
        <w:rPr>
          <w:snapToGrid w:val="0"/>
        </w:rPr>
        <w:t>.</w:t>
      </w:r>
      <w:r>
        <w:rPr>
          <w:snapToGrid w:val="0"/>
        </w:rPr>
        <w:tab/>
        <w:t>Proposals of prescribed class (Act s. 38)</w:t>
      </w:r>
      <w:bookmarkEnd w:id="8"/>
    </w:p>
    <w:p>
      <w:pPr>
        <w:pStyle w:val="Subsection"/>
        <w:spacing w:before="120"/>
        <w:rPr>
          <w:snapToGrid w:val="0"/>
        </w:rPr>
      </w:pPr>
      <w:r>
        <w:rPr>
          <w:snapToGrid w:val="0"/>
        </w:rPr>
        <w:tab/>
      </w:r>
      <w:r>
        <w:rPr>
          <w:snapToGrid w:val="0"/>
        </w:rPr>
        <w:tab/>
        <w:t xml:space="preserve">For the purposes of </w:t>
      </w:r>
      <w:r>
        <w:t xml:space="preserve">section 38(5) and (5c) of the Act, </w:t>
      </w:r>
      <w:r>
        <w:rPr>
          <w:snapToGrid w:val="0"/>
        </w:rPr>
        <w:t>a proposal which involves a significant —</w:t>
      </w:r>
    </w:p>
    <w:p>
      <w:pPr>
        <w:pStyle w:val="Indenta"/>
        <w:rPr>
          <w:snapToGrid w:val="0"/>
        </w:rPr>
      </w:pPr>
      <w:r>
        <w:rPr>
          <w:snapToGrid w:val="0"/>
        </w:rPr>
        <w:tab/>
        <w:t>(a)</w:t>
      </w:r>
      <w:r>
        <w:rPr>
          <w:snapToGrid w:val="0"/>
        </w:rPr>
        <w:tab/>
        <w:t>discharge of waste; or</w:t>
      </w:r>
    </w:p>
    <w:p>
      <w:pPr>
        <w:pStyle w:val="Indenta"/>
        <w:rPr>
          <w:snapToGrid w:val="0"/>
        </w:rPr>
      </w:pPr>
      <w:r>
        <w:rPr>
          <w:snapToGrid w:val="0"/>
        </w:rPr>
        <w:tab/>
        <w:t>(b)</w:t>
      </w:r>
      <w:r>
        <w:rPr>
          <w:snapToGrid w:val="0"/>
        </w:rPr>
        <w:tab/>
        <w:t>emission of noise, odour or electromagnetic radiation,</w:t>
      </w:r>
    </w:p>
    <w:p>
      <w:pPr>
        <w:pStyle w:val="Subsection"/>
        <w:rPr>
          <w:snapToGrid w:val="0"/>
        </w:rPr>
      </w:pPr>
      <w:r>
        <w:rPr>
          <w:snapToGrid w:val="0"/>
        </w:rPr>
        <w:tab/>
      </w:r>
      <w:r>
        <w:rPr>
          <w:snapToGrid w:val="0"/>
        </w:rPr>
        <w:tab/>
        <w:t>into the environment is a proposal of a prescribed class.</w:t>
      </w:r>
    </w:p>
    <w:p>
      <w:pPr>
        <w:pStyle w:val="Footnotesection"/>
      </w:pPr>
      <w:r>
        <w:tab/>
        <w:t>[Regulation 2C inserted in Gazette 11 Oct 1996 p. 5395; amended in Gazette 27 Nov 2012 p. 5738.]</w:t>
      </w:r>
    </w:p>
    <w:p>
      <w:pPr>
        <w:pStyle w:val="Heading5"/>
        <w:rPr>
          <w:snapToGrid w:val="0"/>
        </w:rPr>
      </w:pPr>
      <w:bookmarkStart w:id="9" w:name="_Toc404948519"/>
      <w:r>
        <w:rPr>
          <w:rStyle w:val="CharSectno"/>
        </w:rPr>
        <w:t>3</w:t>
      </w:r>
      <w:r>
        <w:rPr>
          <w:snapToGrid w:val="0"/>
        </w:rPr>
        <w:t>.</w:t>
      </w:r>
      <w:r>
        <w:rPr>
          <w:snapToGrid w:val="0"/>
        </w:rPr>
        <w:tab/>
        <w:t>Details prescribed for records of proposals (Act s. 39(1)); where and when public may inspect records</w:t>
      </w:r>
      <w:bookmarkEnd w:id="9"/>
    </w:p>
    <w:p>
      <w:pPr>
        <w:pStyle w:val="Subsection"/>
        <w:rPr>
          <w:snapToGrid w:val="0"/>
        </w:rPr>
      </w:pPr>
      <w:r>
        <w:rPr>
          <w:snapToGrid w:val="0"/>
        </w:rPr>
        <w:tab/>
        <w:t>(1)</w:t>
      </w:r>
      <w:r>
        <w:rPr>
          <w:snapToGrid w:val="0"/>
        </w:rPr>
        <w:tab/>
        <w:t>The Authority shall in a public record of a proposal kept by it under section 39(1) of the Act set out —</w:t>
      </w:r>
    </w:p>
    <w:p>
      <w:pPr>
        <w:pStyle w:val="Indenta"/>
        <w:rPr>
          <w:snapToGrid w:val="0"/>
        </w:rPr>
      </w:pPr>
      <w:r>
        <w:rPr>
          <w:snapToGrid w:val="0"/>
        </w:rPr>
        <w:tab/>
        <w:t>(a)</w:t>
      </w:r>
      <w:r>
        <w:rPr>
          <w:snapToGrid w:val="0"/>
        </w:rPr>
        <w:tab/>
        <w:t>the title or number or other means of identification of the proposal; and</w:t>
      </w:r>
    </w:p>
    <w:p>
      <w:pPr>
        <w:pStyle w:val="Indenta"/>
        <w:rPr>
          <w:snapToGrid w:val="0"/>
        </w:rPr>
      </w:pPr>
      <w:r>
        <w:rPr>
          <w:snapToGrid w:val="0"/>
        </w:rPr>
        <w:tab/>
        <w:t>(b)</w:t>
      </w:r>
      <w:r>
        <w:rPr>
          <w:snapToGrid w:val="0"/>
        </w:rPr>
        <w:tab/>
        <w:t>the name of, or the office or position held or acted in by, the proponent of the proposal.</w:t>
      </w:r>
    </w:p>
    <w:p>
      <w:pPr>
        <w:pStyle w:val="Subsection"/>
        <w:rPr>
          <w:snapToGrid w:val="0"/>
        </w:rPr>
      </w:pPr>
      <w:r>
        <w:rPr>
          <w:snapToGrid w:val="0"/>
        </w:rPr>
        <w:tab/>
        <w:t>(2)</w:t>
      </w:r>
      <w:r>
        <w:rPr>
          <w:snapToGrid w:val="0"/>
        </w:rPr>
        <w:tab/>
        <w:t>The Authority shall cause each public record kept by it under section 39(1) of the Act to be made available for public inspection</w:t>
      </w:r>
      <w:r>
        <w:t xml:space="preserve"> at the head office</w:t>
      </w:r>
      <w:r>
        <w:rPr>
          <w:snapToGrid w:val="0"/>
        </w:rPr>
        <w:t>, between the hours of 8 a.m. and 5 p.m. on any day which is not a Saturday, Sunday or public service holiday or a public holiday appointed or declared for the Perth area.</w:t>
      </w:r>
    </w:p>
    <w:p>
      <w:pPr>
        <w:pStyle w:val="Footnotesection"/>
      </w:pPr>
      <w:r>
        <w:tab/>
        <w:t>[Regulation 3 amended in Gazette 24 Jan 1992 p. 362; 11 Dec 1998 p. 6598.]</w:t>
      </w:r>
    </w:p>
    <w:p>
      <w:pPr>
        <w:pStyle w:val="Ednotesection"/>
      </w:pPr>
      <w:r>
        <w:t>[</w:t>
      </w:r>
      <w:r>
        <w:rPr>
          <w:b/>
        </w:rPr>
        <w:t>3A.</w:t>
      </w:r>
      <w:r>
        <w:tab/>
      </w:r>
      <w:smartTag w:uri="urn:schemas-microsoft-com:office:smarttags" w:element="State">
        <w:smartTag w:uri="urn:schemas-microsoft-com:office:smarttags" w:element="place">
          <w:r>
            <w:t>Del</w:t>
          </w:r>
        </w:smartTag>
      </w:smartTag>
      <w:r>
        <w:t>eted in Gazette 27 Nov 2012 p. 5738.]</w:t>
      </w:r>
    </w:p>
    <w:p>
      <w:pPr>
        <w:pStyle w:val="Heading2"/>
      </w:pPr>
      <w:bookmarkStart w:id="10" w:name="_Toc404948520"/>
      <w:r>
        <w:rPr>
          <w:rStyle w:val="CharPartNo"/>
        </w:rPr>
        <w:t>Part 3</w:t>
      </w:r>
      <w:r>
        <w:rPr>
          <w:rStyle w:val="CharDivNo"/>
        </w:rPr>
        <w:t> </w:t>
      </w:r>
      <w:r>
        <w:t>—</w:t>
      </w:r>
      <w:r>
        <w:rPr>
          <w:rStyle w:val="CharDivText"/>
        </w:rPr>
        <w:t> </w:t>
      </w:r>
      <w:r>
        <w:rPr>
          <w:rStyle w:val="CharPartText"/>
        </w:rPr>
        <w:t>Control of pollution generally</w:t>
      </w:r>
      <w:bookmarkEnd w:id="10"/>
    </w:p>
    <w:p>
      <w:pPr>
        <w:pStyle w:val="Footnoteheading"/>
        <w:rPr>
          <w:snapToGrid w:val="0"/>
        </w:rPr>
      </w:pPr>
      <w:r>
        <w:rPr>
          <w:snapToGrid w:val="0"/>
        </w:rPr>
        <w:tab/>
        <w:t>[Heading inserted in Gazette 13 Sep 1996 p. 4545.]</w:t>
      </w:r>
    </w:p>
    <w:p>
      <w:pPr>
        <w:pStyle w:val="Heading5"/>
        <w:spacing w:before="240"/>
        <w:rPr>
          <w:snapToGrid w:val="0"/>
        </w:rPr>
      </w:pPr>
      <w:bookmarkStart w:id="11" w:name="_Toc404948521"/>
      <w:r>
        <w:rPr>
          <w:rStyle w:val="CharSectno"/>
        </w:rPr>
        <w:t>4</w:t>
      </w:r>
      <w:r>
        <w:rPr>
          <w:snapToGrid w:val="0"/>
        </w:rPr>
        <w:t>.</w:t>
      </w:r>
      <w:r>
        <w:rPr>
          <w:snapToGrid w:val="0"/>
        </w:rPr>
        <w:tab/>
        <w:t>Terms used; amounts of units for fees</w:t>
      </w:r>
      <w:bookmarkEnd w:id="11"/>
    </w:p>
    <w:p>
      <w:pPr>
        <w:pStyle w:val="Subsection"/>
        <w:spacing w:before="180"/>
        <w:rPr>
          <w:snapToGrid w:val="0"/>
        </w:rPr>
      </w:pPr>
      <w:r>
        <w:rPr>
          <w:snapToGrid w:val="0"/>
        </w:rPr>
        <w:tab/>
        <w:t>(1)</w:t>
      </w:r>
      <w:r>
        <w:rPr>
          <w:snapToGrid w:val="0"/>
        </w:rPr>
        <w:tab/>
        <w:t>In this Part, unless the contrary intention appears —</w:t>
      </w:r>
    </w:p>
    <w:p>
      <w:pPr>
        <w:pStyle w:val="Defstart"/>
      </w:pPr>
      <w:r>
        <w:rPr>
          <w:b/>
        </w:rPr>
        <w:tab/>
      </w:r>
      <w:r>
        <w:rPr>
          <w:rStyle w:val="CharDefText"/>
        </w:rPr>
        <w:t>best practice criteria</w:t>
      </w:r>
      <w:r>
        <w:t xml:space="preserve"> means criteria specified by the Chief Executive Officer that require the establishment and implementation of —</w:t>
      </w:r>
    </w:p>
    <w:p>
      <w:pPr>
        <w:pStyle w:val="Defpara"/>
      </w:pPr>
      <w:r>
        <w:tab/>
        <w:t>(a)</w:t>
      </w:r>
      <w:r>
        <w:tab/>
        <w:t>an environmental policy; and</w:t>
      </w:r>
    </w:p>
    <w:p>
      <w:pPr>
        <w:pStyle w:val="Defpara"/>
      </w:pPr>
      <w:r>
        <w:tab/>
        <w:t>(b)</w:t>
      </w:r>
      <w:r>
        <w:tab/>
        <w:t>environmental performance objectives; and</w:t>
      </w:r>
    </w:p>
    <w:p>
      <w:pPr>
        <w:pStyle w:val="Defpara"/>
      </w:pPr>
      <w:r>
        <w:tab/>
        <w:t>(c)</w:t>
      </w:r>
      <w:r>
        <w:tab/>
        <w:t>continual improvement programmes; and</w:t>
      </w:r>
    </w:p>
    <w:p>
      <w:pPr>
        <w:pStyle w:val="Defpara"/>
      </w:pPr>
      <w:r>
        <w:tab/>
        <w:t>(d)</w:t>
      </w:r>
      <w:r>
        <w:tab/>
        <w:t>environmental management and audit plans; and</w:t>
      </w:r>
    </w:p>
    <w:p>
      <w:pPr>
        <w:pStyle w:val="Defpara"/>
      </w:pPr>
      <w:r>
        <w:tab/>
        <w:t>(e)</w:t>
      </w:r>
      <w:r>
        <w:tab/>
        <w:t>other measures that the Chief Executive Officer considers necessary for good environmental performance and management;</w:t>
      </w:r>
    </w:p>
    <w:p>
      <w:pPr>
        <w:pStyle w:val="Defstart"/>
      </w:pPr>
      <w:r>
        <w:rPr>
          <w:b/>
        </w:rPr>
        <w:tab/>
      </w:r>
      <w:r>
        <w:rPr>
          <w:rStyle w:val="CharDefText"/>
        </w:rPr>
        <w:t>category</w:t>
      </w:r>
      <w:r>
        <w:t xml:space="preserve"> means a category of premises specified in Schedule 1;</w:t>
      </w:r>
    </w:p>
    <w:p>
      <w:pPr>
        <w:pStyle w:val="Defstart"/>
      </w:pPr>
      <w:r>
        <w:rPr>
          <w:b/>
        </w:rPr>
        <w:tab/>
      </w:r>
      <w:r>
        <w:rPr>
          <w:rStyle w:val="CharDefText"/>
        </w:rPr>
        <w:t>licence</w:t>
      </w:r>
      <w:r>
        <w:t xml:space="preserve"> means a licence under Part V of the Act;</w:t>
      </w:r>
    </w:p>
    <w:p>
      <w:pPr>
        <w:pStyle w:val="Defstart"/>
      </w:pPr>
      <w:r>
        <w:rPr>
          <w:b/>
        </w:rPr>
        <w:tab/>
      </w:r>
      <w:r>
        <w:rPr>
          <w:rStyle w:val="CharDefText"/>
        </w:rPr>
        <w:t>licence period</w:t>
      </w:r>
      <w:r>
        <w:t xml:space="preserve"> means —</w:t>
      </w:r>
    </w:p>
    <w:p>
      <w:pPr>
        <w:pStyle w:val="Defpara"/>
      </w:pPr>
      <w:r>
        <w:tab/>
        <w:t>(a)</w:t>
      </w:r>
      <w:r>
        <w:tab/>
        <w:t>in relation to an application for a licence — the period to which the application relates;</w:t>
      </w:r>
    </w:p>
    <w:p>
      <w:pPr>
        <w:pStyle w:val="Defpara"/>
      </w:pPr>
      <w:r>
        <w:tab/>
        <w:t>(b)</w:t>
      </w:r>
      <w:r>
        <w:tab/>
        <w:t>in relation to a licence — the period covered by the licence.</w:t>
      </w:r>
    </w:p>
    <w:p>
      <w:pPr>
        <w:pStyle w:val="Subsection"/>
        <w:spacing w:before="180"/>
        <w:rPr>
          <w:snapToGrid w:val="0"/>
        </w:rPr>
      </w:pPr>
      <w:r>
        <w:rPr>
          <w:snapToGrid w:val="0"/>
        </w:rPr>
        <w:tab/>
        <w:t>(2)</w:t>
      </w:r>
      <w:r>
        <w:rPr>
          <w:snapToGrid w:val="0"/>
        </w:rPr>
        <w:tab/>
        <w:t>A reference in this Part to a kind of waste is a reference to both the type of waste and the nature of its discharge into the environment.</w:t>
      </w:r>
    </w:p>
    <w:p>
      <w:pPr>
        <w:pStyle w:val="Subsection"/>
        <w:spacing w:before="180"/>
        <w:rPr>
          <w:snapToGrid w:val="0"/>
        </w:rPr>
      </w:pPr>
      <w:r>
        <w:rPr>
          <w:snapToGrid w:val="0"/>
        </w:rPr>
        <w:tab/>
        <w:t>(3)</w:t>
      </w:r>
      <w:r>
        <w:rPr>
          <w:snapToGrid w:val="0"/>
        </w:rPr>
        <w:tab/>
        <w:t>A reference in this Part or a Schedule to a category followed by a designation is a reference to the category so designated in the first column of Schedule 1.</w:t>
      </w:r>
    </w:p>
    <w:p>
      <w:pPr>
        <w:pStyle w:val="Subsection"/>
        <w:keepLines/>
        <w:spacing w:before="180"/>
        <w:rPr>
          <w:snapToGrid w:val="0"/>
        </w:rPr>
      </w:pPr>
      <w:r>
        <w:rPr>
          <w:snapToGrid w:val="0"/>
        </w:rPr>
        <w:tab/>
        <w:t>(4)</w:t>
      </w:r>
      <w:r>
        <w:rPr>
          <w:snapToGrid w:val="0"/>
        </w:rPr>
        <w:tab/>
        <w:t xml:space="preserve">A reference in Part 3 of Schedule 4 to the Swan Coastal Plain is a reference to the area defined in Schedule 1 to the </w:t>
      </w:r>
      <w:r>
        <w:rPr>
          <w:i/>
          <w:snapToGrid w:val="0"/>
        </w:rPr>
        <w:t>Environmental Protection (Swan Coastal Plain Lakes) Policy Approval Order 1992 </w:t>
      </w:r>
      <w:r>
        <w:rPr>
          <w:snapToGrid w:val="0"/>
          <w:vertAlign w:val="superscript"/>
        </w:rPr>
        <w:t>2</w:t>
      </w:r>
      <w:r>
        <w:rPr>
          <w:snapToGrid w:val="0"/>
        </w:rPr>
        <w:t>.</w:t>
      </w:r>
    </w:p>
    <w:p>
      <w:pPr>
        <w:pStyle w:val="Subsection"/>
      </w:pPr>
      <w:r>
        <w:tab/>
        <w:t>(5)</w:t>
      </w:r>
      <w:r>
        <w:tab/>
        <w:t>In regulations 5B, 5C, 5CB, 5D, 5DA and 5F and in Schedule 3 fee amounts are expressed in units or fractions of a unit, one unit being equivalent to the amount specified in column 2 of the Table to this subregulation during the period specified in column 1 of that Table.</w:t>
      </w:r>
    </w:p>
    <w:p>
      <w:pPr>
        <w:pStyle w:val="THeadingNAm"/>
        <w:ind w:right="433"/>
      </w:pPr>
      <w:r>
        <w:t>Table</w:t>
      </w:r>
    </w:p>
    <w:tbl>
      <w:tblPr>
        <w:tblW w:w="0" w:type="auto"/>
        <w:tblInd w:w="948" w:type="dxa"/>
        <w:tblLook w:val="0000" w:firstRow="0" w:lastRow="0" w:firstColumn="0" w:lastColumn="0" w:noHBand="0" w:noVBand="0"/>
      </w:tblPr>
      <w:tblGrid>
        <w:gridCol w:w="4263"/>
        <w:gridCol w:w="1616"/>
      </w:tblGrid>
      <w:tr>
        <w:trPr>
          <w:tblHeader/>
        </w:trPr>
        <w:tc>
          <w:tcPr>
            <w:tcW w:w="4263" w:type="dxa"/>
            <w:tcBorders>
              <w:top w:val="single" w:sz="4" w:space="0" w:color="auto"/>
              <w:bottom w:val="single" w:sz="4" w:space="0" w:color="auto"/>
            </w:tcBorders>
          </w:tcPr>
          <w:p>
            <w:pPr>
              <w:pStyle w:val="TableNAm"/>
              <w:jc w:val="center"/>
              <w:rPr>
                <w:b/>
              </w:rPr>
            </w:pPr>
            <w:r>
              <w:rPr>
                <w:b/>
              </w:rPr>
              <w:t>Column 1</w:t>
            </w:r>
            <w:r>
              <w:rPr>
                <w:b/>
              </w:rPr>
              <w:br/>
              <w:t>Period</w:t>
            </w:r>
          </w:p>
        </w:tc>
        <w:tc>
          <w:tcPr>
            <w:tcW w:w="1616" w:type="dxa"/>
            <w:tcBorders>
              <w:top w:val="single" w:sz="4" w:space="0" w:color="auto"/>
              <w:bottom w:val="single" w:sz="4" w:space="0" w:color="auto"/>
            </w:tcBorders>
          </w:tcPr>
          <w:p>
            <w:pPr>
              <w:pStyle w:val="TableNAm"/>
              <w:jc w:val="center"/>
              <w:rPr>
                <w:b/>
              </w:rPr>
            </w:pPr>
            <w:r>
              <w:rPr>
                <w:b/>
              </w:rPr>
              <w:t>Column 2</w:t>
            </w:r>
            <w:r>
              <w:rPr>
                <w:b/>
              </w:rPr>
              <w:br/>
              <w:t>$</w:t>
            </w:r>
          </w:p>
        </w:tc>
      </w:tr>
      <w:tr>
        <w:tc>
          <w:tcPr>
            <w:tcW w:w="4263" w:type="dxa"/>
          </w:tcPr>
          <w:p>
            <w:pPr>
              <w:pStyle w:val="TableNAm"/>
            </w:pPr>
            <w:r>
              <w:t>Beginning on 1 July 2013 and ending on 30 June 2014</w:t>
            </w:r>
          </w:p>
        </w:tc>
        <w:tc>
          <w:tcPr>
            <w:tcW w:w="1616" w:type="dxa"/>
          </w:tcPr>
          <w:p>
            <w:pPr>
              <w:pStyle w:val="TableNAm"/>
              <w:jc w:val="center"/>
            </w:pPr>
            <w:r>
              <w:br/>
              <w:t>30.40</w:t>
            </w:r>
          </w:p>
        </w:tc>
      </w:tr>
      <w:tr>
        <w:tc>
          <w:tcPr>
            <w:tcW w:w="4263" w:type="dxa"/>
          </w:tcPr>
          <w:p>
            <w:pPr>
              <w:pStyle w:val="TableNAm"/>
            </w:pPr>
            <w:r>
              <w:t>Beginning on 1 July 2014 and ending on 30 June 2015</w:t>
            </w:r>
          </w:p>
        </w:tc>
        <w:tc>
          <w:tcPr>
            <w:tcW w:w="1616" w:type="dxa"/>
          </w:tcPr>
          <w:p>
            <w:pPr>
              <w:pStyle w:val="TableNAm"/>
              <w:jc w:val="center"/>
            </w:pPr>
            <w:r>
              <w:br/>
              <w:t>31.60</w:t>
            </w:r>
          </w:p>
        </w:tc>
      </w:tr>
      <w:tr>
        <w:tc>
          <w:tcPr>
            <w:tcW w:w="4263" w:type="dxa"/>
          </w:tcPr>
          <w:p>
            <w:pPr>
              <w:pStyle w:val="TableNAm"/>
            </w:pPr>
            <w:r>
              <w:t>Beginning on 1 July 2015 and ending on 30 June 2016</w:t>
            </w:r>
          </w:p>
        </w:tc>
        <w:tc>
          <w:tcPr>
            <w:tcW w:w="1616" w:type="dxa"/>
          </w:tcPr>
          <w:p>
            <w:pPr>
              <w:pStyle w:val="TableNAm"/>
              <w:jc w:val="center"/>
            </w:pPr>
            <w:r>
              <w:br/>
              <w:t>32.90</w:t>
            </w:r>
          </w:p>
        </w:tc>
      </w:tr>
      <w:tr>
        <w:tc>
          <w:tcPr>
            <w:tcW w:w="4263" w:type="dxa"/>
          </w:tcPr>
          <w:p>
            <w:pPr>
              <w:pStyle w:val="TableNAm"/>
            </w:pPr>
            <w:r>
              <w:t>Beginning on 1 July 2016 and ending on 30 June 2017</w:t>
            </w:r>
          </w:p>
        </w:tc>
        <w:tc>
          <w:tcPr>
            <w:tcW w:w="1616" w:type="dxa"/>
          </w:tcPr>
          <w:p>
            <w:pPr>
              <w:pStyle w:val="TableNAm"/>
              <w:jc w:val="center"/>
            </w:pPr>
            <w:r>
              <w:br/>
              <w:t>34.20</w:t>
            </w:r>
          </w:p>
        </w:tc>
      </w:tr>
      <w:tr>
        <w:tc>
          <w:tcPr>
            <w:tcW w:w="4263" w:type="dxa"/>
            <w:tcBorders>
              <w:bottom w:val="single" w:sz="4" w:space="0" w:color="auto"/>
            </w:tcBorders>
          </w:tcPr>
          <w:p>
            <w:pPr>
              <w:pStyle w:val="TableNAm"/>
            </w:pPr>
            <w:r>
              <w:t>On and from 1 July 2017</w:t>
            </w:r>
          </w:p>
        </w:tc>
        <w:tc>
          <w:tcPr>
            <w:tcW w:w="1616" w:type="dxa"/>
            <w:tcBorders>
              <w:bottom w:val="single" w:sz="4" w:space="0" w:color="auto"/>
            </w:tcBorders>
          </w:tcPr>
          <w:p>
            <w:pPr>
              <w:pStyle w:val="TableNAm"/>
              <w:jc w:val="center"/>
            </w:pPr>
            <w:r>
              <w:t>35.60</w:t>
            </w:r>
          </w:p>
        </w:tc>
      </w:tr>
    </w:tbl>
    <w:p>
      <w:pPr>
        <w:pStyle w:val="Subsection"/>
      </w:pPr>
      <w:r>
        <w:tab/>
        <w:t>(6)</w:t>
      </w:r>
      <w:r>
        <w:tab/>
        <w:t>In Schedule 4 Part 1 fee amounts are expressed in units or fractions of a unit and, for a financial year, one unit is equivalent to the amount specified in column 2 of the Table to this subregulation for that year.</w:t>
      </w:r>
    </w:p>
    <w:p>
      <w:pPr>
        <w:pStyle w:val="THeadingNAm"/>
        <w:ind w:right="433"/>
      </w:pPr>
      <w:r>
        <w:t>Table</w:t>
      </w:r>
    </w:p>
    <w:tbl>
      <w:tblPr>
        <w:tblW w:w="0" w:type="auto"/>
        <w:tblInd w:w="948" w:type="dxa"/>
        <w:tblLook w:val="0000" w:firstRow="0" w:lastRow="0" w:firstColumn="0" w:lastColumn="0" w:noHBand="0" w:noVBand="0"/>
      </w:tblPr>
      <w:tblGrid>
        <w:gridCol w:w="4263"/>
        <w:gridCol w:w="1616"/>
      </w:tblGrid>
      <w:tr>
        <w:trPr>
          <w:tblHeader/>
        </w:trPr>
        <w:tc>
          <w:tcPr>
            <w:tcW w:w="4263" w:type="dxa"/>
            <w:tcBorders>
              <w:top w:val="single" w:sz="4" w:space="0" w:color="auto"/>
              <w:bottom w:val="single" w:sz="4" w:space="0" w:color="auto"/>
            </w:tcBorders>
          </w:tcPr>
          <w:p>
            <w:pPr>
              <w:pStyle w:val="TableNAm"/>
              <w:jc w:val="center"/>
              <w:rPr>
                <w:b/>
              </w:rPr>
            </w:pPr>
            <w:r>
              <w:rPr>
                <w:b/>
              </w:rPr>
              <w:t>Column 1</w:t>
            </w:r>
            <w:r>
              <w:rPr>
                <w:b/>
              </w:rPr>
              <w:br/>
              <w:t>Period</w:t>
            </w:r>
          </w:p>
        </w:tc>
        <w:tc>
          <w:tcPr>
            <w:tcW w:w="1616" w:type="dxa"/>
            <w:tcBorders>
              <w:top w:val="single" w:sz="4" w:space="0" w:color="auto"/>
              <w:bottom w:val="single" w:sz="4" w:space="0" w:color="auto"/>
            </w:tcBorders>
          </w:tcPr>
          <w:p>
            <w:pPr>
              <w:pStyle w:val="TableNAm"/>
              <w:jc w:val="center"/>
              <w:rPr>
                <w:b/>
              </w:rPr>
            </w:pPr>
            <w:r>
              <w:rPr>
                <w:b/>
              </w:rPr>
              <w:t>Column 2</w:t>
            </w:r>
            <w:r>
              <w:rPr>
                <w:b/>
              </w:rPr>
              <w:br/>
              <w:t>$</w:t>
            </w:r>
          </w:p>
        </w:tc>
      </w:tr>
      <w:tr>
        <w:tc>
          <w:tcPr>
            <w:tcW w:w="4263" w:type="dxa"/>
          </w:tcPr>
          <w:p>
            <w:pPr>
              <w:pStyle w:val="TableNAm"/>
            </w:pPr>
            <w:r>
              <w:t>Beginning on 1 July 2013 and ending on 30 June 2014</w:t>
            </w:r>
          </w:p>
        </w:tc>
        <w:tc>
          <w:tcPr>
            <w:tcW w:w="1616" w:type="dxa"/>
          </w:tcPr>
          <w:p>
            <w:pPr>
              <w:pStyle w:val="TableNAm"/>
              <w:jc w:val="center"/>
            </w:pPr>
            <w:r>
              <w:br/>
              <w:t>30.40</w:t>
            </w:r>
          </w:p>
        </w:tc>
      </w:tr>
      <w:tr>
        <w:tc>
          <w:tcPr>
            <w:tcW w:w="4263" w:type="dxa"/>
          </w:tcPr>
          <w:p>
            <w:pPr>
              <w:pStyle w:val="TableNAm"/>
            </w:pPr>
            <w:r>
              <w:t>Beginning on 1 July 2014 and ending on 30 June 2015</w:t>
            </w:r>
          </w:p>
        </w:tc>
        <w:tc>
          <w:tcPr>
            <w:tcW w:w="1616" w:type="dxa"/>
          </w:tcPr>
          <w:p>
            <w:pPr>
              <w:pStyle w:val="TableNAm"/>
              <w:jc w:val="center"/>
            </w:pPr>
            <w:r>
              <w:br/>
              <w:t>31.60</w:t>
            </w:r>
          </w:p>
        </w:tc>
      </w:tr>
      <w:tr>
        <w:tc>
          <w:tcPr>
            <w:tcW w:w="4263" w:type="dxa"/>
          </w:tcPr>
          <w:p>
            <w:pPr>
              <w:pStyle w:val="TableNAm"/>
            </w:pPr>
            <w:r>
              <w:t>Beginning on 1 July 2015 and ending on 30 June 2016</w:t>
            </w:r>
          </w:p>
        </w:tc>
        <w:tc>
          <w:tcPr>
            <w:tcW w:w="1616" w:type="dxa"/>
          </w:tcPr>
          <w:p>
            <w:pPr>
              <w:pStyle w:val="TableNAm"/>
              <w:jc w:val="center"/>
            </w:pPr>
            <w:r>
              <w:br/>
              <w:t>32.90</w:t>
            </w:r>
          </w:p>
        </w:tc>
      </w:tr>
      <w:tr>
        <w:tc>
          <w:tcPr>
            <w:tcW w:w="4263" w:type="dxa"/>
          </w:tcPr>
          <w:p>
            <w:pPr>
              <w:pStyle w:val="TableNAm"/>
            </w:pPr>
            <w:r>
              <w:t>Beginning on 1 July 2016 and ending on 30 June 2017</w:t>
            </w:r>
          </w:p>
        </w:tc>
        <w:tc>
          <w:tcPr>
            <w:tcW w:w="1616" w:type="dxa"/>
          </w:tcPr>
          <w:p>
            <w:pPr>
              <w:pStyle w:val="TableNAm"/>
              <w:jc w:val="center"/>
            </w:pPr>
            <w:r>
              <w:br/>
              <w:t>34.20</w:t>
            </w:r>
          </w:p>
        </w:tc>
      </w:tr>
      <w:tr>
        <w:tc>
          <w:tcPr>
            <w:tcW w:w="4263" w:type="dxa"/>
            <w:tcBorders>
              <w:bottom w:val="single" w:sz="4" w:space="0" w:color="auto"/>
            </w:tcBorders>
          </w:tcPr>
          <w:p>
            <w:pPr>
              <w:pStyle w:val="TableNAm"/>
            </w:pPr>
            <w:r>
              <w:t>On and from 1 July 2017</w:t>
            </w:r>
          </w:p>
        </w:tc>
        <w:tc>
          <w:tcPr>
            <w:tcW w:w="1616" w:type="dxa"/>
            <w:tcBorders>
              <w:bottom w:val="single" w:sz="4" w:space="0" w:color="auto"/>
            </w:tcBorders>
          </w:tcPr>
          <w:p>
            <w:pPr>
              <w:pStyle w:val="TableNAm"/>
              <w:jc w:val="center"/>
            </w:pPr>
            <w:r>
              <w:t>35.60</w:t>
            </w:r>
          </w:p>
        </w:tc>
      </w:tr>
    </w:tbl>
    <w:p>
      <w:pPr>
        <w:pStyle w:val="Subsection"/>
        <w:spacing w:before="200"/>
      </w:pPr>
      <w:r>
        <w:tab/>
        <w:t>(7)</w:t>
      </w:r>
      <w:r>
        <w:tab/>
        <w:t>In Schedule 4 Parts 2 and 3 fee amounts are expressed in units or fractions of a unit and, for a financial year, one unit is equivalent to the amount specified in column 2 of the Table to this subregulation for that year.</w:t>
      </w:r>
    </w:p>
    <w:p>
      <w:pPr>
        <w:pStyle w:val="THeadingNAm"/>
        <w:ind w:right="433"/>
      </w:pPr>
      <w:r>
        <w:t>Table</w:t>
      </w:r>
    </w:p>
    <w:tbl>
      <w:tblPr>
        <w:tblW w:w="0" w:type="auto"/>
        <w:tblInd w:w="948" w:type="dxa"/>
        <w:tblLook w:val="0000" w:firstRow="0" w:lastRow="0" w:firstColumn="0" w:lastColumn="0" w:noHBand="0" w:noVBand="0"/>
      </w:tblPr>
      <w:tblGrid>
        <w:gridCol w:w="4263"/>
        <w:gridCol w:w="1616"/>
      </w:tblGrid>
      <w:tr>
        <w:trPr>
          <w:tblHeader/>
        </w:trPr>
        <w:tc>
          <w:tcPr>
            <w:tcW w:w="4263" w:type="dxa"/>
            <w:tcBorders>
              <w:top w:val="single" w:sz="4" w:space="0" w:color="auto"/>
              <w:bottom w:val="single" w:sz="4" w:space="0" w:color="auto"/>
            </w:tcBorders>
          </w:tcPr>
          <w:p>
            <w:pPr>
              <w:pStyle w:val="TableNAm"/>
              <w:jc w:val="center"/>
              <w:rPr>
                <w:b/>
              </w:rPr>
            </w:pPr>
            <w:r>
              <w:rPr>
                <w:b/>
              </w:rPr>
              <w:t>Column 1</w:t>
            </w:r>
            <w:r>
              <w:rPr>
                <w:b/>
              </w:rPr>
              <w:br/>
              <w:t>Period</w:t>
            </w:r>
          </w:p>
        </w:tc>
        <w:tc>
          <w:tcPr>
            <w:tcW w:w="1616" w:type="dxa"/>
            <w:tcBorders>
              <w:top w:val="single" w:sz="4" w:space="0" w:color="auto"/>
              <w:bottom w:val="single" w:sz="4" w:space="0" w:color="auto"/>
            </w:tcBorders>
          </w:tcPr>
          <w:p>
            <w:pPr>
              <w:pStyle w:val="TableNAm"/>
              <w:jc w:val="center"/>
              <w:rPr>
                <w:b/>
              </w:rPr>
            </w:pPr>
            <w:r>
              <w:rPr>
                <w:b/>
              </w:rPr>
              <w:t>Column 2</w:t>
            </w:r>
            <w:r>
              <w:rPr>
                <w:b/>
              </w:rPr>
              <w:br/>
              <w:t>$</w:t>
            </w:r>
          </w:p>
        </w:tc>
      </w:tr>
      <w:tr>
        <w:tc>
          <w:tcPr>
            <w:tcW w:w="4263" w:type="dxa"/>
          </w:tcPr>
          <w:p>
            <w:pPr>
              <w:pStyle w:val="TableNAm"/>
            </w:pPr>
            <w:r>
              <w:t>Beginning on 1 July 2013 and ending on 30 June 2014</w:t>
            </w:r>
          </w:p>
        </w:tc>
        <w:tc>
          <w:tcPr>
            <w:tcW w:w="1616" w:type="dxa"/>
          </w:tcPr>
          <w:p>
            <w:pPr>
              <w:pStyle w:val="TableNAm"/>
              <w:jc w:val="center"/>
            </w:pPr>
            <w:r>
              <w:br/>
              <w:t>42.60</w:t>
            </w:r>
          </w:p>
        </w:tc>
      </w:tr>
      <w:tr>
        <w:tc>
          <w:tcPr>
            <w:tcW w:w="4263" w:type="dxa"/>
          </w:tcPr>
          <w:p>
            <w:pPr>
              <w:pStyle w:val="TableNAm"/>
            </w:pPr>
            <w:r>
              <w:t>Beginning on 1 July 2014 and ending on 30 June 2015</w:t>
            </w:r>
          </w:p>
        </w:tc>
        <w:tc>
          <w:tcPr>
            <w:tcW w:w="1616" w:type="dxa"/>
          </w:tcPr>
          <w:p>
            <w:pPr>
              <w:pStyle w:val="TableNAm"/>
              <w:jc w:val="center"/>
            </w:pPr>
            <w:r>
              <w:br/>
              <w:t>44.30</w:t>
            </w:r>
          </w:p>
        </w:tc>
      </w:tr>
      <w:tr>
        <w:tc>
          <w:tcPr>
            <w:tcW w:w="4263" w:type="dxa"/>
          </w:tcPr>
          <w:p>
            <w:pPr>
              <w:pStyle w:val="TableNAm"/>
            </w:pPr>
            <w:r>
              <w:t>Beginning on 1 July 2015 and ending on 30 June 2016</w:t>
            </w:r>
          </w:p>
        </w:tc>
        <w:tc>
          <w:tcPr>
            <w:tcW w:w="1616" w:type="dxa"/>
          </w:tcPr>
          <w:p>
            <w:pPr>
              <w:pStyle w:val="TableNAm"/>
              <w:jc w:val="center"/>
            </w:pPr>
            <w:r>
              <w:br/>
              <w:t>46.10</w:t>
            </w:r>
          </w:p>
        </w:tc>
      </w:tr>
      <w:tr>
        <w:tc>
          <w:tcPr>
            <w:tcW w:w="4263" w:type="dxa"/>
          </w:tcPr>
          <w:p>
            <w:pPr>
              <w:pStyle w:val="TableNAm"/>
            </w:pPr>
            <w:r>
              <w:t>Beginning on 1 July 2016 and ending on 30 June 2017</w:t>
            </w:r>
          </w:p>
        </w:tc>
        <w:tc>
          <w:tcPr>
            <w:tcW w:w="1616" w:type="dxa"/>
          </w:tcPr>
          <w:p>
            <w:pPr>
              <w:pStyle w:val="TableNAm"/>
              <w:jc w:val="center"/>
            </w:pPr>
            <w:r>
              <w:br/>
              <w:t>47.90</w:t>
            </w:r>
          </w:p>
        </w:tc>
      </w:tr>
      <w:tr>
        <w:tc>
          <w:tcPr>
            <w:tcW w:w="4263" w:type="dxa"/>
            <w:tcBorders>
              <w:bottom w:val="single" w:sz="4" w:space="0" w:color="auto"/>
            </w:tcBorders>
          </w:tcPr>
          <w:p>
            <w:pPr>
              <w:pStyle w:val="TableNAm"/>
            </w:pPr>
            <w:r>
              <w:t>On and from 1 July 2017</w:t>
            </w:r>
          </w:p>
        </w:tc>
        <w:tc>
          <w:tcPr>
            <w:tcW w:w="1616" w:type="dxa"/>
            <w:tcBorders>
              <w:bottom w:val="single" w:sz="4" w:space="0" w:color="auto"/>
            </w:tcBorders>
          </w:tcPr>
          <w:p>
            <w:pPr>
              <w:pStyle w:val="TableNAm"/>
              <w:jc w:val="center"/>
            </w:pPr>
            <w:r>
              <w:t>49.80</w:t>
            </w:r>
          </w:p>
        </w:tc>
      </w:tr>
    </w:tbl>
    <w:p>
      <w:pPr>
        <w:pStyle w:val="Footnotesection"/>
        <w:ind w:left="890" w:hanging="890"/>
      </w:pPr>
      <w:r>
        <w:tab/>
        <w:t>[Regulation 4 inserted in Gazette 13 Sep 1996 p. 4546; amended in Gazette 12 Sep 1997 p. 5150; 4 Aug 2000 p. 4199</w:t>
      </w:r>
      <w:r>
        <w:noBreakHyphen/>
        <w:t>200; 9 Sep 2003 p. 4053; 22 Jun 2004 p. 2143</w:t>
      </w:r>
      <w:r>
        <w:noBreakHyphen/>
        <w:t>4; 12 Oct 2004 p. 4755; 22 Jun 2007 p. 2839</w:t>
      </w:r>
      <w:r>
        <w:noBreakHyphen/>
        <w:t>41; 18 Jun 2013 p. 2294-5.]</w:t>
      </w:r>
    </w:p>
    <w:p>
      <w:pPr>
        <w:pStyle w:val="Heading5"/>
        <w:keepNext w:val="0"/>
        <w:keepLines w:val="0"/>
        <w:pageBreakBefore/>
        <w:spacing w:before="0"/>
        <w:rPr>
          <w:snapToGrid w:val="0"/>
        </w:rPr>
      </w:pPr>
      <w:bookmarkStart w:id="12" w:name="_Toc404948522"/>
      <w:r>
        <w:rPr>
          <w:rStyle w:val="CharSectno"/>
        </w:rPr>
        <w:t>5</w:t>
      </w:r>
      <w:r>
        <w:rPr>
          <w:snapToGrid w:val="0"/>
        </w:rPr>
        <w:t>.</w:t>
      </w:r>
      <w:r>
        <w:rPr>
          <w:snapToGrid w:val="0"/>
        </w:rPr>
        <w:tab/>
        <w:t>Premises prescribed (</w:t>
      </w:r>
      <w:smartTag w:uri="urn:schemas-microsoft-com:office:smarttags" w:element="place">
        <w:smartTag w:uri="urn:schemas-microsoft-com:office:smarttags" w:element="City">
          <w:r>
            <w:rPr>
              <w:snapToGrid w:val="0"/>
            </w:rPr>
            <w:t>Act</w:t>
          </w:r>
        </w:smartTag>
        <w:r>
          <w:rPr>
            <w:snapToGrid w:val="0"/>
          </w:rPr>
          <w:t xml:space="preserve"> </w:t>
        </w:r>
        <w:smartTag w:uri="urn:schemas-microsoft-com:office:smarttags" w:element="State">
          <w:r>
            <w:rPr>
              <w:snapToGrid w:val="0"/>
            </w:rPr>
            <w:t>Pa</w:t>
          </w:r>
        </w:smartTag>
      </w:smartTag>
      <w:r>
        <w:rPr>
          <w:snapToGrid w:val="0"/>
        </w:rPr>
        <w:t>rt V)</w:t>
      </w:r>
      <w:bookmarkEnd w:id="12"/>
    </w:p>
    <w:p>
      <w:pPr>
        <w:pStyle w:val="Subsection"/>
        <w:rPr>
          <w:snapToGrid w:val="0"/>
        </w:rPr>
      </w:pPr>
      <w:r>
        <w:rPr>
          <w:snapToGrid w:val="0"/>
        </w:rPr>
        <w:tab/>
      </w:r>
      <w:r>
        <w:rPr>
          <w:snapToGrid w:val="0"/>
        </w:rPr>
        <w:tab/>
        <w:t>The premises specified in Schedule 1 are prescribed premises for the purposes of Part V of the Act.</w:t>
      </w:r>
    </w:p>
    <w:p>
      <w:pPr>
        <w:pStyle w:val="Footnotesection"/>
        <w:spacing w:before="80"/>
        <w:ind w:left="890" w:hanging="890"/>
      </w:pPr>
      <w:r>
        <w:tab/>
        <w:t>[Regulation 5 inserted in Gazette 13 Sep 1996 p. 4546.]</w:t>
      </w:r>
    </w:p>
    <w:p>
      <w:pPr>
        <w:pStyle w:val="Heading5"/>
        <w:rPr>
          <w:snapToGrid w:val="0"/>
        </w:rPr>
      </w:pPr>
      <w:bookmarkStart w:id="13" w:name="_Toc404948523"/>
      <w:r>
        <w:rPr>
          <w:rStyle w:val="CharSectno"/>
        </w:rPr>
        <w:t>5A</w:t>
      </w:r>
      <w:r>
        <w:rPr>
          <w:snapToGrid w:val="0"/>
        </w:rPr>
        <w:t>.</w:t>
      </w:r>
      <w:r>
        <w:rPr>
          <w:snapToGrid w:val="0"/>
        </w:rPr>
        <w:tab/>
        <w:t>Registration of Sch. 1 Part 2 premises, effect and cancellation of etc.</w:t>
      </w:r>
      <w:bookmarkEnd w:id="13"/>
    </w:p>
    <w:p>
      <w:pPr>
        <w:pStyle w:val="Subsection"/>
        <w:rPr>
          <w:snapToGrid w:val="0"/>
        </w:rPr>
      </w:pPr>
      <w:r>
        <w:rPr>
          <w:snapToGrid w:val="0"/>
        </w:rPr>
        <w:tab/>
        <w:t>(1)</w:t>
      </w:r>
      <w:r>
        <w:rPr>
          <w:snapToGrid w:val="0"/>
        </w:rPr>
        <w:tab/>
        <w:t>An occupier of premises specified in Part 2 of Schedule 1 may apply for registration of those premises under regulation 5B.</w:t>
      </w:r>
    </w:p>
    <w:p>
      <w:pPr>
        <w:pStyle w:val="Subsection"/>
        <w:rPr>
          <w:snapToGrid w:val="0"/>
        </w:rPr>
      </w:pPr>
      <w:r>
        <w:rPr>
          <w:snapToGrid w:val="0"/>
        </w:rPr>
        <w:tab/>
        <w:t>(2)</w:t>
      </w:r>
      <w:r>
        <w:rPr>
          <w:snapToGrid w:val="0"/>
        </w:rPr>
        <w:tab/>
        <w:t>An occupier who so applies does not commit an offence under section 56 of the Act in respect of those premises while the application is pending.</w:t>
      </w:r>
    </w:p>
    <w:p>
      <w:pPr>
        <w:pStyle w:val="Subsection"/>
        <w:rPr>
          <w:snapToGrid w:val="0"/>
        </w:rPr>
      </w:pPr>
      <w:r>
        <w:rPr>
          <w:snapToGrid w:val="0"/>
        </w:rPr>
        <w:tab/>
        <w:t>(3)</w:t>
      </w:r>
      <w:r>
        <w:rPr>
          <w:snapToGrid w:val="0"/>
        </w:rPr>
        <w:tab/>
        <w:t>If premises specified in Part 2 of Schedule 1 are registered under regulation 5B, section 56 of the Act does not apply to the occupier of those premises.</w:t>
      </w:r>
    </w:p>
    <w:p>
      <w:pPr>
        <w:pStyle w:val="Subsection"/>
      </w:pPr>
      <w:r>
        <w:tab/>
        <w:t>(4)</w:t>
      </w:r>
      <w:r>
        <w:tab/>
        <w:t>If premises specified in Schedule 1 Part 2 are registered under regulation 5B and the Chief Executive Officer is satisfied that the occupier of the premises —</w:t>
      </w:r>
    </w:p>
    <w:p>
      <w:pPr>
        <w:pStyle w:val="Indenta"/>
      </w:pPr>
      <w:r>
        <w:tab/>
        <w:t>(a)</w:t>
      </w:r>
      <w:r>
        <w:tab/>
        <w:t>has been convicted in any court of an offence —</w:t>
      </w:r>
    </w:p>
    <w:p>
      <w:pPr>
        <w:pStyle w:val="Indenti"/>
      </w:pPr>
      <w:r>
        <w:tab/>
        <w:t>(i)</w:t>
      </w:r>
      <w:r>
        <w:tab/>
        <w:t>against the Act or regulations made under the Act; and</w:t>
      </w:r>
    </w:p>
    <w:p>
      <w:pPr>
        <w:pStyle w:val="Indenti"/>
      </w:pPr>
      <w:r>
        <w:tab/>
        <w:t>(ii)</w:t>
      </w:r>
      <w:r>
        <w:tab/>
        <w:t>that relates to the premises;</w:t>
      </w:r>
    </w:p>
    <w:p>
      <w:pPr>
        <w:pStyle w:val="Indenta"/>
      </w:pPr>
      <w:r>
        <w:tab/>
      </w:r>
      <w:r>
        <w:tab/>
        <w:t>or</w:t>
      </w:r>
    </w:p>
    <w:p>
      <w:pPr>
        <w:pStyle w:val="Indenta"/>
      </w:pPr>
      <w:r>
        <w:tab/>
        <w:t>(b)</w:t>
      </w:r>
      <w:r>
        <w:tab/>
        <w:t>has operated, conducted, managed, or controlled the premises in a manner which is detrimental to the environment,</w:t>
      </w:r>
    </w:p>
    <w:p>
      <w:pPr>
        <w:pStyle w:val="Subsection"/>
      </w:pPr>
      <w:r>
        <w:tab/>
      </w:r>
      <w:r>
        <w:tab/>
        <w:t>the Chief Executive Officer may, by notice in writing served on the occupier of the premises, cancel the registration of the premises.</w:t>
      </w:r>
    </w:p>
    <w:p>
      <w:pPr>
        <w:pStyle w:val="Subsection"/>
      </w:pPr>
      <w:r>
        <w:tab/>
        <w:t>(5)</w:t>
      </w:r>
      <w:r>
        <w:tab/>
        <w:t>If the registration of premises is cancelled under subregulation (4), the occupier of the premises may apply to the Chief Executive Officer in writing in a form approved by the Chief Executive Officer for reinstatement of the registration.</w:t>
      </w:r>
    </w:p>
    <w:p>
      <w:pPr>
        <w:pStyle w:val="Subsection"/>
      </w:pPr>
      <w:r>
        <w:tab/>
        <w:t>(6)</w:t>
      </w:r>
      <w:r>
        <w:tab/>
        <w:t>The Chief Executive Officer may reinstate the registration if the occupier satisfies the Chief Executive Officer that the occupier will not —</w:t>
      </w:r>
    </w:p>
    <w:p>
      <w:pPr>
        <w:pStyle w:val="Indenta"/>
      </w:pPr>
      <w:r>
        <w:tab/>
        <w:t>(a)</w:t>
      </w:r>
      <w:r>
        <w:tab/>
        <w:t>contravene a provision of the Act or regulations made under the Act that relate to the premises; or</w:t>
      </w:r>
    </w:p>
    <w:p>
      <w:pPr>
        <w:pStyle w:val="Indenta"/>
      </w:pPr>
      <w:r>
        <w:tab/>
        <w:t>(b)</w:t>
      </w:r>
      <w:r>
        <w:tab/>
        <w:t>operate, conduct, manage, or control the premises in a manner which is detrimental to the environment.</w:t>
      </w:r>
    </w:p>
    <w:p>
      <w:pPr>
        <w:pStyle w:val="Subsection"/>
      </w:pPr>
      <w:r>
        <w:tab/>
        <w:t>(7)</w:t>
      </w:r>
      <w:r>
        <w:tab/>
        <w:t>If the registration of the premises is reinstated under subregulation (6), section 56 of the Act does not apply to the occupier of those premises.</w:t>
      </w:r>
    </w:p>
    <w:p>
      <w:pPr>
        <w:pStyle w:val="Footnotesection"/>
      </w:pPr>
      <w:r>
        <w:tab/>
        <w:t>[Regulation 5A inserted in Gazette 13 Sep 1996 p. 4546; amended in Gazette 15 Aug 2000 p. 4711</w:t>
      </w:r>
      <w:r>
        <w:noBreakHyphen/>
        <w:t>12.]</w:t>
      </w:r>
    </w:p>
    <w:p>
      <w:pPr>
        <w:pStyle w:val="Heading5"/>
        <w:spacing w:before="180"/>
        <w:rPr>
          <w:snapToGrid w:val="0"/>
        </w:rPr>
      </w:pPr>
      <w:bookmarkStart w:id="14" w:name="_Toc404948524"/>
      <w:r>
        <w:rPr>
          <w:rStyle w:val="CharSectno"/>
        </w:rPr>
        <w:t>5B</w:t>
      </w:r>
      <w:r>
        <w:rPr>
          <w:snapToGrid w:val="0"/>
        </w:rPr>
        <w:t>.</w:t>
      </w:r>
      <w:r>
        <w:rPr>
          <w:snapToGrid w:val="0"/>
        </w:rPr>
        <w:tab/>
        <w:t>Registration of premises, application for etc.</w:t>
      </w:r>
      <w:bookmarkEnd w:id="14"/>
    </w:p>
    <w:p>
      <w:pPr>
        <w:pStyle w:val="Ednotesubsection"/>
      </w:pPr>
      <w:r>
        <w:tab/>
        <w:t>[(1)</w:t>
      </w:r>
      <w:r>
        <w:tab/>
      </w:r>
      <w:smartTag w:uri="urn:schemas-microsoft-com:office:smarttags" w:element="State">
        <w:smartTag w:uri="urn:schemas-microsoft-com:office:smarttags" w:element="place">
          <w:r>
            <w:t>del</w:t>
          </w:r>
        </w:smartTag>
      </w:smartTag>
      <w:r>
        <w:t>eted]</w:t>
      </w:r>
    </w:p>
    <w:p>
      <w:pPr>
        <w:pStyle w:val="Subsection"/>
        <w:rPr>
          <w:snapToGrid w:val="0"/>
        </w:rPr>
      </w:pPr>
      <w:r>
        <w:rPr>
          <w:snapToGrid w:val="0"/>
        </w:rPr>
        <w:tab/>
        <w:t>(2)</w:t>
      </w:r>
      <w:r>
        <w:rPr>
          <w:snapToGrid w:val="0"/>
        </w:rPr>
        <w:tab/>
        <w:t>An application for registration of premises is to be —</w:t>
      </w:r>
    </w:p>
    <w:p>
      <w:pPr>
        <w:pStyle w:val="Indenta"/>
        <w:rPr>
          <w:snapToGrid w:val="0"/>
        </w:rPr>
      </w:pPr>
      <w:r>
        <w:rPr>
          <w:snapToGrid w:val="0"/>
        </w:rPr>
        <w:tab/>
        <w:t>(a)</w:t>
      </w:r>
      <w:r>
        <w:rPr>
          <w:snapToGrid w:val="0"/>
        </w:rPr>
        <w:tab/>
        <w:t>in a form approved by the Chief Executive Officer; and</w:t>
      </w:r>
    </w:p>
    <w:p>
      <w:pPr>
        <w:pStyle w:val="Indenta"/>
      </w:pPr>
      <w:r>
        <w:tab/>
        <w:t>(ab)</w:t>
      </w:r>
      <w:r>
        <w:tab/>
        <w:t>made by the occupier of the premises; and</w:t>
      </w:r>
    </w:p>
    <w:p>
      <w:pPr>
        <w:pStyle w:val="Indenta"/>
        <w:rPr>
          <w:snapToGrid w:val="0"/>
        </w:rPr>
      </w:pPr>
      <w:r>
        <w:rPr>
          <w:snapToGrid w:val="0"/>
        </w:rPr>
        <w:tab/>
        <w:t>(b)</w:t>
      </w:r>
      <w:r>
        <w:rPr>
          <w:snapToGrid w:val="0"/>
        </w:rPr>
        <w:tab/>
        <w:t>accompanied by a plan showing the boundaries of the land on which the premises are situated and the layout of the premises; and</w:t>
      </w:r>
    </w:p>
    <w:p>
      <w:pPr>
        <w:pStyle w:val="Indenta"/>
        <w:rPr>
          <w:snapToGrid w:val="0"/>
        </w:rPr>
      </w:pPr>
      <w:r>
        <w:rPr>
          <w:snapToGrid w:val="0"/>
        </w:rPr>
        <w:tab/>
        <w:t>(c)</w:t>
      </w:r>
      <w:r>
        <w:rPr>
          <w:snapToGrid w:val="0"/>
        </w:rPr>
        <w:tab/>
        <w:t xml:space="preserve">accompanied by a fee of 24 units </w:t>
      </w:r>
      <w:r>
        <w:t>unless the occupier of the premises holds a licence in respect of the premises</w:t>
      </w:r>
      <w:r>
        <w:rPr>
          <w:snapToGrid w:val="0"/>
        </w:rPr>
        <w:t>.</w:t>
      </w:r>
    </w:p>
    <w:p>
      <w:pPr>
        <w:pStyle w:val="Subsection"/>
        <w:spacing w:before="140"/>
        <w:rPr>
          <w:snapToGrid w:val="0"/>
        </w:rPr>
      </w:pPr>
      <w:r>
        <w:rPr>
          <w:snapToGrid w:val="0"/>
        </w:rPr>
        <w:tab/>
        <w:t>(3)</w:t>
      </w:r>
      <w:r>
        <w:rPr>
          <w:snapToGrid w:val="0"/>
        </w:rPr>
        <w:tab/>
        <w:t>The Chief Executive Officer is to grant an application made under subregulation (2) and enter details of the registered premises in a register kept for that purpose.</w:t>
      </w:r>
    </w:p>
    <w:p>
      <w:pPr>
        <w:pStyle w:val="Subsection"/>
        <w:spacing w:before="140"/>
        <w:rPr>
          <w:snapToGrid w:val="0"/>
        </w:rPr>
      </w:pPr>
      <w:r>
        <w:rPr>
          <w:snapToGrid w:val="0"/>
        </w:rPr>
        <w:tab/>
        <w:t>(4)</w:t>
      </w:r>
      <w:r>
        <w:rPr>
          <w:snapToGrid w:val="0"/>
        </w:rPr>
        <w:tab/>
        <w:t>A person who becomes the occupier of registered premises and who does not —</w:t>
      </w:r>
    </w:p>
    <w:p>
      <w:pPr>
        <w:pStyle w:val="Indenta"/>
        <w:rPr>
          <w:snapToGrid w:val="0"/>
        </w:rPr>
      </w:pPr>
      <w:r>
        <w:rPr>
          <w:snapToGrid w:val="0"/>
        </w:rPr>
        <w:tab/>
        <w:t>(a)</w:t>
      </w:r>
      <w:r>
        <w:rPr>
          <w:snapToGrid w:val="0"/>
        </w:rPr>
        <w:tab/>
        <w:t>notify the Chief Executive Officer of that fact within 30 days of becoming the occupier; and</w:t>
      </w:r>
    </w:p>
    <w:p>
      <w:pPr>
        <w:pStyle w:val="Indenta"/>
        <w:rPr>
          <w:snapToGrid w:val="0"/>
        </w:rPr>
      </w:pPr>
      <w:r>
        <w:rPr>
          <w:snapToGrid w:val="0"/>
        </w:rPr>
        <w:tab/>
        <w:t>(b)</w:t>
      </w:r>
      <w:r>
        <w:rPr>
          <w:snapToGrid w:val="0"/>
        </w:rPr>
        <w:tab/>
        <w:t>include with the notification a recording fee of 2 units,</w:t>
      </w:r>
    </w:p>
    <w:p>
      <w:pPr>
        <w:pStyle w:val="Subsection"/>
        <w:keepLines/>
        <w:rPr>
          <w:snapToGrid w:val="0"/>
        </w:rPr>
      </w:pPr>
      <w:r>
        <w:rPr>
          <w:snapToGrid w:val="0"/>
        </w:rPr>
        <w:tab/>
      </w:r>
      <w:r>
        <w:rPr>
          <w:snapToGrid w:val="0"/>
        </w:rPr>
        <w:tab/>
        <w:t>commits an offence.</w:t>
      </w:r>
    </w:p>
    <w:p>
      <w:pPr>
        <w:pStyle w:val="Penstart"/>
        <w:keepLines/>
        <w:rPr>
          <w:snapToGrid w:val="0"/>
        </w:rPr>
      </w:pPr>
      <w:r>
        <w:rPr>
          <w:snapToGrid w:val="0"/>
        </w:rPr>
        <w:tab/>
        <w:t>Penalty: $5 000.</w:t>
      </w:r>
    </w:p>
    <w:p>
      <w:pPr>
        <w:pStyle w:val="Subsection"/>
        <w:rPr>
          <w:snapToGrid w:val="0"/>
        </w:rPr>
      </w:pPr>
      <w:r>
        <w:rPr>
          <w:snapToGrid w:val="0"/>
        </w:rPr>
        <w:tab/>
        <w:t>(5)</w:t>
      </w:r>
      <w:r>
        <w:rPr>
          <w:snapToGrid w:val="0"/>
        </w:rPr>
        <w:tab/>
        <w:t>On receipt of a notification and fee under subregulation (4), the Chief Executive Officer is to make the necessary alterations to the register.</w:t>
      </w:r>
    </w:p>
    <w:p>
      <w:pPr>
        <w:pStyle w:val="Footnotesection"/>
        <w:keepLines w:val="0"/>
        <w:spacing w:before="80"/>
        <w:ind w:left="890" w:hanging="890"/>
      </w:pPr>
      <w:r>
        <w:tab/>
        <w:t>[Regulation 5B inserted in Gazette 13 Sep 1996 p. 4546</w:t>
      </w:r>
      <w:r>
        <w:noBreakHyphen/>
        <w:t>7; amended in Gazette 11 Dec 1998 p. 6599; 15 Aug 2000 p. 4712; 8 May 2012 p. 1893.]</w:t>
      </w:r>
    </w:p>
    <w:p>
      <w:pPr>
        <w:pStyle w:val="Heading5"/>
        <w:keepNext w:val="0"/>
        <w:keepLines w:val="0"/>
        <w:rPr>
          <w:snapToGrid w:val="0"/>
        </w:rPr>
      </w:pPr>
      <w:bookmarkStart w:id="15" w:name="_Toc404948525"/>
      <w:r>
        <w:rPr>
          <w:rStyle w:val="CharSectno"/>
        </w:rPr>
        <w:t>5C</w:t>
      </w:r>
      <w:r>
        <w:rPr>
          <w:snapToGrid w:val="0"/>
        </w:rPr>
        <w:t>.</w:t>
      </w:r>
      <w:r>
        <w:rPr>
          <w:snapToGrid w:val="0"/>
        </w:rPr>
        <w:tab/>
        <w:t>Fees prescribed for works approval and transfer of works approval (Act s. 54(1) and 64(1))</w:t>
      </w:r>
      <w:bookmarkEnd w:id="15"/>
    </w:p>
    <w:p>
      <w:pPr>
        <w:pStyle w:val="Subsection"/>
        <w:rPr>
          <w:snapToGrid w:val="0"/>
        </w:rPr>
      </w:pPr>
      <w:r>
        <w:rPr>
          <w:snapToGrid w:val="0"/>
        </w:rPr>
        <w:tab/>
        <w:t>(1)</w:t>
      </w:r>
      <w:r>
        <w:rPr>
          <w:snapToGrid w:val="0"/>
        </w:rPr>
        <w:tab/>
        <w:t>The fee prescribed for the purposes of section 54(1)(b) of the Act is the appropriate fee specified in Schedule 3 determined on the basis of the cost of the works that are the subject of the application.</w:t>
      </w:r>
    </w:p>
    <w:p>
      <w:pPr>
        <w:pStyle w:val="Subsection"/>
        <w:rPr>
          <w:snapToGrid w:val="0"/>
        </w:rPr>
      </w:pPr>
      <w:r>
        <w:rPr>
          <w:snapToGrid w:val="0"/>
        </w:rPr>
        <w:tab/>
        <w:t>(2)</w:t>
      </w:r>
      <w:r>
        <w:rPr>
          <w:snapToGrid w:val="0"/>
        </w:rPr>
        <w:tab/>
        <w:t>In determining the cost of works for the purposes of this regulation, no account is to be taken of —</w:t>
      </w:r>
    </w:p>
    <w:p>
      <w:pPr>
        <w:pStyle w:val="Indenta"/>
        <w:rPr>
          <w:snapToGrid w:val="0"/>
        </w:rPr>
      </w:pPr>
      <w:r>
        <w:rPr>
          <w:snapToGrid w:val="0"/>
        </w:rPr>
        <w:tab/>
        <w:t>(a)</w:t>
      </w:r>
      <w:r>
        <w:rPr>
          <w:snapToGrid w:val="0"/>
        </w:rPr>
        <w:tab/>
        <w:t>the cost of land; or</w:t>
      </w:r>
    </w:p>
    <w:p>
      <w:pPr>
        <w:pStyle w:val="Indenta"/>
        <w:rPr>
          <w:snapToGrid w:val="0"/>
        </w:rPr>
      </w:pPr>
      <w:r>
        <w:rPr>
          <w:snapToGrid w:val="0"/>
        </w:rPr>
        <w:tab/>
        <w:t>(b)</w:t>
      </w:r>
      <w:r>
        <w:rPr>
          <w:snapToGrid w:val="0"/>
        </w:rPr>
        <w:tab/>
        <w:t>the cost of buildings to be used for purposes unrelated to the purposes in respect of which the premises are, or will become, prescribed premises; or</w:t>
      </w:r>
    </w:p>
    <w:p>
      <w:pPr>
        <w:pStyle w:val="Indenta"/>
        <w:rPr>
          <w:snapToGrid w:val="0"/>
        </w:rPr>
      </w:pPr>
      <w:r>
        <w:rPr>
          <w:snapToGrid w:val="0"/>
        </w:rPr>
        <w:tab/>
        <w:t>(c)</w:t>
      </w:r>
      <w:r>
        <w:rPr>
          <w:snapToGrid w:val="0"/>
        </w:rPr>
        <w:tab/>
        <w:t>consultancy fees paid or to be paid in relation to those works.</w:t>
      </w:r>
    </w:p>
    <w:p>
      <w:pPr>
        <w:pStyle w:val="Subsection"/>
        <w:rPr>
          <w:snapToGrid w:val="0"/>
        </w:rPr>
      </w:pPr>
      <w:r>
        <w:tab/>
        <w:t>(3)</w:t>
      </w:r>
      <w:r>
        <w:tab/>
        <w:t>For the purpose of section 64(1)(b) of the Act the fee prescribed for the transfer of a works approval is 2 units.</w:t>
      </w:r>
    </w:p>
    <w:p>
      <w:pPr>
        <w:pStyle w:val="Footnotesection"/>
        <w:ind w:left="890" w:hanging="890"/>
      </w:pPr>
      <w:r>
        <w:tab/>
        <w:t>[Regulation 5C inserted in Gazette 13 Sep 1996 p. 4547; amended in Gazette 15 Aug 2000 p. 4712.]</w:t>
      </w:r>
    </w:p>
    <w:p>
      <w:pPr>
        <w:pStyle w:val="Heading5"/>
      </w:pPr>
      <w:bookmarkStart w:id="16" w:name="_Toc404948526"/>
      <w:r>
        <w:rPr>
          <w:rStyle w:val="CharSectno"/>
        </w:rPr>
        <w:t>5CA</w:t>
      </w:r>
      <w:r>
        <w:t>.</w:t>
      </w:r>
      <w:r>
        <w:tab/>
        <w:t>Fee for works approval, CEO may waive</w:t>
      </w:r>
      <w:bookmarkEnd w:id="16"/>
    </w:p>
    <w:p>
      <w:pPr>
        <w:pStyle w:val="Subsection"/>
      </w:pPr>
      <w:r>
        <w:tab/>
      </w:r>
      <w:r>
        <w:tab/>
        <w:t>If, in respect of an application for a works approval under section 54 of the Act, the Chief Executive Officer is satisfied that the environmental performance and management of the premises to which the application relates conform to best practice criteria, the Chief Executive Officer may waive any amount otherwise payable under regulation 5C(1) in respect of the works approval.</w:t>
      </w:r>
    </w:p>
    <w:p>
      <w:pPr>
        <w:pStyle w:val="Footnotesection"/>
        <w:spacing w:before="80"/>
        <w:ind w:left="890" w:hanging="890"/>
      </w:pPr>
      <w:r>
        <w:tab/>
        <w:t>[Regulation 5CA inserted in Gazette 15 Aug 2000 p. 4713.]</w:t>
      </w:r>
    </w:p>
    <w:p>
      <w:pPr>
        <w:pStyle w:val="Heading5"/>
      </w:pPr>
      <w:bookmarkStart w:id="17" w:name="_Toc404948527"/>
      <w:r>
        <w:rPr>
          <w:rStyle w:val="CharSectno"/>
        </w:rPr>
        <w:t>5CAA</w:t>
      </w:r>
      <w:r>
        <w:t>.</w:t>
      </w:r>
      <w:r>
        <w:tab/>
        <w:t>Manner of advertising prescribed</w:t>
      </w:r>
      <w:r>
        <w:rPr>
          <w:snapToGrid w:val="0"/>
        </w:rPr>
        <w:t xml:space="preserve"> (Act s. 54(2a))</w:t>
      </w:r>
      <w:bookmarkEnd w:id="17"/>
    </w:p>
    <w:p>
      <w:pPr>
        <w:pStyle w:val="Subsection"/>
      </w:pPr>
      <w:r>
        <w:tab/>
        <w:t>(1)</w:t>
      </w:r>
      <w:r>
        <w:tab/>
        <w:t>For the purposes of section 54(2a) of the Act, the CEO is to advertise the application for a works approval in an advertisement published in a newspaper circulated daily in the State.</w:t>
      </w:r>
    </w:p>
    <w:p>
      <w:pPr>
        <w:pStyle w:val="Subsection"/>
      </w:pPr>
      <w:r>
        <w:tab/>
        <w:t>(2)</w:t>
      </w:r>
      <w:r>
        <w:tab/>
        <w:t>The advertisement is to include —</w:t>
      </w:r>
    </w:p>
    <w:p>
      <w:pPr>
        <w:pStyle w:val="Indenta"/>
      </w:pPr>
      <w:r>
        <w:tab/>
        <w:t>(a)</w:t>
      </w:r>
      <w:r>
        <w:tab/>
        <w:t>a statement indicating submissions about the application may be sent to the Department of Environment</w:t>
      </w:r>
      <w:r>
        <w:rPr>
          <w:i/>
          <w:snapToGrid w:val="0"/>
          <w:vertAlign w:val="superscript"/>
        </w:rPr>
        <w:t> </w:t>
      </w:r>
      <w:r>
        <w:rPr>
          <w:snapToGrid w:val="0"/>
          <w:vertAlign w:val="superscript"/>
        </w:rPr>
        <w:t>3</w:t>
      </w:r>
      <w:r>
        <w:t xml:space="preserve"> at the address and within the time period specified in the advertisement; and</w:t>
      </w:r>
    </w:p>
    <w:p>
      <w:pPr>
        <w:pStyle w:val="Indenta"/>
        <w:keepNext/>
      </w:pPr>
      <w:r>
        <w:tab/>
        <w:t>(b)</w:t>
      </w:r>
      <w:r>
        <w:tab/>
        <w:t>the following particulars —</w:t>
      </w:r>
    </w:p>
    <w:p>
      <w:pPr>
        <w:pStyle w:val="Indenti"/>
      </w:pPr>
      <w:r>
        <w:tab/>
        <w:t>(i)</w:t>
      </w:r>
      <w:r>
        <w:tab/>
        <w:t>the category of prescribed premises under Schedule 1 that describes the main function of the premises to which the application relates;</w:t>
      </w:r>
    </w:p>
    <w:p>
      <w:pPr>
        <w:pStyle w:val="Indenti"/>
      </w:pPr>
      <w:r>
        <w:tab/>
        <w:t>(ii)</w:t>
      </w:r>
      <w:r>
        <w:tab/>
        <w:t>the name of the applicant;</w:t>
      </w:r>
    </w:p>
    <w:p>
      <w:pPr>
        <w:pStyle w:val="Indenti"/>
      </w:pPr>
      <w:r>
        <w:tab/>
        <w:t>(iii)</w:t>
      </w:r>
      <w:r>
        <w:tab/>
        <w:t>the locality of the premises to which the application relates;</w:t>
      </w:r>
    </w:p>
    <w:p>
      <w:pPr>
        <w:pStyle w:val="Indenti"/>
      </w:pPr>
      <w:r>
        <w:tab/>
        <w:t>(iv)</w:t>
      </w:r>
      <w:r>
        <w:tab/>
        <w:t>the reference number for the application.</w:t>
      </w:r>
    </w:p>
    <w:p>
      <w:pPr>
        <w:pStyle w:val="Footnotesection"/>
        <w:ind w:left="890" w:hanging="890"/>
      </w:pPr>
      <w:r>
        <w:tab/>
        <w:t>[Regulation 5CAA inserted in Gazette 23 Nov 2004 p. 5222</w:t>
      </w:r>
      <w:r>
        <w:noBreakHyphen/>
        <w:t>3.]</w:t>
      </w:r>
    </w:p>
    <w:p>
      <w:pPr>
        <w:pStyle w:val="Heading5"/>
      </w:pPr>
      <w:bookmarkStart w:id="18" w:name="_Toc404948528"/>
      <w:r>
        <w:rPr>
          <w:rStyle w:val="CharSectno"/>
        </w:rPr>
        <w:t>5CB</w:t>
      </w:r>
      <w:r>
        <w:t>.</w:t>
      </w:r>
      <w:r>
        <w:tab/>
        <w:t>Replacement of expiring licence, application for</w:t>
      </w:r>
      <w:bookmarkEnd w:id="18"/>
    </w:p>
    <w:p>
      <w:pPr>
        <w:pStyle w:val="Subsection"/>
      </w:pPr>
      <w:r>
        <w:tab/>
        <w:t>(1)</w:t>
      </w:r>
      <w:r>
        <w:tab/>
        <w:t>An application for a licence to replace an existing licence on the expiry of the existing licence must be made by the licence holder of the existing licence more than 70 days before the day on which the existing licence expires.</w:t>
      </w:r>
    </w:p>
    <w:p>
      <w:pPr>
        <w:pStyle w:val="Subsection"/>
      </w:pPr>
      <w:r>
        <w:tab/>
        <w:t>(2)</w:t>
      </w:r>
      <w:r>
        <w:tab/>
        <w:t>A licence holder who makes an application described in subregulation (1) 70 days or less than 70 days before the expiry of the existing licence but more than 42 days before the expiry must pay a late application fee of 10 units.</w:t>
      </w:r>
    </w:p>
    <w:p>
      <w:pPr>
        <w:pStyle w:val="Subsection"/>
      </w:pPr>
      <w:r>
        <w:tab/>
        <w:t>(3)</w:t>
      </w:r>
      <w:r>
        <w:tab/>
        <w:t>A licence holder who makes an application described in subregulation (1) 42 days or less than 42 days before the expiry of the existing licence must pay a late application fee of 20 units.</w:t>
      </w:r>
    </w:p>
    <w:p>
      <w:pPr>
        <w:pStyle w:val="Footnotesection"/>
      </w:pPr>
      <w:r>
        <w:tab/>
        <w:t>[Regulation 5CB inserted in Gazette 22 Jun 2004 p. 2144.]</w:t>
      </w:r>
    </w:p>
    <w:p>
      <w:pPr>
        <w:pStyle w:val="Heading5"/>
        <w:rPr>
          <w:snapToGrid w:val="0"/>
        </w:rPr>
      </w:pPr>
      <w:bookmarkStart w:id="19" w:name="_Toc404948529"/>
      <w:r>
        <w:rPr>
          <w:rStyle w:val="CharSectno"/>
        </w:rPr>
        <w:t>5D</w:t>
      </w:r>
      <w:r>
        <w:rPr>
          <w:snapToGrid w:val="0"/>
        </w:rPr>
        <w:t>.</w:t>
      </w:r>
      <w:r>
        <w:rPr>
          <w:snapToGrid w:val="0"/>
        </w:rPr>
        <w:tab/>
        <w:t>Prescribed premises, fee for licence for</w:t>
      </w:r>
      <w:bookmarkEnd w:id="19"/>
    </w:p>
    <w:p>
      <w:pPr>
        <w:pStyle w:val="Subsection"/>
      </w:pPr>
      <w:r>
        <w:tab/>
        <w:t>(1)</w:t>
      </w:r>
      <w:r>
        <w:tab/>
        <w:t>T</w:t>
      </w:r>
      <w:r>
        <w:rPr>
          <w:snapToGrid w:val="0"/>
        </w:rPr>
        <w:t>he total amount of the fee for a licence in respect of prescribed premises is the sum of the following amounts — the amount for</w:t>
      </w:r>
      <w:r>
        <w:t xml:space="preserve"> each financial year, or part of a financial year, in the licence period</w:t>
      </w:r>
      <w:r>
        <w:rPr>
          <w:snapToGrid w:val="0"/>
        </w:rPr>
        <w:t xml:space="preserve"> </w:t>
      </w:r>
      <w:r>
        <w:t>worked out under subregulation (1a) (reduced pro rata for a part of a financial year).</w:t>
      </w:r>
    </w:p>
    <w:p>
      <w:pPr>
        <w:pStyle w:val="Subsection"/>
      </w:pPr>
      <w:r>
        <w:tab/>
        <w:t>(1a)</w:t>
      </w:r>
      <w:r>
        <w:tab/>
      </w:r>
      <w:r>
        <w:rPr>
          <w:snapToGrid w:val="0"/>
        </w:rPr>
        <w:t xml:space="preserve">Subject to </w:t>
      </w:r>
      <w:r>
        <w:t xml:space="preserve">subregulations (3) and (4) </w:t>
      </w:r>
      <w:r>
        <w:rPr>
          <w:snapToGrid w:val="0"/>
        </w:rPr>
        <w:t>and regulation 5G (the maximum fee), t</w:t>
      </w:r>
      <w:r>
        <w:t>he amount for a financial year is the sum of the paragraph (a) amount and the larger of the paragraph (b) amount and the paragraph (c) amount —</w:t>
      </w:r>
    </w:p>
    <w:p>
      <w:pPr>
        <w:pStyle w:val="Indenta"/>
        <w:rPr>
          <w:snapToGrid w:val="0"/>
        </w:rPr>
      </w:pPr>
      <w:r>
        <w:rPr>
          <w:snapToGrid w:val="0"/>
        </w:rPr>
        <w:tab/>
        <w:t>(a)</w:t>
      </w:r>
      <w:r>
        <w:rPr>
          <w:snapToGrid w:val="0"/>
        </w:rPr>
        <w:tab/>
        <w:t xml:space="preserve">the amount specified in the third column of Part 1 of Schedule 4 for </w:t>
      </w:r>
      <w:r>
        <w:t xml:space="preserve">the financial year </w:t>
      </w:r>
      <w:r>
        <w:rPr>
          <w:snapToGrid w:val="0"/>
        </w:rPr>
        <w:t>for the relevant category, and the relevant production or design capacity (where applicable), of the premises specified in the first and second columns of that Part;</w:t>
      </w:r>
    </w:p>
    <w:p>
      <w:pPr>
        <w:pStyle w:val="Indenta"/>
        <w:rPr>
          <w:snapToGrid w:val="0"/>
        </w:rPr>
      </w:pPr>
      <w:r>
        <w:rPr>
          <w:snapToGrid w:val="0"/>
        </w:rPr>
        <w:tab/>
        <w:t>(b)</w:t>
      </w:r>
      <w:r>
        <w:rPr>
          <w:snapToGrid w:val="0"/>
        </w:rPr>
        <w:tab/>
        <w:t xml:space="preserve">in respect of premises within category 5, 6, 7, 8, 9, 12, 14, 44, 46, </w:t>
      </w:r>
      <w:r>
        <w:t xml:space="preserve">53, 54A, 70, 80 or 85B, </w:t>
      </w:r>
      <w:r>
        <w:rPr>
          <w:snapToGrid w:val="0"/>
        </w:rPr>
        <w:t>where the operation of the premises involves the discharge of</w:t>
      </w:r>
      <w:r>
        <w:t xml:space="preserve"> Part 2 waste</w:t>
      </w:r>
      <w:r>
        <w:rPr>
          <w:snapToGrid w:val="0"/>
        </w:rPr>
        <w:t xml:space="preserve"> — the amount specified in the second column of Part 2 of Schedule 4 for </w:t>
      </w:r>
      <w:r>
        <w:t xml:space="preserve">the financial year </w:t>
      </w:r>
      <w:r>
        <w:rPr>
          <w:snapToGrid w:val="0"/>
        </w:rPr>
        <w:t>for the relevant quantity of such waste specified in the first column of that Part that is permitted to be discharged from the premises;</w:t>
      </w:r>
    </w:p>
    <w:p>
      <w:pPr>
        <w:pStyle w:val="Indenta"/>
        <w:spacing w:before="60"/>
        <w:rPr>
          <w:snapToGrid w:val="0"/>
        </w:rPr>
      </w:pPr>
      <w:r>
        <w:rPr>
          <w:snapToGrid w:val="0"/>
        </w:rPr>
        <w:tab/>
        <w:t>(c)</w:t>
      </w:r>
      <w:r>
        <w:rPr>
          <w:snapToGrid w:val="0"/>
        </w:rPr>
        <w:tab/>
        <w:t xml:space="preserve">the amount for </w:t>
      </w:r>
      <w:r>
        <w:t xml:space="preserve">the financial year </w:t>
      </w:r>
      <w:r>
        <w:rPr>
          <w:snapToGrid w:val="0"/>
        </w:rPr>
        <w:t>is the sum of the following amounts — the amount worked out under regulation 5E for each kind of waste to be discharged from the premises.</w:t>
      </w:r>
    </w:p>
    <w:p>
      <w:pPr>
        <w:pStyle w:val="Subsection"/>
        <w:rPr>
          <w:snapToGrid w:val="0"/>
        </w:rPr>
      </w:pPr>
      <w:r>
        <w:rPr>
          <w:snapToGrid w:val="0"/>
        </w:rPr>
        <w:tab/>
        <w:t>(2)</w:t>
      </w:r>
      <w:r>
        <w:rPr>
          <w:snapToGrid w:val="0"/>
        </w:rPr>
        <w:tab/>
        <w:t>If any premises occupied by the same person, as determined by the Chief Executive Officer, fall within more than one category specified in the first column of Part 1 of Schedule 4, the amount payable in respect of those premises under subregulation (</w:t>
      </w:r>
      <w:r>
        <w:t>1a)(a)</w:t>
      </w:r>
      <w:r>
        <w:rPr>
          <w:snapToGrid w:val="0"/>
        </w:rPr>
        <w:t xml:space="preserve"> is that appropriate to the category in respect of which the higher or highest amount is payable.</w:t>
      </w:r>
    </w:p>
    <w:p>
      <w:pPr>
        <w:pStyle w:val="Subsection"/>
        <w:rPr>
          <w:snapToGrid w:val="0"/>
        </w:rPr>
      </w:pPr>
      <w:r>
        <w:rPr>
          <w:snapToGrid w:val="0"/>
        </w:rPr>
        <w:tab/>
        <w:t>(3)</w:t>
      </w:r>
      <w:r>
        <w:rPr>
          <w:snapToGrid w:val="0"/>
        </w:rPr>
        <w:tab/>
        <w:t>No amount is payable under subregulation (</w:t>
      </w:r>
      <w:r>
        <w:t>1a)(c)</w:t>
      </w:r>
      <w:r>
        <w:rPr>
          <w:snapToGrid w:val="0"/>
        </w:rPr>
        <w:t xml:space="preserve"> in respect of bitterns discharges or discharges from category 14 premises.</w:t>
      </w:r>
    </w:p>
    <w:p>
      <w:pPr>
        <w:pStyle w:val="Subsection"/>
      </w:pPr>
      <w:r>
        <w:tab/>
        <w:t>(4)</w:t>
      </w:r>
      <w:r>
        <w:tab/>
        <w:t>No amount is payable under subregulation (1a)(c) in respect of water discharge from category 6 premises.</w:t>
      </w:r>
    </w:p>
    <w:p>
      <w:pPr>
        <w:pStyle w:val="Subsection"/>
      </w:pPr>
      <w:r>
        <w:tab/>
        <w:t>(5)</w:t>
      </w:r>
      <w:r>
        <w:tab/>
        <w:t>For the purpose of section 64(1)(b) of the Act the fee prescribed for the transfer of a licence is 2 units.</w:t>
      </w:r>
    </w:p>
    <w:p>
      <w:pPr>
        <w:pStyle w:val="Subsection"/>
      </w:pPr>
      <w:r>
        <w:tab/>
        <w:t>(6)</w:t>
      </w:r>
      <w:r>
        <w:tab/>
        <w:t>In this regulation and Schedule 4 —</w:t>
      </w:r>
    </w:p>
    <w:p>
      <w:pPr>
        <w:pStyle w:val="Defstart"/>
      </w:pPr>
      <w:r>
        <w:rPr>
          <w:b/>
        </w:rPr>
        <w:tab/>
      </w:r>
      <w:r>
        <w:rPr>
          <w:rStyle w:val="CharDefText"/>
        </w:rPr>
        <w:t>Part 2 waste</w:t>
      </w:r>
      <w:r>
        <w:t xml:space="preserve"> means waste consisting of —</w:t>
      </w:r>
    </w:p>
    <w:p>
      <w:pPr>
        <w:pStyle w:val="Defpara"/>
      </w:pPr>
      <w:r>
        <w:tab/>
        <w:t>(a)</w:t>
      </w:r>
      <w:r>
        <w:tab/>
        <w:t>tailings; or</w:t>
      </w:r>
    </w:p>
    <w:p>
      <w:pPr>
        <w:pStyle w:val="Defpara"/>
      </w:pPr>
      <w:r>
        <w:tab/>
        <w:t>(b)</w:t>
      </w:r>
      <w:r>
        <w:tab/>
        <w:t>bitterns; or</w:t>
      </w:r>
    </w:p>
    <w:p>
      <w:pPr>
        <w:pStyle w:val="Defpara"/>
      </w:pPr>
      <w:r>
        <w:tab/>
        <w:t>(c)</w:t>
      </w:r>
      <w:r>
        <w:tab/>
        <w:t>water to allow mining of ore; or</w:t>
      </w:r>
    </w:p>
    <w:p>
      <w:pPr>
        <w:pStyle w:val="Defpara"/>
      </w:pPr>
      <w:r>
        <w:tab/>
        <w:t>(d)</w:t>
      </w:r>
      <w:r>
        <w:tab/>
        <w:t>flyash; or</w:t>
      </w:r>
    </w:p>
    <w:p>
      <w:pPr>
        <w:pStyle w:val="Defpara"/>
      </w:pPr>
      <w:r>
        <w:tab/>
        <w:t>(e)</w:t>
      </w:r>
      <w:r>
        <w:tab/>
        <w:t>waste water from a desalination plant.</w:t>
      </w:r>
    </w:p>
    <w:p>
      <w:pPr>
        <w:pStyle w:val="Footnotesection"/>
      </w:pPr>
      <w:r>
        <w:tab/>
        <w:t>[Regulation 5D inserted in Gazette 13 Sep 1996 p. 4547; amended in Gazette 10 Dec 1996 p. 6876</w:t>
      </w:r>
      <w:r>
        <w:noBreakHyphen/>
        <w:t>7; 15 Aug 2000 p. 4713; 22 Jun 2004 p. 2144</w:t>
      </w:r>
      <w:r>
        <w:noBreakHyphen/>
        <w:t>5; 13 Dec 2005 p. 5982-3; 22 Jun 2007 p. 2841.]</w:t>
      </w:r>
    </w:p>
    <w:p>
      <w:pPr>
        <w:pStyle w:val="Heading5"/>
      </w:pPr>
      <w:bookmarkStart w:id="20" w:name="_Toc404948530"/>
      <w:r>
        <w:rPr>
          <w:rStyle w:val="CharSectno"/>
        </w:rPr>
        <w:t>5DA</w:t>
      </w:r>
      <w:r>
        <w:t>.</w:t>
      </w:r>
      <w:r>
        <w:tab/>
        <w:t>Payment of licence fees</w:t>
      </w:r>
      <w:bookmarkEnd w:id="20"/>
    </w:p>
    <w:p>
      <w:pPr>
        <w:pStyle w:val="Subsection"/>
      </w:pPr>
      <w:r>
        <w:tab/>
        <w:t>(1)</w:t>
      </w:r>
      <w:r>
        <w:tab/>
        <w:t>An application for a licence for a period of one year or less must be accompanied by the total amount of the fee worked out under regulation 5D.</w:t>
      </w:r>
    </w:p>
    <w:p>
      <w:pPr>
        <w:pStyle w:val="Subsection"/>
      </w:pPr>
      <w:r>
        <w:tab/>
        <w:t>(2)</w:t>
      </w:r>
      <w:r>
        <w:tab/>
        <w:t>An application for a licence for a period of more than one year must be accompanied by the fee for the first year of the licence period, worked out under regulation 5D as if the licence period were that first year.</w:t>
      </w:r>
    </w:p>
    <w:p>
      <w:pPr>
        <w:pStyle w:val="Subsection"/>
      </w:pPr>
      <w:r>
        <w:tab/>
        <w:t>(3)</w:t>
      </w:r>
      <w:r>
        <w:tab/>
        <w:t>For a licence for a period of more than one year, the licence holder must, before each anniversary of the grant of the licence, pay the fee for the subsequent period (the shorter of the remainder of the licence period or the next year), worked out under regulation 5D as if the licence period were that subsequent period.</w:t>
      </w:r>
    </w:p>
    <w:p>
      <w:pPr>
        <w:pStyle w:val="Subsection"/>
      </w:pPr>
      <w:r>
        <w:tab/>
        <w:t>(4)</w:t>
      </w:r>
      <w:r>
        <w:tab/>
        <w:t>If the licence holder does not pay a fee under subregulation (3) on time but pays it within one month after the anniversary before which the fee should have been paid, the licence holder must pay, in addition to the fee under subregulation (3), a late payment fee of 10 units.</w:t>
      </w:r>
    </w:p>
    <w:p>
      <w:pPr>
        <w:pStyle w:val="Subsection"/>
      </w:pPr>
      <w:r>
        <w:tab/>
        <w:t>(5)</w:t>
      </w:r>
      <w:r>
        <w:tab/>
        <w:t>If the licence holder does not pay a fee under subregulation (3) within one month after the anniversary before which the fee should have been paid, the licence ceases to have effect.</w:t>
      </w:r>
    </w:p>
    <w:p>
      <w:pPr>
        <w:pStyle w:val="Footnotesection"/>
      </w:pPr>
      <w:r>
        <w:tab/>
        <w:t>[Regulation 5DA inserted in Gazette 22 Jun 2004 p. 2145</w:t>
      </w:r>
      <w:r>
        <w:noBreakHyphen/>
        <w:t>6.]</w:t>
      </w:r>
    </w:p>
    <w:p>
      <w:pPr>
        <w:pStyle w:val="Heading5"/>
        <w:rPr>
          <w:snapToGrid w:val="0"/>
        </w:rPr>
      </w:pPr>
      <w:bookmarkStart w:id="21" w:name="_Toc404948531"/>
      <w:r>
        <w:rPr>
          <w:rStyle w:val="CharSectno"/>
        </w:rPr>
        <w:t>5E</w:t>
      </w:r>
      <w:r>
        <w:rPr>
          <w:snapToGrid w:val="0"/>
        </w:rPr>
        <w:t>.</w:t>
      </w:r>
      <w:r>
        <w:rPr>
          <w:snapToGrid w:val="0"/>
        </w:rPr>
        <w:tab/>
        <w:t>Amount in r. 5D(1a)(c), calculation of</w:t>
      </w:r>
      <w:bookmarkEnd w:id="21"/>
    </w:p>
    <w:p>
      <w:pPr>
        <w:pStyle w:val="Subsection"/>
      </w:pPr>
      <w:r>
        <w:tab/>
        <w:t>(1)</w:t>
      </w:r>
      <w:r>
        <w:tab/>
      </w:r>
      <w:r>
        <w:rPr>
          <w:snapToGrid w:val="0"/>
        </w:rPr>
        <w:t xml:space="preserve">Subject to this regulation, the amount under regulation 5D(1a)(c) for a </w:t>
      </w:r>
      <w:r>
        <w:t xml:space="preserve">financial year </w:t>
      </w:r>
      <w:r>
        <w:rPr>
          <w:snapToGrid w:val="0"/>
        </w:rPr>
        <w:t xml:space="preserve">for a particular kind of waste is to be worked out under </w:t>
      </w:r>
      <w:r>
        <w:t xml:space="preserve">Part 3 of Schedule 4 </w:t>
      </w:r>
      <w:r>
        <w:rPr>
          <w:snapToGrid w:val="0"/>
        </w:rPr>
        <w:t>on the basis of the rate at which the waste is permitted to be discharged from the premises during the licence period — the rate (in the units specified for that kind of waste in Part 3 of Schedule 4) being the quantity of waste permitted to be discharged from the premises during the licence period averaged over the licence period.</w:t>
      </w:r>
    </w:p>
    <w:p>
      <w:pPr>
        <w:pStyle w:val="Subsection"/>
        <w:rPr>
          <w:snapToGrid w:val="0"/>
        </w:rPr>
      </w:pPr>
      <w:r>
        <w:rPr>
          <w:snapToGrid w:val="0"/>
        </w:rPr>
        <w:tab/>
        <w:t>(2)</w:t>
      </w:r>
      <w:r>
        <w:rPr>
          <w:snapToGrid w:val="0"/>
        </w:rPr>
        <w:tab/>
        <w:t xml:space="preserve">If, in respect of an application for a licence, the Chief Executive Officer is satisfied that the quantity of a particular kind of waste discharged from the premises in the year immediately preceding the </w:t>
      </w:r>
      <w:r>
        <w:t>licence period</w:t>
      </w:r>
      <w:r>
        <w:rPr>
          <w:snapToGrid w:val="0"/>
        </w:rPr>
        <w:t xml:space="preserve"> has been accurately measured, the </w:t>
      </w:r>
      <w:r>
        <w:t xml:space="preserve">rate in subregulation (1) </w:t>
      </w:r>
      <w:r>
        <w:rPr>
          <w:snapToGrid w:val="0"/>
        </w:rPr>
        <w:t>in respect of such waste may, at the discretion of the Chief Executive Officer, be determined on the basis of the quantity so measured averaged over a period of one year.</w:t>
      </w:r>
    </w:p>
    <w:p>
      <w:pPr>
        <w:pStyle w:val="Subsection"/>
        <w:rPr>
          <w:snapToGrid w:val="0"/>
        </w:rPr>
      </w:pPr>
      <w:r>
        <w:rPr>
          <w:snapToGrid w:val="0"/>
        </w:rPr>
        <w:tab/>
        <w:t>(3)</w:t>
      </w:r>
      <w:r>
        <w:rPr>
          <w:snapToGrid w:val="0"/>
        </w:rPr>
        <w:tab/>
        <w:t>If, in respect of an application for a licence, the Chief Executive Officer is satisfied that —</w:t>
      </w:r>
    </w:p>
    <w:p>
      <w:pPr>
        <w:pStyle w:val="Indenta"/>
        <w:rPr>
          <w:snapToGrid w:val="0"/>
        </w:rPr>
      </w:pPr>
      <w:r>
        <w:rPr>
          <w:snapToGrid w:val="0"/>
        </w:rPr>
        <w:tab/>
        <w:t>(a)</w:t>
      </w:r>
      <w:r>
        <w:rPr>
          <w:snapToGrid w:val="0"/>
        </w:rPr>
        <w:tab/>
        <w:t>the applicant has put in place appropriate procedures for the accurate measurement of the quantity of a particular kind of waste to be discharged from the premises; and</w:t>
      </w:r>
    </w:p>
    <w:p>
      <w:pPr>
        <w:pStyle w:val="Indenta"/>
        <w:rPr>
          <w:snapToGrid w:val="0"/>
        </w:rPr>
      </w:pPr>
      <w:r>
        <w:rPr>
          <w:snapToGrid w:val="0"/>
        </w:rPr>
        <w:tab/>
        <w:t>(b)</w:t>
      </w:r>
      <w:r>
        <w:rPr>
          <w:snapToGrid w:val="0"/>
        </w:rPr>
        <w:tab/>
        <w:t xml:space="preserve">the quantity of such waste to be discharged from the premises during the </w:t>
      </w:r>
      <w:r>
        <w:t>licence period</w:t>
      </w:r>
      <w:r>
        <w:rPr>
          <w:snapToGrid w:val="0"/>
        </w:rPr>
        <w:t xml:space="preserve"> has been accurately calculated,</w:t>
      </w:r>
    </w:p>
    <w:p>
      <w:pPr>
        <w:pStyle w:val="Subsection"/>
        <w:rPr>
          <w:snapToGrid w:val="0"/>
        </w:rPr>
      </w:pPr>
      <w:r>
        <w:rPr>
          <w:snapToGrid w:val="0"/>
        </w:rPr>
        <w:tab/>
      </w:r>
      <w:r>
        <w:rPr>
          <w:snapToGrid w:val="0"/>
        </w:rPr>
        <w:tab/>
        <w:t xml:space="preserve">the </w:t>
      </w:r>
      <w:r>
        <w:t xml:space="preserve">rate in subregulation (1) </w:t>
      </w:r>
      <w:r>
        <w:rPr>
          <w:snapToGrid w:val="0"/>
        </w:rPr>
        <w:t>in respect of such waste may, at the discretion of the Chief Executive Officer, be determined on the basis of</w:t>
      </w:r>
      <w:r>
        <w:t xml:space="preserve"> that quantity averaged over the licence period</w:t>
      </w:r>
      <w:r>
        <w:rPr>
          <w:snapToGrid w:val="0"/>
        </w:rPr>
        <w:t>.</w:t>
      </w:r>
    </w:p>
    <w:p>
      <w:pPr>
        <w:pStyle w:val="Subsection"/>
        <w:rPr>
          <w:snapToGrid w:val="0"/>
        </w:rPr>
      </w:pPr>
      <w:r>
        <w:rPr>
          <w:snapToGrid w:val="0"/>
        </w:rPr>
        <w:tab/>
        <w:t>(4)</w:t>
      </w:r>
      <w:r>
        <w:rPr>
          <w:snapToGrid w:val="0"/>
        </w:rPr>
        <w:tab/>
        <w:t xml:space="preserve">If an approved policy specifies standards for the discharge of a particular kind of waste and those standards apply to premises which are the subject of an application for a licence, the amount </w:t>
      </w:r>
      <w:r>
        <w:t xml:space="preserve">for the financial year </w:t>
      </w:r>
      <w:r>
        <w:rPr>
          <w:snapToGrid w:val="0"/>
        </w:rPr>
        <w:t>in respect of such waste, as determined under subregulation (1), (2) or (3), is increased by 50% for those premises.</w:t>
      </w:r>
    </w:p>
    <w:p>
      <w:pPr>
        <w:pStyle w:val="Footnotesection"/>
      </w:pPr>
      <w:r>
        <w:tab/>
        <w:t>[Regulation 5E inserted in Gazette 13 Sep 1996 p. 4548; amended in Gazette 22 Jun 2004 p. 2146</w:t>
      </w:r>
      <w:r>
        <w:noBreakHyphen/>
        <w:t>7; 22 Jun 2007 p. 2841.]</w:t>
      </w:r>
    </w:p>
    <w:p>
      <w:pPr>
        <w:pStyle w:val="Heading5"/>
        <w:rPr>
          <w:snapToGrid w:val="0"/>
        </w:rPr>
      </w:pPr>
      <w:bookmarkStart w:id="22" w:name="_Toc404948532"/>
      <w:r>
        <w:rPr>
          <w:rStyle w:val="CharSectno"/>
        </w:rPr>
        <w:t>5EA</w:t>
      </w:r>
      <w:r>
        <w:rPr>
          <w:snapToGrid w:val="0"/>
        </w:rPr>
        <w:t>.</w:t>
      </w:r>
      <w:r>
        <w:rPr>
          <w:snapToGrid w:val="0"/>
        </w:rPr>
        <w:tab/>
        <w:t>Fees under r. 5D(1a)(b) and (c), CEO may waive</w:t>
      </w:r>
      <w:bookmarkEnd w:id="22"/>
    </w:p>
    <w:p>
      <w:pPr>
        <w:pStyle w:val="Subsection"/>
        <w:rPr>
          <w:snapToGrid w:val="0"/>
        </w:rPr>
      </w:pPr>
      <w:r>
        <w:rPr>
          <w:snapToGrid w:val="0"/>
        </w:rPr>
        <w:tab/>
      </w:r>
      <w:r>
        <w:rPr>
          <w:snapToGrid w:val="0"/>
        </w:rPr>
        <w:tab/>
        <w:t>If, in respect of an application for a licence, the Chief Executive Officer is satisfied that the environmental performance and management of the premises to which the application relates conform to best practice criteria, the Chief Executive Officer is to waive any amount otherwise payable under regulation </w:t>
      </w:r>
      <w:r>
        <w:t>5D(1a)(b) or (c)</w:t>
      </w:r>
      <w:r>
        <w:rPr>
          <w:snapToGrid w:val="0"/>
        </w:rPr>
        <w:t xml:space="preserve"> in respect of the licence.</w:t>
      </w:r>
    </w:p>
    <w:p>
      <w:pPr>
        <w:pStyle w:val="Footnotesection"/>
      </w:pPr>
      <w:r>
        <w:tab/>
        <w:t>[Regulation 5EA inserted in Gazette 12 Sep 1997 p. 5150; amended in Gazette 22 Jun 2004 p. 2147.]</w:t>
      </w:r>
    </w:p>
    <w:p>
      <w:pPr>
        <w:pStyle w:val="Heading5"/>
      </w:pPr>
      <w:bookmarkStart w:id="23" w:name="_Toc404948533"/>
      <w:r>
        <w:rPr>
          <w:rStyle w:val="CharSectno"/>
        </w:rPr>
        <w:t>5EB</w:t>
      </w:r>
      <w:r>
        <w:t>.</w:t>
      </w:r>
      <w:r>
        <w:tab/>
        <w:t>Fees under r. 5D, CEO may waive</w:t>
      </w:r>
      <w:bookmarkEnd w:id="23"/>
    </w:p>
    <w:p>
      <w:pPr>
        <w:pStyle w:val="Subsection"/>
        <w:spacing w:before="120"/>
      </w:pPr>
      <w:r>
        <w:tab/>
      </w:r>
      <w:r>
        <w:tab/>
        <w:t>If in respect of an application for a licence, the Chief Executive Officer is satisfied that the production or design capacity of the premises is so small that it would be unreasonable to impose a fee, the Chief Executive Officer is to waive any amount otherwise payable under regulation 5D in respect of the licence.</w:t>
      </w:r>
    </w:p>
    <w:p>
      <w:pPr>
        <w:pStyle w:val="Footnotesection"/>
      </w:pPr>
      <w:r>
        <w:tab/>
        <w:t>[Regulation 5EB inserted in Gazette 15 Aug 2000 p. 4713.]</w:t>
      </w:r>
    </w:p>
    <w:p>
      <w:pPr>
        <w:pStyle w:val="Heading5"/>
        <w:spacing w:before="180"/>
        <w:rPr>
          <w:snapToGrid w:val="0"/>
        </w:rPr>
      </w:pPr>
      <w:bookmarkStart w:id="24" w:name="_Toc404948534"/>
      <w:r>
        <w:rPr>
          <w:rStyle w:val="CharSectno"/>
        </w:rPr>
        <w:t>5F</w:t>
      </w:r>
      <w:r>
        <w:rPr>
          <w:snapToGrid w:val="0"/>
        </w:rPr>
        <w:t>.</w:t>
      </w:r>
      <w:r>
        <w:rPr>
          <w:snapToGrid w:val="0"/>
        </w:rPr>
        <w:tab/>
        <w:t>Fee under r. 5D(1a)(c) if discharged waste harmless</w:t>
      </w:r>
      <w:bookmarkEnd w:id="24"/>
    </w:p>
    <w:p>
      <w:pPr>
        <w:pStyle w:val="Subsection"/>
        <w:spacing w:before="120"/>
        <w:rPr>
          <w:snapToGrid w:val="0"/>
        </w:rPr>
      </w:pPr>
      <w:r>
        <w:rPr>
          <w:snapToGrid w:val="0"/>
        </w:rPr>
        <w:tab/>
        <w:t>(1)</w:t>
      </w:r>
      <w:r>
        <w:rPr>
          <w:snapToGrid w:val="0"/>
        </w:rPr>
        <w:tab/>
        <w:t>Despite regulation </w:t>
      </w:r>
      <w:r>
        <w:rPr>
          <w:kern w:val="24"/>
        </w:rPr>
        <w:t xml:space="preserve">5D(1a)(c), an amount of 25 units for the </w:t>
      </w:r>
      <w:r>
        <w:t xml:space="preserve">financial year </w:t>
      </w:r>
      <w:r>
        <w:rPr>
          <w:snapToGrid w:val="0"/>
        </w:rPr>
        <w:t>may be paid in respect of waste to be discharged onto land instead of the</w:t>
      </w:r>
      <w:r>
        <w:t xml:space="preserve"> amount worked out under regulation 5E</w:t>
      </w:r>
      <w:r>
        <w:rPr>
          <w:snapToGrid w:val="0"/>
        </w:rPr>
        <w:t>, if the Chief Executive Officer is satisfied that the method of discharge renders the waste harmless to the environment.</w:t>
      </w:r>
    </w:p>
    <w:p>
      <w:pPr>
        <w:pStyle w:val="Ednotesubsection"/>
        <w:keepNext/>
        <w:keepLines/>
        <w:spacing w:before="100"/>
      </w:pPr>
      <w:r>
        <w:tab/>
        <w:t>[(2)</w:t>
      </w:r>
      <w:r>
        <w:tab/>
        <w:t>deleted]</w:t>
      </w:r>
    </w:p>
    <w:p>
      <w:pPr>
        <w:pStyle w:val="Footnotesection"/>
        <w:spacing w:before="80"/>
        <w:ind w:left="890" w:hanging="890"/>
      </w:pPr>
      <w:r>
        <w:tab/>
        <w:t>[Regulation 5F inserted in Gazette 13 Sep 1996 p. 4548; amended in Gazette 22 Jun 2004 p. 2147; 22 Jun 2007 p. 2841.]</w:t>
      </w:r>
    </w:p>
    <w:p>
      <w:pPr>
        <w:pStyle w:val="Heading5"/>
        <w:spacing w:before="180"/>
      </w:pPr>
      <w:bookmarkStart w:id="25" w:name="_Toc404948535"/>
      <w:r>
        <w:rPr>
          <w:rStyle w:val="CharSectno"/>
        </w:rPr>
        <w:t>5G</w:t>
      </w:r>
      <w:r>
        <w:t>.</w:t>
      </w:r>
      <w:r>
        <w:tab/>
        <w:t>Maximum fees under r. 5D(1a)</w:t>
      </w:r>
      <w:bookmarkEnd w:id="25"/>
    </w:p>
    <w:p>
      <w:pPr>
        <w:pStyle w:val="Subsection"/>
        <w:spacing w:before="120"/>
      </w:pPr>
      <w:r>
        <w:tab/>
        <w:t>(1)</w:t>
      </w:r>
      <w:r>
        <w:tab/>
        <w:t>For the purposes of regulation 5D(1a), the amount for a financial year cannot exceed the maximum amount for the financial year worked out in accordance with this regulation.</w:t>
      </w:r>
    </w:p>
    <w:p>
      <w:pPr>
        <w:pStyle w:val="Subsection"/>
        <w:spacing w:before="120"/>
      </w:pPr>
      <w:r>
        <w:tab/>
        <w:t>(2)</w:t>
      </w:r>
      <w:r>
        <w:tab/>
        <w:t>If the amount worked out under regulation 5D(1a)(c) is predominantly attributable to the discharge of waste into air or onto land and the total amount or a component of that total amount is subject to the increase specified in regulation 5E(4) — the maximum fee for the financial year is the amount specified in column 2 of the Table to this subregulation for the financial year.</w:t>
      </w:r>
    </w:p>
    <w:p>
      <w:pPr>
        <w:pStyle w:val="THeadingNAm"/>
        <w:spacing w:before="120" w:after="40"/>
        <w:ind w:right="431"/>
      </w:pPr>
      <w:r>
        <w:t>Table</w:t>
      </w:r>
    </w:p>
    <w:tbl>
      <w:tblPr>
        <w:tblW w:w="0" w:type="auto"/>
        <w:tblInd w:w="948" w:type="dxa"/>
        <w:tblLook w:val="0000" w:firstRow="0" w:lastRow="0" w:firstColumn="0" w:lastColumn="0" w:noHBand="0" w:noVBand="0"/>
      </w:tblPr>
      <w:tblGrid>
        <w:gridCol w:w="4263"/>
        <w:gridCol w:w="1864"/>
      </w:tblGrid>
      <w:tr>
        <w:trPr>
          <w:cantSplit/>
          <w:tblHeader/>
        </w:trPr>
        <w:tc>
          <w:tcPr>
            <w:tcW w:w="4263" w:type="dxa"/>
            <w:tcBorders>
              <w:top w:val="single" w:sz="4" w:space="0" w:color="auto"/>
              <w:bottom w:val="single" w:sz="4" w:space="0" w:color="auto"/>
            </w:tcBorders>
          </w:tcPr>
          <w:p>
            <w:pPr>
              <w:pStyle w:val="TableNAm"/>
              <w:spacing w:before="100"/>
              <w:jc w:val="center"/>
              <w:rPr>
                <w:b/>
              </w:rPr>
            </w:pPr>
            <w:r>
              <w:rPr>
                <w:b/>
              </w:rPr>
              <w:t>Column 1</w:t>
            </w:r>
            <w:r>
              <w:rPr>
                <w:b/>
              </w:rPr>
              <w:br/>
              <w:t>Financial year</w:t>
            </w:r>
          </w:p>
        </w:tc>
        <w:tc>
          <w:tcPr>
            <w:tcW w:w="1774" w:type="dxa"/>
            <w:tcBorders>
              <w:top w:val="single" w:sz="4" w:space="0" w:color="auto"/>
              <w:bottom w:val="single" w:sz="4" w:space="0" w:color="auto"/>
            </w:tcBorders>
          </w:tcPr>
          <w:p>
            <w:pPr>
              <w:pStyle w:val="TableNAm"/>
              <w:spacing w:before="100"/>
              <w:jc w:val="center"/>
              <w:rPr>
                <w:b/>
              </w:rPr>
            </w:pPr>
            <w:r>
              <w:rPr>
                <w:b/>
              </w:rPr>
              <w:t>Column 2</w:t>
            </w:r>
            <w:r>
              <w:rPr>
                <w:b/>
              </w:rPr>
              <w:br/>
              <w:t>$</w:t>
            </w:r>
          </w:p>
        </w:tc>
      </w:tr>
      <w:tr>
        <w:trPr>
          <w:cantSplit/>
        </w:trPr>
        <w:tc>
          <w:tcPr>
            <w:tcW w:w="4263" w:type="dxa"/>
            <w:tcBorders>
              <w:top w:val="single" w:sz="4" w:space="0" w:color="auto"/>
            </w:tcBorders>
          </w:tcPr>
          <w:p>
            <w:pPr>
              <w:pStyle w:val="TableNAm"/>
            </w:pPr>
            <w:r>
              <w:t>Beginning on 1 July 2007 and ending on 30 June 2008</w:t>
            </w:r>
          </w:p>
        </w:tc>
        <w:tc>
          <w:tcPr>
            <w:tcW w:w="1774" w:type="dxa"/>
            <w:tcBorders>
              <w:top w:val="single" w:sz="4" w:space="0" w:color="auto"/>
            </w:tcBorders>
          </w:tcPr>
          <w:p>
            <w:pPr>
              <w:pStyle w:val="TableNAm"/>
            </w:pPr>
            <w:r>
              <w:br/>
            </w:r>
            <w:r>
              <w:tab/>
              <w:t>605 000.00</w:t>
            </w:r>
          </w:p>
        </w:tc>
      </w:tr>
      <w:tr>
        <w:tc>
          <w:tcPr>
            <w:tcW w:w="4263" w:type="dxa"/>
          </w:tcPr>
          <w:p>
            <w:pPr>
              <w:pStyle w:val="TableNAm"/>
            </w:pPr>
            <w:r>
              <w:t>Beginning on 1 July 2008 and ending on 30 June 2009</w:t>
            </w:r>
          </w:p>
        </w:tc>
        <w:tc>
          <w:tcPr>
            <w:tcW w:w="1774" w:type="dxa"/>
          </w:tcPr>
          <w:p>
            <w:pPr>
              <w:pStyle w:val="TableNAm"/>
            </w:pPr>
            <w:r>
              <w:br/>
            </w:r>
            <w:r>
              <w:tab/>
              <w:t>705 000.00</w:t>
            </w:r>
          </w:p>
        </w:tc>
      </w:tr>
      <w:tr>
        <w:tc>
          <w:tcPr>
            <w:tcW w:w="4263" w:type="dxa"/>
          </w:tcPr>
          <w:p>
            <w:pPr>
              <w:pStyle w:val="TableNAm"/>
            </w:pPr>
            <w:r>
              <w:t>Beginning on 1 July 2009 and ending on 30 June 2010</w:t>
            </w:r>
          </w:p>
        </w:tc>
        <w:tc>
          <w:tcPr>
            <w:tcW w:w="1774" w:type="dxa"/>
          </w:tcPr>
          <w:p>
            <w:pPr>
              <w:pStyle w:val="TableNAm"/>
            </w:pPr>
            <w:r>
              <w:br/>
            </w:r>
            <w:r>
              <w:tab/>
              <w:t>755 000.00</w:t>
            </w:r>
          </w:p>
        </w:tc>
      </w:tr>
      <w:tr>
        <w:tc>
          <w:tcPr>
            <w:tcW w:w="4263" w:type="dxa"/>
          </w:tcPr>
          <w:p>
            <w:pPr>
              <w:pStyle w:val="TableNAm"/>
            </w:pPr>
            <w:r>
              <w:t>Beginning on 1 July 2010 and ending on 30 June 2011</w:t>
            </w:r>
          </w:p>
        </w:tc>
        <w:tc>
          <w:tcPr>
            <w:tcW w:w="1774" w:type="dxa"/>
          </w:tcPr>
          <w:p>
            <w:pPr>
              <w:pStyle w:val="TableNAm"/>
            </w:pPr>
            <w:r>
              <w:br/>
            </w:r>
            <w:r>
              <w:tab/>
              <w:t>805 000.00</w:t>
            </w:r>
          </w:p>
        </w:tc>
      </w:tr>
      <w:tr>
        <w:tc>
          <w:tcPr>
            <w:tcW w:w="4263" w:type="dxa"/>
          </w:tcPr>
          <w:p>
            <w:pPr>
              <w:pStyle w:val="TableNAm"/>
            </w:pPr>
            <w:r>
              <w:t>Beginning on 1 July 2011 and ending on 30 June 2012</w:t>
            </w:r>
          </w:p>
        </w:tc>
        <w:tc>
          <w:tcPr>
            <w:tcW w:w="1774" w:type="dxa"/>
          </w:tcPr>
          <w:p>
            <w:pPr>
              <w:pStyle w:val="TableNAm"/>
            </w:pPr>
            <w:r>
              <w:br/>
            </w:r>
            <w:r>
              <w:tab/>
              <w:t>855 000.00</w:t>
            </w:r>
          </w:p>
        </w:tc>
      </w:tr>
      <w:tr>
        <w:tc>
          <w:tcPr>
            <w:tcW w:w="4263" w:type="dxa"/>
            <w:tcBorders>
              <w:bottom w:val="single" w:sz="4" w:space="0" w:color="auto"/>
            </w:tcBorders>
          </w:tcPr>
          <w:p>
            <w:pPr>
              <w:pStyle w:val="TableNAm"/>
            </w:pPr>
            <w:r>
              <w:t>On and from 1 July 2012</w:t>
            </w:r>
          </w:p>
        </w:tc>
        <w:tc>
          <w:tcPr>
            <w:tcW w:w="1774" w:type="dxa"/>
            <w:tcBorders>
              <w:bottom w:val="single" w:sz="4" w:space="0" w:color="auto"/>
            </w:tcBorders>
          </w:tcPr>
          <w:p>
            <w:pPr>
              <w:pStyle w:val="TableNAm"/>
            </w:pPr>
            <w:r>
              <w:tab/>
              <w:t>905 000.00</w:t>
            </w:r>
          </w:p>
        </w:tc>
      </w:tr>
    </w:tbl>
    <w:p>
      <w:pPr>
        <w:pStyle w:val="Subsection"/>
        <w:spacing w:before="200"/>
      </w:pPr>
      <w:r>
        <w:tab/>
        <w:t>(3)</w:t>
      </w:r>
      <w:r>
        <w:tab/>
        <w:t>If the amount worked out under regulation 5D(1a)(c) is predominantly attributable to the discharge of waste into air or onto land and neither the total amount nor a component of that total amount is subject to the increase specified in regulation 5E(4) — the maximum fee for the financial year is the amount specified in column 2 of the Table to this subregulation for the financial year.</w:t>
      </w:r>
    </w:p>
    <w:p>
      <w:pPr>
        <w:pStyle w:val="THeadingNAm"/>
        <w:ind w:right="433"/>
      </w:pPr>
      <w:r>
        <w:t>Table</w:t>
      </w:r>
    </w:p>
    <w:tbl>
      <w:tblPr>
        <w:tblW w:w="0" w:type="auto"/>
        <w:tblInd w:w="948" w:type="dxa"/>
        <w:tblLook w:val="0000" w:firstRow="0" w:lastRow="0" w:firstColumn="0" w:lastColumn="0" w:noHBand="0" w:noVBand="0"/>
      </w:tblPr>
      <w:tblGrid>
        <w:gridCol w:w="4263"/>
        <w:gridCol w:w="1774"/>
      </w:tblGrid>
      <w:tr>
        <w:trPr>
          <w:tblHeader/>
        </w:trPr>
        <w:tc>
          <w:tcPr>
            <w:tcW w:w="4263" w:type="dxa"/>
            <w:tcBorders>
              <w:top w:val="single" w:sz="4" w:space="0" w:color="auto"/>
              <w:bottom w:val="single" w:sz="4" w:space="0" w:color="auto"/>
            </w:tcBorders>
          </w:tcPr>
          <w:p>
            <w:pPr>
              <w:pStyle w:val="TableNAm"/>
              <w:jc w:val="center"/>
              <w:rPr>
                <w:b/>
              </w:rPr>
            </w:pPr>
            <w:r>
              <w:rPr>
                <w:b/>
              </w:rPr>
              <w:t>Column 1</w:t>
            </w:r>
            <w:r>
              <w:rPr>
                <w:b/>
              </w:rPr>
              <w:br/>
              <w:t>Financial year</w:t>
            </w:r>
          </w:p>
        </w:tc>
        <w:tc>
          <w:tcPr>
            <w:tcW w:w="1774" w:type="dxa"/>
            <w:tcBorders>
              <w:top w:val="single" w:sz="4" w:space="0" w:color="auto"/>
              <w:bottom w:val="single" w:sz="4" w:space="0" w:color="auto"/>
            </w:tcBorders>
          </w:tcPr>
          <w:p>
            <w:pPr>
              <w:pStyle w:val="TableNAm"/>
              <w:jc w:val="center"/>
              <w:rPr>
                <w:b/>
              </w:rPr>
            </w:pPr>
            <w:r>
              <w:rPr>
                <w:b/>
              </w:rPr>
              <w:t>Column 2</w:t>
            </w:r>
            <w:r>
              <w:rPr>
                <w:b/>
              </w:rPr>
              <w:br/>
              <w:t>$</w:t>
            </w:r>
          </w:p>
        </w:tc>
      </w:tr>
      <w:tr>
        <w:tc>
          <w:tcPr>
            <w:tcW w:w="4263" w:type="dxa"/>
            <w:tcBorders>
              <w:top w:val="single" w:sz="4" w:space="0" w:color="auto"/>
            </w:tcBorders>
          </w:tcPr>
          <w:p>
            <w:pPr>
              <w:pStyle w:val="TableNAm"/>
            </w:pPr>
            <w:r>
              <w:t>Beginning on 1 July 2007 and ending on 30 June 2008</w:t>
            </w:r>
          </w:p>
        </w:tc>
        <w:tc>
          <w:tcPr>
            <w:tcW w:w="1774" w:type="dxa"/>
            <w:tcBorders>
              <w:top w:val="single" w:sz="4" w:space="0" w:color="auto"/>
            </w:tcBorders>
          </w:tcPr>
          <w:p>
            <w:pPr>
              <w:pStyle w:val="TableNAm"/>
              <w:jc w:val="center"/>
            </w:pPr>
            <w:r>
              <w:br/>
              <w:t>550 000.00</w:t>
            </w:r>
          </w:p>
        </w:tc>
      </w:tr>
      <w:tr>
        <w:tc>
          <w:tcPr>
            <w:tcW w:w="4263" w:type="dxa"/>
          </w:tcPr>
          <w:p>
            <w:pPr>
              <w:pStyle w:val="TableNAm"/>
            </w:pPr>
            <w:r>
              <w:t>Beginning on 1 July 2008 and ending on 30 June 2009</w:t>
            </w:r>
          </w:p>
        </w:tc>
        <w:tc>
          <w:tcPr>
            <w:tcW w:w="1774" w:type="dxa"/>
          </w:tcPr>
          <w:p>
            <w:pPr>
              <w:pStyle w:val="TableNAm"/>
              <w:jc w:val="center"/>
            </w:pPr>
            <w:r>
              <w:br/>
              <w:t>650 000.00</w:t>
            </w:r>
          </w:p>
        </w:tc>
      </w:tr>
      <w:tr>
        <w:tc>
          <w:tcPr>
            <w:tcW w:w="4263" w:type="dxa"/>
          </w:tcPr>
          <w:p>
            <w:pPr>
              <w:pStyle w:val="TableNAm"/>
            </w:pPr>
            <w:r>
              <w:t>Beginning on 1 July 2009 and ending on 30 June 2010</w:t>
            </w:r>
          </w:p>
        </w:tc>
        <w:tc>
          <w:tcPr>
            <w:tcW w:w="1774" w:type="dxa"/>
          </w:tcPr>
          <w:p>
            <w:pPr>
              <w:pStyle w:val="TableNAm"/>
              <w:jc w:val="center"/>
            </w:pPr>
            <w:r>
              <w:br/>
              <w:t>700 000.00</w:t>
            </w:r>
          </w:p>
        </w:tc>
      </w:tr>
      <w:tr>
        <w:tc>
          <w:tcPr>
            <w:tcW w:w="4263" w:type="dxa"/>
          </w:tcPr>
          <w:p>
            <w:pPr>
              <w:pStyle w:val="TableNAm"/>
            </w:pPr>
            <w:r>
              <w:t>Beginning on 1 July 2010 and ending on 30 June 2011</w:t>
            </w:r>
          </w:p>
        </w:tc>
        <w:tc>
          <w:tcPr>
            <w:tcW w:w="1774" w:type="dxa"/>
          </w:tcPr>
          <w:p>
            <w:pPr>
              <w:pStyle w:val="TableNAm"/>
              <w:jc w:val="center"/>
            </w:pPr>
            <w:r>
              <w:br/>
              <w:t>750 000.00</w:t>
            </w:r>
          </w:p>
        </w:tc>
      </w:tr>
      <w:tr>
        <w:trPr>
          <w:cantSplit/>
        </w:trPr>
        <w:tc>
          <w:tcPr>
            <w:tcW w:w="4263" w:type="dxa"/>
          </w:tcPr>
          <w:p>
            <w:pPr>
              <w:pStyle w:val="TableNAm"/>
            </w:pPr>
            <w:r>
              <w:t>Beginning on 1 July 2011 and ending on 30 June 2012</w:t>
            </w:r>
          </w:p>
        </w:tc>
        <w:tc>
          <w:tcPr>
            <w:tcW w:w="1774" w:type="dxa"/>
          </w:tcPr>
          <w:p>
            <w:pPr>
              <w:pStyle w:val="TableNAm"/>
              <w:jc w:val="center"/>
            </w:pPr>
            <w:r>
              <w:br/>
              <w:t>800 000.00</w:t>
            </w:r>
          </w:p>
        </w:tc>
      </w:tr>
      <w:tr>
        <w:tc>
          <w:tcPr>
            <w:tcW w:w="4263" w:type="dxa"/>
            <w:tcBorders>
              <w:bottom w:val="single" w:sz="4" w:space="0" w:color="auto"/>
            </w:tcBorders>
          </w:tcPr>
          <w:p>
            <w:pPr>
              <w:pStyle w:val="TableNAm"/>
            </w:pPr>
            <w:r>
              <w:t>On and from 1 July 2012</w:t>
            </w:r>
          </w:p>
        </w:tc>
        <w:tc>
          <w:tcPr>
            <w:tcW w:w="1774" w:type="dxa"/>
            <w:tcBorders>
              <w:bottom w:val="single" w:sz="4" w:space="0" w:color="auto"/>
            </w:tcBorders>
          </w:tcPr>
          <w:p>
            <w:pPr>
              <w:pStyle w:val="TableNAm"/>
              <w:jc w:val="center"/>
            </w:pPr>
            <w:r>
              <w:t>850 000.00</w:t>
            </w:r>
          </w:p>
        </w:tc>
      </w:tr>
    </w:tbl>
    <w:p>
      <w:pPr>
        <w:pStyle w:val="Subsection"/>
      </w:pPr>
      <w:r>
        <w:tab/>
        <w:t>(4)</w:t>
      </w:r>
      <w:r>
        <w:tab/>
        <w:t>If the amount worked out under regulation 5D(1a)(c) is predominantly attributable to the discharge of waste into waters — the maximum fee for the financial year is the amount specified in column 2 of the Table to this subregulation for the financial year.</w:t>
      </w:r>
    </w:p>
    <w:p>
      <w:pPr>
        <w:pStyle w:val="THeadingNAm"/>
        <w:ind w:right="433"/>
      </w:pPr>
      <w:r>
        <w:t>Table</w:t>
      </w:r>
    </w:p>
    <w:tbl>
      <w:tblPr>
        <w:tblW w:w="0" w:type="auto"/>
        <w:tblInd w:w="948" w:type="dxa"/>
        <w:tblLook w:val="0000" w:firstRow="0" w:lastRow="0" w:firstColumn="0" w:lastColumn="0" w:noHBand="0" w:noVBand="0"/>
      </w:tblPr>
      <w:tblGrid>
        <w:gridCol w:w="4263"/>
        <w:gridCol w:w="1774"/>
      </w:tblGrid>
      <w:tr>
        <w:trPr>
          <w:tblHeader/>
        </w:trPr>
        <w:tc>
          <w:tcPr>
            <w:tcW w:w="4263" w:type="dxa"/>
            <w:tcBorders>
              <w:top w:val="single" w:sz="4" w:space="0" w:color="auto"/>
              <w:bottom w:val="single" w:sz="4" w:space="0" w:color="auto"/>
            </w:tcBorders>
          </w:tcPr>
          <w:p>
            <w:pPr>
              <w:pStyle w:val="TableNAm"/>
              <w:jc w:val="center"/>
              <w:rPr>
                <w:b/>
              </w:rPr>
            </w:pPr>
            <w:r>
              <w:rPr>
                <w:b/>
              </w:rPr>
              <w:t>Column 1</w:t>
            </w:r>
            <w:r>
              <w:rPr>
                <w:b/>
              </w:rPr>
              <w:br/>
              <w:t>Financial year</w:t>
            </w:r>
          </w:p>
        </w:tc>
        <w:tc>
          <w:tcPr>
            <w:tcW w:w="1774" w:type="dxa"/>
            <w:tcBorders>
              <w:top w:val="single" w:sz="4" w:space="0" w:color="auto"/>
              <w:bottom w:val="single" w:sz="4" w:space="0" w:color="auto"/>
            </w:tcBorders>
          </w:tcPr>
          <w:p>
            <w:pPr>
              <w:pStyle w:val="TableNAm"/>
              <w:jc w:val="center"/>
              <w:rPr>
                <w:b/>
              </w:rPr>
            </w:pPr>
            <w:r>
              <w:rPr>
                <w:b/>
              </w:rPr>
              <w:t>Column 2</w:t>
            </w:r>
            <w:r>
              <w:rPr>
                <w:b/>
              </w:rPr>
              <w:br/>
              <w:t>$</w:t>
            </w:r>
          </w:p>
        </w:tc>
      </w:tr>
      <w:tr>
        <w:tc>
          <w:tcPr>
            <w:tcW w:w="4263" w:type="dxa"/>
            <w:tcBorders>
              <w:top w:val="single" w:sz="4" w:space="0" w:color="auto"/>
            </w:tcBorders>
          </w:tcPr>
          <w:p>
            <w:pPr>
              <w:pStyle w:val="TableNAm"/>
            </w:pPr>
            <w:r>
              <w:t>Beginning on 1 July 2007 and ending on 30 June 2008</w:t>
            </w:r>
          </w:p>
        </w:tc>
        <w:tc>
          <w:tcPr>
            <w:tcW w:w="1774" w:type="dxa"/>
            <w:tcBorders>
              <w:top w:val="single" w:sz="4" w:space="0" w:color="auto"/>
            </w:tcBorders>
          </w:tcPr>
          <w:p>
            <w:pPr>
              <w:pStyle w:val="TableNAm"/>
              <w:jc w:val="center"/>
            </w:pPr>
            <w:r>
              <w:br/>
              <w:t>640 000.00</w:t>
            </w:r>
          </w:p>
        </w:tc>
      </w:tr>
      <w:tr>
        <w:tc>
          <w:tcPr>
            <w:tcW w:w="4263" w:type="dxa"/>
          </w:tcPr>
          <w:p>
            <w:pPr>
              <w:pStyle w:val="TableNAm"/>
            </w:pPr>
            <w:r>
              <w:t>Beginning on 1 July 2008 and ending on 30 June 2009</w:t>
            </w:r>
          </w:p>
        </w:tc>
        <w:tc>
          <w:tcPr>
            <w:tcW w:w="1774" w:type="dxa"/>
          </w:tcPr>
          <w:p>
            <w:pPr>
              <w:pStyle w:val="TableNAm"/>
              <w:jc w:val="center"/>
            </w:pPr>
            <w:r>
              <w:br/>
              <w:t>740 000.00</w:t>
            </w:r>
          </w:p>
        </w:tc>
      </w:tr>
      <w:tr>
        <w:tc>
          <w:tcPr>
            <w:tcW w:w="4263" w:type="dxa"/>
          </w:tcPr>
          <w:p>
            <w:pPr>
              <w:pStyle w:val="TableNAm"/>
            </w:pPr>
            <w:r>
              <w:t>Beginning on 1 July 2009 and ending on 30 June 2010</w:t>
            </w:r>
          </w:p>
        </w:tc>
        <w:tc>
          <w:tcPr>
            <w:tcW w:w="1774" w:type="dxa"/>
          </w:tcPr>
          <w:p>
            <w:pPr>
              <w:pStyle w:val="TableNAm"/>
              <w:jc w:val="center"/>
            </w:pPr>
            <w:r>
              <w:br/>
              <w:t>790 000.00</w:t>
            </w:r>
          </w:p>
        </w:tc>
      </w:tr>
      <w:tr>
        <w:tc>
          <w:tcPr>
            <w:tcW w:w="4263" w:type="dxa"/>
          </w:tcPr>
          <w:p>
            <w:pPr>
              <w:pStyle w:val="TableNAm"/>
            </w:pPr>
            <w:r>
              <w:t>Beginning on 1 July 2010 and ending on 30 June 2011</w:t>
            </w:r>
          </w:p>
        </w:tc>
        <w:tc>
          <w:tcPr>
            <w:tcW w:w="1774" w:type="dxa"/>
          </w:tcPr>
          <w:p>
            <w:pPr>
              <w:pStyle w:val="TableNAm"/>
              <w:jc w:val="center"/>
            </w:pPr>
            <w:r>
              <w:br/>
              <w:t>840 000.00</w:t>
            </w:r>
          </w:p>
        </w:tc>
      </w:tr>
      <w:tr>
        <w:tc>
          <w:tcPr>
            <w:tcW w:w="4263" w:type="dxa"/>
          </w:tcPr>
          <w:p>
            <w:pPr>
              <w:pStyle w:val="TableNAm"/>
            </w:pPr>
            <w:r>
              <w:t>Beginning on 1 July 2011 and ending on 30 June 2012</w:t>
            </w:r>
          </w:p>
        </w:tc>
        <w:tc>
          <w:tcPr>
            <w:tcW w:w="1774" w:type="dxa"/>
          </w:tcPr>
          <w:p>
            <w:pPr>
              <w:pStyle w:val="TableNAm"/>
              <w:jc w:val="center"/>
            </w:pPr>
            <w:r>
              <w:br/>
              <w:t>890 000.00</w:t>
            </w:r>
          </w:p>
        </w:tc>
      </w:tr>
      <w:tr>
        <w:tc>
          <w:tcPr>
            <w:tcW w:w="4263" w:type="dxa"/>
            <w:tcBorders>
              <w:bottom w:val="single" w:sz="4" w:space="0" w:color="auto"/>
            </w:tcBorders>
          </w:tcPr>
          <w:p>
            <w:pPr>
              <w:pStyle w:val="TableNAm"/>
            </w:pPr>
            <w:r>
              <w:t>On and from 1 July 2012</w:t>
            </w:r>
          </w:p>
        </w:tc>
        <w:tc>
          <w:tcPr>
            <w:tcW w:w="1774" w:type="dxa"/>
            <w:tcBorders>
              <w:bottom w:val="single" w:sz="4" w:space="0" w:color="auto"/>
            </w:tcBorders>
          </w:tcPr>
          <w:p>
            <w:pPr>
              <w:pStyle w:val="TableNAm"/>
              <w:jc w:val="center"/>
            </w:pPr>
            <w:r>
              <w:t>940 000.00</w:t>
            </w:r>
          </w:p>
        </w:tc>
      </w:tr>
    </w:tbl>
    <w:p>
      <w:pPr>
        <w:pStyle w:val="Subsection"/>
        <w:spacing w:before="200"/>
      </w:pPr>
      <w:r>
        <w:tab/>
        <w:t>(5)</w:t>
      </w:r>
      <w:r>
        <w:tab/>
        <w:t>If the amount worked out under regulation 5D(1a)(c) is equally attributable to the discharge of waste into air or onto land and the discharge of waste into waters — the maximum fee for the financial year is the amount specified in column 2 of the Table to this subregulation for the financial year.</w:t>
      </w:r>
    </w:p>
    <w:p>
      <w:pPr>
        <w:pStyle w:val="THeadingNAm"/>
        <w:ind w:right="433"/>
      </w:pPr>
      <w:r>
        <w:t>Table</w:t>
      </w:r>
    </w:p>
    <w:tbl>
      <w:tblPr>
        <w:tblW w:w="0" w:type="auto"/>
        <w:tblInd w:w="948" w:type="dxa"/>
        <w:tblLook w:val="0000" w:firstRow="0" w:lastRow="0" w:firstColumn="0" w:lastColumn="0" w:noHBand="0" w:noVBand="0"/>
      </w:tblPr>
      <w:tblGrid>
        <w:gridCol w:w="4263"/>
        <w:gridCol w:w="1774"/>
      </w:tblGrid>
      <w:tr>
        <w:trPr>
          <w:tblHeader/>
        </w:trPr>
        <w:tc>
          <w:tcPr>
            <w:tcW w:w="4263" w:type="dxa"/>
            <w:tcBorders>
              <w:top w:val="single" w:sz="4" w:space="0" w:color="auto"/>
              <w:bottom w:val="single" w:sz="4" w:space="0" w:color="auto"/>
            </w:tcBorders>
          </w:tcPr>
          <w:p>
            <w:pPr>
              <w:pStyle w:val="TableNAm"/>
              <w:jc w:val="center"/>
              <w:rPr>
                <w:b/>
              </w:rPr>
            </w:pPr>
            <w:r>
              <w:rPr>
                <w:b/>
              </w:rPr>
              <w:t>Column 1</w:t>
            </w:r>
            <w:r>
              <w:rPr>
                <w:b/>
              </w:rPr>
              <w:br/>
              <w:t>Financial year</w:t>
            </w:r>
          </w:p>
        </w:tc>
        <w:tc>
          <w:tcPr>
            <w:tcW w:w="1774" w:type="dxa"/>
            <w:tcBorders>
              <w:top w:val="single" w:sz="4" w:space="0" w:color="auto"/>
              <w:bottom w:val="single" w:sz="4" w:space="0" w:color="auto"/>
            </w:tcBorders>
          </w:tcPr>
          <w:p>
            <w:pPr>
              <w:pStyle w:val="TableNAm"/>
              <w:jc w:val="center"/>
              <w:rPr>
                <w:b/>
              </w:rPr>
            </w:pPr>
            <w:r>
              <w:rPr>
                <w:b/>
              </w:rPr>
              <w:t>Column</w:t>
            </w:r>
            <w:r>
              <w:rPr>
                <w:b/>
              </w:rPr>
              <w:br/>
              <w:t>$</w:t>
            </w:r>
          </w:p>
        </w:tc>
      </w:tr>
      <w:tr>
        <w:tc>
          <w:tcPr>
            <w:tcW w:w="4263" w:type="dxa"/>
            <w:tcBorders>
              <w:top w:val="single" w:sz="4" w:space="0" w:color="auto"/>
            </w:tcBorders>
          </w:tcPr>
          <w:p>
            <w:pPr>
              <w:pStyle w:val="TableNAm"/>
            </w:pPr>
            <w:r>
              <w:t>Beginning on 1 July 2007 and ending on 30 June 2008</w:t>
            </w:r>
          </w:p>
        </w:tc>
        <w:tc>
          <w:tcPr>
            <w:tcW w:w="1774" w:type="dxa"/>
            <w:tcBorders>
              <w:top w:val="single" w:sz="4" w:space="0" w:color="auto"/>
            </w:tcBorders>
          </w:tcPr>
          <w:p>
            <w:pPr>
              <w:pStyle w:val="TableNAm"/>
              <w:jc w:val="center"/>
            </w:pPr>
            <w:r>
              <w:br/>
              <w:t>640 000.00</w:t>
            </w:r>
          </w:p>
        </w:tc>
      </w:tr>
      <w:tr>
        <w:tc>
          <w:tcPr>
            <w:tcW w:w="4263" w:type="dxa"/>
          </w:tcPr>
          <w:p>
            <w:pPr>
              <w:pStyle w:val="TableNAm"/>
            </w:pPr>
            <w:r>
              <w:t>Beginning on 1 July 2008 and ending on 30 June 2009</w:t>
            </w:r>
          </w:p>
        </w:tc>
        <w:tc>
          <w:tcPr>
            <w:tcW w:w="1774" w:type="dxa"/>
          </w:tcPr>
          <w:p>
            <w:pPr>
              <w:pStyle w:val="TableNAm"/>
              <w:jc w:val="center"/>
            </w:pPr>
            <w:r>
              <w:br/>
              <w:t>740 000.00</w:t>
            </w:r>
          </w:p>
        </w:tc>
      </w:tr>
      <w:tr>
        <w:tc>
          <w:tcPr>
            <w:tcW w:w="4263" w:type="dxa"/>
          </w:tcPr>
          <w:p>
            <w:pPr>
              <w:pStyle w:val="TableNAm"/>
            </w:pPr>
            <w:r>
              <w:t>Beginning on 1 July 2009 and ending on 30 June 2010</w:t>
            </w:r>
          </w:p>
        </w:tc>
        <w:tc>
          <w:tcPr>
            <w:tcW w:w="1774" w:type="dxa"/>
          </w:tcPr>
          <w:p>
            <w:pPr>
              <w:pStyle w:val="TableNAm"/>
              <w:jc w:val="center"/>
            </w:pPr>
            <w:r>
              <w:br/>
              <w:t>790 000.00</w:t>
            </w:r>
          </w:p>
        </w:tc>
      </w:tr>
      <w:tr>
        <w:tc>
          <w:tcPr>
            <w:tcW w:w="4263" w:type="dxa"/>
          </w:tcPr>
          <w:p>
            <w:pPr>
              <w:pStyle w:val="TableNAm"/>
            </w:pPr>
            <w:r>
              <w:t>Beginning on 1 July 2010 and ending on 30 June 2011</w:t>
            </w:r>
          </w:p>
        </w:tc>
        <w:tc>
          <w:tcPr>
            <w:tcW w:w="1774" w:type="dxa"/>
          </w:tcPr>
          <w:p>
            <w:pPr>
              <w:pStyle w:val="TableNAm"/>
              <w:jc w:val="center"/>
            </w:pPr>
            <w:r>
              <w:br/>
              <w:t>840 000.00</w:t>
            </w:r>
          </w:p>
        </w:tc>
      </w:tr>
      <w:tr>
        <w:tc>
          <w:tcPr>
            <w:tcW w:w="4263" w:type="dxa"/>
          </w:tcPr>
          <w:p>
            <w:pPr>
              <w:pStyle w:val="TableNAm"/>
            </w:pPr>
            <w:r>
              <w:t>Beginning on 1 July 2011 and ending on 30 June 2012</w:t>
            </w:r>
          </w:p>
        </w:tc>
        <w:tc>
          <w:tcPr>
            <w:tcW w:w="1774" w:type="dxa"/>
          </w:tcPr>
          <w:p>
            <w:pPr>
              <w:pStyle w:val="TableNAm"/>
              <w:jc w:val="center"/>
            </w:pPr>
            <w:r>
              <w:br/>
              <w:t>890 000.00</w:t>
            </w:r>
          </w:p>
        </w:tc>
      </w:tr>
      <w:tr>
        <w:tc>
          <w:tcPr>
            <w:tcW w:w="4263" w:type="dxa"/>
            <w:tcBorders>
              <w:bottom w:val="single" w:sz="4" w:space="0" w:color="auto"/>
            </w:tcBorders>
          </w:tcPr>
          <w:p>
            <w:pPr>
              <w:pStyle w:val="TableNAm"/>
            </w:pPr>
            <w:r>
              <w:t>On and from 1 July 2012</w:t>
            </w:r>
          </w:p>
        </w:tc>
        <w:tc>
          <w:tcPr>
            <w:tcW w:w="1774" w:type="dxa"/>
            <w:tcBorders>
              <w:bottom w:val="single" w:sz="4" w:space="0" w:color="auto"/>
            </w:tcBorders>
          </w:tcPr>
          <w:p>
            <w:pPr>
              <w:pStyle w:val="TableNAm"/>
              <w:jc w:val="center"/>
            </w:pPr>
            <w:r>
              <w:t>940 000.00</w:t>
            </w:r>
          </w:p>
        </w:tc>
      </w:tr>
    </w:tbl>
    <w:p>
      <w:pPr>
        <w:pStyle w:val="Footnotesection"/>
      </w:pPr>
      <w:r>
        <w:tab/>
        <w:t>[Regulation 5G inserted in Gazette 22 Jun 2004 p. 2147</w:t>
      </w:r>
      <w:r>
        <w:noBreakHyphen/>
        <w:t>50; amended in Gazette 22 Jun 2007 p. 2841</w:t>
      </w:r>
      <w:r>
        <w:noBreakHyphen/>
        <w:t>3.]</w:t>
      </w:r>
    </w:p>
    <w:p>
      <w:pPr>
        <w:pStyle w:val="Heading5"/>
        <w:rPr>
          <w:snapToGrid w:val="0"/>
        </w:rPr>
      </w:pPr>
      <w:bookmarkStart w:id="26" w:name="_Toc404948536"/>
      <w:r>
        <w:rPr>
          <w:rStyle w:val="CharSectno"/>
        </w:rPr>
        <w:t>5H</w:t>
      </w:r>
      <w:r>
        <w:rPr>
          <w:snapToGrid w:val="0"/>
        </w:rPr>
        <w:t>.</w:t>
      </w:r>
      <w:r>
        <w:rPr>
          <w:snapToGrid w:val="0"/>
        </w:rPr>
        <w:tab/>
        <w:t>Partial refunds of fees for licences</w:t>
      </w:r>
      <w:bookmarkEnd w:id="26"/>
    </w:p>
    <w:p>
      <w:pPr>
        <w:pStyle w:val="Subsection"/>
        <w:rPr>
          <w:snapToGrid w:val="0"/>
        </w:rPr>
      </w:pPr>
      <w:r>
        <w:rPr>
          <w:snapToGrid w:val="0"/>
        </w:rPr>
        <w:tab/>
        <w:t>(1)</w:t>
      </w:r>
      <w:r>
        <w:rPr>
          <w:snapToGrid w:val="0"/>
        </w:rPr>
        <w:tab/>
        <w:t>If an application for a licence is refused, the Chief Executive Officer is to —</w:t>
      </w:r>
    </w:p>
    <w:p>
      <w:pPr>
        <w:pStyle w:val="Indenta"/>
        <w:rPr>
          <w:snapToGrid w:val="0"/>
        </w:rPr>
      </w:pPr>
      <w:r>
        <w:rPr>
          <w:snapToGrid w:val="0"/>
        </w:rPr>
        <w:tab/>
        <w:t>(a)</w:t>
      </w:r>
      <w:r>
        <w:rPr>
          <w:snapToGrid w:val="0"/>
        </w:rPr>
        <w:tab/>
        <w:t>deduct from the fee which accompanied the application such amount as the Chief Executive Officer considers reasonable to meet the administrative costs associated with determining the application; and</w:t>
      </w:r>
    </w:p>
    <w:p>
      <w:pPr>
        <w:pStyle w:val="Indenta"/>
        <w:rPr>
          <w:snapToGrid w:val="0"/>
        </w:rPr>
      </w:pPr>
      <w:r>
        <w:rPr>
          <w:snapToGrid w:val="0"/>
        </w:rPr>
        <w:tab/>
        <w:t>(b)</w:t>
      </w:r>
      <w:r>
        <w:rPr>
          <w:snapToGrid w:val="0"/>
        </w:rPr>
        <w:tab/>
        <w:t>refund the balance of the fee to the applicant.</w:t>
      </w:r>
    </w:p>
    <w:p>
      <w:pPr>
        <w:pStyle w:val="Subsection"/>
        <w:rPr>
          <w:snapToGrid w:val="0"/>
        </w:rPr>
      </w:pPr>
      <w:r>
        <w:rPr>
          <w:snapToGrid w:val="0"/>
        </w:rPr>
        <w:tab/>
        <w:t>(2)</w:t>
      </w:r>
      <w:r>
        <w:rPr>
          <w:snapToGrid w:val="0"/>
        </w:rPr>
        <w:tab/>
        <w:t>If —</w:t>
      </w:r>
    </w:p>
    <w:p>
      <w:pPr>
        <w:pStyle w:val="Indenta"/>
        <w:rPr>
          <w:snapToGrid w:val="0"/>
        </w:rPr>
      </w:pPr>
      <w:r>
        <w:rPr>
          <w:snapToGrid w:val="0"/>
        </w:rPr>
        <w:tab/>
        <w:t>(a)</w:t>
      </w:r>
      <w:r>
        <w:rPr>
          <w:snapToGrid w:val="0"/>
        </w:rPr>
        <w:tab/>
        <w:t>a fee paid in respect of a licence comprised an amount determined under regulation 5E(2) or (3); and</w:t>
      </w:r>
    </w:p>
    <w:p>
      <w:pPr>
        <w:pStyle w:val="Indenta"/>
      </w:pPr>
      <w:r>
        <w:rPr>
          <w:snapToGrid w:val="0"/>
        </w:rPr>
        <w:tab/>
        <w:t>(b)</w:t>
      </w:r>
      <w:r>
        <w:rPr>
          <w:snapToGrid w:val="0"/>
        </w:rPr>
        <w:tab/>
        <w:t>the Chief Executive Officer is satisfied that the quantity of waste discharged from the premises during the term of the licence (</w:t>
      </w:r>
      <w:r>
        <w:t xml:space="preserve">the </w:t>
      </w:r>
      <w:r>
        <w:rPr>
          <w:rStyle w:val="CharDefText"/>
        </w:rPr>
        <w:t>actual discharge</w:t>
      </w:r>
      <w:r>
        <w:rPr>
          <w:snapToGrid w:val="0"/>
        </w:rPr>
        <w:t>) is less than the quantity used as the basis for determining that amount</w:t>
      </w:r>
      <w:r>
        <w:t>; and</w:t>
      </w:r>
    </w:p>
    <w:p>
      <w:pPr>
        <w:pStyle w:val="Indenta"/>
      </w:pPr>
      <w:r>
        <w:tab/>
        <w:t>(c)</w:t>
      </w:r>
      <w:r>
        <w:tab/>
        <w:t>an application for a refund is made in writing in a form approved by the Chief Executive Officer by the person who is the licensee at the end of the term of the licence —</w:t>
      </w:r>
    </w:p>
    <w:p>
      <w:pPr>
        <w:pStyle w:val="Indenti"/>
      </w:pPr>
      <w:r>
        <w:tab/>
        <w:t>(i)</w:t>
      </w:r>
      <w:r>
        <w:tab/>
        <w:t>on an application for another licence in respect of the same premises made within 3 months of the end of the term of the expired licence; or</w:t>
      </w:r>
    </w:p>
    <w:p>
      <w:pPr>
        <w:pStyle w:val="Indenti"/>
      </w:pPr>
      <w:r>
        <w:tab/>
        <w:t>(ii)</w:t>
      </w:r>
      <w:r>
        <w:tab/>
        <w:t>within 3 months of the end of the term of the licence,</w:t>
      </w:r>
    </w:p>
    <w:p>
      <w:pPr>
        <w:pStyle w:val="Subsection"/>
        <w:spacing w:before="120"/>
        <w:rPr>
          <w:snapToGrid w:val="0"/>
        </w:rPr>
      </w:pPr>
      <w:r>
        <w:rPr>
          <w:snapToGrid w:val="0"/>
        </w:rPr>
        <w:tab/>
      </w:r>
      <w:r>
        <w:rPr>
          <w:snapToGrid w:val="0"/>
        </w:rPr>
        <w:tab/>
        <w:t xml:space="preserve">the Chief Executive Officer is to refund to the licensee the difference between the fee that would have been payable if the amount under </w:t>
      </w:r>
      <w:r>
        <w:t>regulation 5E</w:t>
      </w:r>
      <w:r>
        <w:rPr>
          <w:snapToGrid w:val="0"/>
        </w:rPr>
        <w:t xml:space="preserve"> had been determined on the basis of the actual discharge and the fee paid.</w:t>
      </w:r>
    </w:p>
    <w:p>
      <w:pPr>
        <w:pStyle w:val="Subsection"/>
        <w:keepNext/>
        <w:rPr>
          <w:snapToGrid w:val="0"/>
        </w:rPr>
      </w:pPr>
      <w:r>
        <w:rPr>
          <w:snapToGrid w:val="0"/>
        </w:rPr>
        <w:tab/>
        <w:t>(3)</w:t>
      </w:r>
      <w:r>
        <w:rPr>
          <w:snapToGrid w:val="0"/>
        </w:rPr>
        <w:tab/>
        <w:t>If —</w:t>
      </w:r>
    </w:p>
    <w:p>
      <w:pPr>
        <w:pStyle w:val="Indenta"/>
        <w:rPr>
          <w:snapToGrid w:val="0"/>
        </w:rPr>
      </w:pPr>
      <w:r>
        <w:rPr>
          <w:snapToGrid w:val="0"/>
        </w:rPr>
        <w:tab/>
        <w:t>(a)</w:t>
      </w:r>
      <w:r>
        <w:rPr>
          <w:snapToGrid w:val="0"/>
        </w:rPr>
        <w:tab/>
        <w:t>a fee paid in respect of a licence comprised an amount under regulation 5D(1)(b) or (c); and</w:t>
      </w:r>
    </w:p>
    <w:p>
      <w:pPr>
        <w:pStyle w:val="Indenta"/>
        <w:rPr>
          <w:snapToGrid w:val="0"/>
        </w:rPr>
      </w:pPr>
      <w:r>
        <w:rPr>
          <w:snapToGrid w:val="0"/>
        </w:rPr>
        <w:tab/>
        <w:t>(b)</w:t>
      </w:r>
      <w:r>
        <w:rPr>
          <w:snapToGrid w:val="0"/>
        </w:rPr>
        <w:tab/>
        <w:t>the Chief Executive Officer determines during the term of that licence that the environmental performance and management of the premises to which the licence relates conform to best practice criteria,</w:t>
      </w:r>
    </w:p>
    <w:p>
      <w:pPr>
        <w:pStyle w:val="Subsection"/>
        <w:spacing w:before="120"/>
        <w:rPr>
          <w:snapToGrid w:val="0"/>
        </w:rPr>
      </w:pPr>
      <w:r>
        <w:rPr>
          <w:snapToGrid w:val="0"/>
        </w:rPr>
        <w:tab/>
      </w:r>
      <w:r>
        <w:rPr>
          <w:snapToGrid w:val="0"/>
        </w:rPr>
        <w:tab/>
        <w:t>the Chief Executive Officer is to refund to the licensee an amount which bears the same proportion to the amount referred to in paragraph (a) as the unexpired portion of the term of licence (calculated from the day of the determination referred to in paragraph (b)) bears to the term of the licence.</w:t>
      </w:r>
    </w:p>
    <w:p>
      <w:pPr>
        <w:pStyle w:val="Footnotesection"/>
      </w:pPr>
      <w:r>
        <w:tab/>
        <w:t>[Regulation 5H inserted in Gazette 13 Sep 1996 p. 4549; amended in Gazette 12 Sep 1997 p. 5150; 15 Aug 2000 p. 4713</w:t>
      </w:r>
      <w:r>
        <w:noBreakHyphen/>
        <w:t>14; 22 Jun 2004 p. 2150.]</w:t>
      </w:r>
    </w:p>
    <w:p>
      <w:pPr>
        <w:pStyle w:val="Heading5"/>
        <w:keepNext w:val="0"/>
        <w:keepLines w:val="0"/>
        <w:spacing w:before="180"/>
        <w:rPr>
          <w:snapToGrid w:val="0"/>
        </w:rPr>
      </w:pPr>
      <w:bookmarkStart w:id="27" w:name="_Toc404948537"/>
      <w:r>
        <w:rPr>
          <w:rStyle w:val="CharSectno"/>
        </w:rPr>
        <w:t>5I</w:t>
      </w:r>
      <w:r>
        <w:rPr>
          <w:snapToGrid w:val="0"/>
        </w:rPr>
        <w:t>.</w:t>
      </w:r>
      <w:r>
        <w:rPr>
          <w:snapToGrid w:val="0"/>
        </w:rPr>
        <w:tab/>
        <w:t>Certain matters relevant to fees to be determined by CEO</w:t>
      </w:r>
      <w:bookmarkEnd w:id="27"/>
    </w:p>
    <w:p>
      <w:pPr>
        <w:pStyle w:val="Subsection"/>
        <w:spacing w:before="120"/>
        <w:rPr>
          <w:snapToGrid w:val="0"/>
        </w:rPr>
      </w:pPr>
      <w:r>
        <w:rPr>
          <w:snapToGrid w:val="0"/>
        </w:rPr>
        <w:tab/>
      </w:r>
      <w:r>
        <w:rPr>
          <w:snapToGrid w:val="0"/>
        </w:rPr>
        <w:tab/>
        <w:t>For the purposes of determining the amount of a fee under this Part, any question relating to the cost of works, the production or design capacity of premises, or the kind or quantity of waste discharged or to be discharged from premises is to be determined by the Chief Executive Officer.</w:t>
      </w:r>
    </w:p>
    <w:p>
      <w:pPr>
        <w:pStyle w:val="Footnotesection"/>
      </w:pPr>
      <w:r>
        <w:tab/>
        <w:t>[Regulation 5I inserted in Gazette 13 Sep 1996 p. 4549.]</w:t>
      </w:r>
    </w:p>
    <w:p>
      <w:pPr>
        <w:pStyle w:val="Heading5"/>
        <w:rPr>
          <w:snapToGrid w:val="0"/>
        </w:rPr>
      </w:pPr>
      <w:bookmarkStart w:id="28" w:name="_Toc404948538"/>
      <w:r>
        <w:rPr>
          <w:rStyle w:val="CharSectno"/>
        </w:rPr>
        <w:t>5IA</w:t>
      </w:r>
      <w:r>
        <w:rPr>
          <w:snapToGrid w:val="0"/>
        </w:rPr>
        <w:t>.</w:t>
      </w:r>
      <w:r>
        <w:rPr>
          <w:snapToGrid w:val="0"/>
        </w:rPr>
        <w:tab/>
        <w:t>Compliance with best practice criteria may be condition of licence (Act s. 62(2))</w:t>
      </w:r>
      <w:bookmarkEnd w:id="28"/>
    </w:p>
    <w:p>
      <w:pPr>
        <w:pStyle w:val="Subsection"/>
        <w:rPr>
          <w:snapToGrid w:val="0"/>
        </w:rPr>
      </w:pPr>
      <w:r>
        <w:rPr>
          <w:snapToGrid w:val="0"/>
        </w:rPr>
        <w:tab/>
      </w:r>
      <w:r>
        <w:rPr>
          <w:snapToGrid w:val="0"/>
        </w:rPr>
        <w:tab/>
        <w:t>For the purposes of section </w:t>
      </w:r>
      <w:r>
        <w:t xml:space="preserve">62(2) </w:t>
      </w:r>
      <w:r>
        <w:rPr>
          <w:snapToGrid w:val="0"/>
        </w:rPr>
        <w:t>of the Act the Chief Executive Officer may specify as a condition of a licence that the licensee is to comply with best practice criteria in relation to the environmental performance and management of the premises to which the licence relates.</w:t>
      </w:r>
    </w:p>
    <w:p>
      <w:pPr>
        <w:pStyle w:val="Footnotesection"/>
      </w:pPr>
      <w:r>
        <w:tab/>
        <w:t>[Regulation 5IA inserted in Gazette 12 Sep 1997 p. 5151; amended in Gazette 20 Aug 2013 p. 3856.]</w:t>
      </w:r>
    </w:p>
    <w:p>
      <w:pPr>
        <w:pStyle w:val="Heading5"/>
      </w:pPr>
      <w:bookmarkStart w:id="29" w:name="_Toc404948539"/>
      <w:r>
        <w:rPr>
          <w:rStyle w:val="CharSectno"/>
        </w:rPr>
        <w:t>5J</w:t>
      </w:r>
      <w:r>
        <w:t>.</w:t>
      </w:r>
      <w:r>
        <w:tab/>
        <w:t>Manner of advertising prescribed</w:t>
      </w:r>
      <w:r>
        <w:rPr>
          <w:snapToGrid w:val="0"/>
        </w:rPr>
        <w:t xml:space="preserve"> (Act s. 57(2a))</w:t>
      </w:r>
      <w:bookmarkEnd w:id="29"/>
    </w:p>
    <w:p>
      <w:pPr>
        <w:pStyle w:val="Subsection"/>
      </w:pPr>
      <w:r>
        <w:tab/>
        <w:t>(1)</w:t>
      </w:r>
      <w:r>
        <w:tab/>
        <w:t>For the purposes of section 57(2a) of the Act, the CEO is to advertise the application for a licence in an advertisement published in a newspaper circulated daily in the State.</w:t>
      </w:r>
    </w:p>
    <w:p>
      <w:pPr>
        <w:pStyle w:val="Subsection"/>
      </w:pPr>
      <w:r>
        <w:tab/>
        <w:t>(2)</w:t>
      </w:r>
      <w:r>
        <w:tab/>
        <w:t>The advertisement is to include —</w:t>
      </w:r>
    </w:p>
    <w:p>
      <w:pPr>
        <w:pStyle w:val="Indenta"/>
      </w:pPr>
      <w:r>
        <w:tab/>
        <w:t>(a)</w:t>
      </w:r>
      <w:r>
        <w:tab/>
        <w:t>a statement indicating submissions about the application may be sent to the Department of Environment</w:t>
      </w:r>
      <w:r>
        <w:rPr>
          <w:snapToGrid w:val="0"/>
          <w:vertAlign w:val="superscript"/>
        </w:rPr>
        <w:t> 3</w:t>
      </w:r>
      <w:r>
        <w:t xml:space="preserve"> at the address and within the time period specified in the advertisement; and</w:t>
      </w:r>
    </w:p>
    <w:p>
      <w:pPr>
        <w:pStyle w:val="Indenta"/>
      </w:pPr>
      <w:r>
        <w:tab/>
        <w:t>(b)</w:t>
      </w:r>
      <w:r>
        <w:tab/>
        <w:t>the following particulars —</w:t>
      </w:r>
    </w:p>
    <w:p>
      <w:pPr>
        <w:pStyle w:val="Indenti"/>
      </w:pPr>
      <w:r>
        <w:tab/>
        <w:t>(i)</w:t>
      </w:r>
      <w:r>
        <w:tab/>
        <w:t>the category of prescribed premises under Schedule 1 that describes the main function of the premises to which the application relates;</w:t>
      </w:r>
    </w:p>
    <w:p>
      <w:pPr>
        <w:pStyle w:val="Indenti"/>
      </w:pPr>
      <w:r>
        <w:tab/>
        <w:t>(ii)</w:t>
      </w:r>
      <w:r>
        <w:tab/>
        <w:t>the name of the applicant;</w:t>
      </w:r>
    </w:p>
    <w:p>
      <w:pPr>
        <w:pStyle w:val="Indenti"/>
      </w:pPr>
      <w:r>
        <w:tab/>
        <w:t>(iii)</w:t>
      </w:r>
      <w:r>
        <w:tab/>
        <w:t>the locality of the premises to which the application relates;</w:t>
      </w:r>
    </w:p>
    <w:p>
      <w:pPr>
        <w:pStyle w:val="Indenti"/>
      </w:pPr>
      <w:r>
        <w:tab/>
        <w:t>(iv)</w:t>
      </w:r>
      <w:r>
        <w:tab/>
        <w:t>the reference number for the application.</w:t>
      </w:r>
    </w:p>
    <w:p>
      <w:pPr>
        <w:pStyle w:val="Footnotesection"/>
      </w:pPr>
      <w:r>
        <w:tab/>
        <w:t>[Regulation 5J inserted in Gazette 23 Nov 2004 p. 5223.]</w:t>
      </w:r>
    </w:p>
    <w:p>
      <w:pPr>
        <w:pStyle w:val="Heading5"/>
      </w:pPr>
      <w:bookmarkStart w:id="30" w:name="_Toc404948540"/>
      <w:r>
        <w:rPr>
          <w:rStyle w:val="CharSectno"/>
        </w:rPr>
        <w:t>5K</w:t>
      </w:r>
      <w:r>
        <w:t>.</w:t>
      </w:r>
      <w:r>
        <w:tab/>
        <w:t xml:space="preserve">Details of discharge prescribed </w:t>
      </w:r>
      <w:r>
        <w:rPr>
          <w:snapToGrid w:val="0"/>
        </w:rPr>
        <w:t>(Act s. 72(1))</w:t>
      </w:r>
      <w:bookmarkEnd w:id="30"/>
    </w:p>
    <w:p>
      <w:pPr>
        <w:pStyle w:val="Subsection"/>
        <w:keepNext/>
        <w:keepLines/>
      </w:pPr>
      <w:r>
        <w:tab/>
      </w:r>
      <w:r>
        <w:tab/>
        <w:t>For the purposes of section 72(1) of the Act the prescribed details of a discharge of waste are —</w:t>
      </w:r>
    </w:p>
    <w:p>
      <w:pPr>
        <w:pStyle w:val="Indenta"/>
      </w:pPr>
      <w:r>
        <w:tab/>
        <w:t>(a)</w:t>
      </w:r>
      <w:r>
        <w:tab/>
        <w:t>the time and the address of the premises on or from which the discharge occurred and a map of the premises showing the location of the discharge; and</w:t>
      </w:r>
    </w:p>
    <w:p>
      <w:pPr>
        <w:pStyle w:val="Indenta"/>
      </w:pPr>
      <w:r>
        <w:tab/>
        <w:t>(b)</w:t>
      </w:r>
      <w:r>
        <w:tab/>
        <w:t>if the discharge of the waste was a result of the operation of equipment or otherwise, the name of the person operating the equipment or otherwise responsible for the discharge of the waste; and</w:t>
      </w:r>
    </w:p>
    <w:p>
      <w:pPr>
        <w:pStyle w:val="Indenta"/>
      </w:pPr>
      <w:r>
        <w:tab/>
        <w:t>(c)</w:t>
      </w:r>
      <w:r>
        <w:tab/>
        <w:t>the composition of the waste; and</w:t>
      </w:r>
    </w:p>
    <w:p>
      <w:pPr>
        <w:pStyle w:val="Indenta"/>
      </w:pPr>
      <w:r>
        <w:tab/>
        <w:t>(d)</w:t>
      </w:r>
      <w:r>
        <w:tab/>
        <w:t>the quantity of the waste discharged; and</w:t>
      </w:r>
    </w:p>
    <w:p>
      <w:pPr>
        <w:pStyle w:val="Indenta"/>
      </w:pPr>
      <w:r>
        <w:tab/>
        <w:t>(e)</w:t>
      </w:r>
      <w:r>
        <w:tab/>
        <w:t>whether or not the discharge caused pollution and, if so, the nature and extent of the pollution; and</w:t>
      </w:r>
    </w:p>
    <w:p>
      <w:pPr>
        <w:pStyle w:val="Indenta"/>
      </w:pPr>
      <w:r>
        <w:tab/>
        <w:t>(f)</w:t>
      </w:r>
      <w:r>
        <w:tab/>
        <w:t>the action taken by the occupier of the premises to minimize the effect on the environment of the discharge of waste; and</w:t>
      </w:r>
    </w:p>
    <w:p>
      <w:pPr>
        <w:pStyle w:val="Indenta"/>
      </w:pPr>
      <w:r>
        <w:tab/>
        <w:t>(g)</w:t>
      </w:r>
      <w:r>
        <w:tab/>
        <w:t>whether or not the waste involved in the discharge has been removed, dispersed, destroyed, disposed of or otherwise dealt with, and if so, the manner in which the waste was removed, dispersed, destroyed, disposed of or otherwise dealt with.</w:t>
      </w:r>
    </w:p>
    <w:p>
      <w:pPr>
        <w:pStyle w:val="Footnotesection"/>
      </w:pPr>
      <w:r>
        <w:tab/>
        <w:t>[Regulation 5K inserted in Gazette 11 Dec 1998 p. 6599.]</w:t>
      </w:r>
    </w:p>
    <w:p>
      <w:pPr>
        <w:pStyle w:val="Heading5"/>
      </w:pPr>
      <w:bookmarkStart w:id="31" w:name="_Toc404948541"/>
      <w:r>
        <w:rPr>
          <w:rStyle w:val="CharSectno"/>
        </w:rPr>
        <w:t>5L</w:t>
      </w:r>
      <w:r>
        <w:t>.</w:t>
      </w:r>
      <w:r>
        <w:tab/>
        <w:t>Manner of notifying prescribed</w:t>
      </w:r>
      <w:r>
        <w:rPr>
          <w:snapToGrid w:val="0"/>
        </w:rPr>
        <w:t xml:space="preserve"> (Act s. 72)</w:t>
      </w:r>
      <w:bookmarkEnd w:id="31"/>
    </w:p>
    <w:p>
      <w:pPr>
        <w:pStyle w:val="Subsection"/>
      </w:pPr>
      <w:r>
        <w:tab/>
        <w:t>(1)</w:t>
      </w:r>
      <w:r>
        <w:tab/>
        <w:t>A notification to the Chief Executive Officer under section 72 of the Act may be given by telephone or facsimile.</w:t>
      </w:r>
    </w:p>
    <w:p>
      <w:pPr>
        <w:pStyle w:val="Subsection"/>
      </w:pPr>
      <w:r>
        <w:tab/>
        <w:t>(2)</w:t>
      </w:r>
      <w:r>
        <w:tab/>
        <w:t>If the notification is given by telephone, notification in writing must be given to the Chief Executive Officer as soon as practicable after the telephone notification.</w:t>
      </w:r>
    </w:p>
    <w:p>
      <w:pPr>
        <w:pStyle w:val="Footnotesection"/>
        <w:spacing w:after="240"/>
        <w:ind w:left="890" w:hanging="890"/>
      </w:pPr>
      <w:r>
        <w:tab/>
        <w:t>[Regulation 5L inserted in Gazette 11 Dec 1998 p. 6600.]</w:t>
      </w:r>
    </w:p>
    <w:p>
      <w:pPr>
        <w:pStyle w:val="Heading5"/>
      </w:pPr>
      <w:bookmarkStart w:id="32" w:name="_Toc404948542"/>
      <w:r>
        <w:rPr>
          <w:rStyle w:val="CharSectno"/>
        </w:rPr>
        <w:t>5M</w:t>
      </w:r>
      <w:r>
        <w:t>.</w:t>
      </w:r>
      <w:r>
        <w:tab/>
        <w:t>Changes in information given to Department, occupier etc. to notify Department of</w:t>
      </w:r>
      <w:bookmarkEnd w:id="32"/>
    </w:p>
    <w:p>
      <w:pPr>
        <w:pStyle w:val="Subsection"/>
      </w:pPr>
      <w:r>
        <w:tab/>
        <w:t>(1)</w:t>
      </w:r>
      <w:r>
        <w:tab/>
        <w:t>If the occupier of premises registered under regulation 5B becomes aware —</w:t>
      </w:r>
    </w:p>
    <w:p>
      <w:pPr>
        <w:pStyle w:val="Indenta"/>
      </w:pPr>
      <w:r>
        <w:tab/>
        <w:t>(a)</w:t>
      </w:r>
      <w:r>
        <w:tab/>
        <w:t>of a change in a material particular in the information provided in the application for the registration; or</w:t>
      </w:r>
    </w:p>
    <w:p>
      <w:pPr>
        <w:pStyle w:val="Indenta"/>
      </w:pPr>
      <w:r>
        <w:tab/>
        <w:t>(b)</w:t>
      </w:r>
      <w:r>
        <w:tab/>
        <w:t>that the operation of the registered premises has changed in a material manner after the registration was granted,</w:t>
      </w:r>
    </w:p>
    <w:p>
      <w:pPr>
        <w:pStyle w:val="Subsection"/>
      </w:pPr>
      <w:r>
        <w:tab/>
      </w:r>
      <w:r>
        <w:tab/>
        <w:t>the occupier must promptly notify the Department of the change in a form approved by the Chief Executive Officer.</w:t>
      </w:r>
    </w:p>
    <w:p>
      <w:pPr>
        <w:pStyle w:val="Subsection"/>
      </w:pPr>
      <w:r>
        <w:tab/>
        <w:t>(2)</w:t>
      </w:r>
      <w:r>
        <w:tab/>
        <w:t>If a person to whom a works approval has been granted under section 54 of the Act becomes aware of a change in a material particular in the information provided to the Department in the application for the works approval, or in the course of the processing of the application for the works approval, then the occupier must promptly notify the Department of the change in a form approved by the Chief Executive Officer.</w:t>
      </w:r>
    </w:p>
    <w:p>
      <w:pPr>
        <w:pStyle w:val="Subsection"/>
      </w:pPr>
      <w:r>
        <w:tab/>
        <w:t>(3)</w:t>
      </w:r>
      <w:r>
        <w:tab/>
        <w:t>If a person to whom a licence has been granted under section 57 of the Act becomes aware of a change in a material particular in the information provided to the Department in the application for the licence, or in the course of the processing of the application for the licence, then the occupier must promptly notify the Department of the change in a form approved by the Chief Executive Officer.</w:t>
      </w:r>
    </w:p>
    <w:p>
      <w:pPr>
        <w:pStyle w:val="Subsection"/>
      </w:pPr>
      <w:r>
        <w:tab/>
        <w:t>(4)</w:t>
      </w:r>
      <w:r>
        <w:tab/>
        <w:t>A person who contravenes subregulation (1), (2), or (3) commits an offence.</w:t>
      </w:r>
    </w:p>
    <w:p>
      <w:pPr>
        <w:pStyle w:val="Penstart"/>
      </w:pPr>
      <w:r>
        <w:tab/>
        <w:t>Penalty: $5 000.</w:t>
      </w:r>
    </w:p>
    <w:p>
      <w:pPr>
        <w:pStyle w:val="Footnotesection"/>
      </w:pPr>
      <w:r>
        <w:tab/>
        <w:t>[Regulation 5M inserted in Gazette 15 Aug 2000 p. 4714</w:t>
      </w:r>
      <w:r>
        <w:noBreakHyphen/>
        <w:t>15.]</w:t>
      </w:r>
    </w:p>
    <w:p>
      <w:pPr>
        <w:pStyle w:val="Heading5"/>
      </w:pPr>
      <w:bookmarkStart w:id="33" w:name="_Toc404948543"/>
      <w:r>
        <w:rPr>
          <w:rStyle w:val="CharSectno"/>
        </w:rPr>
        <w:t>5N</w:t>
      </w:r>
      <w:r>
        <w:t>.</w:t>
      </w:r>
      <w:r>
        <w:tab/>
        <w:t>Transitional provision (reduced fees)</w:t>
      </w:r>
      <w:bookmarkEnd w:id="33"/>
    </w:p>
    <w:p>
      <w:pPr>
        <w:pStyle w:val="Subsection"/>
      </w:pPr>
      <w:r>
        <w:tab/>
      </w:r>
      <w:r>
        <w:tab/>
        <w:t xml:space="preserve">If a fee prescribed under this Part is paid by a person (the </w:t>
      </w:r>
      <w:r>
        <w:rPr>
          <w:rStyle w:val="CharDefText"/>
        </w:rPr>
        <w:t>payer</w:t>
      </w:r>
      <w:r>
        <w:t xml:space="preserve">) on or after 1 October 1998 but before the </w:t>
      </w:r>
      <w:r>
        <w:rPr>
          <w:i/>
        </w:rPr>
        <w:t>Environmental Protection Amendment Regulations (No. 3) 2000</w:t>
      </w:r>
      <w:r>
        <w:t xml:space="preserve"> come into force</w:t>
      </w:r>
      <w:r>
        <w:rPr>
          <w:vertAlign w:val="superscript"/>
        </w:rPr>
        <w:t> 1</w:t>
      </w:r>
      <w:r>
        <w:t>, the Chief Executive Officer may refund to the payer the portion of the fee that exceeds the fee payable under this Part had those regulations come into force on 1 October 1998.</w:t>
      </w:r>
    </w:p>
    <w:p>
      <w:pPr>
        <w:pStyle w:val="Footnotesection"/>
      </w:pPr>
      <w:r>
        <w:tab/>
        <w:t>[Regulation 5N inserted in Gazette 15 Aug 2000 p. 4715.]</w:t>
      </w:r>
    </w:p>
    <w:p>
      <w:pPr>
        <w:pStyle w:val="Heading5"/>
      </w:pPr>
      <w:bookmarkStart w:id="34" w:name="_Toc404948544"/>
      <w:r>
        <w:rPr>
          <w:rStyle w:val="CharSectno"/>
        </w:rPr>
        <w:t>5O</w:t>
      </w:r>
      <w:r>
        <w:t>.</w:t>
      </w:r>
      <w:r>
        <w:tab/>
        <w:t>Reduction, waiver, or refund of fees, CEO’s powers as to</w:t>
      </w:r>
      <w:bookmarkEnd w:id="34"/>
    </w:p>
    <w:p>
      <w:pPr>
        <w:pStyle w:val="Subsection"/>
      </w:pPr>
      <w:r>
        <w:tab/>
      </w:r>
      <w:r>
        <w:tab/>
        <w:t>The Chief Executive Officer may reduce, waive, or refund, in whole or part, any fee referred to in these regulations relating to a works approval, licence, or registration.</w:t>
      </w:r>
    </w:p>
    <w:p>
      <w:pPr>
        <w:pStyle w:val="Footnotesection"/>
      </w:pPr>
      <w:r>
        <w:tab/>
        <w:t>[Regulation 5O inserted in Gazette 15 Aug 2000 p. 4715.]</w:t>
      </w:r>
    </w:p>
    <w:p>
      <w:pPr>
        <w:pStyle w:val="Heading2"/>
      </w:pPr>
      <w:bookmarkStart w:id="35" w:name="_Toc404948545"/>
      <w:r>
        <w:rPr>
          <w:rStyle w:val="CharPartNo"/>
        </w:rPr>
        <w:t>Part 4</w:t>
      </w:r>
      <w:r>
        <w:rPr>
          <w:rStyle w:val="CharDivNo"/>
        </w:rPr>
        <w:t> </w:t>
      </w:r>
      <w:r>
        <w:t>—</w:t>
      </w:r>
      <w:r>
        <w:rPr>
          <w:rStyle w:val="CharDivText"/>
        </w:rPr>
        <w:t> </w:t>
      </w:r>
      <w:r>
        <w:rPr>
          <w:rStyle w:val="CharPartText"/>
        </w:rPr>
        <w:t>Audible alarms</w:t>
      </w:r>
      <w:bookmarkEnd w:id="35"/>
    </w:p>
    <w:p>
      <w:pPr>
        <w:pStyle w:val="Footnoteheading"/>
        <w:rPr>
          <w:snapToGrid w:val="0"/>
        </w:rPr>
      </w:pPr>
      <w:r>
        <w:rPr>
          <w:snapToGrid w:val="0"/>
        </w:rPr>
        <w:tab/>
        <w:t>[Heading inserted in Gazette 13 Sep 1996 p. 4545.]</w:t>
      </w:r>
    </w:p>
    <w:p>
      <w:pPr>
        <w:pStyle w:val="Heading5"/>
        <w:rPr>
          <w:snapToGrid w:val="0"/>
        </w:rPr>
      </w:pPr>
      <w:bookmarkStart w:id="36" w:name="_Toc404948546"/>
      <w:r>
        <w:rPr>
          <w:rStyle w:val="CharSectno"/>
        </w:rPr>
        <w:t>6</w:t>
      </w:r>
      <w:r>
        <w:rPr>
          <w:snapToGrid w:val="0"/>
        </w:rPr>
        <w:t>.</w:t>
      </w:r>
      <w:r>
        <w:rPr>
          <w:snapToGrid w:val="0"/>
        </w:rPr>
        <w:tab/>
        <w:t>Period prescribed for audible alarms (Act s. 99(1)(a))</w:t>
      </w:r>
      <w:bookmarkEnd w:id="36"/>
    </w:p>
    <w:p>
      <w:pPr>
        <w:pStyle w:val="Subsection"/>
        <w:rPr>
          <w:snapToGrid w:val="0"/>
        </w:rPr>
      </w:pPr>
      <w:r>
        <w:rPr>
          <w:snapToGrid w:val="0"/>
        </w:rPr>
        <w:tab/>
      </w:r>
      <w:r>
        <w:rPr>
          <w:snapToGrid w:val="0"/>
        </w:rPr>
        <w:tab/>
        <w:t>For the purposes of section 99(1)(a), the prescribed period is 30 minutes.</w:t>
      </w:r>
    </w:p>
    <w:p>
      <w:pPr>
        <w:pStyle w:val="Heading2"/>
      </w:pPr>
      <w:bookmarkStart w:id="37" w:name="_Toc404948547"/>
      <w:r>
        <w:rPr>
          <w:rStyle w:val="CharPartNo"/>
        </w:rPr>
        <w:t>Part 5</w:t>
      </w:r>
      <w:r>
        <w:rPr>
          <w:rStyle w:val="CharDivNo"/>
        </w:rPr>
        <w:t> </w:t>
      </w:r>
      <w:r>
        <w:t>—</w:t>
      </w:r>
      <w:r>
        <w:rPr>
          <w:rStyle w:val="CharDivText"/>
        </w:rPr>
        <w:t> </w:t>
      </w:r>
      <w:r>
        <w:rPr>
          <w:rStyle w:val="CharPartText"/>
        </w:rPr>
        <w:t>Appeals</w:t>
      </w:r>
      <w:bookmarkEnd w:id="37"/>
    </w:p>
    <w:p>
      <w:pPr>
        <w:pStyle w:val="Footnoteheading"/>
        <w:rPr>
          <w:snapToGrid w:val="0"/>
        </w:rPr>
      </w:pPr>
      <w:r>
        <w:rPr>
          <w:snapToGrid w:val="0"/>
        </w:rPr>
        <w:tab/>
        <w:t>[Heading inserted in Gazette 13 Sep 1996 p. 4545.]</w:t>
      </w:r>
    </w:p>
    <w:p>
      <w:pPr>
        <w:pStyle w:val="Heading5"/>
        <w:spacing w:before="240"/>
        <w:rPr>
          <w:snapToGrid w:val="0"/>
        </w:rPr>
      </w:pPr>
      <w:bookmarkStart w:id="38" w:name="_Toc404948548"/>
      <w:r>
        <w:rPr>
          <w:rStyle w:val="CharSectno"/>
        </w:rPr>
        <w:t>7</w:t>
      </w:r>
      <w:r>
        <w:rPr>
          <w:snapToGrid w:val="0"/>
        </w:rPr>
        <w:t>.</w:t>
      </w:r>
      <w:r>
        <w:rPr>
          <w:snapToGrid w:val="0"/>
        </w:rPr>
        <w:tab/>
        <w:t xml:space="preserve">Commencing appeals under </w:t>
      </w:r>
      <w:smartTag w:uri="urn:schemas-microsoft-com:office:smarttags" w:element="place">
        <w:smartTag w:uri="urn:schemas-microsoft-com:office:smarttags" w:element="City">
          <w:r>
            <w:rPr>
              <w:snapToGrid w:val="0"/>
            </w:rPr>
            <w:t>Act</w:t>
          </w:r>
        </w:smartTag>
        <w:r>
          <w:rPr>
            <w:snapToGrid w:val="0"/>
          </w:rPr>
          <w:t xml:space="preserve"> </w:t>
        </w:r>
        <w:smartTag w:uri="urn:schemas-microsoft-com:office:smarttags" w:element="State">
          <w:r>
            <w:rPr>
              <w:snapToGrid w:val="0"/>
            </w:rPr>
            <w:t>Pa</w:t>
          </w:r>
        </w:smartTag>
      </w:smartTag>
      <w:r>
        <w:rPr>
          <w:snapToGrid w:val="0"/>
        </w:rPr>
        <w:t>rt VII, manner of</w:t>
      </w:r>
      <w:bookmarkEnd w:id="38"/>
    </w:p>
    <w:p>
      <w:pPr>
        <w:pStyle w:val="Subsection"/>
        <w:spacing w:before="180"/>
        <w:rPr>
          <w:snapToGrid w:val="0"/>
        </w:rPr>
      </w:pPr>
      <w:r>
        <w:rPr>
          <w:snapToGrid w:val="0"/>
        </w:rPr>
        <w:tab/>
        <w:t>(1)</w:t>
      </w:r>
      <w:r>
        <w:rPr>
          <w:snapToGrid w:val="0"/>
        </w:rPr>
        <w:tab/>
        <w:t>A person lodging an appeal under Part VII of the Act shall —</w:t>
      </w:r>
    </w:p>
    <w:p>
      <w:pPr>
        <w:pStyle w:val="Indenta"/>
        <w:rPr>
          <w:snapToGrid w:val="0"/>
        </w:rPr>
      </w:pPr>
      <w:r>
        <w:rPr>
          <w:snapToGrid w:val="0"/>
        </w:rPr>
        <w:tab/>
        <w:t>(a)</w:t>
      </w:r>
      <w:r>
        <w:rPr>
          <w:snapToGrid w:val="0"/>
        </w:rPr>
        <w:tab/>
        <w:t>sign the appeal and address it to the Minister; and</w:t>
      </w:r>
    </w:p>
    <w:p>
      <w:pPr>
        <w:pStyle w:val="Indenta"/>
        <w:rPr>
          <w:snapToGrid w:val="0"/>
        </w:rPr>
      </w:pPr>
      <w:r>
        <w:rPr>
          <w:snapToGrid w:val="0"/>
        </w:rPr>
        <w:tab/>
        <w:t>(b)</w:t>
      </w:r>
      <w:r>
        <w:rPr>
          <w:snapToGrid w:val="0"/>
        </w:rPr>
        <w:tab/>
        <w:t>set out in the appeal —</w:t>
      </w:r>
    </w:p>
    <w:p>
      <w:pPr>
        <w:pStyle w:val="Indenti"/>
        <w:rPr>
          <w:snapToGrid w:val="0"/>
        </w:rPr>
      </w:pPr>
      <w:r>
        <w:rPr>
          <w:snapToGrid w:val="0"/>
        </w:rPr>
        <w:tab/>
        <w:t>(i)</w:t>
      </w:r>
      <w:r>
        <w:rPr>
          <w:snapToGrid w:val="0"/>
        </w:rPr>
        <w:tab/>
        <w:t>in the case of an appeal lodged under section 100 of the Act, the title or number or other means of identification of the relevant proposal and the name of, or the office or position held or acted in by, the proponent of that proposal; and</w:t>
      </w:r>
    </w:p>
    <w:p>
      <w:pPr>
        <w:pStyle w:val="Indenti"/>
        <w:rPr>
          <w:snapToGrid w:val="0"/>
        </w:rPr>
      </w:pPr>
      <w:r>
        <w:rPr>
          <w:snapToGrid w:val="0"/>
        </w:rPr>
        <w:tab/>
        <w:t>(ii)</w:t>
      </w:r>
      <w:r>
        <w:rPr>
          <w:snapToGrid w:val="0"/>
        </w:rPr>
        <w:tab/>
        <w:t>in the case of an appeal lodged under section 102 of the Act in respect of a works approval or licence, the name of the applicant or holder of the works approval or licence, as the case requires, and the location of the prescribed premises to which that application relates; and</w:t>
      </w:r>
    </w:p>
    <w:p>
      <w:pPr>
        <w:pStyle w:val="Indenti"/>
        <w:rPr>
          <w:snapToGrid w:val="0"/>
        </w:rPr>
      </w:pPr>
      <w:r>
        <w:rPr>
          <w:snapToGrid w:val="0"/>
        </w:rPr>
        <w:tab/>
        <w:t>(iii)</w:t>
      </w:r>
      <w:r>
        <w:rPr>
          <w:snapToGrid w:val="0"/>
        </w:rPr>
        <w:tab/>
        <w:t>in the case of an appeal lodged under section 103 of the Act, the name of the person on whom the relevant pollution abatement notice, or notice under section 65(4), was served and the location of the premises to which that pollution abatement notice or notice relates; and</w:t>
      </w:r>
    </w:p>
    <w:p>
      <w:pPr>
        <w:pStyle w:val="Indenti"/>
        <w:rPr>
          <w:snapToGrid w:val="0"/>
        </w:rPr>
      </w:pPr>
      <w:r>
        <w:rPr>
          <w:snapToGrid w:val="0"/>
        </w:rPr>
        <w:tab/>
        <w:t>(iv)</w:t>
      </w:r>
      <w:r>
        <w:rPr>
          <w:snapToGrid w:val="0"/>
        </w:rPr>
        <w:tab/>
        <w:t>in the case of an appeal lodged under section 104 of the Act, the name of the person on whom the relevant notice was served under section 96(1) or 97(1) of the Act and a description of the vehicle, vessel or equipment to which that notice relates; and</w:t>
      </w:r>
    </w:p>
    <w:p>
      <w:pPr>
        <w:pStyle w:val="Indenti"/>
        <w:rPr>
          <w:snapToGrid w:val="0"/>
        </w:rPr>
      </w:pPr>
      <w:r>
        <w:rPr>
          <w:snapToGrid w:val="0"/>
        </w:rPr>
        <w:tab/>
        <w:t>(v)</w:t>
      </w:r>
      <w:r>
        <w:rPr>
          <w:snapToGrid w:val="0"/>
        </w:rPr>
        <w:tab/>
        <w:t>the substance of the decision or matter the subject of the appeal; and</w:t>
      </w:r>
    </w:p>
    <w:p>
      <w:pPr>
        <w:pStyle w:val="Indenti"/>
        <w:keepNext/>
        <w:rPr>
          <w:snapToGrid w:val="0"/>
        </w:rPr>
      </w:pPr>
      <w:r>
        <w:rPr>
          <w:snapToGrid w:val="0"/>
        </w:rPr>
        <w:tab/>
        <w:t>(vi)</w:t>
      </w:r>
      <w:r>
        <w:rPr>
          <w:snapToGrid w:val="0"/>
        </w:rPr>
        <w:tab/>
        <w:t>the name and address of the appellant for the service of notices;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lodge with the Minister —</w:t>
      </w:r>
    </w:p>
    <w:p>
      <w:pPr>
        <w:pStyle w:val="Indenti"/>
        <w:rPr>
          <w:snapToGrid w:val="0"/>
        </w:rPr>
      </w:pPr>
      <w:r>
        <w:rPr>
          <w:snapToGrid w:val="0"/>
        </w:rPr>
        <w:tab/>
        <w:t>(i)</w:t>
      </w:r>
      <w:r>
        <w:rPr>
          <w:snapToGrid w:val="0"/>
        </w:rPr>
        <w:tab/>
        <w:t>in the case of an appeal lodged under section 100, a fee of $10; or</w:t>
      </w:r>
    </w:p>
    <w:p>
      <w:pPr>
        <w:pStyle w:val="Indenti"/>
        <w:rPr>
          <w:snapToGrid w:val="0"/>
        </w:rPr>
      </w:pPr>
      <w:r>
        <w:rPr>
          <w:snapToGrid w:val="0"/>
        </w:rPr>
        <w:tab/>
        <w:t>(ii)</w:t>
      </w:r>
      <w:r>
        <w:rPr>
          <w:snapToGrid w:val="0"/>
        </w:rPr>
        <w:tab/>
        <w:t>in the case of an appeal lodged under section 102, a fee of $50; or</w:t>
      </w:r>
    </w:p>
    <w:p>
      <w:pPr>
        <w:pStyle w:val="Indenti"/>
        <w:rPr>
          <w:snapToGrid w:val="0"/>
        </w:rPr>
      </w:pPr>
      <w:r>
        <w:rPr>
          <w:snapToGrid w:val="0"/>
        </w:rPr>
        <w:tab/>
        <w:t>(iii)</w:t>
      </w:r>
      <w:r>
        <w:rPr>
          <w:snapToGrid w:val="0"/>
        </w:rPr>
        <w:tab/>
        <w:t>in the case of an appeal lodged under section 103 or 104, a fee of $25.</w:t>
      </w:r>
    </w:p>
    <w:p>
      <w:pPr>
        <w:pStyle w:val="Subsection"/>
        <w:rPr>
          <w:snapToGrid w:val="0"/>
        </w:rPr>
      </w:pPr>
      <w:r>
        <w:rPr>
          <w:snapToGrid w:val="0"/>
        </w:rPr>
        <w:tab/>
        <w:t>(2)</w:t>
      </w:r>
      <w:r>
        <w:rPr>
          <w:snapToGrid w:val="0"/>
        </w:rPr>
        <w:tab/>
        <w:t>The Minister may reduce, waive or refund, in whole or in part, any fee referred to in subregulation (1).</w:t>
      </w:r>
    </w:p>
    <w:p>
      <w:pPr>
        <w:pStyle w:val="Subsection"/>
        <w:rPr>
          <w:snapToGrid w:val="0"/>
        </w:rPr>
      </w:pPr>
      <w:r>
        <w:rPr>
          <w:snapToGrid w:val="0"/>
        </w:rPr>
        <w:tab/>
        <w:t>(3)</w:t>
      </w:r>
      <w:r>
        <w:rPr>
          <w:snapToGrid w:val="0"/>
        </w:rPr>
        <w:tab/>
        <w:t>A person who has lodged an appeal under Part VII of the Act may withdraw the appeal after having given the Minister not less than 7 days’ notice in writing of his intention to do so.</w:t>
      </w:r>
    </w:p>
    <w:p>
      <w:pPr>
        <w:pStyle w:val="Heading5"/>
        <w:rPr>
          <w:snapToGrid w:val="0"/>
        </w:rPr>
      </w:pPr>
      <w:bookmarkStart w:id="39" w:name="_Toc404948549"/>
      <w:r>
        <w:rPr>
          <w:rStyle w:val="CharSectno"/>
        </w:rPr>
        <w:t>8</w:t>
      </w:r>
      <w:r>
        <w:rPr>
          <w:snapToGrid w:val="0"/>
        </w:rPr>
        <w:t>.</w:t>
      </w:r>
      <w:r>
        <w:rPr>
          <w:snapToGrid w:val="0"/>
        </w:rPr>
        <w:tab/>
        <w:t>Decisions on appeals, Minister to publish</w:t>
      </w:r>
      <w:bookmarkEnd w:id="39"/>
    </w:p>
    <w:p>
      <w:pPr>
        <w:pStyle w:val="Subsection"/>
        <w:rPr>
          <w:snapToGrid w:val="0"/>
        </w:rPr>
      </w:pPr>
      <w:r>
        <w:rPr>
          <w:snapToGrid w:val="0"/>
        </w:rPr>
        <w:tab/>
        <w:t>(1)</w:t>
      </w:r>
      <w:r>
        <w:rPr>
          <w:snapToGrid w:val="0"/>
        </w:rPr>
        <w:tab/>
        <w:t xml:space="preserve">The Minister shall cause the details set out in subregulation (2) of his decisions on appeals lodged under Part VII of the Act to be published by causing those details to be made available for public inspection </w:t>
      </w:r>
      <w:r>
        <w:t>at the head office</w:t>
      </w:r>
      <w:r>
        <w:rPr>
          <w:snapToGrid w:val="0"/>
        </w:rPr>
        <w:t xml:space="preserve"> between the hours of 8 a.m. and 5 p.m. on any day which is not a Saturday, Sunday or public service holiday or a public holiday appointed or declared for the Perth area.</w:t>
      </w:r>
    </w:p>
    <w:p>
      <w:pPr>
        <w:pStyle w:val="Subsection"/>
        <w:rPr>
          <w:snapToGrid w:val="0"/>
        </w:rPr>
      </w:pPr>
      <w:r>
        <w:rPr>
          <w:snapToGrid w:val="0"/>
        </w:rPr>
        <w:tab/>
        <w:t>(2)</w:t>
      </w:r>
      <w:r>
        <w:rPr>
          <w:snapToGrid w:val="0"/>
        </w:rPr>
        <w:tab/>
        <w:t>The details referred to in subregulation (1) are —</w:t>
      </w:r>
    </w:p>
    <w:p>
      <w:pPr>
        <w:pStyle w:val="Indenta"/>
        <w:rPr>
          <w:snapToGrid w:val="0"/>
        </w:rPr>
      </w:pPr>
      <w:r>
        <w:rPr>
          <w:snapToGrid w:val="0"/>
        </w:rPr>
        <w:tab/>
        <w:t>(a)</w:t>
      </w:r>
      <w:r>
        <w:rPr>
          <w:snapToGrid w:val="0"/>
        </w:rPr>
        <w:tab/>
        <w:t>in the case of an appeal lodged under section 100, the title or number or other means of identification of the relevant proposal and the name, or the office or position held or acted in by, the proponent of that proposal;</w:t>
      </w:r>
    </w:p>
    <w:p>
      <w:pPr>
        <w:pStyle w:val="Indenta"/>
        <w:rPr>
          <w:snapToGrid w:val="0"/>
        </w:rPr>
      </w:pPr>
      <w:r>
        <w:rPr>
          <w:snapToGrid w:val="0"/>
        </w:rPr>
        <w:tab/>
        <w:t>(b)</w:t>
      </w:r>
      <w:r>
        <w:rPr>
          <w:snapToGrid w:val="0"/>
        </w:rPr>
        <w:tab/>
        <w:t>in the case of an appeal lodged under section 102 of the Act in respect of a works approval or licence, the name of the applicant or holder of the works approval or licence, as the case required, and the location of the prescribed premises to which that application relates;</w:t>
      </w:r>
    </w:p>
    <w:p>
      <w:pPr>
        <w:pStyle w:val="Indenta"/>
        <w:rPr>
          <w:snapToGrid w:val="0"/>
        </w:rPr>
      </w:pPr>
      <w:r>
        <w:rPr>
          <w:snapToGrid w:val="0"/>
        </w:rPr>
        <w:tab/>
        <w:t>(c)</w:t>
      </w:r>
      <w:r>
        <w:rPr>
          <w:snapToGrid w:val="0"/>
        </w:rPr>
        <w:tab/>
        <w:t>in the case of an appeal lodged under section 103 of the Act, the name of the person on whom the relevant pollution abatement notice, or notice under section 65(4), is served and the location of the premises to which that pollution abatement notice or notice relates;</w:t>
      </w:r>
    </w:p>
    <w:p>
      <w:pPr>
        <w:pStyle w:val="Indenta"/>
        <w:rPr>
          <w:snapToGrid w:val="0"/>
        </w:rPr>
      </w:pPr>
      <w:r>
        <w:rPr>
          <w:snapToGrid w:val="0"/>
        </w:rPr>
        <w:tab/>
        <w:t>(d)</w:t>
      </w:r>
      <w:r>
        <w:rPr>
          <w:snapToGrid w:val="0"/>
        </w:rPr>
        <w:tab/>
        <w:t>in the case of an appeal lodged under section 104 of the Act, the name of the person on whom the relevant notice was served under section 96(1) or 97(1) of the Act and a description of the vehicle, vessel or equipment to which that notice relates;</w:t>
      </w:r>
    </w:p>
    <w:p>
      <w:pPr>
        <w:pStyle w:val="Indenta"/>
        <w:rPr>
          <w:snapToGrid w:val="0"/>
        </w:rPr>
      </w:pPr>
      <w:r>
        <w:rPr>
          <w:snapToGrid w:val="0"/>
        </w:rPr>
        <w:tab/>
        <w:t>(e)</w:t>
      </w:r>
      <w:r>
        <w:rPr>
          <w:snapToGrid w:val="0"/>
        </w:rPr>
        <w:tab/>
        <w:t>if the name of the appellant is not a detail referred to in paragraph (a), (b), (c) or (d), that name;</w:t>
      </w:r>
    </w:p>
    <w:p>
      <w:pPr>
        <w:pStyle w:val="Indenta"/>
        <w:rPr>
          <w:snapToGrid w:val="0"/>
        </w:rPr>
      </w:pPr>
      <w:r>
        <w:rPr>
          <w:snapToGrid w:val="0"/>
        </w:rPr>
        <w:tab/>
        <w:t>(f)</w:t>
      </w:r>
      <w:r>
        <w:rPr>
          <w:snapToGrid w:val="0"/>
        </w:rPr>
        <w:tab/>
        <w:t>a summary of the nature and grounds of the relevant appeal;</w:t>
      </w:r>
    </w:p>
    <w:p>
      <w:pPr>
        <w:pStyle w:val="Indenta"/>
        <w:rPr>
          <w:snapToGrid w:val="0"/>
        </w:rPr>
      </w:pPr>
      <w:r>
        <w:rPr>
          <w:snapToGrid w:val="0"/>
        </w:rPr>
        <w:tab/>
        <w:t>(g)</w:t>
      </w:r>
      <w:r>
        <w:rPr>
          <w:snapToGrid w:val="0"/>
        </w:rPr>
        <w:tab/>
        <w:t>the decision of the Minister on the relevant appeal and the date of that decision.</w:t>
      </w:r>
    </w:p>
    <w:p>
      <w:pPr>
        <w:pStyle w:val="Footnotesection"/>
      </w:pPr>
      <w:r>
        <w:tab/>
        <w:t>[Regulation 8 amended in Gazette 24 Jan 1992 p. 362; 11 Dec 1998 p. 6600.]</w:t>
      </w:r>
    </w:p>
    <w:p>
      <w:pPr>
        <w:pStyle w:val="Heading5"/>
        <w:rPr>
          <w:snapToGrid w:val="0"/>
        </w:rPr>
      </w:pPr>
      <w:bookmarkStart w:id="40" w:name="_Toc404948550"/>
      <w:r>
        <w:rPr>
          <w:rStyle w:val="CharSectno"/>
        </w:rPr>
        <w:t>9</w:t>
      </w:r>
      <w:r>
        <w:rPr>
          <w:snapToGrid w:val="0"/>
        </w:rPr>
        <w:t>.</w:t>
      </w:r>
      <w:r>
        <w:rPr>
          <w:snapToGrid w:val="0"/>
        </w:rPr>
        <w:tab/>
        <w:t>Decisions on appeals, persons to be notified of</w:t>
      </w:r>
      <w:bookmarkEnd w:id="40"/>
    </w:p>
    <w:p>
      <w:pPr>
        <w:pStyle w:val="Subsection"/>
        <w:rPr>
          <w:snapToGrid w:val="0"/>
        </w:rPr>
      </w:pPr>
      <w:r>
        <w:rPr>
          <w:snapToGrid w:val="0"/>
        </w:rPr>
        <w:tab/>
      </w:r>
      <w:r>
        <w:rPr>
          <w:snapToGrid w:val="0"/>
        </w:rPr>
        <w:tab/>
        <w:t>The Minister shall cause to be notified in writing of his decision on an appeal lodged under Part VII of the Act —</w:t>
      </w:r>
    </w:p>
    <w:p>
      <w:pPr>
        <w:pStyle w:val="Indenta"/>
        <w:rPr>
          <w:snapToGrid w:val="0"/>
        </w:rPr>
      </w:pPr>
      <w:r>
        <w:rPr>
          <w:snapToGrid w:val="0"/>
        </w:rPr>
        <w:tab/>
        <w:t>(a)</w:t>
      </w:r>
      <w:r>
        <w:rPr>
          <w:snapToGrid w:val="0"/>
        </w:rPr>
        <w:tab/>
        <w:t>the appellant; and</w:t>
      </w:r>
    </w:p>
    <w:p>
      <w:pPr>
        <w:pStyle w:val="Indenta"/>
        <w:rPr>
          <w:snapToGrid w:val="0"/>
        </w:rPr>
      </w:pPr>
      <w:r>
        <w:rPr>
          <w:snapToGrid w:val="0"/>
        </w:rPr>
        <w:tab/>
        <w:t>(b)</w:t>
      </w:r>
      <w:r>
        <w:rPr>
          <w:snapToGrid w:val="0"/>
        </w:rPr>
        <w:tab/>
        <w:t>any relevant decision</w:t>
      </w:r>
      <w:r>
        <w:rPr>
          <w:snapToGrid w:val="0"/>
        </w:rPr>
        <w:noBreakHyphen/>
        <w:t>making authority; and</w:t>
      </w:r>
    </w:p>
    <w:p>
      <w:pPr>
        <w:pStyle w:val="Indenta"/>
        <w:rPr>
          <w:snapToGrid w:val="0"/>
        </w:rPr>
      </w:pPr>
      <w:r>
        <w:rPr>
          <w:snapToGrid w:val="0"/>
        </w:rPr>
        <w:tab/>
        <w:t>(c)</w:t>
      </w:r>
      <w:r>
        <w:rPr>
          <w:snapToGrid w:val="0"/>
        </w:rPr>
        <w:tab/>
        <w:t>the Authority; and</w:t>
      </w:r>
    </w:p>
    <w:p>
      <w:pPr>
        <w:pStyle w:val="Indenta"/>
        <w:rPr>
          <w:snapToGrid w:val="0"/>
        </w:rPr>
      </w:pPr>
      <w:r>
        <w:rPr>
          <w:snapToGrid w:val="0"/>
        </w:rPr>
        <w:tab/>
        <w:t>(d)</w:t>
      </w:r>
      <w:r>
        <w:rPr>
          <w:snapToGrid w:val="0"/>
        </w:rPr>
        <w:tab/>
        <w:t>the Chief Executive Officer; and</w:t>
      </w:r>
    </w:p>
    <w:p>
      <w:pPr>
        <w:pStyle w:val="Indenta"/>
        <w:rPr>
          <w:snapToGrid w:val="0"/>
        </w:rPr>
      </w:pPr>
      <w:r>
        <w:rPr>
          <w:snapToGrid w:val="0"/>
        </w:rPr>
        <w:tab/>
        <w:t>(e)</w:t>
      </w:r>
      <w:r>
        <w:rPr>
          <w:snapToGrid w:val="0"/>
        </w:rPr>
        <w:tab/>
        <w:t>in the case of an appeal lodged under section 100 of the Act, the proponent of the relevant proposal; and</w:t>
      </w:r>
    </w:p>
    <w:p>
      <w:pPr>
        <w:pStyle w:val="Indenta"/>
        <w:rPr>
          <w:snapToGrid w:val="0"/>
        </w:rPr>
      </w:pPr>
      <w:r>
        <w:rPr>
          <w:snapToGrid w:val="0"/>
        </w:rPr>
        <w:tab/>
        <w:t>(f)</w:t>
      </w:r>
      <w:r>
        <w:rPr>
          <w:snapToGrid w:val="0"/>
        </w:rPr>
        <w:tab/>
        <w:t>in the case of an appeal lodged under section 102 of the Act in respect of a works approval or licence, the applicant for or the holder of the works approval or licence, as the case requires; and</w:t>
      </w:r>
    </w:p>
    <w:p>
      <w:pPr>
        <w:pStyle w:val="Indenta"/>
        <w:rPr>
          <w:snapToGrid w:val="0"/>
        </w:rPr>
      </w:pPr>
      <w:r>
        <w:rPr>
          <w:snapToGrid w:val="0"/>
        </w:rPr>
        <w:tab/>
        <w:t>(g)</w:t>
      </w:r>
      <w:r>
        <w:rPr>
          <w:snapToGrid w:val="0"/>
        </w:rPr>
        <w:tab/>
        <w:t>in the case of an appeal lodged under section 103 of the Act, the person on whom the relevant pollution abatement notice, or notice under section 65(4), was served; and</w:t>
      </w:r>
    </w:p>
    <w:p>
      <w:pPr>
        <w:pStyle w:val="Indenta"/>
        <w:rPr>
          <w:snapToGrid w:val="0"/>
        </w:rPr>
      </w:pPr>
      <w:r>
        <w:rPr>
          <w:snapToGrid w:val="0"/>
        </w:rPr>
        <w:tab/>
        <w:t>(h)</w:t>
      </w:r>
      <w:r>
        <w:rPr>
          <w:snapToGrid w:val="0"/>
        </w:rPr>
        <w:tab/>
        <w:t>in the case of an appeal lodged under section 104, the person on whom the relevant notice was served under section 96(1) or 97(1) of the Act.</w:t>
      </w:r>
    </w:p>
    <w:p>
      <w:pPr>
        <w:pStyle w:val="Heading2"/>
      </w:pPr>
      <w:bookmarkStart w:id="41" w:name="_Toc404948551"/>
      <w:r>
        <w:rPr>
          <w:rStyle w:val="CharPartNo"/>
        </w:rPr>
        <w:t>Part 6</w:t>
      </w:r>
      <w:r>
        <w:rPr>
          <w:rStyle w:val="CharDivNo"/>
        </w:rPr>
        <w:t> </w:t>
      </w:r>
      <w:r>
        <w:t>—</w:t>
      </w:r>
      <w:r>
        <w:rPr>
          <w:rStyle w:val="CharDivText"/>
        </w:rPr>
        <w:t> </w:t>
      </w:r>
      <w:r>
        <w:rPr>
          <w:rStyle w:val="CharPartText"/>
        </w:rPr>
        <w:t>Tyres</w:t>
      </w:r>
      <w:bookmarkEnd w:id="41"/>
    </w:p>
    <w:p>
      <w:pPr>
        <w:pStyle w:val="Footnoteheading"/>
        <w:rPr>
          <w:snapToGrid w:val="0"/>
        </w:rPr>
      </w:pPr>
      <w:r>
        <w:rPr>
          <w:snapToGrid w:val="0"/>
        </w:rPr>
        <w:tab/>
        <w:t>[Heading inserted in Gazette 13 Sep 1996 p. 4545.]</w:t>
      </w:r>
    </w:p>
    <w:p>
      <w:pPr>
        <w:pStyle w:val="Ednotesection"/>
      </w:pPr>
      <w:r>
        <w:t>[</w:t>
      </w:r>
      <w:r>
        <w:rPr>
          <w:b/>
        </w:rPr>
        <w:t>10.</w:t>
      </w:r>
      <w:r>
        <w:tab/>
        <w:t>Deleted in Gazette 31 Dec 1993 p. 6878.]</w:t>
      </w:r>
    </w:p>
    <w:p>
      <w:pPr>
        <w:pStyle w:val="Heading5"/>
        <w:rPr>
          <w:snapToGrid w:val="0"/>
        </w:rPr>
      </w:pPr>
      <w:bookmarkStart w:id="42" w:name="_Toc404948552"/>
      <w:r>
        <w:rPr>
          <w:rStyle w:val="CharSectno"/>
        </w:rPr>
        <w:t>11</w:t>
      </w:r>
      <w:r>
        <w:rPr>
          <w:snapToGrid w:val="0"/>
        </w:rPr>
        <w:t>.</w:t>
      </w:r>
      <w:r>
        <w:rPr>
          <w:snapToGrid w:val="0"/>
        </w:rPr>
        <w:tab/>
        <w:t>Terms used; calculating quantity of used tyres</w:t>
      </w:r>
      <w:bookmarkEnd w:id="42"/>
    </w:p>
    <w:p>
      <w:pPr>
        <w:pStyle w:val="Subsection"/>
        <w:rPr>
          <w:snapToGrid w:val="0"/>
        </w:rPr>
      </w:pPr>
      <w:r>
        <w:rPr>
          <w:snapToGrid w:val="0"/>
        </w:rPr>
        <w:tab/>
        <w:t>(1)</w:t>
      </w:r>
      <w:r>
        <w:rPr>
          <w:snapToGrid w:val="0"/>
        </w:rPr>
        <w:tab/>
        <w:t>In this regulation and regulations 12, 13, 13A, 14 and 15 —</w:t>
      </w:r>
    </w:p>
    <w:p>
      <w:pPr>
        <w:pStyle w:val="Defstart"/>
      </w:pPr>
      <w:r>
        <w:rPr>
          <w:b/>
        </w:rPr>
        <w:tab/>
      </w:r>
      <w:r>
        <w:rPr>
          <w:rStyle w:val="CharDefText"/>
        </w:rPr>
        <w:t>approved site</w:t>
      </w:r>
      <w:r>
        <w:t xml:space="preserve"> means a landfill site —</w:t>
      </w:r>
    </w:p>
    <w:p>
      <w:pPr>
        <w:pStyle w:val="Defpara"/>
      </w:pPr>
      <w:r>
        <w:tab/>
        <w:t>(a)</w:t>
      </w:r>
      <w:r>
        <w:tab/>
        <w:t xml:space="preserve">set apart by a local government under section 119 of the </w:t>
      </w:r>
      <w:r>
        <w:rPr>
          <w:i/>
        </w:rPr>
        <w:t>Health Act 1911</w:t>
      </w:r>
      <w:r>
        <w:t>; or</w:t>
      </w:r>
    </w:p>
    <w:p>
      <w:pPr>
        <w:pStyle w:val="Defpara"/>
      </w:pPr>
      <w:r>
        <w:tab/>
        <w:t>(b)</w:t>
      </w:r>
      <w:r>
        <w:tab/>
        <w:t>licensed under Part V of the Act; or</w:t>
      </w:r>
    </w:p>
    <w:p>
      <w:pPr>
        <w:pStyle w:val="Defpara"/>
      </w:pPr>
      <w:r>
        <w:tab/>
        <w:t>(c)</w:t>
      </w:r>
      <w:r>
        <w:tab/>
        <w:t>approved by the Chief Executive Officer;</w:t>
      </w:r>
    </w:p>
    <w:p>
      <w:pPr>
        <w:pStyle w:val="Defstart"/>
      </w:pPr>
      <w:r>
        <w:rPr>
          <w:b/>
        </w:rPr>
        <w:tab/>
      </w:r>
      <w:r>
        <w:rPr>
          <w:rStyle w:val="CharDefText"/>
        </w:rPr>
        <w:t>licensed premises</w:t>
      </w:r>
      <w:r>
        <w:t xml:space="preserve"> means a place that is prescribed premises under the Act, and in relation to which the licence is in force under the Act;</w:t>
      </w:r>
    </w:p>
    <w:p>
      <w:pPr>
        <w:pStyle w:val="Defstart"/>
      </w:pPr>
      <w:r>
        <w:rPr>
          <w:b/>
        </w:rPr>
        <w:tab/>
      </w:r>
      <w:r>
        <w:rPr>
          <w:rStyle w:val="CharDefText"/>
        </w:rPr>
        <w:t>storage</w:t>
      </w:r>
      <w:r>
        <w:t xml:space="preserve"> includes collection and deposit;</w:t>
      </w:r>
    </w:p>
    <w:p>
      <w:pPr>
        <w:pStyle w:val="Defstart"/>
      </w:pPr>
      <w:r>
        <w:rPr>
          <w:b/>
        </w:rPr>
        <w:tab/>
      </w:r>
      <w:r>
        <w:rPr>
          <w:rStyle w:val="CharDefText"/>
        </w:rPr>
        <w:t>tyre</w:t>
      </w:r>
      <w:r>
        <w:t xml:space="preserve"> means a tyre made whether wholly or partly of natural or synthetic rubber or similar material;</w:t>
      </w:r>
    </w:p>
    <w:p>
      <w:pPr>
        <w:pStyle w:val="Defstart"/>
      </w:pPr>
      <w:r>
        <w:rPr>
          <w:b/>
        </w:rPr>
        <w:tab/>
      </w:r>
      <w:r>
        <w:rPr>
          <w:rStyle w:val="CharDefText"/>
        </w:rPr>
        <w:t>Tyre Landfill Exclusion Zone</w:t>
      </w:r>
      <w:r>
        <w:t xml:space="preserve"> means the area comprising the local government districts specified in Schedule 5;</w:t>
      </w:r>
    </w:p>
    <w:p>
      <w:pPr>
        <w:pStyle w:val="Defstart"/>
      </w:pPr>
      <w:r>
        <w:rPr>
          <w:b/>
        </w:rPr>
        <w:tab/>
      </w:r>
      <w:r>
        <w:rPr>
          <w:rStyle w:val="CharDefText"/>
        </w:rPr>
        <w:t>tyre retailer</w:t>
      </w:r>
      <w:r>
        <w:t xml:space="preserve"> means a person who carries on a business which principally consists of the sale of tyres by retail or the fitting of tyres, or a combination of those activities.</w:t>
      </w:r>
    </w:p>
    <w:p>
      <w:pPr>
        <w:pStyle w:val="Subsection"/>
        <w:rPr>
          <w:snapToGrid w:val="0"/>
        </w:rPr>
      </w:pPr>
      <w:r>
        <w:rPr>
          <w:snapToGrid w:val="0"/>
        </w:rPr>
        <w:tab/>
        <w:t>(2)</w:t>
      </w:r>
      <w:r>
        <w:rPr>
          <w:snapToGrid w:val="0"/>
        </w:rPr>
        <w:tab/>
        <w:t>For the purposes of these regulations, 2 m</w:t>
      </w:r>
      <w:r>
        <w:rPr>
          <w:snapToGrid w:val="0"/>
          <w:vertAlign w:val="superscript"/>
        </w:rPr>
        <w:t>3</w:t>
      </w:r>
      <w:r>
        <w:rPr>
          <w:snapToGrid w:val="0"/>
        </w:rPr>
        <w:t xml:space="preserve"> of shredded, broken or pieces of used tyres shall be deemed to equal 100 used tyres and any multiple of 2 m</w:t>
      </w:r>
      <w:r>
        <w:rPr>
          <w:snapToGrid w:val="0"/>
          <w:vertAlign w:val="superscript"/>
        </w:rPr>
        <w:t>3</w:t>
      </w:r>
      <w:r>
        <w:rPr>
          <w:snapToGrid w:val="0"/>
        </w:rPr>
        <w:t xml:space="preserve"> of shredded, broken or pieces of used tyres shall be deemed to be equal to the corresponding multiple of 100 used tyres and where an intermediate quantity of shredded, broken or pieces of used tyres occurs the equivalent number of used tyres shall be calculated by interpolation.</w:t>
      </w:r>
    </w:p>
    <w:p>
      <w:pPr>
        <w:pStyle w:val="Subsection"/>
        <w:keepNext/>
        <w:rPr>
          <w:snapToGrid w:val="0"/>
        </w:rPr>
      </w:pPr>
      <w:r>
        <w:rPr>
          <w:snapToGrid w:val="0"/>
        </w:rPr>
        <w:tab/>
        <w:t>(3)</w:t>
      </w:r>
      <w:r>
        <w:rPr>
          <w:snapToGrid w:val="0"/>
        </w:rPr>
        <w:tab/>
        <w:t>For the purposes of these regulations the size of a tyre shall be disregarded when computing the number of tyres in question.</w:t>
      </w:r>
    </w:p>
    <w:p>
      <w:pPr>
        <w:pStyle w:val="Footnotesection"/>
      </w:pPr>
      <w:r>
        <w:tab/>
        <w:t>[Regulation 11 inserted in Gazette 30 Aug 1991 p. 4554</w:t>
      </w:r>
      <w:r>
        <w:noBreakHyphen/>
        <w:t>5; amended in Gazette 12 Nov 1996 p. 6303; 10 Dec 1996 p. 6877.]</w:t>
      </w:r>
    </w:p>
    <w:p>
      <w:pPr>
        <w:pStyle w:val="Heading5"/>
        <w:rPr>
          <w:snapToGrid w:val="0"/>
        </w:rPr>
      </w:pPr>
      <w:bookmarkStart w:id="43" w:name="_Toc404948553"/>
      <w:r>
        <w:rPr>
          <w:rStyle w:val="CharSectno"/>
        </w:rPr>
        <w:t>12</w:t>
      </w:r>
      <w:r>
        <w:rPr>
          <w:snapToGrid w:val="0"/>
        </w:rPr>
        <w:t>.</w:t>
      </w:r>
      <w:r>
        <w:rPr>
          <w:snapToGrid w:val="0"/>
        </w:rPr>
        <w:tab/>
        <w:t xml:space="preserve">Disposal and storage of tyres prescribed as alteration of environment (Act s. 3(1) </w:t>
      </w:r>
      <w:r>
        <w:rPr>
          <w:i/>
          <w:snapToGrid w:val="0"/>
        </w:rPr>
        <w:t>pollution</w:t>
      </w:r>
      <w:r>
        <w:rPr>
          <w:snapToGrid w:val="0"/>
        </w:rPr>
        <w:t>)</w:t>
      </w:r>
      <w:bookmarkEnd w:id="43"/>
    </w:p>
    <w:p>
      <w:pPr>
        <w:pStyle w:val="Subsection"/>
        <w:rPr>
          <w:snapToGrid w:val="0"/>
        </w:rPr>
      </w:pPr>
      <w:r>
        <w:rPr>
          <w:snapToGrid w:val="0"/>
        </w:rPr>
        <w:tab/>
      </w:r>
      <w:r>
        <w:rPr>
          <w:snapToGrid w:val="0"/>
        </w:rPr>
        <w:tab/>
        <w:t xml:space="preserve">For the purposes of paragraph (c) of the definition of </w:t>
      </w:r>
      <w:r>
        <w:rPr>
          <w:b/>
          <w:i/>
          <w:snapToGrid w:val="0"/>
        </w:rPr>
        <w:t>pollution</w:t>
      </w:r>
      <w:r>
        <w:rPr>
          <w:snapToGrid w:val="0"/>
        </w:rPr>
        <w:t xml:space="preserve"> in section 3(1) of the Act —</w:t>
      </w:r>
    </w:p>
    <w:p>
      <w:pPr>
        <w:pStyle w:val="Indenta"/>
        <w:rPr>
          <w:snapToGrid w:val="0"/>
        </w:rPr>
      </w:pPr>
      <w:r>
        <w:rPr>
          <w:snapToGrid w:val="0"/>
        </w:rPr>
        <w:tab/>
        <w:t>(a)</w:t>
      </w:r>
      <w:r>
        <w:rPr>
          <w:snapToGrid w:val="0"/>
        </w:rPr>
        <w:tab/>
        <w:t>the disposal of tyres otherwise than in accordance with regulation 14;</w:t>
      </w:r>
    </w:p>
    <w:p>
      <w:pPr>
        <w:pStyle w:val="Indenta"/>
        <w:rPr>
          <w:snapToGrid w:val="0"/>
        </w:rPr>
      </w:pPr>
      <w:r>
        <w:rPr>
          <w:snapToGrid w:val="0"/>
        </w:rPr>
        <w:tab/>
        <w:t>(b)</w:t>
      </w:r>
      <w:r>
        <w:rPr>
          <w:snapToGrid w:val="0"/>
        </w:rPr>
        <w:tab/>
        <w:t>the storage of used tyres —</w:t>
      </w:r>
    </w:p>
    <w:p>
      <w:pPr>
        <w:pStyle w:val="Indenti"/>
        <w:rPr>
          <w:snapToGrid w:val="0"/>
        </w:rPr>
      </w:pPr>
      <w:r>
        <w:rPr>
          <w:snapToGrid w:val="0"/>
        </w:rPr>
        <w:tab/>
        <w:t>(i)</w:t>
      </w:r>
      <w:r>
        <w:rPr>
          <w:snapToGrid w:val="0"/>
        </w:rPr>
        <w:tab/>
        <w:t>in any number exceeding 500 on a place used for or in connection with a tyre fitting business;</w:t>
      </w:r>
    </w:p>
    <w:p>
      <w:pPr>
        <w:pStyle w:val="Indenti"/>
        <w:rPr>
          <w:snapToGrid w:val="0"/>
        </w:rPr>
      </w:pPr>
      <w:r>
        <w:rPr>
          <w:snapToGrid w:val="0"/>
        </w:rPr>
        <w:tab/>
        <w:t>(ii)</w:t>
      </w:r>
      <w:r>
        <w:rPr>
          <w:snapToGrid w:val="0"/>
        </w:rPr>
        <w:tab/>
        <w:t>in any number exceeding 100 on any other place,</w:t>
      </w:r>
    </w:p>
    <w:p>
      <w:pPr>
        <w:pStyle w:val="Subsection"/>
        <w:spacing w:before="120"/>
        <w:rPr>
          <w:snapToGrid w:val="0"/>
        </w:rPr>
      </w:pPr>
      <w:r>
        <w:rPr>
          <w:snapToGrid w:val="0"/>
        </w:rPr>
        <w:tab/>
      </w:r>
      <w:r>
        <w:rPr>
          <w:snapToGrid w:val="0"/>
        </w:rPr>
        <w:tab/>
        <w:t>is a prescribed alteration of the environment.</w:t>
      </w:r>
    </w:p>
    <w:p>
      <w:pPr>
        <w:pStyle w:val="Footnotesection"/>
      </w:pPr>
      <w:r>
        <w:tab/>
        <w:t>[Regulation 12 inserted in Gazette 30 Aug 1991 p. 4555; amended in Gazette 12 Nov 1996 p. 6303</w:t>
      </w:r>
      <w:r>
        <w:noBreakHyphen/>
        <w:t>4.]</w:t>
      </w:r>
    </w:p>
    <w:p>
      <w:pPr>
        <w:pStyle w:val="Heading5"/>
        <w:rPr>
          <w:snapToGrid w:val="0"/>
        </w:rPr>
      </w:pPr>
      <w:bookmarkStart w:id="44" w:name="_Toc404948554"/>
      <w:r>
        <w:rPr>
          <w:rStyle w:val="CharSectno"/>
        </w:rPr>
        <w:t>13</w:t>
      </w:r>
      <w:r>
        <w:rPr>
          <w:snapToGrid w:val="0"/>
        </w:rPr>
        <w:t>.</w:t>
      </w:r>
      <w:r>
        <w:rPr>
          <w:snapToGrid w:val="0"/>
        </w:rPr>
        <w:tab/>
        <w:t>Transport of used tyres for reward etc., when permitted</w:t>
      </w:r>
      <w:bookmarkEnd w:id="44"/>
    </w:p>
    <w:p>
      <w:pPr>
        <w:pStyle w:val="Subsection"/>
        <w:spacing w:before="140"/>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for gain or other reward; or</w:t>
      </w:r>
    </w:p>
    <w:p>
      <w:pPr>
        <w:pStyle w:val="Indenta"/>
        <w:rPr>
          <w:snapToGrid w:val="0"/>
        </w:rPr>
      </w:pPr>
      <w:r>
        <w:rPr>
          <w:snapToGrid w:val="0"/>
        </w:rPr>
        <w:tab/>
        <w:t>(b)</w:t>
      </w:r>
      <w:r>
        <w:rPr>
          <w:snapToGrid w:val="0"/>
        </w:rPr>
        <w:tab/>
        <w:t>in the course of any business carried on by that person,</w:t>
      </w:r>
    </w:p>
    <w:p>
      <w:pPr>
        <w:pStyle w:val="Subsection"/>
        <w:spacing w:before="120"/>
        <w:rPr>
          <w:snapToGrid w:val="0"/>
        </w:rPr>
      </w:pPr>
      <w:r>
        <w:rPr>
          <w:snapToGrid w:val="0"/>
        </w:rPr>
        <w:tab/>
      </w:r>
      <w:r>
        <w:rPr>
          <w:snapToGrid w:val="0"/>
        </w:rPr>
        <w:tab/>
        <w:t>transport used tyres —</w:t>
      </w:r>
    </w:p>
    <w:p>
      <w:pPr>
        <w:pStyle w:val="Indenta"/>
        <w:rPr>
          <w:snapToGrid w:val="0"/>
        </w:rPr>
      </w:pPr>
      <w:r>
        <w:rPr>
          <w:snapToGrid w:val="0"/>
        </w:rPr>
        <w:tab/>
        <w:t>(c)</w:t>
      </w:r>
      <w:r>
        <w:rPr>
          <w:snapToGrid w:val="0"/>
        </w:rPr>
        <w:tab/>
        <w:t>for the purpose of storage except to a place that is licensed premises for that purpose; or</w:t>
      </w:r>
    </w:p>
    <w:p>
      <w:pPr>
        <w:pStyle w:val="Indenta"/>
        <w:rPr>
          <w:snapToGrid w:val="0"/>
        </w:rPr>
      </w:pPr>
      <w:r>
        <w:rPr>
          <w:snapToGrid w:val="0"/>
        </w:rPr>
        <w:tab/>
        <w:t>(d)</w:t>
      </w:r>
      <w:r>
        <w:rPr>
          <w:snapToGrid w:val="0"/>
        </w:rPr>
        <w:tab/>
        <w:t>for the purpose of disposal except to a place that is established for that purpose.</w:t>
      </w:r>
    </w:p>
    <w:p>
      <w:pPr>
        <w:pStyle w:val="Penstart"/>
        <w:rPr>
          <w:snapToGrid w:val="0"/>
        </w:rPr>
      </w:pPr>
      <w:r>
        <w:rPr>
          <w:snapToGrid w:val="0"/>
        </w:rPr>
        <w:tab/>
        <w:t>Penalty: $5 000.</w:t>
      </w:r>
    </w:p>
    <w:p>
      <w:pPr>
        <w:pStyle w:val="Subsection"/>
        <w:spacing w:before="140"/>
        <w:rPr>
          <w:snapToGrid w:val="0"/>
        </w:rPr>
      </w:pPr>
      <w:r>
        <w:rPr>
          <w:snapToGrid w:val="0"/>
        </w:rPr>
        <w:tab/>
        <w:t>(2)</w:t>
      </w:r>
      <w:r>
        <w:rPr>
          <w:snapToGrid w:val="0"/>
        </w:rPr>
        <w:tab/>
        <w:t>For the purposes of subregulation (1) a person is deemed to transport used tyres in the course of business whether the transport of used tyres is the principal business carried on by that person or is only incidental to any other business carried on by that person.</w:t>
      </w:r>
    </w:p>
    <w:p>
      <w:pPr>
        <w:pStyle w:val="Footnotesection"/>
        <w:spacing w:before="80"/>
        <w:ind w:left="890" w:hanging="890"/>
      </w:pPr>
      <w:r>
        <w:tab/>
        <w:t>[Regulation 13 inserted in Gazette 30 Aug 1991 p. 4555; amended in Gazette 11 Dec 1998 p. 6600.]</w:t>
      </w:r>
    </w:p>
    <w:p>
      <w:pPr>
        <w:pStyle w:val="Heading5"/>
        <w:spacing w:before="200"/>
        <w:rPr>
          <w:snapToGrid w:val="0"/>
        </w:rPr>
      </w:pPr>
      <w:bookmarkStart w:id="45" w:name="_Toc404948555"/>
      <w:r>
        <w:rPr>
          <w:rStyle w:val="CharSectno"/>
        </w:rPr>
        <w:t>13A</w:t>
      </w:r>
      <w:r>
        <w:rPr>
          <w:snapToGrid w:val="0"/>
        </w:rPr>
        <w:t>.</w:t>
      </w:r>
      <w:r>
        <w:rPr>
          <w:snapToGrid w:val="0"/>
        </w:rPr>
        <w:tab/>
      </w:r>
      <w:smartTag w:uri="urn:schemas-microsoft-com:office:smarttags" w:element="place">
        <w:smartTag w:uri="urn:schemas-microsoft-com:office:smarttags" w:element="City">
          <w:r>
            <w:rPr>
              <w:snapToGrid w:val="0"/>
            </w:rPr>
            <w:t>Tyre</w:t>
          </w:r>
        </w:smartTag>
      </w:smartTag>
      <w:r>
        <w:rPr>
          <w:snapToGrid w:val="0"/>
        </w:rPr>
        <w:t xml:space="preserve"> retailer not to damage used tyres</w:t>
      </w:r>
      <w:bookmarkEnd w:id="45"/>
    </w:p>
    <w:p>
      <w:pPr>
        <w:pStyle w:val="Subsection"/>
        <w:spacing w:before="140"/>
        <w:rPr>
          <w:snapToGrid w:val="0"/>
        </w:rPr>
      </w:pPr>
      <w:r>
        <w:rPr>
          <w:snapToGrid w:val="0"/>
        </w:rPr>
        <w:tab/>
        <w:t>(1)</w:t>
      </w:r>
      <w:r>
        <w:rPr>
          <w:snapToGrid w:val="0"/>
        </w:rPr>
        <w:tab/>
        <w:t>A tyre retailer shall not, except in accordance with written approval given by the Chief Executive Officer —</w:t>
      </w:r>
    </w:p>
    <w:p>
      <w:pPr>
        <w:pStyle w:val="Indenta"/>
        <w:spacing w:before="60"/>
        <w:rPr>
          <w:snapToGrid w:val="0"/>
        </w:rPr>
      </w:pPr>
      <w:r>
        <w:rPr>
          <w:snapToGrid w:val="0"/>
        </w:rPr>
        <w:tab/>
        <w:t>(a)</w:t>
      </w:r>
      <w:r>
        <w:rPr>
          <w:snapToGrid w:val="0"/>
        </w:rPr>
        <w:tab/>
        <w:t>cut or otherwise damage a used tyre; or</w:t>
      </w:r>
    </w:p>
    <w:p>
      <w:pPr>
        <w:pStyle w:val="Indenta"/>
        <w:spacing w:before="60"/>
        <w:rPr>
          <w:snapToGrid w:val="0"/>
        </w:rPr>
      </w:pPr>
      <w:r>
        <w:rPr>
          <w:snapToGrid w:val="0"/>
        </w:rPr>
        <w:tab/>
        <w:t>(b)</w:t>
      </w:r>
      <w:r>
        <w:rPr>
          <w:snapToGrid w:val="0"/>
        </w:rPr>
        <w:tab/>
        <w:t>cause or permit a used tyre to be cut or otherwise damaged,</w:t>
      </w:r>
    </w:p>
    <w:p>
      <w:pPr>
        <w:pStyle w:val="Subsection"/>
        <w:spacing w:before="100"/>
        <w:rPr>
          <w:snapToGrid w:val="0"/>
        </w:rPr>
      </w:pPr>
      <w:r>
        <w:rPr>
          <w:snapToGrid w:val="0"/>
        </w:rPr>
        <w:tab/>
      </w:r>
      <w:r>
        <w:rPr>
          <w:snapToGrid w:val="0"/>
        </w:rPr>
        <w:tab/>
        <w:t>in such a manner as to render the tyre unsuitable for retreading.</w:t>
      </w:r>
    </w:p>
    <w:p>
      <w:pPr>
        <w:pStyle w:val="Penstart"/>
        <w:rPr>
          <w:snapToGrid w:val="0"/>
        </w:rPr>
      </w:pPr>
      <w:r>
        <w:rPr>
          <w:snapToGrid w:val="0"/>
        </w:rPr>
        <w:tab/>
        <w:t>Penalty: $5 000.</w:t>
      </w:r>
    </w:p>
    <w:p>
      <w:pPr>
        <w:pStyle w:val="Subsection"/>
        <w:spacing w:before="140"/>
        <w:rPr>
          <w:snapToGrid w:val="0"/>
        </w:rPr>
      </w:pPr>
      <w:r>
        <w:rPr>
          <w:snapToGrid w:val="0"/>
        </w:rPr>
        <w:tab/>
        <w:t>(2)</w:t>
      </w:r>
      <w:r>
        <w:rPr>
          <w:snapToGrid w:val="0"/>
        </w:rPr>
        <w:tab/>
        <w:t>For the purposes of subregulation (1) the Chief Executive Officer may give approval subject to such conditions specified in the approval as the Chief Executive Officer thinks fit.</w:t>
      </w:r>
    </w:p>
    <w:p>
      <w:pPr>
        <w:pStyle w:val="Footnotesection"/>
        <w:spacing w:before="80"/>
        <w:ind w:left="890" w:hanging="890"/>
      </w:pPr>
      <w:r>
        <w:tab/>
        <w:t>[Regulation 13A inserted in Gazette 12 Nov 1996 p. 6304; amended in Gazette 11 Dec 1998 p. 6600.]</w:t>
      </w:r>
    </w:p>
    <w:p>
      <w:pPr>
        <w:pStyle w:val="Heading5"/>
        <w:spacing w:before="200"/>
        <w:rPr>
          <w:snapToGrid w:val="0"/>
        </w:rPr>
      </w:pPr>
      <w:bookmarkStart w:id="46" w:name="_Toc404948556"/>
      <w:r>
        <w:rPr>
          <w:rStyle w:val="CharSectno"/>
        </w:rPr>
        <w:t>14</w:t>
      </w:r>
      <w:r>
        <w:rPr>
          <w:snapToGrid w:val="0"/>
        </w:rPr>
        <w:t>.</w:t>
      </w:r>
      <w:r>
        <w:rPr>
          <w:snapToGrid w:val="0"/>
        </w:rPr>
        <w:tab/>
        <w:t>Disposal of tyres, permitted means for</w:t>
      </w:r>
      <w:bookmarkEnd w:id="46"/>
    </w:p>
    <w:p>
      <w:pPr>
        <w:pStyle w:val="Subsection"/>
        <w:spacing w:before="140"/>
        <w:rPr>
          <w:snapToGrid w:val="0"/>
        </w:rPr>
      </w:pPr>
      <w:r>
        <w:rPr>
          <w:snapToGrid w:val="0"/>
        </w:rPr>
        <w:tab/>
        <w:t>(1)</w:t>
      </w:r>
      <w:r>
        <w:rPr>
          <w:snapToGrid w:val="0"/>
        </w:rPr>
        <w:tab/>
        <w:t>Tyres may be disposed of —</w:t>
      </w:r>
    </w:p>
    <w:p>
      <w:pPr>
        <w:pStyle w:val="Indenta"/>
        <w:spacing w:before="60"/>
        <w:rPr>
          <w:snapToGrid w:val="0"/>
        </w:rPr>
      </w:pPr>
      <w:r>
        <w:rPr>
          <w:snapToGrid w:val="0"/>
        </w:rPr>
        <w:tab/>
        <w:t>(a)</w:t>
      </w:r>
      <w:r>
        <w:rPr>
          <w:snapToGrid w:val="0"/>
        </w:rPr>
        <w:tab/>
        <w:t>by incineration if —</w:t>
      </w:r>
    </w:p>
    <w:p>
      <w:pPr>
        <w:pStyle w:val="Indenti"/>
        <w:spacing w:before="60" w:after="60"/>
        <w:rPr>
          <w:snapToGrid w:val="0"/>
        </w:rPr>
      </w:pPr>
      <w:r>
        <w:rPr>
          <w:snapToGrid w:val="0"/>
        </w:rPr>
        <w:tab/>
        <w:t>(i)</w:t>
      </w:r>
      <w:r>
        <w:rPr>
          <w:snapToGrid w:val="0"/>
        </w:rPr>
        <w:tab/>
        <w:t>the emissions from the chimney of that incinerator do not exceed the following levels — </w:t>
      </w:r>
    </w:p>
    <w:tbl>
      <w:tblPr>
        <w:tblW w:w="0" w:type="auto"/>
        <w:tblInd w:w="2446" w:type="dxa"/>
        <w:tblLook w:val="0000" w:firstRow="0" w:lastRow="0" w:firstColumn="0" w:lastColumn="0" w:noHBand="0" w:noVBand="0"/>
      </w:tblPr>
      <w:tblGrid>
        <w:gridCol w:w="2507"/>
        <w:gridCol w:w="2359"/>
      </w:tblGrid>
      <w:tr>
        <w:tc>
          <w:tcPr>
            <w:tcW w:w="2507" w:type="dxa"/>
          </w:tcPr>
          <w:p>
            <w:pPr>
              <w:pStyle w:val="MiscellaneousBody"/>
              <w:tabs>
                <w:tab w:val="left" w:pos="2835"/>
                <w:tab w:val="left" w:pos="5103"/>
              </w:tabs>
              <w:spacing w:before="0"/>
              <w:rPr>
                <w:snapToGrid w:val="0"/>
              </w:rPr>
            </w:pPr>
            <w:r>
              <w:rPr>
                <w:snapToGrid w:val="0"/>
              </w:rPr>
              <w:t>particulate matter</w:t>
            </w:r>
          </w:p>
        </w:tc>
        <w:tc>
          <w:tcPr>
            <w:tcW w:w="2359" w:type="dxa"/>
          </w:tcPr>
          <w:p>
            <w:pPr>
              <w:pStyle w:val="MiscellaneousBody"/>
              <w:tabs>
                <w:tab w:val="left" w:pos="2835"/>
                <w:tab w:val="left" w:pos="5103"/>
              </w:tabs>
              <w:spacing w:before="0"/>
              <w:rPr>
                <w:snapToGrid w:val="0"/>
              </w:rPr>
            </w:pPr>
            <w:r>
              <w:rPr>
                <w:snapToGrid w:val="0"/>
              </w:rPr>
              <w:t>50 mg/m</w:t>
            </w:r>
            <w:r>
              <w:rPr>
                <w:snapToGrid w:val="0"/>
                <w:vertAlign w:val="superscript"/>
              </w:rPr>
              <w:t>3</w:t>
            </w:r>
          </w:p>
        </w:tc>
      </w:tr>
      <w:tr>
        <w:tc>
          <w:tcPr>
            <w:tcW w:w="2507" w:type="dxa"/>
          </w:tcPr>
          <w:p>
            <w:pPr>
              <w:pStyle w:val="MiscellaneousBody"/>
              <w:tabs>
                <w:tab w:val="left" w:pos="2835"/>
                <w:tab w:val="left" w:pos="5103"/>
              </w:tabs>
              <w:spacing w:before="0"/>
              <w:rPr>
                <w:snapToGrid w:val="0"/>
              </w:rPr>
            </w:pPr>
            <w:r>
              <w:rPr>
                <w:snapToGrid w:val="0"/>
              </w:rPr>
              <w:t>carbon monoxide</w:t>
            </w:r>
          </w:p>
        </w:tc>
        <w:tc>
          <w:tcPr>
            <w:tcW w:w="2359" w:type="dxa"/>
          </w:tcPr>
          <w:p>
            <w:pPr>
              <w:pStyle w:val="MiscellaneousBody"/>
              <w:tabs>
                <w:tab w:val="left" w:pos="2835"/>
                <w:tab w:val="left" w:pos="5103"/>
              </w:tabs>
              <w:spacing w:before="0"/>
              <w:rPr>
                <w:snapToGrid w:val="0"/>
              </w:rPr>
            </w:pPr>
            <w:r>
              <w:rPr>
                <w:snapToGrid w:val="0"/>
              </w:rPr>
              <w:t>1 g/m</w:t>
            </w:r>
            <w:r>
              <w:rPr>
                <w:snapToGrid w:val="0"/>
                <w:vertAlign w:val="superscript"/>
              </w:rPr>
              <w:t>3</w:t>
            </w:r>
          </w:p>
        </w:tc>
      </w:tr>
      <w:tr>
        <w:tc>
          <w:tcPr>
            <w:tcW w:w="2507" w:type="dxa"/>
          </w:tcPr>
          <w:p>
            <w:pPr>
              <w:pStyle w:val="MiscellaneousBody"/>
              <w:tabs>
                <w:tab w:val="left" w:pos="2835"/>
                <w:tab w:val="left" w:pos="5103"/>
              </w:tabs>
              <w:spacing w:before="0"/>
              <w:rPr>
                <w:snapToGrid w:val="0"/>
              </w:rPr>
            </w:pPr>
            <w:r>
              <w:rPr>
                <w:snapToGrid w:val="0"/>
              </w:rPr>
              <w:t>zinc</w:t>
            </w:r>
          </w:p>
        </w:tc>
        <w:tc>
          <w:tcPr>
            <w:tcW w:w="2359" w:type="dxa"/>
          </w:tcPr>
          <w:p>
            <w:pPr>
              <w:pStyle w:val="MiscellaneousBody"/>
              <w:tabs>
                <w:tab w:val="left" w:pos="2835"/>
                <w:tab w:val="left" w:pos="5103"/>
              </w:tabs>
              <w:spacing w:before="0"/>
              <w:rPr>
                <w:snapToGrid w:val="0"/>
              </w:rPr>
            </w:pPr>
            <w:r>
              <w:rPr>
                <w:snapToGrid w:val="0"/>
              </w:rPr>
              <w:t>3 mg/m</w:t>
            </w:r>
            <w:r>
              <w:rPr>
                <w:snapToGrid w:val="0"/>
                <w:vertAlign w:val="superscript"/>
              </w:rPr>
              <w:t>3</w:t>
            </w:r>
          </w:p>
        </w:tc>
      </w:tr>
      <w:tr>
        <w:tc>
          <w:tcPr>
            <w:tcW w:w="2507" w:type="dxa"/>
          </w:tcPr>
          <w:p>
            <w:pPr>
              <w:pStyle w:val="MiscellaneousBody"/>
              <w:tabs>
                <w:tab w:val="left" w:pos="2835"/>
                <w:tab w:val="left" w:pos="5103"/>
              </w:tabs>
              <w:spacing w:before="0"/>
              <w:rPr>
                <w:snapToGrid w:val="0"/>
              </w:rPr>
            </w:pPr>
            <w:r>
              <w:rPr>
                <w:snapToGrid w:val="0"/>
              </w:rPr>
              <w:t>cadmium</w:t>
            </w:r>
          </w:p>
        </w:tc>
        <w:tc>
          <w:tcPr>
            <w:tcW w:w="2359" w:type="dxa"/>
          </w:tcPr>
          <w:p>
            <w:pPr>
              <w:pStyle w:val="MiscellaneousBody"/>
              <w:tabs>
                <w:tab w:val="left" w:pos="2835"/>
                <w:tab w:val="left" w:pos="5103"/>
              </w:tabs>
              <w:spacing w:before="0"/>
              <w:rPr>
                <w:snapToGrid w:val="0"/>
              </w:rPr>
            </w:pPr>
            <w:r>
              <w:rPr>
                <w:snapToGrid w:val="0"/>
              </w:rPr>
              <w:t>3 mg/m</w:t>
            </w:r>
            <w:r>
              <w:rPr>
                <w:snapToGrid w:val="0"/>
                <w:vertAlign w:val="superscript"/>
              </w:rPr>
              <w:t>3</w:t>
            </w:r>
          </w:p>
        </w:tc>
      </w:tr>
      <w:tr>
        <w:tc>
          <w:tcPr>
            <w:tcW w:w="2507" w:type="dxa"/>
          </w:tcPr>
          <w:p>
            <w:pPr>
              <w:pStyle w:val="MiscellaneousBody"/>
              <w:tabs>
                <w:tab w:val="left" w:pos="2835"/>
                <w:tab w:val="left" w:pos="5103"/>
              </w:tabs>
              <w:spacing w:before="0"/>
              <w:rPr>
                <w:snapToGrid w:val="0"/>
              </w:rPr>
            </w:pPr>
            <w:r>
              <w:rPr>
                <w:snapToGrid w:val="0"/>
              </w:rPr>
              <w:t>aluminium</w:t>
            </w:r>
          </w:p>
        </w:tc>
        <w:tc>
          <w:tcPr>
            <w:tcW w:w="2359" w:type="dxa"/>
          </w:tcPr>
          <w:p>
            <w:pPr>
              <w:pStyle w:val="MiscellaneousBody"/>
              <w:tabs>
                <w:tab w:val="left" w:pos="2835"/>
                <w:tab w:val="left" w:pos="5103"/>
              </w:tabs>
              <w:spacing w:before="0"/>
              <w:rPr>
                <w:snapToGrid w:val="0"/>
              </w:rPr>
            </w:pPr>
            <w:r>
              <w:rPr>
                <w:snapToGrid w:val="0"/>
              </w:rPr>
              <w:t>3 mg/m</w:t>
            </w:r>
            <w:r>
              <w:rPr>
                <w:snapToGrid w:val="0"/>
                <w:vertAlign w:val="superscript"/>
              </w:rPr>
              <w:t>3</w:t>
            </w:r>
          </w:p>
        </w:tc>
      </w:tr>
      <w:tr>
        <w:tc>
          <w:tcPr>
            <w:tcW w:w="2507" w:type="dxa"/>
          </w:tcPr>
          <w:p>
            <w:pPr>
              <w:pStyle w:val="MiscellaneousBody"/>
              <w:tabs>
                <w:tab w:val="left" w:pos="2835"/>
                <w:tab w:val="left" w:pos="5103"/>
              </w:tabs>
              <w:spacing w:before="0"/>
              <w:rPr>
                <w:snapToGrid w:val="0"/>
              </w:rPr>
            </w:pPr>
            <w:r>
              <w:rPr>
                <w:snapToGrid w:val="0"/>
              </w:rPr>
              <w:t>dioxins</w:t>
            </w:r>
          </w:p>
        </w:tc>
        <w:tc>
          <w:tcPr>
            <w:tcW w:w="2359" w:type="dxa"/>
          </w:tcPr>
          <w:p>
            <w:pPr>
              <w:pStyle w:val="MiscellaneousBody"/>
              <w:tabs>
                <w:tab w:val="left" w:pos="2835"/>
                <w:tab w:val="left" w:pos="5103"/>
              </w:tabs>
              <w:spacing w:before="0"/>
              <w:rPr>
                <w:snapToGrid w:val="0"/>
              </w:rPr>
            </w:pPr>
            <w:r>
              <w:rPr>
                <w:snapToGrid w:val="0"/>
              </w:rPr>
              <w:t>5 parts per thousand million</w:t>
            </w:r>
          </w:p>
        </w:tc>
      </w:tr>
    </w:tbl>
    <w:p>
      <w:pPr>
        <w:pStyle w:val="Indenti"/>
        <w:spacing w:before="60"/>
        <w:rPr>
          <w:snapToGrid w:val="0"/>
        </w:rPr>
      </w:pPr>
      <w:r>
        <w:rPr>
          <w:snapToGrid w:val="0"/>
        </w:rPr>
        <w:tab/>
      </w:r>
      <w:r>
        <w:rPr>
          <w:snapToGrid w:val="0"/>
        </w:rPr>
        <w:tab/>
        <w:t>or such other levels as are approved by the Chief Executive Officer; and</w:t>
      </w:r>
    </w:p>
    <w:p>
      <w:pPr>
        <w:pStyle w:val="Indenti"/>
        <w:tabs>
          <w:tab w:val="clear" w:pos="2325"/>
        </w:tabs>
        <w:rPr>
          <w:snapToGrid w:val="0"/>
        </w:rPr>
      </w:pPr>
      <w:r>
        <w:rPr>
          <w:snapToGrid w:val="0"/>
        </w:rPr>
        <w:tab/>
        <w:t>(ii)</w:t>
      </w:r>
      <w:r>
        <w:rPr>
          <w:snapToGrid w:val="0"/>
        </w:rPr>
        <w:tab/>
        <w:t>smoke discharged does not exceed a shade of 1 when compared with the Australian Miniature Smoke Chart (AS 3543 1989);</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by the method described in subregulation (2) at an approved site located —</w:t>
      </w:r>
    </w:p>
    <w:p>
      <w:pPr>
        <w:pStyle w:val="Indenti"/>
        <w:rPr>
          <w:snapToGrid w:val="0"/>
        </w:rPr>
      </w:pPr>
      <w:r>
        <w:rPr>
          <w:snapToGrid w:val="0"/>
        </w:rPr>
        <w:tab/>
        <w:t>(i)</w:t>
      </w:r>
      <w:r>
        <w:rPr>
          <w:snapToGrid w:val="0"/>
        </w:rPr>
        <w:tab/>
        <w:t>in the Tyre Landfill Exclusion Zone if the written approval of the Chief Executive Officer has first been obtained; or</w:t>
      </w:r>
    </w:p>
    <w:p>
      <w:pPr>
        <w:pStyle w:val="Indenti"/>
        <w:rPr>
          <w:snapToGrid w:val="0"/>
        </w:rPr>
      </w:pPr>
      <w:r>
        <w:rPr>
          <w:snapToGrid w:val="0"/>
        </w:rPr>
        <w:tab/>
        <w:t>(ii)</w:t>
      </w:r>
      <w:r>
        <w:rPr>
          <w:snapToGrid w:val="0"/>
        </w:rPr>
        <w:tab/>
        <w:t>in any local government district outside the Tyre Landfill Exclusion Zone;</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by any other method of disposal approved by the Minister on the advice of the Chief Executive Officer.</w:t>
      </w:r>
    </w:p>
    <w:p>
      <w:pPr>
        <w:pStyle w:val="Subsection"/>
        <w:rPr>
          <w:snapToGrid w:val="0"/>
        </w:rPr>
      </w:pPr>
      <w:r>
        <w:rPr>
          <w:snapToGrid w:val="0"/>
        </w:rPr>
        <w:tab/>
        <w:t>(2)</w:t>
      </w:r>
      <w:r>
        <w:rPr>
          <w:snapToGrid w:val="0"/>
        </w:rPr>
        <w:tab/>
        <w:t>For the purposes of subregulation (1)(b) tyres may be disposed of by burial under a final soil cover of not less than 500 mm —</w:t>
      </w:r>
    </w:p>
    <w:p>
      <w:pPr>
        <w:pStyle w:val="Indenta"/>
        <w:rPr>
          <w:snapToGrid w:val="0"/>
        </w:rPr>
      </w:pPr>
      <w:r>
        <w:rPr>
          <w:snapToGrid w:val="0"/>
        </w:rPr>
        <w:tab/>
        <w:t>(a)</w:t>
      </w:r>
      <w:r>
        <w:rPr>
          <w:snapToGrid w:val="0"/>
        </w:rPr>
        <w:tab/>
        <w:t>in batches separated from each other by at least 100 mm of soil and each consisting of not more than 40 m</w:t>
      </w:r>
      <w:r>
        <w:rPr>
          <w:snapToGrid w:val="0"/>
          <w:vertAlign w:val="superscript"/>
        </w:rPr>
        <w:t>3</w:t>
      </w:r>
      <w:r>
        <w:rPr>
          <w:snapToGrid w:val="0"/>
        </w:rPr>
        <w:t xml:space="preserve"> of tyres reduced to pieces; or</w:t>
      </w:r>
    </w:p>
    <w:p>
      <w:pPr>
        <w:pStyle w:val="Indenta"/>
        <w:rPr>
          <w:snapToGrid w:val="0"/>
        </w:rPr>
      </w:pPr>
      <w:r>
        <w:rPr>
          <w:snapToGrid w:val="0"/>
        </w:rPr>
        <w:tab/>
        <w:t>(b)</w:t>
      </w:r>
      <w:r>
        <w:rPr>
          <w:snapToGrid w:val="0"/>
        </w:rPr>
        <w:tab/>
        <w:t>in batches separated from each other by at least 100 mm of soil and each consisting of not more than 1 000 whole tyres; or</w:t>
      </w:r>
    </w:p>
    <w:p>
      <w:pPr>
        <w:pStyle w:val="Indenta"/>
        <w:rPr>
          <w:snapToGrid w:val="0"/>
        </w:rPr>
      </w:pPr>
      <w:r>
        <w:rPr>
          <w:snapToGrid w:val="0"/>
        </w:rPr>
        <w:tab/>
        <w:t>(c)</w:t>
      </w:r>
      <w:r>
        <w:rPr>
          <w:snapToGrid w:val="0"/>
        </w:rPr>
        <w:tab/>
        <w:t>in the case of tyres in any volume or number in a dump existing on 4 December 1992, at the location of that dump,</w:t>
      </w:r>
    </w:p>
    <w:p>
      <w:pPr>
        <w:pStyle w:val="Subsection"/>
        <w:rPr>
          <w:snapToGrid w:val="0"/>
        </w:rPr>
      </w:pPr>
      <w:r>
        <w:rPr>
          <w:snapToGrid w:val="0"/>
        </w:rPr>
        <w:tab/>
      </w:r>
      <w:r>
        <w:rPr>
          <w:snapToGrid w:val="0"/>
        </w:rPr>
        <w:tab/>
        <w:t>in accordance with such conditions as are imposed by the Chief Executive Officer in respect of that burial for the purpose of ensuring that drainage, safety, soil erosion and soil stability at, and in the vicinity of, the site of that burial are adequately controlled.</w:t>
      </w:r>
    </w:p>
    <w:p>
      <w:pPr>
        <w:pStyle w:val="Footnotesection"/>
      </w:pPr>
      <w:r>
        <w:tab/>
        <w:t>[Regulation 14 inserted in Gazette 30 Aug 1991 p. 4555; amended in Gazette 4 Dec 1992 p. 5889; 12 Nov 1996 p. 6304</w:t>
      </w:r>
      <w:r>
        <w:noBreakHyphen/>
        <w:t>5.]</w:t>
      </w:r>
    </w:p>
    <w:p>
      <w:pPr>
        <w:pStyle w:val="Heading5"/>
        <w:rPr>
          <w:snapToGrid w:val="0"/>
        </w:rPr>
      </w:pPr>
      <w:bookmarkStart w:id="47" w:name="_Toc404948557"/>
      <w:r>
        <w:rPr>
          <w:rStyle w:val="CharSectno"/>
        </w:rPr>
        <w:t>15</w:t>
      </w:r>
      <w:r>
        <w:rPr>
          <w:snapToGrid w:val="0"/>
        </w:rPr>
        <w:t>.</w:t>
      </w:r>
      <w:r>
        <w:rPr>
          <w:snapToGrid w:val="0"/>
        </w:rPr>
        <w:tab/>
        <w:t>Used tyres, storage of on licensed premises</w:t>
      </w:r>
      <w:bookmarkEnd w:id="47"/>
    </w:p>
    <w:p>
      <w:pPr>
        <w:pStyle w:val="Subsection"/>
        <w:rPr>
          <w:snapToGrid w:val="0"/>
        </w:rPr>
      </w:pPr>
      <w:r>
        <w:rPr>
          <w:snapToGrid w:val="0"/>
        </w:rPr>
        <w:tab/>
      </w:r>
      <w:r>
        <w:rPr>
          <w:snapToGrid w:val="0"/>
        </w:rPr>
        <w:tab/>
        <w:t>Used tyres shall not be stored on licensed premises otherwise than in accordance with the conditions of the licence issued in relation to those premises.</w:t>
      </w:r>
    </w:p>
    <w:p>
      <w:pPr>
        <w:pStyle w:val="Footnotesection"/>
      </w:pPr>
      <w:r>
        <w:tab/>
        <w:t>[Regulation 15 inserted in Gazette 30 Aug 1991 p. 4555.]</w:t>
      </w:r>
    </w:p>
    <w:p>
      <w:pPr>
        <w:pStyle w:val="Heading2"/>
      </w:pPr>
      <w:bookmarkStart w:id="48" w:name="_Toc404948558"/>
      <w:r>
        <w:rPr>
          <w:rStyle w:val="CharPartNo"/>
        </w:rPr>
        <w:t>Part 7</w:t>
      </w:r>
      <w:r>
        <w:rPr>
          <w:rStyle w:val="CharDivNo"/>
        </w:rPr>
        <w:t> </w:t>
      </w:r>
      <w:r>
        <w:t>—</w:t>
      </w:r>
      <w:r>
        <w:rPr>
          <w:rStyle w:val="CharDivText"/>
        </w:rPr>
        <w:t> </w:t>
      </w:r>
      <w:r>
        <w:rPr>
          <w:rStyle w:val="CharPartText"/>
        </w:rPr>
        <w:t>Anti</w:t>
      </w:r>
      <w:r>
        <w:rPr>
          <w:rStyle w:val="CharPartText"/>
        </w:rPr>
        <w:noBreakHyphen/>
        <w:t>fouling paint</w:t>
      </w:r>
      <w:bookmarkEnd w:id="48"/>
    </w:p>
    <w:p>
      <w:pPr>
        <w:pStyle w:val="Footnoteheading"/>
        <w:rPr>
          <w:snapToGrid w:val="0"/>
        </w:rPr>
      </w:pPr>
      <w:r>
        <w:rPr>
          <w:snapToGrid w:val="0"/>
        </w:rPr>
        <w:tab/>
        <w:t>[Heading inserted in Gazette 13 Sep 1996 p. 4545.]</w:t>
      </w:r>
    </w:p>
    <w:p>
      <w:pPr>
        <w:pStyle w:val="Heading5"/>
        <w:rPr>
          <w:snapToGrid w:val="0"/>
        </w:rPr>
      </w:pPr>
      <w:bookmarkStart w:id="49" w:name="_Toc404948559"/>
      <w:r>
        <w:rPr>
          <w:rStyle w:val="CharSectno"/>
        </w:rPr>
        <w:t>16</w:t>
      </w:r>
      <w:r>
        <w:rPr>
          <w:snapToGrid w:val="0"/>
        </w:rPr>
        <w:t>.</w:t>
      </w:r>
      <w:r>
        <w:rPr>
          <w:snapToGrid w:val="0"/>
        </w:rPr>
        <w:tab/>
        <w:t>Organotin anti</w:t>
      </w:r>
      <w:r>
        <w:rPr>
          <w:snapToGrid w:val="0"/>
        </w:rPr>
        <w:noBreakHyphen/>
        <w:t>fouling paint, restrictions on use, sale etc. of</w:t>
      </w:r>
      <w:bookmarkEnd w:id="49"/>
    </w:p>
    <w:p>
      <w:pPr>
        <w:pStyle w:val="Subsection"/>
        <w:rPr>
          <w:snapToGrid w:val="0"/>
        </w:rPr>
      </w:pPr>
      <w:r>
        <w:rPr>
          <w:snapToGrid w:val="0"/>
        </w:rPr>
        <w:tab/>
        <w:t>(1)</w:t>
      </w:r>
      <w:r>
        <w:rPr>
          <w:snapToGrid w:val="0"/>
        </w:rPr>
        <w:tab/>
        <w:t>On and from 1 November 1991, a person shall not apply organotin anti</w:t>
      </w:r>
      <w:r>
        <w:rPr>
          <w:snapToGrid w:val="0"/>
        </w:rPr>
        <w:noBreakHyphen/>
        <w:t>fouling paint to, or cause or permit such paint to be applied to —</w:t>
      </w:r>
    </w:p>
    <w:p>
      <w:pPr>
        <w:pStyle w:val="Indenta"/>
        <w:rPr>
          <w:snapToGrid w:val="0"/>
        </w:rPr>
      </w:pPr>
      <w:r>
        <w:rPr>
          <w:snapToGrid w:val="0"/>
        </w:rPr>
        <w:tab/>
        <w:t>(a)</w:t>
      </w:r>
      <w:r>
        <w:rPr>
          <w:snapToGrid w:val="0"/>
        </w:rPr>
        <w:tab/>
        <w:t>a piling, pier, buoy, mooring or other structure in an enclosed water body or a semi</w:t>
      </w:r>
      <w:r>
        <w:rPr>
          <w:snapToGrid w:val="0"/>
        </w:rPr>
        <w:noBreakHyphen/>
        <w:t>enclosed water body; or</w:t>
      </w:r>
    </w:p>
    <w:p>
      <w:pPr>
        <w:pStyle w:val="Indenta"/>
        <w:rPr>
          <w:snapToGrid w:val="0"/>
        </w:rPr>
      </w:pPr>
      <w:r>
        <w:rPr>
          <w:snapToGrid w:val="0"/>
        </w:rPr>
        <w:tab/>
        <w:t>(b)</w:t>
      </w:r>
      <w:r>
        <w:rPr>
          <w:snapToGrid w:val="0"/>
        </w:rPr>
        <w:tab/>
        <w:t>a vessel that is 25 m or less in length; or</w:t>
      </w:r>
    </w:p>
    <w:p>
      <w:pPr>
        <w:pStyle w:val="Indenta"/>
        <w:rPr>
          <w:snapToGrid w:val="0"/>
        </w:rPr>
      </w:pPr>
      <w:r>
        <w:rPr>
          <w:snapToGrid w:val="0"/>
        </w:rPr>
        <w:tab/>
        <w:t>(c)</w:t>
      </w:r>
      <w:r>
        <w:rPr>
          <w:snapToGrid w:val="0"/>
        </w:rPr>
        <w:tab/>
        <w:t>a vessel that is more than 25 m in length, unless the paint has been formulated so that in respect of each square centimetre of surface to which it is applied —</w:t>
      </w:r>
    </w:p>
    <w:p>
      <w:pPr>
        <w:pStyle w:val="Indenti"/>
        <w:rPr>
          <w:snapToGrid w:val="0"/>
        </w:rPr>
      </w:pPr>
      <w:r>
        <w:rPr>
          <w:snapToGrid w:val="0"/>
        </w:rPr>
        <w:tab/>
        <w:t>(i)</w:t>
      </w:r>
      <w:r>
        <w:rPr>
          <w:snapToGrid w:val="0"/>
        </w:rPr>
        <w:tab/>
        <w:t>not more than 210 micrograms of organotin are released during the first 14 days after the application of the paint; and</w:t>
      </w:r>
    </w:p>
    <w:p>
      <w:pPr>
        <w:pStyle w:val="Indenti"/>
        <w:rPr>
          <w:snapToGrid w:val="0"/>
        </w:rPr>
      </w:pPr>
      <w:r>
        <w:rPr>
          <w:snapToGrid w:val="0"/>
        </w:rPr>
        <w:tab/>
        <w:t>(ii)</w:t>
      </w:r>
      <w:r>
        <w:rPr>
          <w:snapToGrid w:val="0"/>
        </w:rPr>
        <w:tab/>
        <w:t>not more than 5 micrograms of organotin are released during each subsequent day.</w:t>
      </w:r>
    </w:p>
    <w:p>
      <w:pPr>
        <w:pStyle w:val="Penstart"/>
        <w:rPr>
          <w:snapToGrid w:val="0"/>
        </w:rPr>
      </w:pPr>
      <w:r>
        <w:rPr>
          <w:snapToGrid w:val="0"/>
        </w:rPr>
        <w:tab/>
      </w:r>
      <w:r>
        <w:t>Penalty: $5 000.</w:t>
      </w:r>
    </w:p>
    <w:p>
      <w:pPr>
        <w:pStyle w:val="Subsection"/>
        <w:rPr>
          <w:snapToGrid w:val="0"/>
        </w:rPr>
      </w:pPr>
      <w:r>
        <w:rPr>
          <w:snapToGrid w:val="0"/>
        </w:rPr>
        <w:tab/>
        <w:t>(2)</w:t>
      </w:r>
      <w:r>
        <w:rPr>
          <w:snapToGrid w:val="0"/>
        </w:rPr>
        <w:tab/>
        <w:t>On and from 1 September 1991, a person shall not sell organotin anti</w:t>
      </w:r>
      <w:r>
        <w:rPr>
          <w:snapToGrid w:val="0"/>
        </w:rPr>
        <w:noBreakHyphen/>
        <w:t>fouling paint that is formulated other than as described in subregulation (1)(c).</w:t>
      </w:r>
    </w:p>
    <w:p>
      <w:pPr>
        <w:pStyle w:val="Penstart"/>
        <w:rPr>
          <w:snapToGrid w:val="0"/>
        </w:rPr>
      </w:pPr>
      <w:r>
        <w:tab/>
        <w:t>Penalty: $5 000.</w:t>
      </w:r>
    </w:p>
    <w:p>
      <w:pPr>
        <w:pStyle w:val="Subsection"/>
        <w:rPr>
          <w:snapToGrid w:val="0"/>
        </w:rPr>
      </w:pPr>
      <w:r>
        <w:rPr>
          <w:snapToGrid w:val="0"/>
        </w:rPr>
        <w:tab/>
        <w:t>(3)</w:t>
      </w:r>
      <w:r>
        <w:rPr>
          <w:snapToGrid w:val="0"/>
        </w:rPr>
        <w:tab/>
        <w:t>On and from 1 September 1991, a person who has a container containing organotin anti</w:t>
      </w:r>
      <w:r>
        <w:rPr>
          <w:snapToGrid w:val="0"/>
        </w:rPr>
        <w:noBreakHyphen/>
        <w:t>fouling paint shall ensure that it has a clearly readable label with the words “NOT TO BE APPLIED TO VESSELS 25 METRES OR LESS IN LENGTH”.</w:t>
      </w:r>
    </w:p>
    <w:p>
      <w:pPr>
        <w:pStyle w:val="Penstart"/>
        <w:rPr>
          <w:snapToGrid w:val="0"/>
        </w:rPr>
      </w:pPr>
      <w:r>
        <w:rPr>
          <w:snapToGrid w:val="0"/>
        </w:rPr>
        <w:tab/>
      </w:r>
      <w:r>
        <w:t>Penalty: $5 000.</w:t>
      </w:r>
    </w:p>
    <w:p>
      <w:pPr>
        <w:pStyle w:val="Subsection"/>
        <w:rPr>
          <w:snapToGrid w:val="0"/>
        </w:rPr>
      </w:pPr>
      <w:r>
        <w:rPr>
          <w:snapToGrid w:val="0"/>
        </w:rPr>
        <w:tab/>
        <w:t>(4)</w:t>
      </w:r>
      <w:r>
        <w:rPr>
          <w:snapToGrid w:val="0"/>
        </w:rPr>
        <w:tab/>
        <w:t>In this regulation —</w:t>
      </w:r>
    </w:p>
    <w:p>
      <w:pPr>
        <w:pStyle w:val="Defstart"/>
      </w:pPr>
      <w:r>
        <w:rPr>
          <w:b/>
        </w:rPr>
        <w:tab/>
      </w:r>
      <w:r>
        <w:rPr>
          <w:rStyle w:val="CharDefText"/>
        </w:rPr>
        <w:t>enclosed water body</w:t>
      </w:r>
      <w:r>
        <w:t xml:space="preserve"> means a body of water, such as a lake, not connected to the sea;</w:t>
      </w:r>
    </w:p>
    <w:p>
      <w:pPr>
        <w:pStyle w:val="Defstart"/>
      </w:pPr>
      <w:r>
        <w:rPr>
          <w:b/>
        </w:rPr>
        <w:tab/>
      </w:r>
      <w:r>
        <w:rPr>
          <w:rStyle w:val="CharDefText"/>
        </w:rPr>
        <w:t>length</w:t>
      </w:r>
      <w:r>
        <w:t xml:space="preserve"> means the hull length of a ship, boat or hovercraft or the overall length of any other vessel;</w:t>
      </w:r>
    </w:p>
    <w:p>
      <w:pPr>
        <w:pStyle w:val="Defstart"/>
      </w:pPr>
      <w:r>
        <w:rPr>
          <w:b/>
        </w:rPr>
        <w:tab/>
      </w:r>
      <w:r>
        <w:rPr>
          <w:rStyle w:val="CharDefText"/>
        </w:rPr>
        <w:t>organotin anti</w:t>
      </w:r>
      <w:r>
        <w:rPr>
          <w:rStyle w:val="CharDefText"/>
        </w:rPr>
        <w:noBreakHyphen/>
        <w:t>fouling paint</w:t>
      </w:r>
      <w:r>
        <w:t xml:space="preserve"> means a coating, paint or treatment that contains an organic derivative of tin;</w:t>
      </w:r>
    </w:p>
    <w:p>
      <w:pPr>
        <w:pStyle w:val="Defstart"/>
      </w:pPr>
      <w:r>
        <w:rPr>
          <w:b/>
        </w:rPr>
        <w:tab/>
      </w:r>
      <w:r>
        <w:rPr>
          <w:rStyle w:val="CharDefText"/>
        </w:rPr>
        <w:t>semi</w:t>
      </w:r>
      <w:r>
        <w:rPr>
          <w:rStyle w:val="CharDefText"/>
        </w:rPr>
        <w:noBreakHyphen/>
        <w:t>enclosed water body</w:t>
      </w:r>
      <w:r>
        <w:t xml:space="preserve"> means a partially enclosed coastal water, such as an estuary, river, port, harbour, bay, marina or yacht club;</w:t>
      </w:r>
    </w:p>
    <w:p>
      <w:pPr>
        <w:pStyle w:val="Defstart"/>
      </w:pPr>
      <w:r>
        <w:rPr>
          <w:b/>
        </w:rPr>
        <w:tab/>
      </w:r>
      <w:r>
        <w:rPr>
          <w:rStyle w:val="CharDefText"/>
        </w:rPr>
        <w:t>vessel</w:t>
      </w:r>
      <w:r>
        <w:t xml:space="preserve"> means any ship, boat, hovercraft or hulk and any vehicle, whether floating or submersible and whether self</w:t>
      </w:r>
      <w:r>
        <w:noBreakHyphen/>
        <w:t>propelled or not, that is capable of being used in or on water.</w:t>
      </w:r>
    </w:p>
    <w:p>
      <w:pPr>
        <w:pStyle w:val="Footnotesection"/>
      </w:pPr>
      <w:r>
        <w:tab/>
        <w:t>[Regulation 16 inserted in Gazette 30 Aug 1991 p. 4553</w:t>
      </w:r>
      <w:r>
        <w:noBreakHyphen/>
        <w:t>4; amended in Gazette 11 Dec 1998 p. 6600.]</w:t>
      </w:r>
    </w:p>
    <w:p>
      <w:pPr>
        <w:pStyle w:val="Heading2"/>
      </w:pPr>
      <w:bookmarkStart w:id="50" w:name="_Toc404948560"/>
      <w:r>
        <w:rPr>
          <w:rStyle w:val="CharPartNo"/>
        </w:rPr>
        <w:t>Part 7A</w:t>
      </w:r>
      <w:r>
        <w:t> — </w:t>
      </w:r>
      <w:r>
        <w:rPr>
          <w:rStyle w:val="CharPartText"/>
        </w:rPr>
        <w:t>Burning on development sites</w:t>
      </w:r>
      <w:bookmarkEnd w:id="50"/>
    </w:p>
    <w:p>
      <w:pPr>
        <w:pStyle w:val="Footnoteheading"/>
      </w:pPr>
      <w:r>
        <w:tab/>
        <w:t>[Heading inserted in Gazette 19 Dec 2000 p. 7283.]</w:t>
      </w:r>
    </w:p>
    <w:p>
      <w:pPr>
        <w:pStyle w:val="Heading5"/>
      </w:pPr>
      <w:bookmarkStart w:id="51" w:name="_Toc404948561"/>
      <w:r>
        <w:rPr>
          <w:rStyle w:val="CharSectno"/>
        </w:rPr>
        <w:t>16A</w:t>
      </w:r>
      <w:r>
        <w:t>.</w:t>
      </w:r>
      <w:r>
        <w:tab/>
        <w:t>Terms used</w:t>
      </w:r>
      <w:bookmarkEnd w:id="51"/>
    </w:p>
    <w:p>
      <w:pPr>
        <w:pStyle w:val="Subsection"/>
      </w:pPr>
      <w:r>
        <w:tab/>
      </w:r>
      <w:r>
        <w:tab/>
        <w:t>In this Part —</w:t>
      </w:r>
    </w:p>
    <w:p>
      <w:pPr>
        <w:pStyle w:val="Defstart"/>
      </w:pPr>
      <w:r>
        <w:tab/>
      </w:r>
      <w:r>
        <w:rPr>
          <w:rStyle w:val="CharDefText"/>
        </w:rPr>
        <w:t>development site</w:t>
      </w:r>
      <w:r>
        <w:rPr>
          <w:b/>
        </w:rPr>
        <w:t xml:space="preserve"> </w:t>
      </w:r>
      <w:r>
        <w:t>means a lot that is, or contiguous lots that are together, larger than 2 000 m</w:t>
      </w:r>
      <w:r>
        <w:rPr>
          <w:vertAlign w:val="superscript"/>
        </w:rPr>
        <w:t>2</w:t>
      </w:r>
      <w:r>
        <w:t xml:space="preserve"> and on which development work is being carried out;</w:t>
      </w:r>
    </w:p>
    <w:p>
      <w:pPr>
        <w:pStyle w:val="Defstart"/>
      </w:pPr>
      <w:r>
        <w:tab/>
      </w:r>
      <w:r>
        <w:rPr>
          <w:rStyle w:val="CharDefText"/>
        </w:rPr>
        <w:t>development work</w:t>
      </w:r>
      <w:r>
        <w:t xml:space="preserve"> means work to develop land for use, including —</w:t>
      </w:r>
    </w:p>
    <w:p>
      <w:pPr>
        <w:pStyle w:val="Defpara"/>
      </w:pPr>
      <w:r>
        <w:tab/>
        <w:t>(a)</w:t>
      </w:r>
      <w:r>
        <w:tab/>
        <w:t>the clearing of vegetation or topsoil; or</w:t>
      </w:r>
    </w:p>
    <w:p>
      <w:pPr>
        <w:pStyle w:val="Defpara"/>
      </w:pPr>
      <w:r>
        <w:tab/>
        <w:t>(b)</w:t>
      </w:r>
      <w:r>
        <w:tab/>
        <w:t>recontouring or other bulk earthworks; or</w:t>
      </w:r>
    </w:p>
    <w:p>
      <w:pPr>
        <w:pStyle w:val="Defpara"/>
      </w:pPr>
      <w:r>
        <w:tab/>
        <w:t>(c)</w:t>
      </w:r>
      <w:r>
        <w:tab/>
        <w:t>trench or road construction;</w:t>
      </w:r>
    </w:p>
    <w:p>
      <w:pPr>
        <w:pStyle w:val="Defstart"/>
      </w:pPr>
      <w:r>
        <w:tab/>
      </w:r>
      <w:r>
        <w:rPr>
          <w:rStyle w:val="CharDefText"/>
        </w:rPr>
        <w:t>lot</w:t>
      </w:r>
      <w:r>
        <w:t xml:space="preserve"> has the meaning given by the </w:t>
      </w:r>
      <w:r>
        <w:rPr>
          <w:i/>
          <w:iCs/>
        </w:rPr>
        <w:t>Planning and Development Act 2005</w:t>
      </w:r>
      <w:r>
        <w:t>.</w:t>
      </w:r>
    </w:p>
    <w:p>
      <w:pPr>
        <w:pStyle w:val="Footnotesection"/>
      </w:pPr>
      <w:r>
        <w:tab/>
        <w:t>[Regulation 16A inserted in Gazette 19 Dec 2000 p. 7283; amended in Gazette 29 Sep 2006 p. 4261.]</w:t>
      </w:r>
    </w:p>
    <w:p>
      <w:pPr>
        <w:pStyle w:val="Heading5"/>
      </w:pPr>
      <w:bookmarkStart w:id="52" w:name="_Toc404948562"/>
      <w:r>
        <w:rPr>
          <w:rStyle w:val="CharSectno"/>
        </w:rPr>
        <w:t>16B</w:t>
      </w:r>
      <w:r>
        <w:t>.</w:t>
      </w:r>
      <w:r>
        <w:tab/>
        <w:t>Burning vegetation etc. on development sites in Sch. 5A areas restricted</w:t>
      </w:r>
      <w:bookmarkEnd w:id="52"/>
    </w:p>
    <w:p>
      <w:pPr>
        <w:pStyle w:val="Subsection"/>
      </w:pPr>
      <w:r>
        <w:tab/>
      </w:r>
      <w:r>
        <w:tab/>
        <w:t>A person who, in an area prescribed in Schedule 5A, burns, or causes or allows to be burned, vegetation or other matter on or from a development site commits an offence unless —</w:t>
      </w:r>
    </w:p>
    <w:p>
      <w:pPr>
        <w:pStyle w:val="Indenta"/>
      </w:pPr>
      <w:r>
        <w:tab/>
        <w:t>(a)</w:t>
      </w:r>
      <w:r>
        <w:tab/>
        <w:t>the person is a public authority and the burning is done in the exercise of a function conferred by a written law; or</w:t>
      </w:r>
    </w:p>
    <w:p>
      <w:pPr>
        <w:pStyle w:val="Indenta"/>
      </w:pPr>
      <w:r>
        <w:tab/>
        <w:t>(b)</w:t>
      </w:r>
      <w:r>
        <w:tab/>
        <w:t>the burning is carried out for agricultural purposes.</w:t>
      </w:r>
    </w:p>
    <w:p>
      <w:pPr>
        <w:pStyle w:val="Penstart"/>
      </w:pPr>
      <w:r>
        <w:tab/>
        <w:t>Penalty: $5 000.</w:t>
      </w:r>
    </w:p>
    <w:p>
      <w:pPr>
        <w:pStyle w:val="Footnotesection"/>
      </w:pPr>
      <w:r>
        <w:tab/>
        <w:t>[Regulation 16B inserted in Gazette 19 Dec 2000 p. 7284.]</w:t>
      </w:r>
    </w:p>
    <w:p>
      <w:pPr>
        <w:pStyle w:val="Heading2"/>
      </w:pPr>
      <w:bookmarkStart w:id="53" w:name="_Toc404948563"/>
      <w:r>
        <w:rPr>
          <w:rStyle w:val="CharPartNo"/>
        </w:rPr>
        <w:t>Part 8</w:t>
      </w:r>
      <w:r>
        <w:t xml:space="preserve"> — </w:t>
      </w:r>
      <w:r>
        <w:rPr>
          <w:rStyle w:val="CharPartText"/>
        </w:rPr>
        <w:t>Monitoring</w:t>
      </w:r>
      <w:bookmarkEnd w:id="53"/>
    </w:p>
    <w:p>
      <w:pPr>
        <w:pStyle w:val="Footnoteheading"/>
        <w:spacing w:before="80"/>
        <w:rPr>
          <w:snapToGrid w:val="0"/>
        </w:rPr>
      </w:pPr>
      <w:r>
        <w:rPr>
          <w:snapToGrid w:val="0"/>
        </w:rPr>
        <w:tab/>
        <w:t>[Heading inserted in Gazette 5 Jan 2001 p. 115.]</w:t>
      </w:r>
    </w:p>
    <w:p>
      <w:pPr>
        <w:pStyle w:val="Heading5"/>
        <w:spacing w:before="180"/>
      </w:pPr>
      <w:bookmarkStart w:id="54" w:name="_Toc404948564"/>
      <w:r>
        <w:rPr>
          <w:rStyle w:val="CharSectno"/>
        </w:rPr>
        <w:t>17</w:t>
      </w:r>
      <w:r>
        <w:t>.</w:t>
      </w:r>
      <w:r>
        <w:tab/>
        <w:t>Terms used</w:t>
      </w:r>
      <w:bookmarkEnd w:id="54"/>
    </w:p>
    <w:p>
      <w:pPr>
        <w:pStyle w:val="Subsection"/>
        <w:spacing w:before="120"/>
      </w:pPr>
      <w:r>
        <w:tab/>
      </w:r>
      <w:r>
        <w:tab/>
        <w:t>In this Part, unless the contrary intention appears —</w:t>
      </w:r>
    </w:p>
    <w:p>
      <w:pPr>
        <w:pStyle w:val="Defstart"/>
      </w:pPr>
      <w:r>
        <w:tab/>
      </w:r>
      <w:r>
        <w:rPr>
          <w:rStyle w:val="CharDefText"/>
        </w:rPr>
        <w:t>approved monitoring equipment</w:t>
      </w:r>
      <w:r>
        <w:t xml:space="preserve"> means monitoring equipment that has been approved by the Chief Executive Officer under regulation 20F;</w:t>
      </w:r>
    </w:p>
    <w:p>
      <w:pPr>
        <w:pStyle w:val="Defstart"/>
      </w:pPr>
      <w:r>
        <w:tab/>
      </w:r>
      <w:r>
        <w:rPr>
          <w:rStyle w:val="CharDefText"/>
        </w:rPr>
        <w:t>specified monitoring programme</w:t>
      </w:r>
      <w:r>
        <w:t xml:space="preserve"> means a monitoring programme specified by the Chief Executive Officer in a works approval or a licence.</w:t>
      </w:r>
    </w:p>
    <w:p>
      <w:pPr>
        <w:pStyle w:val="Footnotesection"/>
        <w:ind w:left="890" w:hanging="890"/>
      </w:pPr>
      <w:r>
        <w:tab/>
        <w:t>[Regulation 17 inserted in Gazette 5 Jan 2001 p. 115.]</w:t>
      </w:r>
    </w:p>
    <w:p>
      <w:pPr>
        <w:pStyle w:val="Heading5"/>
        <w:spacing w:before="180"/>
      </w:pPr>
      <w:bookmarkStart w:id="55" w:name="_Toc404948565"/>
      <w:r>
        <w:rPr>
          <w:rStyle w:val="CharSectno"/>
        </w:rPr>
        <w:t>18</w:t>
      </w:r>
      <w:r>
        <w:t>.</w:t>
      </w:r>
      <w:r>
        <w:tab/>
        <w:t>Conditions prescribed</w:t>
      </w:r>
      <w:r>
        <w:rPr>
          <w:snapToGrid w:val="0"/>
        </w:rPr>
        <w:t xml:space="preserve"> (Act s. 62(1))</w:t>
      </w:r>
      <w:bookmarkEnd w:id="55"/>
    </w:p>
    <w:p>
      <w:pPr>
        <w:pStyle w:val="Subsection"/>
        <w:spacing w:before="100"/>
      </w:pPr>
      <w:r>
        <w:tab/>
      </w:r>
      <w:r>
        <w:tab/>
        <w:t>There is prescribed for the purposes of section 62(1)(h) of the Act as a condition of a works approval or licence the condition that if the Chief Executive Officer certifies that the results of a specified monitoring programme or measurements taken for the purposes of a specified monitoring programme may be relevant to determining whether or not there has been a breach of the Act or regulations made under the Act —</w:t>
      </w:r>
    </w:p>
    <w:p>
      <w:pPr>
        <w:pStyle w:val="Indenta"/>
        <w:spacing w:before="60"/>
      </w:pPr>
      <w:r>
        <w:tab/>
        <w:t>(a)</w:t>
      </w:r>
      <w:r>
        <w:tab/>
        <w:t>then monitoring equipment used for the purposes of a specified monitoring programme is to be approved monitoring equipment; and</w:t>
      </w:r>
    </w:p>
    <w:p>
      <w:pPr>
        <w:pStyle w:val="Indenta"/>
        <w:spacing w:before="60"/>
      </w:pPr>
      <w:r>
        <w:tab/>
        <w:t>(b)</w:t>
      </w:r>
      <w:r>
        <w:tab/>
        <w:t>then any measurement taken for the purpose of the specified monitoring programme is to be taken with approved monitoring equipment.</w:t>
      </w:r>
    </w:p>
    <w:p>
      <w:pPr>
        <w:pStyle w:val="Footnotesection"/>
        <w:spacing w:before="80"/>
        <w:ind w:left="890" w:hanging="890"/>
      </w:pPr>
      <w:r>
        <w:tab/>
        <w:t>[Regulation 18 inserted in Gazette 5 Jan 2001 p. 115</w:t>
      </w:r>
      <w:r>
        <w:noBreakHyphen/>
        <w:t>16.]</w:t>
      </w:r>
    </w:p>
    <w:p>
      <w:pPr>
        <w:pStyle w:val="Heading5"/>
        <w:keepNext w:val="0"/>
        <w:keepLines w:val="0"/>
        <w:spacing w:before="160"/>
      </w:pPr>
      <w:bookmarkStart w:id="56" w:name="_Toc404948566"/>
      <w:r>
        <w:rPr>
          <w:rStyle w:val="CharSectno"/>
        </w:rPr>
        <w:t>19</w:t>
      </w:r>
      <w:r>
        <w:t>.</w:t>
      </w:r>
      <w:r>
        <w:tab/>
        <w:t>Approved monitoring equipment, to be used in specified monitoring programmes</w:t>
      </w:r>
      <w:bookmarkEnd w:id="56"/>
    </w:p>
    <w:p>
      <w:pPr>
        <w:pStyle w:val="Subsection"/>
        <w:spacing w:before="100"/>
      </w:pPr>
      <w:r>
        <w:tab/>
      </w:r>
      <w:r>
        <w:tab/>
        <w:t>A person who —</w:t>
      </w:r>
    </w:p>
    <w:p>
      <w:pPr>
        <w:pStyle w:val="Indenta"/>
        <w:widowControl w:val="0"/>
        <w:spacing w:before="60"/>
      </w:pPr>
      <w:r>
        <w:tab/>
        <w:t>(a)</w:t>
      </w:r>
      <w:r>
        <w:tab/>
        <w:t>is required by a works approval or licence to carry out a specified monitoring programme with approved monitoring equipment; and</w:t>
      </w:r>
    </w:p>
    <w:p>
      <w:pPr>
        <w:pStyle w:val="Indenta"/>
        <w:spacing w:before="100"/>
      </w:pPr>
      <w:r>
        <w:tab/>
        <w:t>(b)</w:t>
      </w:r>
      <w:r>
        <w:tab/>
        <w:t>does not use approved monitoring equipment for the purpose of carrying out that monitoring programme,</w:t>
      </w:r>
    </w:p>
    <w:p>
      <w:pPr>
        <w:pStyle w:val="Subsection"/>
      </w:pPr>
      <w:r>
        <w:tab/>
      </w:r>
      <w:r>
        <w:tab/>
        <w:t>commits an offence.</w:t>
      </w:r>
    </w:p>
    <w:p>
      <w:pPr>
        <w:pStyle w:val="Penstart"/>
      </w:pPr>
      <w:r>
        <w:fldChar w:fldCharType="begin"/>
      </w:r>
      <w:r>
        <w:instrText xml:space="preserve"> LISTNUM PenaltyNumbers \l1 </w:instrText>
      </w:r>
      <w:r>
        <w:fldChar w:fldCharType="end"/>
      </w:r>
      <w:r>
        <w:tab/>
        <w:t>Penalty: $5 000.</w:t>
      </w:r>
    </w:p>
    <w:p>
      <w:pPr>
        <w:pStyle w:val="Footnotesection"/>
        <w:ind w:left="890" w:hanging="890"/>
      </w:pPr>
      <w:r>
        <w:tab/>
        <w:t>[Regulation 19 inserted in Gazette 7 Jul 2000 p. 3678.]</w:t>
      </w:r>
    </w:p>
    <w:p>
      <w:pPr>
        <w:pStyle w:val="Heading5"/>
        <w:keepNext w:val="0"/>
        <w:keepLines w:val="0"/>
        <w:spacing w:before="180"/>
      </w:pPr>
      <w:bookmarkStart w:id="57" w:name="_Toc404948567"/>
      <w:r>
        <w:rPr>
          <w:rStyle w:val="CharSectno"/>
        </w:rPr>
        <w:t>20</w:t>
      </w:r>
      <w:r>
        <w:t>.</w:t>
      </w:r>
      <w:r>
        <w:tab/>
        <w:t>Approved monitoring equipment, duty to ensure accuracy of</w:t>
      </w:r>
      <w:bookmarkEnd w:id="57"/>
    </w:p>
    <w:p>
      <w:pPr>
        <w:pStyle w:val="Subsection"/>
      </w:pPr>
      <w:r>
        <w:tab/>
        <w:t>(1)</w:t>
      </w:r>
      <w:r>
        <w:tab/>
        <w:t>A person who —</w:t>
      </w:r>
    </w:p>
    <w:p>
      <w:pPr>
        <w:pStyle w:val="Indenta"/>
      </w:pPr>
      <w:r>
        <w:tab/>
        <w:t>(a)</w:t>
      </w:r>
      <w:r>
        <w:tab/>
        <w:t>is required by a works approval or licence to carry out a specified monitoring programme with approved monitoring equipment; and</w:t>
      </w:r>
    </w:p>
    <w:p>
      <w:pPr>
        <w:pStyle w:val="Indenta"/>
      </w:pPr>
      <w:r>
        <w:tab/>
        <w:t>(b)</w:t>
      </w:r>
      <w:r>
        <w:tab/>
        <w:t>does not ensure that any approved monitoring equipment used in that monitoring programme is operating so as to give measurements that are accurate,</w:t>
      </w:r>
    </w:p>
    <w:p>
      <w:pPr>
        <w:pStyle w:val="Subsection"/>
      </w:pPr>
      <w:r>
        <w:tab/>
      </w:r>
      <w:r>
        <w:tab/>
        <w:t>commits an offence.</w:t>
      </w:r>
    </w:p>
    <w:p>
      <w:pPr>
        <w:pStyle w:val="Penstart"/>
      </w:pPr>
      <w:r>
        <w:fldChar w:fldCharType="begin"/>
      </w:r>
      <w:r>
        <w:instrText xml:space="preserve"> LISTNUM PenaltyNumbers \l1 </w:instrText>
      </w:r>
      <w:r>
        <w:fldChar w:fldCharType="end"/>
      </w:r>
      <w:r>
        <w:tab/>
        <w:t>Penalty: $5 000.</w:t>
      </w:r>
    </w:p>
    <w:p>
      <w:pPr>
        <w:pStyle w:val="Subsection"/>
      </w:pPr>
      <w:r>
        <w:tab/>
        <w:t>(2)</w:t>
      </w:r>
      <w:r>
        <w:tab/>
        <w:t>It is a defence to proceedings for an offence under subregulation (1) if the person charged with that offence proves that the person took reasonable precautions and exercised due diligence to prevent the commission of the offence.</w:t>
      </w:r>
    </w:p>
    <w:p>
      <w:pPr>
        <w:pStyle w:val="Footnotesection"/>
      </w:pPr>
      <w:r>
        <w:tab/>
        <w:t>[Regulation 20 inserted in Gazette 7 Jul 2000 p. 3678</w:t>
      </w:r>
      <w:r>
        <w:noBreakHyphen/>
        <w:t>9.]</w:t>
      </w:r>
    </w:p>
    <w:p>
      <w:pPr>
        <w:pStyle w:val="Heading5"/>
        <w:keepNext w:val="0"/>
        <w:keepLines w:val="0"/>
        <w:spacing w:before="180"/>
      </w:pPr>
      <w:bookmarkStart w:id="58" w:name="_Toc404948568"/>
      <w:r>
        <w:rPr>
          <w:rStyle w:val="CharSectno"/>
        </w:rPr>
        <w:t>20A</w:t>
      </w:r>
      <w:r>
        <w:t>.</w:t>
      </w:r>
      <w:r>
        <w:tab/>
        <w:t>Approved monitoring equipment, duty to comply with conditions of approval of</w:t>
      </w:r>
      <w:bookmarkEnd w:id="58"/>
    </w:p>
    <w:p>
      <w:pPr>
        <w:pStyle w:val="Subsection"/>
      </w:pPr>
      <w:r>
        <w:tab/>
        <w:t>(1)</w:t>
      </w:r>
      <w:r>
        <w:tab/>
        <w:t>A person who —</w:t>
      </w:r>
    </w:p>
    <w:p>
      <w:pPr>
        <w:pStyle w:val="Indenta"/>
      </w:pPr>
      <w:r>
        <w:tab/>
        <w:t>(a)</w:t>
      </w:r>
      <w:r>
        <w:tab/>
        <w:t>is required by a works approval or licence to carry out a specified monitoring programme with approved monitoring equipment; and</w:t>
      </w:r>
    </w:p>
    <w:p>
      <w:pPr>
        <w:pStyle w:val="Indenta"/>
      </w:pPr>
      <w:r>
        <w:tab/>
        <w:t>(b)</w:t>
      </w:r>
      <w:r>
        <w:tab/>
        <w:t>does not comply with a condition imposed under regulation 20G,</w:t>
      </w:r>
    </w:p>
    <w:p>
      <w:pPr>
        <w:pStyle w:val="Subsection"/>
        <w:keepLines/>
        <w:spacing w:before="120"/>
      </w:pPr>
      <w:r>
        <w:tab/>
      </w:r>
      <w:r>
        <w:tab/>
        <w:t>commits an offence.</w:t>
      </w:r>
    </w:p>
    <w:p>
      <w:pPr>
        <w:pStyle w:val="Penstart"/>
        <w:keepLines/>
      </w:pPr>
      <w:r>
        <w:tab/>
        <w:t>Penalty: $5 000.</w:t>
      </w:r>
    </w:p>
    <w:p>
      <w:pPr>
        <w:pStyle w:val="Subsection"/>
      </w:pPr>
      <w:r>
        <w:tab/>
        <w:t>(2)</w:t>
      </w:r>
      <w:r>
        <w:tab/>
        <w:t>It is a defence to proceedings for an offence under subregulation (1) if the person charged with that offence proves that the person took reasonable precautions and exercised due diligence to prevent the commission of the offence.</w:t>
      </w:r>
    </w:p>
    <w:p>
      <w:pPr>
        <w:pStyle w:val="Footnotesection"/>
      </w:pPr>
      <w:r>
        <w:tab/>
        <w:t>[Regulation 20A inserted in Gazette 7 Jul 2000 p. 3679.]</w:t>
      </w:r>
    </w:p>
    <w:p>
      <w:pPr>
        <w:pStyle w:val="Heading5"/>
      </w:pPr>
      <w:bookmarkStart w:id="59" w:name="_Toc404948569"/>
      <w:r>
        <w:rPr>
          <w:rStyle w:val="CharSectno"/>
        </w:rPr>
        <w:t>20B</w:t>
      </w:r>
      <w:r>
        <w:t>.</w:t>
      </w:r>
      <w:r>
        <w:tab/>
        <w:t>Approved monitoring equipment, duty to report results of to CEO</w:t>
      </w:r>
      <w:bookmarkEnd w:id="59"/>
    </w:p>
    <w:p>
      <w:pPr>
        <w:pStyle w:val="Subsection"/>
      </w:pPr>
      <w:r>
        <w:tab/>
        <w:t>(1)</w:t>
      </w:r>
      <w:r>
        <w:tab/>
        <w:t>A person who is required by a works approval or a licence to carry out a specified monitoring programme with approved monitoring equipment must report to the Chief Executive Officer on the matters referred to in subregulation (2) —</w:t>
      </w:r>
    </w:p>
    <w:p>
      <w:pPr>
        <w:pStyle w:val="Indenta"/>
        <w:spacing w:before="60"/>
      </w:pPr>
      <w:r>
        <w:tab/>
        <w:t>(a)</w:t>
      </w:r>
      <w:r>
        <w:tab/>
        <w:t>at periods or on dates specified in the works approval or licence; or</w:t>
      </w:r>
    </w:p>
    <w:p>
      <w:pPr>
        <w:pStyle w:val="Indenta"/>
        <w:spacing w:before="60"/>
      </w:pPr>
      <w:r>
        <w:tab/>
        <w:t>(b)</w:t>
      </w:r>
      <w:r>
        <w:tab/>
        <w:t>at such other times as the Chief Executive Officer may require by a written notice which states the reasons for the requirement.</w:t>
      </w:r>
    </w:p>
    <w:p>
      <w:pPr>
        <w:pStyle w:val="Subsection"/>
      </w:pPr>
      <w:r>
        <w:tab/>
        <w:t>(2)</w:t>
      </w:r>
      <w:r>
        <w:tab/>
        <w:t>The report under subregulation (1) is to —</w:t>
      </w:r>
    </w:p>
    <w:p>
      <w:pPr>
        <w:pStyle w:val="Indenta"/>
        <w:spacing w:before="60"/>
      </w:pPr>
      <w:r>
        <w:tab/>
        <w:t>(a)</w:t>
      </w:r>
      <w:r>
        <w:tab/>
        <w:t>contain details of the measurements taken using approved monitoring equipment or other equipment in the course of a specified monitoring programme;</w:t>
      </w:r>
    </w:p>
    <w:p>
      <w:pPr>
        <w:pStyle w:val="Indenta"/>
        <w:spacing w:before="60"/>
      </w:pPr>
      <w:r>
        <w:tab/>
        <w:t>(b)</w:t>
      </w:r>
      <w:r>
        <w:tab/>
        <w:t>state whether or not any inaccuracy in those measurements is known to the person making the report;</w:t>
      </w:r>
    </w:p>
    <w:p>
      <w:pPr>
        <w:pStyle w:val="Indenta"/>
      </w:pPr>
      <w:r>
        <w:tab/>
        <w:t>(c)</w:t>
      </w:r>
      <w:r>
        <w:tab/>
        <w:t>if an inaccuracy in those measurements is known —</w:t>
      </w:r>
    </w:p>
    <w:p>
      <w:pPr>
        <w:pStyle w:val="Indenti"/>
      </w:pPr>
      <w:r>
        <w:tab/>
        <w:t>(i)</w:t>
      </w:r>
      <w:r>
        <w:tab/>
        <w:t>state the extent of the inaccuracy known to the person making the report;</w:t>
      </w:r>
    </w:p>
    <w:p>
      <w:pPr>
        <w:pStyle w:val="Indenti"/>
      </w:pPr>
      <w:r>
        <w:tab/>
        <w:t>(ii)</w:t>
      </w:r>
      <w:r>
        <w:tab/>
        <w:t>state any cause of the inaccuracy known to the person making the report.</w:t>
      </w:r>
    </w:p>
    <w:p>
      <w:pPr>
        <w:pStyle w:val="Subsection"/>
      </w:pPr>
      <w:r>
        <w:tab/>
        <w:t>(3)</w:t>
      </w:r>
      <w:r>
        <w:tab/>
        <w:t>A person who does not comply with this regulation commits an offence.</w:t>
      </w:r>
    </w:p>
    <w:p>
      <w:pPr>
        <w:pStyle w:val="Penstart"/>
      </w:pPr>
      <w:r>
        <w:tab/>
        <w:t>Penalty: $5 000.</w:t>
      </w:r>
    </w:p>
    <w:p>
      <w:pPr>
        <w:pStyle w:val="Footnotesection"/>
      </w:pPr>
      <w:r>
        <w:tab/>
        <w:t>[Regulation 20B inserted in Gazette 7 Jul 2000 p. 3679</w:t>
      </w:r>
      <w:r>
        <w:noBreakHyphen/>
        <w:t>80; amended in Gazette 5 Jan 2001 p. 116.]</w:t>
      </w:r>
    </w:p>
    <w:p>
      <w:pPr>
        <w:pStyle w:val="Heading5"/>
      </w:pPr>
      <w:bookmarkStart w:id="60" w:name="_Toc404948570"/>
      <w:r>
        <w:rPr>
          <w:rStyle w:val="CharSectno"/>
        </w:rPr>
        <w:t>20C</w:t>
      </w:r>
      <w:r>
        <w:t>.</w:t>
      </w:r>
      <w:r>
        <w:tab/>
        <w:t>Approved monitoring equipment, presumption of accuracy of</w:t>
      </w:r>
      <w:bookmarkEnd w:id="60"/>
    </w:p>
    <w:p>
      <w:pPr>
        <w:pStyle w:val="Subsection"/>
      </w:pPr>
      <w:r>
        <w:tab/>
      </w:r>
      <w:r>
        <w:tab/>
        <w:t>A measurement taken by approved monitoring equipment is to be taken to be correct in the absence of proof, on the balance of probability, to the contrary.</w:t>
      </w:r>
    </w:p>
    <w:p>
      <w:pPr>
        <w:pStyle w:val="Footnotesection"/>
      </w:pPr>
      <w:r>
        <w:tab/>
        <w:t>[Regulation 20C inserted in Gazette 7 Jul 2000 p. 3680.]</w:t>
      </w:r>
    </w:p>
    <w:p>
      <w:pPr>
        <w:pStyle w:val="Heading5"/>
      </w:pPr>
      <w:bookmarkStart w:id="61" w:name="_Toc404948571"/>
      <w:r>
        <w:rPr>
          <w:rStyle w:val="CharSectno"/>
        </w:rPr>
        <w:t>20D</w:t>
      </w:r>
      <w:r>
        <w:t>.</w:t>
      </w:r>
      <w:r>
        <w:tab/>
        <w:t>Report of specified monitoring programme, presumption of accuracy of measurement in</w:t>
      </w:r>
      <w:bookmarkEnd w:id="61"/>
    </w:p>
    <w:p>
      <w:pPr>
        <w:pStyle w:val="Subsection"/>
      </w:pPr>
      <w:r>
        <w:tab/>
      </w:r>
      <w:r>
        <w:tab/>
        <w:t>A statement in a report as to the results of a specified monitoring programme made under section 62(3) of the Act or regulation 20B detailing the measurements that were taken using approved monitoring equipment is to be taken to be evidence that those measurements were taken by the monitoring equipment in the absence of proof, on the balance of probability, to the contrary.</w:t>
      </w:r>
    </w:p>
    <w:p>
      <w:pPr>
        <w:pStyle w:val="Footnotesection"/>
      </w:pPr>
      <w:r>
        <w:tab/>
        <w:t>[Regulation 20D inserted in Gazette 7 Jul 2000 p. 3680.]</w:t>
      </w:r>
    </w:p>
    <w:p>
      <w:pPr>
        <w:pStyle w:val="Heading5"/>
      </w:pPr>
      <w:bookmarkStart w:id="62" w:name="_Toc404948572"/>
      <w:r>
        <w:rPr>
          <w:rStyle w:val="CharSectno"/>
        </w:rPr>
        <w:t>20E</w:t>
      </w:r>
      <w:r>
        <w:t>.</w:t>
      </w:r>
      <w:r>
        <w:tab/>
        <w:t>Inaccurate measurement in r. 20B report, duty to notify CEO of</w:t>
      </w:r>
      <w:bookmarkEnd w:id="62"/>
    </w:p>
    <w:p>
      <w:pPr>
        <w:pStyle w:val="Subsection"/>
      </w:pPr>
      <w:r>
        <w:tab/>
      </w:r>
      <w:r>
        <w:tab/>
        <w:t>A person who has submitted a report under regulation 20B who becomes aware that a measurement referred to in the report is inaccurate must, as soon as practicable after discovering the inaccuracy, report to the Chief Executive Officer the extent, and cause, of the inaccuracy which is known to the person making the report.</w:t>
      </w:r>
    </w:p>
    <w:p>
      <w:pPr>
        <w:pStyle w:val="Penstart"/>
      </w:pPr>
      <w:r>
        <w:tab/>
        <w:t>Penalty: $5 000.</w:t>
      </w:r>
    </w:p>
    <w:p>
      <w:pPr>
        <w:pStyle w:val="Footnotesection"/>
        <w:spacing w:before="100"/>
        <w:ind w:left="890" w:hanging="890"/>
      </w:pPr>
      <w:r>
        <w:tab/>
        <w:t>[Regulation 20E inserted in Gazette 7 Jul 2000 p. 3680.]</w:t>
      </w:r>
    </w:p>
    <w:p>
      <w:pPr>
        <w:pStyle w:val="Heading5"/>
      </w:pPr>
      <w:bookmarkStart w:id="63" w:name="_Toc404948573"/>
      <w:r>
        <w:rPr>
          <w:rStyle w:val="CharSectno"/>
        </w:rPr>
        <w:t>20F</w:t>
      </w:r>
      <w:r>
        <w:t>.</w:t>
      </w:r>
      <w:r>
        <w:tab/>
        <w:t>Monitoring equipment, approval of</w:t>
      </w:r>
      <w:bookmarkEnd w:id="63"/>
    </w:p>
    <w:p>
      <w:pPr>
        <w:pStyle w:val="Subsection"/>
      </w:pPr>
      <w:r>
        <w:tab/>
        <w:t>(1)</w:t>
      </w:r>
      <w:r>
        <w:tab/>
        <w:t>A person may apply to the Chief Executive Officer for monitoring equipment to be approved.</w:t>
      </w:r>
    </w:p>
    <w:p>
      <w:pPr>
        <w:pStyle w:val="Subsection"/>
      </w:pPr>
      <w:r>
        <w:tab/>
        <w:t>(2)</w:t>
      </w:r>
      <w:r>
        <w:tab/>
        <w:t>Subject to subregulation (3), an application for approval of monitoring equipment is to be in a form approved by the Chief Executive Officer.</w:t>
      </w:r>
    </w:p>
    <w:p>
      <w:pPr>
        <w:pStyle w:val="Subsection"/>
      </w:pPr>
      <w:r>
        <w:tab/>
        <w:t>(3)</w:t>
      </w:r>
      <w:r>
        <w:tab/>
        <w:t>The Chief Executive Officer must allow an application to be made by telephone or other electronic means if the Chief Executive Officer is satisfied that, due to the malfunction of approved monitoring equipment or some other reasonable cause, it is necessary to deal with an application as a matter of urgency.</w:t>
      </w:r>
    </w:p>
    <w:p>
      <w:pPr>
        <w:pStyle w:val="Subsection"/>
      </w:pPr>
      <w:r>
        <w:tab/>
        <w:t>(4)</w:t>
      </w:r>
      <w:r>
        <w:tab/>
        <w:t>A person who makes an application under subregulation (3) must, as soon as practicable, also make the application for approval of the monitoring equipment in the form approved by the Chief Executive Officer under subregulation (2).</w:t>
      </w:r>
    </w:p>
    <w:p>
      <w:pPr>
        <w:pStyle w:val="Subsection"/>
      </w:pPr>
      <w:r>
        <w:tab/>
        <w:t>(5)</w:t>
      </w:r>
      <w:r>
        <w:tab/>
        <w:t>If an application made under subregulation (3) is approved, the approval lapses —</w:t>
      </w:r>
    </w:p>
    <w:p>
      <w:pPr>
        <w:pStyle w:val="Indenta"/>
        <w:spacing w:before="60"/>
      </w:pPr>
      <w:r>
        <w:tab/>
        <w:t>(a)</w:t>
      </w:r>
      <w:r>
        <w:tab/>
        <w:t>if an application is not made under subregulation (2) within 30 days of the day on which the approval was granted; or</w:t>
      </w:r>
    </w:p>
    <w:p>
      <w:pPr>
        <w:pStyle w:val="Indenta"/>
        <w:spacing w:before="60"/>
      </w:pPr>
      <w:r>
        <w:tab/>
        <w:t>(b)</w:t>
      </w:r>
      <w:r>
        <w:tab/>
        <w:t>in any other case, 60 days after the day on which the approval was granted.</w:t>
      </w:r>
    </w:p>
    <w:p>
      <w:pPr>
        <w:pStyle w:val="Subsection"/>
      </w:pPr>
      <w:r>
        <w:tab/>
        <w:t>(6)</w:t>
      </w:r>
      <w:r>
        <w:tab/>
        <w:t>If a person applies to the Chief Executive Officer for monitoring equipment to be approved, the Chief Executive Officer may —</w:t>
      </w:r>
    </w:p>
    <w:p>
      <w:pPr>
        <w:pStyle w:val="Indenta"/>
        <w:spacing w:before="60"/>
      </w:pPr>
      <w:r>
        <w:tab/>
        <w:t>(a)</w:t>
      </w:r>
      <w:r>
        <w:tab/>
        <w:t>require the applicant to provide more information before deciding whether or not to grant the approval; or</w:t>
      </w:r>
    </w:p>
    <w:p>
      <w:pPr>
        <w:pStyle w:val="Indenta"/>
      </w:pPr>
      <w:r>
        <w:tab/>
        <w:t>(b)</w:t>
      </w:r>
      <w:r>
        <w:tab/>
        <w:t>allow the applicant to provide more information or amend its application before deciding whether or not to grant the approval; or</w:t>
      </w:r>
    </w:p>
    <w:p>
      <w:pPr>
        <w:pStyle w:val="Indenta"/>
      </w:pPr>
      <w:r>
        <w:tab/>
        <w:t>(c)</w:t>
      </w:r>
      <w:r>
        <w:tab/>
        <w:t>refuse to grant the approval; or</w:t>
      </w:r>
    </w:p>
    <w:p>
      <w:pPr>
        <w:pStyle w:val="Indenta"/>
      </w:pPr>
      <w:r>
        <w:tab/>
        <w:t>(d)</w:t>
      </w:r>
      <w:r>
        <w:tab/>
        <w:t>grant the approval.</w:t>
      </w:r>
    </w:p>
    <w:p>
      <w:pPr>
        <w:pStyle w:val="Subsection"/>
      </w:pPr>
      <w:r>
        <w:tab/>
        <w:t>(7)</w:t>
      </w:r>
      <w:r>
        <w:tab/>
        <w:t>Within 60 days of —</w:t>
      </w:r>
    </w:p>
    <w:p>
      <w:pPr>
        <w:pStyle w:val="Indenta"/>
      </w:pPr>
      <w:r>
        <w:tab/>
        <w:t>(a)</w:t>
      </w:r>
      <w:r>
        <w:tab/>
        <w:t>the making of an application under subregulation (1); or</w:t>
      </w:r>
    </w:p>
    <w:p>
      <w:pPr>
        <w:pStyle w:val="Indenta"/>
      </w:pPr>
      <w:r>
        <w:tab/>
        <w:t>(b)</w:t>
      </w:r>
      <w:r>
        <w:tab/>
        <w:t>the amendment of the application under subregulation (6)(b) or the provision of information under subregulation (6)(a) or (b),</w:t>
      </w:r>
    </w:p>
    <w:p>
      <w:pPr>
        <w:pStyle w:val="Subsection"/>
      </w:pPr>
      <w:r>
        <w:tab/>
      </w:r>
      <w:r>
        <w:tab/>
        <w:t>whichever is the latter, the Chief Executive Officer is to —</w:t>
      </w:r>
    </w:p>
    <w:p>
      <w:pPr>
        <w:pStyle w:val="Indenta"/>
      </w:pPr>
      <w:r>
        <w:tab/>
        <w:t>(c)</w:t>
      </w:r>
      <w:r>
        <w:tab/>
        <w:t>determine the application.</w:t>
      </w:r>
    </w:p>
    <w:p>
      <w:pPr>
        <w:pStyle w:val="Subsection"/>
      </w:pPr>
      <w:r>
        <w:tab/>
        <w:t>(8)</w:t>
      </w:r>
      <w:r>
        <w:tab/>
        <w:t>If the application is refused, the Chief Executive Officer is to provide the person who applied for the approval with a statement of the reasons for refusing the application.</w:t>
      </w:r>
    </w:p>
    <w:p>
      <w:pPr>
        <w:pStyle w:val="Subsection"/>
      </w:pPr>
      <w:r>
        <w:tab/>
        <w:t>(9)</w:t>
      </w:r>
      <w:r>
        <w:tab/>
        <w:t>If the application is granted, the Chief Executive Officer is to issue a certificate of approval to the applicant.</w:t>
      </w:r>
    </w:p>
    <w:p>
      <w:pPr>
        <w:pStyle w:val="Subsection"/>
      </w:pPr>
      <w:r>
        <w:tab/>
        <w:t>(10)</w:t>
      </w:r>
      <w:r>
        <w:tab/>
        <w:t>A certificate of the Chief Executive Officer stating that monitoring equipment is or is not approved monitoring equipment is conclusive proof of that fact.</w:t>
      </w:r>
    </w:p>
    <w:p>
      <w:pPr>
        <w:pStyle w:val="Footnotesection"/>
      </w:pPr>
      <w:r>
        <w:tab/>
        <w:t>[Regulation 20F inserted in Gazette 5 Jan 2001 p. 116</w:t>
      </w:r>
      <w:r>
        <w:noBreakHyphen/>
        <w:t>17.]</w:t>
      </w:r>
    </w:p>
    <w:p>
      <w:pPr>
        <w:pStyle w:val="Heading5"/>
      </w:pPr>
      <w:bookmarkStart w:id="64" w:name="_Toc404948574"/>
      <w:r>
        <w:rPr>
          <w:rStyle w:val="CharSectno"/>
        </w:rPr>
        <w:t>20G</w:t>
      </w:r>
      <w:r>
        <w:t>.</w:t>
      </w:r>
      <w:r>
        <w:tab/>
        <w:t>Monitoring equipment, conditions of approval of</w:t>
      </w:r>
      <w:bookmarkEnd w:id="64"/>
    </w:p>
    <w:p>
      <w:pPr>
        <w:pStyle w:val="Subsection"/>
        <w:keepNext/>
        <w:keepLines/>
      </w:pPr>
      <w:r>
        <w:tab/>
      </w:r>
      <w:r>
        <w:tab/>
        <w:t>If monitoring equipment is approved under regulation 20F, that approval is subject to the following conditions —</w:t>
      </w:r>
    </w:p>
    <w:p>
      <w:pPr>
        <w:pStyle w:val="Indenta"/>
      </w:pPr>
      <w:r>
        <w:tab/>
        <w:t>(a)</w:t>
      </w:r>
      <w:r>
        <w:tab/>
        <w:t>the equipment is to be calibrated in accordance with any of the following standards as the Chief Executive Officer may specify in writing —</w:t>
      </w:r>
    </w:p>
    <w:p>
      <w:pPr>
        <w:pStyle w:val="Indenti"/>
      </w:pPr>
      <w:r>
        <w:tab/>
        <w:t>(i)</w:t>
      </w:r>
      <w:r>
        <w:tab/>
        <w:t>the standards specified by the manufacturer of the equipment;</w:t>
      </w:r>
    </w:p>
    <w:p>
      <w:pPr>
        <w:pStyle w:val="Indenti"/>
      </w:pPr>
      <w:r>
        <w:tab/>
        <w:t>(ii)</w:t>
      </w:r>
      <w:r>
        <w:tab/>
        <w:t>an Australian standard;</w:t>
      </w:r>
    </w:p>
    <w:p>
      <w:pPr>
        <w:pStyle w:val="Indenti"/>
      </w:pPr>
      <w:r>
        <w:tab/>
        <w:t>(iii)</w:t>
      </w:r>
      <w:r>
        <w:tab/>
        <w:t>an international standard;</w:t>
      </w:r>
    </w:p>
    <w:p>
      <w:pPr>
        <w:pStyle w:val="Indenta"/>
      </w:pPr>
      <w:r>
        <w:tab/>
      </w:r>
      <w:r>
        <w:tab/>
        <w:t>and</w:t>
      </w:r>
    </w:p>
    <w:p>
      <w:pPr>
        <w:pStyle w:val="Indenta"/>
      </w:pPr>
      <w:r>
        <w:tab/>
        <w:t>(b)</w:t>
      </w:r>
      <w:r>
        <w:tab/>
        <w:t>the equipment is to be operated in accordance with such quality assurance programme as the Chief Executive Officer may specify in writing.</w:t>
      </w:r>
    </w:p>
    <w:p>
      <w:pPr>
        <w:pStyle w:val="Footnotesection"/>
        <w:spacing w:before="100"/>
        <w:ind w:left="890" w:hanging="890"/>
      </w:pPr>
      <w:r>
        <w:tab/>
        <w:t>[Regulation 20G inserted in Gazette 7 Jul 2000 p. 3681.]</w:t>
      </w:r>
    </w:p>
    <w:p>
      <w:pPr>
        <w:pStyle w:val="Heading5"/>
        <w:keepNext w:val="0"/>
        <w:keepLines w:val="0"/>
        <w:pageBreakBefore/>
        <w:spacing w:before="0"/>
      </w:pPr>
      <w:bookmarkStart w:id="65" w:name="_Toc404948575"/>
      <w:r>
        <w:rPr>
          <w:rStyle w:val="CharSectno"/>
        </w:rPr>
        <w:t>20H</w:t>
      </w:r>
      <w:r>
        <w:t>.</w:t>
      </w:r>
      <w:r>
        <w:tab/>
        <w:t>Approval of monitoring equipment, revoking</w:t>
      </w:r>
      <w:bookmarkEnd w:id="65"/>
    </w:p>
    <w:p>
      <w:pPr>
        <w:pStyle w:val="Subsection"/>
      </w:pPr>
      <w:r>
        <w:tab/>
        <w:t>(1)</w:t>
      </w:r>
      <w:r>
        <w:tab/>
        <w:t>The Chief Executive Officer may revoke an approval under regulation 20F if, in the Chief Executive Officer’s opinion —</w:t>
      </w:r>
    </w:p>
    <w:p>
      <w:pPr>
        <w:pStyle w:val="Indenta"/>
      </w:pPr>
      <w:r>
        <w:tab/>
        <w:t>(a)</w:t>
      </w:r>
      <w:r>
        <w:tab/>
        <w:t>the equipment referred to in the certificate of approval is not considered to be suitable to be used in a specified monitoring programme; or</w:t>
      </w:r>
    </w:p>
    <w:p>
      <w:pPr>
        <w:pStyle w:val="Indenta"/>
      </w:pPr>
      <w:r>
        <w:tab/>
        <w:t>(b)</w:t>
      </w:r>
      <w:r>
        <w:tab/>
        <w:t>the equipment referred to in the certificate of approval has not provided accurate measurements; or</w:t>
      </w:r>
    </w:p>
    <w:p>
      <w:pPr>
        <w:pStyle w:val="Indenta"/>
      </w:pPr>
      <w:r>
        <w:tab/>
        <w:t>(c)</w:t>
      </w:r>
      <w:r>
        <w:tab/>
        <w:t>a person has, in relation to an application under regulation 20F(1), provided information in written or oral form that the person knew, or could reasonably be expected to have known, to be —</w:t>
      </w:r>
    </w:p>
    <w:p>
      <w:pPr>
        <w:pStyle w:val="Indenti"/>
      </w:pPr>
      <w:r>
        <w:tab/>
        <w:t>(i)</w:t>
      </w:r>
      <w:r>
        <w:tab/>
        <w:t>false or misleading in a material particular; or</w:t>
      </w:r>
    </w:p>
    <w:p>
      <w:pPr>
        <w:pStyle w:val="Indenti"/>
      </w:pPr>
      <w:r>
        <w:tab/>
        <w:t>(ii)</w:t>
      </w:r>
      <w:r>
        <w:tab/>
        <w:t>likely to deceive in a material way.</w:t>
      </w:r>
    </w:p>
    <w:p>
      <w:pPr>
        <w:pStyle w:val="Subsection"/>
        <w:keepNext/>
      </w:pPr>
      <w:r>
        <w:tab/>
        <w:t>(2)</w:t>
      </w:r>
      <w:r>
        <w:tab/>
        <w:t>An approval of approved monitoring equipment may be revoked if in the Chief Executive Officer’s opinion —</w:t>
      </w:r>
    </w:p>
    <w:p>
      <w:pPr>
        <w:pStyle w:val="Indenta"/>
      </w:pPr>
      <w:r>
        <w:tab/>
        <w:t>(a)</w:t>
      </w:r>
      <w:r>
        <w:tab/>
        <w:t>that equipment has not been calibrated or operated in accordance with a condition imposed under regulation 20G; and</w:t>
      </w:r>
    </w:p>
    <w:p>
      <w:pPr>
        <w:pStyle w:val="Indenta"/>
      </w:pPr>
      <w:r>
        <w:tab/>
        <w:t>(b)</w:t>
      </w:r>
      <w:r>
        <w:tab/>
        <w:t>that failure to comply with the condition could have materially affected the accuracy of the equipment or the reliability of the results obtained from that equipment.</w:t>
      </w:r>
    </w:p>
    <w:p>
      <w:pPr>
        <w:pStyle w:val="Subsection"/>
      </w:pPr>
      <w:r>
        <w:tab/>
        <w:t>(3)</w:t>
      </w:r>
      <w:r>
        <w:tab/>
        <w:t>A revocation of an approval under regulation 20F is not effective unless the Chief Executive Officer has caused written notice of the intention to revoke the approval to be served personally or by post on the person who obtained the approval stating the grounds on which, and reasons for which, the revocation is to be made and has allowed the person 21 days to provide reasons as to why the Chief Executive Officer should not revoke the approval.</w:t>
      </w:r>
    </w:p>
    <w:p>
      <w:pPr>
        <w:pStyle w:val="Subsection"/>
      </w:pPr>
      <w:r>
        <w:tab/>
        <w:t>(4)</w:t>
      </w:r>
      <w:r>
        <w:tab/>
        <w:t>If the Chief Executive Officer decides to revoke an approval, the Chief Executive Officer is to give the person who obtained the approval a notice in writing revoking the approval and stating the reasons for the revocation of the approval.</w:t>
      </w:r>
    </w:p>
    <w:p>
      <w:pPr>
        <w:pStyle w:val="Footnotesection"/>
        <w:ind w:left="890" w:hanging="890"/>
      </w:pPr>
      <w:r>
        <w:tab/>
        <w:t>[Regulation 20H inserted in Gazette 7 Jul 2000 p. 3681</w:t>
      </w:r>
      <w:r>
        <w:noBreakHyphen/>
        <w:t>2; amended in Gazette 5 Jan 2001 p. 117</w:t>
      </w:r>
      <w:r>
        <w:noBreakHyphen/>
        <w:t>18.]</w:t>
      </w:r>
    </w:p>
    <w:p>
      <w:pPr>
        <w:pStyle w:val="Heading5"/>
        <w:spacing w:before="180"/>
      </w:pPr>
      <w:bookmarkStart w:id="66" w:name="_Toc404948576"/>
      <w:r>
        <w:rPr>
          <w:rStyle w:val="CharSectno"/>
        </w:rPr>
        <w:t>20I</w:t>
      </w:r>
      <w:r>
        <w:t>.</w:t>
      </w:r>
      <w:r>
        <w:tab/>
        <w:t>Appeal against r. 20F, 20G or 20H decision</w:t>
      </w:r>
      <w:bookmarkEnd w:id="66"/>
    </w:p>
    <w:p>
      <w:pPr>
        <w:pStyle w:val="Subsection"/>
      </w:pPr>
      <w:r>
        <w:tab/>
        <w:t>(1)</w:t>
      </w:r>
      <w:r>
        <w:tab/>
        <w:t>A person who is aggrieved by a decision of the Chief Executive Officer under regulation 20F, 20G, or 20H may within 21 days after the day on which the person is notified of the decision lodge with the Minister an appeal in writing setting out the grounds of the appeal.</w:t>
      </w:r>
    </w:p>
    <w:p>
      <w:pPr>
        <w:pStyle w:val="Subsection"/>
      </w:pPr>
      <w:r>
        <w:tab/>
        <w:t>(2)</w:t>
      </w:r>
      <w:r>
        <w:tab/>
        <w:t>An appeal lodged under subregulation (1) is to be treated as if it were an appeal under section 102 of the Act, and for that purpose sections 106 to 110 of the Act apply as if the appeal were an appeal under section 102.</w:t>
      </w:r>
    </w:p>
    <w:p>
      <w:pPr>
        <w:pStyle w:val="Footnotesection"/>
        <w:keepLines w:val="0"/>
        <w:spacing w:before="80"/>
        <w:ind w:left="890" w:hanging="890"/>
      </w:pPr>
      <w:r>
        <w:tab/>
        <w:t>[Regulation 20I inserted in Gazette 7 Jul 2000 p. 3682.]</w:t>
      </w:r>
    </w:p>
    <w:p>
      <w:pPr>
        <w:pStyle w:val="Heading5"/>
        <w:spacing w:before="180"/>
      </w:pPr>
      <w:bookmarkStart w:id="67" w:name="_Toc404948577"/>
      <w:r>
        <w:rPr>
          <w:rStyle w:val="CharSectno"/>
        </w:rPr>
        <w:t>20J</w:t>
      </w:r>
      <w:r>
        <w:t>.</w:t>
      </w:r>
      <w:r>
        <w:tab/>
        <w:t>Revocation of approval, use of monitoring equipment pending determination of appeal against</w:t>
      </w:r>
      <w:bookmarkEnd w:id="67"/>
    </w:p>
    <w:p>
      <w:pPr>
        <w:pStyle w:val="Subsection"/>
      </w:pPr>
      <w:r>
        <w:tab/>
        <w:t>(1)</w:t>
      </w:r>
      <w:r>
        <w:tab/>
        <w:t>If —</w:t>
      </w:r>
    </w:p>
    <w:p>
      <w:pPr>
        <w:pStyle w:val="Indenta"/>
        <w:spacing w:before="60"/>
      </w:pPr>
      <w:r>
        <w:tab/>
        <w:t>(a)</w:t>
      </w:r>
      <w:r>
        <w:tab/>
        <w:t>an appeal has been lodged under regulation 20I(1) in relation to an approval revoked under regulation 20H; and</w:t>
      </w:r>
    </w:p>
    <w:p>
      <w:pPr>
        <w:pStyle w:val="Indenta"/>
        <w:spacing w:before="60"/>
      </w:pPr>
      <w:r>
        <w:tab/>
        <w:t>(b)</w:t>
      </w:r>
      <w:r>
        <w:tab/>
        <w:t>the Chief Executive Officer has entered into an agreement in writing with the licensee as to the interim monitoring measures to be adopted by the licensee pending the determination of the appeal,</w:t>
      </w:r>
    </w:p>
    <w:p>
      <w:pPr>
        <w:pStyle w:val="Subsection"/>
      </w:pPr>
      <w:r>
        <w:tab/>
      </w:r>
      <w:r>
        <w:tab/>
        <w:t>until 60 days after the determination of the appeal, or such other time as is agreed in writing by the Chief Executive Officer and the licensee, any monitoring equipment used in accordance with that agreement is to be taken to be approved monitoring equipment.</w:t>
      </w:r>
    </w:p>
    <w:p>
      <w:pPr>
        <w:pStyle w:val="Subsection"/>
      </w:pPr>
      <w:r>
        <w:tab/>
        <w:t>(2)</w:t>
      </w:r>
      <w:r>
        <w:tab/>
        <w:t>A certificate issued by the Chief Executive Officer stating that monitoring equipment specified in the certificate has or has not been used in accordance with an agreement referred to in subregulation (1)(b) is, in the absence of proof on the balance of probability to the contrary, evidence of that fact.</w:t>
      </w:r>
    </w:p>
    <w:p>
      <w:pPr>
        <w:pStyle w:val="Subsection"/>
        <w:spacing w:before="140"/>
      </w:pPr>
      <w:r>
        <w:tab/>
        <w:t>(3)</w:t>
      </w:r>
      <w:r>
        <w:tab/>
        <w:t>In this regulation, a reference to the licensee is a reference to a person who is required by a works approval or a licence to carry out a specified monitoring programme with approved monitoring equipment.</w:t>
      </w:r>
    </w:p>
    <w:p>
      <w:pPr>
        <w:pStyle w:val="Footnotesection"/>
        <w:spacing w:before="100"/>
        <w:ind w:left="890" w:hanging="890"/>
      </w:pPr>
      <w:r>
        <w:tab/>
        <w:t>[Regulation 20J inserted in Gazette 7 Jul 2000 p. 3682</w:t>
      </w:r>
      <w:r>
        <w:noBreakHyphen/>
        <w:t>3.]</w:t>
      </w:r>
    </w:p>
    <w:p>
      <w:pPr>
        <w:pStyle w:val="Heading5"/>
      </w:pPr>
      <w:bookmarkStart w:id="68" w:name="_Toc404948578"/>
      <w:r>
        <w:rPr>
          <w:rStyle w:val="CharSectno"/>
        </w:rPr>
        <w:t>20K</w:t>
      </w:r>
      <w:r>
        <w:t>.</w:t>
      </w:r>
      <w:r>
        <w:tab/>
        <w:t>CEO’s signature, judicial notice of</w:t>
      </w:r>
      <w:bookmarkEnd w:id="68"/>
    </w:p>
    <w:p>
      <w:pPr>
        <w:pStyle w:val="Subsection"/>
        <w:spacing w:before="140"/>
      </w:pPr>
      <w:r>
        <w:tab/>
      </w:r>
      <w:r>
        <w:tab/>
        <w:t>Judicial notice is to be taken of the signature of the Chief Executive Officer on a certificate purporting to be issued under regulation 20F(10) or 20J(2).</w:t>
      </w:r>
    </w:p>
    <w:p>
      <w:pPr>
        <w:pStyle w:val="Footnotesection"/>
        <w:spacing w:before="100"/>
        <w:ind w:left="890" w:hanging="890"/>
      </w:pPr>
      <w:r>
        <w:tab/>
        <w:t>[Regulation 20K inserted in Gazette 7 Jul 2000 p. 3683; amended in Gazette 5 Jan 2001 p. 118.]</w:t>
      </w:r>
    </w:p>
    <w:p>
      <w:pPr>
        <w:pStyle w:val="Heading5"/>
      </w:pPr>
      <w:bookmarkStart w:id="69" w:name="_Toc404948579"/>
      <w:r>
        <w:rPr>
          <w:rStyle w:val="CharSectno"/>
        </w:rPr>
        <w:t>20KA</w:t>
      </w:r>
      <w:r>
        <w:t>.</w:t>
      </w:r>
      <w:r>
        <w:tab/>
        <w:t>Guidelines for performance of CEO’s functions, Minister may make etc.</w:t>
      </w:r>
      <w:bookmarkEnd w:id="69"/>
    </w:p>
    <w:p>
      <w:pPr>
        <w:pStyle w:val="Subsection"/>
      </w:pPr>
      <w:r>
        <w:tab/>
        <w:t>(1)</w:t>
      </w:r>
      <w:r>
        <w:tab/>
        <w:t xml:space="preserve">The Minister may by notice published in the </w:t>
      </w:r>
      <w:r>
        <w:rPr>
          <w:i/>
        </w:rPr>
        <w:t>Gazette</w:t>
      </w:r>
      <w:r>
        <w:t xml:space="preserve"> make, amend, or revoke guidelines relating to the manner in which the Chief Executive Officer is to perform the Chief Executive Officer’s functions under this Part.</w:t>
      </w:r>
    </w:p>
    <w:p>
      <w:pPr>
        <w:pStyle w:val="Subsection"/>
      </w:pPr>
      <w:r>
        <w:tab/>
        <w:t>(2)</w:t>
      </w:r>
      <w:r>
        <w:tab/>
        <w:t>The Chief Executive Officer is to have regard to the guidelines in the exercise of his or her functions under this Part.</w:t>
      </w:r>
    </w:p>
    <w:p>
      <w:pPr>
        <w:pStyle w:val="Subsection"/>
      </w:pPr>
      <w:r>
        <w:tab/>
        <w:t>(3)</w:t>
      </w:r>
      <w:r>
        <w:tab/>
        <w:t>A failure to comply with subregulation (2) does not invalidate an approval of monitoring equipment or the issue of a certificate under this Part.</w:t>
      </w:r>
    </w:p>
    <w:p>
      <w:pPr>
        <w:pStyle w:val="Footnotesection"/>
        <w:keepLines w:val="0"/>
        <w:spacing w:before="100"/>
        <w:ind w:left="890" w:hanging="890"/>
      </w:pPr>
      <w:r>
        <w:tab/>
        <w:t>[Regulation 20KA inserted in Gazette 5 Jan 2001 p. 118.]</w:t>
      </w:r>
    </w:p>
    <w:p>
      <w:pPr>
        <w:pStyle w:val="Heading5"/>
      </w:pPr>
      <w:bookmarkStart w:id="70" w:name="_Toc404948580"/>
      <w:r>
        <w:rPr>
          <w:rStyle w:val="CharSectno"/>
        </w:rPr>
        <w:t>20L</w:t>
      </w:r>
      <w:r>
        <w:t>.</w:t>
      </w:r>
      <w:r>
        <w:tab/>
        <w:t>Review of this Part</w:t>
      </w:r>
      <w:bookmarkEnd w:id="70"/>
    </w:p>
    <w:p>
      <w:pPr>
        <w:pStyle w:val="Subsection"/>
      </w:pPr>
      <w:r>
        <w:tab/>
        <w:t>(1)</w:t>
      </w:r>
      <w:r>
        <w:tab/>
        <w:t>The Authority is to report to the Minister on the operation and effectiveness of this Part within 5 years after its commencement or such other shorter period as the Minister specifies.</w:t>
      </w:r>
    </w:p>
    <w:p>
      <w:pPr>
        <w:pStyle w:val="Subsection"/>
      </w:pPr>
      <w:r>
        <w:tab/>
        <w:t>(2)</w:t>
      </w:r>
      <w:r>
        <w:tab/>
        <w:t>The report is to be made after —</w:t>
      </w:r>
    </w:p>
    <w:p>
      <w:pPr>
        <w:pStyle w:val="Indenta"/>
      </w:pPr>
      <w:r>
        <w:tab/>
        <w:t>(a)</w:t>
      </w:r>
      <w:r>
        <w:tab/>
        <w:t>the public has been given an opportunity to make submissions on the operation and effectiveness of the Part; and</w:t>
      </w:r>
    </w:p>
    <w:p>
      <w:pPr>
        <w:pStyle w:val="Indenta"/>
      </w:pPr>
      <w:r>
        <w:tab/>
        <w:t>(b)</w:t>
      </w:r>
      <w:r>
        <w:tab/>
        <w:t>a reasonable endeavour has been made to obtain the views of public authorities and persons that appear to the Authority to be significantly affected by the Part.</w:t>
      </w:r>
    </w:p>
    <w:p>
      <w:pPr>
        <w:pStyle w:val="Subsection"/>
      </w:pPr>
      <w:r>
        <w:tab/>
        <w:t>(3)</w:t>
      </w:r>
      <w:r>
        <w:tab/>
        <w:t>As soon as is practicable after the preparation of the report the Minister is to cause it to be laid before each House of Parliament.</w:t>
      </w:r>
    </w:p>
    <w:p>
      <w:pPr>
        <w:pStyle w:val="Footnotesection"/>
      </w:pPr>
      <w:r>
        <w:tab/>
        <w:t>[Regulation 20L inserted in Gazette 7 Jul 2000 p. 3683; amended in Gazette 5 Jan 2001 p. 118.]</w:t>
      </w:r>
    </w:p>
    <w:p>
      <w:pPr>
        <w:pStyle w:val="Heading2"/>
      </w:pPr>
      <w:bookmarkStart w:id="71" w:name="_Toc404948581"/>
      <w:r>
        <w:rPr>
          <w:rStyle w:val="CharPartNo"/>
        </w:rPr>
        <w:t>Part 9</w:t>
      </w:r>
      <w:r>
        <w:rPr>
          <w:rStyle w:val="CharDivNo"/>
        </w:rPr>
        <w:t> </w:t>
      </w:r>
      <w:r>
        <w:t>—</w:t>
      </w:r>
      <w:r>
        <w:rPr>
          <w:rStyle w:val="CharDivText"/>
        </w:rPr>
        <w:t> </w:t>
      </w:r>
      <w:r>
        <w:rPr>
          <w:rStyle w:val="CharPartText"/>
        </w:rPr>
        <w:t>Landfill levy</w:t>
      </w:r>
      <w:bookmarkEnd w:id="71"/>
    </w:p>
    <w:p>
      <w:pPr>
        <w:pStyle w:val="Footnoteheading"/>
        <w:rPr>
          <w:snapToGrid w:val="0"/>
        </w:rPr>
      </w:pPr>
      <w:r>
        <w:rPr>
          <w:snapToGrid w:val="0"/>
        </w:rPr>
        <w:tab/>
        <w:t>[Heading inserted in Gazette 26 Jun 1998 p. 3370.]</w:t>
      </w:r>
    </w:p>
    <w:p>
      <w:pPr>
        <w:pStyle w:val="Heading5"/>
        <w:rPr>
          <w:snapToGrid w:val="0"/>
        </w:rPr>
      </w:pPr>
      <w:bookmarkStart w:id="72" w:name="_Toc404948582"/>
      <w:r>
        <w:rPr>
          <w:rStyle w:val="CharSectno"/>
        </w:rPr>
        <w:t>21</w:t>
      </w:r>
      <w:r>
        <w:rPr>
          <w:snapToGrid w:val="0"/>
        </w:rPr>
        <w:t>.</w:t>
      </w:r>
      <w:r>
        <w:rPr>
          <w:snapToGrid w:val="0"/>
        </w:rPr>
        <w:tab/>
        <w:t>Terms used</w:t>
      </w:r>
      <w:bookmarkEnd w:id="72"/>
    </w:p>
    <w:p>
      <w:pPr>
        <w:pStyle w:val="Subsection"/>
        <w:rPr>
          <w:snapToGrid w:val="0"/>
        </w:rPr>
      </w:pPr>
      <w:r>
        <w:rPr>
          <w:snapToGrid w:val="0"/>
        </w:rPr>
        <w:tab/>
        <w:t>(1)</w:t>
      </w:r>
      <w:r>
        <w:rPr>
          <w:snapToGrid w:val="0"/>
        </w:rPr>
        <w:tab/>
        <w:t>In this Part —</w:t>
      </w:r>
    </w:p>
    <w:p>
      <w:pPr>
        <w:pStyle w:val="Defstart"/>
      </w:pPr>
      <w:r>
        <w:rPr>
          <w:b/>
        </w:rPr>
        <w:tab/>
      </w:r>
      <w:r>
        <w:rPr>
          <w:rStyle w:val="CharDefText"/>
        </w:rPr>
        <w:t>approved</w:t>
      </w:r>
      <w:r>
        <w:t xml:space="preserve"> means approved in writing by the Chief Executive Officer;</w:t>
      </w:r>
    </w:p>
    <w:p>
      <w:pPr>
        <w:pStyle w:val="Defstart"/>
      </w:pPr>
      <w:r>
        <w:rPr>
          <w:b/>
        </w:rPr>
        <w:tab/>
      </w:r>
      <w:r>
        <w:rPr>
          <w:rStyle w:val="CharDefText"/>
        </w:rPr>
        <w:t>commencement day</w:t>
      </w:r>
      <w:r>
        <w:t xml:space="preserve"> means the day on which the </w:t>
      </w:r>
      <w:r>
        <w:rPr>
          <w:i/>
        </w:rPr>
        <w:t>Environmental Protection (Landfill) Levy Act 1998</w:t>
      </w:r>
      <w:r>
        <w:t xml:space="preserve"> comes into operation </w:t>
      </w:r>
      <w:r>
        <w:rPr>
          <w:vertAlign w:val="superscript"/>
        </w:rPr>
        <w:t>4</w:t>
      </w:r>
      <w:r>
        <w:t>;</w:t>
      </w:r>
    </w:p>
    <w:p>
      <w:pPr>
        <w:pStyle w:val="Defstart"/>
      </w:pPr>
      <w:r>
        <w:rPr>
          <w:b/>
        </w:rPr>
        <w:tab/>
      </w:r>
      <w:r>
        <w:rPr>
          <w:rStyle w:val="CharDefText"/>
        </w:rPr>
        <w:t>exemption period</w:t>
      </w:r>
      <w:r>
        <w:t xml:space="preserve"> means the period of exemption specified in a notice of exemption under regulation 23(4);</w:t>
      </w:r>
    </w:p>
    <w:p>
      <w:pPr>
        <w:pStyle w:val="Defstart"/>
      </w:pPr>
      <w:r>
        <w:rPr>
          <w:b/>
        </w:rPr>
        <w:tab/>
      </w:r>
      <w:r>
        <w:rPr>
          <w:rStyle w:val="CharDefText"/>
        </w:rPr>
        <w:t>existing licensee</w:t>
      </w:r>
      <w:r>
        <w:t xml:space="preserve"> means a person who is a licensee on commencement day;</w:t>
      </w:r>
    </w:p>
    <w:p>
      <w:pPr>
        <w:pStyle w:val="Defstart"/>
      </w:pPr>
      <w:r>
        <w:rPr>
          <w:b/>
        </w:rPr>
        <w:tab/>
      </w:r>
      <w:r>
        <w:rPr>
          <w:rStyle w:val="CharDefText"/>
        </w:rPr>
        <w:t>Fund</w:t>
      </w:r>
      <w:r>
        <w:t xml:space="preserve"> means the Waste Management and Recycling Fund </w:t>
      </w:r>
      <w:r>
        <w:rPr>
          <w:vertAlign w:val="superscript"/>
        </w:rPr>
        <w:t>5</w:t>
      </w:r>
      <w:r>
        <w:t xml:space="preserve"> established under section 110H of the Act;</w:t>
      </w:r>
    </w:p>
    <w:p>
      <w:pPr>
        <w:pStyle w:val="Defstart"/>
      </w:pPr>
      <w:r>
        <w:rPr>
          <w:b/>
        </w:rPr>
        <w:tab/>
      </w:r>
      <w:r>
        <w:rPr>
          <w:rStyle w:val="CharDefText"/>
        </w:rPr>
        <w:t>levy</w:t>
      </w:r>
      <w:r>
        <w:t xml:space="preserve"> means a levy imposed under the </w:t>
      </w:r>
      <w:r>
        <w:rPr>
          <w:i/>
        </w:rPr>
        <w:t>Environmental Protection (Landfill) Levy Act 1998</w:t>
      </w:r>
      <w:r>
        <w:t>;</w:t>
      </w:r>
    </w:p>
    <w:p>
      <w:pPr>
        <w:pStyle w:val="Defstart"/>
      </w:pPr>
      <w:r>
        <w:rPr>
          <w:b/>
        </w:rPr>
        <w:tab/>
      </w:r>
      <w:r>
        <w:rPr>
          <w:rStyle w:val="CharDefText"/>
        </w:rPr>
        <w:t>licensed landfill</w:t>
      </w:r>
      <w:r>
        <w:t xml:space="preserve"> means premises specified in category 63, 64 or 65 of Schedule 1;</w:t>
      </w:r>
    </w:p>
    <w:p>
      <w:pPr>
        <w:pStyle w:val="Defstart"/>
      </w:pPr>
      <w:r>
        <w:rPr>
          <w:b/>
        </w:rPr>
        <w:tab/>
      </w:r>
      <w:r>
        <w:rPr>
          <w:rStyle w:val="CharDefText"/>
        </w:rPr>
        <w:t>licensee</w:t>
      </w:r>
      <w:r>
        <w:t xml:space="preserve"> means the holder of a licence in respect of a licensed landfill;</w:t>
      </w:r>
    </w:p>
    <w:p>
      <w:pPr>
        <w:pStyle w:val="Defstart"/>
      </w:pPr>
      <w:r>
        <w:rPr>
          <w:b/>
        </w:rPr>
        <w:tab/>
      </w:r>
      <w:r>
        <w:rPr>
          <w:rStyle w:val="CharDefText"/>
        </w:rPr>
        <w:t>metropolitan region</w:t>
      </w:r>
      <w:r>
        <w:t xml:space="preserve"> has the same meaning as it has in the </w:t>
      </w:r>
      <w:r>
        <w:rPr>
          <w:i/>
          <w:iCs/>
        </w:rPr>
        <w:t>Planning and Development Act 2005</w:t>
      </w:r>
      <w:r>
        <w:t>;</w:t>
      </w:r>
    </w:p>
    <w:p>
      <w:pPr>
        <w:pStyle w:val="Defstart"/>
      </w:pPr>
      <w:r>
        <w:rPr>
          <w:b/>
        </w:rPr>
        <w:tab/>
      </w:r>
      <w:r>
        <w:rPr>
          <w:rStyle w:val="CharDefText"/>
        </w:rPr>
        <w:t>return period</w:t>
      </w:r>
      <w:r>
        <w:t xml:space="preserve"> means —</w:t>
      </w:r>
    </w:p>
    <w:p>
      <w:pPr>
        <w:pStyle w:val="Defpara"/>
      </w:pPr>
      <w:r>
        <w:tab/>
        <w:t>(a)</w:t>
      </w:r>
      <w:r>
        <w:tab/>
        <w:t>in the case of an existing licensee, the following periods —</w:t>
      </w:r>
    </w:p>
    <w:p>
      <w:pPr>
        <w:pStyle w:val="Defsubpara"/>
        <w:keepLines w:val="0"/>
      </w:pPr>
      <w:r>
        <w:tab/>
        <w:t>•</w:t>
      </w:r>
      <w:r>
        <w:tab/>
        <w:t xml:space="preserve">Period 1: July 1 </w:t>
      </w:r>
      <w:r>
        <w:noBreakHyphen/>
        <w:t xml:space="preserve"> September 30;</w:t>
      </w:r>
    </w:p>
    <w:p>
      <w:pPr>
        <w:pStyle w:val="Defsubpara"/>
        <w:keepLines w:val="0"/>
      </w:pPr>
      <w:r>
        <w:tab/>
        <w:t>•</w:t>
      </w:r>
      <w:r>
        <w:tab/>
        <w:t xml:space="preserve">Period 2: October 1 </w:t>
      </w:r>
      <w:r>
        <w:noBreakHyphen/>
        <w:t xml:space="preserve"> December 31;</w:t>
      </w:r>
    </w:p>
    <w:p>
      <w:pPr>
        <w:pStyle w:val="Defsubpara"/>
        <w:keepLines w:val="0"/>
      </w:pPr>
      <w:r>
        <w:tab/>
        <w:t>•</w:t>
      </w:r>
      <w:r>
        <w:tab/>
        <w:t xml:space="preserve">Period 3: January 1 </w:t>
      </w:r>
      <w:r>
        <w:noBreakHyphen/>
        <w:t xml:space="preserve"> March 31;</w:t>
      </w:r>
    </w:p>
    <w:p>
      <w:pPr>
        <w:pStyle w:val="Defsubpara"/>
        <w:keepLines w:val="0"/>
      </w:pPr>
      <w:r>
        <w:tab/>
        <w:t>•</w:t>
      </w:r>
      <w:r>
        <w:tab/>
        <w:t xml:space="preserve">Period 4: April 1 </w:t>
      </w:r>
      <w:r>
        <w:noBreakHyphen/>
        <w:t xml:space="preserve"> June 30;</w:t>
      </w:r>
    </w:p>
    <w:p>
      <w:pPr>
        <w:pStyle w:val="Defpara"/>
      </w:pPr>
      <w:r>
        <w:tab/>
        <w:t>(b)</w:t>
      </w:r>
      <w:r>
        <w:tab/>
        <w:t>in the case of a licensee who is granted a licence after commencement day, the following periods —</w:t>
      </w:r>
    </w:p>
    <w:p>
      <w:pPr>
        <w:pStyle w:val="Defsubpara"/>
        <w:spacing w:before="100"/>
      </w:pPr>
      <w:r>
        <w:tab/>
        <w:t>•</w:t>
      </w:r>
      <w:r>
        <w:tab/>
        <w:t>Period 1: the period beginning on the date of the grant of the licence and ending on the September 30, December 31, March 31 or June 30 immediately next following;</w:t>
      </w:r>
    </w:p>
    <w:p>
      <w:pPr>
        <w:pStyle w:val="Defsubpara"/>
        <w:spacing w:before="100"/>
      </w:pPr>
      <w:r>
        <w:tab/>
        <w:t>•</w:t>
      </w:r>
      <w:r>
        <w:tab/>
        <w:t>Each 3 month period next following Period 1.</w:t>
      </w:r>
    </w:p>
    <w:p>
      <w:pPr>
        <w:pStyle w:val="Subsection"/>
        <w:spacing w:before="200"/>
        <w:rPr>
          <w:snapToGrid w:val="0"/>
        </w:rPr>
      </w:pPr>
      <w:r>
        <w:rPr>
          <w:snapToGrid w:val="0"/>
        </w:rPr>
        <w:tab/>
        <w:t>(2)</w:t>
      </w:r>
      <w:r>
        <w:rPr>
          <w:snapToGrid w:val="0"/>
        </w:rPr>
        <w:tab/>
        <w:t>A reference in this Part to a category followed by a designation is a reference to the category so designated in the first column of Schedule 1.</w:t>
      </w:r>
    </w:p>
    <w:p>
      <w:pPr>
        <w:pStyle w:val="Footnotesection"/>
      </w:pPr>
      <w:r>
        <w:tab/>
        <w:t>[Regulation 21 inserted in Gazette 26 Jun 1998 p. 3370</w:t>
      </w:r>
      <w:r>
        <w:noBreakHyphen/>
        <w:t>1; amended in Gazette 29 Sep 2006 p. 4261.]</w:t>
      </w:r>
    </w:p>
    <w:p>
      <w:pPr>
        <w:pStyle w:val="Heading5"/>
        <w:spacing w:before="260"/>
        <w:rPr>
          <w:snapToGrid w:val="0"/>
        </w:rPr>
      </w:pPr>
      <w:bookmarkStart w:id="73" w:name="_Toc404948583"/>
      <w:r>
        <w:rPr>
          <w:rStyle w:val="CharSectno"/>
        </w:rPr>
        <w:t>22</w:t>
      </w:r>
      <w:r>
        <w:rPr>
          <w:snapToGrid w:val="0"/>
        </w:rPr>
        <w:t xml:space="preserve">. </w:t>
      </w:r>
      <w:r>
        <w:rPr>
          <w:snapToGrid w:val="0"/>
        </w:rPr>
        <w:tab/>
        <w:t>Application of this Part</w:t>
      </w:r>
      <w:bookmarkEnd w:id="73"/>
    </w:p>
    <w:p>
      <w:pPr>
        <w:pStyle w:val="Subsection"/>
        <w:spacing w:before="200"/>
        <w:rPr>
          <w:snapToGrid w:val="0"/>
        </w:rPr>
      </w:pPr>
      <w:r>
        <w:rPr>
          <w:snapToGrid w:val="0"/>
        </w:rPr>
        <w:tab/>
        <w:t>(1)</w:t>
      </w:r>
      <w:r>
        <w:rPr>
          <w:snapToGrid w:val="0"/>
        </w:rPr>
        <w:tab/>
        <w:t>Subject to any exemption granted on application under regulation 23(1), this Part applies to —</w:t>
      </w:r>
    </w:p>
    <w:p>
      <w:pPr>
        <w:pStyle w:val="Indenta"/>
        <w:spacing w:before="100"/>
        <w:rPr>
          <w:snapToGrid w:val="0"/>
        </w:rPr>
      </w:pPr>
      <w:r>
        <w:rPr>
          <w:snapToGrid w:val="0"/>
        </w:rPr>
        <w:tab/>
        <w:t>(a)</w:t>
      </w:r>
      <w:r>
        <w:rPr>
          <w:snapToGrid w:val="0"/>
        </w:rPr>
        <w:tab/>
        <w:t>all waste received at licensed landfills in the metropolitan region; and</w:t>
      </w:r>
    </w:p>
    <w:p>
      <w:pPr>
        <w:pStyle w:val="Indenta"/>
        <w:spacing w:before="100"/>
        <w:rPr>
          <w:snapToGrid w:val="0"/>
        </w:rPr>
      </w:pPr>
      <w:r>
        <w:rPr>
          <w:snapToGrid w:val="0"/>
        </w:rPr>
        <w:tab/>
        <w:t>(b)</w:t>
      </w:r>
      <w:r>
        <w:rPr>
          <w:snapToGrid w:val="0"/>
        </w:rPr>
        <w:tab/>
        <w:t>all waste collected within the metropolitan region and received at licensed landfills outside the metropolitan area.</w:t>
      </w:r>
    </w:p>
    <w:p>
      <w:pPr>
        <w:pStyle w:val="Subsection"/>
        <w:spacing w:before="200"/>
      </w:pPr>
      <w:r>
        <w:tab/>
        <w:t>(2)</w:t>
      </w:r>
      <w:r>
        <w:tab/>
        <w:t xml:space="preserve">This </w:t>
      </w:r>
      <w:r>
        <w:rPr>
          <w:snapToGrid w:val="0"/>
        </w:rPr>
        <w:t>Part</w:t>
      </w:r>
      <w:r>
        <w:t xml:space="preserve"> does not apply to —</w:t>
      </w:r>
    </w:p>
    <w:p>
      <w:pPr>
        <w:pStyle w:val="Indenta"/>
        <w:spacing w:before="100"/>
      </w:pPr>
      <w:r>
        <w:tab/>
        <w:t>(a)</w:t>
      </w:r>
      <w:r>
        <w:tab/>
      </w:r>
      <w:r>
        <w:rPr>
          <w:snapToGrid w:val="0"/>
        </w:rPr>
        <w:t>waste</w:t>
      </w:r>
      <w:r>
        <w:t xml:space="preserve"> received at licensed landfills on or after 1 July 2008; and</w:t>
      </w:r>
    </w:p>
    <w:p>
      <w:pPr>
        <w:pStyle w:val="Indenta"/>
        <w:spacing w:before="100"/>
      </w:pPr>
      <w:r>
        <w:tab/>
        <w:t>(b)</w:t>
      </w:r>
      <w:r>
        <w:tab/>
      </w:r>
      <w:r>
        <w:rPr>
          <w:snapToGrid w:val="0"/>
        </w:rPr>
        <w:t>return</w:t>
      </w:r>
      <w:r>
        <w:t xml:space="preserve"> periods commencing on or after 1 July 2008.</w:t>
      </w:r>
    </w:p>
    <w:p>
      <w:pPr>
        <w:pStyle w:val="Footnotesection"/>
      </w:pPr>
      <w:r>
        <w:tab/>
        <w:t>[Regulation 22 inserted in Gazette 26 Jun 1998 p. 3371; amended in Gazette 20 Jun 2008 p. 2683.]</w:t>
      </w:r>
    </w:p>
    <w:p>
      <w:pPr>
        <w:pStyle w:val="Heading5"/>
        <w:keepNext w:val="0"/>
        <w:keepLines w:val="0"/>
        <w:pageBreakBefore/>
        <w:spacing w:before="0"/>
        <w:rPr>
          <w:snapToGrid w:val="0"/>
        </w:rPr>
      </w:pPr>
      <w:bookmarkStart w:id="74" w:name="_Toc404948584"/>
      <w:r>
        <w:rPr>
          <w:rStyle w:val="CharSectno"/>
        </w:rPr>
        <w:t>23</w:t>
      </w:r>
      <w:r>
        <w:rPr>
          <w:snapToGrid w:val="0"/>
        </w:rPr>
        <w:t>.</w:t>
      </w:r>
      <w:r>
        <w:rPr>
          <w:snapToGrid w:val="0"/>
        </w:rPr>
        <w:tab/>
        <w:t>Exemptions from this Part; refunds etc. of levy</w:t>
      </w:r>
      <w:bookmarkEnd w:id="74"/>
    </w:p>
    <w:p>
      <w:pPr>
        <w:pStyle w:val="Subsection"/>
        <w:keepNext/>
        <w:rPr>
          <w:snapToGrid w:val="0"/>
        </w:rPr>
      </w:pPr>
      <w:r>
        <w:rPr>
          <w:snapToGrid w:val="0"/>
        </w:rPr>
        <w:tab/>
        <w:t>(1)</w:t>
      </w:r>
      <w:r>
        <w:rPr>
          <w:snapToGrid w:val="0"/>
        </w:rPr>
        <w:tab/>
        <w:t>A licensee may by application in the approved form claim an exemption from regulation 22 for the following waste received at a licensed landfill in any return period —</w:t>
      </w:r>
    </w:p>
    <w:p>
      <w:pPr>
        <w:pStyle w:val="Indenta"/>
      </w:pPr>
      <w:r>
        <w:tab/>
        <w:t>(a)</w:t>
      </w:r>
      <w:r>
        <w:tab/>
        <w:t>uncontaminated soil or other clean fill that —</w:t>
      </w:r>
    </w:p>
    <w:p>
      <w:pPr>
        <w:pStyle w:val="Indenti"/>
      </w:pPr>
      <w:r>
        <w:tab/>
        <w:t>(i)</w:t>
      </w:r>
      <w:r>
        <w:tab/>
        <w:t>is, or is to be, used after the completion of landfill operations to cover, to a depth of up to 500 mm, waste disposed of on the premises; and</w:t>
      </w:r>
    </w:p>
    <w:p>
      <w:pPr>
        <w:pStyle w:val="Indenti"/>
      </w:pPr>
      <w:r>
        <w:tab/>
        <w:t>(ii)</w:t>
      </w:r>
      <w:r>
        <w:tab/>
        <w:t>was accepted by the licensee at no charge;</w:t>
      </w:r>
    </w:p>
    <w:p>
      <w:pPr>
        <w:pStyle w:val="Indenta"/>
        <w:rPr>
          <w:snapToGrid w:val="0"/>
        </w:rPr>
      </w:pPr>
      <w:r>
        <w:rPr>
          <w:snapToGrid w:val="0"/>
        </w:rPr>
        <w:tab/>
        <w:t>(b)</w:t>
      </w:r>
      <w:r>
        <w:rPr>
          <w:snapToGrid w:val="0"/>
        </w:rPr>
        <w:tab/>
        <w:t>waste that is not disposed of to landfill but is collected and stored at a licensed landfill for recycling;</w:t>
      </w:r>
    </w:p>
    <w:p>
      <w:pPr>
        <w:pStyle w:val="Indenta"/>
        <w:rPr>
          <w:snapToGrid w:val="0"/>
        </w:rPr>
      </w:pPr>
      <w:r>
        <w:rPr>
          <w:snapToGrid w:val="0"/>
        </w:rPr>
        <w:tab/>
        <w:t>(c)</w:t>
      </w:r>
      <w:r>
        <w:rPr>
          <w:snapToGrid w:val="0"/>
        </w:rPr>
        <w:tab/>
        <w:t>approved waste that has been disposed of in an approved manner.</w:t>
      </w:r>
    </w:p>
    <w:p>
      <w:pPr>
        <w:pStyle w:val="Subsection"/>
        <w:rPr>
          <w:snapToGrid w:val="0"/>
        </w:rPr>
      </w:pPr>
      <w:r>
        <w:rPr>
          <w:snapToGrid w:val="0"/>
        </w:rPr>
        <w:tab/>
        <w:t>(2)</w:t>
      </w:r>
      <w:r>
        <w:rPr>
          <w:snapToGrid w:val="0"/>
        </w:rPr>
        <w:tab/>
        <w:t>A licensee may by application in the approved form claim an exemption from the requirement under regulation 25(1) to weigh waste on a weighbridge.</w:t>
      </w:r>
    </w:p>
    <w:p>
      <w:pPr>
        <w:pStyle w:val="Subsection"/>
      </w:pPr>
      <w:r>
        <w:tab/>
        <w:t>(2a)</w:t>
      </w:r>
      <w:r>
        <w:tab/>
        <w:t>A licensee of a category 63 licensed landfill may by application in the approved form claim an exemption from the requirements of regulation 26(4) and (5) in respect of a return period if no waste has been disposed of to landfill on the licensed landfill.</w:t>
      </w:r>
    </w:p>
    <w:p>
      <w:pPr>
        <w:pStyle w:val="Subsection"/>
        <w:rPr>
          <w:snapToGrid w:val="0"/>
        </w:rPr>
      </w:pPr>
      <w:r>
        <w:rPr>
          <w:snapToGrid w:val="0"/>
        </w:rPr>
        <w:tab/>
        <w:t>(3)</w:t>
      </w:r>
      <w:r>
        <w:rPr>
          <w:snapToGrid w:val="0"/>
        </w:rPr>
        <w:tab/>
        <w:t>The Chief Executive Officer may, by written notice —</w:t>
      </w:r>
    </w:p>
    <w:p>
      <w:pPr>
        <w:pStyle w:val="Indenta"/>
        <w:rPr>
          <w:snapToGrid w:val="0"/>
        </w:rPr>
      </w:pPr>
      <w:r>
        <w:rPr>
          <w:snapToGrid w:val="0"/>
        </w:rPr>
        <w:tab/>
        <w:t>(a)</w:t>
      </w:r>
      <w:r>
        <w:rPr>
          <w:snapToGrid w:val="0"/>
        </w:rPr>
        <w:tab/>
        <w:t>grant, or refuse to grant, an exemption; or</w:t>
      </w:r>
    </w:p>
    <w:p>
      <w:pPr>
        <w:pStyle w:val="Indenta"/>
        <w:rPr>
          <w:snapToGrid w:val="0"/>
        </w:rPr>
      </w:pPr>
      <w:r>
        <w:rPr>
          <w:snapToGrid w:val="0"/>
        </w:rPr>
        <w:tab/>
        <w:t>(b)</w:t>
      </w:r>
      <w:r>
        <w:rPr>
          <w:snapToGrid w:val="0"/>
        </w:rPr>
        <w:tab/>
        <w:t>grant an exemption subject to conditions, or limited to circumstances, specified in the notice; or</w:t>
      </w:r>
    </w:p>
    <w:p>
      <w:pPr>
        <w:pStyle w:val="Indenta"/>
        <w:rPr>
          <w:snapToGrid w:val="0"/>
        </w:rPr>
      </w:pPr>
      <w:r>
        <w:rPr>
          <w:snapToGrid w:val="0"/>
        </w:rPr>
        <w:tab/>
        <w:t>(c)</w:t>
      </w:r>
      <w:r>
        <w:rPr>
          <w:snapToGrid w:val="0"/>
        </w:rPr>
        <w:tab/>
        <w:t>revoke an exemption.</w:t>
      </w:r>
    </w:p>
    <w:p>
      <w:pPr>
        <w:pStyle w:val="Subsection"/>
        <w:rPr>
          <w:snapToGrid w:val="0"/>
        </w:rPr>
      </w:pPr>
      <w:r>
        <w:rPr>
          <w:snapToGrid w:val="0"/>
        </w:rPr>
        <w:tab/>
        <w:t>(4)</w:t>
      </w:r>
      <w:r>
        <w:rPr>
          <w:snapToGrid w:val="0"/>
        </w:rPr>
        <w:tab/>
        <w:t>In any exemption notice for waste referred to in subregulation (1)(b) or (c) the Chief Executive Officer is to specify the period for which the exemption applies.</w:t>
      </w:r>
    </w:p>
    <w:p>
      <w:pPr>
        <w:pStyle w:val="Subsection"/>
        <w:rPr>
          <w:snapToGrid w:val="0"/>
        </w:rPr>
      </w:pPr>
      <w:r>
        <w:rPr>
          <w:snapToGrid w:val="0"/>
        </w:rPr>
        <w:tab/>
        <w:t>(5)</w:t>
      </w:r>
      <w:r>
        <w:rPr>
          <w:snapToGrid w:val="0"/>
        </w:rPr>
        <w:tab/>
        <w:t>If a condition subject to which an exemption is given is breached, the exemption ceases to have effect.</w:t>
      </w:r>
    </w:p>
    <w:p>
      <w:pPr>
        <w:pStyle w:val="Subsection"/>
        <w:rPr>
          <w:snapToGrid w:val="0"/>
        </w:rPr>
      </w:pPr>
      <w:r>
        <w:rPr>
          <w:snapToGrid w:val="0"/>
        </w:rPr>
        <w:tab/>
        <w:t>(6)</w:t>
      </w:r>
      <w:r>
        <w:rPr>
          <w:snapToGrid w:val="0"/>
        </w:rPr>
        <w:tab/>
        <w:t>If waste referred to in subregulation (1)(b) for which an exemption is granted has not been recycled, or otherwise removed in an approved manner, from the licensed landfill within the exemption period, the licensee is to pay the levy that would have been payable in respect of that waste if the exemption had not been granted not later than 2 weeks after the end of the exemption period.</w:t>
      </w:r>
    </w:p>
    <w:p>
      <w:pPr>
        <w:pStyle w:val="Subsection"/>
        <w:keepNext/>
        <w:rPr>
          <w:snapToGrid w:val="0"/>
        </w:rPr>
      </w:pPr>
      <w:r>
        <w:rPr>
          <w:snapToGrid w:val="0"/>
        </w:rPr>
        <w:tab/>
        <w:t>(7)</w:t>
      </w:r>
      <w:r>
        <w:rPr>
          <w:snapToGrid w:val="0"/>
        </w:rPr>
        <w:tab/>
        <w:t>If the Chief Executive Officer is satisfied that —</w:t>
      </w:r>
    </w:p>
    <w:p>
      <w:pPr>
        <w:pStyle w:val="Indenta"/>
        <w:rPr>
          <w:snapToGrid w:val="0"/>
        </w:rPr>
      </w:pPr>
      <w:r>
        <w:rPr>
          <w:snapToGrid w:val="0"/>
        </w:rPr>
        <w:tab/>
        <w:t>(a)</w:t>
      </w:r>
      <w:r>
        <w:rPr>
          <w:snapToGrid w:val="0"/>
        </w:rPr>
        <w:tab/>
        <w:t>waste referred to in subregulation (1)(b) for which an exemption is granted has been recycled or otherwise removed from the licensed landfill within 12 months after the exemption period; and</w:t>
      </w:r>
    </w:p>
    <w:p>
      <w:pPr>
        <w:pStyle w:val="Indenta"/>
        <w:rPr>
          <w:snapToGrid w:val="0"/>
        </w:rPr>
      </w:pPr>
      <w:r>
        <w:rPr>
          <w:snapToGrid w:val="0"/>
        </w:rPr>
        <w:tab/>
        <w:t>(b)</w:t>
      </w:r>
      <w:r>
        <w:rPr>
          <w:snapToGrid w:val="0"/>
        </w:rPr>
        <w:tab/>
        <w:t>the levy has been paid in respect of the waste,</w:t>
      </w:r>
    </w:p>
    <w:p>
      <w:pPr>
        <w:pStyle w:val="Subsection"/>
        <w:rPr>
          <w:snapToGrid w:val="0"/>
        </w:rPr>
      </w:pPr>
      <w:r>
        <w:rPr>
          <w:snapToGrid w:val="0"/>
        </w:rPr>
        <w:tab/>
      </w:r>
      <w:r>
        <w:rPr>
          <w:snapToGrid w:val="0"/>
        </w:rPr>
        <w:tab/>
        <w:t>the Chief Executive Officer may refund or rebate to the licensee an amount equal to the amount of levy paid in respect of the waste.</w:t>
      </w:r>
    </w:p>
    <w:p>
      <w:pPr>
        <w:pStyle w:val="Footnotesection"/>
      </w:pPr>
      <w:r>
        <w:tab/>
        <w:t>[Regulation 23 inserted in Gazette 26 Jun 1998 p. 3371; amended in Gazette 29 Sep 2006 p. 4262.]</w:t>
      </w:r>
    </w:p>
    <w:p>
      <w:pPr>
        <w:pStyle w:val="Heading5"/>
        <w:rPr>
          <w:snapToGrid w:val="0"/>
        </w:rPr>
      </w:pPr>
      <w:bookmarkStart w:id="75" w:name="_Toc404948585"/>
      <w:r>
        <w:rPr>
          <w:rStyle w:val="CharSectno"/>
        </w:rPr>
        <w:t>24</w:t>
      </w:r>
      <w:r>
        <w:rPr>
          <w:snapToGrid w:val="0"/>
        </w:rPr>
        <w:t>.</w:t>
      </w:r>
      <w:r>
        <w:rPr>
          <w:snapToGrid w:val="0"/>
        </w:rPr>
        <w:tab/>
        <w:t>Financial assurance, CEO may require from licensee with r. 23(1)(b) exemption</w:t>
      </w:r>
      <w:bookmarkEnd w:id="75"/>
    </w:p>
    <w:p>
      <w:pPr>
        <w:pStyle w:val="Subsection"/>
        <w:rPr>
          <w:snapToGrid w:val="0"/>
        </w:rPr>
      </w:pPr>
      <w:r>
        <w:rPr>
          <w:snapToGrid w:val="0"/>
        </w:rPr>
        <w:tab/>
        <w:t>(1)</w:t>
      </w:r>
      <w:r>
        <w:rPr>
          <w:snapToGrid w:val="0"/>
        </w:rPr>
        <w:tab/>
        <w:t>In this regulation —</w:t>
      </w:r>
    </w:p>
    <w:p>
      <w:pPr>
        <w:pStyle w:val="Defstart"/>
      </w:pPr>
      <w:r>
        <w:rPr>
          <w:b/>
        </w:rPr>
        <w:tab/>
      </w:r>
      <w:r>
        <w:rPr>
          <w:rStyle w:val="CharDefText"/>
        </w:rPr>
        <w:t>licensee</w:t>
      </w:r>
      <w:r>
        <w:t xml:space="preserve"> does not include a licensee who is a local government.</w:t>
      </w:r>
    </w:p>
    <w:p>
      <w:pPr>
        <w:pStyle w:val="Subsection"/>
        <w:rPr>
          <w:snapToGrid w:val="0"/>
        </w:rPr>
      </w:pPr>
      <w:r>
        <w:rPr>
          <w:snapToGrid w:val="0"/>
        </w:rPr>
        <w:tab/>
        <w:t>(2)</w:t>
      </w:r>
      <w:r>
        <w:rPr>
          <w:snapToGrid w:val="0"/>
        </w:rPr>
        <w:tab/>
        <w:t>If a licensee is granted an exemption for waste referred to in regulation 23(1)(b), the Chief Executive Officer may require the licensee to provide a financial assurance to the Chief Executive Officer of an amount specified by the Chief Executive Officer that does not exceed the amount of levy that would otherwise be payable in respect of the waste.</w:t>
      </w:r>
    </w:p>
    <w:p>
      <w:pPr>
        <w:pStyle w:val="Subsection"/>
        <w:rPr>
          <w:snapToGrid w:val="0"/>
        </w:rPr>
      </w:pPr>
      <w:r>
        <w:rPr>
          <w:snapToGrid w:val="0"/>
        </w:rPr>
        <w:tab/>
        <w:t>(3)</w:t>
      </w:r>
      <w:r>
        <w:rPr>
          <w:snapToGrid w:val="0"/>
        </w:rPr>
        <w:tab/>
        <w:t>The licensee is to provide the financial assurance —</w:t>
      </w:r>
    </w:p>
    <w:p>
      <w:pPr>
        <w:pStyle w:val="Indenta"/>
        <w:rPr>
          <w:snapToGrid w:val="0"/>
        </w:rPr>
      </w:pPr>
      <w:r>
        <w:rPr>
          <w:snapToGrid w:val="0"/>
        </w:rPr>
        <w:tab/>
        <w:t>(a)</w:t>
      </w:r>
      <w:r>
        <w:rPr>
          <w:snapToGrid w:val="0"/>
        </w:rPr>
        <w:tab/>
        <w:t>not later than 2 weeks after the licensee is notified by the Chief Executive Officer that the financial assurance is required; and</w:t>
      </w:r>
    </w:p>
    <w:p>
      <w:pPr>
        <w:pStyle w:val="Indenta"/>
        <w:keepNext/>
        <w:rPr>
          <w:snapToGrid w:val="0"/>
        </w:rPr>
      </w:pPr>
      <w:r>
        <w:rPr>
          <w:snapToGrid w:val="0"/>
        </w:rPr>
        <w:tab/>
        <w:t>(b)</w:t>
      </w:r>
      <w:r>
        <w:rPr>
          <w:snapToGrid w:val="0"/>
        </w:rPr>
        <w:tab/>
        <w:t>in an approved form,</w:t>
      </w:r>
    </w:p>
    <w:p>
      <w:pPr>
        <w:pStyle w:val="Subsection"/>
        <w:rPr>
          <w:snapToGrid w:val="0"/>
        </w:rPr>
      </w:pPr>
      <w:r>
        <w:rPr>
          <w:snapToGrid w:val="0"/>
        </w:rPr>
        <w:tab/>
      </w:r>
      <w:r>
        <w:rPr>
          <w:snapToGrid w:val="0"/>
        </w:rPr>
        <w:tab/>
        <w:t xml:space="preserve">and is to maintain the financial assurance in accordance with any requirements of the Chief Executive </w:t>
      </w:r>
      <w:r>
        <w:t>Officer of which the licensee has been given written notice.</w:t>
      </w:r>
    </w:p>
    <w:p>
      <w:pPr>
        <w:pStyle w:val="Subsection"/>
        <w:rPr>
          <w:snapToGrid w:val="0"/>
        </w:rPr>
      </w:pPr>
      <w:r>
        <w:rPr>
          <w:snapToGrid w:val="0"/>
        </w:rPr>
        <w:tab/>
        <w:t>(4)</w:t>
      </w:r>
      <w:r>
        <w:rPr>
          <w:snapToGrid w:val="0"/>
        </w:rPr>
        <w:tab/>
        <w:t>If the financial assurance is not provided and maintained in accordance with subregulation (3) —</w:t>
      </w:r>
    </w:p>
    <w:p>
      <w:pPr>
        <w:pStyle w:val="Indenta"/>
        <w:rPr>
          <w:snapToGrid w:val="0"/>
        </w:rPr>
      </w:pPr>
      <w:r>
        <w:rPr>
          <w:snapToGrid w:val="0"/>
        </w:rPr>
        <w:tab/>
        <w:t>(a)</w:t>
      </w:r>
      <w:r>
        <w:rPr>
          <w:snapToGrid w:val="0"/>
        </w:rPr>
        <w:tab/>
        <w:t>the exemption ceases to have effect; and</w:t>
      </w:r>
    </w:p>
    <w:p>
      <w:pPr>
        <w:pStyle w:val="Indenta"/>
        <w:rPr>
          <w:snapToGrid w:val="0"/>
        </w:rPr>
      </w:pPr>
      <w:r>
        <w:rPr>
          <w:snapToGrid w:val="0"/>
        </w:rPr>
        <w:tab/>
        <w:t>(b)</w:t>
      </w:r>
      <w:r>
        <w:rPr>
          <w:snapToGrid w:val="0"/>
        </w:rPr>
        <w:tab/>
        <w:t>the amount of levy that would have been payable in respect of the waste if the exemption had not been granted becomes due and payable.</w:t>
      </w:r>
    </w:p>
    <w:p>
      <w:pPr>
        <w:pStyle w:val="Subsection"/>
        <w:rPr>
          <w:snapToGrid w:val="0"/>
        </w:rPr>
      </w:pPr>
      <w:r>
        <w:rPr>
          <w:snapToGrid w:val="0"/>
        </w:rPr>
        <w:tab/>
        <w:t>(5)</w:t>
      </w:r>
      <w:r>
        <w:rPr>
          <w:snapToGrid w:val="0"/>
        </w:rPr>
        <w:tab/>
        <w:t>The Chief Executive Officer may call on or use the financial assurance and pay the moneys into the Fund if —</w:t>
      </w:r>
    </w:p>
    <w:p>
      <w:pPr>
        <w:pStyle w:val="Indenta"/>
        <w:spacing w:before="60"/>
        <w:rPr>
          <w:snapToGrid w:val="0"/>
        </w:rPr>
      </w:pPr>
      <w:r>
        <w:rPr>
          <w:snapToGrid w:val="0"/>
        </w:rPr>
        <w:tab/>
        <w:t>(a)</w:t>
      </w:r>
      <w:r>
        <w:rPr>
          <w:snapToGrid w:val="0"/>
        </w:rPr>
        <w:tab/>
        <w:t>the waste in respect of which the financial assurance is paid has not been recycled, or otherwise removed from the licensed landfill in an approved manner, within the exemption period; and</w:t>
      </w:r>
    </w:p>
    <w:p>
      <w:pPr>
        <w:pStyle w:val="Indenta"/>
        <w:spacing w:before="60"/>
        <w:rPr>
          <w:snapToGrid w:val="0"/>
        </w:rPr>
      </w:pPr>
      <w:r>
        <w:rPr>
          <w:snapToGrid w:val="0"/>
        </w:rPr>
        <w:tab/>
        <w:t>(b)</w:t>
      </w:r>
      <w:r>
        <w:rPr>
          <w:snapToGrid w:val="0"/>
        </w:rPr>
        <w:tab/>
        <w:t>the levy in respect of the waste is not paid as required under regulation 23(6).</w:t>
      </w:r>
    </w:p>
    <w:p>
      <w:pPr>
        <w:pStyle w:val="Subsection"/>
        <w:spacing w:before="120"/>
        <w:rPr>
          <w:snapToGrid w:val="0"/>
        </w:rPr>
      </w:pPr>
      <w:r>
        <w:rPr>
          <w:snapToGrid w:val="0"/>
        </w:rPr>
        <w:tab/>
        <w:t>(6)</w:t>
      </w:r>
      <w:r>
        <w:rPr>
          <w:snapToGrid w:val="0"/>
        </w:rPr>
        <w:tab/>
        <w:t>If —</w:t>
      </w:r>
    </w:p>
    <w:p>
      <w:pPr>
        <w:pStyle w:val="Indenta"/>
        <w:spacing w:before="60"/>
        <w:rPr>
          <w:snapToGrid w:val="0"/>
        </w:rPr>
      </w:pPr>
      <w:r>
        <w:rPr>
          <w:snapToGrid w:val="0"/>
        </w:rPr>
        <w:tab/>
        <w:t>(a)</w:t>
      </w:r>
      <w:r>
        <w:rPr>
          <w:snapToGrid w:val="0"/>
        </w:rPr>
        <w:tab/>
        <w:t>waste referred to in regulation 23(1)(b) for which an exemption is granted is recycled or otherwise removed from the licensed landfill within the exemption period; or</w:t>
      </w:r>
    </w:p>
    <w:p>
      <w:pPr>
        <w:pStyle w:val="Indenta"/>
        <w:spacing w:before="60"/>
        <w:rPr>
          <w:snapToGrid w:val="0"/>
        </w:rPr>
      </w:pPr>
      <w:r>
        <w:rPr>
          <w:snapToGrid w:val="0"/>
        </w:rPr>
        <w:tab/>
        <w:t>(b)</w:t>
      </w:r>
      <w:r>
        <w:rPr>
          <w:snapToGrid w:val="0"/>
        </w:rPr>
        <w:tab/>
        <w:t>the levy is paid in respect of the waste,</w:t>
      </w:r>
    </w:p>
    <w:p>
      <w:pPr>
        <w:pStyle w:val="Subsection"/>
        <w:spacing w:before="120"/>
        <w:rPr>
          <w:snapToGrid w:val="0"/>
        </w:rPr>
      </w:pPr>
      <w:r>
        <w:rPr>
          <w:snapToGrid w:val="0"/>
        </w:rPr>
        <w:tab/>
      </w:r>
      <w:r>
        <w:rPr>
          <w:snapToGrid w:val="0"/>
        </w:rPr>
        <w:tab/>
        <w:t>the financial assurance in respect of the waste may be terminated by the licensee.</w:t>
      </w:r>
    </w:p>
    <w:p>
      <w:pPr>
        <w:pStyle w:val="Footnotesection"/>
      </w:pPr>
      <w:r>
        <w:tab/>
        <w:t>[Regulation 24 inserted in Gazette 26 Jun 1998 p. 3371</w:t>
      </w:r>
      <w:r>
        <w:noBreakHyphen/>
        <w:t>2; amended in Gazette 29 Sep 2006 p. 4262.]</w:t>
      </w:r>
    </w:p>
    <w:p>
      <w:pPr>
        <w:pStyle w:val="Heading5"/>
        <w:keepNext w:val="0"/>
        <w:keepLines w:val="0"/>
        <w:spacing w:before="180"/>
        <w:rPr>
          <w:snapToGrid w:val="0"/>
        </w:rPr>
      </w:pPr>
      <w:bookmarkStart w:id="76" w:name="_Toc404948586"/>
      <w:r>
        <w:rPr>
          <w:rStyle w:val="CharSectno"/>
        </w:rPr>
        <w:t>25</w:t>
      </w:r>
      <w:r>
        <w:rPr>
          <w:snapToGrid w:val="0"/>
        </w:rPr>
        <w:t>.</w:t>
      </w:r>
      <w:r>
        <w:rPr>
          <w:snapToGrid w:val="0"/>
        </w:rPr>
        <w:tab/>
        <w:t>Waste received at category 64 or 65 licensed landfill, calculating amount of</w:t>
      </w:r>
      <w:bookmarkEnd w:id="76"/>
    </w:p>
    <w:p>
      <w:pPr>
        <w:pStyle w:val="Subsection"/>
        <w:spacing w:before="120"/>
        <w:rPr>
          <w:snapToGrid w:val="0"/>
        </w:rPr>
      </w:pPr>
      <w:r>
        <w:rPr>
          <w:snapToGrid w:val="0"/>
        </w:rPr>
        <w:tab/>
        <w:t>(1)</w:t>
      </w:r>
      <w:r>
        <w:rPr>
          <w:snapToGrid w:val="0"/>
        </w:rPr>
        <w:tab/>
        <w:t>Subject to any exemption granted on application under regulation 23(2), waste to which this Part applies that is received at a</w:t>
      </w:r>
      <w:r>
        <w:t xml:space="preserve"> category 64 or 65</w:t>
      </w:r>
      <w:r>
        <w:rPr>
          <w:snapToGrid w:val="0"/>
        </w:rPr>
        <w:t xml:space="preserve"> licensed landfill with a weighbridge is to be weighed on the weighbridge at the time of delivery and the weight of the waste as shown at the weighbridge is to be the weight that is used for the purpose of determining the amount of the levy under regulation 27.</w:t>
      </w:r>
    </w:p>
    <w:p>
      <w:pPr>
        <w:pStyle w:val="Subsection"/>
        <w:keepNext/>
      </w:pPr>
      <w:r>
        <w:tab/>
        <w:t>(2)</w:t>
      </w:r>
      <w:r>
        <w:tab/>
        <w:t>If —</w:t>
      </w:r>
    </w:p>
    <w:p>
      <w:pPr>
        <w:pStyle w:val="Indenta"/>
      </w:pPr>
      <w:r>
        <w:tab/>
        <w:t>(a)</w:t>
      </w:r>
      <w:r>
        <w:tab/>
        <w:t>the licensee of a category 64 or 65 licensed landfill has been granted an exemption from the requirement to weigh waste received at the licensed landfill; or</w:t>
      </w:r>
    </w:p>
    <w:p>
      <w:pPr>
        <w:pStyle w:val="Indenta"/>
      </w:pPr>
      <w:r>
        <w:tab/>
        <w:t>(b)</w:t>
      </w:r>
      <w:r>
        <w:tab/>
        <w:t>a category 64 or 65 licensed landfill does not have a weighbridge,</w:t>
      </w:r>
    </w:p>
    <w:p>
      <w:pPr>
        <w:pStyle w:val="Subsection"/>
      </w:pPr>
      <w:r>
        <w:tab/>
      </w:r>
      <w:r>
        <w:tab/>
        <w:t>when waste is received at that licensed landfill the licensee is to estimate the weight of that waste in the approved manner, and the estimated weight is to be the weight that is used for the purpose of determining the amount of the levy under regulation 27.</w:t>
      </w:r>
    </w:p>
    <w:p>
      <w:pPr>
        <w:pStyle w:val="Footnotesection"/>
      </w:pPr>
      <w:r>
        <w:tab/>
        <w:t>[Regulation 25 inserted in Gazette 26 Jun 1998 p. 3372; amended in Gazette 29 Sep 2006 p. 4262-3.]</w:t>
      </w:r>
    </w:p>
    <w:p>
      <w:pPr>
        <w:pStyle w:val="Heading5"/>
      </w:pPr>
      <w:bookmarkStart w:id="77" w:name="_Toc404948587"/>
      <w:r>
        <w:rPr>
          <w:rStyle w:val="CharSectno"/>
        </w:rPr>
        <w:t>26</w:t>
      </w:r>
      <w:r>
        <w:t>.</w:t>
      </w:r>
      <w:r>
        <w:tab/>
        <w:t>Waste disposed of in category 63 licensed landfill, calculating amount of</w:t>
      </w:r>
      <w:bookmarkEnd w:id="77"/>
    </w:p>
    <w:p>
      <w:pPr>
        <w:pStyle w:val="Subsection"/>
      </w:pPr>
      <w:r>
        <w:tab/>
        <w:t>(1)</w:t>
      </w:r>
      <w:r>
        <w:tab/>
        <w:t>The licensee of a category 63 licensed landfill must —</w:t>
      </w:r>
    </w:p>
    <w:p>
      <w:pPr>
        <w:pStyle w:val="Indenta"/>
      </w:pPr>
      <w:r>
        <w:tab/>
        <w:t>(a)</w:t>
      </w:r>
      <w:r>
        <w:tab/>
        <w:t xml:space="preserve">cause a survey of the premises to be conducted by a surveyor for the purpose of establishing a base from which the volume of waste subsequently disposed of to landfill on the premises can be measured (the </w:t>
      </w:r>
      <w:r>
        <w:rPr>
          <w:rStyle w:val="CharDefText"/>
        </w:rPr>
        <w:t>baseline survey</w:t>
      </w:r>
      <w:r>
        <w:t>); and</w:t>
      </w:r>
    </w:p>
    <w:p>
      <w:pPr>
        <w:pStyle w:val="Indenta"/>
      </w:pPr>
      <w:r>
        <w:tab/>
        <w:t>(b)</w:t>
      </w:r>
      <w:r>
        <w:tab/>
        <w:t xml:space="preserve">lodge with the Chief Executive Officer a report of that survey prepared by the surveyor (the </w:t>
      </w:r>
      <w:r>
        <w:rPr>
          <w:rStyle w:val="CharDefText"/>
        </w:rPr>
        <w:t>baseline report</w:t>
      </w:r>
      <w:r>
        <w:t>).</w:t>
      </w:r>
    </w:p>
    <w:p>
      <w:pPr>
        <w:pStyle w:val="Penstart"/>
      </w:pPr>
      <w:r>
        <w:tab/>
        <w:t>Penalty: $5 000.</w:t>
      </w:r>
    </w:p>
    <w:p>
      <w:pPr>
        <w:pStyle w:val="Subsection"/>
      </w:pPr>
      <w:r>
        <w:tab/>
        <w:t>(2)</w:t>
      </w:r>
      <w:r>
        <w:tab/>
        <w:t>In the case of an existing landfill —</w:t>
      </w:r>
    </w:p>
    <w:p>
      <w:pPr>
        <w:pStyle w:val="Indenta"/>
      </w:pPr>
      <w:r>
        <w:tab/>
        <w:t>(a)</w:t>
      </w:r>
      <w:r>
        <w:tab/>
        <w:t>the baseline survey must be conducted as soon as practicable after 1 October 2006; and</w:t>
      </w:r>
    </w:p>
    <w:p>
      <w:pPr>
        <w:pStyle w:val="Indenta"/>
      </w:pPr>
      <w:r>
        <w:tab/>
        <w:t>(b)</w:t>
      </w:r>
      <w:r>
        <w:tab/>
        <w:t>the baseline report must be lodged on or before 14 October 2006.</w:t>
      </w:r>
    </w:p>
    <w:p>
      <w:pPr>
        <w:pStyle w:val="Subsection"/>
        <w:keepNext/>
        <w:keepLines/>
      </w:pPr>
      <w:r>
        <w:tab/>
        <w:t>(3)</w:t>
      </w:r>
      <w:r>
        <w:tab/>
        <w:t>In the case of a category 63 licensed landfill other than an existing landfill —</w:t>
      </w:r>
    </w:p>
    <w:p>
      <w:pPr>
        <w:pStyle w:val="Indenta"/>
        <w:spacing w:before="60"/>
      </w:pPr>
      <w:r>
        <w:tab/>
        <w:t>(a)</w:t>
      </w:r>
      <w:r>
        <w:tab/>
        <w:t>the baseline survey must be conducted —</w:t>
      </w:r>
    </w:p>
    <w:p>
      <w:pPr>
        <w:pStyle w:val="Indenti"/>
        <w:spacing w:before="60"/>
      </w:pPr>
      <w:r>
        <w:tab/>
        <w:t>(i)</w:t>
      </w:r>
      <w:r>
        <w:tab/>
        <w:t>after the licence is issued; and</w:t>
      </w:r>
    </w:p>
    <w:p>
      <w:pPr>
        <w:pStyle w:val="Indenti"/>
        <w:spacing w:before="60"/>
      </w:pPr>
      <w:r>
        <w:tab/>
        <w:t>(ii)</w:t>
      </w:r>
      <w:r>
        <w:tab/>
        <w:t>not more than 14 days before the licensee commences accepting waste for disposal to landfill on the premises;</w:t>
      </w:r>
    </w:p>
    <w:p>
      <w:pPr>
        <w:pStyle w:val="Indenta"/>
        <w:spacing w:before="60"/>
      </w:pPr>
      <w:r>
        <w:tab/>
      </w:r>
      <w:r>
        <w:tab/>
        <w:t>and</w:t>
      </w:r>
    </w:p>
    <w:p>
      <w:pPr>
        <w:pStyle w:val="Indenta"/>
        <w:spacing w:before="60"/>
      </w:pPr>
      <w:r>
        <w:tab/>
        <w:t>(b)</w:t>
      </w:r>
      <w:r>
        <w:tab/>
        <w:t>the baseline report must be lodged within 14 days after the licensee commences accepting waste for disposal to landfill on the premises.</w:t>
      </w:r>
    </w:p>
    <w:p>
      <w:pPr>
        <w:pStyle w:val="Subsection"/>
      </w:pPr>
      <w:r>
        <w:tab/>
        <w:t>(4)</w:t>
      </w:r>
      <w:r>
        <w:tab/>
        <w:t xml:space="preserve">Subject to any exemption granted on application under regulation 23(2a), after the end of a return period the licensee of a category 63 licensed landfill must cause a survey of the premises to be conducted by a surveyor for the purpose of calculating the volume of waste disposed of to landfill during that return period (a </w:t>
      </w:r>
      <w:r>
        <w:rPr>
          <w:rStyle w:val="CharDefText"/>
        </w:rPr>
        <w:t>quarterly survey</w:t>
      </w:r>
      <w:r>
        <w:rPr>
          <w:bCs/>
        </w:rPr>
        <w:t>)</w:t>
      </w:r>
      <w:r>
        <w:t>.</w:t>
      </w:r>
    </w:p>
    <w:p>
      <w:pPr>
        <w:pStyle w:val="Subsection"/>
      </w:pPr>
      <w:r>
        <w:tab/>
        <w:t>(5)</w:t>
      </w:r>
      <w:r>
        <w:tab/>
        <w:t>The licensee must lodge a report on a quarterly survey, prepared by the surveyor, with the return lodged under regulation 30 for that return period.</w:t>
      </w:r>
    </w:p>
    <w:p>
      <w:pPr>
        <w:pStyle w:val="Penstart"/>
      </w:pPr>
      <w:r>
        <w:tab/>
        <w:t>Penalty: $5 000.</w:t>
      </w:r>
    </w:p>
    <w:p>
      <w:pPr>
        <w:pStyle w:val="Subsection"/>
      </w:pPr>
      <w:r>
        <w:tab/>
        <w:t>(6)</w:t>
      </w:r>
      <w:r>
        <w:tab/>
        <w:t>The report referred to in subregulation (5) must include the surveyor’s calculation of the number of cubic metres of waste disposed of to landfill on the premises during the return period based on a comparison of the quarterly survey for that return period and the previous quarterly survey or, if there is no previous quarterly survey, the baseline survey for the premises or the estimated base established under regulation 26A(1).</w:t>
      </w:r>
    </w:p>
    <w:p>
      <w:pPr>
        <w:pStyle w:val="Subsection"/>
      </w:pPr>
      <w:r>
        <w:tab/>
        <w:t>(7)</w:t>
      </w:r>
      <w:r>
        <w:tab/>
        <w:t>The volume of waste so calculated by the surveyor is to be the volume used for the purposes of determining the amount of the levy under regulation 27.</w:t>
      </w:r>
    </w:p>
    <w:p>
      <w:pPr>
        <w:pStyle w:val="Subsection"/>
        <w:keepNext/>
      </w:pPr>
      <w:r>
        <w:tab/>
        <w:t>(8)</w:t>
      </w:r>
      <w:r>
        <w:tab/>
        <w:t>In this regulation —</w:t>
      </w:r>
    </w:p>
    <w:p>
      <w:pPr>
        <w:pStyle w:val="Defstart"/>
      </w:pPr>
      <w:r>
        <w:rPr>
          <w:b/>
        </w:rPr>
        <w:tab/>
      </w:r>
      <w:r>
        <w:rPr>
          <w:rStyle w:val="CharDefText"/>
        </w:rPr>
        <w:t>existing landfill</w:t>
      </w:r>
      <w:r>
        <w:t xml:space="preserve"> means a category 63 licensed landfill —</w:t>
      </w:r>
    </w:p>
    <w:p>
      <w:pPr>
        <w:pStyle w:val="Defpara"/>
      </w:pPr>
      <w:r>
        <w:tab/>
        <w:t>(a)</w:t>
      </w:r>
      <w:r>
        <w:tab/>
        <w:t>for which the licence was in force on 1 October 2006; and</w:t>
      </w:r>
    </w:p>
    <w:p>
      <w:pPr>
        <w:pStyle w:val="Defpara"/>
      </w:pPr>
      <w:r>
        <w:tab/>
        <w:t>(b)</w:t>
      </w:r>
      <w:r>
        <w:tab/>
        <w:t>at which waste was being accepted for disposal to landfill prior to 1 October 2006;</w:t>
      </w:r>
    </w:p>
    <w:p>
      <w:pPr>
        <w:pStyle w:val="Defstart"/>
      </w:pPr>
      <w:r>
        <w:rPr>
          <w:b/>
        </w:rPr>
        <w:tab/>
      </w:r>
      <w:r>
        <w:rPr>
          <w:rStyle w:val="CharDefText"/>
        </w:rPr>
        <w:t>surveyor</w:t>
      </w:r>
      <w:r>
        <w:t xml:space="preserve"> means —</w:t>
      </w:r>
    </w:p>
    <w:p>
      <w:pPr>
        <w:pStyle w:val="Defpara"/>
      </w:pPr>
      <w:r>
        <w:tab/>
        <w:t>(a)</w:t>
      </w:r>
      <w:r>
        <w:tab/>
        <w:t xml:space="preserve">a licensed surveyor as defined in the </w:t>
      </w:r>
      <w:r>
        <w:rPr>
          <w:i/>
        </w:rPr>
        <w:t>Licensed Surveyors Act 1909</w:t>
      </w:r>
      <w:r>
        <w:t>; or</w:t>
      </w:r>
    </w:p>
    <w:p>
      <w:pPr>
        <w:pStyle w:val="Defpara"/>
      </w:pPr>
      <w:r>
        <w:tab/>
        <w:t>(b)</w:t>
      </w:r>
      <w:r>
        <w:tab/>
        <w:t>a person who is, or is eligible to be, a member of —</w:t>
      </w:r>
    </w:p>
    <w:p>
      <w:pPr>
        <w:pStyle w:val="Defsubpara"/>
      </w:pPr>
      <w:r>
        <w:tab/>
        <w:t>(i)</w:t>
      </w:r>
      <w:r>
        <w:tab/>
        <w:t xml:space="preserve">the Institution of Surveyors, </w:t>
      </w:r>
      <w:smartTag w:uri="urn:schemas-microsoft-com:office:smarttags" w:element="place">
        <w:smartTag w:uri="urn:schemas-microsoft-com:office:smarttags" w:element="country-region">
          <w:r>
            <w:t>Australia</w:t>
          </w:r>
        </w:smartTag>
      </w:smartTag>
      <w:r>
        <w:t>; or</w:t>
      </w:r>
    </w:p>
    <w:p>
      <w:pPr>
        <w:pStyle w:val="Defsubpara"/>
      </w:pPr>
      <w:r>
        <w:tab/>
        <w:t>(ii)</w:t>
      </w:r>
      <w:r>
        <w:tab/>
        <w:t>the Spatial Sciences Institute.</w:t>
      </w:r>
    </w:p>
    <w:p>
      <w:pPr>
        <w:pStyle w:val="Footnotesection"/>
      </w:pPr>
      <w:r>
        <w:tab/>
        <w:t>[Regulation 26 inserted in Gazette 29 Sep 2006 p. 4263-4.]</w:t>
      </w:r>
    </w:p>
    <w:p>
      <w:pPr>
        <w:pStyle w:val="Heading5"/>
      </w:pPr>
      <w:bookmarkStart w:id="78" w:name="_Toc404948588"/>
      <w:r>
        <w:rPr>
          <w:rStyle w:val="CharSectno"/>
        </w:rPr>
        <w:t>26A</w:t>
      </w:r>
      <w:r>
        <w:t>.</w:t>
      </w:r>
      <w:r>
        <w:tab/>
      </w:r>
      <w:smartTag w:uri="urn:schemas-microsoft-com:office:smarttags" w:element="City">
        <w:smartTag w:uri="urn:schemas-microsoft-com:office:smarttags" w:element="place">
          <w:r>
            <w:t>Brea</w:t>
          </w:r>
        </w:smartTag>
      </w:smartTag>
      <w:r>
        <w:t>ch of r. 26, CEO may estimate amount in case of etc.</w:t>
      </w:r>
      <w:bookmarkEnd w:id="78"/>
    </w:p>
    <w:p>
      <w:pPr>
        <w:pStyle w:val="Subsection"/>
      </w:pPr>
      <w:r>
        <w:tab/>
        <w:t>(1)</w:t>
      </w:r>
      <w:r>
        <w:tab/>
        <w:t>If the licensee of a category 63 licensed landfill fails to comply with regulation 26(1) the Chief Executive Officer may establish an estimated base from which the volume of waste subsequently disposed of to landfill on the premises can be measured.</w:t>
      </w:r>
    </w:p>
    <w:p>
      <w:pPr>
        <w:pStyle w:val="Subsection"/>
      </w:pPr>
      <w:r>
        <w:tab/>
        <w:t>(2)</w:t>
      </w:r>
      <w:r>
        <w:tab/>
        <w:t>If the licensee of a category 63 licensed landfill fails to comply with regulation 26(5) in respect of a return period the Chief Executive Officer may estimate the number of cubic metres of waste disposed of to landfill on the premises during the return period.</w:t>
      </w:r>
    </w:p>
    <w:p>
      <w:pPr>
        <w:pStyle w:val="Subsection"/>
      </w:pPr>
      <w:r>
        <w:tab/>
        <w:t>(3)</w:t>
      </w:r>
      <w:r>
        <w:tab/>
        <w:t>For the purposes of this regulation the Chief Executive Officer may cause a survey of the kind referred to in regulation 26(1)(a) or (4) to be conducted in respect of the licensed landfill.</w:t>
      </w:r>
    </w:p>
    <w:p>
      <w:pPr>
        <w:pStyle w:val="Subsection"/>
      </w:pPr>
      <w:r>
        <w:tab/>
        <w:t>(4)</w:t>
      </w:r>
      <w:r>
        <w:tab/>
        <w:t>The Chief Executive Officer must give written notice to the licensee of any estimated base established under subregulation (1) or any estimation made under subregulation (2).</w:t>
      </w:r>
    </w:p>
    <w:p>
      <w:pPr>
        <w:pStyle w:val="Subsection"/>
      </w:pPr>
      <w:r>
        <w:tab/>
        <w:t>(5)</w:t>
      </w:r>
      <w:r>
        <w:tab/>
        <w:t>The Chief Executive Officer may call on or use the financial assurance provided by the licensee under regulation 28 to cover any costs incurred under this regulation.</w:t>
      </w:r>
    </w:p>
    <w:p>
      <w:pPr>
        <w:pStyle w:val="Footnotesection"/>
        <w:ind w:left="890" w:hanging="890"/>
      </w:pPr>
      <w:r>
        <w:tab/>
        <w:t>[Regulation 26A inserted in Gazette 29 Sep 2006 p. 4264-5.]</w:t>
      </w:r>
    </w:p>
    <w:p>
      <w:pPr>
        <w:pStyle w:val="Heading5"/>
        <w:spacing w:before="240"/>
      </w:pPr>
      <w:bookmarkStart w:id="79" w:name="_Toc404948589"/>
      <w:r>
        <w:rPr>
          <w:rStyle w:val="CharSectno"/>
        </w:rPr>
        <w:t>27</w:t>
      </w:r>
      <w:r>
        <w:t>.</w:t>
      </w:r>
      <w:r>
        <w:tab/>
        <w:t>Levy, determining amount of</w:t>
      </w:r>
      <w:bookmarkEnd w:id="79"/>
    </w:p>
    <w:p>
      <w:pPr>
        <w:pStyle w:val="Subsection"/>
        <w:spacing w:before="180"/>
      </w:pPr>
      <w:r>
        <w:tab/>
        <w:t>(1)</w:t>
      </w:r>
      <w:r>
        <w:tab/>
        <w:t>The amount by way of levy that is payable in respect of waste to which this Part applies that is received at a category 63 licensed landfill during a return period is the amount (in dollars) equal to L in the formula —</w:t>
      </w:r>
    </w:p>
    <w:p>
      <w:pPr>
        <w:pStyle w:val="Subsection"/>
      </w:pPr>
      <w:r>
        <w:tab/>
      </w:r>
      <w:r>
        <w:tab/>
      </w:r>
      <w:r>
        <w:rPr>
          <w:noProof/>
          <w:position w:val="-10"/>
        </w:rPr>
        <w:drawing>
          <wp:inline distT="0" distB="0" distL="0" distR="0">
            <wp:extent cx="962025" cy="2146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62025" cy="214630"/>
                    </a:xfrm>
                    <a:prstGeom prst="rect">
                      <a:avLst/>
                    </a:prstGeom>
                    <a:noFill/>
                    <a:ln>
                      <a:noFill/>
                    </a:ln>
                  </pic:spPr>
                </pic:pic>
              </a:graphicData>
            </a:graphic>
          </wp:inline>
        </w:drawing>
      </w:r>
    </w:p>
    <w:p>
      <w:pPr>
        <w:pStyle w:val="Subsection"/>
      </w:pPr>
      <w:r>
        <w:tab/>
      </w:r>
      <w:r>
        <w:tab/>
        <w:t>where —</w:t>
      </w:r>
    </w:p>
    <w:p>
      <w:pPr>
        <w:pStyle w:val="Indenta"/>
        <w:spacing w:before="100"/>
      </w:pPr>
      <w:r>
        <w:tab/>
        <w:t>V</w:t>
      </w:r>
      <w:r>
        <w:tab/>
        <w:t>is the number of cubic metres of waste to which this Part applies received at the licensed landfill during the return period determined in accordance with regulation 26 or estimated under regulation 26A(2); and</w:t>
      </w:r>
    </w:p>
    <w:p>
      <w:pPr>
        <w:pStyle w:val="Indenta"/>
        <w:spacing w:before="100"/>
      </w:pPr>
      <w:r>
        <w:tab/>
        <w:t>R</w:t>
      </w:r>
      <w:r>
        <w:tab/>
        <w:t>is, if the first day of the return period is —</w:t>
      </w:r>
    </w:p>
    <w:p>
      <w:pPr>
        <w:pStyle w:val="Indenti"/>
        <w:spacing w:before="100"/>
      </w:pPr>
      <w:r>
        <w:tab/>
        <w:t>(a)</w:t>
      </w:r>
      <w:r>
        <w:tab/>
        <w:t>before 1 July 2008, $3; or</w:t>
      </w:r>
    </w:p>
    <w:p>
      <w:pPr>
        <w:pStyle w:val="Indenti"/>
        <w:spacing w:before="100"/>
      </w:pPr>
      <w:r>
        <w:tab/>
        <w:t>(b)</w:t>
      </w:r>
      <w:r>
        <w:tab/>
        <w:t>on or after 1 July 2008 and before 1 July 2009, $5; or</w:t>
      </w:r>
    </w:p>
    <w:p>
      <w:pPr>
        <w:pStyle w:val="Indenti"/>
        <w:spacing w:before="100"/>
      </w:pPr>
      <w:r>
        <w:tab/>
        <w:t>(c)</w:t>
      </w:r>
      <w:r>
        <w:tab/>
        <w:t>on or after 1 July 2009 and before 1 July 2010, $7; or</w:t>
      </w:r>
    </w:p>
    <w:p>
      <w:pPr>
        <w:pStyle w:val="Indenti"/>
        <w:spacing w:before="100"/>
      </w:pPr>
      <w:r>
        <w:tab/>
        <w:t>(d)</w:t>
      </w:r>
      <w:r>
        <w:tab/>
        <w:t>on or after 1 July 2010, $9;</w:t>
      </w:r>
    </w:p>
    <w:p>
      <w:pPr>
        <w:pStyle w:val="Indenta"/>
        <w:spacing w:before="100"/>
      </w:pPr>
      <w:r>
        <w:tab/>
      </w:r>
      <w:r>
        <w:tab/>
        <w:t>and</w:t>
      </w:r>
    </w:p>
    <w:p>
      <w:pPr>
        <w:pStyle w:val="Indenta"/>
        <w:spacing w:before="100"/>
      </w:pPr>
      <w:r>
        <w:tab/>
        <w:t>S</w:t>
      </w:r>
      <w:r>
        <w:tab/>
        <w:t>is the lesser of —</w:t>
      </w:r>
    </w:p>
    <w:p>
      <w:pPr>
        <w:pStyle w:val="Indenti"/>
        <w:spacing w:before="100"/>
      </w:pPr>
      <w:r>
        <w:tab/>
        <w:t>(a)</w:t>
      </w:r>
      <w:r>
        <w:tab/>
        <w:t>the cost incurred by the licensee in complying with regulation 26(4) and (5) in respect of the return period; and</w:t>
      </w:r>
    </w:p>
    <w:p>
      <w:pPr>
        <w:pStyle w:val="Indenti"/>
        <w:spacing w:before="100"/>
      </w:pPr>
      <w:r>
        <w:tab/>
        <w:t>(b)</w:t>
      </w:r>
      <w:r>
        <w:tab/>
        <w:t>$2 000.</w:t>
      </w:r>
    </w:p>
    <w:p>
      <w:pPr>
        <w:pStyle w:val="Subsection"/>
        <w:keepLines/>
      </w:pPr>
      <w:r>
        <w:tab/>
        <w:t>(2)</w:t>
      </w:r>
      <w:r>
        <w:tab/>
        <w:t>The amount by way of levy that is payable in respect of waste to which this Part applies that is received at a category 64 or 65 licensed landfill during a return period is the amount (in dollars) equal to L in the formula —</w:t>
      </w:r>
    </w:p>
    <w:p>
      <w:pPr>
        <w:pStyle w:val="Subsection"/>
      </w:pPr>
      <w:r>
        <w:tab/>
      </w:r>
      <w:r>
        <w:tab/>
      </w:r>
      <w:r>
        <w:rPr>
          <w:noProof/>
          <w:position w:val="-10"/>
        </w:rPr>
        <w:drawing>
          <wp:inline distT="0" distB="0" distL="0" distR="0">
            <wp:extent cx="1192530" cy="21463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92530" cy="214630"/>
                    </a:xfrm>
                    <a:prstGeom prst="rect">
                      <a:avLst/>
                    </a:prstGeom>
                    <a:noFill/>
                    <a:ln>
                      <a:noFill/>
                    </a:ln>
                  </pic:spPr>
                </pic:pic>
              </a:graphicData>
            </a:graphic>
          </wp:inline>
        </w:drawing>
      </w:r>
    </w:p>
    <w:p>
      <w:pPr>
        <w:pStyle w:val="Subsection"/>
        <w:spacing w:before="120"/>
      </w:pPr>
      <w:r>
        <w:tab/>
      </w:r>
      <w:r>
        <w:tab/>
        <w:t>where —</w:t>
      </w:r>
    </w:p>
    <w:p>
      <w:pPr>
        <w:pStyle w:val="Indenta"/>
        <w:spacing w:before="100"/>
      </w:pPr>
      <w:r>
        <w:tab/>
        <w:t>W</w:t>
      </w:r>
      <w:r>
        <w:tab/>
        <w:t>is the number of tonnes of waste to which this Part applies received at the licensed landfill during the return period determined in accordance with regulation 25; and</w:t>
      </w:r>
    </w:p>
    <w:p>
      <w:pPr>
        <w:pStyle w:val="Indenta"/>
        <w:spacing w:before="100"/>
      </w:pPr>
      <w:r>
        <w:tab/>
        <w:t>R</w:t>
      </w:r>
      <w:r>
        <w:tab/>
        <w:t>is, if the first day of the return period is —</w:t>
      </w:r>
    </w:p>
    <w:p>
      <w:pPr>
        <w:pStyle w:val="Indenti"/>
        <w:spacing w:before="100"/>
      </w:pPr>
      <w:r>
        <w:tab/>
        <w:t>(a)</w:t>
      </w:r>
      <w:r>
        <w:tab/>
        <w:t>before 1 July 2008, $6; or</w:t>
      </w:r>
    </w:p>
    <w:p>
      <w:pPr>
        <w:pStyle w:val="Indenti"/>
        <w:spacing w:before="100"/>
      </w:pPr>
      <w:r>
        <w:tab/>
        <w:t>(b)</w:t>
      </w:r>
      <w:r>
        <w:tab/>
        <w:t>on or after 1 July 2008 and before 1 July 2009, $7; or</w:t>
      </w:r>
    </w:p>
    <w:p>
      <w:pPr>
        <w:pStyle w:val="Indenti"/>
        <w:spacing w:before="100"/>
      </w:pPr>
      <w:r>
        <w:tab/>
        <w:t>(c)</w:t>
      </w:r>
      <w:r>
        <w:tab/>
        <w:t>on or after 1 July 2009 and before 1 July 2010, $8; or</w:t>
      </w:r>
    </w:p>
    <w:p>
      <w:pPr>
        <w:pStyle w:val="Indenti"/>
        <w:spacing w:before="100"/>
      </w:pPr>
      <w:r>
        <w:tab/>
        <w:t>(d)</w:t>
      </w:r>
      <w:r>
        <w:tab/>
        <w:t>on or after 1 July 2010, $9.</w:t>
      </w:r>
    </w:p>
    <w:p>
      <w:pPr>
        <w:pStyle w:val="Footnotesection"/>
      </w:pPr>
      <w:r>
        <w:tab/>
        <w:t>[Regulation 27 inserted in Gazette 29 Sep 2006 p. 4265-6.]</w:t>
      </w:r>
    </w:p>
    <w:p>
      <w:pPr>
        <w:pStyle w:val="Heading5"/>
        <w:spacing w:before="240"/>
        <w:rPr>
          <w:snapToGrid w:val="0"/>
        </w:rPr>
      </w:pPr>
      <w:bookmarkStart w:id="80" w:name="_Toc404948590"/>
      <w:r>
        <w:rPr>
          <w:rStyle w:val="CharSectno"/>
        </w:rPr>
        <w:t>28</w:t>
      </w:r>
      <w:r>
        <w:rPr>
          <w:snapToGrid w:val="0"/>
        </w:rPr>
        <w:t>.</w:t>
      </w:r>
      <w:r>
        <w:rPr>
          <w:snapToGrid w:val="0"/>
        </w:rPr>
        <w:tab/>
        <w:t>Financial assurance, licensees to pay</w:t>
      </w:r>
      <w:bookmarkEnd w:id="80"/>
    </w:p>
    <w:p>
      <w:pPr>
        <w:pStyle w:val="Subsection"/>
        <w:rPr>
          <w:snapToGrid w:val="0"/>
        </w:rPr>
      </w:pPr>
      <w:r>
        <w:rPr>
          <w:snapToGrid w:val="0"/>
        </w:rPr>
        <w:tab/>
        <w:t>(1)</w:t>
      </w:r>
      <w:r>
        <w:rPr>
          <w:snapToGrid w:val="0"/>
        </w:rPr>
        <w:tab/>
        <w:t>In this regulation —</w:t>
      </w:r>
    </w:p>
    <w:p>
      <w:pPr>
        <w:pStyle w:val="Defstart"/>
      </w:pPr>
      <w:r>
        <w:rPr>
          <w:b/>
        </w:rPr>
        <w:tab/>
      </w:r>
      <w:r>
        <w:rPr>
          <w:rStyle w:val="CharDefText"/>
        </w:rPr>
        <w:t>licensee</w:t>
      </w:r>
      <w:r>
        <w:t xml:space="preserve"> does not include a licensee who is a local government.</w:t>
      </w:r>
    </w:p>
    <w:p>
      <w:pPr>
        <w:pStyle w:val="Subsection"/>
        <w:spacing w:before="180"/>
      </w:pPr>
      <w:r>
        <w:tab/>
        <w:t>(2)</w:t>
      </w:r>
      <w:r>
        <w:tab/>
        <w:t>Each licensee is to pay to the Chief Executive Officer, in accordance with subsection (3), a financial assurance that —</w:t>
      </w:r>
    </w:p>
    <w:p>
      <w:pPr>
        <w:pStyle w:val="Indenta"/>
      </w:pPr>
      <w:r>
        <w:tab/>
        <w:t>(a)</w:t>
      </w:r>
      <w:r>
        <w:tab/>
        <w:t>is in an approved form; and</w:t>
      </w:r>
    </w:p>
    <w:p>
      <w:pPr>
        <w:pStyle w:val="Indenta"/>
      </w:pPr>
      <w:r>
        <w:tab/>
        <w:t>(b)</w:t>
      </w:r>
      <w:r>
        <w:tab/>
        <w:t>secures or guarantees payment of an amount determined by the Chief Executive Officer, being an amount that in the opinion of the Chief Executive Officer is equivalent to the average levy to be paid by the licensee in a return period.</w:t>
      </w:r>
    </w:p>
    <w:p>
      <w:pPr>
        <w:pStyle w:val="Penstart"/>
      </w:pPr>
      <w:r>
        <w:tab/>
        <w:t>Penalty: $5 000.</w:t>
      </w:r>
    </w:p>
    <w:p>
      <w:pPr>
        <w:pStyle w:val="Subsection"/>
        <w:keepNext/>
        <w:rPr>
          <w:snapToGrid w:val="0"/>
        </w:rPr>
      </w:pPr>
      <w:r>
        <w:rPr>
          <w:snapToGrid w:val="0"/>
        </w:rPr>
        <w:tab/>
        <w:t>(3)</w:t>
      </w:r>
      <w:r>
        <w:rPr>
          <w:snapToGrid w:val="0"/>
        </w:rPr>
        <w:tab/>
        <w:t>The financial assurance is to be paid to the Chief Executive Officer —</w:t>
      </w:r>
    </w:p>
    <w:p>
      <w:pPr>
        <w:pStyle w:val="Indenta"/>
        <w:rPr>
          <w:snapToGrid w:val="0"/>
        </w:rPr>
      </w:pPr>
      <w:r>
        <w:rPr>
          <w:snapToGrid w:val="0"/>
        </w:rPr>
        <w:tab/>
        <w:t>(a)</w:t>
      </w:r>
      <w:r>
        <w:rPr>
          <w:snapToGrid w:val="0"/>
        </w:rPr>
        <w:tab/>
        <w:t>in the case of an existing licensee, not later than 2 weeks after commencement day; and</w:t>
      </w:r>
    </w:p>
    <w:p>
      <w:pPr>
        <w:pStyle w:val="Indenta"/>
        <w:rPr>
          <w:snapToGrid w:val="0"/>
        </w:rPr>
      </w:pPr>
      <w:r>
        <w:rPr>
          <w:snapToGrid w:val="0"/>
        </w:rPr>
        <w:tab/>
        <w:t>(b)</w:t>
      </w:r>
      <w:r>
        <w:rPr>
          <w:snapToGrid w:val="0"/>
        </w:rPr>
        <w:tab/>
        <w:t>in the case of a licensee who is granted a licence after commencement day, not later than 2 weeks after the licence is granted.</w:t>
      </w:r>
    </w:p>
    <w:p>
      <w:pPr>
        <w:pStyle w:val="Subsection"/>
        <w:rPr>
          <w:snapToGrid w:val="0"/>
        </w:rPr>
      </w:pPr>
      <w:r>
        <w:rPr>
          <w:snapToGrid w:val="0"/>
        </w:rPr>
        <w:tab/>
        <w:t>(4)</w:t>
      </w:r>
      <w:r>
        <w:rPr>
          <w:snapToGrid w:val="0"/>
        </w:rPr>
        <w:tab/>
        <w:t xml:space="preserve">The licensee is to maintain the financial assurance in accordance with any requirements of the Chief Executive </w:t>
      </w:r>
      <w:r>
        <w:t>Officer of which the licensee has been given written notice.</w:t>
      </w:r>
    </w:p>
    <w:p>
      <w:pPr>
        <w:pStyle w:val="Penstart"/>
        <w:rPr>
          <w:snapToGrid w:val="0"/>
        </w:rPr>
      </w:pPr>
      <w:r>
        <w:rPr>
          <w:snapToGrid w:val="0"/>
        </w:rPr>
        <w:tab/>
        <w:t>Penalty: $5 000.</w:t>
      </w:r>
    </w:p>
    <w:p>
      <w:pPr>
        <w:pStyle w:val="Subsection"/>
        <w:rPr>
          <w:snapToGrid w:val="0"/>
        </w:rPr>
      </w:pPr>
      <w:r>
        <w:rPr>
          <w:snapToGrid w:val="0"/>
        </w:rPr>
        <w:tab/>
        <w:t>(5)</w:t>
      </w:r>
      <w:r>
        <w:rPr>
          <w:snapToGrid w:val="0"/>
        </w:rPr>
        <w:tab/>
        <w:t>The moneys from any financial assurance that is called on or used by the Chief Executive Officer are to be paid into the Fund.</w:t>
      </w:r>
    </w:p>
    <w:p>
      <w:pPr>
        <w:pStyle w:val="Subsection"/>
        <w:rPr>
          <w:snapToGrid w:val="0"/>
        </w:rPr>
      </w:pPr>
      <w:r>
        <w:rPr>
          <w:snapToGrid w:val="0"/>
        </w:rPr>
        <w:tab/>
        <w:t>(6)</w:t>
      </w:r>
      <w:r>
        <w:rPr>
          <w:snapToGrid w:val="0"/>
        </w:rPr>
        <w:tab/>
        <w:t>The Chief Executive Officer is to review the amount of a financial assurance provided under this regulation not later than 2 years after it is provided and thereafter not later than 2 years after each review.</w:t>
      </w:r>
    </w:p>
    <w:p>
      <w:pPr>
        <w:pStyle w:val="Subsection"/>
        <w:rPr>
          <w:snapToGrid w:val="0"/>
        </w:rPr>
      </w:pPr>
      <w:r>
        <w:rPr>
          <w:snapToGrid w:val="0"/>
        </w:rPr>
        <w:tab/>
        <w:t>(7)</w:t>
      </w:r>
      <w:r>
        <w:rPr>
          <w:snapToGrid w:val="0"/>
        </w:rPr>
        <w:tab/>
        <w:t>The Chief Executive Officer may at any time, by written direction, require a licensee to increase the amount of the financial assurance provided by the licensee if the Chief Executive Officer thinks it is appropriate to do so.</w:t>
      </w:r>
    </w:p>
    <w:p>
      <w:pPr>
        <w:pStyle w:val="Subsection"/>
        <w:rPr>
          <w:snapToGrid w:val="0"/>
        </w:rPr>
      </w:pPr>
      <w:r>
        <w:rPr>
          <w:snapToGrid w:val="0"/>
        </w:rPr>
        <w:tab/>
        <w:t>(8)</w:t>
      </w:r>
      <w:r>
        <w:rPr>
          <w:snapToGrid w:val="0"/>
        </w:rPr>
        <w:tab/>
        <w:t>A licensee is to comply with a direction given to the licensee under subregulation (7).</w:t>
      </w:r>
    </w:p>
    <w:p>
      <w:pPr>
        <w:pStyle w:val="Penstart"/>
        <w:rPr>
          <w:snapToGrid w:val="0"/>
        </w:rPr>
      </w:pPr>
      <w:r>
        <w:rPr>
          <w:snapToGrid w:val="0"/>
        </w:rPr>
        <w:tab/>
        <w:t>Penalty: $5 000.</w:t>
      </w:r>
    </w:p>
    <w:p>
      <w:pPr>
        <w:pStyle w:val="Footnotesection"/>
        <w:keepLines w:val="0"/>
      </w:pPr>
      <w:r>
        <w:tab/>
        <w:t>[Regulation 28 inserted in Gazette 26 Jun 1998 p. 3373; amended in Gazette 11 Dec 1998 p. 6601; 29 Sep 2006 p. 4266.]</w:t>
      </w:r>
    </w:p>
    <w:p>
      <w:pPr>
        <w:pStyle w:val="Heading5"/>
        <w:rPr>
          <w:snapToGrid w:val="0"/>
        </w:rPr>
      </w:pPr>
      <w:bookmarkStart w:id="81" w:name="_Toc404948591"/>
      <w:r>
        <w:rPr>
          <w:rStyle w:val="CharSectno"/>
        </w:rPr>
        <w:t>29</w:t>
      </w:r>
      <w:r>
        <w:rPr>
          <w:snapToGrid w:val="0"/>
        </w:rPr>
        <w:t>.</w:t>
      </w:r>
      <w:r>
        <w:rPr>
          <w:snapToGrid w:val="0"/>
        </w:rPr>
        <w:tab/>
        <w:t>Records of waste received, licensees’ duties as to</w:t>
      </w:r>
      <w:bookmarkEnd w:id="81"/>
    </w:p>
    <w:p>
      <w:pPr>
        <w:pStyle w:val="Subsection"/>
        <w:rPr>
          <w:snapToGrid w:val="0"/>
        </w:rPr>
      </w:pPr>
      <w:r>
        <w:rPr>
          <w:snapToGrid w:val="0"/>
        </w:rPr>
        <w:tab/>
        <w:t>(1)</w:t>
      </w:r>
      <w:r>
        <w:rPr>
          <w:snapToGrid w:val="0"/>
        </w:rPr>
        <w:tab/>
        <w:t>Upon receiving waste at a licensed landfill, the licensee is to make a record in accordance with this regulation.</w:t>
      </w:r>
    </w:p>
    <w:p>
      <w:pPr>
        <w:pStyle w:val="Subsection"/>
        <w:keepNext/>
        <w:rPr>
          <w:snapToGrid w:val="0"/>
        </w:rPr>
      </w:pPr>
      <w:r>
        <w:rPr>
          <w:snapToGrid w:val="0"/>
        </w:rPr>
        <w:tab/>
        <w:t>(2)</w:t>
      </w:r>
      <w:r>
        <w:rPr>
          <w:snapToGrid w:val="0"/>
        </w:rPr>
        <w:tab/>
        <w:t>The record is to be in an approved form and is to show —</w:t>
      </w:r>
    </w:p>
    <w:p>
      <w:pPr>
        <w:pStyle w:val="Indenta"/>
        <w:rPr>
          <w:snapToGrid w:val="0"/>
        </w:rPr>
      </w:pPr>
      <w:r>
        <w:rPr>
          <w:snapToGrid w:val="0"/>
        </w:rPr>
        <w:tab/>
        <w:t>(a)</w:t>
      </w:r>
      <w:r>
        <w:rPr>
          <w:snapToGrid w:val="0"/>
        </w:rPr>
        <w:tab/>
        <w:t>the time and date of the delivery; and</w:t>
      </w:r>
    </w:p>
    <w:p>
      <w:pPr>
        <w:pStyle w:val="Indenta"/>
        <w:rPr>
          <w:snapToGrid w:val="0"/>
        </w:rPr>
      </w:pPr>
      <w:r>
        <w:rPr>
          <w:snapToGrid w:val="0"/>
        </w:rPr>
        <w:tab/>
        <w:t>(b)</w:t>
      </w:r>
      <w:r>
        <w:rPr>
          <w:snapToGrid w:val="0"/>
        </w:rPr>
        <w:tab/>
        <w:t>the name and licence number of the licensee; and</w:t>
      </w:r>
    </w:p>
    <w:p>
      <w:pPr>
        <w:pStyle w:val="Indenta"/>
      </w:pPr>
      <w:r>
        <w:tab/>
        <w:t>(c)</w:t>
      </w:r>
      <w:r>
        <w:tab/>
        <w:t>in the case of a category 63 licensed landfill, the volume of the waste disposed of to landfill on the premises calculated in accordance with regulation 26; and</w:t>
      </w:r>
    </w:p>
    <w:p>
      <w:pPr>
        <w:pStyle w:val="Indenta"/>
      </w:pPr>
      <w:r>
        <w:tab/>
        <w:t>(ca)</w:t>
      </w:r>
      <w:r>
        <w:tab/>
        <w:t>in the case of a category 64 or 65 licensed landfill, the weight of the waste as weighed or estimated in accordance with regulation 25; and</w:t>
      </w:r>
    </w:p>
    <w:p>
      <w:pPr>
        <w:pStyle w:val="Indenta"/>
        <w:rPr>
          <w:snapToGrid w:val="0"/>
        </w:rPr>
      </w:pPr>
      <w:r>
        <w:rPr>
          <w:snapToGrid w:val="0"/>
        </w:rPr>
        <w:tab/>
        <w:t>(d)</w:t>
      </w:r>
      <w:r>
        <w:rPr>
          <w:snapToGrid w:val="0"/>
        </w:rPr>
        <w:tab/>
        <w:t>a description of the type of waste; and</w:t>
      </w:r>
    </w:p>
    <w:p>
      <w:pPr>
        <w:pStyle w:val="Indenta"/>
        <w:rPr>
          <w:snapToGrid w:val="0"/>
        </w:rPr>
      </w:pPr>
      <w:r>
        <w:rPr>
          <w:snapToGrid w:val="0"/>
        </w:rPr>
        <w:tab/>
        <w:t>(e)</w:t>
      </w:r>
      <w:r>
        <w:rPr>
          <w:snapToGrid w:val="0"/>
        </w:rPr>
        <w:tab/>
        <w:t>the amount of levy payable in respect of the waste; and</w:t>
      </w:r>
    </w:p>
    <w:p>
      <w:pPr>
        <w:pStyle w:val="Indenta"/>
        <w:rPr>
          <w:snapToGrid w:val="0"/>
        </w:rPr>
      </w:pPr>
      <w:r>
        <w:rPr>
          <w:snapToGrid w:val="0"/>
        </w:rPr>
        <w:tab/>
        <w:t>(f)</w:t>
      </w:r>
      <w:r>
        <w:rPr>
          <w:snapToGrid w:val="0"/>
        </w:rPr>
        <w:tab/>
        <w:t>any other particulars the Chief Executive Officer may, by written notice to the licensee, require the licensee to include.</w:t>
      </w:r>
    </w:p>
    <w:p>
      <w:pPr>
        <w:pStyle w:val="Subsection"/>
        <w:rPr>
          <w:snapToGrid w:val="0"/>
        </w:rPr>
      </w:pPr>
      <w:r>
        <w:rPr>
          <w:snapToGrid w:val="0"/>
        </w:rPr>
        <w:tab/>
        <w:t>(3)</w:t>
      </w:r>
      <w:r>
        <w:rPr>
          <w:snapToGrid w:val="0"/>
        </w:rPr>
        <w:tab/>
        <w:t>Any record made by a licensee under this regulation is to be kept by the licensee in a legible written form, or so as to be readily convertible into such a form, for a period of not less than 5 years from the day on which the record was made.</w:t>
      </w:r>
    </w:p>
    <w:p>
      <w:pPr>
        <w:pStyle w:val="Subsection"/>
        <w:rPr>
          <w:snapToGrid w:val="0"/>
        </w:rPr>
      </w:pPr>
      <w:r>
        <w:rPr>
          <w:snapToGrid w:val="0"/>
        </w:rPr>
        <w:tab/>
        <w:t>(4)</w:t>
      </w:r>
      <w:r>
        <w:rPr>
          <w:snapToGrid w:val="0"/>
        </w:rPr>
        <w:tab/>
        <w:t>A licensee is to make the records available to an authorised person within 24 hours of being requested by the authorised person to do so.</w:t>
      </w:r>
    </w:p>
    <w:p>
      <w:pPr>
        <w:pStyle w:val="Subsection"/>
        <w:rPr>
          <w:snapToGrid w:val="0"/>
        </w:rPr>
      </w:pPr>
      <w:r>
        <w:rPr>
          <w:snapToGrid w:val="0"/>
        </w:rPr>
        <w:tab/>
        <w:t>(5)</w:t>
      </w:r>
      <w:r>
        <w:rPr>
          <w:snapToGrid w:val="0"/>
        </w:rPr>
        <w:tab/>
        <w:t>A licensee who —</w:t>
      </w:r>
    </w:p>
    <w:p>
      <w:pPr>
        <w:pStyle w:val="Indenta"/>
        <w:rPr>
          <w:snapToGrid w:val="0"/>
        </w:rPr>
      </w:pPr>
      <w:r>
        <w:rPr>
          <w:snapToGrid w:val="0"/>
        </w:rPr>
        <w:tab/>
        <w:t>(a)</w:t>
      </w:r>
      <w:r>
        <w:rPr>
          <w:snapToGrid w:val="0"/>
        </w:rPr>
        <w:tab/>
        <w:t>contravenes subregulation (1) or (4); or</w:t>
      </w:r>
    </w:p>
    <w:p>
      <w:pPr>
        <w:pStyle w:val="Indenta"/>
        <w:keepNext/>
        <w:rPr>
          <w:snapToGrid w:val="0"/>
        </w:rPr>
      </w:pPr>
      <w:r>
        <w:rPr>
          <w:snapToGrid w:val="0"/>
        </w:rPr>
        <w:tab/>
        <w:t>(b)</w:t>
      </w:r>
      <w:r>
        <w:rPr>
          <w:snapToGrid w:val="0"/>
        </w:rPr>
        <w:tab/>
        <w:t>makes a record under this regulation which is false in any material particular,</w:t>
      </w:r>
    </w:p>
    <w:p>
      <w:pPr>
        <w:pStyle w:val="Subsection"/>
        <w:rPr>
          <w:snapToGrid w:val="0"/>
        </w:rPr>
      </w:pPr>
      <w:r>
        <w:rPr>
          <w:snapToGrid w:val="0"/>
        </w:rPr>
        <w:tab/>
      </w:r>
      <w:r>
        <w:rPr>
          <w:snapToGrid w:val="0"/>
        </w:rPr>
        <w:tab/>
        <w:t>commits an offence.</w:t>
      </w:r>
    </w:p>
    <w:p>
      <w:pPr>
        <w:pStyle w:val="Penstart"/>
        <w:rPr>
          <w:snapToGrid w:val="0"/>
        </w:rPr>
      </w:pPr>
      <w:r>
        <w:rPr>
          <w:snapToGrid w:val="0"/>
        </w:rPr>
        <w:tab/>
        <w:t>Penalty: $5 000.</w:t>
      </w:r>
    </w:p>
    <w:p>
      <w:pPr>
        <w:pStyle w:val="Footnotesection"/>
      </w:pPr>
      <w:r>
        <w:tab/>
        <w:t>[Regulation 29 inserted in Gazette 26 Jun 1998 p. 3373</w:t>
      </w:r>
      <w:r>
        <w:noBreakHyphen/>
        <w:t>4; amended in Gazette 11 Dec 1998 p. 6601; 29 Sep 2006 p. 4266.]</w:t>
      </w:r>
    </w:p>
    <w:p>
      <w:pPr>
        <w:pStyle w:val="Heading5"/>
        <w:keepNext w:val="0"/>
        <w:keepLines w:val="0"/>
        <w:pageBreakBefore/>
        <w:spacing w:before="0"/>
        <w:rPr>
          <w:snapToGrid w:val="0"/>
        </w:rPr>
      </w:pPr>
      <w:bookmarkStart w:id="82" w:name="_Toc404948592"/>
      <w:r>
        <w:rPr>
          <w:rStyle w:val="CharSectno"/>
        </w:rPr>
        <w:t>30</w:t>
      </w:r>
      <w:r>
        <w:rPr>
          <w:snapToGrid w:val="0"/>
        </w:rPr>
        <w:t>.</w:t>
      </w:r>
      <w:r>
        <w:rPr>
          <w:snapToGrid w:val="0"/>
        </w:rPr>
        <w:tab/>
        <w:t>Levy, payment of; returns to be lodged</w:t>
      </w:r>
      <w:bookmarkEnd w:id="82"/>
    </w:p>
    <w:p>
      <w:pPr>
        <w:pStyle w:val="Subsection"/>
        <w:rPr>
          <w:snapToGrid w:val="0"/>
        </w:rPr>
      </w:pPr>
      <w:r>
        <w:rPr>
          <w:snapToGrid w:val="0"/>
        </w:rPr>
        <w:tab/>
        <w:t>(1)</w:t>
      </w:r>
      <w:r>
        <w:rPr>
          <w:snapToGrid w:val="0"/>
        </w:rPr>
        <w:tab/>
        <w:t>The levy is payable not later than 14 days after the end of each return period.</w:t>
      </w:r>
    </w:p>
    <w:p>
      <w:pPr>
        <w:pStyle w:val="Subsection"/>
        <w:rPr>
          <w:snapToGrid w:val="0"/>
        </w:rPr>
      </w:pPr>
      <w:r>
        <w:rPr>
          <w:snapToGrid w:val="0"/>
        </w:rPr>
        <w:tab/>
        <w:t>(2)</w:t>
      </w:r>
      <w:r>
        <w:rPr>
          <w:snapToGrid w:val="0"/>
        </w:rPr>
        <w:tab/>
        <w:t xml:space="preserve">A licensee, from the details entered in the records referred to in regulation 29 and any estimate made under </w:t>
      </w:r>
      <w:r>
        <w:t xml:space="preserve">regulation 26A, </w:t>
      </w:r>
      <w:r>
        <w:rPr>
          <w:snapToGrid w:val="0"/>
        </w:rPr>
        <w:t>is to —</w:t>
      </w:r>
    </w:p>
    <w:p>
      <w:pPr>
        <w:pStyle w:val="Indenta"/>
        <w:rPr>
          <w:snapToGrid w:val="0"/>
        </w:rPr>
      </w:pPr>
      <w:r>
        <w:rPr>
          <w:snapToGrid w:val="0"/>
        </w:rPr>
        <w:tab/>
        <w:t>(a)</w:t>
      </w:r>
      <w:r>
        <w:rPr>
          <w:snapToGrid w:val="0"/>
        </w:rPr>
        <w:tab/>
        <w:t>make a return in the approved form in respect of each return period setting out details of waste received; and</w:t>
      </w:r>
    </w:p>
    <w:p>
      <w:pPr>
        <w:pStyle w:val="Indenta"/>
        <w:rPr>
          <w:snapToGrid w:val="0"/>
        </w:rPr>
      </w:pPr>
      <w:r>
        <w:rPr>
          <w:snapToGrid w:val="0"/>
        </w:rPr>
        <w:tab/>
        <w:t>(b)</w:t>
      </w:r>
      <w:r>
        <w:rPr>
          <w:snapToGrid w:val="0"/>
        </w:rPr>
        <w:tab/>
        <w:t>lodge the return with the Chief Executive Officer.</w:t>
      </w:r>
    </w:p>
    <w:p>
      <w:pPr>
        <w:pStyle w:val="Subsection"/>
        <w:rPr>
          <w:snapToGrid w:val="0"/>
        </w:rPr>
      </w:pPr>
      <w:r>
        <w:rPr>
          <w:snapToGrid w:val="0"/>
        </w:rPr>
        <w:tab/>
        <w:t>(3)</w:t>
      </w:r>
      <w:r>
        <w:rPr>
          <w:snapToGrid w:val="0"/>
        </w:rPr>
        <w:tab/>
        <w:t>The return is to be accompanied by a remittance for the amount of the levy payable on the waste to which that return relates.</w:t>
      </w:r>
    </w:p>
    <w:p>
      <w:pPr>
        <w:pStyle w:val="Footnotesection"/>
        <w:ind w:left="890" w:hanging="890"/>
      </w:pPr>
      <w:r>
        <w:tab/>
        <w:t>[Regulation 30 inserted in Gazette 26 Jun 1998 p. 3374; amended in Gazette 29 Sep 2006 p. 4266.]</w:t>
      </w:r>
    </w:p>
    <w:p>
      <w:pPr>
        <w:pStyle w:val="Heading5"/>
        <w:rPr>
          <w:snapToGrid w:val="0"/>
        </w:rPr>
      </w:pPr>
      <w:bookmarkStart w:id="83" w:name="_Toc404948593"/>
      <w:r>
        <w:rPr>
          <w:rStyle w:val="CharSectno"/>
        </w:rPr>
        <w:t>31</w:t>
      </w:r>
      <w:r>
        <w:rPr>
          <w:snapToGrid w:val="0"/>
        </w:rPr>
        <w:t>.</w:t>
      </w:r>
      <w:r>
        <w:rPr>
          <w:snapToGrid w:val="0"/>
        </w:rPr>
        <w:tab/>
        <w:t>Audits, CEO’s powers to direct etc.</w:t>
      </w:r>
      <w:bookmarkEnd w:id="83"/>
    </w:p>
    <w:p>
      <w:pPr>
        <w:pStyle w:val="Subsection"/>
        <w:rPr>
          <w:snapToGrid w:val="0"/>
        </w:rPr>
      </w:pPr>
      <w:r>
        <w:rPr>
          <w:snapToGrid w:val="0"/>
        </w:rPr>
        <w:tab/>
        <w:t>(1)</w:t>
      </w:r>
      <w:r>
        <w:rPr>
          <w:snapToGrid w:val="0"/>
        </w:rPr>
        <w:tab/>
        <w:t>The Chief Executive Officer may at any time, by notice in writing, direct a licensee to cause —</w:t>
      </w:r>
    </w:p>
    <w:p>
      <w:pPr>
        <w:pStyle w:val="Indenta"/>
        <w:spacing w:before="120"/>
        <w:rPr>
          <w:snapToGrid w:val="0"/>
        </w:rPr>
      </w:pPr>
      <w:r>
        <w:rPr>
          <w:snapToGrid w:val="0"/>
        </w:rPr>
        <w:tab/>
        <w:t>(a)</w:t>
      </w:r>
      <w:r>
        <w:rPr>
          <w:snapToGrid w:val="0"/>
        </w:rPr>
        <w:tab/>
        <w:t>an audit of —</w:t>
      </w:r>
    </w:p>
    <w:p>
      <w:pPr>
        <w:pStyle w:val="Indenti"/>
        <w:rPr>
          <w:snapToGrid w:val="0"/>
        </w:rPr>
      </w:pPr>
      <w:r>
        <w:rPr>
          <w:snapToGrid w:val="0"/>
        </w:rPr>
        <w:tab/>
        <w:t>(i)</w:t>
      </w:r>
      <w:r>
        <w:rPr>
          <w:snapToGrid w:val="0"/>
        </w:rPr>
        <w:tab/>
        <w:t>the amount of waste received at the licensed landfill within the specified period; and</w:t>
      </w:r>
    </w:p>
    <w:p>
      <w:pPr>
        <w:pStyle w:val="Indenti"/>
        <w:rPr>
          <w:snapToGrid w:val="0"/>
        </w:rPr>
      </w:pPr>
      <w:r>
        <w:rPr>
          <w:snapToGrid w:val="0"/>
        </w:rPr>
        <w:tab/>
        <w:t>(ii)</w:t>
      </w:r>
      <w:r>
        <w:rPr>
          <w:snapToGrid w:val="0"/>
        </w:rPr>
        <w:tab/>
        <w:t>the amount of levy payable in respect of that waste,</w:t>
      </w:r>
    </w:p>
    <w:p>
      <w:pPr>
        <w:pStyle w:val="Indenta"/>
        <w:rPr>
          <w:snapToGrid w:val="0"/>
        </w:rPr>
      </w:pPr>
      <w:r>
        <w:rPr>
          <w:snapToGrid w:val="0"/>
        </w:rPr>
        <w:tab/>
      </w:r>
      <w:r>
        <w:rPr>
          <w:snapToGrid w:val="0"/>
        </w:rPr>
        <w:tab/>
        <w:t>to be carried out by a person from the specified class of persons; and</w:t>
      </w:r>
    </w:p>
    <w:p>
      <w:pPr>
        <w:pStyle w:val="Indenta"/>
        <w:spacing w:before="120"/>
        <w:rPr>
          <w:snapToGrid w:val="0"/>
        </w:rPr>
      </w:pPr>
      <w:r>
        <w:rPr>
          <w:snapToGrid w:val="0"/>
        </w:rPr>
        <w:tab/>
        <w:t>(b)</w:t>
      </w:r>
      <w:r>
        <w:rPr>
          <w:snapToGrid w:val="0"/>
        </w:rPr>
        <w:tab/>
        <w:t>a report to be prepared on the audit by the person who carried out the audit.</w:t>
      </w:r>
    </w:p>
    <w:p>
      <w:pPr>
        <w:pStyle w:val="Subsection"/>
        <w:rPr>
          <w:snapToGrid w:val="0"/>
        </w:rPr>
      </w:pPr>
      <w:r>
        <w:rPr>
          <w:snapToGrid w:val="0"/>
        </w:rPr>
        <w:tab/>
        <w:t>(2)</w:t>
      </w:r>
      <w:r>
        <w:rPr>
          <w:snapToGrid w:val="0"/>
        </w:rPr>
        <w:tab/>
        <w:t>The licensee is to provide the copy of the report of the audit, certified as correct by the person who carried out the audit, to the Chief Executive Officer within the specified period.</w:t>
      </w:r>
    </w:p>
    <w:p>
      <w:pPr>
        <w:pStyle w:val="Penstart"/>
        <w:rPr>
          <w:snapToGrid w:val="0"/>
        </w:rPr>
      </w:pPr>
      <w:r>
        <w:rPr>
          <w:snapToGrid w:val="0"/>
        </w:rPr>
        <w:tab/>
        <w:t>Penalty: $5 000.</w:t>
      </w:r>
    </w:p>
    <w:p>
      <w:pPr>
        <w:pStyle w:val="Subsection"/>
        <w:keepNext/>
        <w:spacing w:before="120"/>
        <w:rPr>
          <w:snapToGrid w:val="0"/>
        </w:rPr>
      </w:pPr>
      <w:r>
        <w:rPr>
          <w:snapToGrid w:val="0"/>
        </w:rPr>
        <w:tab/>
        <w:t>(3)</w:t>
      </w:r>
      <w:r>
        <w:rPr>
          <w:snapToGrid w:val="0"/>
        </w:rPr>
        <w:tab/>
        <w:t>In this regulation —</w:t>
      </w:r>
    </w:p>
    <w:p>
      <w:pPr>
        <w:pStyle w:val="Defstart"/>
        <w:keepNext/>
      </w:pPr>
      <w:r>
        <w:rPr>
          <w:b/>
        </w:rPr>
        <w:tab/>
      </w:r>
      <w:r>
        <w:rPr>
          <w:rStyle w:val="CharDefText"/>
        </w:rPr>
        <w:t>specified</w:t>
      </w:r>
      <w:r>
        <w:t xml:space="preserve"> means specified in the notice.</w:t>
      </w:r>
    </w:p>
    <w:p>
      <w:pPr>
        <w:pStyle w:val="Footnotesection"/>
        <w:keepLines w:val="0"/>
        <w:ind w:left="890" w:hanging="890"/>
      </w:pPr>
      <w:r>
        <w:tab/>
        <w:t>[Regulation 31 inserted in Gazette 26 Jun 1998 p. 3374; amended in Gazette 11 Dec 1998 p. 6601.]</w:t>
      </w:r>
    </w:p>
    <w:p>
      <w:pPr>
        <w:pStyle w:val="Heading5"/>
        <w:rPr>
          <w:snapToGrid w:val="0"/>
        </w:rPr>
      </w:pPr>
      <w:bookmarkStart w:id="84" w:name="_Toc404948594"/>
      <w:r>
        <w:rPr>
          <w:rStyle w:val="CharSectno"/>
        </w:rPr>
        <w:t>32</w:t>
      </w:r>
      <w:r>
        <w:rPr>
          <w:snapToGrid w:val="0"/>
        </w:rPr>
        <w:t>.</w:t>
      </w:r>
      <w:r>
        <w:rPr>
          <w:snapToGrid w:val="0"/>
        </w:rPr>
        <w:tab/>
        <w:t>CEO’s decisions, review of and appeal against</w:t>
      </w:r>
      <w:bookmarkEnd w:id="84"/>
    </w:p>
    <w:p>
      <w:pPr>
        <w:pStyle w:val="Subsection"/>
        <w:rPr>
          <w:snapToGrid w:val="0"/>
        </w:rPr>
      </w:pPr>
      <w:r>
        <w:rPr>
          <w:snapToGrid w:val="0"/>
        </w:rPr>
        <w:tab/>
        <w:t>(1)</w:t>
      </w:r>
      <w:r>
        <w:rPr>
          <w:snapToGrid w:val="0"/>
        </w:rPr>
        <w:tab/>
        <w:t>If the Chief Executive Officer —</w:t>
      </w:r>
    </w:p>
    <w:p>
      <w:pPr>
        <w:pStyle w:val="Indenta"/>
        <w:rPr>
          <w:snapToGrid w:val="0"/>
        </w:rPr>
      </w:pPr>
      <w:r>
        <w:rPr>
          <w:snapToGrid w:val="0"/>
        </w:rPr>
        <w:tab/>
        <w:t>(a)</w:t>
      </w:r>
      <w:r>
        <w:rPr>
          <w:snapToGrid w:val="0"/>
        </w:rPr>
        <w:tab/>
        <w:t>refuses to grant an exemption, or imposes conditions or limitations upon the grant of an exemption, under regulation 23; or</w:t>
      </w:r>
    </w:p>
    <w:p>
      <w:pPr>
        <w:pStyle w:val="Indenta"/>
        <w:rPr>
          <w:snapToGrid w:val="0"/>
        </w:rPr>
      </w:pPr>
      <w:r>
        <w:rPr>
          <w:snapToGrid w:val="0"/>
        </w:rPr>
        <w:tab/>
        <w:t>(b)</w:t>
      </w:r>
      <w:r>
        <w:rPr>
          <w:snapToGrid w:val="0"/>
        </w:rPr>
        <w:tab/>
        <w:t>requires the provision of a financial assurance under regulation 24; or</w:t>
      </w:r>
    </w:p>
    <w:p>
      <w:pPr>
        <w:pStyle w:val="Indenta"/>
        <w:rPr>
          <w:snapToGrid w:val="0"/>
        </w:rPr>
      </w:pPr>
      <w:r>
        <w:rPr>
          <w:snapToGrid w:val="0"/>
        </w:rPr>
        <w:tab/>
        <w:t>(c)</w:t>
      </w:r>
      <w:r>
        <w:rPr>
          <w:snapToGrid w:val="0"/>
        </w:rPr>
        <w:tab/>
        <w:t>gives a direction under regulation 31,</w:t>
      </w:r>
    </w:p>
    <w:p>
      <w:pPr>
        <w:pStyle w:val="Subsection"/>
        <w:rPr>
          <w:snapToGrid w:val="0"/>
          <w:spacing w:val="-4"/>
        </w:rPr>
      </w:pPr>
      <w:r>
        <w:rPr>
          <w:snapToGrid w:val="0"/>
        </w:rPr>
        <w:tab/>
      </w:r>
      <w:r>
        <w:rPr>
          <w:snapToGrid w:val="0"/>
        </w:rPr>
        <w:tab/>
      </w:r>
      <w:r>
        <w:rPr>
          <w:snapToGrid w:val="0"/>
          <w:spacing w:val="-4"/>
        </w:rPr>
        <w:t>the applicant may, within 14 days of notice of the decision, apply to the Chief Executive Officer for a review of the decision.</w:t>
      </w:r>
    </w:p>
    <w:p>
      <w:pPr>
        <w:pStyle w:val="Subsection"/>
        <w:rPr>
          <w:snapToGrid w:val="0"/>
        </w:rPr>
      </w:pPr>
      <w:r>
        <w:rPr>
          <w:snapToGrid w:val="0"/>
        </w:rPr>
        <w:tab/>
        <w:t>(2)</w:t>
      </w:r>
      <w:r>
        <w:rPr>
          <w:snapToGrid w:val="0"/>
        </w:rPr>
        <w:tab/>
        <w:t>When a request is made under subregulation (1), the Chief Executive Officer is to review the decision and make a fresh decision.</w:t>
      </w:r>
    </w:p>
    <w:p>
      <w:pPr>
        <w:pStyle w:val="Subsection"/>
        <w:rPr>
          <w:snapToGrid w:val="0"/>
        </w:rPr>
      </w:pPr>
      <w:r>
        <w:rPr>
          <w:snapToGrid w:val="0"/>
        </w:rPr>
        <w:tab/>
        <w:t>(3)</w:t>
      </w:r>
      <w:r>
        <w:rPr>
          <w:snapToGrid w:val="0"/>
        </w:rPr>
        <w:tab/>
        <w:t>If the applicant is dissatisfied with a decision under subregulation (2), the applicant may, within 14 days of notice of the decision, institute an appeal against the decision to the Minister.</w:t>
      </w:r>
    </w:p>
    <w:p>
      <w:pPr>
        <w:pStyle w:val="Subsection"/>
        <w:rPr>
          <w:snapToGrid w:val="0"/>
        </w:rPr>
      </w:pPr>
      <w:r>
        <w:rPr>
          <w:snapToGrid w:val="0"/>
        </w:rPr>
        <w:tab/>
        <w:t>(4)</w:t>
      </w:r>
      <w:r>
        <w:rPr>
          <w:snapToGrid w:val="0"/>
        </w:rPr>
        <w:tab/>
        <w:t>An appeal is instituted by giving notice in writing of the appeal, setting out the grounds and facts on which the appellant is relies.</w:t>
      </w:r>
    </w:p>
    <w:p>
      <w:pPr>
        <w:pStyle w:val="Subsection"/>
        <w:rPr>
          <w:snapToGrid w:val="0"/>
        </w:rPr>
      </w:pPr>
      <w:r>
        <w:rPr>
          <w:snapToGrid w:val="0"/>
        </w:rPr>
        <w:tab/>
        <w:t>(5)</w:t>
      </w:r>
      <w:r>
        <w:rPr>
          <w:snapToGrid w:val="0"/>
        </w:rPr>
        <w:tab/>
        <w:t>The Minister may affirm or vary the decision, or set aside the decision and substitute another decision, as the Minister thinks fit and the decision of the Minister is final.</w:t>
      </w:r>
    </w:p>
    <w:p>
      <w:pPr>
        <w:pStyle w:val="Subsection"/>
        <w:rPr>
          <w:snapToGrid w:val="0"/>
        </w:rPr>
      </w:pPr>
      <w:r>
        <w:rPr>
          <w:snapToGrid w:val="0"/>
        </w:rPr>
        <w:tab/>
        <w:t>(6)</w:t>
      </w:r>
      <w:r>
        <w:rPr>
          <w:snapToGrid w:val="0"/>
        </w:rPr>
        <w:tab/>
        <w:t>The making of an application for review or the institution of an appeal in respect of a decision under regulation 23 or 24 does not operate to stay the decision.</w:t>
      </w:r>
    </w:p>
    <w:p>
      <w:pPr>
        <w:pStyle w:val="Footnotesection"/>
      </w:pPr>
      <w:r>
        <w:tab/>
        <w:t>[Regulation 32 inserted in Gazette 26 Jun 1998 p. 3374.]</w:t>
      </w:r>
    </w:p>
    <w:p>
      <w:pPr>
        <w:pStyle w:val="Heading5"/>
      </w:pPr>
      <w:bookmarkStart w:id="85" w:name="_Toc404948595"/>
      <w:r>
        <w:rPr>
          <w:rStyle w:val="CharSectno"/>
        </w:rPr>
        <w:t>33</w:t>
      </w:r>
      <w:r>
        <w:t>.</w:t>
      </w:r>
      <w:r>
        <w:tab/>
        <w:t>Payment of levies is condition of licence</w:t>
      </w:r>
      <w:bookmarkEnd w:id="85"/>
    </w:p>
    <w:p>
      <w:pPr>
        <w:pStyle w:val="Subsection"/>
      </w:pPr>
      <w:r>
        <w:tab/>
      </w:r>
      <w:r>
        <w:tab/>
        <w:t>It is a condition of a licence in respect of a licensed landfill that the licensee is to pay the following —</w:t>
      </w:r>
    </w:p>
    <w:p>
      <w:pPr>
        <w:pStyle w:val="Indenta"/>
      </w:pPr>
      <w:r>
        <w:tab/>
        <w:t>(a)</w:t>
      </w:r>
      <w:r>
        <w:tab/>
        <w:t xml:space="preserve">any levy imposed under the </w:t>
      </w:r>
      <w:r>
        <w:rPr>
          <w:i/>
          <w:iCs/>
        </w:rPr>
        <w:t>Environmental Protection (Landfill) Levy Act 1998</w:t>
      </w:r>
      <w:r>
        <w:t xml:space="preserve"> in respect of waste to which this Part applies that is received at those premises;</w:t>
      </w:r>
    </w:p>
    <w:p>
      <w:pPr>
        <w:pStyle w:val="Indenta"/>
      </w:pPr>
      <w:r>
        <w:tab/>
        <w:t>(b)</w:t>
      </w:r>
      <w:r>
        <w:tab/>
        <w:t xml:space="preserve">any levy imposed under the </w:t>
      </w:r>
      <w:r>
        <w:rPr>
          <w:i/>
          <w:iCs/>
        </w:rPr>
        <w:t>Waste Avoidance and Resource Recovery Levy Act 2007</w:t>
      </w:r>
      <w:r>
        <w:t xml:space="preserve"> in respect of waste to which the </w:t>
      </w:r>
      <w:r>
        <w:rPr>
          <w:i/>
          <w:iCs/>
        </w:rPr>
        <w:t xml:space="preserve">Waste Avoidance and Resource Recovery Regulations 2008 </w:t>
      </w:r>
      <w:r>
        <w:t>Part 3 applies that is received at those premises.</w:t>
      </w:r>
    </w:p>
    <w:p>
      <w:pPr>
        <w:pStyle w:val="Footnotesection"/>
      </w:pPr>
      <w:r>
        <w:tab/>
        <w:t>[Regulation 33 inserted in Gazette 20 Jun 2008 p. 2683-4.]</w:t>
      </w:r>
    </w:p>
    <w:p>
      <w:pPr>
        <w:pStyle w:val="Heading2"/>
      </w:pPr>
      <w:bookmarkStart w:id="86" w:name="_Toc404948596"/>
      <w:r>
        <w:rPr>
          <w:rStyle w:val="CharPartNo"/>
        </w:rPr>
        <w:t>Part 10</w:t>
      </w:r>
      <w:r>
        <w:t xml:space="preserve"> — </w:t>
      </w:r>
      <w:r>
        <w:rPr>
          <w:rStyle w:val="CharPartText"/>
        </w:rPr>
        <w:t>Things seized or forfeited</w:t>
      </w:r>
      <w:bookmarkEnd w:id="86"/>
    </w:p>
    <w:p>
      <w:pPr>
        <w:pStyle w:val="Footnoteheading"/>
      </w:pPr>
      <w:r>
        <w:tab/>
        <w:t>[Heading inserted in Gazette 11 Dec 1998 p. 6601.]</w:t>
      </w:r>
    </w:p>
    <w:p>
      <w:pPr>
        <w:pStyle w:val="Heading5"/>
      </w:pPr>
      <w:bookmarkStart w:id="87" w:name="_Toc404948597"/>
      <w:r>
        <w:rPr>
          <w:rStyle w:val="CharSectno"/>
        </w:rPr>
        <w:t>34</w:t>
      </w:r>
      <w:r>
        <w:t>.</w:t>
      </w:r>
      <w:r>
        <w:tab/>
        <w:t>Ways prescribed of dealing with seized things (Act s. 92B(1))</w:t>
      </w:r>
      <w:bookmarkEnd w:id="87"/>
    </w:p>
    <w:p>
      <w:pPr>
        <w:pStyle w:val="Subsection"/>
      </w:pPr>
      <w:r>
        <w:tab/>
        <w:t>(1)</w:t>
      </w:r>
      <w:r>
        <w:tab/>
        <w:t>For the purposes of section 92B(1) of the Act, the following ways are prescribed as a way of dealing with any thing seized under section 92A of the Act —</w:t>
      </w:r>
    </w:p>
    <w:p>
      <w:pPr>
        <w:pStyle w:val="Indenta"/>
      </w:pPr>
      <w:r>
        <w:tab/>
        <w:t>(a)</w:t>
      </w:r>
      <w:r>
        <w:tab/>
        <w:t>sale at public auction, by tender or by private contract, as specified by the Chief Executive Officer; or</w:t>
      </w:r>
    </w:p>
    <w:p>
      <w:pPr>
        <w:pStyle w:val="Indenta"/>
      </w:pPr>
      <w:r>
        <w:tab/>
        <w:t>(b)</w:t>
      </w:r>
      <w:r>
        <w:tab/>
        <w:t>destruction or treatment at a site licensed under Part V of the Act, as specified by the Chief Executive Officer; or</w:t>
      </w:r>
    </w:p>
    <w:p>
      <w:pPr>
        <w:pStyle w:val="Indenta"/>
      </w:pPr>
      <w:r>
        <w:tab/>
        <w:t>(c)</w:t>
      </w:r>
      <w:r>
        <w:tab/>
        <w:t>preservation, as specified by the Chief Executive Officer; or</w:t>
      </w:r>
    </w:p>
    <w:p>
      <w:pPr>
        <w:pStyle w:val="Indenta"/>
      </w:pPr>
      <w:r>
        <w:tab/>
        <w:t>(d)</w:t>
      </w:r>
      <w:r>
        <w:tab/>
        <w:t>disposal at a site licensed under Part V of the Act, as specified by the Chief Executive Officer; or</w:t>
      </w:r>
    </w:p>
    <w:p>
      <w:pPr>
        <w:pStyle w:val="Indenta"/>
      </w:pPr>
      <w:r>
        <w:tab/>
        <w:t>(e)</w:t>
      </w:r>
      <w:r>
        <w:tab/>
        <w:t>storage at a site, as specified by the Chief Executive Officer.</w:t>
      </w:r>
    </w:p>
    <w:p>
      <w:pPr>
        <w:pStyle w:val="Subsection"/>
        <w:spacing w:before="120"/>
      </w:pPr>
      <w:r>
        <w:tab/>
        <w:t>(2)</w:t>
      </w:r>
      <w:r>
        <w:tab/>
      </w:r>
      <w:r>
        <w:rPr>
          <w:spacing w:val="-4"/>
        </w:rPr>
        <w:t>The Chief Executive Officer is to specify which method referred to in regulation (1) is to apply in respect of a particular thing seized.</w:t>
      </w:r>
    </w:p>
    <w:p>
      <w:pPr>
        <w:pStyle w:val="Footnotesection"/>
      </w:pPr>
      <w:r>
        <w:tab/>
        <w:t>[Regulation 34 inserted in Gazette 11 Dec 1998 p. 6601</w:t>
      </w:r>
      <w:r>
        <w:noBreakHyphen/>
        <w:t>2.]</w:t>
      </w:r>
    </w:p>
    <w:p>
      <w:pPr>
        <w:pStyle w:val="Heading5"/>
      </w:pPr>
      <w:bookmarkStart w:id="88" w:name="_Toc404948598"/>
      <w:r>
        <w:rPr>
          <w:rStyle w:val="CharSectno"/>
        </w:rPr>
        <w:t>35</w:t>
      </w:r>
      <w:r>
        <w:t>.</w:t>
      </w:r>
      <w:r>
        <w:tab/>
        <w:t>Manner of giving notice prescribed (Act s. 92D)</w:t>
      </w:r>
      <w:bookmarkEnd w:id="88"/>
    </w:p>
    <w:p>
      <w:pPr>
        <w:pStyle w:val="Subsection"/>
      </w:pPr>
      <w:r>
        <w:tab/>
      </w:r>
      <w:r>
        <w:tab/>
        <w:t>If —</w:t>
      </w:r>
    </w:p>
    <w:p>
      <w:pPr>
        <w:pStyle w:val="Indenta"/>
      </w:pPr>
      <w:r>
        <w:tab/>
        <w:t>(a)</w:t>
      </w:r>
      <w:r>
        <w:tab/>
        <w:t>a thing has been seized under the Act; and</w:t>
      </w:r>
    </w:p>
    <w:p>
      <w:pPr>
        <w:pStyle w:val="Indenta"/>
      </w:pPr>
      <w:r>
        <w:tab/>
        <w:t>(b)</w:t>
      </w:r>
      <w:r>
        <w:tab/>
        <w:t>a person to whom the thing can be returned under section 92C of the Act cannot be found,</w:t>
      </w:r>
    </w:p>
    <w:p>
      <w:pPr>
        <w:pStyle w:val="Subsection"/>
      </w:pPr>
      <w:r>
        <w:tab/>
      </w:r>
      <w:r>
        <w:tab/>
        <w:t>the Chief Executive Officer is to give notice that the thing is being held by the Department and may be claimed by its owner by publishing a notice once in a newspaper circulating throughout the State —</w:t>
      </w:r>
    </w:p>
    <w:p>
      <w:pPr>
        <w:pStyle w:val="Indenta"/>
      </w:pPr>
      <w:r>
        <w:tab/>
        <w:t>(c)</w:t>
      </w:r>
      <w:r>
        <w:tab/>
        <w:t>setting out a description of the thing seized; and</w:t>
      </w:r>
    </w:p>
    <w:p>
      <w:pPr>
        <w:pStyle w:val="Indenta"/>
      </w:pPr>
      <w:r>
        <w:tab/>
        <w:t>(d)</w:t>
      </w:r>
      <w:r>
        <w:tab/>
        <w:t>stating the place where the thing was seized; and</w:t>
      </w:r>
    </w:p>
    <w:p>
      <w:pPr>
        <w:pStyle w:val="Indenta"/>
      </w:pPr>
      <w:r>
        <w:tab/>
        <w:t>(e)</w:t>
      </w:r>
      <w:r>
        <w:tab/>
        <w:t>stating the place where the thing may be claimed; and</w:t>
      </w:r>
    </w:p>
    <w:p>
      <w:pPr>
        <w:pStyle w:val="Indenta"/>
      </w:pPr>
      <w:r>
        <w:tab/>
        <w:t>(f)</w:t>
      </w:r>
      <w:r>
        <w:tab/>
        <w:t>setting out the manner in which ownership of the thing may be proved; and</w:t>
      </w:r>
    </w:p>
    <w:p>
      <w:pPr>
        <w:pStyle w:val="Indenta"/>
      </w:pPr>
      <w:r>
        <w:tab/>
        <w:t>(g)</w:t>
      </w:r>
      <w:r>
        <w:tab/>
        <w:t>to the effect that if, after the expiration of 3 months from the day on which the notice has been given in the newspaper, the thing has not been claimed by its owner, the thing is forfeited to the Crown.</w:t>
      </w:r>
    </w:p>
    <w:p>
      <w:pPr>
        <w:pStyle w:val="Footnotesection"/>
      </w:pPr>
      <w:r>
        <w:tab/>
        <w:t>[Regulation 35 inserted in Gazette 11 Dec 1998 p. 6602.]</w:t>
      </w:r>
    </w:p>
    <w:p>
      <w:pPr>
        <w:pStyle w:val="Heading5"/>
      </w:pPr>
      <w:bookmarkStart w:id="89" w:name="_Toc404948599"/>
      <w:r>
        <w:rPr>
          <w:rStyle w:val="CharSectno"/>
        </w:rPr>
        <w:t>36</w:t>
      </w:r>
      <w:r>
        <w:t>.</w:t>
      </w:r>
      <w:r>
        <w:tab/>
        <w:t>Ways prescribed of disposing of thing forfeited to Crown</w:t>
      </w:r>
      <w:r>
        <w:rPr>
          <w:snapToGrid w:val="0"/>
        </w:rPr>
        <w:t xml:space="preserve"> (Act s. 99W(1))</w:t>
      </w:r>
      <w:bookmarkEnd w:id="89"/>
    </w:p>
    <w:p>
      <w:pPr>
        <w:pStyle w:val="Subsection"/>
      </w:pPr>
      <w:r>
        <w:tab/>
        <w:t>(1)</w:t>
      </w:r>
      <w:r>
        <w:tab/>
        <w:t>For the purposes of section 99W(1) of the Act, the following ways are prescribed for disposing of any thing forfeited to the Crown under the Act —</w:t>
      </w:r>
    </w:p>
    <w:p>
      <w:pPr>
        <w:pStyle w:val="Indenta"/>
      </w:pPr>
      <w:r>
        <w:tab/>
        <w:t>(a)</w:t>
      </w:r>
      <w:r>
        <w:tab/>
        <w:t>transfer to the Department for its use or transfer, with or without charge, to another public authority or to a department of the Commonwealth; or</w:t>
      </w:r>
    </w:p>
    <w:p>
      <w:pPr>
        <w:pStyle w:val="Indenta"/>
      </w:pPr>
      <w:r>
        <w:tab/>
        <w:t>(b)</w:t>
      </w:r>
      <w:r>
        <w:tab/>
        <w:t>sale at public auction, by tender or by private contract; or</w:t>
      </w:r>
    </w:p>
    <w:p>
      <w:pPr>
        <w:pStyle w:val="Indenta"/>
      </w:pPr>
      <w:r>
        <w:tab/>
        <w:t>(c)</w:t>
      </w:r>
      <w:r>
        <w:tab/>
        <w:t>treatment at a site licensed under Part V of the Act, as specified by the Chief Executive Officer; or</w:t>
      </w:r>
    </w:p>
    <w:p>
      <w:pPr>
        <w:pStyle w:val="Indenta"/>
      </w:pPr>
      <w:r>
        <w:tab/>
        <w:t>(d)</w:t>
      </w:r>
      <w:r>
        <w:tab/>
        <w:t>destruction or disposal at a site licensed under Part V of the Act, as specified by the Chief Executive Officer.</w:t>
      </w:r>
    </w:p>
    <w:p>
      <w:pPr>
        <w:pStyle w:val="Subsection"/>
      </w:pPr>
      <w:r>
        <w:tab/>
        <w:t>(2)</w:t>
      </w:r>
      <w:r>
        <w:tab/>
        <w:t>The Chief Executive Officer is to specify which method referred to in subregulation (1) is to apply in respect of a particular thing forfeited to the Crown.</w:t>
      </w:r>
    </w:p>
    <w:p>
      <w:pPr>
        <w:pStyle w:val="Footnotesection"/>
      </w:pPr>
      <w:r>
        <w:tab/>
        <w:t>[Regulation 36 inserted in Gazette 11 Dec 1998 p. 6602</w:t>
      </w:r>
      <w:r>
        <w:noBreakHyphen/>
        <w:t>3.]</w:t>
      </w:r>
    </w:p>
    <w:p>
      <w:pPr>
        <w:pStyle w:val="Heading2"/>
      </w:pPr>
      <w:bookmarkStart w:id="90" w:name="_Toc404948600"/>
      <w:r>
        <w:rPr>
          <w:rStyle w:val="CharPartNo"/>
        </w:rPr>
        <w:t>Part 11</w:t>
      </w:r>
      <w:r>
        <w:t xml:space="preserve"> — </w:t>
      </w:r>
      <w:r>
        <w:rPr>
          <w:rStyle w:val="CharPartText"/>
        </w:rPr>
        <w:t>Modified penalties and Tier 2 offences</w:t>
      </w:r>
      <w:bookmarkEnd w:id="90"/>
    </w:p>
    <w:p>
      <w:pPr>
        <w:pStyle w:val="Footnoteheading"/>
      </w:pPr>
      <w:r>
        <w:tab/>
        <w:t>[Heading inserted in Gazette 11 Dec 1998 p. 6603.]</w:t>
      </w:r>
    </w:p>
    <w:p>
      <w:pPr>
        <w:pStyle w:val="Heading5"/>
        <w:spacing w:before="180"/>
      </w:pPr>
      <w:bookmarkStart w:id="91" w:name="_Toc404948601"/>
      <w:r>
        <w:rPr>
          <w:rStyle w:val="CharSectno"/>
        </w:rPr>
        <w:t>37</w:t>
      </w:r>
      <w:r>
        <w:t>.</w:t>
      </w:r>
      <w:r>
        <w:tab/>
        <w:t>Form of modified penalty notice prescribed (Act s. 99B(1))</w:t>
      </w:r>
      <w:bookmarkEnd w:id="91"/>
    </w:p>
    <w:p>
      <w:pPr>
        <w:pStyle w:val="Subsection"/>
      </w:pPr>
      <w:r>
        <w:tab/>
      </w:r>
      <w:r>
        <w:tab/>
        <w:t>Form 1 in Schedule 7 is prescribed, under section 99B(1) of the Act, as the form of modified penalty notice.</w:t>
      </w:r>
    </w:p>
    <w:p>
      <w:pPr>
        <w:pStyle w:val="Footnotesection"/>
        <w:spacing w:before="80"/>
        <w:ind w:left="890" w:hanging="890"/>
      </w:pPr>
      <w:r>
        <w:tab/>
        <w:t>[Regulation 37 inserted in Gazette 11 Dec 1998 p. 6603.]</w:t>
      </w:r>
    </w:p>
    <w:p>
      <w:pPr>
        <w:pStyle w:val="Heading5"/>
        <w:spacing w:before="180"/>
      </w:pPr>
      <w:bookmarkStart w:id="92" w:name="_Toc404948602"/>
      <w:r>
        <w:rPr>
          <w:rStyle w:val="CharSectno"/>
        </w:rPr>
        <w:t>38</w:t>
      </w:r>
      <w:r>
        <w:t>.</w:t>
      </w:r>
      <w:r>
        <w:tab/>
        <w:t>Form of notice of withdrawal prescribed (Act s. 99D(1))</w:t>
      </w:r>
      <w:bookmarkEnd w:id="92"/>
    </w:p>
    <w:p>
      <w:pPr>
        <w:pStyle w:val="Subsection"/>
      </w:pPr>
      <w:r>
        <w:tab/>
      </w:r>
      <w:r>
        <w:tab/>
        <w:t>Form 2 in Schedule 7 is prescribed, under section 99D(1) of the Act, as the form of withdrawal of modified penalty notice.</w:t>
      </w:r>
    </w:p>
    <w:p>
      <w:pPr>
        <w:pStyle w:val="Footnotesection"/>
        <w:spacing w:before="80"/>
        <w:ind w:left="890" w:hanging="890"/>
      </w:pPr>
      <w:r>
        <w:tab/>
        <w:t>[Regulation 38 inserted in Gazette 11 Dec 1998 p. 6603.]</w:t>
      </w:r>
    </w:p>
    <w:p>
      <w:pPr>
        <w:pStyle w:val="Heading5"/>
        <w:spacing w:before="180"/>
      </w:pPr>
      <w:bookmarkStart w:id="93" w:name="_Toc404948603"/>
      <w:r>
        <w:rPr>
          <w:rStyle w:val="CharSectno"/>
        </w:rPr>
        <w:t>39</w:t>
      </w:r>
      <w:r>
        <w:t>.</w:t>
      </w:r>
      <w:r>
        <w:tab/>
        <w:t>Particulars prescribed (Act s. 99E(3))</w:t>
      </w:r>
      <w:bookmarkEnd w:id="93"/>
    </w:p>
    <w:p>
      <w:pPr>
        <w:pStyle w:val="Subsection"/>
      </w:pPr>
      <w:r>
        <w:tab/>
      </w:r>
      <w:r>
        <w:tab/>
        <w:t>For the purposes of section 99E(3) of the Act, the following particulars are prescribed —</w:t>
      </w:r>
    </w:p>
    <w:p>
      <w:pPr>
        <w:pStyle w:val="Indenta"/>
      </w:pPr>
      <w:r>
        <w:tab/>
        <w:t>(a)</w:t>
      </w:r>
      <w:r>
        <w:tab/>
        <w:t>the name of the person who paid the modified penalty;</w:t>
      </w:r>
    </w:p>
    <w:p>
      <w:pPr>
        <w:pStyle w:val="Indenta"/>
      </w:pPr>
      <w:r>
        <w:tab/>
        <w:t>(b)</w:t>
      </w:r>
      <w:r>
        <w:tab/>
        <w:t>the section of the Act contravened in respect of which the modified penalty was paid;</w:t>
      </w:r>
    </w:p>
    <w:p>
      <w:pPr>
        <w:pStyle w:val="Indenta"/>
      </w:pPr>
      <w:r>
        <w:tab/>
        <w:t>(c)</w:t>
      </w:r>
      <w:r>
        <w:tab/>
        <w:t>a description of the offence;</w:t>
      </w:r>
    </w:p>
    <w:p>
      <w:pPr>
        <w:pStyle w:val="Indenta"/>
      </w:pPr>
      <w:r>
        <w:tab/>
        <w:t>(d)</w:t>
      </w:r>
      <w:r>
        <w:tab/>
        <w:t>the penalty paid;</w:t>
      </w:r>
    </w:p>
    <w:p>
      <w:pPr>
        <w:pStyle w:val="Indenta"/>
      </w:pPr>
      <w:r>
        <w:tab/>
        <w:t>(e)</w:t>
      </w:r>
      <w:r>
        <w:tab/>
        <w:t>the place where the register of certificates issued under section 99A of the Act and modified penalty notices may be inspected.</w:t>
      </w:r>
    </w:p>
    <w:p>
      <w:pPr>
        <w:pStyle w:val="Footnotesection"/>
        <w:spacing w:before="80"/>
        <w:ind w:left="890" w:hanging="890"/>
      </w:pPr>
      <w:r>
        <w:tab/>
        <w:t>[Regulation 39 inserted in Gazette 11 Dec 1998 p. 6603.]</w:t>
      </w:r>
    </w:p>
    <w:p>
      <w:pPr>
        <w:pStyle w:val="Heading5"/>
        <w:spacing w:before="180"/>
      </w:pPr>
      <w:bookmarkStart w:id="94" w:name="_Toc404948604"/>
      <w:r>
        <w:rPr>
          <w:rStyle w:val="CharSectno"/>
        </w:rPr>
        <w:t>40</w:t>
      </w:r>
      <w:r>
        <w:t>.</w:t>
      </w:r>
      <w:r>
        <w:tab/>
        <w:t>Where and when public may inspect register (Act s. 99F(2))</w:t>
      </w:r>
      <w:bookmarkEnd w:id="94"/>
    </w:p>
    <w:p>
      <w:pPr>
        <w:pStyle w:val="Subsection"/>
      </w:pPr>
      <w:r>
        <w:rPr>
          <w:spacing w:val="-6"/>
        </w:rPr>
        <w:tab/>
      </w:r>
      <w:r>
        <w:rPr>
          <w:spacing w:val="-6"/>
        </w:rPr>
        <w:tab/>
      </w:r>
      <w:r>
        <w:t>The register that the Chief Executive Officer is required to maintain under section 99F(1) of the Act is to be available for public inspection during normal office hours at the Departmental library.</w:t>
      </w:r>
    </w:p>
    <w:p>
      <w:pPr>
        <w:pStyle w:val="Footnotesection"/>
        <w:keepLines w:val="0"/>
        <w:spacing w:before="80"/>
        <w:ind w:left="890" w:hanging="890"/>
      </w:pPr>
      <w:r>
        <w:tab/>
        <w:t>[Regulation 40 inserted in Gazette 11 Dec 1998 p. 6603; amended in Gazette 29 Sep 2006 p. 4261.]</w:t>
      </w:r>
    </w:p>
    <w:p>
      <w:pPr>
        <w:pStyle w:val="Heading2"/>
      </w:pPr>
      <w:bookmarkStart w:id="95" w:name="_Toc404948605"/>
      <w:r>
        <w:rPr>
          <w:rStyle w:val="CharPartNo"/>
        </w:rPr>
        <w:t>Part 12</w:t>
      </w:r>
      <w:r>
        <w:t xml:space="preserve"> — </w:t>
      </w:r>
      <w:r>
        <w:rPr>
          <w:rStyle w:val="CharPartText"/>
        </w:rPr>
        <w:t>Infringement notices and offences</w:t>
      </w:r>
      <w:bookmarkEnd w:id="95"/>
    </w:p>
    <w:p>
      <w:pPr>
        <w:pStyle w:val="Footnoteheading"/>
      </w:pPr>
      <w:r>
        <w:tab/>
        <w:t>[Heading inserted in Gazette 11 Dec 1998 p. 6603.]</w:t>
      </w:r>
    </w:p>
    <w:p>
      <w:pPr>
        <w:pStyle w:val="Heading5"/>
      </w:pPr>
      <w:bookmarkStart w:id="96" w:name="_Toc404948606"/>
      <w:r>
        <w:rPr>
          <w:rStyle w:val="CharSectno"/>
        </w:rPr>
        <w:t>41</w:t>
      </w:r>
      <w:r>
        <w:t>.</w:t>
      </w:r>
      <w:r>
        <w:tab/>
        <w:t>Infringement notice offences and modified penalties prescribed (Act s. 99H and 99K)</w:t>
      </w:r>
      <w:bookmarkEnd w:id="96"/>
    </w:p>
    <w:p>
      <w:pPr>
        <w:pStyle w:val="Subsection"/>
      </w:pPr>
      <w:r>
        <w:tab/>
        <w:t>(1)</w:t>
      </w:r>
      <w:r>
        <w:tab/>
        <w:t xml:space="preserve">The offences described in the first column of Schedule 6 are prescribed for the purpose of the definition of </w:t>
      </w:r>
      <w:r>
        <w:rPr>
          <w:b/>
          <w:i/>
        </w:rPr>
        <w:t>infringement notice offence</w:t>
      </w:r>
      <w:r>
        <w:t xml:space="preserve"> in section 99H of the Act and —</w:t>
      </w:r>
    </w:p>
    <w:p>
      <w:pPr>
        <w:pStyle w:val="Indenta"/>
      </w:pPr>
      <w:r>
        <w:tab/>
        <w:t>(a)</w:t>
      </w:r>
      <w:r>
        <w:tab/>
        <w:t>the amount appearing in the second column of that Schedule, directly opposite an offence, is the modified penalty prescribed in respect of that offence if the alleged offender has not previously been convicted of an offence of that kind and has not previously paid a modified penalty under Division 2 of Part VIA of the Act in respect of an alleged offence of that kind; and</w:t>
      </w:r>
    </w:p>
    <w:p>
      <w:pPr>
        <w:pStyle w:val="Indenta"/>
      </w:pPr>
      <w:r>
        <w:tab/>
        <w:t>(b)</w:t>
      </w:r>
      <w:r>
        <w:tab/>
        <w:t>the amount appearing in the third column of that Schedule, directly opposite an offence, is the modified penalty prescribed in respect of that offence if the alleged offender has previously been convicted of an offence of that kind, or has previously paid a modified penalty under Division 2 of Part VIA of the Act in respect of an alleged offence of that kind.</w:t>
      </w:r>
    </w:p>
    <w:p>
      <w:pPr>
        <w:pStyle w:val="Subsection"/>
      </w:pPr>
      <w:r>
        <w:tab/>
        <w:t>(2)</w:t>
      </w:r>
      <w:r>
        <w:tab/>
        <w:t>For the purposes of subregulation (1), a prior conviction or payment of a modified penalty in respect of an alleged offence against the regulations is not to be taken into account for the purposes of determining whether the alleged offender has previously been convicted of an offence or has previously paid a modified penalty notice unless —</w:t>
      </w:r>
    </w:p>
    <w:p>
      <w:pPr>
        <w:pStyle w:val="Indenta"/>
      </w:pPr>
      <w:r>
        <w:tab/>
        <w:t>(a)</w:t>
      </w:r>
      <w:r>
        <w:tab/>
        <w:t>the prior conviction was recorded within the period of 5 years immediately prior to the giving of an infringement notice in respect of the present alleged offence; or</w:t>
      </w:r>
    </w:p>
    <w:p>
      <w:pPr>
        <w:pStyle w:val="Indenta"/>
      </w:pPr>
      <w:r>
        <w:tab/>
        <w:t>(b)</w:t>
      </w:r>
      <w:r>
        <w:tab/>
        <w:t>the modified penalty was paid in respect of the prior alleged offence within the period of 5 years immediately prior to the giving of an infringement notice in respect of the present alleged offence.</w:t>
      </w:r>
    </w:p>
    <w:p>
      <w:pPr>
        <w:pStyle w:val="Footnotesection"/>
      </w:pPr>
      <w:r>
        <w:tab/>
        <w:t>[Regulation 41 inserted in Gazette 11 Dec 1998 p. 6603</w:t>
      </w:r>
      <w:r>
        <w:noBreakHyphen/>
        <w:t>4.]</w:t>
      </w:r>
    </w:p>
    <w:p>
      <w:pPr>
        <w:pStyle w:val="Heading5"/>
      </w:pPr>
      <w:bookmarkStart w:id="97" w:name="_Toc404948607"/>
      <w:r>
        <w:rPr>
          <w:rStyle w:val="CharSectno"/>
        </w:rPr>
        <w:t>42</w:t>
      </w:r>
      <w:r>
        <w:t>.</w:t>
      </w:r>
      <w:r>
        <w:tab/>
        <w:t>Form of infringement notice prescribed (Act s. 99K(1))</w:t>
      </w:r>
      <w:bookmarkEnd w:id="97"/>
    </w:p>
    <w:p>
      <w:pPr>
        <w:pStyle w:val="Subsection"/>
      </w:pPr>
      <w:r>
        <w:tab/>
      </w:r>
      <w:r>
        <w:tab/>
        <w:t>Form 3 in Schedule 7 is prescribed, under section 99K(1) of the Act, as the form of infringement notice.</w:t>
      </w:r>
    </w:p>
    <w:p>
      <w:pPr>
        <w:pStyle w:val="Footnotesection"/>
      </w:pPr>
      <w:r>
        <w:tab/>
        <w:t>[Regulation 42 inserted in Gazette 11 Dec 1998 p. 6604.]</w:t>
      </w:r>
    </w:p>
    <w:p>
      <w:pPr>
        <w:pStyle w:val="Heading5"/>
      </w:pPr>
      <w:bookmarkStart w:id="98" w:name="_Toc404948608"/>
      <w:r>
        <w:rPr>
          <w:rStyle w:val="CharSectno"/>
        </w:rPr>
        <w:t>43</w:t>
      </w:r>
      <w:r>
        <w:t>.</w:t>
      </w:r>
      <w:r>
        <w:tab/>
        <w:t>Form of notice of withdrawal prescribed (Act s. 99N(1))</w:t>
      </w:r>
      <w:bookmarkEnd w:id="98"/>
    </w:p>
    <w:p>
      <w:pPr>
        <w:pStyle w:val="Subsection"/>
      </w:pPr>
      <w:r>
        <w:tab/>
      </w:r>
      <w:r>
        <w:tab/>
        <w:t>Form 4 in Schedule 7 is prescribed, under section 99N(1) of the Act, as the form of withdrawal of infringement notice.</w:t>
      </w:r>
    </w:p>
    <w:p>
      <w:pPr>
        <w:pStyle w:val="Footnotesection"/>
      </w:pPr>
      <w:r>
        <w:tab/>
        <w:t>[Regulation 43 inserted in Gazette 11 Dec 1998 p. 6604.]</w:t>
      </w:r>
    </w:p>
    <w:p>
      <w:pPr>
        <w:pStyle w:val="Heading2"/>
      </w:pPr>
      <w:bookmarkStart w:id="99" w:name="_Toc404948609"/>
      <w:r>
        <w:rPr>
          <w:rStyle w:val="CharPartNo"/>
        </w:rPr>
        <w:t>Part 13</w:t>
      </w:r>
      <w:r>
        <w:t xml:space="preserve"> — </w:t>
      </w:r>
      <w:r>
        <w:rPr>
          <w:rStyle w:val="CharPartText"/>
        </w:rPr>
        <w:t>Miscellaneous</w:t>
      </w:r>
      <w:bookmarkEnd w:id="99"/>
    </w:p>
    <w:p>
      <w:pPr>
        <w:pStyle w:val="Footnoteheading"/>
      </w:pPr>
      <w:r>
        <w:tab/>
        <w:t>[Heading inserted in Gazette 11 Dec 1998 p. 6604.]</w:t>
      </w:r>
    </w:p>
    <w:p>
      <w:pPr>
        <w:pStyle w:val="Heading5"/>
      </w:pPr>
      <w:bookmarkStart w:id="100" w:name="_Toc404948610"/>
      <w:r>
        <w:rPr>
          <w:rStyle w:val="CharSectno"/>
        </w:rPr>
        <w:t>44</w:t>
      </w:r>
      <w:r>
        <w:t>.</w:t>
      </w:r>
      <w:r>
        <w:tab/>
        <w:t>Maximum amount prescribed (Act s. 99Y(1))</w:t>
      </w:r>
      <w:bookmarkEnd w:id="100"/>
    </w:p>
    <w:p>
      <w:pPr>
        <w:pStyle w:val="Subsection"/>
      </w:pPr>
      <w:r>
        <w:tab/>
        <w:t>(1)</w:t>
      </w:r>
      <w:r>
        <w:tab/>
        <w:t>For the purposes of section 99Y(1)(a) of the Act —</w:t>
      </w:r>
    </w:p>
    <w:p>
      <w:pPr>
        <w:pStyle w:val="Indenta"/>
      </w:pPr>
      <w:r>
        <w:tab/>
        <w:t>(a)</w:t>
      </w:r>
      <w:r>
        <w:tab/>
        <w:t>$2 million is prescribed as the maximum amount that the offender may be ordered to pay to the Chief Executive Officer for reasonable costs and expenses incurred; and</w:t>
      </w:r>
    </w:p>
    <w:p>
      <w:pPr>
        <w:pStyle w:val="Indenta"/>
      </w:pPr>
      <w:r>
        <w:tab/>
        <w:t>(b)</w:t>
      </w:r>
      <w:r>
        <w:tab/>
        <w:t>$2 million is prescribed as the maximum amount that the offender may be ordered to pay to a public authority for reasonable costs and expenses incurred.</w:t>
      </w:r>
    </w:p>
    <w:p>
      <w:pPr>
        <w:pStyle w:val="Subsection"/>
      </w:pPr>
      <w:r>
        <w:tab/>
        <w:t>(2)</w:t>
      </w:r>
      <w:r>
        <w:tab/>
        <w:t>For the purposes of section 99Y(1)(b) of the Act —</w:t>
      </w:r>
    </w:p>
    <w:p>
      <w:pPr>
        <w:pStyle w:val="Indenta"/>
      </w:pPr>
      <w:r>
        <w:tab/>
        <w:t>(a)</w:t>
      </w:r>
      <w:r>
        <w:tab/>
        <w:t>$100 000 is prescribed as the maximum amount that the offender may be ordered to pay a person (other than the Chief Executive Officer or a public authority) for reasonably incurred costs and expenses; and</w:t>
      </w:r>
    </w:p>
    <w:p>
      <w:pPr>
        <w:pStyle w:val="Indenta"/>
      </w:pPr>
      <w:r>
        <w:tab/>
        <w:t>(b)</w:t>
      </w:r>
      <w:r>
        <w:tab/>
        <w:t>$500 000 is prescribed as the maximum amount that an offender may be ordered to pay to the Chief Executive Officer or a public authority as compensation for loss or damage suffered to property; and</w:t>
      </w:r>
    </w:p>
    <w:p>
      <w:pPr>
        <w:pStyle w:val="Indenta"/>
      </w:pPr>
      <w:r>
        <w:tab/>
        <w:t>(c)</w:t>
      </w:r>
      <w:r>
        <w:tab/>
        <w:t>$50 000 is prescribed as the maximum amount that an offender may be ordered to pay to a person (other than the Chief Executive Officer or a public authority) as compensation for loss or damage suffered to property.</w:t>
      </w:r>
    </w:p>
    <w:p>
      <w:pPr>
        <w:pStyle w:val="Footnotesection"/>
      </w:pPr>
      <w:r>
        <w:tab/>
        <w:t>[Regulation 44 inserted in Gazette 11 Dec 1998 p. 6604</w:t>
      </w:r>
      <w:r>
        <w:noBreakHyphen/>
        <w:t>5.]</w:t>
      </w:r>
    </w:p>
    <w:p>
      <w:pPr>
        <w:pStyle w:val="Defpara"/>
        <w:sectPr>
          <w:headerReference w:type="even" r:id="rId27"/>
          <w:headerReference w:type="default" r:id="rId28"/>
          <w:footerReference w:type="even" r:id="rId29"/>
          <w:footerReference w:type="default" r:id="rId30"/>
          <w:headerReference w:type="first" r:id="rId31"/>
          <w:footerReference w:type="first" r:id="rId32"/>
          <w:pgSz w:w="11906" w:h="16838" w:code="9"/>
          <w:pgMar w:top="2376" w:right="2405" w:bottom="3542" w:left="2405" w:header="706" w:footer="3380" w:gutter="0"/>
          <w:pgNumType w:start="1"/>
          <w:cols w:space="720"/>
          <w:noEndnote/>
          <w:titlePg/>
          <w:docGrid w:linePitch="326"/>
        </w:sectPr>
      </w:pPr>
    </w:p>
    <w:p>
      <w:pPr>
        <w:pStyle w:val="yScheduleHeading"/>
      </w:pPr>
      <w:bookmarkStart w:id="101" w:name="_Toc404948611"/>
      <w:r>
        <w:rPr>
          <w:rStyle w:val="CharSchNo"/>
        </w:rPr>
        <w:t>Schedule 1</w:t>
      </w:r>
      <w:r>
        <w:t> — </w:t>
      </w:r>
      <w:r>
        <w:rPr>
          <w:rStyle w:val="CharSchText"/>
        </w:rPr>
        <w:t>Prescribed premises</w:t>
      </w:r>
      <w:bookmarkEnd w:id="101"/>
    </w:p>
    <w:p>
      <w:pPr>
        <w:pStyle w:val="yShoulderClause"/>
        <w:rPr>
          <w:snapToGrid w:val="0"/>
        </w:rPr>
      </w:pPr>
      <w:r>
        <w:rPr>
          <w:snapToGrid w:val="0"/>
        </w:rPr>
        <w:t>[r. 5]</w:t>
      </w:r>
    </w:p>
    <w:p>
      <w:pPr>
        <w:pStyle w:val="yFootnoteheading"/>
      </w:pPr>
      <w:r>
        <w:tab/>
        <w:t>[Heading inserted in Gazette 13 Sep 1996 p. 4549.]</w:t>
      </w:r>
    </w:p>
    <w:p>
      <w:pPr>
        <w:pStyle w:val="yMiscellaneousHeading"/>
        <w:spacing w:after="80"/>
        <w:rPr>
          <w:b/>
        </w:rPr>
      </w:pPr>
      <w:r>
        <w:rPr>
          <w:rStyle w:val="CharSDivNo"/>
          <w:b/>
          <w:sz w:val="28"/>
        </w:rPr>
        <w:t>Part 1</w:t>
      </w:r>
      <w:r>
        <w:rPr>
          <w:rStyle w:val="CharSDivText"/>
          <w:b/>
        </w:rPr>
        <w:t xml:space="preserve"> </w:t>
      </w:r>
    </w:p>
    <w:tbl>
      <w:tblPr>
        <w:tblW w:w="0" w:type="auto"/>
        <w:tblInd w:w="57" w:type="dxa"/>
        <w:tblLayout w:type="fixed"/>
        <w:tblCellMar>
          <w:left w:w="57" w:type="dxa"/>
          <w:right w:w="141" w:type="dxa"/>
        </w:tblCellMar>
        <w:tblLook w:val="0000" w:firstRow="0" w:lastRow="0" w:firstColumn="0" w:lastColumn="0" w:noHBand="0" w:noVBand="0"/>
      </w:tblPr>
      <w:tblGrid>
        <w:gridCol w:w="1080"/>
        <w:gridCol w:w="4449"/>
        <w:gridCol w:w="1701"/>
      </w:tblGrid>
      <w:tr>
        <w:trPr>
          <w:tblHeader/>
        </w:trPr>
        <w:tc>
          <w:tcPr>
            <w:tcW w:w="1080" w:type="dxa"/>
          </w:tcPr>
          <w:p>
            <w:pPr>
              <w:pStyle w:val="yTableNAm"/>
              <w:spacing w:before="100"/>
              <w:jc w:val="center"/>
              <w:rPr>
                <w:b/>
              </w:rPr>
            </w:pPr>
            <w:r>
              <w:rPr>
                <w:b/>
              </w:rPr>
              <w:t>Category number</w:t>
            </w:r>
          </w:p>
        </w:tc>
        <w:tc>
          <w:tcPr>
            <w:tcW w:w="4449" w:type="dxa"/>
          </w:tcPr>
          <w:p>
            <w:pPr>
              <w:pStyle w:val="yTableNAm"/>
              <w:tabs>
                <w:tab w:val="clear" w:pos="567"/>
                <w:tab w:val="left" w:pos="423"/>
                <w:tab w:val="left" w:pos="739"/>
              </w:tabs>
              <w:spacing w:before="100"/>
              <w:jc w:val="center"/>
              <w:rPr>
                <w:b/>
              </w:rPr>
            </w:pPr>
            <w:r>
              <w:rPr>
                <w:b/>
              </w:rPr>
              <w:t>Description of category</w:t>
            </w:r>
          </w:p>
        </w:tc>
        <w:tc>
          <w:tcPr>
            <w:tcW w:w="1701" w:type="dxa"/>
          </w:tcPr>
          <w:p>
            <w:pPr>
              <w:pStyle w:val="yTableNAm"/>
              <w:spacing w:before="100"/>
              <w:jc w:val="center"/>
              <w:rPr>
                <w:b/>
              </w:rPr>
            </w:pPr>
            <w:r>
              <w:rPr>
                <w:b/>
              </w:rPr>
              <w:t>Production or design capacity</w:t>
            </w:r>
          </w:p>
        </w:tc>
      </w:tr>
      <w:tr>
        <w:trPr>
          <w:cantSplit/>
        </w:trPr>
        <w:tc>
          <w:tcPr>
            <w:tcW w:w="1080" w:type="dxa"/>
          </w:tcPr>
          <w:p>
            <w:pPr>
              <w:pStyle w:val="yTableNAm"/>
              <w:spacing w:before="100"/>
            </w:pPr>
            <w:r>
              <w:t>1</w:t>
            </w:r>
          </w:p>
        </w:tc>
        <w:tc>
          <w:tcPr>
            <w:tcW w:w="4449" w:type="dxa"/>
          </w:tcPr>
          <w:p>
            <w:pPr>
              <w:pStyle w:val="yTableNAm"/>
              <w:tabs>
                <w:tab w:val="clear" w:pos="567"/>
                <w:tab w:val="left" w:pos="423"/>
                <w:tab w:val="left" w:pos="739"/>
              </w:tabs>
              <w:spacing w:before="100"/>
            </w:pPr>
            <w:r>
              <w:t>Cattle feedlot:  premises on which the watering and feeding of cattle occurs, being premises —</w:t>
            </w:r>
          </w:p>
          <w:p>
            <w:pPr>
              <w:pStyle w:val="yTableNAm"/>
              <w:tabs>
                <w:tab w:val="clear" w:pos="567"/>
                <w:tab w:val="left" w:pos="423"/>
                <w:tab w:val="left" w:pos="739"/>
              </w:tabs>
              <w:spacing w:before="100"/>
              <w:ind w:left="425" w:hanging="425"/>
            </w:pPr>
            <w:r>
              <w:t>(a)</w:t>
            </w:r>
            <w:r>
              <w:tab/>
              <w:t>situated less than 100 m from a watercourse; and</w:t>
            </w:r>
          </w:p>
          <w:p>
            <w:pPr>
              <w:pStyle w:val="yTableNAm"/>
              <w:tabs>
                <w:tab w:val="clear" w:pos="567"/>
                <w:tab w:val="left" w:pos="423"/>
                <w:tab w:val="left" w:pos="739"/>
              </w:tabs>
              <w:spacing w:before="100"/>
              <w:ind w:left="423" w:hanging="423"/>
            </w:pPr>
            <w:r>
              <w:t>(b)</w:t>
            </w:r>
            <w:r>
              <w:tab/>
              <w:t>on which the number of cattle per hectare exceeds 50.</w:t>
            </w:r>
          </w:p>
        </w:tc>
        <w:tc>
          <w:tcPr>
            <w:tcW w:w="1701" w:type="dxa"/>
          </w:tcPr>
          <w:p>
            <w:pPr>
              <w:pStyle w:val="yTableNAm"/>
              <w:spacing w:before="100"/>
            </w:pPr>
            <w:r>
              <w:t>500 animals or more</w:t>
            </w:r>
          </w:p>
        </w:tc>
      </w:tr>
      <w:tr>
        <w:trPr>
          <w:cantSplit/>
        </w:trPr>
        <w:tc>
          <w:tcPr>
            <w:tcW w:w="1080" w:type="dxa"/>
          </w:tcPr>
          <w:p>
            <w:pPr>
              <w:pStyle w:val="yTableNAm"/>
              <w:spacing w:before="100"/>
            </w:pPr>
            <w:r>
              <w:t>2</w:t>
            </w:r>
          </w:p>
        </w:tc>
        <w:tc>
          <w:tcPr>
            <w:tcW w:w="4449" w:type="dxa"/>
          </w:tcPr>
          <w:p>
            <w:pPr>
              <w:pStyle w:val="yTableNAm"/>
              <w:tabs>
                <w:tab w:val="clear" w:pos="567"/>
                <w:tab w:val="left" w:pos="423"/>
                <w:tab w:val="left" w:pos="739"/>
              </w:tabs>
              <w:spacing w:before="100"/>
            </w:pPr>
            <w:r>
              <w:t>Intensive piggery:  premises on which pigs are fed, watered and housed in pens.</w:t>
            </w:r>
          </w:p>
        </w:tc>
        <w:tc>
          <w:tcPr>
            <w:tcW w:w="1701" w:type="dxa"/>
          </w:tcPr>
          <w:p>
            <w:pPr>
              <w:pStyle w:val="yTableNAm"/>
              <w:spacing w:before="100"/>
            </w:pPr>
            <w:r>
              <w:t>1 000 animals or more</w:t>
            </w:r>
          </w:p>
        </w:tc>
      </w:tr>
      <w:tr>
        <w:trPr>
          <w:cantSplit/>
        </w:trPr>
        <w:tc>
          <w:tcPr>
            <w:tcW w:w="1080" w:type="dxa"/>
          </w:tcPr>
          <w:p>
            <w:pPr>
              <w:pStyle w:val="yTableNAm"/>
              <w:spacing w:before="100"/>
            </w:pPr>
            <w:r>
              <w:rPr>
                <w:i/>
                <w:iCs/>
              </w:rPr>
              <w:t>[3, 4</w:t>
            </w:r>
          </w:p>
        </w:tc>
        <w:tc>
          <w:tcPr>
            <w:tcW w:w="4449" w:type="dxa"/>
          </w:tcPr>
          <w:p>
            <w:pPr>
              <w:pStyle w:val="yTableNAm"/>
              <w:tabs>
                <w:tab w:val="clear" w:pos="567"/>
                <w:tab w:val="left" w:pos="423"/>
                <w:tab w:val="left" w:pos="739"/>
              </w:tabs>
              <w:spacing w:before="100"/>
            </w:pPr>
            <w:r>
              <w:rPr>
                <w:i/>
                <w:iCs/>
              </w:rPr>
              <w:t>deleted]</w:t>
            </w:r>
          </w:p>
        </w:tc>
        <w:tc>
          <w:tcPr>
            <w:tcW w:w="1701" w:type="dxa"/>
          </w:tcPr>
          <w:p>
            <w:pPr>
              <w:pStyle w:val="yTableNAm"/>
              <w:spacing w:before="100"/>
            </w:pPr>
          </w:p>
        </w:tc>
      </w:tr>
      <w:tr>
        <w:trPr>
          <w:cantSplit/>
        </w:trPr>
        <w:tc>
          <w:tcPr>
            <w:tcW w:w="1080" w:type="dxa"/>
          </w:tcPr>
          <w:p>
            <w:pPr>
              <w:pStyle w:val="yTableNAm"/>
              <w:spacing w:before="100"/>
            </w:pPr>
            <w:r>
              <w:t>5</w:t>
            </w:r>
          </w:p>
        </w:tc>
        <w:tc>
          <w:tcPr>
            <w:tcW w:w="4449" w:type="dxa"/>
          </w:tcPr>
          <w:p>
            <w:pPr>
              <w:pStyle w:val="yTableNAm"/>
              <w:tabs>
                <w:tab w:val="clear" w:pos="567"/>
                <w:tab w:val="left" w:pos="423"/>
                <w:tab w:val="left" w:pos="739"/>
              </w:tabs>
              <w:spacing w:before="100"/>
            </w:pPr>
            <w:r>
              <w:t>Processing or beneficiation of metallic or non</w:t>
            </w:r>
            <w:r>
              <w:noBreakHyphen/>
              <w:t>metallic ore: premises on which — </w:t>
            </w:r>
          </w:p>
        </w:tc>
        <w:tc>
          <w:tcPr>
            <w:tcW w:w="1701" w:type="dxa"/>
          </w:tcPr>
          <w:p>
            <w:pPr>
              <w:pStyle w:val="yTableNAm"/>
              <w:spacing w:before="100"/>
            </w:pPr>
            <w:r>
              <w:t>50 000 tonnes or more per year</w:t>
            </w:r>
          </w:p>
        </w:tc>
      </w:tr>
      <w:tr>
        <w:trPr>
          <w:cantSplit/>
        </w:trPr>
        <w:tc>
          <w:tcPr>
            <w:tcW w:w="1080" w:type="dxa"/>
          </w:tcPr>
          <w:p>
            <w:pPr>
              <w:pStyle w:val="yTableNAm"/>
              <w:spacing w:before="100"/>
            </w:pPr>
          </w:p>
        </w:tc>
        <w:tc>
          <w:tcPr>
            <w:tcW w:w="4449" w:type="dxa"/>
          </w:tcPr>
          <w:p>
            <w:pPr>
              <w:pStyle w:val="yTableNAm"/>
              <w:tabs>
                <w:tab w:val="clear" w:pos="567"/>
                <w:tab w:val="left" w:pos="423"/>
                <w:tab w:val="left" w:pos="739"/>
              </w:tabs>
              <w:spacing w:before="100"/>
              <w:ind w:left="425" w:hanging="425"/>
            </w:pPr>
            <w:r>
              <w:t>(a)</w:t>
            </w:r>
            <w:r>
              <w:tab/>
              <w:t>metallic or non</w:t>
            </w:r>
            <w:r>
              <w:noBreakHyphen/>
              <w:t>metallic ore is crushed, ground, milled or otherwise processed; or</w:t>
            </w:r>
          </w:p>
        </w:tc>
        <w:tc>
          <w:tcPr>
            <w:tcW w:w="1701" w:type="dxa"/>
          </w:tcPr>
          <w:p>
            <w:pPr>
              <w:pStyle w:val="yTableNAm"/>
              <w:spacing w:before="100"/>
            </w:pPr>
          </w:p>
        </w:tc>
      </w:tr>
      <w:tr>
        <w:trPr>
          <w:cantSplit/>
        </w:trPr>
        <w:tc>
          <w:tcPr>
            <w:tcW w:w="1080" w:type="dxa"/>
          </w:tcPr>
          <w:p>
            <w:pPr>
              <w:pStyle w:val="yTableNAm"/>
              <w:spacing w:before="100"/>
            </w:pPr>
          </w:p>
        </w:tc>
        <w:tc>
          <w:tcPr>
            <w:tcW w:w="4449" w:type="dxa"/>
          </w:tcPr>
          <w:p>
            <w:pPr>
              <w:pStyle w:val="yTableNAm"/>
              <w:tabs>
                <w:tab w:val="clear" w:pos="567"/>
                <w:tab w:val="left" w:pos="423"/>
                <w:tab w:val="left" w:pos="739"/>
              </w:tabs>
              <w:spacing w:before="100"/>
              <w:ind w:left="425" w:hanging="425"/>
            </w:pPr>
            <w:r>
              <w:t>(b)</w:t>
            </w:r>
            <w:r>
              <w:tab/>
              <w:t>tailings from metallic or non</w:t>
            </w:r>
            <w:r>
              <w:noBreakHyphen/>
              <w:t>metallic ore are reprocessed; or</w:t>
            </w:r>
          </w:p>
        </w:tc>
        <w:tc>
          <w:tcPr>
            <w:tcW w:w="1701" w:type="dxa"/>
          </w:tcPr>
          <w:p>
            <w:pPr>
              <w:pStyle w:val="yTableNAm"/>
              <w:spacing w:before="100"/>
            </w:pPr>
          </w:p>
        </w:tc>
      </w:tr>
      <w:tr>
        <w:trPr>
          <w:cantSplit/>
        </w:trPr>
        <w:tc>
          <w:tcPr>
            <w:tcW w:w="1080" w:type="dxa"/>
          </w:tcPr>
          <w:p>
            <w:pPr>
              <w:pStyle w:val="yTableNAm"/>
              <w:spacing w:before="100"/>
            </w:pPr>
          </w:p>
        </w:tc>
        <w:tc>
          <w:tcPr>
            <w:tcW w:w="4449" w:type="dxa"/>
          </w:tcPr>
          <w:p>
            <w:pPr>
              <w:pStyle w:val="yTableNAm"/>
              <w:tabs>
                <w:tab w:val="clear" w:pos="567"/>
                <w:tab w:val="left" w:pos="423"/>
                <w:tab w:val="left" w:pos="739"/>
              </w:tabs>
              <w:spacing w:before="100"/>
              <w:ind w:left="425" w:hanging="425"/>
            </w:pPr>
            <w:r>
              <w:t>(c)</w:t>
            </w:r>
            <w:r>
              <w:tab/>
              <w:t>tailings or residue from metallic or non</w:t>
            </w:r>
            <w:r>
              <w:noBreakHyphen/>
              <w:t>metallic ore are discharged into a containment cell or dam.</w:t>
            </w:r>
          </w:p>
        </w:tc>
        <w:tc>
          <w:tcPr>
            <w:tcW w:w="1701" w:type="dxa"/>
          </w:tcPr>
          <w:p>
            <w:pPr>
              <w:pStyle w:val="yTableNAm"/>
              <w:spacing w:before="100"/>
            </w:pPr>
          </w:p>
        </w:tc>
      </w:tr>
      <w:tr>
        <w:trPr>
          <w:cantSplit/>
        </w:trPr>
        <w:tc>
          <w:tcPr>
            <w:tcW w:w="1080" w:type="dxa"/>
          </w:tcPr>
          <w:p>
            <w:pPr>
              <w:pStyle w:val="yTableNAm"/>
              <w:spacing w:before="100"/>
            </w:pPr>
            <w:r>
              <w:t>6</w:t>
            </w:r>
          </w:p>
        </w:tc>
        <w:tc>
          <w:tcPr>
            <w:tcW w:w="4449" w:type="dxa"/>
          </w:tcPr>
          <w:p>
            <w:pPr>
              <w:pStyle w:val="yTableNAm"/>
              <w:tabs>
                <w:tab w:val="clear" w:pos="567"/>
                <w:tab w:val="left" w:pos="423"/>
                <w:tab w:val="left" w:pos="739"/>
              </w:tabs>
              <w:spacing w:before="100"/>
            </w:pPr>
            <w:r>
              <w:t>Mine dewatering: premises on which water is extracted and discharged into the environment to allow mining of ore.</w:t>
            </w:r>
          </w:p>
        </w:tc>
        <w:tc>
          <w:tcPr>
            <w:tcW w:w="1701" w:type="dxa"/>
          </w:tcPr>
          <w:p>
            <w:pPr>
              <w:pStyle w:val="yTableNAm"/>
              <w:spacing w:before="100"/>
            </w:pPr>
            <w:r>
              <w:t>50 000 tonnes or more per year</w:t>
            </w:r>
          </w:p>
        </w:tc>
      </w:tr>
      <w:tr>
        <w:trPr>
          <w:cantSplit/>
        </w:trPr>
        <w:tc>
          <w:tcPr>
            <w:tcW w:w="1080" w:type="dxa"/>
          </w:tcPr>
          <w:p>
            <w:pPr>
              <w:pStyle w:val="yTableNAm"/>
              <w:spacing w:before="100"/>
            </w:pPr>
            <w:r>
              <w:t>7</w:t>
            </w:r>
          </w:p>
        </w:tc>
        <w:tc>
          <w:tcPr>
            <w:tcW w:w="4449" w:type="dxa"/>
          </w:tcPr>
          <w:p>
            <w:pPr>
              <w:pStyle w:val="yTableNAm"/>
              <w:tabs>
                <w:tab w:val="clear" w:pos="567"/>
                <w:tab w:val="left" w:pos="423"/>
                <w:tab w:val="left" w:pos="739"/>
              </w:tabs>
              <w:spacing w:before="100"/>
            </w:pPr>
            <w:r>
              <w:t>Vat or in situ leaching of metal:  premises on which metal is extracted from ore with a chemical solution.</w:t>
            </w:r>
          </w:p>
        </w:tc>
        <w:tc>
          <w:tcPr>
            <w:tcW w:w="1701" w:type="dxa"/>
          </w:tcPr>
          <w:p>
            <w:pPr>
              <w:pStyle w:val="yTableNAm"/>
              <w:spacing w:before="100"/>
            </w:pPr>
            <w:r>
              <w:t>5 000 tonnes or more per year</w:t>
            </w:r>
          </w:p>
        </w:tc>
      </w:tr>
      <w:tr>
        <w:trPr>
          <w:cantSplit/>
        </w:trPr>
        <w:tc>
          <w:tcPr>
            <w:tcW w:w="1080" w:type="dxa"/>
          </w:tcPr>
          <w:p>
            <w:pPr>
              <w:pStyle w:val="yTableNAm"/>
            </w:pPr>
            <w:r>
              <w:t>8</w:t>
            </w:r>
          </w:p>
        </w:tc>
        <w:tc>
          <w:tcPr>
            <w:tcW w:w="4449" w:type="dxa"/>
          </w:tcPr>
          <w:p>
            <w:pPr>
              <w:pStyle w:val="yTableNAm"/>
              <w:tabs>
                <w:tab w:val="clear" w:pos="567"/>
                <w:tab w:val="left" w:pos="423"/>
                <w:tab w:val="left" w:pos="739"/>
              </w:tabs>
            </w:pPr>
            <w:r>
              <w:t>Mineral sands mining or processing:  premises on which mineral sands ore is mined, screened, separated or otherwise processed.</w:t>
            </w:r>
          </w:p>
        </w:tc>
        <w:tc>
          <w:tcPr>
            <w:tcW w:w="1701" w:type="dxa"/>
          </w:tcPr>
          <w:p>
            <w:pPr>
              <w:pStyle w:val="yTableNAm"/>
            </w:pPr>
            <w:r>
              <w:t>5 000 tonnes or more per year</w:t>
            </w:r>
          </w:p>
        </w:tc>
      </w:tr>
      <w:tr>
        <w:trPr>
          <w:cantSplit/>
        </w:trPr>
        <w:tc>
          <w:tcPr>
            <w:tcW w:w="1080" w:type="dxa"/>
          </w:tcPr>
          <w:p>
            <w:pPr>
              <w:pStyle w:val="yTableNAm"/>
            </w:pPr>
            <w:r>
              <w:t>9</w:t>
            </w:r>
          </w:p>
        </w:tc>
        <w:tc>
          <w:tcPr>
            <w:tcW w:w="4449" w:type="dxa"/>
          </w:tcPr>
          <w:p>
            <w:pPr>
              <w:pStyle w:val="yTableNAm"/>
              <w:tabs>
                <w:tab w:val="clear" w:pos="567"/>
                <w:tab w:val="left" w:pos="423"/>
                <w:tab w:val="left" w:pos="739"/>
              </w:tabs>
            </w:pPr>
            <w:r>
              <w:t>Coal mining: premises on which —</w:t>
            </w:r>
          </w:p>
          <w:p>
            <w:pPr>
              <w:pStyle w:val="yTableNAm"/>
              <w:tabs>
                <w:tab w:val="clear" w:pos="567"/>
                <w:tab w:val="left" w:pos="423"/>
                <w:tab w:val="left" w:pos="739"/>
              </w:tabs>
              <w:ind w:left="423" w:hanging="423"/>
            </w:pPr>
            <w:r>
              <w:t>(a)</w:t>
            </w:r>
            <w:r>
              <w:tab/>
              <w:t>water is extracted and discharged into the environment to allow coal mining; or</w:t>
            </w:r>
          </w:p>
        </w:tc>
        <w:tc>
          <w:tcPr>
            <w:tcW w:w="1701" w:type="dxa"/>
          </w:tcPr>
          <w:p>
            <w:pPr>
              <w:pStyle w:val="yTableNAm"/>
            </w:pPr>
            <w:r>
              <w:t>5 000 tonnes or more per year</w:t>
            </w:r>
          </w:p>
        </w:tc>
      </w:tr>
      <w:tr>
        <w:trPr>
          <w:cantSplit/>
        </w:trPr>
        <w:tc>
          <w:tcPr>
            <w:tcW w:w="1080" w:type="dxa"/>
          </w:tcPr>
          <w:p>
            <w:pPr>
              <w:pStyle w:val="yTableNAm"/>
            </w:pPr>
          </w:p>
        </w:tc>
        <w:tc>
          <w:tcPr>
            <w:tcW w:w="4449" w:type="dxa"/>
          </w:tcPr>
          <w:p>
            <w:pPr>
              <w:pStyle w:val="yTableNAm"/>
              <w:tabs>
                <w:tab w:val="clear" w:pos="567"/>
                <w:tab w:val="left" w:pos="423"/>
                <w:tab w:val="left" w:pos="739"/>
              </w:tabs>
              <w:ind w:left="423" w:hanging="423"/>
            </w:pPr>
            <w:r>
              <w:t>(b)</w:t>
            </w:r>
            <w:r>
              <w:tab/>
              <w:t>coal mining or processing occurs and tailings are discharged.</w:t>
            </w:r>
          </w:p>
        </w:tc>
        <w:tc>
          <w:tcPr>
            <w:tcW w:w="1701" w:type="dxa"/>
          </w:tcPr>
          <w:p>
            <w:pPr>
              <w:pStyle w:val="yTableNAm"/>
            </w:pPr>
          </w:p>
        </w:tc>
      </w:tr>
      <w:tr>
        <w:trPr>
          <w:cantSplit/>
        </w:trPr>
        <w:tc>
          <w:tcPr>
            <w:tcW w:w="1080" w:type="dxa"/>
          </w:tcPr>
          <w:p>
            <w:pPr>
              <w:pStyle w:val="yTableNAm"/>
            </w:pPr>
            <w:r>
              <w:t>10</w:t>
            </w:r>
          </w:p>
        </w:tc>
        <w:tc>
          <w:tcPr>
            <w:tcW w:w="4449" w:type="dxa"/>
          </w:tcPr>
          <w:p>
            <w:pPr>
              <w:pStyle w:val="yTableNAm"/>
              <w:tabs>
                <w:tab w:val="clear" w:pos="567"/>
                <w:tab w:val="left" w:pos="423"/>
                <w:tab w:val="left" w:pos="739"/>
              </w:tabs>
            </w:pPr>
            <w:r>
              <w:t>Oil or gas production from wells:  premises, whether on land or offshore, on which crude oil, natural gas or condensate is extracted from below the surface of the land or the seabed, as the case requires, and is treated or separated to produce stabilized crude oil, purified natural gas or liquefied hydrocarbon gases.</w:t>
            </w:r>
          </w:p>
        </w:tc>
        <w:tc>
          <w:tcPr>
            <w:tcW w:w="1701" w:type="dxa"/>
          </w:tcPr>
          <w:p>
            <w:pPr>
              <w:pStyle w:val="yTableNAm"/>
            </w:pPr>
            <w:r>
              <w:t>5 000 tonnes or more per year</w:t>
            </w:r>
          </w:p>
        </w:tc>
      </w:tr>
      <w:tr>
        <w:trPr>
          <w:cantSplit/>
        </w:trPr>
        <w:tc>
          <w:tcPr>
            <w:tcW w:w="1080" w:type="dxa"/>
          </w:tcPr>
          <w:p>
            <w:pPr>
              <w:pStyle w:val="yTableNAm"/>
            </w:pPr>
            <w:r>
              <w:t>11</w:t>
            </w:r>
          </w:p>
        </w:tc>
        <w:tc>
          <w:tcPr>
            <w:tcW w:w="4449" w:type="dxa"/>
          </w:tcPr>
          <w:p>
            <w:pPr>
              <w:pStyle w:val="yTableNAm"/>
              <w:tabs>
                <w:tab w:val="clear" w:pos="567"/>
                <w:tab w:val="left" w:pos="423"/>
                <w:tab w:val="left" w:pos="739"/>
              </w:tabs>
            </w:pPr>
            <w:r>
              <w:t>Oil or gas production (other):  premises (other than premises within category 10) on which the commercial production of oil or gas occurs (including the reforming of hydrocarbon gas).</w:t>
            </w:r>
          </w:p>
        </w:tc>
        <w:tc>
          <w:tcPr>
            <w:tcW w:w="1701" w:type="dxa"/>
          </w:tcPr>
          <w:p>
            <w:pPr>
              <w:pStyle w:val="yTableNAm"/>
            </w:pPr>
            <w:r>
              <w:t>5 000 tonnes or more per year</w:t>
            </w:r>
          </w:p>
        </w:tc>
      </w:tr>
      <w:tr>
        <w:trPr>
          <w:cantSplit/>
        </w:trPr>
        <w:tc>
          <w:tcPr>
            <w:tcW w:w="1080" w:type="dxa"/>
          </w:tcPr>
          <w:p>
            <w:pPr>
              <w:pStyle w:val="yTableNAm"/>
            </w:pPr>
            <w:r>
              <w:t>12</w:t>
            </w:r>
          </w:p>
        </w:tc>
        <w:tc>
          <w:tcPr>
            <w:tcW w:w="4449" w:type="dxa"/>
          </w:tcPr>
          <w:p>
            <w:pPr>
              <w:pStyle w:val="yTableNAm"/>
              <w:tabs>
                <w:tab w:val="clear" w:pos="567"/>
                <w:tab w:val="left" w:pos="423"/>
                <w:tab w:val="left" w:pos="739"/>
              </w:tabs>
            </w:pPr>
            <w:r>
              <w:rPr>
                <w:szCs w:val="22"/>
              </w:rPr>
              <w:t>Screening etc.</w:t>
            </w:r>
            <w:r>
              <w:t xml:space="preserve"> of material:  premises (other than premises within category 5 or 8) on which material extracted from the ground is screened, washed, crushed, ground, milled, sized or separated.</w:t>
            </w:r>
          </w:p>
        </w:tc>
        <w:tc>
          <w:tcPr>
            <w:tcW w:w="1701" w:type="dxa"/>
          </w:tcPr>
          <w:p>
            <w:pPr>
              <w:pStyle w:val="yTableNAm"/>
            </w:pPr>
            <w:r>
              <w:t>50 000 tonnes or more per year</w:t>
            </w:r>
          </w:p>
        </w:tc>
      </w:tr>
      <w:tr>
        <w:trPr>
          <w:cantSplit/>
        </w:trPr>
        <w:tc>
          <w:tcPr>
            <w:tcW w:w="1080" w:type="dxa"/>
          </w:tcPr>
          <w:p>
            <w:pPr>
              <w:pStyle w:val="yTableNAm"/>
            </w:pPr>
            <w:r>
              <w:t>13</w:t>
            </w:r>
          </w:p>
        </w:tc>
        <w:tc>
          <w:tcPr>
            <w:tcW w:w="4449" w:type="dxa"/>
          </w:tcPr>
          <w:p>
            <w:pPr>
              <w:pStyle w:val="yTableNAm"/>
              <w:tabs>
                <w:tab w:val="clear" w:pos="567"/>
                <w:tab w:val="left" w:pos="423"/>
                <w:tab w:val="left" w:pos="739"/>
              </w:tabs>
            </w:pPr>
            <w:r>
              <w:t>Crushing of building material: premises on which waste building or demolition material (for example, bricks, stones or concrete) is crushed or cleaned.</w:t>
            </w:r>
          </w:p>
        </w:tc>
        <w:tc>
          <w:tcPr>
            <w:tcW w:w="1701" w:type="dxa"/>
          </w:tcPr>
          <w:p>
            <w:pPr>
              <w:pStyle w:val="yTableNAm"/>
            </w:pPr>
            <w:r>
              <w:t>1 000 tonnes or more per year</w:t>
            </w:r>
          </w:p>
        </w:tc>
      </w:tr>
      <w:tr>
        <w:trPr>
          <w:cantSplit/>
        </w:trPr>
        <w:tc>
          <w:tcPr>
            <w:tcW w:w="1080" w:type="dxa"/>
          </w:tcPr>
          <w:p>
            <w:pPr>
              <w:pStyle w:val="yTableNAm"/>
            </w:pPr>
            <w:r>
              <w:t>14</w:t>
            </w:r>
          </w:p>
        </w:tc>
        <w:tc>
          <w:tcPr>
            <w:tcW w:w="4449" w:type="dxa"/>
          </w:tcPr>
          <w:p>
            <w:pPr>
              <w:pStyle w:val="yTableNAm"/>
              <w:tabs>
                <w:tab w:val="clear" w:pos="567"/>
                <w:tab w:val="left" w:pos="423"/>
                <w:tab w:val="left" w:pos="739"/>
              </w:tabs>
            </w:pPr>
            <w:r>
              <w:t>Solar salt manufacturing:  premises on which salt is produced by solar evaporation.</w:t>
            </w:r>
          </w:p>
        </w:tc>
        <w:tc>
          <w:tcPr>
            <w:tcW w:w="1701" w:type="dxa"/>
          </w:tcPr>
          <w:p>
            <w:pPr>
              <w:pStyle w:val="yTableNAm"/>
            </w:pPr>
            <w:r>
              <w:t>Not applicable</w:t>
            </w:r>
          </w:p>
        </w:tc>
      </w:tr>
      <w:tr>
        <w:trPr>
          <w:cantSplit/>
        </w:trPr>
        <w:tc>
          <w:tcPr>
            <w:tcW w:w="1080" w:type="dxa"/>
          </w:tcPr>
          <w:p>
            <w:pPr>
              <w:pStyle w:val="yTableNAm"/>
            </w:pPr>
            <w:r>
              <w:t>15</w:t>
            </w:r>
          </w:p>
        </w:tc>
        <w:tc>
          <w:tcPr>
            <w:tcW w:w="4449" w:type="dxa"/>
          </w:tcPr>
          <w:p>
            <w:pPr>
              <w:pStyle w:val="yTableNAm"/>
              <w:tabs>
                <w:tab w:val="clear" w:pos="567"/>
                <w:tab w:val="left" w:pos="423"/>
                <w:tab w:val="left" w:pos="739"/>
              </w:tabs>
            </w:pPr>
            <w:r>
              <w:t>Abattoir:  premises on which animals are slaughtered.</w:t>
            </w:r>
          </w:p>
        </w:tc>
        <w:tc>
          <w:tcPr>
            <w:tcW w:w="1701" w:type="dxa"/>
          </w:tcPr>
          <w:p>
            <w:pPr>
              <w:pStyle w:val="yTableNAm"/>
            </w:pPr>
            <w:r>
              <w:t>1 000 tonnes or more per year</w:t>
            </w:r>
          </w:p>
        </w:tc>
      </w:tr>
      <w:tr>
        <w:trPr>
          <w:cantSplit/>
        </w:trPr>
        <w:tc>
          <w:tcPr>
            <w:tcW w:w="1080" w:type="dxa"/>
          </w:tcPr>
          <w:p>
            <w:pPr>
              <w:pStyle w:val="yTableNAm"/>
            </w:pPr>
            <w:r>
              <w:t>16</w:t>
            </w:r>
          </w:p>
        </w:tc>
        <w:tc>
          <w:tcPr>
            <w:tcW w:w="4449" w:type="dxa"/>
          </w:tcPr>
          <w:p>
            <w:pPr>
              <w:pStyle w:val="yTableNAm"/>
              <w:tabs>
                <w:tab w:val="clear" w:pos="567"/>
                <w:tab w:val="left" w:pos="423"/>
                <w:tab w:val="left" w:pos="739"/>
              </w:tabs>
            </w:pPr>
            <w:r>
              <w:t>Rendering operations:  premises on which substances from animal material are processed or extracted.</w:t>
            </w:r>
          </w:p>
        </w:tc>
        <w:tc>
          <w:tcPr>
            <w:tcW w:w="1701" w:type="dxa"/>
          </w:tcPr>
          <w:p>
            <w:pPr>
              <w:pStyle w:val="yTableNAm"/>
            </w:pPr>
            <w:r>
              <w:t>100 tonnes or more per year</w:t>
            </w:r>
          </w:p>
        </w:tc>
      </w:tr>
      <w:tr>
        <w:trPr>
          <w:cantSplit/>
        </w:trPr>
        <w:tc>
          <w:tcPr>
            <w:tcW w:w="1080" w:type="dxa"/>
          </w:tcPr>
          <w:p>
            <w:pPr>
              <w:pStyle w:val="yTableNAm"/>
              <w:spacing w:before="100"/>
            </w:pPr>
            <w:r>
              <w:t>17</w:t>
            </w:r>
          </w:p>
        </w:tc>
        <w:tc>
          <w:tcPr>
            <w:tcW w:w="4449" w:type="dxa"/>
          </w:tcPr>
          <w:p>
            <w:pPr>
              <w:pStyle w:val="yTableNAm"/>
              <w:tabs>
                <w:tab w:val="clear" w:pos="567"/>
                <w:tab w:val="left" w:pos="423"/>
                <w:tab w:val="left" w:pos="739"/>
              </w:tabs>
              <w:spacing w:before="100"/>
              <w:ind w:left="423" w:hanging="423"/>
            </w:pPr>
            <w:r>
              <w:t>Milk processing:  premises on which —</w:t>
            </w:r>
          </w:p>
          <w:p>
            <w:pPr>
              <w:pStyle w:val="yTableNAm"/>
              <w:tabs>
                <w:tab w:val="clear" w:pos="567"/>
                <w:tab w:val="left" w:pos="423"/>
                <w:tab w:val="left" w:pos="739"/>
              </w:tabs>
              <w:spacing w:before="100"/>
              <w:ind w:left="423" w:hanging="423"/>
            </w:pPr>
            <w:r>
              <w:t>(a)</w:t>
            </w:r>
            <w:r>
              <w:tab/>
              <w:t>milk is separated or evaporated (other than a farm); or</w:t>
            </w:r>
          </w:p>
        </w:tc>
        <w:tc>
          <w:tcPr>
            <w:tcW w:w="1701" w:type="dxa"/>
          </w:tcPr>
          <w:p>
            <w:pPr>
              <w:pStyle w:val="yTableNAm"/>
              <w:spacing w:before="100"/>
            </w:pPr>
            <w:r>
              <w:t>100 tonnes or more per year</w:t>
            </w:r>
          </w:p>
        </w:tc>
      </w:tr>
      <w:tr>
        <w:trPr>
          <w:cantSplit/>
        </w:trPr>
        <w:tc>
          <w:tcPr>
            <w:tcW w:w="1080" w:type="dxa"/>
          </w:tcPr>
          <w:p>
            <w:pPr>
              <w:pStyle w:val="yTableNAm"/>
              <w:spacing w:before="100"/>
            </w:pPr>
          </w:p>
        </w:tc>
        <w:tc>
          <w:tcPr>
            <w:tcW w:w="4449" w:type="dxa"/>
          </w:tcPr>
          <w:p>
            <w:pPr>
              <w:pStyle w:val="yTableNAm"/>
              <w:tabs>
                <w:tab w:val="clear" w:pos="567"/>
                <w:tab w:val="left" w:pos="423"/>
                <w:tab w:val="left" w:pos="739"/>
              </w:tabs>
              <w:spacing w:before="100"/>
              <w:ind w:left="423" w:hanging="423"/>
            </w:pPr>
            <w:r>
              <w:t>(b)</w:t>
            </w:r>
            <w:r>
              <w:tab/>
              <w:t>evaporated or condensed milk, butter, ice cream, cheese or any other dairy product is manufactured,</w:t>
            </w:r>
          </w:p>
          <w:p>
            <w:pPr>
              <w:pStyle w:val="yTableNAm"/>
              <w:tabs>
                <w:tab w:val="clear" w:pos="567"/>
                <w:tab w:val="left" w:pos="423"/>
                <w:tab w:val="left" w:pos="739"/>
              </w:tabs>
              <w:spacing w:before="100"/>
            </w:pPr>
            <w:r>
              <w:t>and from which liquid waste is or is to be discharged onto land or into waters.</w:t>
            </w:r>
          </w:p>
        </w:tc>
        <w:tc>
          <w:tcPr>
            <w:tcW w:w="1701" w:type="dxa"/>
          </w:tcPr>
          <w:p>
            <w:pPr>
              <w:pStyle w:val="yTableNAm"/>
              <w:spacing w:before="100"/>
            </w:pPr>
          </w:p>
        </w:tc>
      </w:tr>
      <w:tr>
        <w:trPr>
          <w:cantSplit/>
        </w:trPr>
        <w:tc>
          <w:tcPr>
            <w:tcW w:w="1080" w:type="dxa"/>
          </w:tcPr>
          <w:p>
            <w:pPr>
              <w:pStyle w:val="yTableNAm"/>
              <w:spacing w:before="100"/>
            </w:pPr>
            <w:r>
              <w:t>18</w:t>
            </w:r>
          </w:p>
        </w:tc>
        <w:tc>
          <w:tcPr>
            <w:tcW w:w="4449" w:type="dxa"/>
          </w:tcPr>
          <w:p>
            <w:pPr>
              <w:pStyle w:val="yTableNAm"/>
              <w:tabs>
                <w:tab w:val="clear" w:pos="567"/>
                <w:tab w:val="left" w:pos="423"/>
                <w:tab w:val="left" w:pos="739"/>
              </w:tabs>
              <w:spacing w:before="100"/>
            </w:pPr>
            <w:r>
              <w:t>Food processing:  premises (other than premises within category 24) —</w:t>
            </w:r>
          </w:p>
          <w:p>
            <w:pPr>
              <w:pStyle w:val="yTableNAm"/>
              <w:tabs>
                <w:tab w:val="clear" w:pos="567"/>
                <w:tab w:val="left" w:pos="423"/>
                <w:tab w:val="left" w:pos="739"/>
              </w:tabs>
              <w:spacing w:before="100"/>
              <w:ind w:left="423" w:hanging="423"/>
            </w:pPr>
            <w:r>
              <w:t>(a)</w:t>
            </w:r>
            <w:r>
              <w:tab/>
              <w:t>on which vegetables are, or fruit or meat is, preserved, cooked, dried, canned, bottled or processed; and</w:t>
            </w:r>
          </w:p>
          <w:p>
            <w:pPr>
              <w:pStyle w:val="yTableNAm"/>
              <w:tabs>
                <w:tab w:val="clear" w:pos="567"/>
                <w:tab w:val="left" w:pos="423"/>
                <w:tab w:val="left" w:pos="739"/>
              </w:tabs>
              <w:spacing w:before="100"/>
              <w:ind w:left="423" w:hanging="423"/>
            </w:pPr>
            <w:r>
              <w:t>(b)</w:t>
            </w:r>
            <w:r>
              <w:tab/>
              <w:t>from which liquid waste is or is to be discharged onto land or into waters.</w:t>
            </w:r>
          </w:p>
        </w:tc>
        <w:tc>
          <w:tcPr>
            <w:tcW w:w="1701" w:type="dxa"/>
          </w:tcPr>
          <w:p>
            <w:pPr>
              <w:pStyle w:val="yTableNAm"/>
              <w:spacing w:before="100"/>
            </w:pPr>
            <w:r>
              <w:t>200 tonnes or more per year</w:t>
            </w:r>
          </w:p>
        </w:tc>
      </w:tr>
      <w:tr>
        <w:trPr>
          <w:cantSplit/>
        </w:trPr>
        <w:tc>
          <w:tcPr>
            <w:tcW w:w="1080" w:type="dxa"/>
          </w:tcPr>
          <w:p>
            <w:pPr>
              <w:pStyle w:val="yTableNAm"/>
              <w:spacing w:before="100"/>
            </w:pPr>
            <w:r>
              <w:t>19</w:t>
            </w:r>
          </w:p>
        </w:tc>
        <w:tc>
          <w:tcPr>
            <w:tcW w:w="4449" w:type="dxa"/>
          </w:tcPr>
          <w:p>
            <w:pPr>
              <w:pStyle w:val="yTableNAm"/>
              <w:tabs>
                <w:tab w:val="clear" w:pos="567"/>
                <w:tab w:val="left" w:pos="423"/>
                <w:tab w:val="left" w:pos="739"/>
              </w:tabs>
              <w:spacing w:before="100"/>
            </w:pPr>
            <w:r>
              <w:t>Edible oil or fat processing:  premises on which vegetable oil or oil seed or animal fat is processed and from which liquid waste is or is to be discharged onto land or into waters.</w:t>
            </w:r>
          </w:p>
        </w:tc>
        <w:tc>
          <w:tcPr>
            <w:tcW w:w="1701" w:type="dxa"/>
          </w:tcPr>
          <w:p>
            <w:pPr>
              <w:pStyle w:val="yTableNAm"/>
              <w:spacing w:before="100"/>
            </w:pPr>
            <w:r>
              <w:t>200 tonnes or more per year</w:t>
            </w:r>
          </w:p>
        </w:tc>
      </w:tr>
      <w:tr>
        <w:trPr>
          <w:cantSplit/>
        </w:trPr>
        <w:tc>
          <w:tcPr>
            <w:tcW w:w="1080" w:type="dxa"/>
          </w:tcPr>
          <w:p>
            <w:pPr>
              <w:pStyle w:val="yTableNAm"/>
              <w:spacing w:before="100"/>
            </w:pPr>
            <w:r>
              <w:t>20</w:t>
            </w:r>
          </w:p>
        </w:tc>
        <w:tc>
          <w:tcPr>
            <w:tcW w:w="4449" w:type="dxa"/>
          </w:tcPr>
          <w:p>
            <w:pPr>
              <w:pStyle w:val="yTableNAm"/>
              <w:tabs>
                <w:tab w:val="clear" w:pos="567"/>
                <w:tab w:val="left" w:pos="423"/>
                <w:tab w:val="left" w:pos="739"/>
              </w:tabs>
              <w:spacing w:before="100"/>
            </w:pPr>
            <w:r>
              <w:t>Starch manufacturing:  premises on which starch or gluten is manufactured and from which liquid waste is or is to be discharged onto land or into waters.</w:t>
            </w:r>
          </w:p>
        </w:tc>
        <w:tc>
          <w:tcPr>
            <w:tcW w:w="1701" w:type="dxa"/>
          </w:tcPr>
          <w:p>
            <w:pPr>
              <w:pStyle w:val="yTableNAm"/>
              <w:spacing w:before="100"/>
            </w:pPr>
            <w:r>
              <w:t>200 tonnes or more per year</w:t>
            </w:r>
          </w:p>
        </w:tc>
      </w:tr>
      <w:tr>
        <w:trPr>
          <w:cantSplit/>
        </w:trPr>
        <w:tc>
          <w:tcPr>
            <w:tcW w:w="1080" w:type="dxa"/>
          </w:tcPr>
          <w:p>
            <w:pPr>
              <w:pStyle w:val="yTableNAm"/>
              <w:spacing w:before="100"/>
            </w:pPr>
            <w:r>
              <w:t>21</w:t>
            </w:r>
          </w:p>
        </w:tc>
        <w:tc>
          <w:tcPr>
            <w:tcW w:w="4449" w:type="dxa"/>
          </w:tcPr>
          <w:p>
            <w:pPr>
              <w:pStyle w:val="yTableNAm"/>
              <w:tabs>
                <w:tab w:val="clear" w:pos="567"/>
                <w:tab w:val="left" w:pos="423"/>
                <w:tab w:val="left" w:pos="739"/>
              </w:tabs>
              <w:spacing w:before="100"/>
            </w:pPr>
            <w:r>
              <w:t>Sugar milling or refining:  premises on which sugar cane is crushed or sugar is refined.</w:t>
            </w:r>
          </w:p>
        </w:tc>
        <w:tc>
          <w:tcPr>
            <w:tcW w:w="1701" w:type="dxa"/>
          </w:tcPr>
          <w:p>
            <w:pPr>
              <w:pStyle w:val="yTableNAm"/>
              <w:spacing w:before="100"/>
            </w:pPr>
            <w:r>
              <w:t>1 000 tonnes or more per year</w:t>
            </w:r>
          </w:p>
        </w:tc>
      </w:tr>
      <w:tr>
        <w:trPr>
          <w:cantSplit/>
        </w:trPr>
        <w:tc>
          <w:tcPr>
            <w:tcW w:w="1080" w:type="dxa"/>
          </w:tcPr>
          <w:p>
            <w:pPr>
              <w:pStyle w:val="yTableNAm"/>
              <w:spacing w:before="100"/>
            </w:pPr>
            <w:r>
              <w:t>22</w:t>
            </w:r>
          </w:p>
        </w:tc>
        <w:tc>
          <w:tcPr>
            <w:tcW w:w="4449" w:type="dxa"/>
          </w:tcPr>
          <w:p>
            <w:pPr>
              <w:pStyle w:val="yTableNAm"/>
              <w:tabs>
                <w:tab w:val="clear" w:pos="567"/>
                <w:tab w:val="left" w:pos="423"/>
                <w:tab w:val="left" w:pos="739"/>
              </w:tabs>
              <w:spacing w:before="100"/>
            </w:pPr>
            <w:r>
              <w:t>Seafood processing:  premises (other than a fish wholesaler) on which fish or other seafood is processed and from which liquid waste is or is to be discharged onto land or into waters.</w:t>
            </w:r>
          </w:p>
        </w:tc>
        <w:tc>
          <w:tcPr>
            <w:tcW w:w="1701" w:type="dxa"/>
          </w:tcPr>
          <w:p>
            <w:pPr>
              <w:pStyle w:val="yTableNAm"/>
              <w:spacing w:before="100"/>
            </w:pPr>
            <w:r>
              <w:t>200 tonnes or more per year</w:t>
            </w:r>
          </w:p>
        </w:tc>
      </w:tr>
      <w:tr>
        <w:trPr>
          <w:cantSplit/>
        </w:trPr>
        <w:tc>
          <w:tcPr>
            <w:tcW w:w="1080" w:type="dxa"/>
          </w:tcPr>
          <w:p>
            <w:pPr>
              <w:pStyle w:val="yTableNAm"/>
              <w:spacing w:before="100"/>
            </w:pPr>
            <w:r>
              <w:t>23</w:t>
            </w:r>
          </w:p>
        </w:tc>
        <w:tc>
          <w:tcPr>
            <w:tcW w:w="4449" w:type="dxa"/>
          </w:tcPr>
          <w:p>
            <w:pPr>
              <w:pStyle w:val="yTableNAm"/>
              <w:tabs>
                <w:tab w:val="clear" w:pos="567"/>
                <w:tab w:val="left" w:pos="423"/>
                <w:tab w:val="left" w:pos="739"/>
              </w:tabs>
              <w:spacing w:before="100"/>
            </w:pPr>
            <w:r>
              <w:t>Animal feed manufacturing:  premises (other than premises within category 15 or 16) on which animal food is manufactured or processed.</w:t>
            </w:r>
          </w:p>
        </w:tc>
        <w:tc>
          <w:tcPr>
            <w:tcW w:w="1701" w:type="dxa"/>
          </w:tcPr>
          <w:p>
            <w:pPr>
              <w:pStyle w:val="yTableNAm"/>
              <w:spacing w:before="100"/>
            </w:pPr>
            <w:r>
              <w:t>1 000 tonnes or more per year</w:t>
            </w:r>
          </w:p>
        </w:tc>
      </w:tr>
      <w:tr>
        <w:trPr>
          <w:cantSplit/>
        </w:trPr>
        <w:tc>
          <w:tcPr>
            <w:tcW w:w="1080" w:type="dxa"/>
          </w:tcPr>
          <w:p>
            <w:pPr>
              <w:pStyle w:val="yTableNAm"/>
            </w:pPr>
            <w:r>
              <w:t>24</w:t>
            </w:r>
          </w:p>
        </w:tc>
        <w:tc>
          <w:tcPr>
            <w:tcW w:w="4449" w:type="dxa"/>
          </w:tcPr>
          <w:p>
            <w:pPr>
              <w:pStyle w:val="yTableNAm"/>
              <w:tabs>
                <w:tab w:val="clear" w:pos="567"/>
                <w:tab w:val="left" w:pos="423"/>
                <w:tab w:val="left" w:pos="739"/>
              </w:tabs>
            </w:pPr>
            <w:r>
              <w:t>Non</w:t>
            </w:r>
            <w:r>
              <w:noBreakHyphen/>
              <w:t>alcoholic beverage manufacturing:  premises on which a non</w:t>
            </w:r>
            <w:r>
              <w:noBreakHyphen/>
              <w:t>alcoholic beverage is manufactured and from which liquid waste is or is to be discharged onto land or into waters.</w:t>
            </w:r>
          </w:p>
        </w:tc>
        <w:tc>
          <w:tcPr>
            <w:tcW w:w="1701" w:type="dxa"/>
          </w:tcPr>
          <w:p>
            <w:pPr>
              <w:pStyle w:val="yTableNAm"/>
            </w:pPr>
            <w:r>
              <w:t>200 kL or more per year</w:t>
            </w:r>
          </w:p>
        </w:tc>
      </w:tr>
      <w:tr>
        <w:trPr>
          <w:cantSplit/>
        </w:trPr>
        <w:tc>
          <w:tcPr>
            <w:tcW w:w="1080" w:type="dxa"/>
          </w:tcPr>
          <w:p>
            <w:pPr>
              <w:pStyle w:val="yTableNAm"/>
            </w:pPr>
            <w:r>
              <w:t>25</w:t>
            </w:r>
          </w:p>
        </w:tc>
        <w:tc>
          <w:tcPr>
            <w:tcW w:w="4449" w:type="dxa"/>
          </w:tcPr>
          <w:p>
            <w:pPr>
              <w:pStyle w:val="yTableNAm"/>
              <w:tabs>
                <w:tab w:val="clear" w:pos="567"/>
                <w:tab w:val="left" w:pos="423"/>
                <w:tab w:val="left" w:pos="739"/>
              </w:tabs>
            </w:pPr>
            <w:r>
              <w:t>Alcoholic beverage manufacturing:  premises on which an alcoholic beverage is manufactured and from which liquid waste is or is to be discharged onto land or into waters.</w:t>
            </w:r>
          </w:p>
        </w:tc>
        <w:tc>
          <w:tcPr>
            <w:tcW w:w="1701" w:type="dxa"/>
          </w:tcPr>
          <w:p>
            <w:pPr>
              <w:pStyle w:val="yTableNAm"/>
            </w:pPr>
            <w:r>
              <w:t>350 kL or more per year</w:t>
            </w:r>
          </w:p>
        </w:tc>
      </w:tr>
      <w:tr>
        <w:trPr>
          <w:cantSplit/>
        </w:trPr>
        <w:tc>
          <w:tcPr>
            <w:tcW w:w="1080" w:type="dxa"/>
          </w:tcPr>
          <w:p>
            <w:pPr>
              <w:pStyle w:val="yTableNAm"/>
            </w:pPr>
            <w:r>
              <w:t>26</w:t>
            </w:r>
          </w:p>
        </w:tc>
        <w:tc>
          <w:tcPr>
            <w:tcW w:w="4449" w:type="dxa"/>
          </w:tcPr>
          <w:p>
            <w:pPr>
              <w:pStyle w:val="yTableNAm"/>
              <w:tabs>
                <w:tab w:val="clear" w:pos="567"/>
                <w:tab w:val="left" w:pos="423"/>
                <w:tab w:val="left" w:pos="739"/>
              </w:tabs>
            </w:pPr>
            <w:r>
              <w:t>Textile operations:  premises on which —</w:t>
            </w:r>
          </w:p>
          <w:p>
            <w:pPr>
              <w:pStyle w:val="yTableNAm"/>
              <w:tabs>
                <w:tab w:val="clear" w:pos="567"/>
                <w:tab w:val="left" w:pos="423"/>
                <w:tab w:val="left" w:pos="739"/>
              </w:tabs>
            </w:pPr>
            <w:r>
              <w:t>(a)</w:t>
            </w:r>
            <w:r>
              <w:tab/>
              <w:t>carpet or yarn is manufactured; or</w:t>
            </w:r>
          </w:p>
          <w:p>
            <w:pPr>
              <w:pStyle w:val="yTableNAm"/>
              <w:tabs>
                <w:tab w:val="clear" w:pos="567"/>
                <w:tab w:val="left" w:pos="423"/>
                <w:tab w:val="left" w:pos="739"/>
              </w:tabs>
            </w:pPr>
            <w:r>
              <w:t>(b)</w:t>
            </w:r>
            <w:r>
              <w:tab/>
              <w:t>cotton ginning or milling occurs; or</w:t>
            </w:r>
          </w:p>
          <w:p>
            <w:pPr>
              <w:pStyle w:val="yTableNAm"/>
              <w:tabs>
                <w:tab w:val="clear" w:pos="567"/>
                <w:tab w:val="left" w:pos="423"/>
                <w:tab w:val="left" w:pos="739"/>
              </w:tabs>
            </w:pPr>
            <w:r>
              <w:t>(c)</w:t>
            </w:r>
            <w:r>
              <w:tab/>
              <w:t>textiles are bleached, dyed or finished.</w:t>
            </w:r>
          </w:p>
        </w:tc>
        <w:tc>
          <w:tcPr>
            <w:tcW w:w="1701" w:type="dxa"/>
          </w:tcPr>
          <w:p>
            <w:pPr>
              <w:pStyle w:val="yTableNAm"/>
            </w:pPr>
            <w:r>
              <w:t>1 000 tonnes or more per year</w:t>
            </w:r>
          </w:p>
        </w:tc>
      </w:tr>
      <w:tr>
        <w:trPr>
          <w:cantSplit/>
        </w:trPr>
        <w:tc>
          <w:tcPr>
            <w:tcW w:w="1080" w:type="dxa"/>
          </w:tcPr>
          <w:p>
            <w:pPr>
              <w:pStyle w:val="yTableNAm"/>
            </w:pPr>
            <w:r>
              <w:t>27</w:t>
            </w:r>
          </w:p>
        </w:tc>
        <w:tc>
          <w:tcPr>
            <w:tcW w:w="4449" w:type="dxa"/>
          </w:tcPr>
          <w:p>
            <w:pPr>
              <w:pStyle w:val="yTableNAm"/>
              <w:tabs>
                <w:tab w:val="clear" w:pos="567"/>
                <w:tab w:val="left" w:pos="423"/>
                <w:tab w:val="left" w:pos="739"/>
              </w:tabs>
            </w:pPr>
            <w:r>
              <w:t>Woolscouring:  premises on which wool is scoured or cleaned.</w:t>
            </w:r>
          </w:p>
        </w:tc>
        <w:tc>
          <w:tcPr>
            <w:tcW w:w="1701" w:type="dxa"/>
          </w:tcPr>
          <w:p>
            <w:pPr>
              <w:pStyle w:val="yTableNAm"/>
            </w:pPr>
            <w:r>
              <w:t>1 000 tonnes or more per year</w:t>
            </w:r>
          </w:p>
        </w:tc>
      </w:tr>
      <w:tr>
        <w:trPr>
          <w:cantSplit/>
        </w:trPr>
        <w:tc>
          <w:tcPr>
            <w:tcW w:w="1080" w:type="dxa"/>
          </w:tcPr>
          <w:p>
            <w:pPr>
              <w:pStyle w:val="yTableNAm"/>
            </w:pPr>
            <w:r>
              <w:t>28</w:t>
            </w:r>
          </w:p>
        </w:tc>
        <w:tc>
          <w:tcPr>
            <w:tcW w:w="4449" w:type="dxa"/>
          </w:tcPr>
          <w:p>
            <w:pPr>
              <w:pStyle w:val="yTableNAm"/>
              <w:tabs>
                <w:tab w:val="clear" w:pos="567"/>
                <w:tab w:val="left" w:pos="423"/>
                <w:tab w:val="left" w:pos="739"/>
              </w:tabs>
            </w:pPr>
            <w:r>
              <w:t>Wood board manufacturing:  premises on which particleboard or chipboard is fabricated or manufactured.</w:t>
            </w:r>
          </w:p>
        </w:tc>
        <w:tc>
          <w:tcPr>
            <w:tcW w:w="1701" w:type="dxa"/>
          </w:tcPr>
          <w:p>
            <w:pPr>
              <w:pStyle w:val="yTableNAm"/>
            </w:pPr>
            <w:r>
              <w:t>500 tonnes or more per year</w:t>
            </w:r>
          </w:p>
        </w:tc>
      </w:tr>
      <w:tr>
        <w:trPr>
          <w:cantSplit/>
        </w:trPr>
        <w:tc>
          <w:tcPr>
            <w:tcW w:w="1080" w:type="dxa"/>
          </w:tcPr>
          <w:p>
            <w:pPr>
              <w:pStyle w:val="yTableNAm"/>
            </w:pPr>
            <w:r>
              <w:t>29</w:t>
            </w:r>
          </w:p>
        </w:tc>
        <w:tc>
          <w:tcPr>
            <w:tcW w:w="4449" w:type="dxa"/>
          </w:tcPr>
          <w:p>
            <w:pPr>
              <w:pStyle w:val="yTableNAm"/>
              <w:tabs>
                <w:tab w:val="clear" w:pos="567"/>
                <w:tab w:val="left" w:pos="423"/>
                <w:tab w:val="left" w:pos="739"/>
              </w:tabs>
            </w:pPr>
            <w:r>
              <w:t>Timber preserving:  premises on which timber is preserved for commercial purposes by the use of chemicals.</w:t>
            </w:r>
          </w:p>
        </w:tc>
        <w:tc>
          <w:tcPr>
            <w:tcW w:w="1701" w:type="dxa"/>
          </w:tcPr>
          <w:p>
            <w:pPr>
              <w:pStyle w:val="yTableNAm"/>
            </w:pPr>
            <w:r>
              <w:t>Not applicable</w:t>
            </w:r>
          </w:p>
        </w:tc>
      </w:tr>
      <w:tr>
        <w:trPr>
          <w:cantSplit/>
        </w:trPr>
        <w:tc>
          <w:tcPr>
            <w:tcW w:w="1080" w:type="dxa"/>
          </w:tcPr>
          <w:p>
            <w:pPr>
              <w:pStyle w:val="yTableNAm"/>
            </w:pPr>
            <w:r>
              <w:t>30</w:t>
            </w:r>
          </w:p>
        </w:tc>
        <w:tc>
          <w:tcPr>
            <w:tcW w:w="4449" w:type="dxa"/>
          </w:tcPr>
          <w:p>
            <w:pPr>
              <w:pStyle w:val="yTableNAm"/>
              <w:tabs>
                <w:tab w:val="clear" w:pos="567"/>
                <w:tab w:val="left" w:pos="423"/>
                <w:tab w:val="left" w:pos="739"/>
              </w:tabs>
            </w:pPr>
            <w:r>
              <w:t>Pulp, paper or paperboard manufacturing:  premises on which paper pulp, wood pulp, kraft paper, kraft paperboard, cardboard, paper or paperboard is manufactured.</w:t>
            </w:r>
          </w:p>
        </w:tc>
        <w:tc>
          <w:tcPr>
            <w:tcW w:w="1701" w:type="dxa"/>
          </w:tcPr>
          <w:p>
            <w:pPr>
              <w:pStyle w:val="yTableNAm"/>
            </w:pPr>
            <w:r>
              <w:t>5 000 tonnes or more per year</w:t>
            </w:r>
          </w:p>
        </w:tc>
      </w:tr>
      <w:tr>
        <w:trPr>
          <w:cantSplit/>
        </w:trPr>
        <w:tc>
          <w:tcPr>
            <w:tcW w:w="1080" w:type="dxa"/>
          </w:tcPr>
          <w:p>
            <w:pPr>
              <w:pStyle w:val="yTableNAm"/>
            </w:pPr>
            <w:r>
              <w:t>31</w:t>
            </w:r>
          </w:p>
        </w:tc>
        <w:tc>
          <w:tcPr>
            <w:tcW w:w="4449" w:type="dxa"/>
          </w:tcPr>
          <w:p>
            <w:pPr>
              <w:pStyle w:val="yTableNAm"/>
              <w:tabs>
                <w:tab w:val="clear" w:pos="567"/>
                <w:tab w:val="left" w:pos="423"/>
                <w:tab w:val="left" w:pos="739"/>
              </w:tabs>
            </w:pPr>
            <w:r>
              <w:t>Chemical manufacturing:  premises (other than premises within category 32) on which chemical products are manufactured by a chemical process.</w:t>
            </w:r>
          </w:p>
        </w:tc>
        <w:tc>
          <w:tcPr>
            <w:tcW w:w="1701" w:type="dxa"/>
          </w:tcPr>
          <w:p>
            <w:pPr>
              <w:pStyle w:val="yTableNAm"/>
            </w:pPr>
            <w:r>
              <w:t>100 tonnes or more per year</w:t>
            </w:r>
          </w:p>
        </w:tc>
      </w:tr>
      <w:tr>
        <w:trPr>
          <w:cantSplit/>
        </w:trPr>
        <w:tc>
          <w:tcPr>
            <w:tcW w:w="1080" w:type="dxa"/>
          </w:tcPr>
          <w:p>
            <w:pPr>
              <w:pStyle w:val="yTableNAm"/>
            </w:pPr>
            <w:r>
              <w:t>32</w:t>
            </w:r>
          </w:p>
        </w:tc>
        <w:tc>
          <w:tcPr>
            <w:tcW w:w="4449" w:type="dxa"/>
          </w:tcPr>
          <w:p>
            <w:pPr>
              <w:pStyle w:val="yTableNAm"/>
              <w:tabs>
                <w:tab w:val="clear" w:pos="567"/>
                <w:tab w:val="left" w:pos="423"/>
                <w:tab w:val="left" w:pos="739"/>
              </w:tabs>
            </w:pPr>
            <w:r>
              <w:t>Pesticides manufacturing:  premises on which herbicides, insecticides or pesticides are manufactured by a chemical process.</w:t>
            </w:r>
          </w:p>
        </w:tc>
        <w:tc>
          <w:tcPr>
            <w:tcW w:w="1701" w:type="dxa"/>
          </w:tcPr>
          <w:p>
            <w:pPr>
              <w:pStyle w:val="yTableNAm"/>
            </w:pPr>
            <w:r>
              <w:t>Not applicable</w:t>
            </w:r>
          </w:p>
        </w:tc>
      </w:tr>
      <w:tr>
        <w:trPr>
          <w:cantSplit/>
        </w:trPr>
        <w:tc>
          <w:tcPr>
            <w:tcW w:w="1080" w:type="dxa"/>
          </w:tcPr>
          <w:p>
            <w:pPr>
              <w:pStyle w:val="yTableNAm"/>
              <w:spacing w:before="100"/>
            </w:pPr>
            <w:r>
              <w:t>33</w:t>
            </w:r>
          </w:p>
        </w:tc>
        <w:tc>
          <w:tcPr>
            <w:tcW w:w="4449" w:type="dxa"/>
          </w:tcPr>
          <w:p>
            <w:pPr>
              <w:pStyle w:val="yTableNAm"/>
              <w:tabs>
                <w:tab w:val="clear" w:pos="567"/>
                <w:tab w:val="left" w:pos="423"/>
                <w:tab w:val="left" w:pos="739"/>
              </w:tabs>
              <w:spacing w:before="100"/>
            </w:pPr>
            <w:r>
              <w:t>Chemical blending or mixing:  premises on which chemicals or chemical products are mixed, blended or packaged in a manner that causes or is likely to cause a discharge of waste into the environment.</w:t>
            </w:r>
          </w:p>
        </w:tc>
        <w:tc>
          <w:tcPr>
            <w:tcW w:w="1701" w:type="dxa"/>
          </w:tcPr>
          <w:p>
            <w:pPr>
              <w:pStyle w:val="yTableNAm"/>
              <w:spacing w:before="100"/>
            </w:pPr>
            <w:r>
              <w:t>500 tonnes or more per year</w:t>
            </w:r>
          </w:p>
        </w:tc>
      </w:tr>
      <w:tr>
        <w:trPr>
          <w:cantSplit/>
        </w:trPr>
        <w:tc>
          <w:tcPr>
            <w:tcW w:w="1080" w:type="dxa"/>
          </w:tcPr>
          <w:p>
            <w:pPr>
              <w:pStyle w:val="yTableNAm"/>
              <w:spacing w:before="100"/>
            </w:pPr>
            <w:r>
              <w:t>34</w:t>
            </w:r>
          </w:p>
        </w:tc>
        <w:tc>
          <w:tcPr>
            <w:tcW w:w="4449" w:type="dxa"/>
          </w:tcPr>
          <w:p>
            <w:pPr>
              <w:pStyle w:val="yTableNAm"/>
              <w:tabs>
                <w:tab w:val="clear" w:pos="567"/>
                <w:tab w:val="left" w:pos="423"/>
                <w:tab w:val="left" w:pos="739"/>
              </w:tabs>
              <w:spacing w:before="100"/>
            </w:pPr>
            <w:r>
              <w:t>Oil or gas refining:  premises on which crude oil, condensate or gas is refined or processed.</w:t>
            </w:r>
          </w:p>
        </w:tc>
        <w:tc>
          <w:tcPr>
            <w:tcW w:w="1701" w:type="dxa"/>
          </w:tcPr>
          <w:p>
            <w:pPr>
              <w:pStyle w:val="yTableNAm"/>
              <w:spacing w:before="100"/>
            </w:pPr>
            <w:r>
              <w:t>Not applicable</w:t>
            </w:r>
          </w:p>
        </w:tc>
      </w:tr>
      <w:tr>
        <w:trPr>
          <w:cantSplit/>
        </w:trPr>
        <w:tc>
          <w:tcPr>
            <w:tcW w:w="1080" w:type="dxa"/>
          </w:tcPr>
          <w:p>
            <w:pPr>
              <w:pStyle w:val="yTableNAm"/>
              <w:spacing w:before="100"/>
            </w:pPr>
            <w:r>
              <w:t>35</w:t>
            </w:r>
          </w:p>
        </w:tc>
        <w:tc>
          <w:tcPr>
            <w:tcW w:w="4449" w:type="dxa"/>
          </w:tcPr>
          <w:p>
            <w:pPr>
              <w:pStyle w:val="yTableNAm"/>
              <w:tabs>
                <w:tab w:val="clear" w:pos="567"/>
                <w:tab w:val="left" w:pos="423"/>
                <w:tab w:val="left" w:pos="739"/>
              </w:tabs>
              <w:spacing w:before="100"/>
            </w:pPr>
            <w:r>
              <w:t>Asphalt manufacturing:  premises on which hot or cold mix asphalt is produced using crushed or ground rock aggregates mixed with bituminous or asphaltic materials for use at places or premises other than those premises.</w:t>
            </w:r>
          </w:p>
        </w:tc>
        <w:tc>
          <w:tcPr>
            <w:tcW w:w="1701" w:type="dxa"/>
          </w:tcPr>
          <w:p>
            <w:pPr>
              <w:pStyle w:val="yTableNAm"/>
              <w:spacing w:before="100"/>
            </w:pPr>
            <w:r>
              <w:t>Not applicable</w:t>
            </w:r>
          </w:p>
        </w:tc>
      </w:tr>
      <w:tr>
        <w:trPr>
          <w:cantSplit/>
        </w:trPr>
        <w:tc>
          <w:tcPr>
            <w:tcW w:w="1080" w:type="dxa"/>
          </w:tcPr>
          <w:p>
            <w:pPr>
              <w:pStyle w:val="yTableNAm"/>
              <w:spacing w:before="100"/>
            </w:pPr>
            <w:r>
              <w:t>36</w:t>
            </w:r>
          </w:p>
        </w:tc>
        <w:tc>
          <w:tcPr>
            <w:tcW w:w="4449" w:type="dxa"/>
          </w:tcPr>
          <w:p>
            <w:pPr>
              <w:pStyle w:val="yTableNAm"/>
              <w:tabs>
                <w:tab w:val="clear" w:pos="567"/>
                <w:tab w:val="left" w:pos="423"/>
                <w:tab w:val="left" w:pos="739"/>
              </w:tabs>
              <w:spacing w:before="100"/>
            </w:pPr>
            <w:r>
              <w:t>Bitumen manufacturing:  premises on which bitumen is mixed or prepared for use at places or premises other than those premises.</w:t>
            </w:r>
          </w:p>
        </w:tc>
        <w:tc>
          <w:tcPr>
            <w:tcW w:w="1701" w:type="dxa"/>
          </w:tcPr>
          <w:p>
            <w:pPr>
              <w:pStyle w:val="yTableNAm"/>
              <w:spacing w:before="100"/>
            </w:pPr>
            <w:r>
              <w:t>Not applicable</w:t>
            </w:r>
          </w:p>
        </w:tc>
      </w:tr>
      <w:tr>
        <w:trPr>
          <w:cantSplit/>
        </w:trPr>
        <w:tc>
          <w:tcPr>
            <w:tcW w:w="1080" w:type="dxa"/>
          </w:tcPr>
          <w:p>
            <w:pPr>
              <w:pStyle w:val="yTableNAm"/>
              <w:spacing w:before="100"/>
            </w:pPr>
            <w:r>
              <w:t>37</w:t>
            </w:r>
          </w:p>
        </w:tc>
        <w:tc>
          <w:tcPr>
            <w:tcW w:w="4449" w:type="dxa"/>
          </w:tcPr>
          <w:p>
            <w:pPr>
              <w:pStyle w:val="yTableNAm"/>
              <w:tabs>
                <w:tab w:val="clear" w:pos="567"/>
                <w:tab w:val="left" w:pos="423"/>
                <w:tab w:val="left" w:pos="739"/>
              </w:tabs>
              <w:spacing w:before="100"/>
            </w:pPr>
            <w:r>
              <w:t>Char manufacturing:  premises on which wood, carbon material or coal is charred to produce a fuel or material of a carbonaceous nature or of enriched carbon content.</w:t>
            </w:r>
          </w:p>
        </w:tc>
        <w:tc>
          <w:tcPr>
            <w:tcW w:w="1701" w:type="dxa"/>
          </w:tcPr>
          <w:p>
            <w:pPr>
              <w:pStyle w:val="yTableNAm"/>
              <w:spacing w:before="100"/>
            </w:pPr>
            <w:r>
              <w:t>10 tonnes or more per year</w:t>
            </w:r>
          </w:p>
        </w:tc>
      </w:tr>
      <w:tr>
        <w:trPr>
          <w:cantSplit/>
        </w:trPr>
        <w:tc>
          <w:tcPr>
            <w:tcW w:w="1080" w:type="dxa"/>
          </w:tcPr>
          <w:p>
            <w:pPr>
              <w:pStyle w:val="yTableNAm"/>
              <w:spacing w:before="100"/>
            </w:pPr>
            <w:r>
              <w:t>38</w:t>
            </w:r>
          </w:p>
        </w:tc>
        <w:tc>
          <w:tcPr>
            <w:tcW w:w="4449" w:type="dxa"/>
          </w:tcPr>
          <w:p>
            <w:pPr>
              <w:pStyle w:val="yTableNAm"/>
              <w:tabs>
                <w:tab w:val="clear" w:pos="567"/>
                <w:tab w:val="left" w:pos="423"/>
                <w:tab w:val="left" w:pos="739"/>
              </w:tabs>
              <w:spacing w:before="100"/>
            </w:pPr>
            <w:r>
              <w:t>Coke production:  premises on which coke is produced, quenched, cut, crushed or graded from coal or petroleum.</w:t>
            </w:r>
          </w:p>
        </w:tc>
        <w:tc>
          <w:tcPr>
            <w:tcW w:w="1701" w:type="dxa"/>
          </w:tcPr>
          <w:p>
            <w:pPr>
              <w:pStyle w:val="yTableNAm"/>
              <w:spacing w:before="100"/>
            </w:pPr>
            <w:r>
              <w:t>100 tonnes or more per year</w:t>
            </w:r>
          </w:p>
        </w:tc>
      </w:tr>
      <w:tr>
        <w:trPr>
          <w:cantSplit/>
        </w:trPr>
        <w:tc>
          <w:tcPr>
            <w:tcW w:w="1080" w:type="dxa"/>
          </w:tcPr>
          <w:p>
            <w:pPr>
              <w:pStyle w:val="yTableNAm"/>
              <w:spacing w:before="100"/>
            </w:pPr>
            <w:r>
              <w:t>39</w:t>
            </w:r>
          </w:p>
        </w:tc>
        <w:tc>
          <w:tcPr>
            <w:tcW w:w="4449" w:type="dxa"/>
          </w:tcPr>
          <w:p>
            <w:pPr>
              <w:pStyle w:val="yTableNAm"/>
              <w:tabs>
                <w:tab w:val="clear" w:pos="567"/>
                <w:tab w:val="left" w:pos="423"/>
                <w:tab w:val="left" w:pos="739"/>
              </w:tabs>
              <w:spacing w:before="100"/>
            </w:pPr>
            <w:r>
              <w:t>Chemical or oil recycling:  premises on which waste liquid hydrocarbons or chemicals are refined, purified, reformed, separated or processed.</w:t>
            </w:r>
          </w:p>
        </w:tc>
        <w:tc>
          <w:tcPr>
            <w:tcW w:w="1701" w:type="dxa"/>
          </w:tcPr>
          <w:p>
            <w:pPr>
              <w:pStyle w:val="yTableNAm"/>
              <w:spacing w:before="100"/>
            </w:pPr>
            <w:r>
              <w:t>Not applicable</w:t>
            </w:r>
          </w:p>
        </w:tc>
      </w:tr>
      <w:tr>
        <w:trPr>
          <w:cantSplit/>
        </w:trPr>
        <w:tc>
          <w:tcPr>
            <w:tcW w:w="1080" w:type="dxa"/>
          </w:tcPr>
          <w:p>
            <w:pPr>
              <w:pStyle w:val="yTableNAm"/>
              <w:spacing w:before="100"/>
            </w:pPr>
            <w:r>
              <w:t>40</w:t>
            </w:r>
          </w:p>
        </w:tc>
        <w:tc>
          <w:tcPr>
            <w:tcW w:w="4449" w:type="dxa"/>
          </w:tcPr>
          <w:p>
            <w:pPr>
              <w:pStyle w:val="yTableNAm"/>
              <w:tabs>
                <w:tab w:val="clear" w:pos="567"/>
                <w:tab w:val="left" w:pos="423"/>
                <w:tab w:val="left" w:pos="739"/>
              </w:tabs>
              <w:spacing w:before="100"/>
            </w:pPr>
            <w:r>
              <w:t>Glass or glass fibre manufacturing:  premises on which glass or glass fibre is manufactured.</w:t>
            </w:r>
          </w:p>
        </w:tc>
        <w:tc>
          <w:tcPr>
            <w:tcW w:w="1701" w:type="dxa"/>
          </w:tcPr>
          <w:p>
            <w:pPr>
              <w:pStyle w:val="yTableNAm"/>
              <w:spacing w:before="100"/>
            </w:pPr>
            <w:r>
              <w:t>200 tonnes or more per year</w:t>
            </w:r>
          </w:p>
        </w:tc>
      </w:tr>
      <w:tr>
        <w:trPr>
          <w:cantSplit/>
        </w:trPr>
        <w:tc>
          <w:tcPr>
            <w:tcW w:w="1080" w:type="dxa"/>
          </w:tcPr>
          <w:p>
            <w:pPr>
              <w:pStyle w:val="yTableNAm"/>
              <w:spacing w:before="100"/>
            </w:pPr>
            <w:r>
              <w:t>41</w:t>
            </w:r>
          </w:p>
        </w:tc>
        <w:tc>
          <w:tcPr>
            <w:tcW w:w="4449" w:type="dxa"/>
          </w:tcPr>
          <w:p>
            <w:pPr>
              <w:pStyle w:val="yTableNAm"/>
              <w:tabs>
                <w:tab w:val="clear" w:pos="567"/>
                <w:tab w:val="left" w:pos="423"/>
                <w:tab w:val="left" w:pos="739"/>
              </w:tabs>
              <w:spacing w:before="100"/>
            </w:pPr>
            <w:r>
              <w:t>Clay bricks or ceramic products manufacturing:  premises on which refractory products, tiles, pipes or pottery are manufactured.</w:t>
            </w:r>
          </w:p>
        </w:tc>
        <w:tc>
          <w:tcPr>
            <w:tcW w:w="1701" w:type="dxa"/>
          </w:tcPr>
          <w:p>
            <w:pPr>
              <w:pStyle w:val="yTableNAm"/>
              <w:spacing w:before="100"/>
            </w:pPr>
            <w:r>
              <w:t>1 000 tonnes or more per year</w:t>
            </w:r>
          </w:p>
        </w:tc>
      </w:tr>
      <w:tr>
        <w:trPr>
          <w:cantSplit/>
        </w:trPr>
        <w:tc>
          <w:tcPr>
            <w:tcW w:w="1080" w:type="dxa"/>
          </w:tcPr>
          <w:p>
            <w:pPr>
              <w:pStyle w:val="yTableNAm"/>
              <w:spacing w:before="100"/>
            </w:pPr>
            <w:r>
              <w:t>42</w:t>
            </w:r>
          </w:p>
        </w:tc>
        <w:tc>
          <w:tcPr>
            <w:tcW w:w="4449" w:type="dxa"/>
          </w:tcPr>
          <w:p>
            <w:pPr>
              <w:pStyle w:val="yTableNAm"/>
              <w:tabs>
                <w:tab w:val="clear" w:pos="567"/>
                <w:tab w:val="left" w:pos="423"/>
                <w:tab w:val="left" w:pos="739"/>
              </w:tabs>
              <w:spacing w:before="100"/>
            </w:pPr>
            <w:r>
              <w:t>Mineral wool or ceramic fibre manufacturing:  premises on which mineral wool or ceramic fibre is manufactured.</w:t>
            </w:r>
          </w:p>
        </w:tc>
        <w:tc>
          <w:tcPr>
            <w:tcW w:w="1701" w:type="dxa"/>
          </w:tcPr>
          <w:p>
            <w:pPr>
              <w:pStyle w:val="yTableNAm"/>
              <w:spacing w:before="100"/>
            </w:pPr>
            <w:r>
              <w:t>Not applicable</w:t>
            </w:r>
          </w:p>
        </w:tc>
      </w:tr>
      <w:tr>
        <w:trPr>
          <w:cantSplit/>
        </w:trPr>
        <w:tc>
          <w:tcPr>
            <w:tcW w:w="1080" w:type="dxa"/>
          </w:tcPr>
          <w:p>
            <w:pPr>
              <w:pStyle w:val="yTableNAm"/>
              <w:spacing w:before="100"/>
            </w:pPr>
            <w:r>
              <w:t>43</w:t>
            </w:r>
          </w:p>
        </w:tc>
        <w:tc>
          <w:tcPr>
            <w:tcW w:w="4449" w:type="dxa"/>
          </w:tcPr>
          <w:p>
            <w:pPr>
              <w:pStyle w:val="yTableNAm"/>
              <w:tabs>
                <w:tab w:val="clear" w:pos="567"/>
                <w:tab w:val="left" w:pos="423"/>
                <w:tab w:val="left" w:pos="739"/>
              </w:tabs>
              <w:spacing w:before="100"/>
            </w:pPr>
            <w:r>
              <w:t>Cement or lime manufacturing:  premises on which — </w:t>
            </w:r>
          </w:p>
        </w:tc>
        <w:tc>
          <w:tcPr>
            <w:tcW w:w="1701" w:type="dxa"/>
          </w:tcPr>
          <w:p>
            <w:pPr>
              <w:pStyle w:val="yTableNAm"/>
              <w:spacing w:before="100"/>
            </w:pPr>
            <w:r>
              <w:t>Not applicable</w:t>
            </w:r>
          </w:p>
        </w:tc>
      </w:tr>
      <w:tr>
        <w:trPr>
          <w:cantSplit/>
        </w:trPr>
        <w:tc>
          <w:tcPr>
            <w:tcW w:w="1080" w:type="dxa"/>
          </w:tcPr>
          <w:p>
            <w:pPr>
              <w:pStyle w:val="yTableNAm"/>
              <w:spacing w:before="100"/>
            </w:pPr>
          </w:p>
        </w:tc>
        <w:tc>
          <w:tcPr>
            <w:tcW w:w="4449" w:type="dxa"/>
          </w:tcPr>
          <w:p>
            <w:pPr>
              <w:pStyle w:val="yTableNAm"/>
              <w:tabs>
                <w:tab w:val="clear" w:pos="567"/>
                <w:tab w:val="left" w:pos="423"/>
                <w:tab w:val="left" w:pos="739"/>
              </w:tabs>
              <w:spacing w:before="100"/>
              <w:ind w:left="423" w:hanging="423"/>
            </w:pPr>
            <w:r>
              <w:t>(a)</w:t>
            </w:r>
            <w:r>
              <w:tab/>
              <w:t>clay, limesand or limestone material is used in a furnace or kiln in the production of cement clinker or lime; or</w:t>
            </w:r>
          </w:p>
          <w:p>
            <w:pPr>
              <w:pStyle w:val="yTableNAm"/>
              <w:tabs>
                <w:tab w:val="clear" w:pos="567"/>
                <w:tab w:val="left" w:pos="423"/>
                <w:tab w:val="left" w:pos="739"/>
              </w:tabs>
              <w:spacing w:before="100"/>
              <w:ind w:left="423" w:hanging="423"/>
            </w:pPr>
            <w:r>
              <w:t>(b)</w:t>
            </w:r>
            <w:r>
              <w:tab/>
              <w:t>cement clinker, clay, limestone or similar material is ground.</w:t>
            </w:r>
          </w:p>
        </w:tc>
        <w:tc>
          <w:tcPr>
            <w:tcW w:w="1701" w:type="dxa"/>
          </w:tcPr>
          <w:p>
            <w:pPr>
              <w:pStyle w:val="yTableNAm"/>
              <w:spacing w:before="100"/>
            </w:pPr>
          </w:p>
        </w:tc>
      </w:tr>
      <w:tr>
        <w:trPr>
          <w:cantSplit/>
        </w:trPr>
        <w:tc>
          <w:tcPr>
            <w:tcW w:w="1080" w:type="dxa"/>
          </w:tcPr>
          <w:p>
            <w:pPr>
              <w:pStyle w:val="yTableNAm"/>
              <w:spacing w:before="100"/>
            </w:pPr>
            <w:r>
              <w:t>44</w:t>
            </w:r>
          </w:p>
        </w:tc>
        <w:tc>
          <w:tcPr>
            <w:tcW w:w="4449" w:type="dxa"/>
          </w:tcPr>
          <w:p>
            <w:pPr>
              <w:pStyle w:val="yTableNAm"/>
              <w:tabs>
                <w:tab w:val="clear" w:pos="567"/>
                <w:tab w:val="left" w:pos="423"/>
                <w:tab w:val="left" w:pos="739"/>
              </w:tabs>
              <w:spacing w:before="100"/>
            </w:pPr>
            <w:r>
              <w:t>Metal smelting or refining:  premises on which metal ore, metal ore concentrate or metal waste is smelted, fused, roasted, refined or processed.</w:t>
            </w:r>
          </w:p>
        </w:tc>
        <w:tc>
          <w:tcPr>
            <w:tcW w:w="1701" w:type="dxa"/>
          </w:tcPr>
          <w:p>
            <w:pPr>
              <w:pStyle w:val="yTableNAm"/>
              <w:spacing w:before="100"/>
            </w:pPr>
            <w:r>
              <w:t>1 000 tonnes or more per year</w:t>
            </w:r>
          </w:p>
        </w:tc>
      </w:tr>
      <w:tr>
        <w:trPr>
          <w:cantSplit/>
        </w:trPr>
        <w:tc>
          <w:tcPr>
            <w:tcW w:w="1080" w:type="dxa"/>
          </w:tcPr>
          <w:p>
            <w:pPr>
              <w:pStyle w:val="yTableNAm"/>
              <w:spacing w:before="100"/>
            </w:pPr>
            <w:r>
              <w:t>45</w:t>
            </w:r>
          </w:p>
        </w:tc>
        <w:tc>
          <w:tcPr>
            <w:tcW w:w="4449" w:type="dxa"/>
          </w:tcPr>
          <w:p>
            <w:pPr>
              <w:pStyle w:val="yTableNAm"/>
              <w:tabs>
                <w:tab w:val="clear" w:pos="567"/>
                <w:tab w:val="left" w:pos="423"/>
                <w:tab w:val="left" w:pos="739"/>
              </w:tabs>
              <w:spacing w:before="100"/>
            </w:pPr>
            <w:r>
              <w:t>Metal melting or casting:  premises on which metal or scrap metal is melted in furnaces or cast.</w:t>
            </w:r>
          </w:p>
        </w:tc>
        <w:tc>
          <w:tcPr>
            <w:tcW w:w="1701" w:type="dxa"/>
          </w:tcPr>
          <w:p>
            <w:pPr>
              <w:pStyle w:val="yTableNAm"/>
              <w:spacing w:before="100"/>
            </w:pPr>
            <w:r>
              <w:t>100 tonnes or more per year</w:t>
            </w:r>
          </w:p>
        </w:tc>
      </w:tr>
      <w:tr>
        <w:trPr>
          <w:cantSplit/>
        </w:trPr>
        <w:tc>
          <w:tcPr>
            <w:tcW w:w="1080" w:type="dxa"/>
          </w:tcPr>
          <w:p>
            <w:pPr>
              <w:pStyle w:val="yTableNAm"/>
              <w:spacing w:before="100"/>
            </w:pPr>
            <w:r>
              <w:t>46</w:t>
            </w:r>
          </w:p>
        </w:tc>
        <w:tc>
          <w:tcPr>
            <w:tcW w:w="4449" w:type="dxa"/>
          </w:tcPr>
          <w:p>
            <w:pPr>
              <w:pStyle w:val="yTableNAm"/>
              <w:tabs>
                <w:tab w:val="clear" w:pos="567"/>
                <w:tab w:val="left" w:pos="423"/>
                <w:tab w:val="left" w:pos="739"/>
              </w:tabs>
              <w:spacing w:before="100"/>
            </w:pPr>
            <w:r>
              <w:t>Bauxite refining:  premises (other than premises within paragraph (b) of category 5) on which alumina is produced from bauxite refining.</w:t>
            </w:r>
          </w:p>
        </w:tc>
        <w:tc>
          <w:tcPr>
            <w:tcW w:w="1701" w:type="dxa"/>
          </w:tcPr>
          <w:p>
            <w:pPr>
              <w:pStyle w:val="yTableNAm"/>
              <w:spacing w:before="100"/>
            </w:pPr>
            <w:r>
              <w:t>Not applicable</w:t>
            </w:r>
          </w:p>
        </w:tc>
      </w:tr>
      <w:tr>
        <w:trPr>
          <w:cantSplit/>
        </w:trPr>
        <w:tc>
          <w:tcPr>
            <w:tcW w:w="1080" w:type="dxa"/>
          </w:tcPr>
          <w:p>
            <w:pPr>
              <w:pStyle w:val="yTableNAm"/>
              <w:spacing w:before="100"/>
            </w:pPr>
            <w:r>
              <w:t>47</w:t>
            </w:r>
          </w:p>
        </w:tc>
        <w:tc>
          <w:tcPr>
            <w:tcW w:w="4449" w:type="dxa"/>
          </w:tcPr>
          <w:p>
            <w:pPr>
              <w:pStyle w:val="yTableNAm"/>
              <w:tabs>
                <w:tab w:val="clear" w:pos="567"/>
                <w:tab w:val="left" w:pos="423"/>
                <w:tab w:val="left" w:pos="739"/>
              </w:tabs>
              <w:spacing w:before="100"/>
            </w:pPr>
            <w:r>
              <w:t>Scrap metal recovery:  premises (other than premises within category 45) on which metal scrap is fragmented or melted, including premises on which lead acid batteries are reprocessed.</w:t>
            </w:r>
          </w:p>
        </w:tc>
        <w:tc>
          <w:tcPr>
            <w:tcW w:w="1701" w:type="dxa"/>
          </w:tcPr>
          <w:p>
            <w:pPr>
              <w:pStyle w:val="yTableNAm"/>
              <w:spacing w:before="100"/>
            </w:pPr>
            <w:r>
              <w:t>100 tonnes or more per year</w:t>
            </w:r>
          </w:p>
        </w:tc>
      </w:tr>
      <w:tr>
        <w:trPr>
          <w:cantSplit/>
        </w:trPr>
        <w:tc>
          <w:tcPr>
            <w:tcW w:w="1080" w:type="dxa"/>
          </w:tcPr>
          <w:p>
            <w:pPr>
              <w:pStyle w:val="yTableNAm"/>
              <w:spacing w:before="100"/>
            </w:pPr>
            <w:r>
              <w:t>48</w:t>
            </w:r>
          </w:p>
        </w:tc>
        <w:tc>
          <w:tcPr>
            <w:tcW w:w="4449" w:type="dxa"/>
          </w:tcPr>
          <w:p>
            <w:pPr>
              <w:pStyle w:val="yTableNAm"/>
              <w:tabs>
                <w:tab w:val="clear" w:pos="567"/>
                <w:tab w:val="left" w:pos="423"/>
                <w:tab w:val="left" w:pos="739"/>
              </w:tabs>
              <w:spacing w:before="100"/>
            </w:pPr>
            <w:r>
              <w:t>Metal finishing: premises on which metals are chemically cleaned or metals, plastics or metal or plastic products are plated, electroplated, anodized, coloured or otherwise coated or finished.</w:t>
            </w:r>
          </w:p>
        </w:tc>
        <w:tc>
          <w:tcPr>
            <w:tcW w:w="1701" w:type="dxa"/>
          </w:tcPr>
          <w:p>
            <w:pPr>
              <w:pStyle w:val="yTableNAm"/>
              <w:spacing w:before="100"/>
            </w:pPr>
            <w:r>
              <w:t>Not applicable</w:t>
            </w:r>
          </w:p>
        </w:tc>
      </w:tr>
      <w:tr>
        <w:trPr>
          <w:cantSplit/>
        </w:trPr>
        <w:tc>
          <w:tcPr>
            <w:tcW w:w="1080" w:type="dxa"/>
          </w:tcPr>
          <w:p>
            <w:pPr>
              <w:pStyle w:val="yTableNAm"/>
              <w:spacing w:before="100"/>
            </w:pPr>
            <w:r>
              <w:t>48A</w:t>
            </w:r>
          </w:p>
        </w:tc>
        <w:tc>
          <w:tcPr>
            <w:tcW w:w="4449" w:type="dxa"/>
          </w:tcPr>
          <w:p>
            <w:pPr>
              <w:pStyle w:val="yTableNAm"/>
              <w:tabs>
                <w:tab w:val="clear" w:pos="567"/>
                <w:tab w:val="left" w:pos="423"/>
                <w:tab w:val="left" w:pos="739"/>
              </w:tabs>
              <w:spacing w:before="100"/>
            </w:pPr>
            <w:r>
              <w:t>Metal finishing: premises on which iron or steel is galvanized.</w:t>
            </w:r>
          </w:p>
        </w:tc>
        <w:tc>
          <w:tcPr>
            <w:tcW w:w="1701" w:type="dxa"/>
          </w:tcPr>
          <w:p>
            <w:pPr>
              <w:pStyle w:val="yTableNAm"/>
              <w:spacing w:before="100"/>
            </w:pPr>
            <w:r>
              <w:t>Not applicable</w:t>
            </w:r>
          </w:p>
        </w:tc>
      </w:tr>
      <w:tr>
        <w:trPr>
          <w:cantSplit/>
        </w:trPr>
        <w:tc>
          <w:tcPr>
            <w:tcW w:w="1080" w:type="dxa"/>
          </w:tcPr>
          <w:p>
            <w:pPr>
              <w:pStyle w:val="yTableNAm"/>
              <w:spacing w:before="100"/>
            </w:pPr>
            <w:r>
              <w:t>49</w:t>
            </w:r>
          </w:p>
        </w:tc>
        <w:tc>
          <w:tcPr>
            <w:tcW w:w="4449" w:type="dxa"/>
          </w:tcPr>
          <w:p>
            <w:pPr>
              <w:pStyle w:val="yTableNAm"/>
              <w:tabs>
                <w:tab w:val="clear" w:pos="567"/>
                <w:tab w:val="left" w:pos="423"/>
                <w:tab w:val="left" w:pos="739"/>
              </w:tabs>
              <w:spacing w:before="100"/>
            </w:pPr>
            <w:r>
              <w:t>Boat building and maintenance:  premises on which —</w:t>
            </w:r>
          </w:p>
          <w:p>
            <w:pPr>
              <w:pStyle w:val="yTableNAm"/>
              <w:tabs>
                <w:tab w:val="clear" w:pos="567"/>
                <w:tab w:val="left" w:pos="423"/>
                <w:tab w:val="left" w:pos="739"/>
              </w:tabs>
              <w:spacing w:before="100"/>
              <w:ind w:left="425" w:hanging="425"/>
            </w:pPr>
            <w:r>
              <w:t>(a)</w:t>
            </w:r>
            <w:r>
              <w:tab/>
              <w:t>vessels are commercially built or maintained; and</w:t>
            </w:r>
          </w:p>
        </w:tc>
        <w:tc>
          <w:tcPr>
            <w:tcW w:w="1701" w:type="dxa"/>
          </w:tcPr>
          <w:p>
            <w:pPr>
              <w:pStyle w:val="yTableNAm"/>
              <w:spacing w:before="100"/>
            </w:pPr>
            <w:r>
              <w:t>Not applicable</w:t>
            </w:r>
          </w:p>
        </w:tc>
      </w:tr>
      <w:tr>
        <w:trPr>
          <w:cantSplit/>
        </w:trPr>
        <w:tc>
          <w:tcPr>
            <w:tcW w:w="1080" w:type="dxa"/>
          </w:tcPr>
          <w:p>
            <w:pPr>
              <w:pStyle w:val="yTableNAm"/>
              <w:spacing w:before="100"/>
            </w:pPr>
          </w:p>
        </w:tc>
        <w:tc>
          <w:tcPr>
            <w:tcW w:w="4449" w:type="dxa"/>
          </w:tcPr>
          <w:p>
            <w:pPr>
              <w:pStyle w:val="yTableNAm"/>
              <w:tabs>
                <w:tab w:val="clear" w:pos="567"/>
                <w:tab w:val="left" w:pos="423"/>
                <w:tab w:val="left" w:pos="739"/>
              </w:tabs>
              <w:spacing w:before="100"/>
              <w:ind w:left="425" w:hanging="425"/>
            </w:pPr>
            <w:r>
              <w:t>(b)</w:t>
            </w:r>
            <w:r>
              <w:tab/>
              <w:t>organotin compounds are used or removed from vessels.</w:t>
            </w:r>
          </w:p>
        </w:tc>
        <w:tc>
          <w:tcPr>
            <w:tcW w:w="1701" w:type="dxa"/>
          </w:tcPr>
          <w:p>
            <w:pPr>
              <w:pStyle w:val="yTableNAm"/>
              <w:spacing w:before="100"/>
            </w:pPr>
          </w:p>
        </w:tc>
      </w:tr>
      <w:tr>
        <w:trPr>
          <w:cantSplit/>
        </w:trPr>
        <w:tc>
          <w:tcPr>
            <w:tcW w:w="1080" w:type="dxa"/>
          </w:tcPr>
          <w:p>
            <w:pPr>
              <w:pStyle w:val="yTableNAm"/>
              <w:spacing w:before="100"/>
            </w:pPr>
            <w:r>
              <w:t>50</w:t>
            </w:r>
          </w:p>
        </w:tc>
        <w:tc>
          <w:tcPr>
            <w:tcW w:w="4449" w:type="dxa"/>
          </w:tcPr>
          <w:p>
            <w:pPr>
              <w:pStyle w:val="yTableNAm"/>
              <w:tabs>
                <w:tab w:val="clear" w:pos="567"/>
                <w:tab w:val="left" w:pos="423"/>
                <w:tab w:val="left" w:pos="739"/>
              </w:tabs>
              <w:spacing w:before="100"/>
            </w:pPr>
            <w:r>
              <w:t>Tannery: premises on which animal skins or hides are tanned, dressed, finished or dyed and from which liquid waste is or is to be discharged onto land or into waters.</w:t>
            </w:r>
          </w:p>
        </w:tc>
        <w:tc>
          <w:tcPr>
            <w:tcW w:w="1701" w:type="dxa"/>
          </w:tcPr>
          <w:p>
            <w:pPr>
              <w:pStyle w:val="yTableNAm"/>
              <w:spacing w:before="100"/>
            </w:pPr>
            <w:r>
              <w:t>1 000 skins or hides or more per year</w:t>
            </w:r>
          </w:p>
        </w:tc>
      </w:tr>
      <w:tr>
        <w:trPr>
          <w:cantSplit/>
        </w:trPr>
        <w:tc>
          <w:tcPr>
            <w:tcW w:w="1080" w:type="dxa"/>
          </w:tcPr>
          <w:p>
            <w:pPr>
              <w:pStyle w:val="yTableNAm"/>
              <w:spacing w:before="100"/>
            </w:pPr>
            <w:r>
              <w:t>51</w:t>
            </w:r>
          </w:p>
        </w:tc>
        <w:tc>
          <w:tcPr>
            <w:tcW w:w="4449" w:type="dxa"/>
          </w:tcPr>
          <w:p>
            <w:pPr>
              <w:pStyle w:val="yTableNAm"/>
              <w:tabs>
                <w:tab w:val="clear" w:pos="567"/>
                <w:tab w:val="left" w:pos="423"/>
                <w:tab w:val="left" w:pos="739"/>
              </w:tabs>
              <w:spacing w:before="100"/>
            </w:pPr>
            <w:r>
              <w:t>Foam products manufacturing:  premises on which resin is used to prepare or manufacture plastic foam or plastic foam products using MDI (diphenylmethane di</w:t>
            </w:r>
            <w:r>
              <w:noBreakHyphen/>
              <w:t>iso</w:t>
            </w:r>
            <w:r>
              <w:noBreakHyphen/>
              <w:t>cyanate) or TDI (toluene</w:t>
            </w:r>
            <w:r>
              <w:noBreakHyphen/>
              <w:t>2, 4</w:t>
            </w:r>
            <w:r>
              <w:noBreakHyphen/>
              <w:t>di</w:t>
            </w:r>
            <w:r>
              <w:noBreakHyphen/>
              <w:t>iso</w:t>
            </w:r>
            <w:r>
              <w:noBreakHyphen/>
              <w:t>cyanate).</w:t>
            </w:r>
          </w:p>
        </w:tc>
        <w:tc>
          <w:tcPr>
            <w:tcW w:w="1701" w:type="dxa"/>
          </w:tcPr>
          <w:p>
            <w:pPr>
              <w:pStyle w:val="yTableNAm"/>
              <w:spacing w:before="100"/>
            </w:pPr>
            <w:r>
              <w:t>1 tonne or more per year</w:t>
            </w:r>
          </w:p>
        </w:tc>
      </w:tr>
      <w:tr>
        <w:trPr>
          <w:cantSplit/>
        </w:trPr>
        <w:tc>
          <w:tcPr>
            <w:tcW w:w="1080" w:type="dxa"/>
          </w:tcPr>
          <w:p>
            <w:pPr>
              <w:pStyle w:val="yTableNAm"/>
              <w:spacing w:before="100"/>
            </w:pPr>
            <w:r>
              <w:t>52</w:t>
            </w:r>
          </w:p>
        </w:tc>
        <w:tc>
          <w:tcPr>
            <w:tcW w:w="4449" w:type="dxa"/>
          </w:tcPr>
          <w:p>
            <w:pPr>
              <w:pStyle w:val="yTableNAm"/>
              <w:tabs>
                <w:tab w:val="clear" w:pos="567"/>
                <w:tab w:val="left" w:pos="423"/>
                <w:tab w:val="left" w:pos="739"/>
              </w:tabs>
              <w:spacing w:before="100"/>
            </w:pPr>
            <w:r>
              <w:t>Electric power generation:  premises (other than premises within category 53 or an emergency or standby power generating plant) on which electrical power is generated using a fuel.</w:t>
            </w:r>
          </w:p>
        </w:tc>
        <w:tc>
          <w:tcPr>
            <w:tcW w:w="1701" w:type="dxa"/>
          </w:tcPr>
          <w:p>
            <w:pPr>
              <w:pStyle w:val="yTableNAm"/>
              <w:spacing w:before="100"/>
            </w:pPr>
            <w:r>
              <w:t>20 MW or more in aggregate (using natural gas)</w:t>
            </w:r>
          </w:p>
          <w:p>
            <w:pPr>
              <w:pStyle w:val="yTableNAm"/>
              <w:spacing w:before="100"/>
            </w:pPr>
            <w:r>
              <w:t>10 MW or more in aggregate (using a fuel other than natural gas)</w:t>
            </w:r>
          </w:p>
        </w:tc>
      </w:tr>
      <w:tr>
        <w:trPr>
          <w:cantSplit/>
        </w:trPr>
        <w:tc>
          <w:tcPr>
            <w:tcW w:w="1080" w:type="dxa"/>
          </w:tcPr>
          <w:p>
            <w:pPr>
              <w:pStyle w:val="yTableNAm"/>
              <w:spacing w:before="100"/>
            </w:pPr>
            <w:r>
              <w:t>53</w:t>
            </w:r>
          </w:p>
        </w:tc>
        <w:tc>
          <w:tcPr>
            <w:tcW w:w="4449" w:type="dxa"/>
          </w:tcPr>
          <w:p>
            <w:pPr>
              <w:pStyle w:val="yTableNAm"/>
              <w:tabs>
                <w:tab w:val="clear" w:pos="567"/>
                <w:tab w:val="left" w:pos="423"/>
                <w:tab w:val="left" w:pos="739"/>
              </w:tabs>
              <w:spacing w:before="100"/>
            </w:pPr>
            <w:r>
              <w:t>Flyash disposal: premises on which flyash is disposed of.</w:t>
            </w:r>
          </w:p>
        </w:tc>
        <w:tc>
          <w:tcPr>
            <w:tcW w:w="1701" w:type="dxa"/>
          </w:tcPr>
          <w:p>
            <w:pPr>
              <w:pStyle w:val="yTableNAm"/>
              <w:spacing w:before="100"/>
            </w:pPr>
            <w:r>
              <w:t>1 000 tonnes or more per year</w:t>
            </w:r>
          </w:p>
        </w:tc>
      </w:tr>
      <w:tr>
        <w:trPr>
          <w:cantSplit/>
        </w:trPr>
        <w:tc>
          <w:tcPr>
            <w:tcW w:w="1080" w:type="dxa"/>
          </w:tcPr>
          <w:p>
            <w:pPr>
              <w:pStyle w:val="yTableNAm"/>
              <w:spacing w:before="100"/>
            </w:pPr>
            <w:r>
              <w:t>54</w:t>
            </w:r>
          </w:p>
        </w:tc>
        <w:tc>
          <w:tcPr>
            <w:tcW w:w="4449" w:type="dxa"/>
          </w:tcPr>
          <w:p>
            <w:pPr>
              <w:pStyle w:val="yTableNAm"/>
              <w:tabs>
                <w:tab w:val="clear" w:pos="567"/>
                <w:tab w:val="left" w:pos="423"/>
                <w:tab w:val="left" w:pos="739"/>
              </w:tabs>
              <w:spacing w:before="100"/>
              <w:ind w:left="423" w:hanging="423"/>
            </w:pPr>
            <w:r>
              <w:t>Sewage facility: premises —</w:t>
            </w:r>
          </w:p>
          <w:p>
            <w:pPr>
              <w:pStyle w:val="yTableNAm"/>
              <w:tabs>
                <w:tab w:val="clear" w:pos="567"/>
                <w:tab w:val="left" w:pos="423"/>
                <w:tab w:val="left" w:pos="739"/>
              </w:tabs>
              <w:spacing w:before="100"/>
              <w:ind w:left="425" w:hanging="425"/>
            </w:pPr>
            <w:r>
              <w:t>(a)</w:t>
            </w:r>
            <w:r>
              <w:tab/>
              <w:t>on which sewage is treated (excluding septic tanks); or</w:t>
            </w:r>
          </w:p>
        </w:tc>
        <w:tc>
          <w:tcPr>
            <w:tcW w:w="1701" w:type="dxa"/>
          </w:tcPr>
          <w:p>
            <w:pPr>
              <w:pStyle w:val="yTableNAm"/>
              <w:spacing w:before="100"/>
            </w:pPr>
            <w:r>
              <w:t>100 m</w:t>
            </w:r>
            <w:r>
              <w:rPr>
                <w:vertAlign w:val="superscript"/>
              </w:rPr>
              <w:t>3</w:t>
            </w:r>
            <w:r>
              <w:t xml:space="preserve"> or more per day</w:t>
            </w:r>
          </w:p>
        </w:tc>
      </w:tr>
      <w:tr>
        <w:trPr>
          <w:cantSplit/>
        </w:trPr>
        <w:tc>
          <w:tcPr>
            <w:tcW w:w="1080" w:type="dxa"/>
          </w:tcPr>
          <w:p>
            <w:pPr>
              <w:pStyle w:val="yTableNAm"/>
              <w:spacing w:before="100"/>
            </w:pPr>
          </w:p>
        </w:tc>
        <w:tc>
          <w:tcPr>
            <w:tcW w:w="4449" w:type="dxa"/>
          </w:tcPr>
          <w:p>
            <w:pPr>
              <w:pStyle w:val="yTableNAm"/>
              <w:tabs>
                <w:tab w:val="clear" w:pos="567"/>
                <w:tab w:val="left" w:pos="423"/>
                <w:tab w:val="left" w:pos="739"/>
              </w:tabs>
              <w:spacing w:before="100"/>
              <w:ind w:left="423" w:hanging="423"/>
            </w:pPr>
            <w:r>
              <w:t>(b)</w:t>
            </w:r>
            <w:r>
              <w:tab/>
              <w:t>from which treated sewage is discharged onto land or into waters.</w:t>
            </w:r>
          </w:p>
        </w:tc>
        <w:tc>
          <w:tcPr>
            <w:tcW w:w="1701" w:type="dxa"/>
          </w:tcPr>
          <w:p>
            <w:pPr>
              <w:pStyle w:val="yTableNAm"/>
              <w:spacing w:before="100"/>
            </w:pPr>
          </w:p>
        </w:tc>
      </w:tr>
      <w:tr>
        <w:trPr>
          <w:cantSplit/>
        </w:trPr>
        <w:tc>
          <w:tcPr>
            <w:tcW w:w="1080" w:type="dxa"/>
          </w:tcPr>
          <w:p>
            <w:pPr>
              <w:pStyle w:val="yTableNAm"/>
              <w:spacing w:before="100"/>
            </w:pPr>
            <w:r>
              <w:t>54A</w:t>
            </w:r>
          </w:p>
        </w:tc>
        <w:tc>
          <w:tcPr>
            <w:tcW w:w="4449" w:type="dxa"/>
          </w:tcPr>
          <w:p>
            <w:pPr>
              <w:pStyle w:val="yTableNAm"/>
              <w:tabs>
                <w:tab w:val="clear" w:pos="567"/>
                <w:tab w:val="left" w:pos="423"/>
                <w:tab w:val="left" w:pos="739"/>
              </w:tabs>
              <w:spacing w:before="100"/>
            </w:pPr>
            <w:r>
              <w:t>Water desalination plant: premises at which salt is extracted from water if —</w:t>
            </w:r>
          </w:p>
          <w:p>
            <w:pPr>
              <w:pStyle w:val="yTableNAm"/>
              <w:tabs>
                <w:tab w:val="clear" w:pos="567"/>
                <w:tab w:val="left" w:pos="423"/>
                <w:tab w:val="left" w:pos="739"/>
              </w:tabs>
              <w:spacing w:before="100"/>
              <w:ind w:left="423" w:hanging="423"/>
            </w:pPr>
            <w:r>
              <w:t>(a)</w:t>
            </w:r>
            <w:r>
              <w:tab/>
              <w:t>waste water is discharged into marine waters; and</w:t>
            </w:r>
          </w:p>
        </w:tc>
        <w:tc>
          <w:tcPr>
            <w:tcW w:w="1701" w:type="dxa"/>
          </w:tcPr>
          <w:p>
            <w:pPr>
              <w:pStyle w:val="yTableNAm"/>
              <w:spacing w:before="100"/>
            </w:pPr>
            <w:r>
              <w:t>10 GL or more per year</w:t>
            </w:r>
          </w:p>
        </w:tc>
      </w:tr>
      <w:tr>
        <w:trPr>
          <w:cantSplit/>
        </w:trPr>
        <w:tc>
          <w:tcPr>
            <w:tcW w:w="1080" w:type="dxa"/>
          </w:tcPr>
          <w:p>
            <w:pPr>
              <w:pStyle w:val="yTableNAm"/>
              <w:spacing w:before="100"/>
            </w:pPr>
          </w:p>
        </w:tc>
        <w:tc>
          <w:tcPr>
            <w:tcW w:w="4449" w:type="dxa"/>
          </w:tcPr>
          <w:p>
            <w:pPr>
              <w:pStyle w:val="yTableNAm"/>
              <w:tabs>
                <w:tab w:val="clear" w:pos="567"/>
                <w:tab w:val="left" w:pos="423"/>
                <w:tab w:val="left" w:pos="739"/>
              </w:tabs>
              <w:spacing w:before="100"/>
              <w:ind w:left="423" w:hanging="423"/>
            </w:pPr>
            <w:r>
              <w:t>(b)</w:t>
            </w:r>
            <w:r>
              <w:tab/>
              <w:t>the discharged waste water has a density greater than the average ambient density of the marine water at the discharge site.</w:t>
            </w:r>
          </w:p>
        </w:tc>
        <w:tc>
          <w:tcPr>
            <w:tcW w:w="1701" w:type="dxa"/>
          </w:tcPr>
          <w:p>
            <w:pPr>
              <w:pStyle w:val="yTableNAm"/>
              <w:spacing w:before="100"/>
            </w:pPr>
          </w:p>
        </w:tc>
      </w:tr>
      <w:tr>
        <w:trPr>
          <w:cantSplit/>
        </w:trPr>
        <w:tc>
          <w:tcPr>
            <w:tcW w:w="1080" w:type="dxa"/>
          </w:tcPr>
          <w:p>
            <w:pPr>
              <w:pStyle w:val="yTableNAm"/>
              <w:spacing w:before="100"/>
            </w:pPr>
            <w:r>
              <w:t>55</w:t>
            </w:r>
          </w:p>
        </w:tc>
        <w:tc>
          <w:tcPr>
            <w:tcW w:w="4449" w:type="dxa"/>
          </w:tcPr>
          <w:p>
            <w:pPr>
              <w:pStyle w:val="yTableNAm"/>
              <w:tabs>
                <w:tab w:val="clear" w:pos="567"/>
                <w:tab w:val="left" w:pos="423"/>
                <w:tab w:val="left" w:pos="739"/>
              </w:tabs>
              <w:spacing w:before="100"/>
            </w:pPr>
            <w:r>
              <w:t>Livestock saleyard or holding pen:  premises on which live animals are held pending their sale, shipment or slaughter.</w:t>
            </w:r>
          </w:p>
        </w:tc>
        <w:tc>
          <w:tcPr>
            <w:tcW w:w="1701" w:type="dxa"/>
          </w:tcPr>
          <w:p>
            <w:pPr>
              <w:pStyle w:val="yTableNAm"/>
              <w:spacing w:before="100"/>
            </w:pPr>
            <w:r>
              <w:t>10 000 animals or more per year</w:t>
            </w:r>
          </w:p>
        </w:tc>
      </w:tr>
      <w:tr>
        <w:trPr>
          <w:cantSplit/>
        </w:trPr>
        <w:tc>
          <w:tcPr>
            <w:tcW w:w="1080" w:type="dxa"/>
          </w:tcPr>
          <w:p>
            <w:pPr>
              <w:pStyle w:val="yTableNAm"/>
              <w:spacing w:before="100"/>
            </w:pPr>
            <w:r>
              <w:t>56</w:t>
            </w:r>
          </w:p>
        </w:tc>
        <w:tc>
          <w:tcPr>
            <w:tcW w:w="4449" w:type="dxa"/>
          </w:tcPr>
          <w:p>
            <w:pPr>
              <w:pStyle w:val="yTableNAm"/>
              <w:tabs>
                <w:tab w:val="clear" w:pos="567"/>
                <w:tab w:val="left" w:pos="423"/>
                <w:tab w:val="left" w:pos="739"/>
              </w:tabs>
              <w:spacing w:before="100"/>
            </w:pPr>
            <w:r>
              <w:t>Used tyre storage (tyre fitting business):  premises on which used tyres are stored in connection with a tyre fitting business.</w:t>
            </w:r>
          </w:p>
        </w:tc>
        <w:tc>
          <w:tcPr>
            <w:tcW w:w="1701" w:type="dxa"/>
          </w:tcPr>
          <w:p>
            <w:pPr>
              <w:pStyle w:val="yTableNAm"/>
              <w:spacing w:before="100"/>
            </w:pPr>
            <w:r>
              <w:t>500 tyres or more</w:t>
            </w:r>
          </w:p>
        </w:tc>
      </w:tr>
      <w:tr>
        <w:trPr>
          <w:cantSplit/>
        </w:trPr>
        <w:tc>
          <w:tcPr>
            <w:tcW w:w="1080" w:type="dxa"/>
          </w:tcPr>
          <w:p>
            <w:pPr>
              <w:pStyle w:val="yTableNAm"/>
              <w:spacing w:before="100"/>
            </w:pPr>
            <w:r>
              <w:t>57</w:t>
            </w:r>
          </w:p>
        </w:tc>
        <w:tc>
          <w:tcPr>
            <w:tcW w:w="4449" w:type="dxa"/>
          </w:tcPr>
          <w:p>
            <w:pPr>
              <w:pStyle w:val="yTableNAm"/>
              <w:tabs>
                <w:tab w:val="clear" w:pos="567"/>
                <w:tab w:val="left" w:pos="423"/>
                <w:tab w:val="left" w:pos="739"/>
              </w:tabs>
              <w:spacing w:before="100"/>
            </w:pPr>
            <w:r>
              <w:t>Used tyre storage (general):  premises (other than premises within category 56) on which used tyres are stored.</w:t>
            </w:r>
          </w:p>
        </w:tc>
        <w:tc>
          <w:tcPr>
            <w:tcW w:w="1701" w:type="dxa"/>
          </w:tcPr>
          <w:p>
            <w:pPr>
              <w:pStyle w:val="yTableNAm"/>
              <w:spacing w:before="100"/>
            </w:pPr>
            <w:r>
              <w:t>100 tyres or more</w:t>
            </w:r>
          </w:p>
        </w:tc>
      </w:tr>
      <w:tr>
        <w:trPr>
          <w:cantSplit/>
        </w:trPr>
        <w:tc>
          <w:tcPr>
            <w:tcW w:w="1080" w:type="dxa"/>
          </w:tcPr>
          <w:p>
            <w:pPr>
              <w:pStyle w:val="yTableNAm"/>
              <w:spacing w:before="100"/>
            </w:pPr>
            <w:r>
              <w:t>58</w:t>
            </w:r>
          </w:p>
        </w:tc>
        <w:tc>
          <w:tcPr>
            <w:tcW w:w="4449" w:type="dxa"/>
          </w:tcPr>
          <w:p>
            <w:pPr>
              <w:pStyle w:val="yTableNAm"/>
              <w:tabs>
                <w:tab w:val="clear" w:pos="567"/>
                <w:tab w:val="left" w:pos="423"/>
                <w:tab w:val="left" w:pos="739"/>
              </w:tabs>
              <w:spacing w:before="100"/>
            </w:pPr>
            <w:r>
              <w:t>Bulk material loading or unloading:  premises on which clinker, coal, ore, ore concentrate or any other bulk granular material (other than salt) is loaded onto or unloaded from vessels by an open materials loading system.</w:t>
            </w:r>
          </w:p>
        </w:tc>
        <w:tc>
          <w:tcPr>
            <w:tcW w:w="1701" w:type="dxa"/>
          </w:tcPr>
          <w:p>
            <w:pPr>
              <w:pStyle w:val="yTableNAm"/>
              <w:spacing w:before="100"/>
            </w:pPr>
            <w:r>
              <w:t>100 tonnes or more per day</w:t>
            </w:r>
          </w:p>
        </w:tc>
      </w:tr>
      <w:tr>
        <w:trPr>
          <w:cantSplit/>
        </w:trPr>
        <w:tc>
          <w:tcPr>
            <w:tcW w:w="1080" w:type="dxa"/>
          </w:tcPr>
          <w:p>
            <w:pPr>
              <w:pStyle w:val="yTableNAm"/>
              <w:spacing w:before="100"/>
            </w:pPr>
            <w:r>
              <w:t>58A</w:t>
            </w:r>
          </w:p>
        </w:tc>
        <w:tc>
          <w:tcPr>
            <w:tcW w:w="4449" w:type="dxa"/>
          </w:tcPr>
          <w:p>
            <w:pPr>
              <w:pStyle w:val="yTableNAm"/>
              <w:tabs>
                <w:tab w:val="clear" w:pos="567"/>
                <w:tab w:val="left" w:pos="423"/>
                <w:tab w:val="left" w:pos="739"/>
              </w:tabs>
              <w:spacing w:before="100"/>
            </w:pPr>
            <w:r>
              <w:t>Bulk material loading or unloading:  premises on which salt is loaded onto or unloaded from vessels by an open materials loading system.</w:t>
            </w:r>
          </w:p>
        </w:tc>
        <w:tc>
          <w:tcPr>
            <w:tcW w:w="1701" w:type="dxa"/>
          </w:tcPr>
          <w:p>
            <w:pPr>
              <w:pStyle w:val="yTableNAm"/>
              <w:spacing w:before="100"/>
            </w:pPr>
            <w:r>
              <w:t>100 tonnes or more per day</w:t>
            </w:r>
          </w:p>
        </w:tc>
      </w:tr>
      <w:tr>
        <w:trPr>
          <w:cantSplit/>
        </w:trPr>
        <w:tc>
          <w:tcPr>
            <w:tcW w:w="1080" w:type="dxa"/>
          </w:tcPr>
          <w:p>
            <w:pPr>
              <w:pStyle w:val="yTableNAm"/>
              <w:keepNext/>
              <w:spacing w:before="100"/>
            </w:pPr>
            <w:r>
              <w:t>59</w:t>
            </w:r>
          </w:p>
        </w:tc>
        <w:tc>
          <w:tcPr>
            <w:tcW w:w="4449" w:type="dxa"/>
          </w:tcPr>
          <w:p>
            <w:pPr>
              <w:pStyle w:val="yTableNAm"/>
              <w:keepNext/>
              <w:tabs>
                <w:tab w:val="clear" w:pos="567"/>
                <w:tab w:val="left" w:pos="423"/>
                <w:tab w:val="left" w:pos="739"/>
              </w:tabs>
              <w:spacing w:before="100"/>
            </w:pPr>
            <w:r>
              <w:t>Biomedical waste incineration:  premises on which — </w:t>
            </w:r>
          </w:p>
        </w:tc>
        <w:tc>
          <w:tcPr>
            <w:tcW w:w="1701" w:type="dxa"/>
          </w:tcPr>
          <w:p>
            <w:pPr>
              <w:pStyle w:val="yTableNAm"/>
              <w:keepNext/>
              <w:spacing w:before="100"/>
            </w:pPr>
            <w:r>
              <w:t>Not applicable</w:t>
            </w:r>
          </w:p>
        </w:tc>
      </w:tr>
      <w:tr>
        <w:trPr>
          <w:cantSplit/>
        </w:trPr>
        <w:tc>
          <w:tcPr>
            <w:tcW w:w="1080" w:type="dxa"/>
          </w:tcPr>
          <w:p>
            <w:pPr>
              <w:pStyle w:val="yTableNAm"/>
              <w:spacing w:before="100"/>
            </w:pPr>
          </w:p>
        </w:tc>
        <w:tc>
          <w:tcPr>
            <w:tcW w:w="4449" w:type="dxa"/>
          </w:tcPr>
          <w:p>
            <w:pPr>
              <w:pStyle w:val="yTableNAm"/>
              <w:tabs>
                <w:tab w:val="clear" w:pos="567"/>
                <w:tab w:val="left" w:pos="423"/>
                <w:tab w:val="left" w:pos="739"/>
              </w:tabs>
              <w:spacing w:before="100"/>
              <w:ind w:left="425" w:hanging="425"/>
            </w:pPr>
            <w:r>
              <w:t>(a)</w:t>
            </w:r>
            <w:r>
              <w:tab/>
              <w:t>infectious or potentially infectious waste produced by health care establishments, or by pathology, dental, or veterinary practices, or by laboratories, is incinerated; or</w:t>
            </w:r>
          </w:p>
        </w:tc>
        <w:tc>
          <w:tcPr>
            <w:tcW w:w="1701" w:type="dxa"/>
          </w:tcPr>
          <w:p>
            <w:pPr>
              <w:pStyle w:val="yTableNAm"/>
              <w:spacing w:before="100"/>
            </w:pPr>
          </w:p>
        </w:tc>
      </w:tr>
      <w:tr>
        <w:trPr>
          <w:cantSplit/>
        </w:trPr>
        <w:tc>
          <w:tcPr>
            <w:tcW w:w="1080" w:type="dxa"/>
          </w:tcPr>
          <w:p>
            <w:pPr>
              <w:pStyle w:val="yTableNAm"/>
              <w:spacing w:before="100"/>
            </w:pPr>
          </w:p>
        </w:tc>
        <w:tc>
          <w:tcPr>
            <w:tcW w:w="4449" w:type="dxa"/>
          </w:tcPr>
          <w:p>
            <w:pPr>
              <w:pStyle w:val="yTableNAm"/>
              <w:tabs>
                <w:tab w:val="clear" w:pos="567"/>
                <w:tab w:val="left" w:pos="423"/>
                <w:tab w:val="left" w:pos="739"/>
              </w:tabs>
            </w:pPr>
            <w:r>
              <w:t>(b)</w:t>
            </w:r>
            <w:r>
              <w:tab/>
              <w:t>quarantine waste is incinerated; or</w:t>
            </w:r>
          </w:p>
        </w:tc>
        <w:tc>
          <w:tcPr>
            <w:tcW w:w="1701" w:type="dxa"/>
          </w:tcPr>
          <w:p>
            <w:pPr>
              <w:pStyle w:val="yTableNAm"/>
            </w:pPr>
          </w:p>
        </w:tc>
      </w:tr>
      <w:tr>
        <w:trPr>
          <w:cantSplit/>
        </w:trPr>
        <w:tc>
          <w:tcPr>
            <w:tcW w:w="1080" w:type="dxa"/>
          </w:tcPr>
          <w:p>
            <w:pPr>
              <w:pStyle w:val="yTableNAm"/>
            </w:pPr>
          </w:p>
        </w:tc>
        <w:tc>
          <w:tcPr>
            <w:tcW w:w="4449" w:type="dxa"/>
          </w:tcPr>
          <w:p>
            <w:pPr>
              <w:pStyle w:val="yTableNAm"/>
              <w:tabs>
                <w:tab w:val="clear" w:pos="567"/>
                <w:tab w:val="left" w:pos="423"/>
                <w:tab w:val="left" w:pos="739"/>
              </w:tabs>
            </w:pPr>
            <w:r>
              <w:t>(c)</w:t>
            </w:r>
            <w:r>
              <w:tab/>
              <w:t>cytotoxic waste is destroyed,</w:t>
            </w:r>
          </w:p>
          <w:p>
            <w:pPr>
              <w:pStyle w:val="yTableNAm"/>
              <w:tabs>
                <w:tab w:val="clear" w:pos="567"/>
                <w:tab w:val="left" w:pos="423"/>
                <w:tab w:val="left" w:pos="739"/>
              </w:tabs>
            </w:pPr>
            <w:r>
              <w:t>but not including premises on which there are only facilities used exclusively for human or animal cremation.</w:t>
            </w:r>
          </w:p>
        </w:tc>
        <w:tc>
          <w:tcPr>
            <w:tcW w:w="1701" w:type="dxa"/>
          </w:tcPr>
          <w:p>
            <w:pPr>
              <w:pStyle w:val="yTableNAm"/>
            </w:pPr>
          </w:p>
        </w:tc>
      </w:tr>
      <w:tr>
        <w:trPr>
          <w:cantSplit/>
        </w:trPr>
        <w:tc>
          <w:tcPr>
            <w:tcW w:w="1080" w:type="dxa"/>
          </w:tcPr>
          <w:p>
            <w:pPr>
              <w:pStyle w:val="yTableNAm"/>
            </w:pPr>
            <w:r>
              <w:t>60</w:t>
            </w:r>
          </w:p>
        </w:tc>
        <w:tc>
          <w:tcPr>
            <w:tcW w:w="4449" w:type="dxa"/>
          </w:tcPr>
          <w:p>
            <w:pPr>
              <w:pStyle w:val="yTableNAm"/>
              <w:tabs>
                <w:tab w:val="clear" w:pos="567"/>
                <w:tab w:val="left" w:pos="423"/>
                <w:tab w:val="left" w:pos="739"/>
              </w:tabs>
            </w:pPr>
            <w:r>
              <w:t>Incineration:  premises (other than premises within category 59) on which waste, excluding clean paper and cardboard, is incinerated.</w:t>
            </w:r>
          </w:p>
        </w:tc>
        <w:tc>
          <w:tcPr>
            <w:tcW w:w="1701" w:type="dxa"/>
          </w:tcPr>
          <w:p>
            <w:pPr>
              <w:pStyle w:val="yTableNAm"/>
            </w:pPr>
            <w:r>
              <w:t>100 kg or more per hour</w:t>
            </w:r>
          </w:p>
        </w:tc>
      </w:tr>
      <w:tr>
        <w:trPr>
          <w:cantSplit/>
        </w:trPr>
        <w:tc>
          <w:tcPr>
            <w:tcW w:w="1080" w:type="dxa"/>
          </w:tcPr>
          <w:p>
            <w:pPr>
              <w:pStyle w:val="yTableNAm"/>
            </w:pPr>
            <w:r>
              <w:t>61</w:t>
            </w:r>
          </w:p>
        </w:tc>
        <w:tc>
          <w:tcPr>
            <w:tcW w:w="4449" w:type="dxa"/>
          </w:tcPr>
          <w:p>
            <w:pPr>
              <w:pStyle w:val="yTableNAm"/>
              <w:tabs>
                <w:tab w:val="clear" w:pos="567"/>
                <w:tab w:val="left" w:pos="423"/>
                <w:tab w:val="left" w:pos="739"/>
              </w:tabs>
            </w:pPr>
            <w:r>
              <w:t>Liquid waste facility: premises on which liquid waste produced on other premises (other than sewerage waste) is stored, reprocessed, treated or irrigated.</w:t>
            </w:r>
          </w:p>
        </w:tc>
        <w:tc>
          <w:tcPr>
            <w:tcW w:w="1701" w:type="dxa"/>
          </w:tcPr>
          <w:p>
            <w:pPr>
              <w:pStyle w:val="yTableNAm"/>
            </w:pPr>
            <w:r>
              <w:t>100 tonnes or more per year</w:t>
            </w:r>
          </w:p>
        </w:tc>
      </w:tr>
      <w:tr>
        <w:trPr>
          <w:cantSplit/>
        </w:trPr>
        <w:tc>
          <w:tcPr>
            <w:tcW w:w="1080" w:type="dxa"/>
          </w:tcPr>
          <w:p>
            <w:pPr>
              <w:pStyle w:val="yTableNAm"/>
            </w:pPr>
            <w:r>
              <w:t>61A</w:t>
            </w:r>
          </w:p>
        </w:tc>
        <w:tc>
          <w:tcPr>
            <w:tcW w:w="4449" w:type="dxa"/>
          </w:tcPr>
          <w:p>
            <w:pPr>
              <w:pStyle w:val="yTableNAm"/>
              <w:tabs>
                <w:tab w:val="clear" w:pos="567"/>
                <w:tab w:val="left" w:pos="423"/>
                <w:tab w:val="left" w:pos="739"/>
              </w:tabs>
            </w:pPr>
            <w:r>
              <w:t>Solid waste facility: premises (other than premises within category 67A) on which solid waste produced on other premises is stored, reprocessed, treated, or discharged onto land.</w:t>
            </w:r>
          </w:p>
        </w:tc>
        <w:tc>
          <w:tcPr>
            <w:tcW w:w="1701" w:type="dxa"/>
          </w:tcPr>
          <w:p>
            <w:pPr>
              <w:pStyle w:val="yTableNAm"/>
            </w:pPr>
            <w:r>
              <w:t>1 000 tonnes or more per year</w:t>
            </w:r>
          </w:p>
        </w:tc>
      </w:tr>
      <w:tr>
        <w:trPr>
          <w:cantSplit/>
        </w:trPr>
        <w:tc>
          <w:tcPr>
            <w:tcW w:w="1080" w:type="dxa"/>
          </w:tcPr>
          <w:p>
            <w:pPr>
              <w:pStyle w:val="yTableNAm"/>
            </w:pPr>
            <w:r>
              <w:t>62</w:t>
            </w:r>
          </w:p>
        </w:tc>
        <w:tc>
          <w:tcPr>
            <w:tcW w:w="4449" w:type="dxa"/>
          </w:tcPr>
          <w:p>
            <w:pPr>
              <w:pStyle w:val="yTableNAm"/>
              <w:tabs>
                <w:tab w:val="clear" w:pos="567"/>
                <w:tab w:val="left" w:pos="423"/>
                <w:tab w:val="left" w:pos="739"/>
              </w:tabs>
            </w:pPr>
            <w:r>
              <w:t>Solid waste depot:  premises on which waste is stored, or sorted, pending final disposal or re</w:t>
            </w:r>
            <w:r>
              <w:noBreakHyphen/>
              <w:t>use.</w:t>
            </w:r>
          </w:p>
        </w:tc>
        <w:tc>
          <w:tcPr>
            <w:tcW w:w="1701" w:type="dxa"/>
          </w:tcPr>
          <w:p>
            <w:pPr>
              <w:pStyle w:val="yTableNAm"/>
            </w:pPr>
            <w:r>
              <w:t>500 tonnes or more per year</w:t>
            </w:r>
          </w:p>
        </w:tc>
      </w:tr>
      <w:tr>
        <w:trPr>
          <w:cantSplit/>
        </w:trPr>
        <w:tc>
          <w:tcPr>
            <w:tcW w:w="1080" w:type="dxa"/>
          </w:tcPr>
          <w:p>
            <w:pPr>
              <w:pStyle w:val="yTableNAm"/>
            </w:pPr>
            <w:r>
              <w:t>63</w:t>
            </w:r>
          </w:p>
        </w:tc>
        <w:tc>
          <w:tcPr>
            <w:tcW w:w="4449" w:type="dxa"/>
          </w:tcPr>
          <w:p>
            <w:pPr>
              <w:pStyle w:val="yTableNAm"/>
              <w:tabs>
                <w:tab w:val="clear" w:pos="567"/>
                <w:tab w:val="left" w:pos="423"/>
                <w:tab w:val="left" w:pos="739"/>
              </w:tabs>
            </w:pPr>
            <w:r>
              <w:t>Class I inert landfill site: premises on which waste (as determined by reference to the waste type set out in the document entitled “Landfill Waste Classification and Waste Definitions 1996” published by the Chief Executive Officer and as amended from time to time) is accepted for burial.</w:t>
            </w:r>
          </w:p>
        </w:tc>
        <w:tc>
          <w:tcPr>
            <w:tcW w:w="1701" w:type="dxa"/>
          </w:tcPr>
          <w:p>
            <w:pPr>
              <w:pStyle w:val="yTableNAm"/>
            </w:pPr>
            <w:r>
              <w:t>500 tonnes or more per year</w:t>
            </w:r>
          </w:p>
        </w:tc>
      </w:tr>
      <w:tr>
        <w:trPr>
          <w:cantSplit/>
        </w:trPr>
        <w:tc>
          <w:tcPr>
            <w:tcW w:w="1080" w:type="dxa"/>
          </w:tcPr>
          <w:p>
            <w:pPr>
              <w:pStyle w:val="yTableNAm"/>
              <w:spacing w:before="100"/>
            </w:pPr>
            <w:r>
              <w:t>64</w:t>
            </w:r>
          </w:p>
        </w:tc>
        <w:tc>
          <w:tcPr>
            <w:tcW w:w="4449" w:type="dxa"/>
          </w:tcPr>
          <w:p>
            <w:pPr>
              <w:pStyle w:val="yTableNAm"/>
              <w:tabs>
                <w:tab w:val="clear" w:pos="567"/>
                <w:tab w:val="left" w:pos="423"/>
                <w:tab w:val="left" w:pos="739"/>
              </w:tabs>
              <w:spacing w:before="100"/>
            </w:pPr>
            <w:r>
              <w:t>Class II or III putrescible landfill site: premises on which waste (as determined by reference to the waste type set out in the document entitled “Landfill Waste Classification and Waste Definitions 1996” published by the Chief Executive Officer and as amended from time to time) is accepted for burial.</w:t>
            </w:r>
          </w:p>
        </w:tc>
        <w:tc>
          <w:tcPr>
            <w:tcW w:w="1701" w:type="dxa"/>
          </w:tcPr>
          <w:p>
            <w:pPr>
              <w:pStyle w:val="yTableNAm"/>
              <w:spacing w:before="100"/>
            </w:pPr>
            <w:r>
              <w:t>20 tonnes or more per year</w:t>
            </w:r>
          </w:p>
        </w:tc>
      </w:tr>
      <w:tr>
        <w:trPr>
          <w:cantSplit/>
        </w:trPr>
        <w:tc>
          <w:tcPr>
            <w:tcW w:w="1080" w:type="dxa"/>
          </w:tcPr>
          <w:p>
            <w:pPr>
              <w:pStyle w:val="yTableNAm"/>
            </w:pPr>
            <w:r>
              <w:t>65</w:t>
            </w:r>
          </w:p>
        </w:tc>
        <w:tc>
          <w:tcPr>
            <w:tcW w:w="4449" w:type="dxa"/>
          </w:tcPr>
          <w:p>
            <w:pPr>
              <w:pStyle w:val="yTableNAm"/>
              <w:tabs>
                <w:tab w:val="clear" w:pos="567"/>
                <w:tab w:val="left" w:pos="423"/>
                <w:tab w:val="left" w:pos="739"/>
              </w:tabs>
            </w:pPr>
            <w:r>
              <w:t>Class IV secure landfill site: premises on which waste (as determined by reference to the waste type set out in the document entitled “Landfill Waste Classification and Waste Definitions 1996” published by the Chief Executive Officer and as amended from time to time) is accepted for burial.</w:t>
            </w:r>
          </w:p>
        </w:tc>
        <w:tc>
          <w:tcPr>
            <w:tcW w:w="1701" w:type="dxa"/>
          </w:tcPr>
          <w:p>
            <w:pPr>
              <w:pStyle w:val="yTableNAm"/>
            </w:pPr>
            <w:r>
              <w:t>Not applicable</w:t>
            </w:r>
          </w:p>
        </w:tc>
      </w:tr>
      <w:tr>
        <w:trPr>
          <w:cantSplit/>
        </w:trPr>
        <w:tc>
          <w:tcPr>
            <w:tcW w:w="1080" w:type="dxa"/>
          </w:tcPr>
          <w:p>
            <w:pPr>
              <w:pStyle w:val="yTableNAm"/>
            </w:pPr>
            <w:r>
              <w:t>66</w:t>
            </w:r>
          </w:p>
        </w:tc>
        <w:tc>
          <w:tcPr>
            <w:tcW w:w="4449" w:type="dxa"/>
          </w:tcPr>
          <w:p>
            <w:pPr>
              <w:pStyle w:val="yTableNAm"/>
              <w:tabs>
                <w:tab w:val="clear" w:pos="567"/>
                <w:tab w:val="left" w:pos="423"/>
                <w:tab w:val="left" w:pos="739"/>
              </w:tabs>
            </w:pPr>
            <w:r>
              <w:t>Class V intractable landfill site: premises on which waste (as determined by reference to the waste type set out in the document entitled “Landfill Waste Classification and Waste Definitions 1996” published by the Chief Executive Officer and as amended from time to time) is accepted for burial.</w:t>
            </w:r>
          </w:p>
        </w:tc>
        <w:tc>
          <w:tcPr>
            <w:tcW w:w="1701" w:type="dxa"/>
          </w:tcPr>
          <w:p>
            <w:pPr>
              <w:pStyle w:val="yTableNAm"/>
            </w:pPr>
            <w:r>
              <w:t>Not applicable</w:t>
            </w:r>
          </w:p>
        </w:tc>
      </w:tr>
      <w:tr>
        <w:trPr>
          <w:trHeight w:val="364"/>
        </w:trPr>
        <w:tc>
          <w:tcPr>
            <w:tcW w:w="1080" w:type="dxa"/>
          </w:tcPr>
          <w:p>
            <w:pPr>
              <w:pStyle w:val="yTableNAm"/>
            </w:pPr>
            <w:r>
              <w:t>67</w:t>
            </w:r>
          </w:p>
        </w:tc>
        <w:tc>
          <w:tcPr>
            <w:tcW w:w="4449" w:type="dxa"/>
          </w:tcPr>
          <w:p>
            <w:pPr>
              <w:pStyle w:val="yTableNAm"/>
              <w:tabs>
                <w:tab w:val="clear" w:pos="567"/>
                <w:tab w:val="left" w:pos="423"/>
                <w:tab w:val="left" w:pos="739"/>
              </w:tabs>
            </w:pPr>
            <w:r>
              <w:t>Fuel burning:  premises on which gaseous, liquid or solid fuel is burnt in a boiler for the supply of steam or in power generation equipment.</w:t>
            </w:r>
          </w:p>
        </w:tc>
        <w:tc>
          <w:tcPr>
            <w:tcW w:w="1701" w:type="dxa"/>
          </w:tcPr>
          <w:p>
            <w:pPr>
              <w:pStyle w:val="yTableNAm"/>
            </w:pPr>
            <w:r>
              <w:t>In aggregate 500 kg or more per hour (fuel with a sulphur content of 0.25% or more)</w:t>
            </w:r>
          </w:p>
          <w:p>
            <w:pPr>
              <w:pStyle w:val="yTableNAm"/>
              <w:spacing w:before="80"/>
              <w:rPr>
                <w:sz w:val="20"/>
              </w:rPr>
            </w:pPr>
            <w:r>
              <w:t>or</w:t>
            </w:r>
          </w:p>
          <w:p>
            <w:pPr>
              <w:pStyle w:val="yTableNAm"/>
              <w:spacing w:before="80"/>
            </w:pPr>
            <w:r>
              <w:t>In aggregate 2 000 kg or more per hour (fuel with a sulphur content of less than 0.25%)</w:t>
            </w:r>
          </w:p>
        </w:tc>
      </w:tr>
      <w:tr>
        <w:trPr>
          <w:cantSplit/>
        </w:trPr>
        <w:tc>
          <w:tcPr>
            <w:tcW w:w="1080" w:type="dxa"/>
          </w:tcPr>
          <w:p>
            <w:pPr>
              <w:pStyle w:val="yTableNAm"/>
              <w:keepNext/>
              <w:keepLines/>
            </w:pPr>
            <w:r>
              <w:t>67A</w:t>
            </w:r>
          </w:p>
        </w:tc>
        <w:tc>
          <w:tcPr>
            <w:tcW w:w="4449" w:type="dxa"/>
          </w:tcPr>
          <w:p>
            <w:pPr>
              <w:pStyle w:val="yTableNAm"/>
              <w:keepNext/>
              <w:keepLines/>
              <w:tabs>
                <w:tab w:val="clear" w:pos="567"/>
                <w:tab w:val="left" w:pos="423"/>
                <w:tab w:val="left" w:pos="739"/>
              </w:tabs>
            </w:pPr>
            <w:r>
              <w:t>Compost manufacturing and soil blending: premises on which organic material (excluding silage) or waste is stored pending processing, mixing, drying or composting to produce commercial quantities of compost or blended soils.</w:t>
            </w:r>
          </w:p>
        </w:tc>
        <w:tc>
          <w:tcPr>
            <w:tcW w:w="1701" w:type="dxa"/>
          </w:tcPr>
          <w:p>
            <w:pPr>
              <w:pStyle w:val="yTableNAm"/>
              <w:keepNext/>
              <w:keepLines/>
            </w:pPr>
            <w:r>
              <w:t>1 000 tonnes or more per year</w:t>
            </w:r>
          </w:p>
        </w:tc>
      </w:tr>
    </w:tbl>
    <w:p>
      <w:pPr>
        <w:pStyle w:val="yFootnotesection"/>
        <w:keepNext/>
      </w:pPr>
      <w:r>
        <w:tab/>
        <w:t>[Part 1 inserted in Gazette 13 Sep 1996 p. 4549</w:t>
      </w:r>
      <w:r>
        <w:noBreakHyphen/>
        <w:t>59; amended in Gazette 10 Dec 1996 p. 6877; 12 Sep 1997 p. 5151; 15 Aug 2000 p. 4715</w:t>
      </w:r>
      <w:r>
        <w:noBreakHyphen/>
        <w:t>17;14 Jun 2002 p. 2293</w:t>
      </w:r>
      <w:r>
        <w:noBreakHyphen/>
        <w:t>4; 13 Dec 2005 p. 5983; 22 Jun 2007 p. 2843, 30 Oct 2007 p. 5877; 23 Jul 2010 p. 3401; 20 Aug 2013 p. 3856.]</w:t>
      </w:r>
    </w:p>
    <w:p>
      <w:pPr>
        <w:pStyle w:val="yMiscellaneousHeading"/>
        <w:keepNext w:val="0"/>
        <w:pageBreakBefore/>
        <w:spacing w:before="0" w:after="80"/>
        <w:rPr>
          <w:b/>
        </w:rPr>
      </w:pPr>
      <w:r>
        <w:rPr>
          <w:rStyle w:val="CharSDivNo"/>
          <w:b/>
          <w:sz w:val="28"/>
        </w:rPr>
        <w:t>Part 2</w:t>
      </w:r>
      <w:r>
        <w:rPr>
          <w:rStyle w:val="CharSDivText"/>
          <w:b/>
        </w:rPr>
        <w:t xml:space="preserve"> </w:t>
      </w:r>
    </w:p>
    <w:tbl>
      <w:tblPr>
        <w:tblW w:w="7200" w:type="dxa"/>
        <w:tblInd w:w="57" w:type="dxa"/>
        <w:tblLayout w:type="fixed"/>
        <w:tblCellMar>
          <w:left w:w="57" w:type="dxa"/>
          <w:right w:w="141" w:type="dxa"/>
        </w:tblCellMar>
        <w:tblLook w:val="0000" w:firstRow="0" w:lastRow="0" w:firstColumn="0" w:lastColumn="0" w:noHBand="0" w:noVBand="0"/>
      </w:tblPr>
      <w:tblGrid>
        <w:gridCol w:w="1080"/>
        <w:gridCol w:w="4440"/>
        <w:gridCol w:w="1680"/>
      </w:tblGrid>
      <w:tr>
        <w:trPr>
          <w:cantSplit/>
          <w:tblHeader/>
        </w:trPr>
        <w:tc>
          <w:tcPr>
            <w:tcW w:w="1080" w:type="dxa"/>
          </w:tcPr>
          <w:p>
            <w:pPr>
              <w:pStyle w:val="yTableNAm"/>
              <w:jc w:val="center"/>
              <w:rPr>
                <w:b/>
              </w:rPr>
            </w:pPr>
            <w:r>
              <w:rPr>
                <w:b/>
              </w:rPr>
              <w:t>Category</w:t>
            </w:r>
            <w:r>
              <w:rPr>
                <w:b/>
              </w:rPr>
              <w:br/>
              <w:t>number</w:t>
            </w:r>
          </w:p>
        </w:tc>
        <w:tc>
          <w:tcPr>
            <w:tcW w:w="4440" w:type="dxa"/>
          </w:tcPr>
          <w:p>
            <w:pPr>
              <w:pStyle w:val="yTableNAm"/>
              <w:jc w:val="center"/>
              <w:rPr>
                <w:b/>
              </w:rPr>
            </w:pPr>
            <w:r>
              <w:rPr>
                <w:b/>
              </w:rPr>
              <w:t>Description of  category</w:t>
            </w:r>
          </w:p>
        </w:tc>
        <w:tc>
          <w:tcPr>
            <w:tcW w:w="1680" w:type="dxa"/>
          </w:tcPr>
          <w:p>
            <w:pPr>
              <w:pStyle w:val="yTableNAm"/>
              <w:jc w:val="center"/>
              <w:rPr>
                <w:b/>
              </w:rPr>
            </w:pPr>
            <w:r>
              <w:rPr>
                <w:b/>
              </w:rPr>
              <w:t>Production or design capacity</w:t>
            </w:r>
          </w:p>
        </w:tc>
      </w:tr>
      <w:tr>
        <w:trPr>
          <w:cantSplit/>
        </w:trPr>
        <w:tc>
          <w:tcPr>
            <w:tcW w:w="1080" w:type="dxa"/>
          </w:tcPr>
          <w:p>
            <w:pPr>
              <w:pStyle w:val="yTableNAm"/>
              <w:spacing w:before="80"/>
            </w:pPr>
            <w:r>
              <w:t>68</w:t>
            </w:r>
          </w:p>
        </w:tc>
        <w:tc>
          <w:tcPr>
            <w:tcW w:w="4440" w:type="dxa"/>
          </w:tcPr>
          <w:p>
            <w:pPr>
              <w:pStyle w:val="yTableNAm"/>
              <w:spacing w:before="80"/>
            </w:pPr>
            <w:r>
              <w:t>Cattle feedlot:  premises on which the watering and feeding of cattle occurs, being premises —</w:t>
            </w:r>
          </w:p>
          <w:p>
            <w:pPr>
              <w:pStyle w:val="yTableNAm"/>
              <w:tabs>
                <w:tab w:val="clear" w:pos="567"/>
                <w:tab w:val="left" w:pos="423"/>
                <w:tab w:val="left" w:pos="739"/>
              </w:tabs>
              <w:spacing w:before="80"/>
              <w:ind w:left="425" w:hanging="425"/>
            </w:pPr>
            <w:r>
              <w:t>(a)</w:t>
            </w:r>
            <w:r>
              <w:tab/>
              <w:t>situated 100 m or more from a watercourse; and</w:t>
            </w:r>
          </w:p>
          <w:p>
            <w:pPr>
              <w:pStyle w:val="yTableNAm"/>
              <w:tabs>
                <w:tab w:val="clear" w:pos="567"/>
                <w:tab w:val="left" w:pos="423"/>
                <w:tab w:val="left" w:pos="739"/>
              </w:tabs>
              <w:spacing w:before="80"/>
              <w:ind w:left="425" w:hanging="425"/>
            </w:pPr>
            <w:r>
              <w:t>(b)</w:t>
            </w:r>
            <w:r>
              <w:tab/>
              <w:t>on which the number of cattle per hectare exceeds 50.</w:t>
            </w:r>
          </w:p>
        </w:tc>
        <w:tc>
          <w:tcPr>
            <w:tcW w:w="1680" w:type="dxa"/>
          </w:tcPr>
          <w:p>
            <w:pPr>
              <w:pStyle w:val="yTableNAm"/>
              <w:spacing w:before="80"/>
            </w:pPr>
            <w:r>
              <w:t>500 animals or more</w:t>
            </w:r>
          </w:p>
        </w:tc>
      </w:tr>
      <w:tr>
        <w:trPr>
          <w:cantSplit/>
        </w:trPr>
        <w:tc>
          <w:tcPr>
            <w:tcW w:w="1080" w:type="dxa"/>
          </w:tcPr>
          <w:p>
            <w:pPr>
              <w:pStyle w:val="yTableNAm"/>
              <w:spacing w:before="80"/>
            </w:pPr>
            <w:r>
              <w:t>69</w:t>
            </w:r>
          </w:p>
        </w:tc>
        <w:tc>
          <w:tcPr>
            <w:tcW w:w="4440" w:type="dxa"/>
          </w:tcPr>
          <w:p>
            <w:pPr>
              <w:pStyle w:val="yTableNAm"/>
              <w:spacing w:before="80"/>
            </w:pPr>
            <w:r>
              <w:t>Intensive piggery:  premises on which pigs are fed, watered and housed in pens.</w:t>
            </w:r>
          </w:p>
        </w:tc>
        <w:tc>
          <w:tcPr>
            <w:tcW w:w="1680" w:type="dxa"/>
          </w:tcPr>
          <w:p>
            <w:pPr>
              <w:pStyle w:val="yTableNAm"/>
              <w:spacing w:before="80"/>
            </w:pPr>
            <w:r>
              <w:t>More than 500 but less than 1 000 animals</w:t>
            </w:r>
          </w:p>
        </w:tc>
      </w:tr>
      <w:tr>
        <w:trPr>
          <w:cantSplit/>
        </w:trPr>
        <w:tc>
          <w:tcPr>
            <w:tcW w:w="1080" w:type="dxa"/>
          </w:tcPr>
          <w:p>
            <w:pPr>
              <w:pStyle w:val="yTableNAm"/>
              <w:spacing w:before="80"/>
            </w:pPr>
            <w:r>
              <w:t>70</w:t>
            </w:r>
          </w:p>
        </w:tc>
        <w:tc>
          <w:tcPr>
            <w:tcW w:w="4440" w:type="dxa"/>
          </w:tcPr>
          <w:p>
            <w:pPr>
              <w:pStyle w:val="yTableNAm"/>
              <w:spacing w:before="80"/>
            </w:pPr>
            <w:r>
              <w:rPr>
                <w:szCs w:val="22"/>
              </w:rPr>
              <w:t>Screening etc.</w:t>
            </w:r>
            <w:r>
              <w:t xml:space="preserve"> of material:  premises on which material extracted from the ground is screened, washed, crushed, ground, milled, sized or separated.</w:t>
            </w:r>
          </w:p>
        </w:tc>
        <w:tc>
          <w:tcPr>
            <w:tcW w:w="1680" w:type="dxa"/>
          </w:tcPr>
          <w:p>
            <w:pPr>
              <w:pStyle w:val="yTableNAm"/>
              <w:spacing w:before="80"/>
            </w:pPr>
            <w:r>
              <w:t>More than 5 000 but less than 50 000 tonnes per year</w:t>
            </w:r>
          </w:p>
        </w:tc>
      </w:tr>
      <w:tr>
        <w:trPr>
          <w:cantSplit/>
        </w:trPr>
        <w:tc>
          <w:tcPr>
            <w:tcW w:w="1080" w:type="dxa"/>
          </w:tcPr>
          <w:p>
            <w:pPr>
              <w:pStyle w:val="yTableNAm"/>
              <w:spacing w:before="80"/>
              <w:rPr>
                <w:i/>
              </w:rPr>
            </w:pPr>
            <w:r>
              <w:rPr>
                <w:i/>
              </w:rPr>
              <w:t>[71</w:t>
            </w:r>
          </w:p>
        </w:tc>
        <w:tc>
          <w:tcPr>
            <w:tcW w:w="4440" w:type="dxa"/>
          </w:tcPr>
          <w:p>
            <w:pPr>
              <w:pStyle w:val="yTableNAm"/>
              <w:spacing w:before="80"/>
              <w:rPr>
                <w:i/>
              </w:rPr>
            </w:pPr>
            <w:r>
              <w:rPr>
                <w:i/>
              </w:rPr>
              <w:t>deleted]</w:t>
            </w:r>
          </w:p>
        </w:tc>
        <w:tc>
          <w:tcPr>
            <w:tcW w:w="1680" w:type="dxa"/>
          </w:tcPr>
          <w:p>
            <w:pPr>
              <w:pStyle w:val="yTableNAm"/>
              <w:spacing w:before="80"/>
            </w:pPr>
          </w:p>
        </w:tc>
      </w:tr>
      <w:tr>
        <w:trPr>
          <w:cantSplit/>
        </w:trPr>
        <w:tc>
          <w:tcPr>
            <w:tcW w:w="1080" w:type="dxa"/>
          </w:tcPr>
          <w:p>
            <w:pPr>
              <w:pStyle w:val="yTableNAm"/>
              <w:spacing w:before="80"/>
            </w:pPr>
            <w:r>
              <w:t>72</w:t>
            </w:r>
          </w:p>
        </w:tc>
        <w:tc>
          <w:tcPr>
            <w:tcW w:w="4440" w:type="dxa"/>
          </w:tcPr>
          <w:p>
            <w:pPr>
              <w:pStyle w:val="yTableNAm"/>
              <w:spacing w:before="80"/>
            </w:pPr>
            <w:r>
              <w:t>Chemical manufacturing:  premises on which chemical products are manufactured by a chemical process.</w:t>
            </w:r>
          </w:p>
        </w:tc>
        <w:tc>
          <w:tcPr>
            <w:tcW w:w="1680" w:type="dxa"/>
          </w:tcPr>
          <w:p>
            <w:pPr>
              <w:pStyle w:val="yTableNAm"/>
              <w:spacing w:before="80"/>
            </w:pPr>
            <w:r>
              <w:t>Not more than 100 tonnes per year</w:t>
            </w:r>
          </w:p>
        </w:tc>
      </w:tr>
      <w:tr>
        <w:trPr>
          <w:cantSplit/>
        </w:trPr>
        <w:tc>
          <w:tcPr>
            <w:tcW w:w="1080" w:type="dxa"/>
          </w:tcPr>
          <w:p>
            <w:pPr>
              <w:pStyle w:val="yTableNAm"/>
              <w:spacing w:before="80"/>
            </w:pPr>
            <w:r>
              <w:t>73</w:t>
            </w:r>
          </w:p>
        </w:tc>
        <w:tc>
          <w:tcPr>
            <w:tcW w:w="4440" w:type="dxa"/>
          </w:tcPr>
          <w:p>
            <w:pPr>
              <w:pStyle w:val="yTableNAm"/>
              <w:spacing w:before="80"/>
            </w:pPr>
            <w:r>
              <w:t xml:space="preserve">Bulk storage of </w:t>
            </w:r>
            <w:r>
              <w:rPr>
                <w:szCs w:val="22"/>
              </w:rPr>
              <w:t>chemicals etc.:</w:t>
            </w:r>
            <w:r>
              <w:t xml:space="preserve"> premises on which acids, alkalis or chemicals that —</w:t>
            </w:r>
          </w:p>
          <w:p>
            <w:pPr>
              <w:pStyle w:val="yTableNAm"/>
              <w:spacing w:before="80"/>
              <w:ind w:left="567" w:hanging="567"/>
            </w:pPr>
            <w:r>
              <w:t>(a)</w:t>
            </w:r>
            <w:r>
              <w:tab/>
              <w:t>contain at least one carbon to carbon bond; and</w:t>
            </w:r>
          </w:p>
        </w:tc>
        <w:tc>
          <w:tcPr>
            <w:tcW w:w="1680" w:type="dxa"/>
          </w:tcPr>
          <w:p>
            <w:pPr>
              <w:pStyle w:val="yTableNAm"/>
              <w:spacing w:before="80"/>
            </w:pPr>
            <w:r>
              <w:t>1 000 m</w:t>
            </w:r>
            <w:r>
              <w:rPr>
                <w:vertAlign w:val="superscript"/>
              </w:rPr>
              <w:t>3</w:t>
            </w:r>
            <w:r>
              <w:t xml:space="preserve"> in aggregate</w:t>
            </w:r>
          </w:p>
        </w:tc>
      </w:tr>
      <w:tr>
        <w:trPr>
          <w:cantSplit/>
        </w:trPr>
        <w:tc>
          <w:tcPr>
            <w:tcW w:w="1080" w:type="dxa"/>
          </w:tcPr>
          <w:p>
            <w:pPr>
              <w:pStyle w:val="yTableNAm"/>
              <w:spacing w:before="80"/>
            </w:pPr>
          </w:p>
        </w:tc>
        <w:tc>
          <w:tcPr>
            <w:tcW w:w="4440" w:type="dxa"/>
          </w:tcPr>
          <w:p>
            <w:pPr>
              <w:pStyle w:val="yTableNAm"/>
              <w:spacing w:before="80"/>
              <w:ind w:left="567" w:hanging="567"/>
            </w:pPr>
            <w:r>
              <w:t>(b)</w:t>
            </w:r>
            <w:r>
              <w:tab/>
              <w:t>are liquid at STP (standard temperature and pressure),</w:t>
            </w:r>
          </w:p>
          <w:p>
            <w:pPr>
              <w:pStyle w:val="yTableNAm"/>
              <w:spacing w:before="80"/>
            </w:pPr>
            <w:r>
              <w:t>are stored.</w:t>
            </w:r>
          </w:p>
        </w:tc>
        <w:tc>
          <w:tcPr>
            <w:tcW w:w="1680" w:type="dxa"/>
          </w:tcPr>
          <w:p>
            <w:pPr>
              <w:pStyle w:val="yTableNAm"/>
              <w:spacing w:before="80"/>
            </w:pPr>
          </w:p>
        </w:tc>
      </w:tr>
      <w:tr>
        <w:trPr>
          <w:cantSplit/>
        </w:trPr>
        <w:tc>
          <w:tcPr>
            <w:tcW w:w="1080" w:type="dxa"/>
          </w:tcPr>
          <w:p>
            <w:pPr>
              <w:pStyle w:val="yTableNAm"/>
              <w:spacing w:before="80"/>
            </w:pPr>
            <w:r>
              <w:t>74</w:t>
            </w:r>
          </w:p>
        </w:tc>
        <w:tc>
          <w:tcPr>
            <w:tcW w:w="4440" w:type="dxa"/>
          </w:tcPr>
          <w:p>
            <w:pPr>
              <w:pStyle w:val="yTableNAm"/>
              <w:spacing w:before="80"/>
            </w:pPr>
            <w:r>
              <w:t>Chemical blending or mixing causing discharge:  premises on which chemicals or chemical products are mixed, blended or packaged in a manner that causes or is likely to cause a discharge of waste into the environment.</w:t>
            </w:r>
          </w:p>
        </w:tc>
        <w:tc>
          <w:tcPr>
            <w:tcW w:w="1680" w:type="dxa"/>
          </w:tcPr>
          <w:p>
            <w:pPr>
              <w:pStyle w:val="yTableNAm"/>
              <w:spacing w:before="80"/>
            </w:pPr>
            <w:r>
              <w:t>More than 50 but less than 500 tonnes per year</w:t>
            </w:r>
          </w:p>
        </w:tc>
      </w:tr>
      <w:tr>
        <w:trPr>
          <w:cantSplit/>
        </w:trPr>
        <w:tc>
          <w:tcPr>
            <w:tcW w:w="1080" w:type="dxa"/>
          </w:tcPr>
          <w:p>
            <w:pPr>
              <w:pStyle w:val="yTableNAm"/>
              <w:spacing w:before="80"/>
            </w:pPr>
            <w:r>
              <w:t>75</w:t>
            </w:r>
          </w:p>
        </w:tc>
        <w:tc>
          <w:tcPr>
            <w:tcW w:w="4440" w:type="dxa"/>
          </w:tcPr>
          <w:p>
            <w:pPr>
              <w:pStyle w:val="yTableNAm"/>
              <w:spacing w:before="80"/>
            </w:pPr>
            <w:r>
              <w:t>Chemical blending or mixing not causing discharge:  premises on which chemicals or chemical products are mixed, blended or packaged in a manner that does not cause or is not likely to cause a discharge of waste into the environment.</w:t>
            </w:r>
          </w:p>
        </w:tc>
        <w:tc>
          <w:tcPr>
            <w:tcW w:w="1680" w:type="dxa"/>
          </w:tcPr>
          <w:p>
            <w:pPr>
              <w:pStyle w:val="yTableNAm"/>
              <w:spacing w:before="80"/>
            </w:pPr>
            <w:r>
              <w:t>5 000 tonnes or more per year</w:t>
            </w:r>
          </w:p>
        </w:tc>
      </w:tr>
      <w:tr>
        <w:trPr>
          <w:cantSplit/>
        </w:trPr>
        <w:tc>
          <w:tcPr>
            <w:tcW w:w="1080" w:type="dxa"/>
          </w:tcPr>
          <w:p>
            <w:pPr>
              <w:pStyle w:val="yTableNAm"/>
              <w:spacing w:before="80"/>
            </w:pPr>
            <w:r>
              <w:t>76</w:t>
            </w:r>
          </w:p>
        </w:tc>
        <w:tc>
          <w:tcPr>
            <w:tcW w:w="4440" w:type="dxa"/>
          </w:tcPr>
          <w:p>
            <w:pPr>
              <w:pStyle w:val="yTableNAm"/>
              <w:spacing w:before="80"/>
            </w:pPr>
            <w:r>
              <w:t>Ceramic goods manufacturing:  premises on which ceramic kitchen or table ware or other non</w:t>
            </w:r>
            <w:r>
              <w:noBreakHyphen/>
              <w:t>refractory ceramic products are manufactured.</w:t>
            </w:r>
          </w:p>
        </w:tc>
        <w:tc>
          <w:tcPr>
            <w:tcW w:w="1680" w:type="dxa"/>
          </w:tcPr>
          <w:p>
            <w:pPr>
              <w:pStyle w:val="yTableNAm"/>
              <w:spacing w:before="80"/>
            </w:pPr>
            <w:r>
              <w:t>200 tonnes or more per year</w:t>
            </w:r>
          </w:p>
        </w:tc>
      </w:tr>
      <w:tr>
        <w:trPr>
          <w:cantSplit/>
        </w:trPr>
        <w:tc>
          <w:tcPr>
            <w:tcW w:w="1080" w:type="dxa"/>
          </w:tcPr>
          <w:p>
            <w:pPr>
              <w:pStyle w:val="yTableNAm"/>
              <w:spacing w:before="80"/>
            </w:pPr>
            <w:r>
              <w:t>77</w:t>
            </w:r>
          </w:p>
        </w:tc>
        <w:tc>
          <w:tcPr>
            <w:tcW w:w="4440" w:type="dxa"/>
          </w:tcPr>
          <w:p>
            <w:pPr>
              <w:pStyle w:val="yTableNAm"/>
              <w:spacing w:before="80"/>
              <w:rPr>
                <w:spacing w:val="-2"/>
              </w:rPr>
            </w:pPr>
            <w:r>
              <w:rPr>
                <w:spacing w:val="-2"/>
              </w:rPr>
              <w:t>Concrete batching or cement products manufacturing:  premises on which cement products or concrete are manufactured for use at places or premises other than those premises.</w:t>
            </w:r>
          </w:p>
        </w:tc>
        <w:tc>
          <w:tcPr>
            <w:tcW w:w="1680" w:type="dxa"/>
          </w:tcPr>
          <w:p>
            <w:pPr>
              <w:pStyle w:val="yTableNAm"/>
              <w:spacing w:before="80"/>
            </w:pPr>
            <w:r>
              <w:t>100 tonnes or more per year</w:t>
            </w:r>
          </w:p>
        </w:tc>
      </w:tr>
      <w:tr>
        <w:trPr>
          <w:cantSplit/>
        </w:trPr>
        <w:tc>
          <w:tcPr>
            <w:tcW w:w="1080" w:type="dxa"/>
          </w:tcPr>
          <w:p>
            <w:pPr>
              <w:pStyle w:val="yTableNAm"/>
              <w:spacing w:before="80"/>
            </w:pPr>
            <w:r>
              <w:t>78</w:t>
            </w:r>
          </w:p>
        </w:tc>
        <w:tc>
          <w:tcPr>
            <w:tcW w:w="4440" w:type="dxa"/>
          </w:tcPr>
          <w:p>
            <w:pPr>
              <w:pStyle w:val="yTableNAm"/>
              <w:spacing w:before="80"/>
            </w:pPr>
            <w:r>
              <w:t>Plaster manufacturing:  premises on which plaster, plaster board, gyprock or other products comprised wholly or primarily of gypsum are manufactured.</w:t>
            </w:r>
          </w:p>
        </w:tc>
        <w:tc>
          <w:tcPr>
            <w:tcW w:w="1680" w:type="dxa"/>
          </w:tcPr>
          <w:p>
            <w:pPr>
              <w:pStyle w:val="yTableNAm"/>
              <w:spacing w:before="80"/>
            </w:pPr>
            <w:r>
              <w:t>500 tonnes or more per year</w:t>
            </w:r>
          </w:p>
        </w:tc>
      </w:tr>
      <w:tr>
        <w:trPr>
          <w:cantSplit/>
        </w:trPr>
        <w:tc>
          <w:tcPr>
            <w:tcW w:w="1080" w:type="dxa"/>
          </w:tcPr>
          <w:p>
            <w:pPr>
              <w:pStyle w:val="yTableNAm"/>
              <w:spacing w:before="80"/>
            </w:pPr>
            <w:r>
              <w:t>79</w:t>
            </w:r>
          </w:p>
        </w:tc>
        <w:tc>
          <w:tcPr>
            <w:tcW w:w="4440" w:type="dxa"/>
          </w:tcPr>
          <w:p>
            <w:pPr>
              <w:pStyle w:val="yTableNAm"/>
              <w:spacing w:before="80"/>
            </w:pPr>
            <w:r>
              <w:t>Carbon stripping:  premises on which carbon granules from a gold extraction process located at another place or on other premises are reprocessed.</w:t>
            </w:r>
          </w:p>
        </w:tc>
        <w:tc>
          <w:tcPr>
            <w:tcW w:w="1680" w:type="dxa"/>
          </w:tcPr>
          <w:p>
            <w:pPr>
              <w:pStyle w:val="yTableNAm"/>
              <w:spacing w:before="80"/>
            </w:pPr>
            <w:r>
              <w:t>100 tonnes or more per year</w:t>
            </w:r>
          </w:p>
        </w:tc>
      </w:tr>
      <w:tr>
        <w:trPr>
          <w:cantSplit/>
        </w:trPr>
        <w:tc>
          <w:tcPr>
            <w:tcW w:w="1080" w:type="dxa"/>
          </w:tcPr>
          <w:p>
            <w:pPr>
              <w:pStyle w:val="yTableNAm"/>
              <w:spacing w:before="80"/>
            </w:pPr>
            <w:r>
              <w:t>80</w:t>
            </w:r>
          </w:p>
        </w:tc>
        <w:tc>
          <w:tcPr>
            <w:tcW w:w="4440" w:type="dxa"/>
          </w:tcPr>
          <w:p>
            <w:pPr>
              <w:pStyle w:val="yTableNAm"/>
              <w:spacing w:before="80"/>
            </w:pPr>
            <w:r>
              <w:t>Non</w:t>
            </w:r>
            <w:r>
              <w:noBreakHyphen/>
              <w:t>metallic mineral processing:  premises on which non</w:t>
            </w:r>
            <w:r>
              <w:noBreakHyphen/>
              <w:t>metallic minerals are crushed, ground, milled or separated.</w:t>
            </w:r>
          </w:p>
        </w:tc>
        <w:tc>
          <w:tcPr>
            <w:tcW w:w="1680" w:type="dxa"/>
          </w:tcPr>
          <w:p>
            <w:pPr>
              <w:pStyle w:val="yTableNAm"/>
              <w:spacing w:before="80"/>
            </w:pPr>
            <w:r>
              <w:t>100 tonnes or more per year</w:t>
            </w:r>
          </w:p>
        </w:tc>
      </w:tr>
      <w:tr>
        <w:trPr>
          <w:cantSplit/>
        </w:trPr>
        <w:tc>
          <w:tcPr>
            <w:tcW w:w="1080" w:type="dxa"/>
          </w:tcPr>
          <w:p>
            <w:pPr>
              <w:pStyle w:val="yTableNAm"/>
              <w:spacing w:before="80"/>
            </w:pPr>
            <w:r>
              <w:t>81</w:t>
            </w:r>
          </w:p>
        </w:tc>
        <w:tc>
          <w:tcPr>
            <w:tcW w:w="4440" w:type="dxa"/>
          </w:tcPr>
          <w:p>
            <w:pPr>
              <w:pStyle w:val="yTableNAm"/>
              <w:spacing w:before="80"/>
            </w:pPr>
            <w:r>
              <w:t>Metal coating:  premises on which metal products (excluding vehicles) are spray painted, powder coated or enamelled.</w:t>
            </w:r>
          </w:p>
        </w:tc>
        <w:tc>
          <w:tcPr>
            <w:tcW w:w="1680" w:type="dxa"/>
          </w:tcPr>
          <w:p>
            <w:pPr>
              <w:pStyle w:val="yTableNAm"/>
              <w:spacing w:before="80"/>
            </w:pPr>
            <w:r>
              <w:t>1 000 L or more per year (paint or powder)</w:t>
            </w:r>
          </w:p>
        </w:tc>
      </w:tr>
      <w:tr>
        <w:trPr>
          <w:cantSplit/>
        </w:trPr>
        <w:tc>
          <w:tcPr>
            <w:tcW w:w="1080" w:type="dxa"/>
          </w:tcPr>
          <w:p>
            <w:pPr>
              <w:pStyle w:val="yTableNAm"/>
              <w:spacing w:before="80"/>
            </w:pPr>
            <w:r>
              <w:t>82</w:t>
            </w:r>
          </w:p>
        </w:tc>
        <w:tc>
          <w:tcPr>
            <w:tcW w:w="4440" w:type="dxa"/>
          </w:tcPr>
          <w:p>
            <w:pPr>
              <w:pStyle w:val="yTableNAm"/>
              <w:spacing w:before="80"/>
            </w:pPr>
            <w:r>
              <w:t>Boat building and maintenance:  premises on which —</w:t>
            </w:r>
          </w:p>
          <w:p>
            <w:pPr>
              <w:pStyle w:val="yTableNAm"/>
              <w:spacing w:before="80"/>
              <w:ind w:left="567" w:hanging="567"/>
            </w:pPr>
            <w:r>
              <w:t>(a)</w:t>
            </w:r>
            <w:r>
              <w:tab/>
              <w:t>vessels are commercially built or maintained; and</w:t>
            </w:r>
          </w:p>
        </w:tc>
        <w:tc>
          <w:tcPr>
            <w:tcW w:w="1680" w:type="dxa"/>
          </w:tcPr>
          <w:p>
            <w:pPr>
              <w:pStyle w:val="yTableNAm"/>
              <w:spacing w:before="80"/>
            </w:pPr>
            <w:r>
              <w:t>Not applicable</w:t>
            </w:r>
          </w:p>
        </w:tc>
      </w:tr>
      <w:tr>
        <w:trPr>
          <w:cantSplit/>
        </w:trPr>
        <w:tc>
          <w:tcPr>
            <w:tcW w:w="1080" w:type="dxa"/>
          </w:tcPr>
          <w:p>
            <w:pPr>
              <w:pStyle w:val="yTableNAm"/>
              <w:spacing w:before="80"/>
            </w:pPr>
          </w:p>
        </w:tc>
        <w:tc>
          <w:tcPr>
            <w:tcW w:w="4440" w:type="dxa"/>
          </w:tcPr>
          <w:p>
            <w:pPr>
              <w:pStyle w:val="yTableNAm"/>
              <w:spacing w:before="80"/>
              <w:ind w:left="567" w:hanging="567"/>
            </w:pPr>
            <w:r>
              <w:t>(b)</w:t>
            </w:r>
            <w:r>
              <w:tab/>
              <w:t>organotin compounds are not used or removed from vessels.</w:t>
            </w:r>
          </w:p>
        </w:tc>
        <w:tc>
          <w:tcPr>
            <w:tcW w:w="1680" w:type="dxa"/>
          </w:tcPr>
          <w:p>
            <w:pPr>
              <w:pStyle w:val="yTableNAm"/>
              <w:spacing w:before="80"/>
            </w:pPr>
          </w:p>
        </w:tc>
      </w:tr>
      <w:tr>
        <w:trPr>
          <w:cantSplit/>
        </w:trPr>
        <w:tc>
          <w:tcPr>
            <w:tcW w:w="1080" w:type="dxa"/>
          </w:tcPr>
          <w:p>
            <w:pPr>
              <w:pStyle w:val="yTableNAm"/>
            </w:pPr>
            <w:r>
              <w:t>83</w:t>
            </w:r>
          </w:p>
        </w:tc>
        <w:tc>
          <w:tcPr>
            <w:tcW w:w="4440" w:type="dxa"/>
          </w:tcPr>
          <w:p>
            <w:pPr>
              <w:pStyle w:val="yTableNAm"/>
            </w:pPr>
            <w:r>
              <w:t>Fellmongering:  premises on which animal skins or hides are dried, cured or stored.</w:t>
            </w:r>
          </w:p>
        </w:tc>
        <w:tc>
          <w:tcPr>
            <w:tcW w:w="1680" w:type="dxa"/>
          </w:tcPr>
          <w:p>
            <w:pPr>
              <w:pStyle w:val="yTableNAm"/>
            </w:pPr>
            <w:r>
              <w:t>1 000 skins or hides or more per year</w:t>
            </w:r>
          </w:p>
        </w:tc>
      </w:tr>
      <w:tr>
        <w:trPr>
          <w:cantSplit/>
        </w:trPr>
        <w:tc>
          <w:tcPr>
            <w:tcW w:w="1080" w:type="dxa"/>
          </w:tcPr>
          <w:p>
            <w:pPr>
              <w:pStyle w:val="yTableNAm"/>
            </w:pPr>
            <w:r>
              <w:t>84</w:t>
            </w:r>
          </w:p>
        </w:tc>
        <w:tc>
          <w:tcPr>
            <w:tcW w:w="4440" w:type="dxa"/>
          </w:tcPr>
          <w:p>
            <w:pPr>
              <w:pStyle w:val="yTableNAm"/>
            </w:pPr>
            <w:r>
              <w:t>Electric power generation:  premises (other than premises within category 53 or an emergency or standby power generating plant) on which electrical power is commercially generated using natural gas as a fuel.</w:t>
            </w:r>
          </w:p>
        </w:tc>
        <w:tc>
          <w:tcPr>
            <w:tcW w:w="1680" w:type="dxa"/>
          </w:tcPr>
          <w:p>
            <w:pPr>
              <w:pStyle w:val="yTableNAm"/>
            </w:pPr>
            <w:r>
              <w:t>More than 10 but less than 20 MW in aggregate</w:t>
            </w:r>
          </w:p>
        </w:tc>
      </w:tr>
      <w:tr>
        <w:trPr>
          <w:cantSplit/>
        </w:trPr>
        <w:tc>
          <w:tcPr>
            <w:tcW w:w="1080" w:type="dxa"/>
          </w:tcPr>
          <w:p>
            <w:pPr>
              <w:pStyle w:val="yTableNAm"/>
            </w:pPr>
            <w:r>
              <w:t>85</w:t>
            </w:r>
          </w:p>
        </w:tc>
        <w:tc>
          <w:tcPr>
            <w:tcW w:w="4440" w:type="dxa"/>
          </w:tcPr>
          <w:p>
            <w:pPr>
              <w:pStyle w:val="yTableNAm"/>
            </w:pPr>
            <w:r>
              <w:t>Sewage facility: premises —</w:t>
            </w:r>
          </w:p>
          <w:p>
            <w:pPr>
              <w:pStyle w:val="yTableNAm"/>
              <w:ind w:left="567" w:hanging="567"/>
            </w:pPr>
            <w:r>
              <w:t>(a)</w:t>
            </w:r>
            <w:r>
              <w:tab/>
              <w:t>on which sewage is treated (excluding septic tanks); or</w:t>
            </w:r>
          </w:p>
          <w:p>
            <w:pPr>
              <w:pStyle w:val="yTableNAm"/>
              <w:ind w:left="567" w:hanging="567"/>
            </w:pPr>
            <w:r>
              <w:t>(b)</w:t>
            </w:r>
            <w:r>
              <w:tab/>
              <w:t>from which treated sewage is discharged onto land or into waters.</w:t>
            </w:r>
          </w:p>
        </w:tc>
        <w:tc>
          <w:tcPr>
            <w:tcW w:w="1680" w:type="dxa"/>
          </w:tcPr>
          <w:p>
            <w:pPr>
              <w:pStyle w:val="yTableNAm"/>
            </w:pPr>
            <w:r>
              <w:t>More than 20 but less than 100 m</w:t>
            </w:r>
            <w:r>
              <w:rPr>
                <w:vertAlign w:val="superscript"/>
              </w:rPr>
              <w:t>3</w:t>
            </w:r>
            <w:r>
              <w:t xml:space="preserve"> per day</w:t>
            </w:r>
          </w:p>
        </w:tc>
      </w:tr>
      <w:tr>
        <w:trPr>
          <w:cantSplit/>
        </w:trPr>
        <w:tc>
          <w:tcPr>
            <w:tcW w:w="1080" w:type="dxa"/>
          </w:tcPr>
          <w:p>
            <w:pPr>
              <w:pStyle w:val="yTableNAm"/>
            </w:pPr>
            <w:r>
              <w:t>85A</w:t>
            </w:r>
          </w:p>
        </w:tc>
        <w:tc>
          <w:tcPr>
            <w:tcW w:w="4440" w:type="dxa"/>
          </w:tcPr>
          <w:p>
            <w:pPr>
              <w:pStyle w:val="yTableNAm"/>
            </w:pPr>
            <w:r>
              <w:t>Sewage pumping station: premises on which sewage is pumped (other than to or from septic tanks) and where a discharge of waste from the station may enter the Swan River or the Canning River.</w:t>
            </w:r>
          </w:p>
        </w:tc>
        <w:tc>
          <w:tcPr>
            <w:tcW w:w="1680" w:type="dxa"/>
          </w:tcPr>
          <w:p>
            <w:pPr>
              <w:pStyle w:val="yTableNAm"/>
            </w:pPr>
            <w:r>
              <w:t>Not applicable</w:t>
            </w:r>
          </w:p>
        </w:tc>
      </w:tr>
      <w:tr>
        <w:trPr>
          <w:cantSplit/>
        </w:trPr>
        <w:tc>
          <w:tcPr>
            <w:tcW w:w="1080" w:type="dxa"/>
          </w:tcPr>
          <w:p>
            <w:pPr>
              <w:pStyle w:val="yTableNAm"/>
            </w:pPr>
            <w:r>
              <w:t>85B</w:t>
            </w:r>
          </w:p>
        </w:tc>
        <w:tc>
          <w:tcPr>
            <w:tcW w:w="4440" w:type="dxa"/>
          </w:tcPr>
          <w:p>
            <w:pPr>
              <w:pStyle w:val="yTableNAm"/>
            </w:pPr>
            <w:r>
              <w:t>Water desalination plant: premises at which salt is extracted from water if waste water is discharged onto land or into waters (other than marine waters).</w:t>
            </w:r>
          </w:p>
        </w:tc>
        <w:tc>
          <w:tcPr>
            <w:tcW w:w="1680" w:type="dxa"/>
          </w:tcPr>
          <w:p>
            <w:pPr>
              <w:pStyle w:val="yTableNAm"/>
            </w:pPr>
            <w:r>
              <w:t>0.50 GL or more per year</w:t>
            </w:r>
          </w:p>
        </w:tc>
      </w:tr>
      <w:tr>
        <w:trPr>
          <w:cantSplit/>
        </w:trPr>
        <w:tc>
          <w:tcPr>
            <w:tcW w:w="1080" w:type="dxa"/>
          </w:tcPr>
          <w:p>
            <w:pPr>
              <w:pStyle w:val="yTableNAm"/>
            </w:pPr>
            <w:r>
              <w:t>86</w:t>
            </w:r>
          </w:p>
        </w:tc>
        <w:tc>
          <w:tcPr>
            <w:tcW w:w="4440" w:type="dxa"/>
          </w:tcPr>
          <w:p>
            <w:pPr>
              <w:pStyle w:val="yTableNAm"/>
            </w:pPr>
            <w:r>
              <w:t>Bulk material loading or unloading:  premises on which clinker, coal, ore, ore concentrate or any other bulk granular material is loaded onto or unloaded from vessels by a closed materials loading system.</w:t>
            </w:r>
          </w:p>
        </w:tc>
        <w:tc>
          <w:tcPr>
            <w:tcW w:w="1680" w:type="dxa"/>
          </w:tcPr>
          <w:p>
            <w:pPr>
              <w:pStyle w:val="yTableNAm"/>
            </w:pPr>
            <w:r>
              <w:t>100 tonnes or more per day</w:t>
            </w:r>
          </w:p>
        </w:tc>
      </w:tr>
      <w:tr>
        <w:trPr>
          <w:cantSplit/>
        </w:trPr>
        <w:tc>
          <w:tcPr>
            <w:tcW w:w="1080" w:type="dxa"/>
          </w:tcPr>
          <w:p>
            <w:pPr>
              <w:pStyle w:val="yTableNAm"/>
            </w:pPr>
            <w:r>
              <w:t>87</w:t>
            </w:r>
          </w:p>
        </w:tc>
        <w:tc>
          <w:tcPr>
            <w:tcW w:w="4440" w:type="dxa"/>
          </w:tcPr>
          <w:p>
            <w:pPr>
              <w:pStyle w:val="yTableNAm"/>
            </w:pPr>
            <w:r>
              <w:t>Fuel burning:  premises on which gaseous, liquid or solid fuel with a sulphur content of less than 0.25% is burnt in a boiler for the supply of steam or in power generation equipment.</w:t>
            </w:r>
          </w:p>
        </w:tc>
        <w:tc>
          <w:tcPr>
            <w:tcW w:w="1680" w:type="dxa"/>
          </w:tcPr>
          <w:p>
            <w:pPr>
              <w:pStyle w:val="yTableNAm"/>
            </w:pPr>
            <w:r>
              <w:t>More than 500 but less than 2 000 kg per hour in aggregate</w:t>
            </w:r>
          </w:p>
        </w:tc>
      </w:tr>
      <w:tr>
        <w:trPr>
          <w:cantSplit/>
        </w:trPr>
        <w:tc>
          <w:tcPr>
            <w:tcW w:w="1080" w:type="dxa"/>
          </w:tcPr>
          <w:p>
            <w:pPr>
              <w:pStyle w:val="yTableNAm"/>
            </w:pPr>
            <w:r>
              <w:t>88</w:t>
            </w:r>
          </w:p>
        </w:tc>
        <w:tc>
          <w:tcPr>
            <w:tcW w:w="4440" w:type="dxa"/>
          </w:tcPr>
          <w:p>
            <w:pPr>
              <w:pStyle w:val="yTableNAm"/>
            </w:pPr>
            <w:r>
              <w:t>Metal finishing: premises on which —</w:t>
            </w:r>
          </w:p>
          <w:p>
            <w:pPr>
              <w:pStyle w:val="yTableNAm"/>
              <w:ind w:left="567" w:hanging="567"/>
            </w:pPr>
            <w:r>
              <w:t>(a)</w:t>
            </w:r>
            <w:r>
              <w:tab/>
              <w:t>metals are chemically cleaned or metals, plastics or metal or plastic products are plated, electroplated, anodised, coloured or otherwise coated or finished; and</w:t>
            </w:r>
          </w:p>
          <w:p>
            <w:pPr>
              <w:pStyle w:val="yTableNAm"/>
              <w:ind w:left="567" w:hanging="567"/>
            </w:pPr>
            <w:r>
              <w:t>(b)</w:t>
            </w:r>
            <w:r>
              <w:tab/>
              <w:t>from which liquid waste is discharged into a sewer.</w:t>
            </w:r>
          </w:p>
        </w:tc>
        <w:tc>
          <w:tcPr>
            <w:tcW w:w="1680" w:type="dxa"/>
          </w:tcPr>
          <w:p>
            <w:pPr>
              <w:pStyle w:val="yTableNAm"/>
            </w:pPr>
            <w:r>
              <w:t>Not applicable</w:t>
            </w:r>
          </w:p>
        </w:tc>
      </w:tr>
      <w:tr>
        <w:trPr>
          <w:cantSplit/>
        </w:trPr>
        <w:tc>
          <w:tcPr>
            <w:tcW w:w="1080" w:type="dxa"/>
          </w:tcPr>
          <w:p>
            <w:pPr>
              <w:pStyle w:val="yTableNAm"/>
            </w:pPr>
            <w:r>
              <w:t>89</w:t>
            </w:r>
          </w:p>
        </w:tc>
        <w:tc>
          <w:tcPr>
            <w:tcW w:w="4440" w:type="dxa"/>
          </w:tcPr>
          <w:p>
            <w:pPr>
              <w:pStyle w:val="yTableNAm"/>
            </w:pPr>
            <w:r>
              <w:t>Putrescible landfill site: premises on which waste (as determined by reference to the waste type set out in the document entitled “Landfill Waste Classification and Waste Definitions 1996” published by the Chief Executive Officer, as amended from time to time) is accepted for burial.</w:t>
            </w:r>
          </w:p>
        </w:tc>
        <w:tc>
          <w:tcPr>
            <w:tcW w:w="1680" w:type="dxa"/>
          </w:tcPr>
          <w:p>
            <w:pPr>
              <w:pStyle w:val="yTableNAm"/>
            </w:pPr>
            <w:r>
              <w:t>More than 20 but less than 5 000 tonnes per year</w:t>
            </w:r>
          </w:p>
        </w:tc>
      </w:tr>
    </w:tbl>
    <w:p>
      <w:pPr>
        <w:pStyle w:val="yFootnotesection"/>
      </w:pPr>
      <w:r>
        <w:tab/>
        <w:t>[Part 2 inserted in Gazette 13 Sep 1996 p. 4557</w:t>
      </w:r>
      <w:r>
        <w:noBreakHyphen/>
        <w:t>59; amended in Gazette 10 Dec 1996 p. 6877; 15 Aug 2000 p. 4716-17; 13 Dec 2005 p. 5983; 20 Aug 2013 p. 3856</w:t>
      </w:r>
      <w:r>
        <w:noBreakHyphen/>
        <w:t>7.]</w:t>
      </w:r>
    </w:p>
    <w:p>
      <w:pPr>
        <w:pStyle w:val="yEdnoteschedule"/>
      </w:pPr>
      <w:r>
        <w:t xml:space="preserve">[Schedule 2 </w:t>
      </w:r>
      <w:smartTag w:uri="urn:schemas-microsoft-com:office:smarttags" w:element="State">
        <w:smartTag w:uri="urn:schemas-microsoft-com:office:smarttags" w:element="place">
          <w:r>
            <w:t>del</w:t>
          </w:r>
        </w:smartTag>
      </w:smartTag>
      <w:r>
        <w:t>eted in Gazette 8 May 2012 p. 1893.]</w:t>
      </w:r>
    </w:p>
    <w:p>
      <w:pPr>
        <w:pStyle w:val="yScheduleHeading"/>
      </w:pPr>
      <w:bookmarkStart w:id="102" w:name="_Toc404948612"/>
      <w:r>
        <w:rPr>
          <w:rStyle w:val="CharSchNo"/>
        </w:rPr>
        <w:t>Schedule 3</w:t>
      </w:r>
      <w:r>
        <w:rPr>
          <w:rStyle w:val="CharSDivNo"/>
        </w:rPr>
        <w:t> </w:t>
      </w:r>
      <w:r>
        <w:t>— </w:t>
      </w:r>
      <w:r>
        <w:rPr>
          <w:rStyle w:val="CharSchText"/>
        </w:rPr>
        <w:t>Works approval fee</w:t>
      </w:r>
      <w:bookmarkEnd w:id="102"/>
    </w:p>
    <w:p>
      <w:pPr>
        <w:pStyle w:val="yShoulderClause"/>
        <w:rPr>
          <w:snapToGrid w:val="0"/>
        </w:rPr>
      </w:pPr>
      <w:r>
        <w:rPr>
          <w:snapToGrid w:val="0"/>
        </w:rPr>
        <w:t>[r. 5C]</w:t>
      </w:r>
    </w:p>
    <w:p>
      <w:pPr>
        <w:pStyle w:val="yTable"/>
        <w:jc w:val="right"/>
        <w:rPr>
          <w:snapToGrid w:val="0"/>
        </w:rPr>
      </w:pPr>
    </w:p>
    <w:tbl>
      <w:tblPr>
        <w:tblW w:w="0" w:type="auto"/>
        <w:tblInd w:w="85" w:type="dxa"/>
        <w:tblLayout w:type="fixed"/>
        <w:tblCellMar>
          <w:left w:w="85" w:type="dxa"/>
          <w:right w:w="85" w:type="dxa"/>
        </w:tblCellMar>
        <w:tblLook w:val="0000" w:firstRow="0" w:lastRow="0" w:firstColumn="0" w:lastColumn="0" w:noHBand="0" w:noVBand="0"/>
      </w:tblPr>
      <w:tblGrid>
        <w:gridCol w:w="3828"/>
        <w:gridCol w:w="3402"/>
      </w:tblGrid>
      <w:tr>
        <w:tc>
          <w:tcPr>
            <w:tcW w:w="3828" w:type="dxa"/>
          </w:tcPr>
          <w:p>
            <w:pPr>
              <w:pStyle w:val="yTableNAm"/>
              <w:rPr>
                <w:b/>
              </w:rPr>
            </w:pPr>
            <w:r>
              <w:rPr>
                <w:b/>
              </w:rPr>
              <w:t>Cost of works</w:t>
            </w:r>
          </w:p>
        </w:tc>
        <w:tc>
          <w:tcPr>
            <w:tcW w:w="3402" w:type="dxa"/>
          </w:tcPr>
          <w:p>
            <w:pPr>
              <w:pStyle w:val="yTableNAm"/>
              <w:rPr>
                <w:b/>
              </w:rPr>
            </w:pPr>
            <w:r>
              <w:rPr>
                <w:b/>
              </w:rPr>
              <w:t>Fee units</w:t>
            </w:r>
          </w:p>
        </w:tc>
      </w:tr>
      <w:tr>
        <w:tc>
          <w:tcPr>
            <w:tcW w:w="3828" w:type="dxa"/>
          </w:tcPr>
          <w:p>
            <w:pPr>
              <w:pStyle w:val="yTableNAm"/>
            </w:pPr>
            <w:r>
              <w:t>Not more than $10 000</w:t>
            </w:r>
          </w:p>
        </w:tc>
        <w:tc>
          <w:tcPr>
            <w:tcW w:w="3402" w:type="dxa"/>
          </w:tcPr>
          <w:p>
            <w:pPr>
              <w:pStyle w:val="yTableNAm"/>
            </w:pPr>
            <w:r>
              <w:t>15</w:t>
            </w:r>
          </w:p>
        </w:tc>
      </w:tr>
      <w:tr>
        <w:tc>
          <w:tcPr>
            <w:tcW w:w="3828" w:type="dxa"/>
          </w:tcPr>
          <w:p>
            <w:pPr>
              <w:pStyle w:val="yTableNAm"/>
            </w:pPr>
            <w:r>
              <w:t>More than $10 000 but not more than $50 000</w:t>
            </w:r>
          </w:p>
        </w:tc>
        <w:tc>
          <w:tcPr>
            <w:tcW w:w="3402" w:type="dxa"/>
          </w:tcPr>
          <w:p>
            <w:pPr>
              <w:pStyle w:val="yTableNAm"/>
            </w:pPr>
            <w:r>
              <w:t>15 plus 5 for every $10 000 above $10 000</w:t>
            </w:r>
          </w:p>
        </w:tc>
      </w:tr>
      <w:tr>
        <w:tc>
          <w:tcPr>
            <w:tcW w:w="3828" w:type="dxa"/>
          </w:tcPr>
          <w:p>
            <w:pPr>
              <w:pStyle w:val="yTableNAm"/>
            </w:pPr>
            <w:r>
              <w:t>More than $50 000 but not more than $500 000</w:t>
            </w:r>
          </w:p>
        </w:tc>
        <w:tc>
          <w:tcPr>
            <w:tcW w:w="3402" w:type="dxa"/>
          </w:tcPr>
          <w:p>
            <w:pPr>
              <w:pStyle w:val="yTableNAm"/>
            </w:pPr>
            <w:r>
              <w:t>35 plus 10 for every $50 000 above $50 000</w:t>
            </w:r>
          </w:p>
        </w:tc>
      </w:tr>
      <w:tr>
        <w:tc>
          <w:tcPr>
            <w:tcW w:w="3828" w:type="dxa"/>
          </w:tcPr>
          <w:p>
            <w:pPr>
              <w:pStyle w:val="yTableNAm"/>
            </w:pPr>
            <w:r>
              <w:t>More than $500 000 but not more than $5 000 000</w:t>
            </w:r>
          </w:p>
        </w:tc>
        <w:tc>
          <w:tcPr>
            <w:tcW w:w="3402" w:type="dxa"/>
          </w:tcPr>
          <w:p>
            <w:pPr>
              <w:pStyle w:val="yTableNAm"/>
            </w:pPr>
            <w:r>
              <w:t>125 plus 20 for every $500 000 above $500 000</w:t>
            </w:r>
          </w:p>
        </w:tc>
      </w:tr>
      <w:tr>
        <w:tc>
          <w:tcPr>
            <w:tcW w:w="3828" w:type="dxa"/>
          </w:tcPr>
          <w:p>
            <w:pPr>
              <w:pStyle w:val="yTableNAm"/>
            </w:pPr>
            <w:r>
              <w:t>More than $5 000 000 but not more than $25 000 000</w:t>
            </w:r>
          </w:p>
        </w:tc>
        <w:tc>
          <w:tcPr>
            <w:tcW w:w="3402" w:type="dxa"/>
          </w:tcPr>
          <w:p>
            <w:pPr>
              <w:pStyle w:val="yTableNAm"/>
            </w:pPr>
            <w:r>
              <w:t>305 plus 100 for every $5 000 000 above $5 000 000</w:t>
            </w:r>
          </w:p>
        </w:tc>
      </w:tr>
      <w:tr>
        <w:tc>
          <w:tcPr>
            <w:tcW w:w="3828" w:type="dxa"/>
          </w:tcPr>
          <w:p>
            <w:pPr>
              <w:pStyle w:val="yTableNAm"/>
            </w:pPr>
            <w:r>
              <w:t>More than $25 000 000 but not more than $100 000 000</w:t>
            </w:r>
          </w:p>
        </w:tc>
        <w:tc>
          <w:tcPr>
            <w:tcW w:w="3402" w:type="dxa"/>
          </w:tcPr>
          <w:p>
            <w:pPr>
              <w:pStyle w:val="yTableNAm"/>
            </w:pPr>
            <w:r>
              <w:t>705 plus 50 for every $5 000 000 above $25 000 000</w:t>
            </w:r>
          </w:p>
        </w:tc>
      </w:tr>
      <w:tr>
        <w:tc>
          <w:tcPr>
            <w:tcW w:w="3828" w:type="dxa"/>
          </w:tcPr>
          <w:p>
            <w:pPr>
              <w:pStyle w:val="yTableNAm"/>
            </w:pPr>
            <w:r>
              <w:t>More than $100 000 000</w:t>
            </w:r>
          </w:p>
        </w:tc>
        <w:tc>
          <w:tcPr>
            <w:tcW w:w="3402" w:type="dxa"/>
          </w:tcPr>
          <w:p>
            <w:pPr>
              <w:pStyle w:val="yTableNAm"/>
            </w:pPr>
            <w:r>
              <w:t>1405</w:t>
            </w:r>
          </w:p>
        </w:tc>
      </w:tr>
    </w:tbl>
    <w:p>
      <w:pPr>
        <w:pStyle w:val="yFootnotesection"/>
      </w:pPr>
      <w:r>
        <w:tab/>
        <w:t>[Schedule 3 inserted in Gazette 13 Sep 1996 p. 4559</w:t>
      </w:r>
      <w:r>
        <w:noBreakHyphen/>
        <w:t>60.]</w:t>
      </w:r>
    </w:p>
    <w:p>
      <w:pPr>
        <w:pStyle w:val="yScheduleHeading"/>
      </w:pPr>
      <w:bookmarkStart w:id="103" w:name="_Toc404948613"/>
      <w:r>
        <w:rPr>
          <w:rStyle w:val="CharSchNo"/>
        </w:rPr>
        <w:t>Schedule 4</w:t>
      </w:r>
      <w:r>
        <w:t> — </w:t>
      </w:r>
      <w:r>
        <w:rPr>
          <w:rStyle w:val="CharSchText"/>
        </w:rPr>
        <w:t>Licence fee</w:t>
      </w:r>
      <w:bookmarkEnd w:id="103"/>
    </w:p>
    <w:p>
      <w:pPr>
        <w:pStyle w:val="yShoulderClause"/>
        <w:rPr>
          <w:snapToGrid w:val="0"/>
        </w:rPr>
      </w:pPr>
      <w:r>
        <w:rPr>
          <w:snapToGrid w:val="0"/>
        </w:rPr>
        <w:t>[r. 5D]</w:t>
      </w:r>
    </w:p>
    <w:p>
      <w:pPr>
        <w:pStyle w:val="yFootnoteheading"/>
      </w:pPr>
      <w:r>
        <w:tab/>
        <w:t>[Heading inserted in Gazette 13 Sep 1996 p. 4560.]</w:t>
      </w:r>
    </w:p>
    <w:p>
      <w:pPr>
        <w:pStyle w:val="yHeading3"/>
      </w:pPr>
      <w:bookmarkStart w:id="104" w:name="_Toc404948614"/>
      <w:r>
        <w:rPr>
          <w:rStyle w:val="CharSDivNo"/>
          <w:sz w:val="28"/>
        </w:rPr>
        <w:t>Part 1</w:t>
      </w:r>
      <w:r>
        <w:t> — </w:t>
      </w:r>
      <w:r>
        <w:rPr>
          <w:rStyle w:val="CharSDivText"/>
          <w:sz w:val="28"/>
        </w:rPr>
        <w:t>Premises component</w:t>
      </w:r>
      <w:bookmarkEnd w:id="104"/>
    </w:p>
    <w:p>
      <w:pPr>
        <w:pStyle w:val="yFootnoteheading"/>
        <w:spacing w:after="60"/>
      </w:pPr>
      <w:r>
        <w:tab/>
        <w:t>[Heading inserted in Gazette 13 Sep 1996 p. 4560.]</w:t>
      </w:r>
    </w:p>
    <w:tbl>
      <w:tblPr>
        <w:tblW w:w="7108" w:type="dxa"/>
        <w:tblInd w:w="121" w:type="dxa"/>
        <w:tblLayout w:type="fixed"/>
        <w:tblCellMar>
          <w:left w:w="141" w:type="dxa"/>
          <w:right w:w="141" w:type="dxa"/>
        </w:tblCellMar>
        <w:tblLook w:val="0000" w:firstRow="0" w:lastRow="0" w:firstColumn="0" w:lastColumn="0" w:noHBand="0" w:noVBand="0"/>
      </w:tblPr>
      <w:tblGrid>
        <w:gridCol w:w="2666"/>
        <w:gridCol w:w="3166"/>
        <w:gridCol w:w="347"/>
        <w:gridCol w:w="929"/>
      </w:tblGrid>
      <w:tr>
        <w:trPr>
          <w:cantSplit/>
          <w:tblHeader/>
        </w:trPr>
        <w:tc>
          <w:tcPr>
            <w:tcW w:w="2666" w:type="dxa"/>
          </w:tcPr>
          <w:p>
            <w:pPr>
              <w:pStyle w:val="yTableNAm"/>
              <w:rPr>
                <w:b/>
              </w:rPr>
            </w:pPr>
            <w:r>
              <w:rPr>
                <w:b/>
              </w:rPr>
              <w:t>Category</w:t>
            </w:r>
          </w:p>
        </w:tc>
        <w:tc>
          <w:tcPr>
            <w:tcW w:w="3166" w:type="dxa"/>
          </w:tcPr>
          <w:p>
            <w:pPr>
              <w:pStyle w:val="yTableNAm"/>
              <w:rPr>
                <w:b/>
              </w:rPr>
            </w:pPr>
            <w:r>
              <w:rPr>
                <w:b/>
              </w:rPr>
              <w:t>Production or design capacity</w:t>
            </w:r>
          </w:p>
        </w:tc>
        <w:tc>
          <w:tcPr>
            <w:tcW w:w="1276" w:type="dxa"/>
            <w:gridSpan w:val="2"/>
          </w:tcPr>
          <w:p>
            <w:pPr>
              <w:pStyle w:val="yTableNAm"/>
              <w:jc w:val="center"/>
              <w:rPr>
                <w:b/>
              </w:rPr>
            </w:pPr>
            <w:r>
              <w:rPr>
                <w:b/>
              </w:rPr>
              <w:t>Fee units</w:t>
            </w:r>
          </w:p>
        </w:tc>
      </w:tr>
      <w:tr>
        <w:trPr>
          <w:cantSplit/>
        </w:trPr>
        <w:tc>
          <w:tcPr>
            <w:tcW w:w="2666" w:type="dxa"/>
          </w:tcPr>
          <w:p>
            <w:pPr>
              <w:pStyle w:val="yTableNAm"/>
            </w:pPr>
            <w:r>
              <w:t>Categories 1 and 2</w:t>
            </w:r>
          </w:p>
        </w:tc>
        <w:tc>
          <w:tcPr>
            <w:tcW w:w="3513" w:type="dxa"/>
            <w:gridSpan w:val="2"/>
          </w:tcPr>
          <w:p>
            <w:pPr>
              <w:pStyle w:val="yTableNAm"/>
            </w:pPr>
            <w:r>
              <w:t>Not more than 2 000 animals</w:t>
            </w:r>
          </w:p>
        </w:tc>
        <w:tc>
          <w:tcPr>
            <w:tcW w:w="929" w:type="dxa"/>
          </w:tcPr>
          <w:p>
            <w:pPr>
              <w:pStyle w:val="yTableNAm"/>
              <w:jc w:val="right"/>
            </w:pPr>
            <w:r>
              <w:t>25</w:t>
            </w:r>
          </w:p>
        </w:tc>
      </w:tr>
      <w:tr>
        <w:trPr>
          <w:cantSplit/>
        </w:trPr>
        <w:tc>
          <w:tcPr>
            <w:tcW w:w="2666" w:type="dxa"/>
          </w:tcPr>
          <w:p>
            <w:pPr>
              <w:pStyle w:val="yTableNAm"/>
            </w:pPr>
          </w:p>
        </w:tc>
        <w:tc>
          <w:tcPr>
            <w:tcW w:w="3513" w:type="dxa"/>
            <w:gridSpan w:val="2"/>
          </w:tcPr>
          <w:p>
            <w:pPr>
              <w:pStyle w:val="yTableNAm"/>
            </w:pPr>
            <w:r>
              <w:t>More than 2 000 animals but not more than 5 000 animals</w:t>
            </w:r>
          </w:p>
        </w:tc>
        <w:tc>
          <w:tcPr>
            <w:tcW w:w="929" w:type="dxa"/>
          </w:tcPr>
          <w:p>
            <w:pPr>
              <w:pStyle w:val="yTableNAm"/>
              <w:jc w:val="right"/>
            </w:pPr>
            <w:r>
              <w:t>50</w:t>
            </w:r>
          </w:p>
        </w:tc>
      </w:tr>
      <w:tr>
        <w:trPr>
          <w:cantSplit/>
        </w:trPr>
        <w:tc>
          <w:tcPr>
            <w:tcW w:w="2666" w:type="dxa"/>
          </w:tcPr>
          <w:p>
            <w:pPr>
              <w:pStyle w:val="yTableNAm"/>
            </w:pPr>
          </w:p>
        </w:tc>
        <w:tc>
          <w:tcPr>
            <w:tcW w:w="3513" w:type="dxa"/>
            <w:gridSpan w:val="2"/>
          </w:tcPr>
          <w:p>
            <w:pPr>
              <w:pStyle w:val="yTableNAm"/>
            </w:pPr>
            <w:r>
              <w:t>More than 5 000 animals</w:t>
            </w:r>
          </w:p>
        </w:tc>
        <w:tc>
          <w:tcPr>
            <w:tcW w:w="929" w:type="dxa"/>
          </w:tcPr>
          <w:p>
            <w:pPr>
              <w:pStyle w:val="yTableNAm"/>
              <w:jc w:val="right"/>
            </w:pPr>
            <w:r>
              <w:t>100</w:t>
            </w:r>
          </w:p>
        </w:tc>
      </w:tr>
      <w:tr>
        <w:trPr>
          <w:cantSplit/>
        </w:trPr>
        <w:tc>
          <w:tcPr>
            <w:tcW w:w="7108" w:type="dxa"/>
            <w:gridSpan w:val="4"/>
          </w:tcPr>
          <w:p>
            <w:pPr>
              <w:pStyle w:val="yTableNAm"/>
            </w:pPr>
            <w:r>
              <w:rPr>
                <w:i/>
                <w:iCs/>
              </w:rPr>
              <w:t>[Categories 3 and 4 deleted]</w:t>
            </w:r>
          </w:p>
        </w:tc>
      </w:tr>
      <w:tr>
        <w:trPr>
          <w:cantSplit/>
        </w:trPr>
        <w:tc>
          <w:tcPr>
            <w:tcW w:w="2666" w:type="dxa"/>
          </w:tcPr>
          <w:p>
            <w:pPr>
              <w:pStyle w:val="yTableNAm"/>
            </w:pPr>
            <w:r>
              <w:t>Categories 5, 7, 8, 9, 12, 13, and 14</w:t>
            </w:r>
          </w:p>
        </w:tc>
        <w:tc>
          <w:tcPr>
            <w:tcW w:w="3513" w:type="dxa"/>
            <w:gridSpan w:val="2"/>
          </w:tcPr>
          <w:p>
            <w:pPr>
              <w:pStyle w:val="yTableNAm"/>
            </w:pPr>
            <w:r>
              <w:t>Not more than 50 000 tonnes per year</w:t>
            </w:r>
          </w:p>
        </w:tc>
        <w:tc>
          <w:tcPr>
            <w:tcW w:w="929" w:type="dxa"/>
          </w:tcPr>
          <w:p>
            <w:pPr>
              <w:pStyle w:val="yTableNAm"/>
              <w:jc w:val="right"/>
            </w:pPr>
            <w:r>
              <w:t>50</w:t>
            </w:r>
          </w:p>
        </w:tc>
      </w:tr>
      <w:tr>
        <w:trPr>
          <w:cantSplit/>
        </w:trPr>
        <w:tc>
          <w:tcPr>
            <w:tcW w:w="2666" w:type="dxa"/>
          </w:tcPr>
          <w:p>
            <w:pPr>
              <w:pStyle w:val="yTableNAm"/>
            </w:pPr>
          </w:p>
        </w:tc>
        <w:tc>
          <w:tcPr>
            <w:tcW w:w="3513" w:type="dxa"/>
            <w:gridSpan w:val="2"/>
          </w:tcPr>
          <w:p>
            <w:pPr>
              <w:pStyle w:val="yTableNAm"/>
            </w:pPr>
            <w:r>
              <w:t>More than 50 000 but not more than 100 000 tonnes per year</w:t>
            </w:r>
          </w:p>
        </w:tc>
        <w:tc>
          <w:tcPr>
            <w:tcW w:w="929" w:type="dxa"/>
          </w:tcPr>
          <w:p>
            <w:pPr>
              <w:pStyle w:val="yTableNAm"/>
              <w:jc w:val="right"/>
            </w:pPr>
            <w:r>
              <w:t>100</w:t>
            </w:r>
          </w:p>
        </w:tc>
      </w:tr>
      <w:tr>
        <w:trPr>
          <w:cantSplit/>
        </w:trPr>
        <w:tc>
          <w:tcPr>
            <w:tcW w:w="2666" w:type="dxa"/>
          </w:tcPr>
          <w:p>
            <w:pPr>
              <w:pStyle w:val="yTableNAm"/>
            </w:pPr>
          </w:p>
        </w:tc>
        <w:tc>
          <w:tcPr>
            <w:tcW w:w="3513" w:type="dxa"/>
            <w:gridSpan w:val="2"/>
          </w:tcPr>
          <w:p>
            <w:pPr>
              <w:pStyle w:val="yTableNAm"/>
            </w:pPr>
            <w:r>
              <w:t>More than 100 000 but not more than 500 000 tonnes per year</w:t>
            </w:r>
          </w:p>
        </w:tc>
        <w:tc>
          <w:tcPr>
            <w:tcW w:w="929" w:type="dxa"/>
          </w:tcPr>
          <w:p>
            <w:pPr>
              <w:pStyle w:val="yTableNAm"/>
              <w:jc w:val="right"/>
            </w:pPr>
            <w:r>
              <w:t>200</w:t>
            </w:r>
          </w:p>
        </w:tc>
      </w:tr>
      <w:tr>
        <w:trPr>
          <w:cantSplit/>
        </w:trPr>
        <w:tc>
          <w:tcPr>
            <w:tcW w:w="2666" w:type="dxa"/>
          </w:tcPr>
          <w:p>
            <w:pPr>
              <w:pStyle w:val="yTableNAm"/>
            </w:pPr>
          </w:p>
        </w:tc>
        <w:tc>
          <w:tcPr>
            <w:tcW w:w="3513" w:type="dxa"/>
            <w:gridSpan w:val="2"/>
          </w:tcPr>
          <w:p>
            <w:pPr>
              <w:pStyle w:val="yTableNAm"/>
            </w:pPr>
            <w:r>
              <w:t>More than 500 000 but not more than 5 000 000 tonnes per year</w:t>
            </w:r>
          </w:p>
        </w:tc>
        <w:tc>
          <w:tcPr>
            <w:tcW w:w="929" w:type="dxa"/>
          </w:tcPr>
          <w:p>
            <w:pPr>
              <w:pStyle w:val="yTableNAm"/>
              <w:jc w:val="right"/>
            </w:pPr>
            <w:r>
              <w:t>300</w:t>
            </w:r>
          </w:p>
        </w:tc>
      </w:tr>
      <w:tr>
        <w:trPr>
          <w:cantSplit/>
        </w:trPr>
        <w:tc>
          <w:tcPr>
            <w:tcW w:w="2666" w:type="dxa"/>
          </w:tcPr>
          <w:p>
            <w:pPr>
              <w:pStyle w:val="yTableNAm"/>
            </w:pPr>
          </w:p>
        </w:tc>
        <w:tc>
          <w:tcPr>
            <w:tcW w:w="3513" w:type="dxa"/>
            <w:gridSpan w:val="2"/>
          </w:tcPr>
          <w:p>
            <w:pPr>
              <w:pStyle w:val="yTableNAm"/>
            </w:pPr>
            <w:r>
              <w:t>More than 5 000 000 tonnes per year</w:t>
            </w:r>
          </w:p>
        </w:tc>
        <w:tc>
          <w:tcPr>
            <w:tcW w:w="929" w:type="dxa"/>
          </w:tcPr>
          <w:p>
            <w:pPr>
              <w:pStyle w:val="yTableNAm"/>
              <w:jc w:val="right"/>
            </w:pPr>
            <w:r>
              <w:t>450</w:t>
            </w:r>
          </w:p>
        </w:tc>
      </w:tr>
      <w:tr>
        <w:trPr>
          <w:cantSplit/>
        </w:trPr>
        <w:tc>
          <w:tcPr>
            <w:tcW w:w="2666" w:type="dxa"/>
          </w:tcPr>
          <w:p>
            <w:pPr>
              <w:pStyle w:val="yTableNAm"/>
            </w:pPr>
            <w:r>
              <w:t>Categories 6 and 53</w:t>
            </w:r>
          </w:p>
        </w:tc>
        <w:tc>
          <w:tcPr>
            <w:tcW w:w="3513" w:type="dxa"/>
            <w:gridSpan w:val="2"/>
          </w:tcPr>
          <w:p>
            <w:pPr>
              <w:pStyle w:val="yTableNAm"/>
            </w:pPr>
            <w:r>
              <w:t>Not more than 100 000 tonnes per year</w:t>
            </w:r>
          </w:p>
        </w:tc>
        <w:tc>
          <w:tcPr>
            <w:tcW w:w="929" w:type="dxa"/>
          </w:tcPr>
          <w:p>
            <w:pPr>
              <w:pStyle w:val="yTableNAm"/>
              <w:jc w:val="right"/>
            </w:pPr>
            <w:r>
              <w:t>30</w:t>
            </w:r>
          </w:p>
        </w:tc>
      </w:tr>
      <w:tr>
        <w:trPr>
          <w:cantSplit/>
        </w:trPr>
        <w:tc>
          <w:tcPr>
            <w:tcW w:w="2666" w:type="dxa"/>
          </w:tcPr>
          <w:p>
            <w:pPr>
              <w:pStyle w:val="yTableNAm"/>
            </w:pPr>
          </w:p>
        </w:tc>
        <w:tc>
          <w:tcPr>
            <w:tcW w:w="3513" w:type="dxa"/>
            <w:gridSpan w:val="2"/>
          </w:tcPr>
          <w:p>
            <w:pPr>
              <w:pStyle w:val="yTableNAm"/>
            </w:pPr>
            <w:r>
              <w:t>More than 100 000 but not more than 500 000 tonnes per year</w:t>
            </w:r>
          </w:p>
        </w:tc>
        <w:tc>
          <w:tcPr>
            <w:tcW w:w="929" w:type="dxa"/>
          </w:tcPr>
          <w:p>
            <w:pPr>
              <w:pStyle w:val="yTableNAm"/>
              <w:jc w:val="right"/>
            </w:pPr>
            <w:r>
              <w:t>50</w:t>
            </w:r>
          </w:p>
        </w:tc>
      </w:tr>
      <w:tr>
        <w:trPr>
          <w:cantSplit/>
        </w:trPr>
        <w:tc>
          <w:tcPr>
            <w:tcW w:w="2666" w:type="dxa"/>
          </w:tcPr>
          <w:p>
            <w:pPr>
              <w:pStyle w:val="yTableNAm"/>
            </w:pPr>
          </w:p>
        </w:tc>
        <w:tc>
          <w:tcPr>
            <w:tcW w:w="3513" w:type="dxa"/>
            <w:gridSpan w:val="2"/>
          </w:tcPr>
          <w:p>
            <w:pPr>
              <w:pStyle w:val="yTableNAm"/>
            </w:pPr>
            <w:r>
              <w:t>More than 500 000 tonnes per year</w:t>
            </w:r>
          </w:p>
        </w:tc>
        <w:tc>
          <w:tcPr>
            <w:tcW w:w="929" w:type="dxa"/>
          </w:tcPr>
          <w:p>
            <w:pPr>
              <w:pStyle w:val="yTableNAm"/>
              <w:jc w:val="right"/>
            </w:pPr>
            <w:r>
              <w:t>100</w:t>
            </w:r>
          </w:p>
        </w:tc>
      </w:tr>
      <w:tr>
        <w:trPr>
          <w:cantSplit/>
        </w:trPr>
        <w:tc>
          <w:tcPr>
            <w:tcW w:w="2666" w:type="dxa"/>
          </w:tcPr>
          <w:p>
            <w:pPr>
              <w:pStyle w:val="yTableNAm"/>
              <w:keepNext/>
              <w:keepLines/>
              <w:spacing w:before="80"/>
            </w:pPr>
            <w:r>
              <w:t>Categories 10, 11 and 34</w:t>
            </w:r>
          </w:p>
        </w:tc>
        <w:tc>
          <w:tcPr>
            <w:tcW w:w="3513" w:type="dxa"/>
            <w:gridSpan w:val="2"/>
          </w:tcPr>
          <w:p>
            <w:pPr>
              <w:pStyle w:val="yTableNAm"/>
              <w:keepNext/>
              <w:keepLines/>
              <w:spacing w:before="80"/>
            </w:pPr>
            <w:r>
              <w:t>Not more than 50 000 tonnes per year</w:t>
            </w:r>
          </w:p>
        </w:tc>
        <w:tc>
          <w:tcPr>
            <w:tcW w:w="929" w:type="dxa"/>
          </w:tcPr>
          <w:p>
            <w:pPr>
              <w:pStyle w:val="yTableNAm"/>
              <w:keepNext/>
              <w:keepLines/>
              <w:spacing w:before="80"/>
              <w:jc w:val="right"/>
            </w:pPr>
            <w:r>
              <w:t>75</w:t>
            </w:r>
          </w:p>
        </w:tc>
      </w:tr>
      <w:tr>
        <w:trPr>
          <w:cantSplit/>
        </w:trPr>
        <w:tc>
          <w:tcPr>
            <w:tcW w:w="2666" w:type="dxa"/>
          </w:tcPr>
          <w:p>
            <w:pPr>
              <w:pStyle w:val="yTableNAm"/>
              <w:keepNext/>
              <w:keepLines/>
              <w:spacing w:before="80"/>
            </w:pPr>
          </w:p>
        </w:tc>
        <w:tc>
          <w:tcPr>
            <w:tcW w:w="3513" w:type="dxa"/>
            <w:gridSpan w:val="2"/>
          </w:tcPr>
          <w:p>
            <w:pPr>
              <w:pStyle w:val="yTableNAm"/>
              <w:keepNext/>
              <w:keepLines/>
              <w:spacing w:before="80"/>
            </w:pPr>
            <w:r>
              <w:t>More than 50 000 but not more than 100 000 tonnes per year</w:t>
            </w:r>
          </w:p>
        </w:tc>
        <w:tc>
          <w:tcPr>
            <w:tcW w:w="929" w:type="dxa"/>
          </w:tcPr>
          <w:p>
            <w:pPr>
              <w:pStyle w:val="yTableNAm"/>
              <w:keepNext/>
              <w:keepLines/>
              <w:spacing w:before="80"/>
              <w:jc w:val="right"/>
            </w:pPr>
            <w:r>
              <w:t>150</w:t>
            </w:r>
          </w:p>
        </w:tc>
      </w:tr>
      <w:tr>
        <w:trPr>
          <w:cantSplit/>
        </w:trPr>
        <w:tc>
          <w:tcPr>
            <w:tcW w:w="2666" w:type="dxa"/>
          </w:tcPr>
          <w:p>
            <w:pPr>
              <w:pStyle w:val="yTableNAm"/>
              <w:spacing w:before="80"/>
            </w:pPr>
          </w:p>
        </w:tc>
        <w:tc>
          <w:tcPr>
            <w:tcW w:w="3513" w:type="dxa"/>
            <w:gridSpan w:val="2"/>
          </w:tcPr>
          <w:p>
            <w:pPr>
              <w:pStyle w:val="yTableNAm"/>
              <w:spacing w:before="80"/>
            </w:pPr>
            <w:r>
              <w:t>More than 100 000 but not more than 500 000 tonnes per year</w:t>
            </w:r>
          </w:p>
        </w:tc>
        <w:tc>
          <w:tcPr>
            <w:tcW w:w="929" w:type="dxa"/>
          </w:tcPr>
          <w:p>
            <w:pPr>
              <w:pStyle w:val="yTableNAm"/>
              <w:spacing w:before="80"/>
              <w:jc w:val="right"/>
            </w:pPr>
            <w:r>
              <w:t>250</w:t>
            </w:r>
          </w:p>
        </w:tc>
      </w:tr>
      <w:tr>
        <w:trPr>
          <w:cantSplit/>
        </w:trPr>
        <w:tc>
          <w:tcPr>
            <w:tcW w:w="2666" w:type="dxa"/>
          </w:tcPr>
          <w:p>
            <w:pPr>
              <w:pStyle w:val="yTableNAm"/>
              <w:spacing w:before="80"/>
            </w:pPr>
          </w:p>
        </w:tc>
        <w:tc>
          <w:tcPr>
            <w:tcW w:w="3513" w:type="dxa"/>
            <w:gridSpan w:val="2"/>
          </w:tcPr>
          <w:p>
            <w:pPr>
              <w:pStyle w:val="yTableNAm"/>
              <w:spacing w:before="80"/>
            </w:pPr>
            <w:r>
              <w:t>More than 500 000 but not more than 2 000 000 tonnes per year</w:t>
            </w:r>
          </w:p>
        </w:tc>
        <w:tc>
          <w:tcPr>
            <w:tcW w:w="929" w:type="dxa"/>
          </w:tcPr>
          <w:p>
            <w:pPr>
              <w:pStyle w:val="yTableNAm"/>
              <w:spacing w:before="80"/>
              <w:jc w:val="right"/>
            </w:pPr>
            <w:r>
              <w:t>400</w:t>
            </w:r>
          </w:p>
        </w:tc>
      </w:tr>
      <w:tr>
        <w:trPr>
          <w:cantSplit/>
        </w:trPr>
        <w:tc>
          <w:tcPr>
            <w:tcW w:w="2666" w:type="dxa"/>
          </w:tcPr>
          <w:p>
            <w:pPr>
              <w:pStyle w:val="yTableNAm"/>
              <w:spacing w:before="80"/>
            </w:pPr>
          </w:p>
        </w:tc>
        <w:tc>
          <w:tcPr>
            <w:tcW w:w="3513" w:type="dxa"/>
            <w:gridSpan w:val="2"/>
          </w:tcPr>
          <w:p>
            <w:pPr>
              <w:pStyle w:val="yTableNAm"/>
              <w:spacing w:before="80"/>
            </w:pPr>
            <w:r>
              <w:t>More than 2 000 000 tonnes per year</w:t>
            </w:r>
          </w:p>
        </w:tc>
        <w:tc>
          <w:tcPr>
            <w:tcW w:w="929" w:type="dxa"/>
          </w:tcPr>
          <w:p>
            <w:pPr>
              <w:pStyle w:val="yTableNAm"/>
              <w:spacing w:before="80"/>
              <w:jc w:val="right"/>
            </w:pPr>
            <w:r>
              <w:t>600</w:t>
            </w:r>
          </w:p>
        </w:tc>
      </w:tr>
      <w:tr>
        <w:trPr>
          <w:cantSplit/>
        </w:trPr>
        <w:tc>
          <w:tcPr>
            <w:tcW w:w="2666" w:type="dxa"/>
          </w:tcPr>
          <w:p>
            <w:pPr>
              <w:pStyle w:val="yTableNAm"/>
              <w:spacing w:before="80"/>
            </w:pPr>
            <w:r>
              <w:t>Category 15</w:t>
            </w:r>
          </w:p>
        </w:tc>
        <w:tc>
          <w:tcPr>
            <w:tcW w:w="3513" w:type="dxa"/>
            <w:gridSpan w:val="2"/>
          </w:tcPr>
          <w:p>
            <w:pPr>
              <w:pStyle w:val="yTableNAm"/>
              <w:spacing w:before="80"/>
            </w:pPr>
            <w:r>
              <w:t>Not more than 5 000 tonnes per year</w:t>
            </w:r>
          </w:p>
          <w:p>
            <w:pPr>
              <w:pStyle w:val="yTableNAm"/>
              <w:spacing w:before="80"/>
            </w:pPr>
            <w:r>
              <w:t>More than 5 000 but not more than 50 000 tonnes per year</w:t>
            </w:r>
          </w:p>
          <w:p>
            <w:pPr>
              <w:pStyle w:val="yTableNAm"/>
              <w:spacing w:before="80"/>
            </w:pPr>
            <w:r>
              <w:t>50 000 tonnes or more per year</w:t>
            </w:r>
          </w:p>
        </w:tc>
        <w:tc>
          <w:tcPr>
            <w:tcW w:w="929" w:type="dxa"/>
          </w:tcPr>
          <w:p>
            <w:pPr>
              <w:pStyle w:val="yTableNAm"/>
              <w:spacing w:before="80"/>
              <w:jc w:val="right"/>
            </w:pPr>
            <w:r>
              <w:t>75</w:t>
            </w:r>
          </w:p>
          <w:p>
            <w:pPr>
              <w:pStyle w:val="yTableNAm"/>
              <w:spacing w:before="80"/>
              <w:jc w:val="right"/>
            </w:pPr>
            <w:r>
              <w:t>150</w:t>
            </w:r>
          </w:p>
          <w:p>
            <w:pPr>
              <w:pStyle w:val="yTableNAm"/>
              <w:spacing w:before="0"/>
              <w:jc w:val="right"/>
            </w:pPr>
          </w:p>
          <w:p>
            <w:pPr>
              <w:pStyle w:val="yTableNAm"/>
              <w:spacing w:before="80"/>
              <w:jc w:val="right"/>
            </w:pPr>
            <w:r>
              <w:t>200</w:t>
            </w:r>
          </w:p>
        </w:tc>
      </w:tr>
      <w:tr>
        <w:trPr>
          <w:cantSplit/>
        </w:trPr>
        <w:tc>
          <w:tcPr>
            <w:tcW w:w="2666" w:type="dxa"/>
          </w:tcPr>
          <w:p>
            <w:pPr>
              <w:pStyle w:val="yTableNAm"/>
              <w:spacing w:before="80"/>
            </w:pPr>
            <w:r>
              <w:t>Category 16</w:t>
            </w:r>
          </w:p>
        </w:tc>
        <w:tc>
          <w:tcPr>
            <w:tcW w:w="3513" w:type="dxa"/>
            <w:gridSpan w:val="2"/>
          </w:tcPr>
          <w:p>
            <w:pPr>
              <w:pStyle w:val="yTableNAm"/>
              <w:spacing w:before="80"/>
            </w:pPr>
            <w:r>
              <w:t>Not more than 2 000 tonnes per year</w:t>
            </w:r>
          </w:p>
          <w:p>
            <w:pPr>
              <w:pStyle w:val="yTableNAm"/>
              <w:spacing w:before="80"/>
            </w:pPr>
            <w:r>
              <w:t>More than 2 000 but not more than 10 000 tonnes per year</w:t>
            </w:r>
          </w:p>
          <w:p>
            <w:pPr>
              <w:pStyle w:val="yTableNAm"/>
              <w:spacing w:before="80"/>
            </w:pPr>
            <w:r>
              <w:t>More than 10 000 tonnes per year</w:t>
            </w:r>
          </w:p>
        </w:tc>
        <w:tc>
          <w:tcPr>
            <w:tcW w:w="929" w:type="dxa"/>
          </w:tcPr>
          <w:p>
            <w:pPr>
              <w:pStyle w:val="yTableNAm"/>
              <w:spacing w:before="80"/>
              <w:jc w:val="right"/>
            </w:pPr>
            <w:r>
              <w:t>100</w:t>
            </w:r>
          </w:p>
          <w:p>
            <w:pPr>
              <w:pStyle w:val="yTableNAm"/>
              <w:spacing w:before="80"/>
              <w:jc w:val="right"/>
            </w:pPr>
            <w:r>
              <w:t>200</w:t>
            </w:r>
          </w:p>
          <w:p>
            <w:pPr>
              <w:pStyle w:val="yTableNAm"/>
              <w:spacing w:before="0"/>
              <w:jc w:val="right"/>
            </w:pPr>
          </w:p>
          <w:p>
            <w:pPr>
              <w:pStyle w:val="yTableNAm"/>
              <w:spacing w:before="80"/>
              <w:jc w:val="right"/>
            </w:pPr>
            <w:r>
              <w:t>300</w:t>
            </w:r>
          </w:p>
        </w:tc>
      </w:tr>
      <w:tr>
        <w:trPr>
          <w:cantSplit/>
        </w:trPr>
        <w:tc>
          <w:tcPr>
            <w:tcW w:w="2666" w:type="dxa"/>
          </w:tcPr>
          <w:p>
            <w:pPr>
              <w:pStyle w:val="yTableNAm"/>
              <w:spacing w:before="80"/>
            </w:pPr>
            <w:r>
              <w:t>Categories 17, 18, 19, 20, 22, 23, 24, 25 and 27</w:t>
            </w:r>
          </w:p>
        </w:tc>
        <w:tc>
          <w:tcPr>
            <w:tcW w:w="3513" w:type="dxa"/>
            <w:gridSpan w:val="2"/>
            <w:vMerge w:val="restart"/>
          </w:tcPr>
          <w:p>
            <w:pPr>
              <w:pStyle w:val="yTableNAm"/>
              <w:spacing w:before="80"/>
            </w:pPr>
            <w:r>
              <w:t>Not more than 2 000 tonnes per year</w:t>
            </w:r>
          </w:p>
          <w:p>
            <w:pPr>
              <w:pStyle w:val="yTableNAm"/>
              <w:spacing w:before="80"/>
            </w:pPr>
            <w:r>
              <w:t>More than 2 000 but not more than 10 000 tonnes per year</w:t>
            </w:r>
          </w:p>
        </w:tc>
        <w:tc>
          <w:tcPr>
            <w:tcW w:w="929" w:type="dxa"/>
            <w:vMerge w:val="restart"/>
          </w:tcPr>
          <w:p>
            <w:pPr>
              <w:pStyle w:val="yTableNAm"/>
              <w:spacing w:before="80"/>
              <w:jc w:val="right"/>
            </w:pPr>
            <w:r>
              <w:t>50</w:t>
            </w:r>
          </w:p>
          <w:p>
            <w:pPr>
              <w:pStyle w:val="yTableNAm"/>
              <w:spacing w:before="80"/>
              <w:jc w:val="right"/>
            </w:pPr>
            <w:r>
              <w:t>75</w:t>
            </w:r>
          </w:p>
        </w:tc>
      </w:tr>
      <w:tr>
        <w:trPr>
          <w:cantSplit/>
        </w:trPr>
        <w:tc>
          <w:tcPr>
            <w:tcW w:w="2666" w:type="dxa"/>
          </w:tcPr>
          <w:p>
            <w:pPr>
              <w:pStyle w:val="yTableNAm"/>
            </w:pPr>
          </w:p>
        </w:tc>
        <w:tc>
          <w:tcPr>
            <w:tcW w:w="3513" w:type="dxa"/>
            <w:gridSpan w:val="2"/>
            <w:vMerge/>
          </w:tcPr>
          <w:p>
            <w:pPr>
              <w:pStyle w:val="yTableNAm"/>
            </w:pPr>
          </w:p>
        </w:tc>
        <w:tc>
          <w:tcPr>
            <w:tcW w:w="929" w:type="dxa"/>
            <w:vMerge/>
          </w:tcPr>
          <w:p>
            <w:pPr>
              <w:pStyle w:val="yTableNAm"/>
              <w:jc w:val="right"/>
            </w:pPr>
          </w:p>
        </w:tc>
      </w:tr>
      <w:tr>
        <w:trPr>
          <w:cantSplit/>
        </w:trPr>
        <w:tc>
          <w:tcPr>
            <w:tcW w:w="2666" w:type="dxa"/>
          </w:tcPr>
          <w:p>
            <w:pPr>
              <w:pStyle w:val="yTableNAm"/>
              <w:spacing w:before="80"/>
            </w:pPr>
          </w:p>
        </w:tc>
        <w:tc>
          <w:tcPr>
            <w:tcW w:w="3513" w:type="dxa"/>
            <w:gridSpan w:val="2"/>
          </w:tcPr>
          <w:p>
            <w:pPr>
              <w:pStyle w:val="yTableNAm"/>
              <w:spacing w:before="80"/>
            </w:pPr>
            <w:r>
              <w:t>More than 10 000 but not more than 100 000 tonnes per year</w:t>
            </w:r>
          </w:p>
        </w:tc>
        <w:tc>
          <w:tcPr>
            <w:tcW w:w="929" w:type="dxa"/>
          </w:tcPr>
          <w:p>
            <w:pPr>
              <w:pStyle w:val="yTableNAm"/>
              <w:spacing w:before="80"/>
              <w:jc w:val="right"/>
            </w:pPr>
            <w:r>
              <w:t>150</w:t>
            </w:r>
          </w:p>
        </w:tc>
      </w:tr>
      <w:tr>
        <w:trPr>
          <w:cantSplit/>
        </w:trPr>
        <w:tc>
          <w:tcPr>
            <w:tcW w:w="2666" w:type="dxa"/>
          </w:tcPr>
          <w:p>
            <w:pPr>
              <w:pStyle w:val="yTableNAm"/>
              <w:spacing w:before="80"/>
            </w:pPr>
          </w:p>
        </w:tc>
        <w:tc>
          <w:tcPr>
            <w:tcW w:w="3513" w:type="dxa"/>
            <w:gridSpan w:val="2"/>
          </w:tcPr>
          <w:p>
            <w:pPr>
              <w:pStyle w:val="yTableNAm"/>
              <w:spacing w:before="80"/>
            </w:pPr>
            <w:r>
              <w:t>More than 100 000 tonnes per year</w:t>
            </w:r>
          </w:p>
        </w:tc>
        <w:tc>
          <w:tcPr>
            <w:tcW w:w="929" w:type="dxa"/>
          </w:tcPr>
          <w:p>
            <w:pPr>
              <w:pStyle w:val="yTableNAm"/>
              <w:spacing w:before="80"/>
              <w:jc w:val="right"/>
            </w:pPr>
            <w:r>
              <w:t>200</w:t>
            </w:r>
          </w:p>
        </w:tc>
      </w:tr>
      <w:tr>
        <w:trPr>
          <w:cantSplit/>
        </w:trPr>
        <w:tc>
          <w:tcPr>
            <w:tcW w:w="2666" w:type="dxa"/>
          </w:tcPr>
          <w:p>
            <w:pPr>
              <w:pStyle w:val="yTableNAm"/>
            </w:pPr>
            <w:r>
              <w:t>Category 21</w:t>
            </w:r>
          </w:p>
        </w:tc>
        <w:tc>
          <w:tcPr>
            <w:tcW w:w="3513" w:type="dxa"/>
            <w:gridSpan w:val="2"/>
          </w:tcPr>
          <w:p>
            <w:pPr>
              <w:pStyle w:val="yTableNAm"/>
              <w:keepNext/>
              <w:keepLines/>
            </w:pPr>
            <w:r>
              <w:t>Not more than 10 000 tonnes per year</w:t>
            </w:r>
          </w:p>
        </w:tc>
        <w:tc>
          <w:tcPr>
            <w:tcW w:w="929" w:type="dxa"/>
          </w:tcPr>
          <w:p>
            <w:pPr>
              <w:pStyle w:val="yTableNAm"/>
              <w:keepNext/>
              <w:keepLines/>
              <w:jc w:val="right"/>
            </w:pPr>
            <w:r>
              <w:t>75</w:t>
            </w:r>
          </w:p>
        </w:tc>
      </w:tr>
      <w:tr>
        <w:trPr>
          <w:cantSplit/>
        </w:trPr>
        <w:tc>
          <w:tcPr>
            <w:tcW w:w="2666" w:type="dxa"/>
          </w:tcPr>
          <w:p>
            <w:pPr>
              <w:pStyle w:val="yTableNAm"/>
            </w:pPr>
          </w:p>
        </w:tc>
        <w:tc>
          <w:tcPr>
            <w:tcW w:w="3513" w:type="dxa"/>
            <w:gridSpan w:val="2"/>
          </w:tcPr>
          <w:p>
            <w:pPr>
              <w:pStyle w:val="yTableNAm"/>
            </w:pPr>
            <w:r>
              <w:t>More than 10 000 but not more than 100 000 tonnes per year</w:t>
            </w:r>
          </w:p>
        </w:tc>
        <w:tc>
          <w:tcPr>
            <w:tcW w:w="929" w:type="dxa"/>
          </w:tcPr>
          <w:p>
            <w:pPr>
              <w:pStyle w:val="yTableNAm"/>
              <w:jc w:val="right"/>
            </w:pPr>
            <w:r>
              <w:t>150</w:t>
            </w:r>
          </w:p>
        </w:tc>
      </w:tr>
      <w:tr>
        <w:trPr>
          <w:cantSplit/>
        </w:trPr>
        <w:tc>
          <w:tcPr>
            <w:tcW w:w="2666" w:type="dxa"/>
          </w:tcPr>
          <w:p>
            <w:pPr>
              <w:pStyle w:val="yTableNAm"/>
            </w:pPr>
          </w:p>
        </w:tc>
        <w:tc>
          <w:tcPr>
            <w:tcW w:w="3513" w:type="dxa"/>
            <w:gridSpan w:val="2"/>
          </w:tcPr>
          <w:p>
            <w:pPr>
              <w:pStyle w:val="yTableNAm"/>
            </w:pPr>
            <w:r>
              <w:t>More than 100 000 tonnes per year</w:t>
            </w:r>
          </w:p>
        </w:tc>
        <w:tc>
          <w:tcPr>
            <w:tcW w:w="929" w:type="dxa"/>
          </w:tcPr>
          <w:p>
            <w:pPr>
              <w:pStyle w:val="yTableNAm"/>
              <w:jc w:val="right"/>
            </w:pPr>
            <w:r>
              <w:t>250</w:t>
            </w:r>
          </w:p>
        </w:tc>
      </w:tr>
      <w:tr>
        <w:trPr>
          <w:cantSplit/>
        </w:trPr>
        <w:tc>
          <w:tcPr>
            <w:tcW w:w="2666" w:type="dxa"/>
          </w:tcPr>
          <w:p>
            <w:pPr>
              <w:pStyle w:val="yTableNAm"/>
              <w:keepNext/>
              <w:keepLines/>
              <w:spacing w:before="80"/>
            </w:pPr>
            <w:r>
              <w:t>Category 26</w:t>
            </w:r>
          </w:p>
        </w:tc>
        <w:tc>
          <w:tcPr>
            <w:tcW w:w="3513" w:type="dxa"/>
            <w:gridSpan w:val="2"/>
          </w:tcPr>
          <w:p>
            <w:pPr>
              <w:pStyle w:val="yTableNAm"/>
              <w:keepNext/>
              <w:keepLines/>
              <w:spacing w:before="80"/>
            </w:pPr>
            <w:r>
              <w:t>Not more than 10 000 tonnes per year</w:t>
            </w:r>
          </w:p>
        </w:tc>
        <w:tc>
          <w:tcPr>
            <w:tcW w:w="929" w:type="dxa"/>
          </w:tcPr>
          <w:p>
            <w:pPr>
              <w:pStyle w:val="yTableNAm"/>
              <w:keepNext/>
              <w:keepLines/>
              <w:spacing w:before="80"/>
              <w:jc w:val="right"/>
            </w:pPr>
            <w:r>
              <w:t>50</w:t>
            </w:r>
          </w:p>
        </w:tc>
      </w:tr>
      <w:tr>
        <w:trPr>
          <w:cantSplit/>
        </w:trPr>
        <w:tc>
          <w:tcPr>
            <w:tcW w:w="2666" w:type="dxa"/>
          </w:tcPr>
          <w:p>
            <w:pPr>
              <w:pStyle w:val="yTableNAm"/>
              <w:spacing w:before="80"/>
            </w:pPr>
          </w:p>
        </w:tc>
        <w:tc>
          <w:tcPr>
            <w:tcW w:w="3513" w:type="dxa"/>
            <w:gridSpan w:val="2"/>
          </w:tcPr>
          <w:p>
            <w:pPr>
              <w:pStyle w:val="yTableNAm"/>
              <w:spacing w:before="80"/>
            </w:pPr>
            <w:r>
              <w:t>More than 10 000 but not more than 100 000 tonnes per year</w:t>
            </w:r>
          </w:p>
        </w:tc>
        <w:tc>
          <w:tcPr>
            <w:tcW w:w="929" w:type="dxa"/>
          </w:tcPr>
          <w:p>
            <w:pPr>
              <w:pStyle w:val="yTableNAm"/>
              <w:spacing w:before="80"/>
              <w:jc w:val="right"/>
            </w:pPr>
            <w:r>
              <w:t>100</w:t>
            </w:r>
          </w:p>
        </w:tc>
      </w:tr>
      <w:tr>
        <w:trPr>
          <w:cantSplit/>
        </w:trPr>
        <w:tc>
          <w:tcPr>
            <w:tcW w:w="2666" w:type="dxa"/>
          </w:tcPr>
          <w:p>
            <w:pPr>
              <w:pStyle w:val="yTableNAm"/>
              <w:spacing w:before="80"/>
            </w:pPr>
          </w:p>
        </w:tc>
        <w:tc>
          <w:tcPr>
            <w:tcW w:w="3513" w:type="dxa"/>
            <w:gridSpan w:val="2"/>
          </w:tcPr>
          <w:p>
            <w:pPr>
              <w:pStyle w:val="yTableNAm"/>
              <w:spacing w:before="80"/>
            </w:pPr>
            <w:r>
              <w:t>More than 100 000 tonnes per year</w:t>
            </w:r>
          </w:p>
        </w:tc>
        <w:tc>
          <w:tcPr>
            <w:tcW w:w="929" w:type="dxa"/>
          </w:tcPr>
          <w:p>
            <w:pPr>
              <w:pStyle w:val="yTableNAm"/>
              <w:spacing w:before="80"/>
              <w:jc w:val="right"/>
            </w:pPr>
            <w:r>
              <w:t>150</w:t>
            </w:r>
          </w:p>
        </w:tc>
      </w:tr>
      <w:tr>
        <w:trPr>
          <w:cantSplit/>
        </w:trPr>
        <w:tc>
          <w:tcPr>
            <w:tcW w:w="2666" w:type="dxa"/>
          </w:tcPr>
          <w:p>
            <w:pPr>
              <w:pStyle w:val="yTableNAm"/>
              <w:spacing w:before="80"/>
            </w:pPr>
            <w:r>
              <w:t>Categories 28 and 29</w:t>
            </w:r>
          </w:p>
        </w:tc>
        <w:tc>
          <w:tcPr>
            <w:tcW w:w="3513" w:type="dxa"/>
            <w:gridSpan w:val="2"/>
          </w:tcPr>
          <w:p>
            <w:pPr>
              <w:pStyle w:val="yTableNAm"/>
              <w:spacing w:before="80"/>
            </w:pPr>
            <w:r>
              <w:t>Not more than 5 000 tonnes per year</w:t>
            </w:r>
          </w:p>
        </w:tc>
        <w:tc>
          <w:tcPr>
            <w:tcW w:w="929" w:type="dxa"/>
          </w:tcPr>
          <w:p>
            <w:pPr>
              <w:pStyle w:val="yTableNAm"/>
              <w:spacing w:before="80"/>
              <w:jc w:val="right"/>
            </w:pPr>
            <w:r>
              <w:t>50</w:t>
            </w:r>
          </w:p>
        </w:tc>
      </w:tr>
      <w:tr>
        <w:trPr>
          <w:cantSplit/>
        </w:trPr>
        <w:tc>
          <w:tcPr>
            <w:tcW w:w="2666" w:type="dxa"/>
          </w:tcPr>
          <w:p>
            <w:pPr>
              <w:pStyle w:val="yTableNAm"/>
              <w:spacing w:before="80"/>
            </w:pPr>
          </w:p>
        </w:tc>
        <w:tc>
          <w:tcPr>
            <w:tcW w:w="3513" w:type="dxa"/>
            <w:gridSpan w:val="2"/>
          </w:tcPr>
          <w:p>
            <w:pPr>
              <w:pStyle w:val="yTableNAm"/>
              <w:spacing w:before="80"/>
            </w:pPr>
            <w:r>
              <w:t>More than 5 000 but not more than 50 000 tonnes per year</w:t>
            </w:r>
          </w:p>
        </w:tc>
        <w:tc>
          <w:tcPr>
            <w:tcW w:w="929" w:type="dxa"/>
          </w:tcPr>
          <w:p>
            <w:pPr>
              <w:pStyle w:val="yTableNAm"/>
              <w:spacing w:before="80"/>
              <w:jc w:val="right"/>
            </w:pPr>
            <w:r>
              <w:t>150</w:t>
            </w:r>
          </w:p>
        </w:tc>
      </w:tr>
      <w:tr>
        <w:trPr>
          <w:cantSplit/>
        </w:trPr>
        <w:tc>
          <w:tcPr>
            <w:tcW w:w="2666" w:type="dxa"/>
          </w:tcPr>
          <w:p>
            <w:pPr>
              <w:pStyle w:val="yTableNAm"/>
              <w:spacing w:before="80"/>
            </w:pPr>
          </w:p>
        </w:tc>
        <w:tc>
          <w:tcPr>
            <w:tcW w:w="3513" w:type="dxa"/>
            <w:gridSpan w:val="2"/>
          </w:tcPr>
          <w:p>
            <w:pPr>
              <w:pStyle w:val="yTableNAm"/>
              <w:spacing w:before="80"/>
            </w:pPr>
            <w:r>
              <w:t>More than 50 000 tonnes per year</w:t>
            </w:r>
          </w:p>
        </w:tc>
        <w:tc>
          <w:tcPr>
            <w:tcW w:w="929" w:type="dxa"/>
          </w:tcPr>
          <w:p>
            <w:pPr>
              <w:pStyle w:val="yTableNAm"/>
              <w:spacing w:before="80"/>
              <w:jc w:val="right"/>
            </w:pPr>
            <w:r>
              <w:t>200</w:t>
            </w:r>
          </w:p>
        </w:tc>
      </w:tr>
      <w:tr>
        <w:trPr>
          <w:cantSplit/>
        </w:trPr>
        <w:tc>
          <w:tcPr>
            <w:tcW w:w="2666" w:type="dxa"/>
          </w:tcPr>
          <w:p>
            <w:pPr>
              <w:pStyle w:val="yTableNAm"/>
              <w:spacing w:before="80"/>
            </w:pPr>
            <w:r>
              <w:t>Category 30</w:t>
            </w:r>
          </w:p>
        </w:tc>
        <w:tc>
          <w:tcPr>
            <w:tcW w:w="3513" w:type="dxa"/>
            <w:gridSpan w:val="2"/>
          </w:tcPr>
          <w:p>
            <w:pPr>
              <w:pStyle w:val="yTableNAm"/>
              <w:spacing w:before="80"/>
            </w:pPr>
            <w:r>
              <w:t>Not more than 50 000 tonnes per year</w:t>
            </w:r>
          </w:p>
        </w:tc>
        <w:tc>
          <w:tcPr>
            <w:tcW w:w="929" w:type="dxa"/>
          </w:tcPr>
          <w:p>
            <w:pPr>
              <w:pStyle w:val="yTableNAm"/>
              <w:spacing w:before="80"/>
              <w:jc w:val="right"/>
            </w:pPr>
            <w:r>
              <w:t>100</w:t>
            </w:r>
          </w:p>
        </w:tc>
      </w:tr>
      <w:tr>
        <w:trPr>
          <w:cantSplit/>
        </w:trPr>
        <w:tc>
          <w:tcPr>
            <w:tcW w:w="2666" w:type="dxa"/>
          </w:tcPr>
          <w:p>
            <w:pPr>
              <w:pStyle w:val="yTableNAm"/>
              <w:spacing w:before="80"/>
            </w:pPr>
          </w:p>
        </w:tc>
        <w:tc>
          <w:tcPr>
            <w:tcW w:w="3513" w:type="dxa"/>
            <w:gridSpan w:val="2"/>
          </w:tcPr>
          <w:p>
            <w:pPr>
              <w:pStyle w:val="yTableNAm"/>
              <w:spacing w:before="80"/>
            </w:pPr>
            <w:r>
              <w:t>More than 50 000 but not more than 250 000 tonnes per year</w:t>
            </w:r>
          </w:p>
        </w:tc>
        <w:tc>
          <w:tcPr>
            <w:tcW w:w="929" w:type="dxa"/>
          </w:tcPr>
          <w:p>
            <w:pPr>
              <w:pStyle w:val="yTableNAm"/>
              <w:spacing w:before="80"/>
              <w:jc w:val="right"/>
            </w:pPr>
            <w:r>
              <w:t>150</w:t>
            </w:r>
          </w:p>
        </w:tc>
      </w:tr>
      <w:tr>
        <w:trPr>
          <w:cantSplit/>
        </w:trPr>
        <w:tc>
          <w:tcPr>
            <w:tcW w:w="2666" w:type="dxa"/>
          </w:tcPr>
          <w:p>
            <w:pPr>
              <w:pStyle w:val="yTableNAm"/>
              <w:spacing w:before="80"/>
            </w:pPr>
          </w:p>
        </w:tc>
        <w:tc>
          <w:tcPr>
            <w:tcW w:w="3513" w:type="dxa"/>
            <w:gridSpan w:val="2"/>
          </w:tcPr>
          <w:p>
            <w:pPr>
              <w:pStyle w:val="yTableNAm"/>
              <w:spacing w:before="80"/>
            </w:pPr>
            <w:r>
              <w:t>More than 250 000 but not more than 1 000 000 tonnes per year</w:t>
            </w:r>
          </w:p>
        </w:tc>
        <w:tc>
          <w:tcPr>
            <w:tcW w:w="929" w:type="dxa"/>
          </w:tcPr>
          <w:p>
            <w:pPr>
              <w:pStyle w:val="yTableNAm"/>
              <w:spacing w:before="80"/>
              <w:jc w:val="right"/>
            </w:pPr>
            <w:r>
              <w:t>200</w:t>
            </w:r>
          </w:p>
        </w:tc>
      </w:tr>
      <w:tr>
        <w:trPr>
          <w:cantSplit/>
        </w:trPr>
        <w:tc>
          <w:tcPr>
            <w:tcW w:w="2666" w:type="dxa"/>
          </w:tcPr>
          <w:p>
            <w:pPr>
              <w:pStyle w:val="yTableNAm"/>
              <w:spacing w:before="80"/>
            </w:pPr>
          </w:p>
        </w:tc>
        <w:tc>
          <w:tcPr>
            <w:tcW w:w="3513" w:type="dxa"/>
            <w:gridSpan w:val="2"/>
          </w:tcPr>
          <w:p>
            <w:pPr>
              <w:pStyle w:val="yTableNAm"/>
              <w:spacing w:before="80"/>
            </w:pPr>
            <w:r>
              <w:t>More than 1 000 000 tonnes per year</w:t>
            </w:r>
          </w:p>
        </w:tc>
        <w:tc>
          <w:tcPr>
            <w:tcW w:w="929" w:type="dxa"/>
          </w:tcPr>
          <w:p>
            <w:pPr>
              <w:pStyle w:val="yTableNAm"/>
              <w:spacing w:before="80"/>
              <w:jc w:val="right"/>
            </w:pPr>
            <w:r>
              <w:t>400</w:t>
            </w:r>
          </w:p>
        </w:tc>
      </w:tr>
      <w:tr>
        <w:trPr>
          <w:cantSplit/>
        </w:trPr>
        <w:tc>
          <w:tcPr>
            <w:tcW w:w="2666" w:type="dxa"/>
          </w:tcPr>
          <w:p>
            <w:pPr>
              <w:pStyle w:val="yTableNAm"/>
              <w:spacing w:before="80"/>
            </w:pPr>
            <w:r>
              <w:t>Categories 31 and 32</w:t>
            </w:r>
          </w:p>
        </w:tc>
        <w:tc>
          <w:tcPr>
            <w:tcW w:w="3513" w:type="dxa"/>
            <w:gridSpan w:val="2"/>
          </w:tcPr>
          <w:p>
            <w:pPr>
              <w:pStyle w:val="yTableNAm"/>
              <w:spacing w:before="80"/>
            </w:pPr>
            <w:r>
              <w:t>Not more than 2 000 tonnes per year</w:t>
            </w:r>
          </w:p>
          <w:p>
            <w:pPr>
              <w:pStyle w:val="yTableNAm"/>
              <w:spacing w:before="80"/>
            </w:pPr>
            <w:r>
              <w:t>More than 2 000 but not more than 10 000 tonnes per year</w:t>
            </w:r>
          </w:p>
          <w:p>
            <w:pPr>
              <w:pStyle w:val="yTableNAm"/>
              <w:spacing w:before="80"/>
            </w:pPr>
            <w:r>
              <w:t>More than 10 000 but not more than 50 000 tonnes per year</w:t>
            </w:r>
          </w:p>
        </w:tc>
        <w:tc>
          <w:tcPr>
            <w:tcW w:w="929" w:type="dxa"/>
          </w:tcPr>
          <w:p>
            <w:pPr>
              <w:pStyle w:val="yTableNAm"/>
              <w:spacing w:before="80"/>
              <w:jc w:val="right"/>
            </w:pPr>
            <w:r>
              <w:t>50</w:t>
            </w:r>
          </w:p>
          <w:p>
            <w:pPr>
              <w:pStyle w:val="yTableNAm"/>
              <w:spacing w:before="80"/>
              <w:jc w:val="right"/>
            </w:pPr>
            <w:r>
              <w:t>150</w:t>
            </w:r>
          </w:p>
          <w:p>
            <w:pPr>
              <w:pStyle w:val="yTableNAm"/>
              <w:spacing w:before="0"/>
              <w:jc w:val="right"/>
            </w:pPr>
          </w:p>
          <w:p>
            <w:pPr>
              <w:pStyle w:val="yTableNAm"/>
              <w:spacing w:before="80"/>
              <w:jc w:val="right"/>
            </w:pPr>
            <w:r>
              <w:t>250</w:t>
            </w:r>
          </w:p>
        </w:tc>
      </w:tr>
      <w:tr>
        <w:trPr>
          <w:cantSplit/>
        </w:trPr>
        <w:tc>
          <w:tcPr>
            <w:tcW w:w="2666" w:type="dxa"/>
          </w:tcPr>
          <w:p>
            <w:pPr>
              <w:pStyle w:val="yTableNAm"/>
              <w:spacing w:before="80"/>
            </w:pPr>
          </w:p>
        </w:tc>
        <w:tc>
          <w:tcPr>
            <w:tcW w:w="3513" w:type="dxa"/>
            <w:gridSpan w:val="2"/>
          </w:tcPr>
          <w:p>
            <w:pPr>
              <w:pStyle w:val="yTableNAm"/>
              <w:spacing w:before="80"/>
            </w:pPr>
            <w:r>
              <w:t>More than 50 000 but not more than 100 000 tonnes per year</w:t>
            </w:r>
          </w:p>
          <w:p>
            <w:pPr>
              <w:pStyle w:val="yTableNAm"/>
              <w:spacing w:before="80"/>
            </w:pPr>
            <w:r>
              <w:t>More than 100 000 tonnes per year</w:t>
            </w:r>
          </w:p>
        </w:tc>
        <w:tc>
          <w:tcPr>
            <w:tcW w:w="929" w:type="dxa"/>
          </w:tcPr>
          <w:p>
            <w:pPr>
              <w:pStyle w:val="yTableNAm"/>
              <w:spacing w:before="80"/>
              <w:jc w:val="right"/>
            </w:pPr>
            <w:r>
              <w:t>400</w:t>
            </w:r>
          </w:p>
          <w:p>
            <w:pPr>
              <w:pStyle w:val="yTableNAm"/>
              <w:spacing w:before="0"/>
              <w:jc w:val="right"/>
            </w:pPr>
          </w:p>
          <w:p>
            <w:pPr>
              <w:pStyle w:val="yTableNAm"/>
              <w:spacing w:before="80"/>
              <w:jc w:val="right"/>
            </w:pPr>
            <w:r>
              <w:t>600</w:t>
            </w:r>
          </w:p>
        </w:tc>
      </w:tr>
      <w:tr>
        <w:trPr>
          <w:cantSplit/>
        </w:trPr>
        <w:tc>
          <w:tcPr>
            <w:tcW w:w="2666" w:type="dxa"/>
          </w:tcPr>
          <w:p>
            <w:pPr>
              <w:pStyle w:val="yTableNAm"/>
              <w:spacing w:before="80"/>
            </w:pPr>
            <w:r>
              <w:t>Categories 33, 35, 36, 37 and 38</w:t>
            </w:r>
          </w:p>
        </w:tc>
        <w:tc>
          <w:tcPr>
            <w:tcW w:w="3513" w:type="dxa"/>
            <w:gridSpan w:val="2"/>
          </w:tcPr>
          <w:p>
            <w:pPr>
              <w:pStyle w:val="yTableNAm"/>
              <w:spacing w:before="80"/>
            </w:pPr>
            <w:r>
              <w:t>Not more than 2 000 tonnes per year</w:t>
            </w:r>
          </w:p>
        </w:tc>
        <w:tc>
          <w:tcPr>
            <w:tcW w:w="929" w:type="dxa"/>
          </w:tcPr>
          <w:p>
            <w:pPr>
              <w:pStyle w:val="yTableNAm"/>
              <w:spacing w:before="80"/>
              <w:jc w:val="right"/>
            </w:pPr>
            <w:r>
              <w:t>50</w:t>
            </w:r>
          </w:p>
        </w:tc>
      </w:tr>
      <w:tr>
        <w:trPr>
          <w:cantSplit/>
        </w:trPr>
        <w:tc>
          <w:tcPr>
            <w:tcW w:w="2666" w:type="dxa"/>
          </w:tcPr>
          <w:p>
            <w:pPr>
              <w:pStyle w:val="yTableNAm"/>
              <w:spacing w:before="80"/>
            </w:pPr>
          </w:p>
        </w:tc>
        <w:tc>
          <w:tcPr>
            <w:tcW w:w="3513" w:type="dxa"/>
            <w:gridSpan w:val="2"/>
          </w:tcPr>
          <w:p>
            <w:pPr>
              <w:pStyle w:val="yTableNAm"/>
              <w:spacing w:before="80"/>
            </w:pPr>
            <w:r>
              <w:t>More than 2 000 but not more than 10 000 tonnes per year</w:t>
            </w:r>
          </w:p>
        </w:tc>
        <w:tc>
          <w:tcPr>
            <w:tcW w:w="929" w:type="dxa"/>
          </w:tcPr>
          <w:p>
            <w:pPr>
              <w:pStyle w:val="yTableNAm"/>
              <w:spacing w:before="80"/>
              <w:jc w:val="right"/>
            </w:pPr>
            <w:r>
              <w:t>100</w:t>
            </w:r>
          </w:p>
        </w:tc>
      </w:tr>
      <w:tr>
        <w:trPr>
          <w:cantSplit/>
        </w:trPr>
        <w:tc>
          <w:tcPr>
            <w:tcW w:w="2666" w:type="dxa"/>
          </w:tcPr>
          <w:p>
            <w:pPr>
              <w:pStyle w:val="yTableNAm"/>
              <w:spacing w:before="80"/>
            </w:pPr>
          </w:p>
        </w:tc>
        <w:tc>
          <w:tcPr>
            <w:tcW w:w="3513" w:type="dxa"/>
            <w:gridSpan w:val="2"/>
          </w:tcPr>
          <w:p>
            <w:pPr>
              <w:pStyle w:val="yTableNAm"/>
              <w:spacing w:before="80"/>
            </w:pPr>
            <w:r>
              <w:t>More than 10 000 but not more than 50 000 tonnes per year</w:t>
            </w:r>
          </w:p>
        </w:tc>
        <w:tc>
          <w:tcPr>
            <w:tcW w:w="929" w:type="dxa"/>
          </w:tcPr>
          <w:p>
            <w:pPr>
              <w:pStyle w:val="yTableNAm"/>
              <w:spacing w:before="80"/>
              <w:jc w:val="right"/>
            </w:pPr>
            <w:r>
              <w:t>200</w:t>
            </w:r>
          </w:p>
        </w:tc>
      </w:tr>
      <w:tr>
        <w:trPr>
          <w:cantSplit/>
        </w:trPr>
        <w:tc>
          <w:tcPr>
            <w:tcW w:w="2666" w:type="dxa"/>
          </w:tcPr>
          <w:p>
            <w:pPr>
              <w:pStyle w:val="yTableNAm"/>
              <w:spacing w:before="80"/>
            </w:pPr>
          </w:p>
        </w:tc>
        <w:tc>
          <w:tcPr>
            <w:tcW w:w="3513" w:type="dxa"/>
            <w:gridSpan w:val="2"/>
          </w:tcPr>
          <w:p>
            <w:pPr>
              <w:pStyle w:val="yTableNAm"/>
              <w:spacing w:before="80"/>
            </w:pPr>
            <w:r>
              <w:t>More than 50 000 tonnes per year</w:t>
            </w:r>
          </w:p>
        </w:tc>
        <w:tc>
          <w:tcPr>
            <w:tcW w:w="929" w:type="dxa"/>
          </w:tcPr>
          <w:p>
            <w:pPr>
              <w:pStyle w:val="yTableNAm"/>
              <w:spacing w:before="80"/>
              <w:jc w:val="right"/>
            </w:pPr>
            <w:r>
              <w:t>300</w:t>
            </w:r>
          </w:p>
        </w:tc>
      </w:tr>
      <w:tr>
        <w:trPr>
          <w:cantSplit/>
        </w:trPr>
        <w:tc>
          <w:tcPr>
            <w:tcW w:w="2666" w:type="dxa"/>
          </w:tcPr>
          <w:p>
            <w:pPr>
              <w:pStyle w:val="yTableNAm"/>
              <w:keepNext/>
              <w:spacing w:before="80"/>
            </w:pPr>
            <w:r>
              <w:t>Category 39</w:t>
            </w:r>
          </w:p>
        </w:tc>
        <w:tc>
          <w:tcPr>
            <w:tcW w:w="3513" w:type="dxa"/>
            <w:gridSpan w:val="2"/>
          </w:tcPr>
          <w:p>
            <w:pPr>
              <w:pStyle w:val="yTableNAm"/>
              <w:keepNext/>
              <w:spacing w:before="80"/>
            </w:pPr>
            <w:r>
              <w:t>Not more than 500 tonnes per year</w:t>
            </w:r>
          </w:p>
        </w:tc>
        <w:tc>
          <w:tcPr>
            <w:tcW w:w="929" w:type="dxa"/>
          </w:tcPr>
          <w:p>
            <w:pPr>
              <w:pStyle w:val="yTableNAm"/>
              <w:keepNext/>
              <w:spacing w:before="80"/>
              <w:jc w:val="right"/>
            </w:pPr>
            <w:r>
              <w:t>20</w:t>
            </w:r>
          </w:p>
        </w:tc>
      </w:tr>
      <w:tr>
        <w:trPr>
          <w:cantSplit/>
        </w:trPr>
        <w:tc>
          <w:tcPr>
            <w:tcW w:w="2666" w:type="dxa"/>
          </w:tcPr>
          <w:p>
            <w:pPr>
              <w:pStyle w:val="yTableNAm"/>
              <w:spacing w:before="80"/>
            </w:pPr>
          </w:p>
        </w:tc>
        <w:tc>
          <w:tcPr>
            <w:tcW w:w="3513" w:type="dxa"/>
            <w:gridSpan w:val="2"/>
          </w:tcPr>
          <w:p>
            <w:pPr>
              <w:pStyle w:val="yTableNAm"/>
              <w:spacing w:before="80"/>
            </w:pPr>
            <w:r>
              <w:t>More than 500 tonnes but not more than 2 000 tonnes per year</w:t>
            </w:r>
          </w:p>
        </w:tc>
        <w:tc>
          <w:tcPr>
            <w:tcW w:w="929" w:type="dxa"/>
          </w:tcPr>
          <w:p>
            <w:pPr>
              <w:pStyle w:val="yTableNAm"/>
              <w:spacing w:before="80"/>
              <w:jc w:val="right"/>
            </w:pPr>
            <w:r>
              <w:t>50</w:t>
            </w:r>
          </w:p>
        </w:tc>
      </w:tr>
      <w:tr>
        <w:trPr>
          <w:cantSplit/>
        </w:trPr>
        <w:tc>
          <w:tcPr>
            <w:tcW w:w="2666" w:type="dxa"/>
          </w:tcPr>
          <w:p>
            <w:pPr>
              <w:pStyle w:val="yTableNAm"/>
              <w:spacing w:before="80"/>
            </w:pPr>
          </w:p>
        </w:tc>
        <w:tc>
          <w:tcPr>
            <w:tcW w:w="3513" w:type="dxa"/>
            <w:gridSpan w:val="2"/>
          </w:tcPr>
          <w:p>
            <w:pPr>
              <w:pStyle w:val="yTableNAm"/>
              <w:spacing w:before="80"/>
            </w:pPr>
            <w:r>
              <w:t>More than 2 000 but not more than 10 000 tonnes per year</w:t>
            </w:r>
          </w:p>
        </w:tc>
        <w:tc>
          <w:tcPr>
            <w:tcW w:w="929" w:type="dxa"/>
          </w:tcPr>
          <w:p>
            <w:pPr>
              <w:pStyle w:val="yTableNAm"/>
              <w:spacing w:before="80"/>
              <w:jc w:val="right"/>
            </w:pPr>
            <w:r>
              <w:t>100</w:t>
            </w:r>
          </w:p>
        </w:tc>
      </w:tr>
      <w:tr>
        <w:trPr>
          <w:cantSplit/>
        </w:trPr>
        <w:tc>
          <w:tcPr>
            <w:tcW w:w="2666" w:type="dxa"/>
          </w:tcPr>
          <w:p>
            <w:pPr>
              <w:pStyle w:val="yTableNAm"/>
              <w:spacing w:before="80"/>
            </w:pPr>
          </w:p>
        </w:tc>
        <w:tc>
          <w:tcPr>
            <w:tcW w:w="3513" w:type="dxa"/>
            <w:gridSpan w:val="2"/>
          </w:tcPr>
          <w:p>
            <w:pPr>
              <w:pStyle w:val="yTableNAm"/>
              <w:spacing w:before="80"/>
            </w:pPr>
            <w:r>
              <w:t>More than 10 000 but not more than 50 000 tonnes per year</w:t>
            </w:r>
          </w:p>
        </w:tc>
        <w:tc>
          <w:tcPr>
            <w:tcW w:w="929" w:type="dxa"/>
          </w:tcPr>
          <w:p>
            <w:pPr>
              <w:pStyle w:val="yTableNAm"/>
              <w:spacing w:before="80"/>
              <w:jc w:val="right"/>
            </w:pPr>
            <w:r>
              <w:t>200</w:t>
            </w:r>
          </w:p>
        </w:tc>
      </w:tr>
      <w:tr>
        <w:trPr>
          <w:cantSplit/>
        </w:trPr>
        <w:tc>
          <w:tcPr>
            <w:tcW w:w="2666" w:type="dxa"/>
          </w:tcPr>
          <w:p>
            <w:pPr>
              <w:pStyle w:val="yTableNAm"/>
              <w:spacing w:before="80"/>
            </w:pPr>
          </w:p>
        </w:tc>
        <w:tc>
          <w:tcPr>
            <w:tcW w:w="3513" w:type="dxa"/>
            <w:gridSpan w:val="2"/>
          </w:tcPr>
          <w:p>
            <w:pPr>
              <w:pStyle w:val="yTableNAm"/>
              <w:spacing w:before="80"/>
            </w:pPr>
            <w:r>
              <w:t>More than 50 000 tonnes per year</w:t>
            </w:r>
          </w:p>
        </w:tc>
        <w:tc>
          <w:tcPr>
            <w:tcW w:w="929" w:type="dxa"/>
          </w:tcPr>
          <w:p>
            <w:pPr>
              <w:pStyle w:val="yTableNAm"/>
              <w:spacing w:before="80"/>
              <w:jc w:val="right"/>
            </w:pPr>
            <w:r>
              <w:t>300</w:t>
            </w:r>
          </w:p>
        </w:tc>
      </w:tr>
      <w:tr>
        <w:trPr>
          <w:cantSplit/>
        </w:trPr>
        <w:tc>
          <w:tcPr>
            <w:tcW w:w="2666" w:type="dxa"/>
          </w:tcPr>
          <w:p>
            <w:pPr>
              <w:pStyle w:val="yTableNAm"/>
              <w:spacing w:before="80"/>
            </w:pPr>
            <w:r>
              <w:t>Categories 40, 42 and 43</w:t>
            </w:r>
          </w:p>
        </w:tc>
        <w:tc>
          <w:tcPr>
            <w:tcW w:w="3513" w:type="dxa"/>
            <w:gridSpan w:val="2"/>
          </w:tcPr>
          <w:p>
            <w:pPr>
              <w:pStyle w:val="yTableNAm"/>
              <w:spacing w:before="80"/>
            </w:pPr>
            <w:r>
              <w:t>Not more than 10 000 tonnes per year</w:t>
            </w:r>
          </w:p>
        </w:tc>
        <w:tc>
          <w:tcPr>
            <w:tcW w:w="929" w:type="dxa"/>
          </w:tcPr>
          <w:p>
            <w:pPr>
              <w:pStyle w:val="yTableNAm"/>
              <w:spacing w:before="80"/>
              <w:jc w:val="right"/>
            </w:pPr>
            <w:r>
              <w:t>100</w:t>
            </w:r>
          </w:p>
        </w:tc>
      </w:tr>
      <w:tr>
        <w:trPr>
          <w:cantSplit/>
        </w:trPr>
        <w:tc>
          <w:tcPr>
            <w:tcW w:w="2666" w:type="dxa"/>
          </w:tcPr>
          <w:p>
            <w:pPr>
              <w:pStyle w:val="yTableNAm"/>
              <w:spacing w:before="80"/>
            </w:pPr>
          </w:p>
        </w:tc>
        <w:tc>
          <w:tcPr>
            <w:tcW w:w="3513" w:type="dxa"/>
            <w:gridSpan w:val="2"/>
          </w:tcPr>
          <w:p>
            <w:pPr>
              <w:pStyle w:val="yTableNAm"/>
              <w:spacing w:before="80"/>
            </w:pPr>
            <w:r>
              <w:t>More than 10 000 but not more than 100 000 tonnes per year</w:t>
            </w:r>
          </w:p>
        </w:tc>
        <w:tc>
          <w:tcPr>
            <w:tcW w:w="929" w:type="dxa"/>
          </w:tcPr>
          <w:p>
            <w:pPr>
              <w:pStyle w:val="yTableNAm"/>
              <w:spacing w:before="80"/>
              <w:jc w:val="right"/>
            </w:pPr>
            <w:r>
              <w:t>200</w:t>
            </w:r>
          </w:p>
        </w:tc>
      </w:tr>
      <w:tr>
        <w:trPr>
          <w:cantSplit/>
        </w:trPr>
        <w:tc>
          <w:tcPr>
            <w:tcW w:w="2666" w:type="dxa"/>
          </w:tcPr>
          <w:p>
            <w:pPr>
              <w:pStyle w:val="yTableNAm"/>
              <w:spacing w:before="80"/>
            </w:pPr>
          </w:p>
        </w:tc>
        <w:tc>
          <w:tcPr>
            <w:tcW w:w="3513" w:type="dxa"/>
            <w:gridSpan w:val="2"/>
          </w:tcPr>
          <w:p>
            <w:pPr>
              <w:pStyle w:val="yTableNAm"/>
              <w:spacing w:before="80"/>
            </w:pPr>
            <w:r>
              <w:t>More than 100 000 tonnes per year</w:t>
            </w:r>
          </w:p>
        </w:tc>
        <w:tc>
          <w:tcPr>
            <w:tcW w:w="929" w:type="dxa"/>
          </w:tcPr>
          <w:p>
            <w:pPr>
              <w:pStyle w:val="yTableNAm"/>
              <w:spacing w:before="80"/>
              <w:jc w:val="right"/>
            </w:pPr>
            <w:r>
              <w:t>400</w:t>
            </w:r>
          </w:p>
        </w:tc>
      </w:tr>
      <w:tr>
        <w:trPr>
          <w:cantSplit/>
        </w:trPr>
        <w:tc>
          <w:tcPr>
            <w:tcW w:w="2666" w:type="dxa"/>
          </w:tcPr>
          <w:p>
            <w:pPr>
              <w:pStyle w:val="yTableNAm"/>
              <w:spacing w:before="80"/>
            </w:pPr>
            <w:r>
              <w:t>Category 41</w:t>
            </w:r>
          </w:p>
        </w:tc>
        <w:tc>
          <w:tcPr>
            <w:tcW w:w="3513" w:type="dxa"/>
            <w:gridSpan w:val="2"/>
          </w:tcPr>
          <w:p>
            <w:pPr>
              <w:pStyle w:val="yTableNAm"/>
              <w:spacing w:before="80"/>
            </w:pPr>
            <w:r>
              <w:t>Not more than 5 000 tonnes per year</w:t>
            </w:r>
          </w:p>
        </w:tc>
        <w:tc>
          <w:tcPr>
            <w:tcW w:w="929" w:type="dxa"/>
          </w:tcPr>
          <w:p>
            <w:pPr>
              <w:pStyle w:val="yTableNAm"/>
              <w:spacing w:before="80"/>
              <w:jc w:val="right"/>
            </w:pPr>
            <w:r>
              <w:t>150</w:t>
            </w:r>
          </w:p>
        </w:tc>
      </w:tr>
      <w:tr>
        <w:trPr>
          <w:cantSplit/>
        </w:trPr>
        <w:tc>
          <w:tcPr>
            <w:tcW w:w="2666" w:type="dxa"/>
          </w:tcPr>
          <w:p>
            <w:pPr>
              <w:pStyle w:val="yTableNAm"/>
              <w:spacing w:before="80"/>
            </w:pPr>
          </w:p>
        </w:tc>
        <w:tc>
          <w:tcPr>
            <w:tcW w:w="3513" w:type="dxa"/>
            <w:gridSpan w:val="2"/>
          </w:tcPr>
          <w:p>
            <w:pPr>
              <w:pStyle w:val="yTableNAm"/>
              <w:spacing w:before="80"/>
            </w:pPr>
            <w:r>
              <w:t>More than 5 000 but not more than 50 000 tonnes per year</w:t>
            </w:r>
          </w:p>
        </w:tc>
        <w:tc>
          <w:tcPr>
            <w:tcW w:w="929" w:type="dxa"/>
          </w:tcPr>
          <w:p>
            <w:pPr>
              <w:pStyle w:val="yTableNAm"/>
              <w:spacing w:before="80"/>
              <w:jc w:val="right"/>
            </w:pPr>
            <w:r>
              <w:t>300</w:t>
            </w:r>
          </w:p>
        </w:tc>
      </w:tr>
      <w:tr>
        <w:trPr>
          <w:cantSplit/>
        </w:trPr>
        <w:tc>
          <w:tcPr>
            <w:tcW w:w="2666" w:type="dxa"/>
          </w:tcPr>
          <w:p>
            <w:pPr>
              <w:pStyle w:val="yTableNAm"/>
              <w:spacing w:before="80"/>
            </w:pPr>
          </w:p>
        </w:tc>
        <w:tc>
          <w:tcPr>
            <w:tcW w:w="3513" w:type="dxa"/>
            <w:gridSpan w:val="2"/>
          </w:tcPr>
          <w:p>
            <w:pPr>
              <w:pStyle w:val="yTableNAm"/>
              <w:spacing w:before="80"/>
            </w:pPr>
            <w:r>
              <w:t>More than 50 000 but not more than 500 000 tonnes per year</w:t>
            </w:r>
          </w:p>
        </w:tc>
        <w:tc>
          <w:tcPr>
            <w:tcW w:w="929" w:type="dxa"/>
          </w:tcPr>
          <w:p>
            <w:pPr>
              <w:pStyle w:val="yTableNAm"/>
              <w:spacing w:before="80"/>
              <w:jc w:val="right"/>
            </w:pPr>
            <w:r>
              <w:t>750</w:t>
            </w:r>
          </w:p>
        </w:tc>
      </w:tr>
      <w:tr>
        <w:trPr>
          <w:cantSplit/>
        </w:trPr>
        <w:tc>
          <w:tcPr>
            <w:tcW w:w="2666" w:type="dxa"/>
          </w:tcPr>
          <w:p>
            <w:pPr>
              <w:pStyle w:val="yTableNAm"/>
              <w:spacing w:before="80"/>
            </w:pPr>
          </w:p>
        </w:tc>
        <w:tc>
          <w:tcPr>
            <w:tcW w:w="3513" w:type="dxa"/>
            <w:gridSpan w:val="2"/>
          </w:tcPr>
          <w:p>
            <w:pPr>
              <w:pStyle w:val="yTableNAm"/>
              <w:spacing w:before="80"/>
            </w:pPr>
            <w:r>
              <w:t>More than 500 000 tonnes per year</w:t>
            </w:r>
          </w:p>
        </w:tc>
        <w:tc>
          <w:tcPr>
            <w:tcW w:w="929" w:type="dxa"/>
          </w:tcPr>
          <w:p>
            <w:pPr>
              <w:pStyle w:val="yTableNAm"/>
              <w:spacing w:before="80"/>
              <w:jc w:val="right"/>
            </w:pPr>
            <w:r>
              <w:t>1 050</w:t>
            </w:r>
          </w:p>
        </w:tc>
      </w:tr>
      <w:tr>
        <w:trPr>
          <w:cantSplit/>
        </w:trPr>
        <w:tc>
          <w:tcPr>
            <w:tcW w:w="2666" w:type="dxa"/>
          </w:tcPr>
          <w:p>
            <w:pPr>
              <w:pStyle w:val="yTableNAm"/>
              <w:spacing w:before="80"/>
            </w:pPr>
            <w:r>
              <w:t>Category 44</w:t>
            </w:r>
          </w:p>
        </w:tc>
        <w:tc>
          <w:tcPr>
            <w:tcW w:w="3513" w:type="dxa"/>
            <w:gridSpan w:val="2"/>
          </w:tcPr>
          <w:p>
            <w:pPr>
              <w:pStyle w:val="yTableNAm"/>
              <w:spacing w:before="80"/>
            </w:pPr>
            <w:r>
              <w:t>Not more than 10 000 tonnes per year</w:t>
            </w:r>
          </w:p>
        </w:tc>
        <w:tc>
          <w:tcPr>
            <w:tcW w:w="929" w:type="dxa"/>
          </w:tcPr>
          <w:p>
            <w:pPr>
              <w:pStyle w:val="yTableNAm"/>
              <w:spacing w:before="80"/>
              <w:jc w:val="right"/>
            </w:pPr>
            <w:r>
              <w:t>75</w:t>
            </w:r>
          </w:p>
        </w:tc>
      </w:tr>
      <w:tr>
        <w:trPr>
          <w:cantSplit/>
        </w:trPr>
        <w:tc>
          <w:tcPr>
            <w:tcW w:w="2666" w:type="dxa"/>
          </w:tcPr>
          <w:p>
            <w:pPr>
              <w:pStyle w:val="yTableNAm"/>
              <w:spacing w:before="80"/>
            </w:pPr>
          </w:p>
        </w:tc>
        <w:tc>
          <w:tcPr>
            <w:tcW w:w="3513" w:type="dxa"/>
            <w:gridSpan w:val="2"/>
          </w:tcPr>
          <w:p>
            <w:pPr>
              <w:pStyle w:val="yTableNAm"/>
              <w:spacing w:before="80"/>
            </w:pPr>
            <w:r>
              <w:t>More than 10 000 but not more than 50 000 tonnes per year</w:t>
            </w:r>
          </w:p>
        </w:tc>
        <w:tc>
          <w:tcPr>
            <w:tcW w:w="929" w:type="dxa"/>
          </w:tcPr>
          <w:p>
            <w:pPr>
              <w:pStyle w:val="yTableNAm"/>
              <w:spacing w:before="80"/>
              <w:jc w:val="right"/>
            </w:pPr>
            <w:r>
              <w:t>150</w:t>
            </w:r>
          </w:p>
        </w:tc>
      </w:tr>
      <w:tr>
        <w:trPr>
          <w:cantSplit/>
        </w:trPr>
        <w:tc>
          <w:tcPr>
            <w:tcW w:w="2666" w:type="dxa"/>
          </w:tcPr>
          <w:p>
            <w:pPr>
              <w:pStyle w:val="yTableNAm"/>
              <w:spacing w:before="80"/>
            </w:pPr>
          </w:p>
        </w:tc>
        <w:tc>
          <w:tcPr>
            <w:tcW w:w="3513" w:type="dxa"/>
            <w:gridSpan w:val="2"/>
          </w:tcPr>
          <w:p>
            <w:pPr>
              <w:pStyle w:val="yTableNAm"/>
              <w:spacing w:before="80"/>
            </w:pPr>
            <w:r>
              <w:t>More than 50 000 but not more than 500 000 tonnes per year</w:t>
            </w:r>
          </w:p>
        </w:tc>
        <w:tc>
          <w:tcPr>
            <w:tcW w:w="929" w:type="dxa"/>
          </w:tcPr>
          <w:p>
            <w:pPr>
              <w:pStyle w:val="yTableNAm"/>
              <w:spacing w:before="80"/>
              <w:jc w:val="right"/>
            </w:pPr>
            <w:r>
              <w:t>300</w:t>
            </w:r>
          </w:p>
        </w:tc>
      </w:tr>
      <w:tr>
        <w:trPr>
          <w:cantSplit/>
        </w:trPr>
        <w:tc>
          <w:tcPr>
            <w:tcW w:w="2666" w:type="dxa"/>
          </w:tcPr>
          <w:p>
            <w:pPr>
              <w:pStyle w:val="yTableNAm"/>
              <w:spacing w:before="80"/>
            </w:pPr>
          </w:p>
        </w:tc>
        <w:tc>
          <w:tcPr>
            <w:tcW w:w="3513" w:type="dxa"/>
            <w:gridSpan w:val="2"/>
          </w:tcPr>
          <w:p>
            <w:pPr>
              <w:pStyle w:val="yTableNAm"/>
              <w:spacing w:before="80"/>
            </w:pPr>
            <w:r>
              <w:t>More than 500 000 tonnes per year</w:t>
            </w:r>
          </w:p>
        </w:tc>
        <w:tc>
          <w:tcPr>
            <w:tcW w:w="929" w:type="dxa"/>
          </w:tcPr>
          <w:p>
            <w:pPr>
              <w:pStyle w:val="yTableNAm"/>
              <w:spacing w:before="80"/>
              <w:jc w:val="right"/>
            </w:pPr>
            <w:r>
              <w:t>600</w:t>
            </w:r>
          </w:p>
        </w:tc>
      </w:tr>
      <w:tr>
        <w:trPr>
          <w:cantSplit/>
        </w:trPr>
        <w:tc>
          <w:tcPr>
            <w:tcW w:w="2666" w:type="dxa"/>
          </w:tcPr>
          <w:p>
            <w:pPr>
              <w:pStyle w:val="yTableNAm"/>
              <w:spacing w:before="80"/>
            </w:pPr>
            <w:r>
              <w:t>Category 45</w:t>
            </w:r>
          </w:p>
        </w:tc>
        <w:tc>
          <w:tcPr>
            <w:tcW w:w="3513" w:type="dxa"/>
            <w:gridSpan w:val="2"/>
          </w:tcPr>
          <w:p>
            <w:pPr>
              <w:pStyle w:val="yTableNAm"/>
              <w:spacing w:before="80"/>
            </w:pPr>
            <w:r>
              <w:t>Not more than 1 000 tonnes per year</w:t>
            </w:r>
          </w:p>
        </w:tc>
        <w:tc>
          <w:tcPr>
            <w:tcW w:w="929" w:type="dxa"/>
          </w:tcPr>
          <w:p>
            <w:pPr>
              <w:pStyle w:val="yTableNAm"/>
              <w:spacing w:before="80"/>
              <w:jc w:val="right"/>
            </w:pPr>
            <w:r>
              <w:t>50</w:t>
            </w:r>
          </w:p>
        </w:tc>
      </w:tr>
      <w:tr>
        <w:trPr>
          <w:cantSplit/>
        </w:trPr>
        <w:tc>
          <w:tcPr>
            <w:tcW w:w="2666" w:type="dxa"/>
          </w:tcPr>
          <w:p>
            <w:pPr>
              <w:pStyle w:val="yTableNAm"/>
              <w:spacing w:before="80"/>
            </w:pPr>
          </w:p>
        </w:tc>
        <w:tc>
          <w:tcPr>
            <w:tcW w:w="3513" w:type="dxa"/>
            <w:gridSpan w:val="2"/>
          </w:tcPr>
          <w:p>
            <w:pPr>
              <w:pStyle w:val="yTableNAm"/>
              <w:spacing w:before="80"/>
            </w:pPr>
            <w:r>
              <w:t>More than 1 000 but not more than 10 000 tonnes per year</w:t>
            </w:r>
          </w:p>
        </w:tc>
        <w:tc>
          <w:tcPr>
            <w:tcW w:w="929" w:type="dxa"/>
          </w:tcPr>
          <w:p>
            <w:pPr>
              <w:pStyle w:val="yTableNAm"/>
              <w:spacing w:before="80"/>
              <w:jc w:val="right"/>
            </w:pPr>
            <w:r>
              <w:t>100</w:t>
            </w:r>
          </w:p>
        </w:tc>
      </w:tr>
      <w:tr>
        <w:trPr>
          <w:cantSplit/>
        </w:trPr>
        <w:tc>
          <w:tcPr>
            <w:tcW w:w="2666" w:type="dxa"/>
          </w:tcPr>
          <w:p>
            <w:pPr>
              <w:pStyle w:val="yTableNAm"/>
              <w:spacing w:before="80"/>
            </w:pPr>
          </w:p>
        </w:tc>
        <w:tc>
          <w:tcPr>
            <w:tcW w:w="3513" w:type="dxa"/>
            <w:gridSpan w:val="2"/>
          </w:tcPr>
          <w:p>
            <w:pPr>
              <w:pStyle w:val="yTableNAm"/>
              <w:spacing w:before="80"/>
            </w:pPr>
            <w:r>
              <w:t>More than 10 000 but not more than 100 000 tonnes per year</w:t>
            </w:r>
          </w:p>
        </w:tc>
        <w:tc>
          <w:tcPr>
            <w:tcW w:w="929" w:type="dxa"/>
          </w:tcPr>
          <w:p>
            <w:pPr>
              <w:pStyle w:val="yTableNAm"/>
              <w:spacing w:before="80"/>
              <w:jc w:val="right"/>
            </w:pPr>
            <w:r>
              <w:t>200</w:t>
            </w:r>
          </w:p>
        </w:tc>
      </w:tr>
      <w:tr>
        <w:trPr>
          <w:cantSplit/>
        </w:trPr>
        <w:tc>
          <w:tcPr>
            <w:tcW w:w="2666" w:type="dxa"/>
          </w:tcPr>
          <w:p>
            <w:pPr>
              <w:pStyle w:val="yTableNAm"/>
              <w:spacing w:before="80"/>
            </w:pPr>
          </w:p>
        </w:tc>
        <w:tc>
          <w:tcPr>
            <w:tcW w:w="3513" w:type="dxa"/>
            <w:gridSpan w:val="2"/>
          </w:tcPr>
          <w:p>
            <w:pPr>
              <w:pStyle w:val="yTableNAm"/>
              <w:spacing w:before="80"/>
            </w:pPr>
            <w:r>
              <w:t>More than 100 000 tonnes per year</w:t>
            </w:r>
          </w:p>
        </w:tc>
        <w:tc>
          <w:tcPr>
            <w:tcW w:w="929" w:type="dxa"/>
          </w:tcPr>
          <w:p>
            <w:pPr>
              <w:pStyle w:val="yTableNAm"/>
              <w:spacing w:before="80"/>
              <w:jc w:val="right"/>
            </w:pPr>
            <w:r>
              <w:t>400</w:t>
            </w:r>
          </w:p>
        </w:tc>
      </w:tr>
      <w:tr>
        <w:trPr>
          <w:cantSplit/>
        </w:trPr>
        <w:tc>
          <w:tcPr>
            <w:tcW w:w="2666" w:type="dxa"/>
          </w:tcPr>
          <w:p>
            <w:pPr>
              <w:pStyle w:val="yTableNAm"/>
              <w:spacing w:before="80"/>
            </w:pPr>
            <w:r>
              <w:t>Category 46</w:t>
            </w:r>
          </w:p>
        </w:tc>
        <w:tc>
          <w:tcPr>
            <w:tcW w:w="3513" w:type="dxa"/>
            <w:gridSpan w:val="2"/>
          </w:tcPr>
          <w:p>
            <w:pPr>
              <w:pStyle w:val="yTableNAm"/>
              <w:spacing w:before="80"/>
            </w:pPr>
            <w:r>
              <w:t>Not more than 1 000 000 tonnes per year</w:t>
            </w:r>
          </w:p>
          <w:p>
            <w:pPr>
              <w:pStyle w:val="yTableNAm"/>
              <w:spacing w:before="80"/>
            </w:pPr>
            <w:r>
              <w:t>More than 1 000 000 tonnes per year</w:t>
            </w:r>
          </w:p>
        </w:tc>
        <w:tc>
          <w:tcPr>
            <w:tcW w:w="929" w:type="dxa"/>
          </w:tcPr>
          <w:p>
            <w:pPr>
              <w:pStyle w:val="yTableNAm"/>
              <w:spacing w:before="80"/>
              <w:jc w:val="right"/>
            </w:pPr>
            <w:r>
              <w:t>1 250</w:t>
            </w:r>
          </w:p>
          <w:p>
            <w:pPr>
              <w:pStyle w:val="yTableNAm"/>
              <w:spacing w:before="80"/>
              <w:jc w:val="right"/>
            </w:pPr>
          </w:p>
          <w:p>
            <w:pPr>
              <w:pStyle w:val="yTableNAm"/>
              <w:spacing w:before="0"/>
              <w:jc w:val="right"/>
            </w:pPr>
            <w:r>
              <w:t>3 000</w:t>
            </w:r>
          </w:p>
        </w:tc>
      </w:tr>
      <w:tr>
        <w:trPr>
          <w:cantSplit/>
        </w:trPr>
        <w:tc>
          <w:tcPr>
            <w:tcW w:w="2666" w:type="dxa"/>
          </w:tcPr>
          <w:p>
            <w:pPr>
              <w:pStyle w:val="yTableNAm"/>
              <w:spacing w:before="80"/>
            </w:pPr>
            <w:r>
              <w:t>Category 47</w:t>
            </w:r>
          </w:p>
        </w:tc>
        <w:tc>
          <w:tcPr>
            <w:tcW w:w="3513" w:type="dxa"/>
            <w:gridSpan w:val="2"/>
          </w:tcPr>
          <w:p>
            <w:pPr>
              <w:pStyle w:val="yTableNAm"/>
              <w:spacing w:before="80"/>
            </w:pPr>
            <w:r>
              <w:t>Not more than 2 000 tonnes per year</w:t>
            </w:r>
          </w:p>
        </w:tc>
        <w:tc>
          <w:tcPr>
            <w:tcW w:w="929" w:type="dxa"/>
          </w:tcPr>
          <w:p>
            <w:pPr>
              <w:pStyle w:val="yTableNAm"/>
              <w:spacing w:before="80"/>
              <w:jc w:val="right"/>
            </w:pPr>
            <w:r>
              <w:t>20</w:t>
            </w:r>
          </w:p>
        </w:tc>
      </w:tr>
      <w:tr>
        <w:trPr>
          <w:cantSplit/>
        </w:trPr>
        <w:tc>
          <w:tcPr>
            <w:tcW w:w="2666" w:type="dxa"/>
          </w:tcPr>
          <w:p>
            <w:pPr>
              <w:pStyle w:val="yTableNAm"/>
              <w:spacing w:before="80"/>
            </w:pPr>
          </w:p>
        </w:tc>
        <w:tc>
          <w:tcPr>
            <w:tcW w:w="3513" w:type="dxa"/>
            <w:gridSpan w:val="2"/>
          </w:tcPr>
          <w:p>
            <w:pPr>
              <w:pStyle w:val="yTableNAm"/>
              <w:spacing w:before="80"/>
            </w:pPr>
            <w:r>
              <w:t>More than 2 000 but not more than 10 000 tonnes per year</w:t>
            </w:r>
          </w:p>
        </w:tc>
        <w:tc>
          <w:tcPr>
            <w:tcW w:w="929" w:type="dxa"/>
          </w:tcPr>
          <w:p>
            <w:pPr>
              <w:pStyle w:val="yTableNAm"/>
              <w:spacing w:before="80"/>
              <w:jc w:val="right"/>
            </w:pPr>
            <w:r>
              <w:t>50</w:t>
            </w:r>
          </w:p>
        </w:tc>
      </w:tr>
      <w:tr>
        <w:trPr>
          <w:cantSplit/>
        </w:trPr>
        <w:tc>
          <w:tcPr>
            <w:tcW w:w="2666" w:type="dxa"/>
          </w:tcPr>
          <w:p>
            <w:pPr>
              <w:pStyle w:val="yTableNAm"/>
              <w:spacing w:before="80"/>
            </w:pPr>
          </w:p>
        </w:tc>
        <w:tc>
          <w:tcPr>
            <w:tcW w:w="3513" w:type="dxa"/>
            <w:gridSpan w:val="2"/>
          </w:tcPr>
          <w:p>
            <w:pPr>
              <w:pStyle w:val="yTableNAm"/>
              <w:spacing w:before="80"/>
            </w:pPr>
            <w:r>
              <w:t>More than 10 000 tonnes per year</w:t>
            </w:r>
          </w:p>
        </w:tc>
        <w:tc>
          <w:tcPr>
            <w:tcW w:w="929" w:type="dxa"/>
          </w:tcPr>
          <w:p>
            <w:pPr>
              <w:pStyle w:val="yTableNAm"/>
              <w:spacing w:before="80"/>
              <w:jc w:val="right"/>
            </w:pPr>
            <w:r>
              <w:t>100</w:t>
            </w:r>
          </w:p>
        </w:tc>
      </w:tr>
      <w:tr>
        <w:trPr>
          <w:cantSplit/>
        </w:trPr>
        <w:tc>
          <w:tcPr>
            <w:tcW w:w="2666" w:type="dxa"/>
          </w:tcPr>
          <w:p>
            <w:pPr>
              <w:pStyle w:val="yTableNAm"/>
              <w:spacing w:before="80"/>
            </w:pPr>
            <w:r>
              <w:t>Category 48</w:t>
            </w:r>
          </w:p>
        </w:tc>
        <w:tc>
          <w:tcPr>
            <w:tcW w:w="3513" w:type="dxa"/>
            <w:gridSpan w:val="2"/>
          </w:tcPr>
          <w:p>
            <w:pPr>
              <w:pStyle w:val="yTableNAm"/>
              <w:spacing w:before="80"/>
            </w:pPr>
            <w:r>
              <w:t>Not more than 100 tonnes per year</w:t>
            </w:r>
          </w:p>
        </w:tc>
        <w:tc>
          <w:tcPr>
            <w:tcW w:w="929" w:type="dxa"/>
          </w:tcPr>
          <w:p>
            <w:pPr>
              <w:pStyle w:val="yTableNAm"/>
              <w:spacing w:before="80"/>
              <w:jc w:val="right"/>
            </w:pPr>
            <w:r>
              <w:t>25</w:t>
            </w:r>
          </w:p>
        </w:tc>
      </w:tr>
      <w:tr>
        <w:trPr>
          <w:cantSplit/>
        </w:trPr>
        <w:tc>
          <w:tcPr>
            <w:tcW w:w="2666" w:type="dxa"/>
          </w:tcPr>
          <w:p>
            <w:pPr>
              <w:pStyle w:val="yTableNAm"/>
              <w:spacing w:before="80"/>
            </w:pPr>
          </w:p>
        </w:tc>
        <w:tc>
          <w:tcPr>
            <w:tcW w:w="3513" w:type="dxa"/>
            <w:gridSpan w:val="2"/>
          </w:tcPr>
          <w:p>
            <w:pPr>
              <w:pStyle w:val="yTableNAm"/>
              <w:spacing w:before="80"/>
            </w:pPr>
            <w:r>
              <w:t>More than 100 tonnes but not more than 1 000 tonnes per year</w:t>
            </w:r>
          </w:p>
        </w:tc>
        <w:tc>
          <w:tcPr>
            <w:tcW w:w="929" w:type="dxa"/>
          </w:tcPr>
          <w:p>
            <w:pPr>
              <w:pStyle w:val="yTableNAm"/>
              <w:spacing w:before="80"/>
              <w:jc w:val="right"/>
            </w:pPr>
            <w:r>
              <w:t>50</w:t>
            </w:r>
          </w:p>
        </w:tc>
      </w:tr>
      <w:tr>
        <w:trPr>
          <w:cantSplit/>
        </w:trPr>
        <w:tc>
          <w:tcPr>
            <w:tcW w:w="2666" w:type="dxa"/>
          </w:tcPr>
          <w:p>
            <w:pPr>
              <w:pStyle w:val="yTableNAm"/>
              <w:spacing w:before="80"/>
            </w:pPr>
          </w:p>
        </w:tc>
        <w:tc>
          <w:tcPr>
            <w:tcW w:w="3513" w:type="dxa"/>
            <w:gridSpan w:val="2"/>
          </w:tcPr>
          <w:p>
            <w:pPr>
              <w:pStyle w:val="yTableNAm"/>
              <w:spacing w:before="80"/>
            </w:pPr>
            <w:r>
              <w:t>More than 1 000 tonnes but not more than 20 000 tonnes per year</w:t>
            </w:r>
          </w:p>
        </w:tc>
        <w:tc>
          <w:tcPr>
            <w:tcW w:w="929" w:type="dxa"/>
          </w:tcPr>
          <w:p>
            <w:pPr>
              <w:pStyle w:val="yTableNAm"/>
              <w:spacing w:before="80"/>
              <w:jc w:val="right"/>
            </w:pPr>
            <w:r>
              <w:t>100</w:t>
            </w:r>
          </w:p>
        </w:tc>
      </w:tr>
      <w:tr>
        <w:trPr>
          <w:cantSplit/>
        </w:trPr>
        <w:tc>
          <w:tcPr>
            <w:tcW w:w="2666" w:type="dxa"/>
          </w:tcPr>
          <w:p>
            <w:pPr>
              <w:pStyle w:val="yTableNAm"/>
              <w:spacing w:before="80"/>
            </w:pPr>
          </w:p>
        </w:tc>
        <w:tc>
          <w:tcPr>
            <w:tcW w:w="3513" w:type="dxa"/>
            <w:gridSpan w:val="2"/>
          </w:tcPr>
          <w:p>
            <w:pPr>
              <w:pStyle w:val="yTableNAm"/>
              <w:spacing w:before="80"/>
            </w:pPr>
            <w:r>
              <w:t>More than 20 000 tonnes per year</w:t>
            </w:r>
          </w:p>
        </w:tc>
        <w:tc>
          <w:tcPr>
            <w:tcW w:w="929" w:type="dxa"/>
          </w:tcPr>
          <w:p>
            <w:pPr>
              <w:pStyle w:val="yTableNAm"/>
              <w:spacing w:before="80"/>
              <w:jc w:val="right"/>
            </w:pPr>
            <w:r>
              <w:t>200</w:t>
            </w:r>
          </w:p>
        </w:tc>
      </w:tr>
      <w:tr>
        <w:trPr>
          <w:cantSplit/>
        </w:trPr>
        <w:tc>
          <w:tcPr>
            <w:tcW w:w="2666" w:type="dxa"/>
          </w:tcPr>
          <w:p>
            <w:pPr>
              <w:pStyle w:val="yTableNAm"/>
              <w:spacing w:before="80"/>
            </w:pPr>
            <w:r>
              <w:t>Category 48A</w:t>
            </w:r>
          </w:p>
        </w:tc>
        <w:tc>
          <w:tcPr>
            <w:tcW w:w="3513" w:type="dxa"/>
            <w:gridSpan w:val="2"/>
          </w:tcPr>
          <w:p>
            <w:pPr>
              <w:pStyle w:val="yTableNAm"/>
              <w:spacing w:before="80"/>
            </w:pPr>
            <w:r>
              <w:t>Not more than 1 000 tonnes per year</w:t>
            </w:r>
          </w:p>
        </w:tc>
        <w:tc>
          <w:tcPr>
            <w:tcW w:w="929" w:type="dxa"/>
          </w:tcPr>
          <w:p>
            <w:pPr>
              <w:pStyle w:val="yTableNAm"/>
              <w:spacing w:before="80"/>
              <w:jc w:val="right"/>
            </w:pPr>
            <w:r>
              <w:t>50</w:t>
            </w:r>
          </w:p>
        </w:tc>
      </w:tr>
      <w:tr>
        <w:trPr>
          <w:cantSplit/>
        </w:trPr>
        <w:tc>
          <w:tcPr>
            <w:tcW w:w="2666" w:type="dxa"/>
          </w:tcPr>
          <w:p>
            <w:pPr>
              <w:pStyle w:val="yTableNAm"/>
              <w:spacing w:before="80"/>
            </w:pPr>
          </w:p>
        </w:tc>
        <w:tc>
          <w:tcPr>
            <w:tcW w:w="3513" w:type="dxa"/>
            <w:gridSpan w:val="2"/>
          </w:tcPr>
          <w:p>
            <w:pPr>
              <w:pStyle w:val="yTableNAm"/>
              <w:spacing w:before="80"/>
            </w:pPr>
            <w:r>
              <w:t>More than 1 000 tonnes but not more than 10 000 tonnes per year</w:t>
            </w:r>
          </w:p>
        </w:tc>
        <w:tc>
          <w:tcPr>
            <w:tcW w:w="929" w:type="dxa"/>
          </w:tcPr>
          <w:p>
            <w:pPr>
              <w:pStyle w:val="yTableNAm"/>
              <w:spacing w:before="80"/>
              <w:jc w:val="right"/>
            </w:pPr>
            <w:r>
              <w:t>100</w:t>
            </w:r>
          </w:p>
        </w:tc>
      </w:tr>
      <w:tr>
        <w:trPr>
          <w:cantSplit/>
        </w:trPr>
        <w:tc>
          <w:tcPr>
            <w:tcW w:w="2666" w:type="dxa"/>
          </w:tcPr>
          <w:p>
            <w:pPr>
              <w:pStyle w:val="yTableNAm"/>
              <w:spacing w:before="80"/>
            </w:pPr>
          </w:p>
        </w:tc>
        <w:tc>
          <w:tcPr>
            <w:tcW w:w="3513" w:type="dxa"/>
            <w:gridSpan w:val="2"/>
          </w:tcPr>
          <w:p>
            <w:pPr>
              <w:pStyle w:val="yTableNAm"/>
              <w:spacing w:before="80"/>
            </w:pPr>
            <w:r>
              <w:t>More than 10 000 tonnes per year</w:t>
            </w:r>
          </w:p>
        </w:tc>
        <w:tc>
          <w:tcPr>
            <w:tcW w:w="929" w:type="dxa"/>
          </w:tcPr>
          <w:p>
            <w:pPr>
              <w:pStyle w:val="yTableNAm"/>
              <w:spacing w:before="80"/>
              <w:jc w:val="right"/>
            </w:pPr>
            <w:r>
              <w:t>200</w:t>
            </w:r>
          </w:p>
        </w:tc>
      </w:tr>
      <w:tr>
        <w:trPr>
          <w:cantSplit/>
        </w:trPr>
        <w:tc>
          <w:tcPr>
            <w:tcW w:w="2666" w:type="dxa"/>
          </w:tcPr>
          <w:p>
            <w:pPr>
              <w:pStyle w:val="yTableNAm"/>
              <w:spacing w:before="80"/>
            </w:pPr>
            <w:r>
              <w:t>Category 49</w:t>
            </w:r>
          </w:p>
        </w:tc>
        <w:tc>
          <w:tcPr>
            <w:tcW w:w="3513" w:type="dxa"/>
            <w:gridSpan w:val="2"/>
          </w:tcPr>
          <w:p>
            <w:pPr>
              <w:pStyle w:val="yTableNAm"/>
              <w:spacing w:before="80"/>
            </w:pPr>
            <w:r>
              <w:t>Not applicable</w:t>
            </w:r>
          </w:p>
        </w:tc>
        <w:tc>
          <w:tcPr>
            <w:tcW w:w="929" w:type="dxa"/>
          </w:tcPr>
          <w:p>
            <w:pPr>
              <w:pStyle w:val="yTableNAm"/>
              <w:spacing w:before="80"/>
              <w:jc w:val="right"/>
            </w:pPr>
            <w:r>
              <w:t>50</w:t>
            </w:r>
          </w:p>
        </w:tc>
      </w:tr>
      <w:tr>
        <w:trPr>
          <w:cantSplit/>
        </w:trPr>
        <w:tc>
          <w:tcPr>
            <w:tcW w:w="2666" w:type="dxa"/>
          </w:tcPr>
          <w:p>
            <w:pPr>
              <w:pStyle w:val="yTableNAm"/>
              <w:spacing w:before="80"/>
            </w:pPr>
            <w:r>
              <w:t>Categories 50 and 51</w:t>
            </w:r>
          </w:p>
        </w:tc>
        <w:tc>
          <w:tcPr>
            <w:tcW w:w="3513" w:type="dxa"/>
            <w:gridSpan w:val="2"/>
          </w:tcPr>
          <w:p>
            <w:pPr>
              <w:pStyle w:val="yTableNAm"/>
              <w:spacing w:before="80"/>
            </w:pPr>
            <w:r>
              <w:t>Not applicable</w:t>
            </w:r>
          </w:p>
        </w:tc>
        <w:tc>
          <w:tcPr>
            <w:tcW w:w="929" w:type="dxa"/>
          </w:tcPr>
          <w:p>
            <w:pPr>
              <w:pStyle w:val="yTableNAm"/>
              <w:spacing w:before="80"/>
              <w:jc w:val="right"/>
            </w:pPr>
            <w:r>
              <w:t>50</w:t>
            </w:r>
          </w:p>
        </w:tc>
      </w:tr>
      <w:tr>
        <w:trPr>
          <w:cantSplit/>
        </w:trPr>
        <w:tc>
          <w:tcPr>
            <w:tcW w:w="2666" w:type="dxa"/>
          </w:tcPr>
          <w:p>
            <w:pPr>
              <w:pStyle w:val="yTableNAm"/>
              <w:keepNext/>
              <w:spacing w:before="80"/>
            </w:pPr>
            <w:r>
              <w:t>Category 52</w:t>
            </w:r>
          </w:p>
        </w:tc>
        <w:tc>
          <w:tcPr>
            <w:tcW w:w="3513" w:type="dxa"/>
            <w:gridSpan w:val="2"/>
          </w:tcPr>
          <w:p>
            <w:pPr>
              <w:pStyle w:val="yTableNAm"/>
              <w:keepNext/>
              <w:spacing w:before="80"/>
            </w:pPr>
            <w:r>
              <w:t>Not more than 20 MW</w:t>
            </w:r>
          </w:p>
        </w:tc>
        <w:tc>
          <w:tcPr>
            <w:tcW w:w="929" w:type="dxa"/>
          </w:tcPr>
          <w:p>
            <w:pPr>
              <w:pStyle w:val="yTableNAm"/>
              <w:keepNext/>
              <w:spacing w:before="80"/>
              <w:jc w:val="right"/>
            </w:pPr>
            <w:r>
              <w:t>50</w:t>
            </w:r>
          </w:p>
        </w:tc>
      </w:tr>
      <w:tr>
        <w:trPr>
          <w:cantSplit/>
        </w:trPr>
        <w:tc>
          <w:tcPr>
            <w:tcW w:w="2666" w:type="dxa"/>
          </w:tcPr>
          <w:p>
            <w:pPr>
              <w:pStyle w:val="yTableNAm"/>
              <w:spacing w:before="80"/>
            </w:pPr>
          </w:p>
        </w:tc>
        <w:tc>
          <w:tcPr>
            <w:tcW w:w="3513" w:type="dxa"/>
            <w:gridSpan w:val="2"/>
          </w:tcPr>
          <w:p>
            <w:pPr>
              <w:pStyle w:val="yTableNAm"/>
              <w:spacing w:before="80"/>
            </w:pPr>
            <w:r>
              <w:t>More than 20 but not more than 100 MW</w:t>
            </w:r>
          </w:p>
        </w:tc>
        <w:tc>
          <w:tcPr>
            <w:tcW w:w="929" w:type="dxa"/>
          </w:tcPr>
          <w:p>
            <w:pPr>
              <w:pStyle w:val="yTableNAm"/>
              <w:spacing w:before="80"/>
              <w:jc w:val="right"/>
            </w:pPr>
            <w:r>
              <w:t>100</w:t>
            </w:r>
          </w:p>
        </w:tc>
      </w:tr>
      <w:tr>
        <w:trPr>
          <w:cantSplit/>
        </w:trPr>
        <w:tc>
          <w:tcPr>
            <w:tcW w:w="2666" w:type="dxa"/>
          </w:tcPr>
          <w:p>
            <w:pPr>
              <w:pStyle w:val="yTableNAm"/>
              <w:spacing w:before="80"/>
            </w:pPr>
          </w:p>
        </w:tc>
        <w:tc>
          <w:tcPr>
            <w:tcW w:w="3513" w:type="dxa"/>
            <w:gridSpan w:val="2"/>
          </w:tcPr>
          <w:p>
            <w:pPr>
              <w:pStyle w:val="yTableNAm"/>
              <w:spacing w:before="80"/>
            </w:pPr>
            <w:r>
              <w:t>More than 100 but not more than 200 MW</w:t>
            </w:r>
          </w:p>
        </w:tc>
        <w:tc>
          <w:tcPr>
            <w:tcW w:w="929" w:type="dxa"/>
          </w:tcPr>
          <w:p>
            <w:pPr>
              <w:pStyle w:val="yTableNAm"/>
              <w:spacing w:before="80"/>
              <w:jc w:val="right"/>
            </w:pPr>
            <w:r>
              <w:t>200</w:t>
            </w:r>
          </w:p>
        </w:tc>
      </w:tr>
      <w:tr>
        <w:trPr>
          <w:cantSplit/>
        </w:trPr>
        <w:tc>
          <w:tcPr>
            <w:tcW w:w="2666" w:type="dxa"/>
          </w:tcPr>
          <w:p>
            <w:pPr>
              <w:pStyle w:val="yTableNAm"/>
              <w:spacing w:before="80"/>
            </w:pPr>
          </w:p>
        </w:tc>
        <w:tc>
          <w:tcPr>
            <w:tcW w:w="3513" w:type="dxa"/>
            <w:gridSpan w:val="2"/>
          </w:tcPr>
          <w:p>
            <w:pPr>
              <w:pStyle w:val="yTableNAm"/>
              <w:spacing w:before="80"/>
            </w:pPr>
            <w:r>
              <w:t>More than 200 MW</w:t>
            </w:r>
          </w:p>
        </w:tc>
        <w:tc>
          <w:tcPr>
            <w:tcW w:w="929" w:type="dxa"/>
          </w:tcPr>
          <w:p>
            <w:pPr>
              <w:pStyle w:val="yTableNAm"/>
              <w:spacing w:before="80"/>
              <w:jc w:val="right"/>
            </w:pPr>
            <w:r>
              <w:t>500</w:t>
            </w:r>
          </w:p>
        </w:tc>
      </w:tr>
      <w:tr>
        <w:trPr>
          <w:cantSplit/>
        </w:trPr>
        <w:tc>
          <w:tcPr>
            <w:tcW w:w="2666" w:type="dxa"/>
          </w:tcPr>
          <w:p>
            <w:pPr>
              <w:pStyle w:val="yTableNAm"/>
              <w:spacing w:before="80"/>
            </w:pPr>
            <w:r>
              <w:t>Category 54</w:t>
            </w:r>
          </w:p>
        </w:tc>
        <w:tc>
          <w:tcPr>
            <w:tcW w:w="3513" w:type="dxa"/>
            <w:gridSpan w:val="2"/>
          </w:tcPr>
          <w:p>
            <w:pPr>
              <w:pStyle w:val="yTableNAm"/>
              <w:spacing w:before="80"/>
            </w:pPr>
            <w:r>
              <w:t>Not more than 200 m</w:t>
            </w:r>
            <w:r>
              <w:rPr>
                <w:vertAlign w:val="superscript"/>
              </w:rPr>
              <w:t>3</w:t>
            </w:r>
            <w:r>
              <w:t xml:space="preserve"> per day</w:t>
            </w:r>
          </w:p>
        </w:tc>
        <w:tc>
          <w:tcPr>
            <w:tcW w:w="929" w:type="dxa"/>
          </w:tcPr>
          <w:p>
            <w:pPr>
              <w:pStyle w:val="yTableNAm"/>
              <w:spacing w:before="80"/>
              <w:jc w:val="right"/>
            </w:pPr>
            <w:r>
              <w:t>20</w:t>
            </w:r>
          </w:p>
        </w:tc>
      </w:tr>
      <w:tr>
        <w:trPr>
          <w:cantSplit/>
        </w:trPr>
        <w:tc>
          <w:tcPr>
            <w:tcW w:w="2666" w:type="dxa"/>
          </w:tcPr>
          <w:p>
            <w:pPr>
              <w:pStyle w:val="yTableNAm"/>
              <w:spacing w:before="80"/>
            </w:pPr>
          </w:p>
        </w:tc>
        <w:tc>
          <w:tcPr>
            <w:tcW w:w="3513" w:type="dxa"/>
            <w:gridSpan w:val="2"/>
          </w:tcPr>
          <w:p>
            <w:pPr>
              <w:pStyle w:val="yTableNAm"/>
              <w:spacing w:before="80"/>
            </w:pPr>
            <w:r>
              <w:t>More than 200 but not more than 2 000 m</w:t>
            </w:r>
            <w:r>
              <w:rPr>
                <w:vertAlign w:val="superscript"/>
              </w:rPr>
              <w:t>3</w:t>
            </w:r>
            <w:r>
              <w:t xml:space="preserve"> per day</w:t>
            </w:r>
          </w:p>
        </w:tc>
        <w:tc>
          <w:tcPr>
            <w:tcW w:w="929" w:type="dxa"/>
          </w:tcPr>
          <w:p>
            <w:pPr>
              <w:pStyle w:val="yTableNAm"/>
              <w:spacing w:before="80"/>
              <w:jc w:val="right"/>
            </w:pPr>
            <w:r>
              <w:t>50</w:t>
            </w:r>
          </w:p>
        </w:tc>
      </w:tr>
      <w:tr>
        <w:trPr>
          <w:cantSplit/>
        </w:trPr>
        <w:tc>
          <w:tcPr>
            <w:tcW w:w="2666" w:type="dxa"/>
          </w:tcPr>
          <w:p>
            <w:pPr>
              <w:pStyle w:val="yTableNAm"/>
              <w:spacing w:before="80"/>
            </w:pPr>
          </w:p>
        </w:tc>
        <w:tc>
          <w:tcPr>
            <w:tcW w:w="3513" w:type="dxa"/>
            <w:gridSpan w:val="2"/>
          </w:tcPr>
          <w:p>
            <w:pPr>
              <w:pStyle w:val="yTableNAm"/>
              <w:spacing w:before="80"/>
            </w:pPr>
            <w:r>
              <w:t>More than 2 000 m</w:t>
            </w:r>
            <w:r>
              <w:rPr>
                <w:vertAlign w:val="superscript"/>
              </w:rPr>
              <w:t>3</w:t>
            </w:r>
            <w:r>
              <w:t xml:space="preserve"> per day</w:t>
            </w:r>
          </w:p>
        </w:tc>
        <w:tc>
          <w:tcPr>
            <w:tcW w:w="929" w:type="dxa"/>
          </w:tcPr>
          <w:p>
            <w:pPr>
              <w:pStyle w:val="yTableNAm"/>
              <w:spacing w:before="80"/>
              <w:jc w:val="right"/>
            </w:pPr>
            <w:r>
              <w:t>100</w:t>
            </w:r>
          </w:p>
        </w:tc>
      </w:tr>
      <w:tr>
        <w:trPr>
          <w:cantSplit/>
        </w:trPr>
        <w:tc>
          <w:tcPr>
            <w:tcW w:w="2666" w:type="dxa"/>
          </w:tcPr>
          <w:p>
            <w:pPr>
              <w:pStyle w:val="yTableNAm"/>
              <w:keepNext/>
              <w:keepLines/>
              <w:spacing w:before="80"/>
            </w:pPr>
            <w:r>
              <w:t>Category 54A</w:t>
            </w:r>
          </w:p>
        </w:tc>
        <w:tc>
          <w:tcPr>
            <w:tcW w:w="3513" w:type="dxa"/>
            <w:gridSpan w:val="2"/>
          </w:tcPr>
          <w:p>
            <w:pPr>
              <w:pStyle w:val="yTableNAm"/>
              <w:keepNext/>
              <w:keepLines/>
              <w:spacing w:before="80"/>
            </w:pPr>
            <w:r>
              <w:t>Not more than 20 GL per year</w:t>
            </w:r>
          </w:p>
        </w:tc>
        <w:tc>
          <w:tcPr>
            <w:tcW w:w="929" w:type="dxa"/>
          </w:tcPr>
          <w:p>
            <w:pPr>
              <w:pStyle w:val="yTableNAm"/>
              <w:keepNext/>
              <w:keepLines/>
              <w:spacing w:before="80"/>
              <w:jc w:val="right"/>
            </w:pPr>
            <w:r>
              <w:t>20</w:t>
            </w:r>
          </w:p>
        </w:tc>
      </w:tr>
      <w:tr>
        <w:trPr>
          <w:cantSplit/>
        </w:trPr>
        <w:tc>
          <w:tcPr>
            <w:tcW w:w="2666" w:type="dxa"/>
          </w:tcPr>
          <w:p>
            <w:pPr>
              <w:pStyle w:val="yTableNAm"/>
              <w:spacing w:before="80"/>
            </w:pPr>
          </w:p>
        </w:tc>
        <w:tc>
          <w:tcPr>
            <w:tcW w:w="3513" w:type="dxa"/>
            <w:gridSpan w:val="2"/>
          </w:tcPr>
          <w:p>
            <w:pPr>
              <w:pStyle w:val="yTableNAm"/>
              <w:spacing w:before="80"/>
            </w:pPr>
            <w:r>
              <w:t>More than 20 but not more than 40 GL per year</w:t>
            </w:r>
          </w:p>
        </w:tc>
        <w:tc>
          <w:tcPr>
            <w:tcW w:w="929" w:type="dxa"/>
          </w:tcPr>
          <w:p>
            <w:pPr>
              <w:pStyle w:val="yTableNAm"/>
              <w:spacing w:before="80"/>
              <w:jc w:val="right"/>
            </w:pPr>
            <w:r>
              <w:t>50</w:t>
            </w:r>
          </w:p>
        </w:tc>
      </w:tr>
      <w:tr>
        <w:trPr>
          <w:cantSplit/>
        </w:trPr>
        <w:tc>
          <w:tcPr>
            <w:tcW w:w="2666" w:type="dxa"/>
          </w:tcPr>
          <w:p>
            <w:pPr>
              <w:pStyle w:val="yTableNAm"/>
              <w:spacing w:before="80"/>
            </w:pPr>
          </w:p>
        </w:tc>
        <w:tc>
          <w:tcPr>
            <w:tcW w:w="3513" w:type="dxa"/>
            <w:gridSpan w:val="2"/>
          </w:tcPr>
          <w:p>
            <w:pPr>
              <w:pStyle w:val="yTableNAm"/>
              <w:spacing w:before="80"/>
            </w:pPr>
            <w:r>
              <w:t>More than 40 GL per year</w:t>
            </w:r>
          </w:p>
        </w:tc>
        <w:tc>
          <w:tcPr>
            <w:tcW w:w="929" w:type="dxa"/>
          </w:tcPr>
          <w:p>
            <w:pPr>
              <w:pStyle w:val="yTableNAm"/>
              <w:spacing w:before="80"/>
              <w:jc w:val="right"/>
            </w:pPr>
            <w:r>
              <w:t>100</w:t>
            </w:r>
          </w:p>
        </w:tc>
      </w:tr>
      <w:tr>
        <w:trPr>
          <w:cantSplit/>
        </w:trPr>
        <w:tc>
          <w:tcPr>
            <w:tcW w:w="2666" w:type="dxa"/>
          </w:tcPr>
          <w:p>
            <w:pPr>
              <w:pStyle w:val="yTableNAm"/>
              <w:spacing w:before="80"/>
            </w:pPr>
            <w:r>
              <w:t>Category 55</w:t>
            </w:r>
          </w:p>
        </w:tc>
        <w:tc>
          <w:tcPr>
            <w:tcW w:w="3513" w:type="dxa"/>
            <w:gridSpan w:val="2"/>
          </w:tcPr>
          <w:p>
            <w:pPr>
              <w:pStyle w:val="yTableNAm"/>
              <w:spacing w:before="80"/>
            </w:pPr>
            <w:r>
              <w:t>Not more than 50 000 animals per year</w:t>
            </w:r>
          </w:p>
        </w:tc>
        <w:tc>
          <w:tcPr>
            <w:tcW w:w="929" w:type="dxa"/>
          </w:tcPr>
          <w:p>
            <w:pPr>
              <w:pStyle w:val="yTableNAm"/>
              <w:spacing w:before="80"/>
              <w:jc w:val="right"/>
            </w:pPr>
            <w:r>
              <w:t>20</w:t>
            </w:r>
          </w:p>
        </w:tc>
      </w:tr>
      <w:tr>
        <w:trPr>
          <w:cantSplit/>
        </w:trPr>
        <w:tc>
          <w:tcPr>
            <w:tcW w:w="2666" w:type="dxa"/>
          </w:tcPr>
          <w:p>
            <w:pPr>
              <w:pStyle w:val="yTableNAm"/>
              <w:spacing w:before="80"/>
            </w:pPr>
          </w:p>
        </w:tc>
        <w:tc>
          <w:tcPr>
            <w:tcW w:w="3513" w:type="dxa"/>
            <w:gridSpan w:val="2"/>
          </w:tcPr>
          <w:p>
            <w:pPr>
              <w:pStyle w:val="yTableNAm"/>
              <w:spacing w:before="80"/>
            </w:pPr>
            <w:r>
              <w:t>More than 50 000 animals per year</w:t>
            </w:r>
          </w:p>
        </w:tc>
        <w:tc>
          <w:tcPr>
            <w:tcW w:w="929" w:type="dxa"/>
          </w:tcPr>
          <w:p>
            <w:pPr>
              <w:pStyle w:val="yTableNAm"/>
              <w:spacing w:before="80"/>
              <w:jc w:val="right"/>
            </w:pPr>
            <w:r>
              <w:t>50</w:t>
            </w:r>
          </w:p>
        </w:tc>
      </w:tr>
      <w:tr>
        <w:trPr>
          <w:cantSplit/>
        </w:trPr>
        <w:tc>
          <w:tcPr>
            <w:tcW w:w="2666" w:type="dxa"/>
          </w:tcPr>
          <w:p>
            <w:pPr>
              <w:pStyle w:val="yTableNAm"/>
              <w:spacing w:before="80"/>
            </w:pPr>
            <w:r>
              <w:t>Categories 56 and 57</w:t>
            </w:r>
          </w:p>
        </w:tc>
        <w:tc>
          <w:tcPr>
            <w:tcW w:w="3513" w:type="dxa"/>
            <w:gridSpan w:val="2"/>
          </w:tcPr>
          <w:p>
            <w:pPr>
              <w:pStyle w:val="yTableNAm"/>
              <w:spacing w:before="80"/>
            </w:pPr>
            <w:r>
              <w:t>Not applicable</w:t>
            </w:r>
          </w:p>
        </w:tc>
        <w:tc>
          <w:tcPr>
            <w:tcW w:w="929" w:type="dxa"/>
          </w:tcPr>
          <w:p>
            <w:pPr>
              <w:pStyle w:val="yTableNAm"/>
              <w:spacing w:before="80"/>
              <w:jc w:val="right"/>
            </w:pPr>
            <w:r>
              <w:t>20</w:t>
            </w:r>
          </w:p>
        </w:tc>
      </w:tr>
      <w:tr>
        <w:trPr>
          <w:cantSplit/>
        </w:trPr>
        <w:tc>
          <w:tcPr>
            <w:tcW w:w="2666" w:type="dxa"/>
          </w:tcPr>
          <w:p>
            <w:pPr>
              <w:pStyle w:val="yTableNAm"/>
              <w:spacing w:before="80"/>
            </w:pPr>
            <w:r>
              <w:t>Category 58</w:t>
            </w:r>
          </w:p>
        </w:tc>
        <w:tc>
          <w:tcPr>
            <w:tcW w:w="3513" w:type="dxa"/>
            <w:gridSpan w:val="2"/>
          </w:tcPr>
          <w:p>
            <w:pPr>
              <w:pStyle w:val="yTableNAm"/>
              <w:spacing w:before="80"/>
            </w:pPr>
            <w:r>
              <w:t>Not more than 5 000 tonnes per day</w:t>
            </w:r>
          </w:p>
        </w:tc>
        <w:tc>
          <w:tcPr>
            <w:tcW w:w="929" w:type="dxa"/>
          </w:tcPr>
          <w:p>
            <w:pPr>
              <w:pStyle w:val="yTableNAm"/>
              <w:spacing w:before="80"/>
              <w:jc w:val="right"/>
            </w:pPr>
            <w:r>
              <w:t>500</w:t>
            </w:r>
          </w:p>
        </w:tc>
      </w:tr>
      <w:tr>
        <w:trPr>
          <w:cantSplit/>
        </w:trPr>
        <w:tc>
          <w:tcPr>
            <w:tcW w:w="2666" w:type="dxa"/>
          </w:tcPr>
          <w:p>
            <w:pPr>
              <w:pStyle w:val="yTableNAm"/>
              <w:spacing w:before="80"/>
            </w:pPr>
          </w:p>
        </w:tc>
        <w:tc>
          <w:tcPr>
            <w:tcW w:w="3513" w:type="dxa"/>
            <w:gridSpan w:val="2"/>
          </w:tcPr>
          <w:p>
            <w:pPr>
              <w:pStyle w:val="yTableNAm"/>
              <w:spacing w:before="80"/>
            </w:pPr>
            <w:r>
              <w:t>More than 5 000 but not more than 10 000 tonnes per day</w:t>
            </w:r>
          </w:p>
        </w:tc>
        <w:tc>
          <w:tcPr>
            <w:tcW w:w="929" w:type="dxa"/>
          </w:tcPr>
          <w:p>
            <w:pPr>
              <w:pStyle w:val="yTableNAm"/>
              <w:spacing w:before="80"/>
              <w:jc w:val="right"/>
            </w:pPr>
            <w:r>
              <w:t>625</w:t>
            </w:r>
          </w:p>
        </w:tc>
      </w:tr>
      <w:tr>
        <w:trPr>
          <w:cantSplit/>
        </w:trPr>
        <w:tc>
          <w:tcPr>
            <w:tcW w:w="2666" w:type="dxa"/>
          </w:tcPr>
          <w:p>
            <w:pPr>
              <w:pStyle w:val="yTableNAm"/>
              <w:spacing w:before="80"/>
            </w:pPr>
          </w:p>
        </w:tc>
        <w:tc>
          <w:tcPr>
            <w:tcW w:w="3513" w:type="dxa"/>
            <w:gridSpan w:val="2"/>
          </w:tcPr>
          <w:p>
            <w:pPr>
              <w:pStyle w:val="yTableNAm"/>
              <w:spacing w:before="80"/>
            </w:pPr>
            <w:r>
              <w:t>More than 10 000 but not more than 50 000 tonnes per day</w:t>
            </w:r>
          </w:p>
        </w:tc>
        <w:tc>
          <w:tcPr>
            <w:tcW w:w="929" w:type="dxa"/>
          </w:tcPr>
          <w:p>
            <w:pPr>
              <w:pStyle w:val="yTableNAm"/>
              <w:spacing w:before="80"/>
              <w:jc w:val="right"/>
            </w:pPr>
            <w:r>
              <w:t>750</w:t>
            </w:r>
          </w:p>
        </w:tc>
      </w:tr>
      <w:tr>
        <w:trPr>
          <w:cantSplit/>
        </w:trPr>
        <w:tc>
          <w:tcPr>
            <w:tcW w:w="2666" w:type="dxa"/>
          </w:tcPr>
          <w:p>
            <w:pPr>
              <w:pStyle w:val="yTableNAm"/>
              <w:spacing w:before="80"/>
            </w:pPr>
          </w:p>
        </w:tc>
        <w:tc>
          <w:tcPr>
            <w:tcW w:w="3513" w:type="dxa"/>
            <w:gridSpan w:val="2"/>
          </w:tcPr>
          <w:p>
            <w:pPr>
              <w:pStyle w:val="yTableNAm"/>
              <w:spacing w:before="80"/>
              <w:rPr>
                <w:spacing w:val="-4"/>
              </w:rPr>
            </w:pPr>
            <w:r>
              <w:rPr>
                <w:spacing w:val="-4"/>
              </w:rPr>
              <w:t>More than 50 000 tonnes per day</w:t>
            </w:r>
          </w:p>
        </w:tc>
        <w:tc>
          <w:tcPr>
            <w:tcW w:w="929" w:type="dxa"/>
          </w:tcPr>
          <w:p>
            <w:pPr>
              <w:pStyle w:val="yTableNAm"/>
              <w:spacing w:before="80"/>
              <w:jc w:val="right"/>
            </w:pPr>
            <w:r>
              <w:t>1 400</w:t>
            </w:r>
          </w:p>
        </w:tc>
      </w:tr>
      <w:tr>
        <w:trPr>
          <w:cantSplit/>
        </w:trPr>
        <w:tc>
          <w:tcPr>
            <w:tcW w:w="2666" w:type="dxa"/>
          </w:tcPr>
          <w:p>
            <w:pPr>
              <w:pStyle w:val="yTableNAm"/>
              <w:spacing w:before="80"/>
            </w:pPr>
            <w:r>
              <w:t>Category 58A</w:t>
            </w:r>
          </w:p>
        </w:tc>
        <w:tc>
          <w:tcPr>
            <w:tcW w:w="3513" w:type="dxa"/>
            <w:gridSpan w:val="2"/>
          </w:tcPr>
          <w:p>
            <w:pPr>
              <w:pStyle w:val="yTableNAm"/>
              <w:spacing w:before="80"/>
              <w:rPr>
                <w:spacing w:val="-4"/>
              </w:rPr>
            </w:pPr>
            <w:r>
              <w:rPr>
                <w:spacing w:val="-4"/>
              </w:rPr>
              <w:t>Not applicable</w:t>
            </w:r>
          </w:p>
        </w:tc>
        <w:tc>
          <w:tcPr>
            <w:tcW w:w="929" w:type="dxa"/>
          </w:tcPr>
          <w:p>
            <w:pPr>
              <w:pStyle w:val="yTableNAm"/>
              <w:spacing w:before="80"/>
              <w:jc w:val="right"/>
            </w:pPr>
            <w:r>
              <w:t>500</w:t>
            </w:r>
          </w:p>
        </w:tc>
      </w:tr>
      <w:tr>
        <w:trPr>
          <w:cantSplit/>
        </w:trPr>
        <w:tc>
          <w:tcPr>
            <w:tcW w:w="2666" w:type="dxa"/>
          </w:tcPr>
          <w:p>
            <w:pPr>
              <w:pStyle w:val="yTableNAm"/>
              <w:spacing w:before="80"/>
            </w:pPr>
            <w:r>
              <w:t>Category 59</w:t>
            </w:r>
          </w:p>
        </w:tc>
        <w:tc>
          <w:tcPr>
            <w:tcW w:w="3513" w:type="dxa"/>
            <w:gridSpan w:val="2"/>
          </w:tcPr>
          <w:p>
            <w:pPr>
              <w:pStyle w:val="yTableNAm"/>
              <w:spacing w:before="80"/>
            </w:pPr>
            <w:r>
              <w:t>Not more than 100 kg per hour</w:t>
            </w:r>
          </w:p>
        </w:tc>
        <w:tc>
          <w:tcPr>
            <w:tcW w:w="929" w:type="dxa"/>
          </w:tcPr>
          <w:p>
            <w:pPr>
              <w:pStyle w:val="yTableNAm"/>
              <w:spacing w:before="80"/>
              <w:jc w:val="right"/>
            </w:pPr>
            <w:r>
              <w:t>50</w:t>
            </w:r>
          </w:p>
        </w:tc>
      </w:tr>
      <w:tr>
        <w:trPr>
          <w:cantSplit/>
        </w:trPr>
        <w:tc>
          <w:tcPr>
            <w:tcW w:w="2666" w:type="dxa"/>
          </w:tcPr>
          <w:p>
            <w:pPr>
              <w:pStyle w:val="yTableNAm"/>
              <w:spacing w:before="80"/>
            </w:pPr>
          </w:p>
        </w:tc>
        <w:tc>
          <w:tcPr>
            <w:tcW w:w="3513" w:type="dxa"/>
            <w:gridSpan w:val="2"/>
          </w:tcPr>
          <w:p>
            <w:pPr>
              <w:pStyle w:val="yTableNAm"/>
              <w:spacing w:before="80"/>
            </w:pPr>
            <w:r>
              <w:t>More than 100 kg per hour</w:t>
            </w:r>
          </w:p>
        </w:tc>
        <w:tc>
          <w:tcPr>
            <w:tcW w:w="929" w:type="dxa"/>
          </w:tcPr>
          <w:p>
            <w:pPr>
              <w:pStyle w:val="yTableNAm"/>
              <w:spacing w:before="80"/>
              <w:jc w:val="right"/>
            </w:pPr>
            <w:r>
              <w:t>100</w:t>
            </w:r>
          </w:p>
        </w:tc>
      </w:tr>
      <w:tr>
        <w:trPr>
          <w:cantSplit/>
        </w:trPr>
        <w:tc>
          <w:tcPr>
            <w:tcW w:w="2666" w:type="dxa"/>
          </w:tcPr>
          <w:p>
            <w:pPr>
              <w:pStyle w:val="yTableNAm"/>
              <w:keepNext/>
              <w:spacing w:before="80"/>
            </w:pPr>
            <w:r>
              <w:t>Category 60</w:t>
            </w:r>
          </w:p>
        </w:tc>
        <w:tc>
          <w:tcPr>
            <w:tcW w:w="3513" w:type="dxa"/>
            <w:gridSpan w:val="2"/>
          </w:tcPr>
          <w:p>
            <w:pPr>
              <w:pStyle w:val="yTableNAm"/>
              <w:keepNext/>
              <w:spacing w:before="80"/>
            </w:pPr>
            <w:r>
              <w:t>Not more than 500 kg per hour</w:t>
            </w:r>
          </w:p>
        </w:tc>
        <w:tc>
          <w:tcPr>
            <w:tcW w:w="929" w:type="dxa"/>
          </w:tcPr>
          <w:p>
            <w:pPr>
              <w:pStyle w:val="yTableNAm"/>
              <w:keepNext/>
              <w:spacing w:before="80"/>
              <w:jc w:val="right"/>
            </w:pPr>
            <w:r>
              <w:t>50</w:t>
            </w:r>
          </w:p>
        </w:tc>
      </w:tr>
      <w:tr>
        <w:trPr>
          <w:cantSplit/>
        </w:trPr>
        <w:tc>
          <w:tcPr>
            <w:tcW w:w="2666" w:type="dxa"/>
          </w:tcPr>
          <w:p>
            <w:pPr>
              <w:pStyle w:val="yTableNAm"/>
              <w:spacing w:before="80"/>
            </w:pPr>
          </w:p>
        </w:tc>
        <w:tc>
          <w:tcPr>
            <w:tcW w:w="3513" w:type="dxa"/>
            <w:gridSpan w:val="2"/>
          </w:tcPr>
          <w:p>
            <w:pPr>
              <w:pStyle w:val="yTableNAm"/>
              <w:spacing w:before="80"/>
            </w:pPr>
            <w:r>
              <w:t>More than 500 kg per hour</w:t>
            </w:r>
          </w:p>
        </w:tc>
        <w:tc>
          <w:tcPr>
            <w:tcW w:w="929" w:type="dxa"/>
          </w:tcPr>
          <w:p>
            <w:pPr>
              <w:pStyle w:val="yTableNAm"/>
              <w:spacing w:before="80"/>
              <w:jc w:val="right"/>
            </w:pPr>
            <w:r>
              <w:t>100</w:t>
            </w:r>
          </w:p>
        </w:tc>
      </w:tr>
      <w:tr>
        <w:trPr>
          <w:cantSplit/>
        </w:trPr>
        <w:tc>
          <w:tcPr>
            <w:tcW w:w="2666" w:type="dxa"/>
          </w:tcPr>
          <w:p>
            <w:pPr>
              <w:pStyle w:val="yTableNAm"/>
              <w:spacing w:before="80"/>
            </w:pPr>
            <w:r>
              <w:t>Categories 61 and 61A</w:t>
            </w:r>
          </w:p>
        </w:tc>
        <w:tc>
          <w:tcPr>
            <w:tcW w:w="3513" w:type="dxa"/>
            <w:gridSpan w:val="2"/>
          </w:tcPr>
          <w:p>
            <w:pPr>
              <w:pStyle w:val="yTableNAm"/>
              <w:spacing w:before="80"/>
            </w:pPr>
            <w:r>
              <w:t>Not more than 100 tonnes per year</w:t>
            </w:r>
          </w:p>
        </w:tc>
        <w:tc>
          <w:tcPr>
            <w:tcW w:w="929" w:type="dxa"/>
          </w:tcPr>
          <w:p>
            <w:pPr>
              <w:pStyle w:val="yTableNAm"/>
              <w:spacing w:before="80"/>
              <w:jc w:val="right"/>
            </w:pPr>
            <w:r>
              <w:t>15</w:t>
            </w:r>
          </w:p>
        </w:tc>
      </w:tr>
      <w:tr>
        <w:trPr>
          <w:cantSplit/>
        </w:trPr>
        <w:tc>
          <w:tcPr>
            <w:tcW w:w="2666" w:type="dxa"/>
          </w:tcPr>
          <w:p>
            <w:pPr>
              <w:pStyle w:val="yTableNAm"/>
              <w:spacing w:before="80"/>
            </w:pPr>
          </w:p>
        </w:tc>
        <w:tc>
          <w:tcPr>
            <w:tcW w:w="3513" w:type="dxa"/>
            <w:gridSpan w:val="2"/>
          </w:tcPr>
          <w:p>
            <w:pPr>
              <w:pStyle w:val="yTableNAm"/>
              <w:spacing w:before="80"/>
            </w:pPr>
            <w:r>
              <w:t>More than 100 but not more than 10 000 tonnes per year</w:t>
            </w:r>
          </w:p>
        </w:tc>
        <w:tc>
          <w:tcPr>
            <w:tcW w:w="929" w:type="dxa"/>
          </w:tcPr>
          <w:p>
            <w:pPr>
              <w:pStyle w:val="yTableNAm"/>
              <w:spacing w:before="80"/>
              <w:jc w:val="right"/>
            </w:pPr>
            <w:r>
              <w:t>30</w:t>
            </w:r>
          </w:p>
        </w:tc>
      </w:tr>
      <w:tr>
        <w:trPr>
          <w:cantSplit/>
        </w:trPr>
        <w:tc>
          <w:tcPr>
            <w:tcW w:w="2666" w:type="dxa"/>
          </w:tcPr>
          <w:p>
            <w:pPr>
              <w:pStyle w:val="yTableNAm"/>
              <w:spacing w:before="80"/>
            </w:pPr>
          </w:p>
        </w:tc>
        <w:tc>
          <w:tcPr>
            <w:tcW w:w="3513" w:type="dxa"/>
            <w:gridSpan w:val="2"/>
          </w:tcPr>
          <w:p>
            <w:pPr>
              <w:pStyle w:val="yTableNAm"/>
              <w:spacing w:before="80"/>
            </w:pPr>
            <w:r>
              <w:t>More than 10 000 but not more than 100 000 tonnes per year</w:t>
            </w:r>
          </w:p>
        </w:tc>
        <w:tc>
          <w:tcPr>
            <w:tcW w:w="929" w:type="dxa"/>
          </w:tcPr>
          <w:p>
            <w:pPr>
              <w:pStyle w:val="yTableNAm"/>
              <w:spacing w:before="80"/>
              <w:jc w:val="right"/>
            </w:pPr>
            <w:r>
              <w:t>45</w:t>
            </w:r>
          </w:p>
        </w:tc>
      </w:tr>
      <w:tr>
        <w:trPr>
          <w:cantSplit/>
        </w:trPr>
        <w:tc>
          <w:tcPr>
            <w:tcW w:w="2666" w:type="dxa"/>
          </w:tcPr>
          <w:p>
            <w:pPr>
              <w:pStyle w:val="yTableNAm"/>
              <w:spacing w:before="80"/>
            </w:pPr>
          </w:p>
        </w:tc>
        <w:tc>
          <w:tcPr>
            <w:tcW w:w="3513" w:type="dxa"/>
            <w:gridSpan w:val="2"/>
          </w:tcPr>
          <w:p>
            <w:pPr>
              <w:pStyle w:val="yTableNAm"/>
              <w:spacing w:before="80"/>
            </w:pPr>
            <w:r>
              <w:t>More than 100 000 tonnes per year</w:t>
            </w:r>
          </w:p>
        </w:tc>
        <w:tc>
          <w:tcPr>
            <w:tcW w:w="929" w:type="dxa"/>
          </w:tcPr>
          <w:p>
            <w:pPr>
              <w:pStyle w:val="yTableNAm"/>
              <w:spacing w:before="80"/>
              <w:jc w:val="right"/>
            </w:pPr>
            <w:r>
              <w:t>60</w:t>
            </w:r>
          </w:p>
        </w:tc>
      </w:tr>
      <w:tr>
        <w:trPr>
          <w:cantSplit/>
        </w:trPr>
        <w:tc>
          <w:tcPr>
            <w:tcW w:w="2666" w:type="dxa"/>
          </w:tcPr>
          <w:p>
            <w:pPr>
              <w:pStyle w:val="yTableNAm"/>
              <w:spacing w:before="80"/>
            </w:pPr>
            <w:r>
              <w:t>Category 62</w:t>
            </w:r>
          </w:p>
        </w:tc>
        <w:tc>
          <w:tcPr>
            <w:tcW w:w="3513" w:type="dxa"/>
            <w:gridSpan w:val="2"/>
          </w:tcPr>
          <w:p>
            <w:pPr>
              <w:pStyle w:val="yTableNAm"/>
              <w:spacing w:before="80"/>
            </w:pPr>
            <w:r>
              <w:t>More than 500 but not more than 5 000 tonnes per year</w:t>
            </w:r>
          </w:p>
          <w:p>
            <w:pPr>
              <w:pStyle w:val="yTableNAm"/>
              <w:spacing w:before="80"/>
            </w:pPr>
            <w:r>
              <w:t>More than 5 000 tonnes per year</w:t>
            </w:r>
          </w:p>
        </w:tc>
        <w:tc>
          <w:tcPr>
            <w:tcW w:w="929" w:type="dxa"/>
          </w:tcPr>
          <w:p>
            <w:pPr>
              <w:pStyle w:val="yTableNAm"/>
              <w:spacing w:before="80"/>
              <w:jc w:val="right"/>
            </w:pPr>
            <w:r>
              <w:t>8</w:t>
            </w:r>
          </w:p>
          <w:p>
            <w:pPr>
              <w:pStyle w:val="yTableNAm"/>
              <w:spacing w:before="0"/>
              <w:jc w:val="right"/>
            </w:pPr>
          </w:p>
          <w:p>
            <w:pPr>
              <w:pStyle w:val="yTableNAm"/>
              <w:spacing w:before="80"/>
              <w:jc w:val="right"/>
            </w:pPr>
            <w:r>
              <w:t>40</w:t>
            </w:r>
          </w:p>
        </w:tc>
      </w:tr>
      <w:tr>
        <w:trPr>
          <w:cantSplit/>
        </w:trPr>
        <w:tc>
          <w:tcPr>
            <w:tcW w:w="2666" w:type="dxa"/>
          </w:tcPr>
          <w:p>
            <w:pPr>
              <w:pStyle w:val="yTableNAm"/>
              <w:keepNext/>
              <w:keepLines/>
              <w:spacing w:before="80"/>
            </w:pPr>
            <w:r>
              <w:t>Category 63</w:t>
            </w:r>
          </w:p>
        </w:tc>
        <w:tc>
          <w:tcPr>
            <w:tcW w:w="3513" w:type="dxa"/>
            <w:gridSpan w:val="2"/>
          </w:tcPr>
          <w:p>
            <w:pPr>
              <w:pStyle w:val="yTableNAm"/>
              <w:keepNext/>
              <w:keepLines/>
              <w:spacing w:before="80"/>
            </w:pPr>
            <w:r>
              <w:t>Not more than 500 tonnes per year</w:t>
            </w:r>
          </w:p>
          <w:p>
            <w:pPr>
              <w:pStyle w:val="yTableNAm"/>
              <w:keepNext/>
              <w:keepLines/>
              <w:spacing w:before="80"/>
            </w:pPr>
            <w:r>
              <w:t>More than 500 but not more than 5 000 tonnes per year</w:t>
            </w:r>
          </w:p>
        </w:tc>
        <w:tc>
          <w:tcPr>
            <w:tcW w:w="929" w:type="dxa"/>
          </w:tcPr>
          <w:p>
            <w:pPr>
              <w:pStyle w:val="yTableNAm"/>
              <w:keepNext/>
              <w:keepLines/>
              <w:spacing w:before="80"/>
              <w:jc w:val="right"/>
            </w:pPr>
            <w:r>
              <w:t>Nil</w:t>
            </w:r>
          </w:p>
          <w:p>
            <w:pPr>
              <w:pStyle w:val="yTableNAm"/>
              <w:keepNext/>
              <w:keepLines/>
              <w:spacing w:before="80"/>
              <w:jc w:val="right"/>
            </w:pPr>
            <w:r>
              <w:t>8</w:t>
            </w:r>
          </w:p>
        </w:tc>
      </w:tr>
      <w:tr>
        <w:trPr>
          <w:cantSplit/>
        </w:trPr>
        <w:tc>
          <w:tcPr>
            <w:tcW w:w="2666" w:type="dxa"/>
          </w:tcPr>
          <w:p>
            <w:pPr>
              <w:pStyle w:val="yTableNAm"/>
              <w:spacing w:before="80"/>
            </w:pPr>
          </w:p>
        </w:tc>
        <w:tc>
          <w:tcPr>
            <w:tcW w:w="3513" w:type="dxa"/>
            <w:gridSpan w:val="2"/>
          </w:tcPr>
          <w:p>
            <w:pPr>
              <w:pStyle w:val="yTableNAm"/>
              <w:spacing w:before="80"/>
            </w:pPr>
            <w:r>
              <w:t>More than 5 000 but not more than 50 000 tonnes per year</w:t>
            </w:r>
          </w:p>
        </w:tc>
        <w:tc>
          <w:tcPr>
            <w:tcW w:w="929" w:type="dxa"/>
          </w:tcPr>
          <w:p>
            <w:pPr>
              <w:pStyle w:val="yTableNAm"/>
              <w:spacing w:before="80"/>
              <w:jc w:val="right"/>
            </w:pPr>
            <w:r>
              <w:t>40</w:t>
            </w:r>
          </w:p>
        </w:tc>
      </w:tr>
      <w:tr>
        <w:trPr>
          <w:cantSplit/>
        </w:trPr>
        <w:tc>
          <w:tcPr>
            <w:tcW w:w="2666" w:type="dxa"/>
          </w:tcPr>
          <w:p>
            <w:pPr>
              <w:pStyle w:val="yTableNAm"/>
              <w:spacing w:before="80"/>
            </w:pPr>
          </w:p>
        </w:tc>
        <w:tc>
          <w:tcPr>
            <w:tcW w:w="3513" w:type="dxa"/>
            <w:gridSpan w:val="2"/>
          </w:tcPr>
          <w:p>
            <w:pPr>
              <w:pStyle w:val="yTableNAm"/>
              <w:spacing w:before="80"/>
            </w:pPr>
            <w:r>
              <w:t>More than 50 000 but not more than 500 000 tonnes per year</w:t>
            </w:r>
          </w:p>
          <w:p>
            <w:pPr>
              <w:pStyle w:val="yTableNAm"/>
              <w:spacing w:before="80"/>
            </w:pPr>
            <w:r>
              <w:t>More than 500 000 tonnes per year</w:t>
            </w:r>
          </w:p>
        </w:tc>
        <w:tc>
          <w:tcPr>
            <w:tcW w:w="929" w:type="dxa"/>
          </w:tcPr>
          <w:p>
            <w:pPr>
              <w:pStyle w:val="yTableNAm"/>
              <w:spacing w:before="80"/>
              <w:jc w:val="right"/>
            </w:pPr>
            <w:r>
              <w:t>80</w:t>
            </w:r>
          </w:p>
          <w:p>
            <w:pPr>
              <w:pStyle w:val="yTableNAm"/>
              <w:spacing w:before="80"/>
              <w:jc w:val="right"/>
            </w:pPr>
          </w:p>
          <w:p>
            <w:pPr>
              <w:pStyle w:val="yTableNAm"/>
              <w:spacing w:before="80"/>
              <w:jc w:val="right"/>
            </w:pPr>
            <w:r>
              <w:t>160</w:t>
            </w:r>
          </w:p>
        </w:tc>
      </w:tr>
      <w:tr>
        <w:trPr>
          <w:cantSplit/>
        </w:trPr>
        <w:tc>
          <w:tcPr>
            <w:tcW w:w="2666" w:type="dxa"/>
          </w:tcPr>
          <w:p>
            <w:pPr>
              <w:pStyle w:val="yTableNAm"/>
              <w:spacing w:before="80"/>
            </w:pPr>
            <w:r>
              <w:t>Category 64</w:t>
            </w:r>
          </w:p>
        </w:tc>
        <w:tc>
          <w:tcPr>
            <w:tcW w:w="3513" w:type="dxa"/>
            <w:gridSpan w:val="2"/>
          </w:tcPr>
          <w:p>
            <w:pPr>
              <w:pStyle w:val="yTableNAm"/>
              <w:spacing w:before="80"/>
            </w:pPr>
            <w:r>
              <w:t>Not more than 5 000 tonnes per year</w:t>
            </w:r>
          </w:p>
          <w:p>
            <w:pPr>
              <w:pStyle w:val="yTableNAm"/>
              <w:spacing w:before="80"/>
            </w:pPr>
            <w:r>
              <w:t xml:space="preserve">More than 5 000 but not more than 50 000 tonnes per year </w:t>
            </w:r>
          </w:p>
        </w:tc>
        <w:tc>
          <w:tcPr>
            <w:tcW w:w="929" w:type="dxa"/>
          </w:tcPr>
          <w:p>
            <w:pPr>
              <w:pStyle w:val="yTableNAm"/>
              <w:spacing w:before="80"/>
              <w:jc w:val="right"/>
            </w:pPr>
            <w:r>
              <w:t>24</w:t>
            </w:r>
          </w:p>
          <w:p>
            <w:pPr>
              <w:pStyle w:val="yTableNAm"/>
              <w:spacing w:before="80"/>
              <w:jc w:val="right"/>
            </w:pPr>
            <w:r>
              <w:t>160</w:t>
            </w:r>
          </w:p>
        </w:tc>
      </w:tr>
      <w:tr>
        <w:trPr>
          <w:cantSplit/>
        </w:trPr>
        <w:tc>
          <w:tcPr>
            <w:tcW w:w="2666" w:type="dxa"/>
          </w:tcPr>
          <w:p>
            <w:pPr>
              <w:pStyle w:val="yTableNAm"/>
              <w:spacing w:before="80"/>
            </w:pPr>
          </w:p>
        </w:tc>
        <w:tc>
          <w:tcPr>
            <w:tcW w:w="3513" w:type="dxa"/>
            <w:gridSpan w:val="2"/>
          </w:tcPr>
          <w:p>
            <w:pPr>
              <w:pStyle w:val="yTableNAm"/>
              <w:spacing w:before="80"/>
            </w:pPr>
            <w:r>
              <w:t>More than 50 000 but not more than 100 000 tonnes per year</w:t>
            </w:r>
          </w:p>
          <w:p>
            <w:pPr>
              <w:pStyle w:val="yTableNAm"/>
              <w:spacing w:before="80"/>
            </w:pPr>
            <w:r>
              <w:t>More than 100 000 tonnes per year</w:t>
            </w:r>
          </w:p>
        </w:tc>
        <w:tc>
          <w:tcPr>
            <w:tcW w:w="929" w:type="dxa"/>
          </w:tcPr>
          <w:p>
            <w:pPr>
              <w:pStyle w:val="yTableNAm"/>
              <w:spacing w:before="80"/>
              <w:jc w:val="right"/>
            </w:pPr>
            <w:r>
              <w:t>320</w:t>
            </w:r>
            <w:r>
              <w:br/>
            </w:r>
          </w:p>
          <w:p>
            <w:pPr>
              <w:pStyle w:val="yTableNAm"/>
              <w:spacing w:before="80"/>
              <w:jc w:val="right"/>
            </w:pPr>
            <w:r>
              <w:t>640</w:t>
            </w:r>
          </w:p>
        </w:tc>
      </w:tr>
      <w:tr>
        <w:trPr>
          <w:cantSplit/>
        </w:trPr>
        <w:tc>
          <w:tcPr>
            <w:tcW w:w="2666" w:type="dxa"/>
          </w:tcPr>
          <w:p>
            <w:pPr>
              <w:pStyle w:val="yTableNAm"/>
              <w:spacing w:before="80"/>
            </w:pPr>
            <w:r>
              <w:t>Category 65</w:t>
            </w:r>
          </w:p>
        </w:tc>
        <w:tc>
          <w:tcPr>
            <w:tcW w:w="3513" w:type="dxa"/>
            <w:gridSpan w:val="2"/>
          </w:tcPr>
          <w:p>
            <w:pPr>
              <w:pStyle w:val="yTableNAm"/>
              <w:spacing w:before="80"/>
            </w:pPr>
            <w:r>
              <w:t>Not applicable</w:t>
            </w:r>
          </w:p>
        </w:tc>
        <w:tc>
          <w:tcPr>
            <w:tcW w:w="929" w:type="dxa"/>
          </w:tcPr>
          <w:p>
            <w:pPr>
              <w:pStyle w:val="yTableNAm"/>
              <w:spacing w:before="80"/>
              <w:jc w:val="right"/>
            </w:pPr>
            <w:r>
              <w:t>655</w:t>
            </w:r>
          </w:p>
        </w:tc>
      </w:tr>
      <w:tr>
        <w:trPr>
          <w:cantSplit/>
        </w:trPr>
        <w:tc>
          <w:tcPr>
            <w:tcW w:w="2666" w:type="dxa"/>
          </w:tcPr>
          <w:p>
            <w:pPr>
              <w:pStyle w:val="yTableNAm"/>
              <w:spacing w:before="80"/>
            </w:pPr>
            <w:r>
              <w:t>Category 66</w:t>
            </w:r>
          </w:p>
        </w:tc>
        <w:tc>
          <w:tcPr>
            <w:tcW w:w="3513" w:type="dxa"/>
            <w:gridSpan w:val="2"/>
          </w:tcPr>
          <w:p>
            <w:pPr>
              <w:pStyle w:val="yTableNAm"/>
              <w:spacing w:before="80"/>
            </w:pPr>
            <w:r>
              <w:t>Not applicable</w:t>
            </w:r>
          </w:p>
        </w:tc>
        <w:tc>
          <w:tcPr>
            <w:tcW w:w="929" w:type="dxa"/>
          </w:tcPr>
          <w:p>
            <w:pPr>
              <w:pStyle w:val="yTableNAm"/>
              <w:spacing w:before="80"/>
              <w:jc w:val="right"/>
            </w:pPr>
            <w:r>
              <w:t>655</w:t>
            </w:r>
          </w:p>
        </w:tc>
      </w:tr>
      <w:tr>
        <w:trPr>
          <w:cantSplit/>
        </w:trPr>
        <w:tc>
          <w:tcPr>
            <w:tcW w:w="2666" w:type="dxa"/>
          </w:tcPr>
          <w:p>
            <w:pPr>
              <w:pStyle w:val="yTableNAm"/>
              <w:spacing w:before="80"/>
            </w:pPr>
            <w:r>
              <w:t>Category 67</w:t>
            </w:r>
          </w:p>
        </w:tc>
        <w:tc>
          <w:tcPr>
            <w:tcW w:w="3513" w:type="dxa"/>
            <w:gridSpan w:val="2"/>
          </w:tcPr>
          <w:p>
            <w:pPr>
              <w:pStyle w:val="yTableNAm"/>
              <w:spacing w:before="80"/>
            </w:pPr>
            <w:r>
              <w:t>Not applicable</w:t>
            </w:r>
          </w:p>
        </w:tc>
        <w:tc>
          <w:tcPr>
            <w:tcW w:w="929" w:type="dxa"/>
          </w:tcPr>
          <w:p>
            <w:pPr>
              <w:pStyle w:val="yTableNAm"/>
              <w:spacing w:before="80"/>
              <w:jc w:val="right"/>
            </w:pPr>
            <w:r>
              <w:t>15</w:t>
            </w:r>
          </w:p>
        </w:tc>
      </w:tr>
      <w:tr>
        <w:trPr>
          <w:cantSplit/>
        </w:trPr>
        <w:tc>
          <w:tcPr>
            <w:tcW w:w="2666" w:type="dxa"/>
          </w:tcPr>
          <w:p>
            <w:pPr>
              <w:pStyle w:val="yTableNAm"/>
              <w:spacing w:before="80"/>
            </w:pPr>
            <w:r>
              <w:t>Category 67A</w:t>
            </w:r>
          </w:p>
        </w:tc>
        <w:tc>
          <w:tcPr>
            <w:tcW w:w="3513" w:type="dxa"/>
            <w:gridSpan w:val="2"/>
          </w:tcPr>
          <w:p>
            <w:pPr>
              <w:pStyle w:val="yTableNAm"/>
              <w:spacing w:before="80"/>
            </w:pPr>
            <w:r>
              <w:t xml:space="preserve">Not more than 500 tonnes per year </w:t>
            </w:r>
          </w:p>
        </w:tc>
        <w:tc>
          <w:tcPr>
            <w:tcW w:w="929" w:type="dxa"/>
          </w:tcPr>
          <w:p>
            <w:pPr>
              <w:pStyle w:val="yTableNAm"/>
              <w:spacing w:before="80"/>
              <w:jc w:val="right"/>
            </w:pPr>
            <w:r>
              <w:t>Nil</w:t>
            </w:r>
          </w:p>
        </w:tc>
      </w:tr>
      <w:tr>
        <w:trPr>
          <w:cantSplit/>
        </w:trPr>
        <w:tc>
          <w:tcPr>
            <w:tcW w:w="2666" w:type="dxa"/>
          </w:tcPr>
          <w:p>
            <w:pPr>
              <w:pStyle w:val="yTableNAm"/>
              <w:spacing w:before="80"/>
            </w:pPr>
          </w:p>
        </w:tc>
        <w:tc>
          <w:tcPr>
            <w:tcW w:w="3513" w:type="dxa"/>
            <w:gridSpan w:val="2"/>
          </w:tcPr>
          <w:p>
            <w:pPr>
              <w:pStyle w:val="yTableNAm"/>
              <w:spacing w:before="80"/>
            </w:pPr>
            <w:r>
              <w:t>More than 500 but not more than 5 000 tonnes per year</w:t>
            </w:r>
          </w:p>
        </w:tc>
        <w:tc>
          <w:tcPr>
            <w:tcW w:w="929" w:type="dxa"/>
          </w:tcPr>
          <w:p>
            <w:pPr>
              <w:pStyle w:val="yTableNAm"/>
              <w:spacing w:before="80"/>
              <w:jc w:val="right"/>
            </w:pPr>
            <w:r>
              <w:t>40</w:t>
            </w:r>
          </w:p>
        </w:tc>
      </w:tr>
      <w:tr>
        <w:trPr>
          <w:cantSplit/>
        </w:trPr>
        <w:tc>
          <w:tcPr>
            <w:tcW w:w="2666" w:type="dxa"/>
          </w:tcPr>
          <w:p>
            <w:pPr>
              <w:pStyle w:val="yTableNAm"/>
              <w:spacing w:before="80"/>
            </w:pPr>
          </w:p>
        </w:tc>
        <w:tc>
          <w:tcPr>
            <w:tcW w:w="3513" w:type="dxa"/>
            <w:gridSpan w:val="2"/>
          </w:tcPr>
          <w:p>
            <w:pPr>
              <w:pStyle w:val="yTableNAm"/>
              <w:spacing w:before="80"/>
            </w:pPr>
            <w:r>
              <w:t>More than 5 000 but not more than 50 000 tonnes per year</w:t>
            </w:r>
          </w:p>
        </w:tc>
        <w:tc>
          <w:tcPr>
            <w:tcW w:w="929" w:type="dxa"/>
          </w:tcPr>
          <w:p>
            <w:pPr>
              <w:pStyle w:val="yTableNAm"/>
              <w:spacing w:before="80"/>
              <w:jc w:val="right"/>
            </w:pPr>
            <w:r>
              <w:t>160</w:t>
            </w:r>
          </w:p>
        </w:tc>
      </w:tr>
      <w:tr>
        <w:trPr>
          <w:cantSplit/>
        </w:trPr>
        <w:tc>
          <w:tcPr>
            <w:tcW w:w="2666" w:type="dxa"/>
          </w:tcPr>
          <w:p>
            <w:pPr>
              <w:pStyle w:val="yTableNAm"/>
              <w:spacing w:before="80"/>
            </w:pPr>
          </w:p>
        </w:tc>
        <w:tc>
          <w:tcPr>
            <w:tcW w:w="3513" w:type="dxa"/>
            <w:gridSpan w:val="2"/>
          </w:tcPr>
          <w:p>
            <w:pPr>
              <w:pStyle w:val="yTableNAm"/>
              <w:spacing w:before="80"/>
            </w:pPr>
            <w:r>
              <w:t>More than 50 000 but not more than 100 000 tonnes per year</w:t>
            </w:r>
          </w:p>
        </w:tc>
        <w:tc>
          <w:tcPr>
            <w:tcW w:w="929" w:type="dxa"/>
          </w:tcPr>
          <w:p>
            <w:pPr>
              <w:pStyle w:val="yTableNAm"/>
              <w:spacing w:before="80"/>
              <w:jc w:val="right"/>
            </w:pPr>
            <w:r>
              <w:t>320</w:t>
            </w:r>
          </w:p>
        </w:tc>
      </w:tr>
      <w:tr>
        <w:trPr>
          <w:cantSplit/>
        </w:trPr>
        <w:tc>
          <w:tcPr>
            <w:tcW w:w="2666" w:type="dxa"/>
          </w:tcPr>
          <w:p>
            <w:pPr>
              <w:pStyle w:val="yTableNAm"/>
              <w:spacing w:before="80"/>
            </w:pPr>
          </w:p>
        </w:tc>
        <w:tc>
          <w:tcPr>
            <w:tcW w:w="3513" w:type="dxa"/>
            <w:gridSpan w:val="2"/>
          </w:tcPr>
          <w:p>
            <w:pPr>
              <w:pStyle w:val="yTableNAm"/>
              <w:spacing w:before="80"/>
            </w:pPr>
            <w:r>
              <w:t>More than 100 000 tonnes per year</w:t>
            </w:r>
          </w:p>
        </w:tc>
        <w:tc>
          <w:tcPr>
            <w:tcW w:w="929" w:type="dxa"/>
          </w:tcPr>
          <w:p>
            <w:pPr>
              <w:pStyle w:val="yTableNAm"/>
              <w:spacing w:before="80"/>
              <w:jc w:val="right"/>
            </w:pPr>
            <w:r>
              <w:t>640</w:t>
            </w:r>
          </w:p>
        </w:tc>
      </w:tr>
      <w:tr>
        <w:trPr>
          <w:cantSplit/>
        </w:trPr>
        <w:tc>
          <w:tcPr>
            <w:tcW w:w="2666" w:type="dxa"/>
          </w:tcPr>
          <w:p>
            <w:pPr>
              <w:pStyle w:val="yTableNAm"/>
              <w:spacing w:before="80"/>
            </w:pPr>
            <w:r>
              <w:t>Categories 68 to 85</w:t>
            </w:r>
          </w:p>
        </w:tc>
        <w:tc>
          <w:tcPr>
            <w:tcW w:w="3513" w:type="dxa"/>
            <w:gridSpan w:val="2"/>
          </w:tcPr>
          <w:p>
            <w:pPr>
              <w:pStyle w:val="yTableNAm"/>
              <w:spacing w:before="80"/>
            </w:pPr>
            <w:r>
              <w:t>Not applicable</w:t>
            </w:r>
          </w:p>
        </w:tc>
        <w:tc>
          <w:tcPr>
            <w:tcW w:w="929" w:type="dxa"/>
          </w:tcPr>
          <w:p>
            <w:pPr>
              <w:pStyle w:val="yTableNAm"/>
              <w:spacing w:before="80"/>
              <w:jc w:val="right"/>
            </w:pPr>
            <w:r>
              <w:t>24</w:t>
            </w:r>
          </w:p>
        </w:tc>
      </w:tr>
      <w:tr>
        <w:trPr>
          <w:cantSplit/>
        </w:trPr>
        <w:tc>
          <w:tcPr>
            <w:tcW w:w="2666" w:type="dxa"/>
          </w:tcPr>
          <w:p>
            <w:pPr>
              <w:pStyle w:val="yTableNAm"/>
              <w:spacing w:before="80"/>
            </w:pPr>
            <w:r>
              <w:t>Category 86</w:t>
            </w:r>
          </w:p>
        </w:tc>
        <w:tc>
          <w:tcPr>
            <w:tcW w:w="3513" w:type="dxa"/>
            <w:gridSpan w:val="2"/>
          </w:tcPr>
          <w:p>
            <w:pPr>
              <w:pStyle w:val="yTableNAm"/>
              <w:spacing w:before="80"/>
            </w:pPr>
            <w:r>
              <w:t>Not applicable</w:t>
            </w:r>
          </w:p>
        </w:tc>
        <w:tc>
          <w:tcPr>
            <w:tcW w:w="929" w:type="dxa"/>
          </w:tcPr>
          <w:p>
            <w:pPr>
              <w:pStyle w:val="yTableNAm"/>
              <w:spacing w:before="80"/>
              <w:jc w:val="right"/>
            </w:pPr>
            <w:r>
              <w:t>500</w:t>
            </w:r>
          </w:p>
        </w:tc>
      </w:tr>
      <w:tr>
        <w:trPr>
          <w:cantSplit/>
        </w:trPr>
        <w:tc>
          <w:tcPr>
            <w:tcW w:w="2666" w:type="dxa"/>
          </w:tcPr>
          <w:p>
            <w:pPr>
              <w:pStyle w:val="yTableNAm"/>
              <w:spacing w:before="80"/>
            </w:pPr>
            <w:r>
              <w:t>Categories 87 to 89</w:t>
            </w:r>
          </w:p>
        </w:tc>
        <w:tc>
          <w:tcPr>
            <w:tcW w:w="3513" w:type="dxa"/>
            <w:gridSpan w:val="2"/>
          </w:tcPr>
          <w:p>
            <w:pPr>
              <w:pStyle w:val="yTableNAm"/>
              <w:spacing w:before="80"/>
            </w:pPr>
            <w:r>
              <w:t>Not applicable</w:t>
            </w:r>
          </w:p>
        </w:tc>
        <w:tc>
          <w:tcPr>
            <w:tcW w:w="929" w:type="dxa"/>
          </w:tcPr>
          <w:p>
            <w:pPr>
              <w:pStyle w:val="yTableNAm"/>
              <w:spacing w:before="80"/>
              <w:jc w:val="right"/>
            </w:pPr>
            <w:r>
              <w:t>24</w:t>
            </w:r>
          </w:p>
        </w:tc>
      </w:tr>
    </w:tbl>
    <w:p>
      <w:pPr>
        <w:pStyle w:val="yFootnotesection"/>
      </w:pPr>
      <w:r>
        <w:tab/>
        <w:t>[Part 1 inserted in Gazette 13 Sep 1996 p. 4560</w:t>
      </w:r>
      <w:r>
        <w:noBreakHyphen/>
        <w:t>7; amended in Gazette 10 Dec 1996 p. 6878; 15 Aug 2000 p. 4717</w:t>
      </w:r>
      <w:r>
        <w:noBreakHyphen/>
        <w:t>18; 14 Jun 2002 p. 2794; 13 Dec 2005 p. 5983; 22 Jun 2007 p. 2844; 30 Oct 2007 p. 5878; 23 Jul 2010 p. 3401.]</w:t>
      </w:r>
    </w:p>
    <w:p>
      <w:pPr>
        <w:pStyle w:val="yHeading3"/>
      </w:pPr>
      <w:bookmarkStart w:id="105" w:name="_Toc404948615"/>
      <w:r>
        <w:rPr>
          <w:rStyle w:val="CharSDivNo"/>
          <w:sz w:val="28"/>
        </w:rPr>
        <w:t>Part 2</w:t>
      </w:r>
      <w:r>
        <w:t> — </w:t>
      </w:r>
      <w:r>
        <w:rPr>
          <w:rStyle w:val="CharSDivText"/>
          <w:sz w:val="28"/>
        </w:rPr>
        <w:t>Part 2 waste</w:t>
      </w:r>
      <w:bookmarkEnd w:id="105"/>
    </w:p>
    <w:p>
      <w:pPr>
        <w:pStyle w:val="yFootnotesection"/>
        <w:keepNext/>
      </w:pPr>
      <w:r>
        <w:tab/>
        <w:t>[Heading inserted in Gazette 13 Dec 2005 p. 5984.]</w:t>
      </w:r>
    </w:p>
    <w:tbl>
      <w:tblPr>
        <w:tblW w:w="0" w:type="auto"/>
        <w:tblInd w:w="85" w:type="dxa"/>
        <w:tblLayout w:type="fixed"/>
        <w:tblCellMar>
          <w:left w:w="85" w:type="dxa"/>
          <w:right w:w="85" w:type="dxa"/>
        </w:tblCellMar>
        <w:tblLook w:val="0000" w:firstRow="0" w:lastRow="0" w:firstColumn="0" w:lastColumn="0" w:noHBand="0" w:noVBand="0"/>
      </w:tblPr>
      <w:tblGrid>
        <w:gridCol w:w="5670"/>
        <w:gridCol w:w="426"/>
        <w:gridCol w:w="992"/>
      </w:tblGrid>
      <w:tr>
        <w:tc>
          <w:tcPr>
            <w:tcW w:w="5670" w:type="dxa"/>
          </w:tcPr>
          <w:p>
            <w:pPr>
              <w:pStyle w:val="yTable"/>
              <w:keepNext/>
              <w:spacing w:before="120"/>
              <w:rPr>
                <w:b/>
              </w:rPr>
            </w:pPr>
            <w:r>
              <w:rPr>
                <w:b/>
              </w:rPr>
              <w:t>Discharge quantity</w:t>
            </w:r>
          </w:p>
        </w:tc>
        <w:tc>
          <w:tcPr>
            <w:tcW w:w="1418" w:type="dxa"/>
            <w:gridSpan w:val="2"/>
          </w:tcPr>
          <w:p>
            <w:pPr>
              <w:pStyle w:val="yTable"/>
              <w:keepNext/>
              <w:spacing w:before="120"/>
              <w:ind w:left="202"/>
              <w:jc w:val="right"/>
              <w:rPr>
                <w:b/>
              </w:rPr>
            </w:pPr>
            <w:r>
              <w:rPr>
                <w:b/>
              </w:rPr>
              <w:t>Fee units</w:t>
            </w:r>
          </w:p>
        </w:tc>
      </w:tr>
      <w:tr>
        <w:tc>
          <w:tcPr>
            <w:tcW w:w="6096" w:type="dxa"/>
            <w:gridSpan w:val="2"/>
          </w:tcPr>
          <w:p>
            <w:pPr>
              <w:pStyle w:val="yTable"/>
              <w:spacing w:before="120"/>
            </w:pPr>
            <w:r>
              <w:t>Not more than 10 000 tonnes per year</w:t>
            </w:r>
          </w:p>
        </w:tc>
        <w:tc>
          <w:tcPr>
            <w:tcW w:w="992" w:type="dxa"/>
          </w:tcPr>
          <w:p>
            <w:pPr>
              <w:pStyle w:val="yTableNAm"/>
              <w:jc w:val="right"/>
            </w:pPr>
            <w:r>
              <w:t>30</w:t>
            </w:r>
          </w:p>
        </w:tc>
      </w:tr>
      <w:tr>
        <w:tc>
          <w:tcPr>
            <w:tcW w:w="6096" w:type="dxa"/>
            <w:gridSpan w:val="2"/>
          </w:tcPr>
          <w:p>
            <w:pPr>
              <w:pStyle w:val="yTable"/>
              <w:spacing w:before="120"/>
            </w:pPr>
            <w:r>
              <w:t>More than 10 000 but not more than 100 000 tonnes per year</w:t>
            </w:r>
          </w:p>
        </w:tc>
        <w:tc>
          <w:tcPr>
            <w:tcW w:w="992" w:type="dxa"/>
          </w:tcPr>
          <w:p>
            <w:pPr>
              <w:pStyle w:val="yTableNAm"/>
              <w:jc w:val="right"/>
            </w:pPr>
            <w:r>
              <w:t>70</w:t>
            </w:r>
          </w:p>
        </w:tc>
      </w:tr>
      <w:tr>
        <w:tc>
          <w:tcPr>
            <w:tcW w:w="6096" w:type="dxa"/>
            <w:gridSpan w:val="2"/>
          </w:tcPr>
          <w:p>
            <w:pPr>
              <w:pStyle w:val="yTable"/>
              <w:spacing w:before="120"/>
            </w:pPr>
            <w:r>
              <w:t>More than 100 000 but not more than 500 000 tonnes per year</w:t>
            </w:r>
          </w:p>
        </w:tc>
        <w:tc>
          <w:tcPr>
            <w:tcW w:w="992" w:type="dxa"/>
          </w:tcPr>
          <w:p>
            <w:pPr>
              <w:pStyle w:val="yTableNAm"/>
              <w:jc w:val="right"/>
            </w:pPr>
            <w:r>
              <w:t>150</w:t>
            </w:r>
          </w:p>
        </w:tc>
      </w:tr>
      <w:tr>
        <w:tc>
          <w:tcPr>
            <w:tcW w:w="6096" w:type="dxa"/>
            <w:gridSpan w:val="2"/>
          </w:tcPr>
          <w:p>
            <w:pPr>
              <w:pStyle w:val="yTable"/>
              <w:spacing w:before="120"/>
            </w:pPr>
            <w:r>
              <w:t>More than 500 000 but not more than 1 000 000 tonnes per year</w:t>
            </w:r>
          </w:p>
        </w:tc>
        <w:tc>
          <w:tcPr>
            <w:tcW w:w="992" w:type="dxa"/>
          </w:tcPr>
          <w:p>
            <w:pPr>
              <w:pStyle w:val="yTableNAm"/>
              <w:jc w:val="right"/>
            </w:pPr>
            <w:r>
              <w:t>200</w:t>
            </w:r>
          </w:p>
        </w:tc>
      </w:tr>
      <w:tr>
        <w:tc>
          <w:tcPr>
            <w:tcW w:w="6096" w:type="dxa"/>
            <w:gridSpan w:val="2"/>
          </w:tcPr>
          <w:p>
            <w:pPr>
              <w:pStyle w:val="yTable"/>
              <w:spacing w:before="120"/>
            </w:pPr>
            <w:r>
              <w:t>More than 1 000 000 tonnes per year</w:t>
            </w:r>
          </w:p>
        </w:tc>
        <w:tc>
          <w:tcPr>
            <w:tcW w:w="992" w:type="dxa"/>
          </w:tcPr>
          <w:p>
            <w:pPr>
              <w:pStyle w:val="yTableNAm"/>
              <w:jc w:val="right"/>
            </w:pPr>
            <w:r>
              <w:t>400</w:t>
            </w:r>
          </w:p>
        </w:tc>
      </w:tr>
    </w:tbl>
    <w:p>
      <w:pPr>
        <w:pStyle w:val="yFootnotesection"/>
      </w:pPr>
      <w:r>
        <w:tab/>
        <w:t>[Part 2 inserted in Gazette 13 Sep 1996 p. 4565.]</w:t>
      </w:r>
    </w:p>
    <w:p>
      <w:pPr>
        <w:pStyle w:val="yHeading3"/>
      </w:pPr>
      <w:bookmarkStart w:id="106" w:name="_Toc404948616"/>
      <w:r>
        <w:rPr>
          <w:rStyle w:val="CharSDivNo"/>
          <w:sz w:val="28"/>
        </w:rPr>
        <w:t>Part 3</w:t>
      </w:r>
      <w:r>
        <w:t> — </w:t>
      </w:r>
      <w:r>
        <w:rPr>
          <w:rStyle w:val="CharSDivText"/>
          <w:sz w:val="28"/>
        </w:rPr>
        <w:t>Discharge component</w:t>
      </w:r>
      <w:bookmarkEnd w:id="106"/>
    </w:p>
    <w:p>
      <w:pPr>
        <w:pStyle w:val="yFootnoteheading"/>
        <w:keepNext/>
      </w:pPr>
      <w:r>
        <w:tab/>
        <w:t>[Heading inserted in Gazette 13 Sep 1996 p. 4565.]</w:t>
      </w:r>
    </w:p>
    <w:p>
      <w:pPr>
        <w:pStyle w:val="yTable"/>
        <w:keepNext/>
        <w:spacing w:before="160" w:after="60"/>
        <w:jc w:val="center"/>
        <w:rPr>
          <w:b/>
          <w:snapToGrid w:val="0"/>
        </w:rPr>
      </w:pPr>
      <w:r>
        <w:rPr>
          <w:b/>
          <w:snapToGrid w:val="0"/>
        </w:rPr>
        <w:t>Table 1 — Discharges into air</w:t>
      </w:r>
    </w:p>
    <w:tbl>
      <w:tblPr>
        <w:tblW w:w="0" w:type="auto"/>
        <w:tblInd w:w="141" w:type="dxa"/>
        <w:tblLayout w:type="fixed"/>
        <w:tblCellMar>
          <w:left w:w="141" w:type="dxa"/>
          <w:right w:w="141" w:type="dxa"/>
        </w:tblCellMar>
        <w:tblLook w:val="0000" w:firstRow="0" w:lastRow="0" w:firstColumn="0" w:lastColumn="0" w:noHBand="0" w:noVBand="0"/>
      </w:tblPr>
      <w:tblGrid>
        <w:gridCol w:w="5472"/>
        <w:gridCol w:w="1616"/>
      </w:tblGrid>
      <w:tr>
        <w:trPr>
          <w:tblHeader/>
        </w:trPr>
        <w:tc>
          <w:tcPr>
            <w:tcW w:w="5472" w:type="dxa"/>
          </w:tcPr>
          <w:p>
            <w:pPr>
              <w:pStyle w:val="yTableNAm"/>
              <w:spacing w:before="80"/>
              <w:rPr>
                <w:b/>
              </w:rPr>
            </w:pPr>
            <w:r>
              <w:rPr>
                <w:b/>
              </w:rPr>
              <w:t>Kind of waste</w:t>
            </w:r>
          </w:p>
        </w:tc>
        <w:tc>
          <w:tcPr>
            <w:tcW w:w="1616" w:type="dxa"/>
          </w:tcPr>
          <w:p>
            <w:pPr>
              <w:pStyle w:val="yTableNAm"/>
              <w:spacing w:before="80"/>
              <w:jc w:val="center"/>
              <w:rPr>
                <w:b/>
              </w:rPr>
            </w:pPr>
            <w:r>
              <w:rPr>
                <w:b/>
              </w:rPr>
              <w:t>Fee units</w:t>
            </w:r>
            <w:r>
              <w:rPr>
                <w:b/>
              </w:rPr>
              <w:br/>
              <w:t>(for each gram per minute)</w:t>
            </w:r>
          </w:p>
        </w:tc>
      </w:tr>
      <w:tr>
        <w:tc>
          <w:tcPr>
            <w:tcW w:w="5472" w:type="dxa"/>
          </w:tcPr>
          <w:p>
            <w:pPr>
              <w:pStyle w:val="yTableNAm"/>
              <w:spacing w:before="80"/>
            </w:pPr>
            <w:r>
              <w:t>1.</w:t>
            </w:r>
            <w:r>
              <w:tab/>
              <w:t>Carbon monoxide</w:t>
            </w:r>
          </w:p>
        </w:tc>
        <w:tc>
          <w:tcPr>
            <w:tcW w:w="1616" w:type="dxa"/>
          </w:tcPr>
          <w:p>
            <w:pPr>
              <w:pStyle w:val="yTableNAm"/>
              <w:spacing w:before="80"/>
              <w:jc w:val="right"/>
            </w:pPr>
            <w:r>
              <w:t>0.01</w:t>
            </w:r>
          </w:p>
        </w:tc>
      </w:tr>
      <w:tr>
        <w:tc>
          <w:tcPr>
            <w:tcW w:w="5472" w:type="dxa"/>
          </w:tcPr>
          <w:p>
            <w:pPr>
              <w:pStyle w:val="yTableNAm"/>
              <w:spacing w:before="80"/>
              <w:ind w:left="567" w:hanging="567"/>
            </w:pPr>
            <w:r>
              <w:t>2.</w:t>
            </w:r>
            <w:r>
              <w:tab/>
              <w:t>Oxides of nitrogen, sulphur oxides and particulates — </w:t>
            </w:r>
          </w:p>
        </w:tc>
        <w:tc>
          <w:tcPr>
            <w:tcW w:w="1616" w:type="dxa"/>
          </w:tcPr>
          <w:p>
            <w:pPr>
              <w:pStyle w:val="yTableNAm"/>
              <w:spacing w:before="80"/>
              <w:jc w:val="right"/>
            </w:pPr>
          </w:p>
        </w:tc>
      </w:tr>
      <w:tr>
        <w:tc>
          <w:tcPr>
            <w:tcW w:w="5472" w:type="dxa"/>
          </w:tcPr>
          <w:p>
            <w:pPr>
              <w:pStyle w:val="yTableNAm"/>
              <w:spacing w:before="80"/>
              <w:ind w:left="1134" w:hanging="1134"/>
            </w:pPr>
            <w:r>
              <w:tab/>
              <w:t>(a)</w:t>
            </w:r>
            <w:r>
              <w:tab/>
              <w:t xml:space="preserve">discharged from premises in the metropolitan region (as defined in the </w:t>
            </w:r>
            <w:r>
              <w:rPr>
                <w:i/>
                <w:iCs/>
              </w:rPr>
              <w:t>Planning and Development Act 2005</w:t>
            </w:r>
            <w:r>
              <w:t>) or the Swan Coastal Plain</w:t>
            </w:r>
          </w:p>
        </w:tc>
        <w:tc>
          <w:tcPr>
            <w:tcW w:w="1616" w:type="dxa"/>
          </w:tcPr>
          <w:p>
            <w:pPr>
              <w:pStyle w:val="yTableNAm"/>
              <w:spacing w:before="80"/>
              <w:jc w:val="right"/>
            </w:pPr>
            <w:r>
              <w:t>1</w:t>
            </w:r>
          </w:p>
        </w:tc>
      </w:tr>
      <w:tr>
        <w:tc>
          <w:tcPr>
            <w:tcW w:w="5472" w:type="dxa"/>
          </w:tcPr>
          <w:p>
            <w:pPr>
              <w:pStyle w:val="yTableNAm"/>
              <w:spacing w:before="80"/>
              <w:ind w:left="1134" w:hanging="1134"/>
            </w:pPr>
            <w:r>
              <w:tab/>
              <w:t>(b)</w:t>
            </w:r>
            <w:r>
              <w:tab/>
              <w:t>discharged from premises in any other part of the State</w:t>
            </w:r>
          </w:p>
        </w:tc>
        <w:tc>
          <w:tcPr>
            <w:tcW w:w="1616" w:type="dxa"/>
          </w:tcPr>
          <w:p>
            <w:pPr>
              <w:pStyle w:val="yTableNAm"/>
              <w:spacing w:before="80"/>
              <w:jc w:val="right"/>
            </w:pPr>
            <w:r>
              <w:t>0.1</w:t>
            </w:r>
          </w:p>
        </w:tc>
      </w:tr>
      <w:tr>
        <w:tc>
          <w:tcPr>
            <w:tcW w:w="5472" w:type="dxa"/>
          </w:tcPr>
          <w:p>
            <w:pPr>
              <w:pStyle w:val="yTableNAm"/>
              <w:spacing w:before="80"/>
              <w:ind w:left="567" w:hanging="567"/>
            </w:pPr>
            <w:r>
              <w:t>3.</w:t>
            </w:r>
            <w:r>
              <w:tab/>
              <w:t>Volatile organic compounds (being compounds not specified elsewhere in this Table that participate in atmospheric photochemical reactions) — </w:t>
            </w:r>
          </w:p>
        </w:tc>
        <w:tc>
          <w:tcPr>
            <w:tcW w:w="1616" w:type="dxa"/>
          </w:tcPr>
          <w:p>
            <w:pPr>
              <w:pStyle w:val="yTableNAm"/>
              <w:spacing w:before="80"/>
              <w:jc w:val="right"/>
            </w:pPr>
          </w:p>
        </w:tc>
      </w:tr>
      <w:tr>
        <w:tc>
          <w:tcPr>
            <w:tcW w:w="5472" w:type="dxa"/>
          </w:tcPr>
          <w:p>
            <w:pPr>
              <w:pStyle w:val="yTableNAm"/>
              <w:spacing w:before="80"/>
              <w:ind w:left="1134" w:hanging="1134"/>
            </w:pPr>
            <w:r>
              <w:tab/>
              <w:t>(a)</w:t>
            </w:r>
            <w:r>
              <w:tab/>
              <w:t xml:space="preserve">discharged from premises in the metropolitan region (as defined in the </w:t>
            </w:r>
            <w:r>
              <w:rPr>
                <w:i/>
                <w:iCs/>
              </w:rPr>
              <w:t>Planning and Development Act 2005</w:t>
            </w:r>
            <w:r>
              <w:t>) or the Swan Coastal Plain</w:t>
            </w:r>
          </w:p>
        </w:tc>
        <w:tc>
          <w:tcPr>
            <w:tcW w:w="1616" w:type="dxa"/>
          </w:tcPr>
          <w:p>
            <w:pPr>
              <w:pStyle w:val="yTableNAm"/>
              <w:spacing w:before="80"/>
              <w:jc w:val="right"/>
            </w:pPr>
            <w:r>
              <w:t>1</w:t>
            </w:r>
          </w:p>
        </w:tc>
      </w:tr>
      <w:tr>
        <w:tc>
          <w:tcPr>
            <w:tcW w:w="5472" w:type="dxa"/>
          </w:tcPr>
          <w:p>
            <w:pPr>
              <w:pStyle w:val="yTableNAm"/>
              <w:spacing w:before="80"/>
              <w:ind w:left="1134" w:hanging="1134"/>
            </w:pPr>
            <w:r>
              <w:tab/>
              <w:t>(b)</w:t>
            </w:r>
            <w:r>
              <w:tab/>
              <w:t>discharged from premises in any other part of the State</w:t>
            </w:r>
          </w:p>
        </w:tc>
        <w:tc>
          <w:tcPr>
            <w:tcW w:w="1616" w:type="dxa"/>
          </w:tcPr>
          <w:p>
            <w:pPr>
              <w:pStyle w:val="yTableNAm"/>
              <w:spacing w:before="80"/>
              <w:jc w:val="right"/>
            </w:pPr>
            <w:r>
              <w:t>0.1</w:t>
            </w:r>
          </w:p>
        </w:tc>
      </w:tr>
      <w:tr>
        <w:tc>
          <w:tcPr>
            <w:tcW w:w="5472" w:type="dxa"/>
          </w:tcPr>
          <w:p>
            <w:pPr>
              <w:pStyle w:val="yTableNAm"/>
              <w:spacing w:before="80"/>
            </w:pPr>
            <w:r>
              <w:t>4.</w:t>
            </w:r>
            <w:r>
              <w:tab/>
              <w:t>Inorganic fluoride</w:t>
            </w:r>
          </w:p>
        </w:tc>
        <w:tc>
          <w:tcPr>
            <w:tcW w:w="1616" w:type="dxa"/>
          </w:tcPr>
          <w:p>
            <w:pPr>
              <w:pStyle w:val="yTableNAm"/>
              <w:spacing w:before="80"/>
              <w:jc w:val="right"/>
            </w:pPr>
            <w:r>
              <w:t>2.5</w:t>
            </w:r>
          </w:p>
        </w:tc>
      </w:tr>
      <w:tr>
        <w:tc>
          <w:tcPr>
            <w:tcW w:w="5472" w:type="dxa"/>
          </w:tcPr>
          <w:p>
            <w:pPr>
              <w:pStyle w:val="yTableNAm"/>
              <w:spacing w:before="80"/>
            </w:pPr>
            <w:r>
              <w:t>5.</w:t>
            </w:r>
            <w:r>
              <w:tab/>
              <w:t>Pesticides</w:t>
            </w:r>
          </w:p>
        </w:tc>
        <w:tc>
          <w:tcPr>
            <w:tcW w:w="1616" w:type="dxa"/>
          </w:tcPr>
          <w:p>
            <w:pPr>
              <w:pStyle w:val="yTableNAm"/>
              <w:spacing w:before="80"/>
              <w:jc w:val="right"/>
            </w:pPr>
            <w:r>
              <w:t>2.5</w:t>
            </w:r>
          </w:p>
        </w:tc>
      </w:tr>
      <w:tr>
        <w:tc>
          <w:tcPr>
            <w:tcW w:w="5472" w:type="dxa"/>
          </w:tcPr>
          <w:p>
            <w:pPr>
              <w:pStyle w:val="yTableNAm"/>
              <w:spacing w:before="80"/>
              <w:ind w:left="567" w:hanging="567"/>
            </w:pPr>
            <w:r>
              <w:t>6.</w:t>
            </w:r>
            <w:r>
              <w:tab/>
              <w:t>Aluminium, arsenic, chromium, cobalt, copper, lead, manganese, molybdenum, nickel, vanadium and zinc</w:t>
            </w:r>
          </w:p>
        </w:tc>
        <w:tc>
          <w:tcPr>
            <w:tcW w:w="1616" w:type="dxa"/>
          </w:tcPr>
          <w:p>
            <w:pPr>
              <w:pStyle w:val="yTableNAm"/>
              <w:spacing w:before="80"/>
              <w:jc w:val="right"/>
            </w:pPr>
            <w:r>
              <w:t>2.5</w:t>
            </w:r>
          </w:p>
        </w:tc>
      </w:tr>
      <w:tr>
        <w:tc>
          <w:tcPr>
            <w:tcW w:w="5472" w:type="dxa"/>
          </w:tcPr>
          <w:p>
            <w:pPr>
              <w:pStyle w:val="yTableNAm"/>
              <w:spacing w:before="80"/>
              <w:ind w:left="567" w:hanging="567"/>
            </w:pPr>
            <w:r>
              <w:t>7.</w:t>
            </w:r>
            <w:r>
              <w:tab/>
              <w:t>Vinyl chloride, hydrogen sulphide, benzene carbon oxysulphide, carbon disulphide and acrylates</w:t>
            </w:r>
          </w:p>
        </w:tc>
        <w:tc>
          <w:tcPr>
            <w:tcW w:w="1616" w:type="dxa"/>
          </w:tcPr>
          <w:p>
            <w:pPr>
              <w:pStyle w:val="yTableNAm"/>
              <w:spacing w:before="80"/>
              <w:jc w:val="right"/>
            </w:pPr>
            <w:r>
              <w:t>10</w:t>
            </w:r>
          </w:p>
        </w:tc>
      </w:tr>
      <w:tr>
        <w:tc>
          <w:tcPr>
            <w:tcW w:w="5472" w:type="dxa"/>
          </w:tcPr>
          <w:p>
            <w:pPr>
              <w:pStyle w:val="yTableNAm"/>
              <w:keepNext/>
              <w:spacing w:before="80"/>
              <w:ind w:left="567" w:hanging="567"/>
            </w:pPr>
            <w:r>
              <w:t>8.</w:t>
            </w:r>
            <w:r>
              <w:tab/>
              <w:t>Beryllium, cadmium, mercury, TDI (toluene</w:t>
            </w:r>
            <w:r>
              <w:noBreakHyphen/>
              <w:t>2, 4</w:t>
            </w:r>
            <w:r>
              <w:noBreakHyphen/>
              <w:t>di</w:t>
            </w:r>
            <w:r>
              <w:noBreakHyphen/>
              <w:t>iso</w:t>
            </w:r>
            <w:r>
              <w:noBreakHyphen/>
              <w:t>cyanate), MDI (diphenyl</w:t>
            </w:r>
            <w:r>
              <w:noBreakHyphen/>
              <w:t>methane di</w:t>
            </w:r>
            <w:r>
              <w:noBreakHyphen/>
              <w:t>iso</w:t>
            </w:r>
            <w:r>
              <w:noBreakHyphen/>
              <w:t>cyanate)</w:t>
            </w:r>
          </w:p>
        </w:tc>
        <w:tc>
          <w:tcPr>
            <w:tcW w:w="1616" w:type="dxa"/>
          </w:tcPr>
          <w:p>
            <w:pPr>
              <w:pStyle w:val="yTableNAm"/>
              <w:keepNext/>
              <w:spacing w:before="80"/>
              <w:jc w:val="right"/>
            </w:pPr>
            <w:r>
              <w:t>100</w:t>
            </w:r>
          </w:p>
        </w:tc>
      </w:tr>
      <w:tr>
        <w:tc>
          <w:tcPr>
            <w:tcW w:w="5472" w:type="dxa"/>
          </w:tcPr>
          <w:p>
            <w:pPr>
              <w:pStyle w:val="yTableNAm"/>
              <w:spacing w:before="80"/>
            </w:pPr>
            <w:r>
              <w:t>9.</w:t>
            </w:r>
            <w:r>
              <w:tab/>
              <w:t>Other waste</w:t>
            </w:r>
          </w:p>
        </w:tc>
        <w:tc>
          <w:tcPr>
            <w:tcW w:w="1616" w:type="dxa"/>
          </w:tcPr>
          <w:p>
            <w:pPr>
              <w:pStyle w:val="yTableNAm"/>
              <w:spacing w:before="80"/>
              <w:jc w:val="right"/>
            </w:pPr>
            <w:r>
              <w:t>1</w:t>
            </w:r>
          </w:p>
        </w:tc>
      </w:tr>
    </w:tbl>
    <w:p>
      <w:pPr>
        <w:pStyle w:val="yTable"/>
        <w:widowControl w:val="0"/>
        <w:spacing w:before="240" w:after="80"/>
        <w:jc w:val="center"/>
        <w:rPr>
          <w:b/>
        </w:rPr>
      </w:pPr>
      <w:r>
        <w:rPr>
          <w:b/>
        </w:rPr>
        <w:t>Table 2 — Discharges onto land or into waters</w:t>
      </w:r>
    </w:p>
    <w:tbl>
      <w:tblPr>
        <w:tblW w:w="0" w:type="auto"/>
        <w:tblInd w:w="141" w:type="dxa"/>
        <w:tblLayout w:type="fixed"/>
        <w:tblCellMar>
          <w:left w:w="141" w:type="dxa"/>
          <w:right w:w="141" w:type="dxa"/>
        </w:tblCellMar>
        <w:tblLook w:val="0000" w:firstRow="0" w:lastRow="0" w:firstColumn="0" w:lastColumn="0" w:noHBand="0" w:noVBand="0"/>
      </w:tblPr>
      <w:tblGrid>
        <w:gridCol w:w="5472"/>
        <w:gridCol w:w="1616"/>
      </w:tblGrid>
      <w:tr>
        <w:trPr>
          <w:tblHeader/>
        </w:trPr>
        <w:tc>
          <w:tcPr>
            <w:tcW w:w="5472" w:type="dxa"/>
          </w:tcPr>
          <w:p>
            <w:pPr>
              <w:pStyle w:val="yTableNAm"/>
              <w:ind w:left="567" w:hanging="567"/>
              <w:rPr>
                <w:b/>
              </w:rPr>
            </w:pPr>
            <w:r>
              <w:rPr>
                <w:b/>
              </w:rPr>
              <w:t>Kind of waste</w:t>
            </w:r>
          </w:p>
        </w:tc>
        <w:tc>
          <w:tcPr>
            <w:tcW w:w="1616" w:type="dxa"/>
          </w:tcPr>
          <w:p>
            <w:pPr>
              <w:pStyle w:val="yTableNAm"/>
              <w:keepNext/>
              <w:ind w:left="567" w:hanging="567"/>
              <w:jc w:val="center"/>
              <w:rPr>
                <w:b/>
              </w:rPr>
            </w:pPr>
            <w:r>
              <w:rPr>
                <w:b/>
              </w:rPr>
              <w:t>Fee units</w:t>
            </w:r>
          </w:p>
        </w:tc>
      </w:tr>
      <w:tr>
        <w:tc>
          <w:tcPr>
            <w:tcW w:w="5472" w:type="dxa"/>
          </w:tcPr>
          <w:p>
            <w:pPr>
              <w:pStyle w:val="yTableNAm"/>
              <w:spacing w:before="100"/>
              <w:ind w:left="567" w:hanging="567"/>
            </w:pPr>
            <w:r>
              <w:t>1.</w:t>
            </w:r>
            <w:r>
              <w:tab/>
              <w:t>Liquid waste that can potentially deprive receiving waters of oxygen (for each kilogram discharged per day) —</w:t>
            </w:r>
          </w:p>
          <w:p>
            <w:pPr>
              <w:pStyle w:val="yTableNAm"/>
              <w:spacing w:before="100"/>
              <w:ind w:left="1134" w:hanging="1134"/>
            </w:pPr>
            <w:r>
              <w:tab/>
              <w:t>(a)</w:t>
            </w:r>
            <w:r>
              <w:tab/>
              <w:t>biochemical oxygen demand (in the absence of chemical oxygen demand limit)</w:t>
            </w:r>
          </w:p>
          <w:p>
            <w:pPr>
              <w:pStyle w:val="yTableNAm"/>
              <w:spacing w:before="100"/>
              <w:ind w:left="1134" w:hanging="1134"/>
            </w:pPr>
            <w:r>
              <w:tab/>
              <w:t>(b)</w:t>
            </w:r>
            <w:r>
              <w:tab/>
              <w:t>chemical oxygen demand (in the absence of total organic carbon limit)</w:t>
            </w:r>
          </w:p>
          <w:p>
            <w:pPr>
              <w:pStyle w:val="yTableNAm"/>
              <w:spacing w:before="100"/>
              <w:ind w:left="567" w:hanging="567"/>
            </w:pPr>
            <w:r>
              <w:tab/>
              <w:t>(c)</w:t>
            </w:r>
            <w:r>
              <w:tab/>
              <w:t>total organic carbon</w:t>
            </w:r>
          </w:p>
        </w:tc>
        <w:tc>
          <w:tcPr>
            <w:tcW w:w="1616" w:type="dxa"/>
          </w:tcPr>
          <w:p>
            <w:pPr>
              <w:pStyle w:val="yTableNAm"/>
              <w:keepNext/>
              <w:spacing w:before="100"/>
              <w:ind w:left="567" w:hanging="567"/>
              <w:jc w:val="right"/>
            </w:pPr>
            <w:r>
              <w:br/>
            </w:r>
            <w:r>
              <w:br/>
            </w:r>
          </w:p>
          <w:p>
            <w:pPr>
              <w:pStyle w:val="yTableNAm"/>
              <w:keepNext/>
              <w:spacing w:before="100"/>
              <w:ind w:left="567" w:hanging="567"/>
              <w:jc w:val="right"/>
            </w:pPr>
            <w:r>
              <w:t>0.5</w:t>
            </w:r>
            <w:r>
              <w:br/>
            </w:r>
          </w:p>
          <w:p>
            <w:pPr>
              <w:pStyle w:val="yTableNAm"/>
              <w:keepNext/>
              <w:spacing w:before="100"/>
              <w:ind w:left="567" w:hanging="567"/>
              <w:jc w:val="right"/>
            </w:pPr>
            <w:r>
              <w:t>1</w:t>
            </w:r>
            <w:r>
              <w:br/>
            </w:r>
          </w:p>
          <w:p>
            <w:pPr>
              <w:pStyle w:val="yTableNAm"/>
              <w:keepNext/>
              <w:spacing w:before="100"/>
              <w:ind w:left="567" w:hanging="567"/>
              <w:jc w:val="right"/>
            </w:pPr>
            <w:r>
              <w:t>0.5</w:t>
            </w:r>
          </w:p>
        </w:tc>
      </w:tr>
      <w:tr>
        <w:tc>
          <w:tcPr>
            <w:tcW w:w="5472" w:type="dxa"/>
          </w:tcPr>
          <w:p>
            <w:pPr>
              <w:pStyle w:val="yTableNAm"/>
              <w:spacing w:before="100"/>
              <w:ind w:left="567" w:hanging="567"/>
            </w:pPr>
            <w:r>
              <w:t>2.</w:t>
            </w:r>
            <w:r>
              <w:tab/>
              <w:t>Biostimulants (for each kilogram discharged per day) —</w:t>
            </w:r>
          </w:p>
          <w:p>
            <w:pPr>
              <w:pStyle w:val="yTableNAm"/>
              <w:spacing w:before="100"/>
              <w:ind w:left="567" w:hanging="567"/>
            </w:pPr>
            <w:r>
              <w:tab/>
              <w:t>(a)</w:t>
            </w:r>
            <w:r>
              <w:tab/>
              <w:t>phosphorus —</w:t>
            </w:r>
          </w:p>
          <w:p>
            <w:pPr>
              <w:pStyle w:val="yTableNAm"/>
              <w:spacing w:before="100"/>
              <w:ind w:left="567" w:hanging="567"/>
            </w:pPr>
            <w:r>
              <w:tab/>
            </w:r>
            <w:r>
              <w:tab/>
              <w:t>(i)</w:t>
            </w:r>
            <w:r>
              <w:tab/>
              <w:t>Swan Coastal Plain</w:t>
            </w:r>
          </w:p>
          <w:p>
            <w:pPr>
              <w:pStyle w:val="yTableNAm"/>
              <w:spacing w:before="100"/>
              <w:ind w:left="567" w:hanging="567"/>
            </w:pPr>
            <w:r>
              <w:tab/>
            </w:r>
            <w:r>
              <w:tab/>
              <w:t>(ii)</w:t>
            </w:r>
            <w:r>
              <w:tab/>
              <w:t>elsewhere</w:t>
            </w:r>
          </w:p>
        </w:tc>
        <w:tc>
          <w:tcPr>
            <w:tcW w:w="1616" w:type="dxa"/>
          </w:tcPr>
          <w:p>
            <w:pPr>
              <w:pStyle w:val="yTableNAm"/>
              <w:spacing w:before="100"/>
              <w:ind w:left="567" w:hanging="567"/>
              <w:jc w:val="right"/>
            </w:pPr>
            <w:r>
              <w:br/>
            </w:r>
          </w:p>
          <w:p>
            <w:pPr>
              <w:pStyle w:val="yTableNAm"/>
              <w:spacing w:before="100"/>
              <w:ind w:left="567" w:hanging="567"/>
              <w:jc w:val="right"/>
            </w:pPr>
          </w:p>
          <w:p>
            <w:pPr>
              <w:pStyle w:val="yTableNAm"/>
              <w:spacing w:before="100"/>
              <w:ind w:left="567" w:hanging="567"/>
              <w:jc w:val="right"/>
            </w:pPr>
            <w:r>
              <w:t>10</w:t>
            </w:r>
          </w:p>
          <w:p>
            <w:pPr>
              <w:pStyle w:val="yTableNAm"/>
              <w:spacing w:before="100"/>
              <w:ind w:left="567" w:hanging="567"/>
              <w:jc w:val="right"/>
            </w:pPr>
            <w:r>
              <w:t>2</w:t>
            </w:r>
          </w:p>
        </w:tc>
      </w:tr>
      <w:tr>
        <w:trPr>
          <w:cantSplit/>
        </w:trPr>
        <w:tc>
          <w:tcPr>
            <w:tcW w:w="5472" w:type="dxa"/>
          </w:tcPr>
          <w:p>
            <w:pPr>
              <w:pStyle w:val="yTableNAm"/>
              <w:spacing w:before="80"/>
              <w:ind w:left="567" w:hanging="567"/>
            </w:pPr>
            <w:r>
              <w:tab/>
              <w:t>(b)</w:t>
            </w:r>
            <w:r>
              <w:tab/>
              <w:t>total nitrogen —</w:t>
            </w:r>
          </w:p>
          <w:p>
            <w:pPr>
              <w:pStyle w:val="yTableNAm"/>
              <w:spacing w:before="80"/>
              <w:ind w:left="567" w:hanging="567"/>
            </w:pPr>
            <w:r>
              <w:tab/>
            </w:r>
            <w:r>
              <w:tab/>
              <w:t>(i)</w:t>
            </w:r>
            <w:r>
              <w:tab/>
              <w:t>Swan Coastal Plain</w:t>
            </w:r>
          </w:p>
          <w:p>
            <w:pPr>
              <w:pStyle w:val="yTableNAm"/>
              <w:spacing w:before="80"/>
              <w:ind w:left="567" w:hanging="567"/>
            </w:pPr>
            <w:r>
              <w:tab/>
            </w:r>
            <w:r>
              <w:tab/>
              <w:t>(ii)</w:t>
            </w:r>
            <w:r>
              <w:tab/>
              <w:t>elsewhere</w:t>
            </w:r>
          </w:p>
        </w:tc>
        <w:tc>
          <w:tcPr>
            <w:tcW w:w="1616" w:type="dxa"/>
          </w:tcPr>
          <w:p>
            <w:pPr>
              <w:pStyle w:val="yTableNAm"/>
              <w:spacing w:before="80"/>
              <w:ind w:left="567" w:hanging="567"/>
              <w:jc w:val="right"/>
            </w:pPr>
          </w:p>
          <w:p>
            <w:pPr>
              <w:pStyle w:val="yTableNAm"/>
              <w:spacing w:before="80"/>
              <w:ind w:left="567" w:hanging="567"/>
              <w:jc w:val="right"/>
            </w:pPr>
            <w:r>
              <w:t>10</w:t>
            </w:r>
          </w:p>
          <w:p>
            <w:pPr>
              <w:pStyle w:val="yTableNAm"/>
              <w:spacing w:before="80"/>
              <w:ind w:left="567" w:hanging="567"/>
              <w:jc w:val="right"/>
            </w:pPr>
            <w:r>
              <w:t>2</w:t>
            </w:r>
          </w:p>
        </w:tc>
      </w:tr>
      <w:tr>
        <w:tc>
          <w:tcPr>
            <w:tcW w:w="5472" w:type="dxa"/>
          </w:tcPr>
          <w:p>
            <w:pPr>
              <w:pStyle w:val="yTableNAm"/>
              <w:spacing w:before="80"/>
              <w:ind w:left="567" w:hanging="567"/>
            </w:pPr>
            <w:r>
              <w:t>3.</w:t>
            </w:r>
            <w:r>
              <w:tab/>
              <w:t>Liquid waste that physically alters the characteristics of naturally occurring waters —</w:t>
            </w:r>
          </w:p>
          <w:p>
            <w:pPr>
              <w:pStyle w:val="yTableNAm"/>
              <w:spacing w:before="80"/>
              <w:ind w:left="1134" w:hanging="1134"/>
            </w:pPr>
            <w:r>
              <w:tab/>
              <w:t>(a)</w:t>
            </w:r>
            <w:r>
              <w:tab/>
              <w:t>total suspended solids (for each kilogram discharged per day)</w:t>
            </w:r>
          </w:p>
          <w:p>
            <w:pPr>
              <w:pStyle w:val="yTableNAm"/>
              <w:spacing w:before="80"/>
              <w:ind w:left="1134" w:hanging="1134"/>
            </w:pPr>
            <w:r>
              <w:tab/>
              <w:t>(b)</w:t>
            </w:r>
            <w:r>
              <w:tab/>
              <w:t>surfactants (for each kilogram discharged per day)</w:t>
            </w:r>
          </w:p>
        </w:tc>
        <w:tc>
          <w:tcPr>
            <w:tcW w:w="1616" w:type="dxa"/>
          </w:tcPr>
          <w:p>
            <w:pPr>
              <w:pStyle w:val="yTableNAm"/>
              <w:spacing w:before="80"/>
              <w:ind w:left="567" w:hanging="567"/>
              <w:jc w:val="right"/>
            </w:pPr>
            <w:r>
              <w:br/>
            </w:r>
          </w:p>
          <w:p>
            <w:pPr>
              <w:pStyle w:val="yTableNAm"/>
              <w:spacing w:before="80"/>
              <w:ind w:left="567" w:hanging="567"/>
              <w:jc w:val="right"/>
            </w:pPr>
            <w:r>
              <w:t>0.5</w:t>
            </w:r>
            <w:r>
              <w:br/>
            </w:r>
          </w:p>
          <w:p>
            <w:pPr>
              <w:pStyle w:val="yTableNAm"/>
              <w:spacing w:before="80"/>
              <w:ind w:left="567" w:hanging="567"/>
              <w:jc w:val="right"/>
            </w:pPr>
            <w:r>
              <w:t>10</w:t>
            </w:r>
          </w:p>
        </w:tc>
      </w:tr>
      <w:tr>
        <w:tc>
          <w:tcPr>
            <w:tcW w:w="5472" w:type="dxa"/>
          </w:tcPr>
          <w:p>
            <w:pPr>
              <w:pStyle w:val="yTableNAm"/>
              <w:spacing w:before="80"/>
              <w:ind w:left="1134" w:hanging="1134"/>
            </w:pPr>
            <w:r>
              <w:tab/>
              <w:t>(c)</w:t>
            </w:r>
            <w:r>
              <w:tab/>
              <w:t>colour alteration (for each platinum cobalt unit of colour above the ambient colour of the waters in each megalitre discharged per day)</w:t>
            </w:r>
          </w:p>
        </w:tc>
        <w:tc>
          <w:tcPr>
            <w:tcW w:w="1616" w:type="dxa"/>
          </w:tcPr>
          <w:p>
            <w:pPr>
              <w:pStyle w:val="yTableNAm"/>
              <w:spacing w:before="80"/>
              <w:ind w:left="567" w:hanging="567"/>
              <w:jc w:val="right"/>
            </w:pPr>
            <w:r>
              <w:t>0.05</w:t>
            </w:r>
          </w:p>
        </w:tc>
      </w:tr>
      <w:tr>
        <w:trPr>
          <w:cantSplit/>
        </w:trPr>
        <w:tc>
          <w:tcPr>
            <w:tcW w:w="5472" w:type="dxa"/>
          </w:tcPr>
          <w:p>
            <w:pPr>
              <w:pStyle w:val="yTableNAm"/>
              <w:spacing w:before="80"/>
              <w:ind w:left="1134" w:hanging="1134"/>
            </w:pPr>
            <w:r>
              <w:tab/>
              <w:t>(d)</w:t>
            </w:r>
            <w:r>
              <w:tab/>
              <w:t>temperature alteration (for each 1°C above the ambient temperature of the waters in each megalitre discharged per day) —</w:t>
            </w:r>
          </w:p>
          <w:p>
            <w:pPr>
              <w:pStyle w:val="yTableNAm"/>
              <w:tabs>
                <w:tab w:val="left" w:pos="1135"/>
              </w:tabs>
              <w:spacing w:before="80"/>
              <w:ind w:left="1701" w:hanging="1701"/>
            </w:pPr>
            <w:r>
              <w:tab/>
            </w:r>
            <w:r>
              <w:tab/>
              <w:t>(i)</w:t>
            </w:r>
            <w:r>
              <w:tab/>
              <w:t>in the sea south of the Tropic of Capricorn</w:t>
            </w:r>
          </w:p>
          <w:p>
            <w:pPr>
              <w:pStyle w:val="yTableNAm"/>
              <w:spacing w:before="80"/>
              <w:ind w:left="567" w:hanging="567"/>
            </w:pPr>
            <w:r>
              <w:tab/>
            </w:r>
            <w:r>
              <w:tab/>
              <w:t>(ii)</w:t>
            </w:r>
            <w:r>
              <w:tab/>
              <w:t>in other waters</w:t>
            </w:r>
          </w:p>
        </w:tc>
        <w:tc>
          <w:tcPr>
            <w:tcW w:w="1616" w:type="dxa"/>
          </w:tcPr>
          <w:p>
            <w:pPr>
              <w:pStyle w:val="yTableNAm"/>
              <w:spacing w:before="80"/>
              <w:ind w:left="567" w:hanging="567"/>
              <w:jc w:val="right"/>
            </w:pPr>
            <w:r>
              <w:br/>
            </w:r>
            <w:r>
              <w:br/>
            </w:r>
          </w:p>
          <w:p>
            <w:pPr>
              <w:pStyle w:val="yTableNAm"/>
              <w:spacing w:before="80"/>
              <w:ind w:left="567" w:hanging="567"/>
              <w:jc w:val="right"/>
            </w:pPr>
            <w:r>
              <w:t>0.05</w:t>
            </w:r>
            <w:r>
              <w:br/>
            </w:r>
          </w:p>
          <w:p>
            <w:pPr>
              <w:pStyle w:val="yTableNAm"/>
              <w:spacing w:before="80"/>
              <w:ind w:left="567" w:hanging="567"/>
              <w:jc w:val="right"/>
            </w:pPr>
            <w:r>
              <w:t>0.25</w:t>
            </w:r>
          </w:p>
        </w:tc>
      </w:tr>
      <w:tr>
        <w:tc>
          <w:tcPr>
            <w:tcW w:w="5472" w:type="dxa"/>
          </w:tcPr>
          <w:p>
            <w:pPr>
              <w:pStyle w:val="yTableNAm"/>
              <w:spacing w:before="80"/>
              <w:ind w:left="567" w:hanging="567"/>
            </w:pPr>
            <w:r>
              <w:t>4.</w:t>
            </w:r>
            <w:r>
              <w:tab/>
              <w:t>Waste that can potentially accumulate in the environment or living tissue (for each kilogram discharged per day) —</w:t>
            </w:r>
          </w:p>
          <w:p>
            <w:pPr>
              <w:pStyle w:val="yTableNAm"/>
              <w:spacing w:before="80"/>
              <w:ind w:left="1134" w:hanging="1134"/>
            </w:pPr>
            <w:r>
              <w:tab/>
              <w:t>(a)</w:t>
            </w:r>
            <w:r>
              <w:tab/>
              <w:t>aluminium, arsenic, cadmium, chromium, cobalt, copper, lead, mercury, molybdenum, nickel, vanadium and zinc</w:t>
            </w:r>
          </w:p>
        </w:tc>
        <w:tc>
          <w:tcPr>
            <w:tcW w:w="1616" w:type="dxa"/>
          </w:tcPr>
          <w:p>
            <w:pPr>
              <w:pStyle w:val="yTableNAm"/>
              <w:spacing w:before="80"/>
              <w:ind w:left="567" w:hanging="567"/>
              <w:jc w:val="right"/>
            </w:pPr>
            <w:r>
              <w:br/>
            </w:r>
            <w:r>
              <w:br/>
            </w:r>
          </w:p>
          <w:p>
            <w:pPr>
              <w:pStyle w:val="yTableNAm"/>
              <w:spacing w:before="80"/>
              <w:ind w:left="567" w:hanging="567"/>
              <w:jc w:val="right"/>
              <w:rPr>
                <w:b/>
              </w:rPr>
            </w:pPr>
            <w:r>
              <w:t>100</w:t>
            </w:r>
          </w:p>
        </w:tc>
      </w:tr>
      <w:tr>
        <w:tc>
          <w:tcPr>
            <w:tcW w:w="5472" w:type="dxa"/>
          </w:tcPr>
          <w:p>
            <w:pPr>
              <w:pStyle w:val="yTableNAm"/>
              <w:spacing w:before="80"/>
              <w:ind w:left="567" w:hanging="567"/>
            </w:pPr>
            <w:r>
              <w:tab/>
              <w:t>(b)</w:t>
            </w:r>
            <w:r>
              <w:tab/>
              <w:t>pesticides</w:t>
            </w:r>
          </w:p>
          <w:p>
            <w:pPr>
              <w:pStyle w:val="yTableNAm"/>
              <w:spacing w:before="80"/>
              <w:ind w:left="567" w:hanging="567"/>
            </w:pPr>
            <w:r>
              <w:tab/>
              <w:t>(c)</w:t>
            </w:r>
            <w:r>
              <w:tab/>
              <w:t>fish tainting wastes</w:t>
            </w:r>
          </w:p>
          <w:p>
            <w:pPr>
              <w:pStyle w:val="yTableNAm"/>
              <w:spacing w:before="80"/>
              <w:ind w:left="567" w:hanging="567"/>
            </w:pPr>
            <w:r>
              <w:tab/>
              <w:t>(d)</w:t>
            </w:r>
            <w:r>
              <w:tab/>
              <w:t>manganese</w:t>
            </w:r>
          </w:p>
        </w:tc>
        <w:tc>
          <w:tcPr>
            <w:tcW w:w="1616" w:type="dxa"/>
          </w:tcPr>
          <w:p>
            <w:pPr>
              <w:pStyle w:val="yTableNAm"/>
              <w:spacing w:before="80"/>
              <w:ind w:left="567" w:hanging="567"/>
              <w:jc w:val="right"/>
            </w:pPr>
            <w:r>
              <w:t>100</w:t>
            </w:r>
          </w:p>
          <w:p>
            <w:pPr>
              <w:pStyle w:val="yTableNAm"/>
              <w:spacing w:before="80"/>
              <w:ind w:left="567" w:hanging="567"/>
              <w:jc w:val="right"/>
            </w:pPr>
            <w:r>
              <w:t>100</w:t>
            </w:r>
          </w:p>
          <w:p>
            <w:pPr>
              <w:pStyle w:val="yTableNAm"/>
              <w:spacing w:before="80"/>
              <w:ind w:left="567" w:hanging="567"/>
              <w:jc w:val="right"/>
            </w:pPr>
            <w:r>
              <w:t>10</w:t>
            </w:r>
          </w:p>
        </w:tc>
      </w:tr>
      <w:tr>
        <w:tc>
          <w:tcPr>
            <w:tcW w:w="5472" w:type="dxa"/>
          </w:tcPr>
          <w:p>
            <w:pPr>
              <w:pStyle w:val="yTableNAm"/>
              <w:spacing w:before="80"/>
              <w:ind w:left="567" w:hanging="567"/>
            </w:pPr>
            <w:r>
              <w:t>5.</w:t>
            </w:r>
            <w:r>
              <w:tab/>
              <w:t>E coli bacteria as indicator species (in each megalitre discharged per day) —</w:t>
            </w:r>
          </w:p>
          <w:p>
            <w:pPr>
              <w:pStyle w:val="yTableNAm"/>
              <w:spacing w:before="80"/>
              <w:ind w:left="567" w:hanging="567"/>
            </w:pPr>
            <w:r>
              <w:tab/>
              <w:t>(a)</w:t>
            </w:r>
            <w:r>
              <w:tab/>
              <w:t>1 000 to 5 000 organisms per 100 ml</w:t>
            </w:r>
          </w:p>
          <w:p>
            <w:pPr>
              <w:pStyle w:val="yTableNAm"/>
              <w:spacing w:before="80"/>
              <w:ind w:left="567" w:hanging="567"/>
            </w:pPr>
            <w:r>
              <w:tab/>
              <w:t>(b)</w:t>
            </w:r>
            <w:r>
              <w:tab/>
              <w:t>5 000 to 20 000 organisms per 100 ml</w:t>
            </w:r>
          </w:p>
          <w:p>
            <w:pPr>
              <w:pStyle w:val="yTableNAm"/>
              <w:spacing w:before="80"/>
              <w:ind w:left="567" w:hanging="567"/>
            </w:pPr>
            <w:r>
              <w:tab/>
              <w:t>(c)</w:t>
            </w:r>
            <w:r>
              <w:tab/>
              <w:t>more than 20 000 organisms per 100 ml</w:t>
            </w:r>
          </w:p>
        </w:tc>
        <w:tc>
          <w:tcPr>
            <w:tcW w:w="1616" w:type="dxa"/>
          </w:tcPr>
          <w:p>
            <w:pPr>
              <w:pStyle w:val="yTableNAm"/>
              <w:spacing w:before="80"/>
              <w:ind w:left="567" w:hanging="567"/>
              <w:jc w:val="right"/>
            </w:pPr>
          </w:p>
          <w:p>
            <w:pPr>
              <w:pStyle w:val="yTableNAm"/>
              <w:spacing w:before="0"/>
              <w:ind w:left="567" w:hanging="567"/>
              <w:jc w:val="right"/>
            </w:pPr>
          </w:p>
          <w:p>
            <w:pPr>
              <w:pStyle w:val="yTableNAm"/>
              <w:spacing w:before="80"/>
              <w:ind w:left="567" w:hanging="567"/>
              <w:jc w:val="right"/>
            </w:pPr>
            <w:r>
              <w:t>5</w:t>
            </w:r>
          </w:p>
          <w:p>
            <w:pPr>
              <w:pStyle w:val="yTableNAm"/>
              <w:spacing w:before="80"/>
              <w:ind w:left="567" w:hanging="567"/>
              <w:jc w:val="right"/>
            </w:pPr>
            <w:r>
              <w:t>10</w:t>
            </w:r>
          </w:p>
          <w:p>
            <w:pPr>
              <w:pStyle w:val="yTableNAm"/>
              <w:spacing w:before="80"/>
              <w:ind w:left="567" w:hanging="567"/>
              <w:jc w:val="right"/>
            </w:pPr>
            <w:r>
              <w:t>15</w:t>
            </w:r>
          </w:p>
        </w:tc>
      </w:tr>
      <w:tr>
        <w:tc>
          <w:tcPr>
            <w:tcW w:w="5472" w:type="dxa"/>
          </w:tcPr>
          <w:p>
            <w:pPr>
              <w:pStyle w:val="yTableNAm"/>
              <w:keepNext/>
              <w:keepLines/>
              <w:spacing w:before="80"/>
              <w:ind w:left="567" w:hanging="567"/>
            </w:pPr>
            <w:r>
              <w:t>6.</w:t>
            </w:r>
            <w:r>
              <w:tab/>
              <w:t>Other waste (per kilogram discharged per day) —</w:t>
            </w:r>
          </w:p>
          <w:p>
            <w:pPr>
              <w:pStyle w:val="yTableNAm"/>
              <w:keepNext/>
              <w:keepLines/>
              <w:spacing w:before="80"/>
              <w:ind w:left="567" w:hanging="567"/>
            </w:pPr>
            <w:r>
              <w:tab/>
              <w:t>(a)</w:t>
            </w:r>
            <w:r>
              <w:tab/>
              <w:t>oil and grease</w:t>
            </w:r>
          </w:p>
          <w:p>
            <w:pPr>
              <w:pStyle w:val="yTableNAm"/>
              <w:keepNext/>
              <w:keepLines/>
              <w:spacing w:before="80"/>
              <w:ind w:left="567" w:hanging="567"/>
            </w:pPr>
            <w:r>
              <w:tab/>
              <w:t>(b)</w:t>
            </w:r>
            <w:r>
              <w:tab/>
              <w:t>total dissolved solids</w:t>
            </w:r>
          </w:p>
          <w:p>
            <w:pPr>
              <w:pStyle w:val="yTableNAm"/>
              <w:keepNext/>
              <w:keepLines/>
              <w:spacing w:before="80"/>
              <w:ind w:left="567" w:hanging="567"/>
            </w:pPr>
            <w:r>
              <w:tab/>
              <w:t>(c)</w:t>
            </w:r>
            <w:r>
              <w:tab/>
              <w:t>fluoride</w:t>
            </w:r>
          </w:p>
          <w:p>
            <w:pPr>
              <w:pStyle w:val="yTableNAm"/>
              <w:keepNext/>
              <w:keepLines/>
              <w:spacing w:before="80"/>
              <w:ind w:left="567" w:hanging="567"/>
            </w:pPr>
            <w:r>
              <w:tab/>
              <w:t>(d)</w:t>
            </w:r>
            <w:r>
              <w:tab/>
              <w:t>iron</w:t>
            </w:r>
          </w:p>
        </w:tc>
        <w:tc>
          <w:tcPr>
            <w:tcW w:w="1616" w:type="dxa"/>
          </w:tcPr>
          <w:p>
            <w:pPr>
              <w:pStyle w:val="yTableNAm"/>
              <w:keepNext/>
              <w:keepLines/>
              <w:spacing w:before="80"/>
              <w:ind w:left="567" w:hanging="567"/>
              <w:jc w:val="right"/>
            </w:pPr>
          </w:p>
          <w:p>
            <w:pPr>
              <w:pStyle w:val="yTableNAm"/>
              <w:keepNext/>
              <w:keepLines/>
              <w:spacing w:before="80"/>
              <w:ind w:left="567" w:hanging="567"/>
              <w:jc w:val="right"/>
            </w:pPr>
            <w:r>
              <w:t>0.05</w:t>
            </w:r>
          </w:p>
          <w:p>
            <w:pPr>
              <w:pStyle w:val="yTableNAm"/>
              <w:keepNext/>
              <w:keepLines/>
              <w:spacing w:before="80"/>
              <w:ind w:left="567" w:hanging="567"/>
              <w:jc w:val="right"/>
            </w:pPr>
            <w:r>
              <w:t>0.05</w:t>
            </w:r>
          </w:p>
          <w:p>
            <w:pPr>
              <w:pStyle w:val="yTableNAm"/>
              <w:keepNext/>
              <w:keepLines/>
              <w:spacing w:before="80"/>
              <w:ind w:left="567" w:hanging="567"/>
              <w:jc w:val="right"/>
            </w:pPr>
            <w:r>
              <w:t>1</w:t>
            </w:r>
          </w:p>
          <w:p>
            <w:pPr>
              <w:pStyle w:val="yTableNAm"/>
              <w:keepNext/>
              <w:keepLines/>
              <w:spacing w:before="80"/>
              <w:ind w:left="567" w:hanging="567"/>
              <w:jc w:val="right"/>
            </w:pPr>
            <w:r>
              <w:t>1</w:t>
            </w:r>
          </w:p>
        </w:tc>
      </w:tr>
      <w:tr>
        <w:tc>
          <w:tcPr>
            <w:tcW w:w="5472" w:type="dxa"/>
          </w:tcPr>
          <w:p>
            <w:pPr>
              <w:pStyle w:val="yTableNAm"/>
              <w:keepNext/>
              <w:keepLines/>
              <w:spacing w:before="80"/>
              <w:ind w:left="567" w:hanging="567"/>
            </w:pPr>
            <w:r>
              <w:tab/>
              <w:t>(e)</w:t>
            </w:r>
            <w:r>
              <w:tab/>
              <w:t>total residual chlorine</w:t>
            </w:r>
          </w:p>
          <w:p>
            <w:pPr>
              <w:pStyle w:val="yTableNAm"/>
              <w:keepNext/>
              <w:keepLines/>
              <w:spacing w:before="80"/>
              <w:ind w:left="567" w:hanging="567"/>
            </w:pPr>
            <w:r>
              <w:tab/>
              <w:t>(f)</w:t>
            </w:r>
            <w:r>
              <w:tab/>
              <w:t>other</w:t>
            </w:r>
          </w:p>
        </w:tc>
        <w:tc>
          <w:tcPr>
            <w:tcW w:w="1616" w:type="dxa"/>
          </w:tcPr>
          <w:p>
            <w:pPr>
              <w:pStyle w:val="yTableNAm"/>
              <w:keepNext/>
              <w:keepLines/>
              <w:spacing w:before="80"/>
              <w:ind w:left="567" w:hanging="567"/>
              <w:jc w:val="right"/>
            </w:pPr>
            <w:r>
              <w:t>10</w:t>
            </w:r>
          </w:p>
          <w:p>
            <w:pPr>
              <w:pStyle w:val="yTableNAm"/>
              <w:keepNext/>
              <w:keepLines/>
              <w:spacing w:before="80"/>
              <w:ind w:left="567" w:hanging="567"/>
              <w:jc w:val="right"/>
            </w:pPr>
            <w:r>
              <w:t>1</w:t>
            </w:r>
          </w:p>
        </w:tc>
      </w:tr>
    </w:tbl>
    <w:p>
      <w:pPr>
        <w:pStyle w:val="yFootnotesection"/>
        <w:keepNext/>
      </w:pPr>
      <w:r>
        <w:tab/>
        <w:t>[Part 3 inserted in Gazette 13 Sep 1996 p. 4565</w:t>
      </w:r>
      <w:r>
        <w:noBreakHyphen/>
        <w:t>7; amended in Gazette 10 Dec 1996 p. 6878; 15 Aug 2000 p. 4718; 29 Sep 2006 p. 4266; 22 Jun 2007 p. 2844.]</w:t>
      </w:r>
    </w:p>
    <w:p>
      <w:pPr>
        <w:pStyle w:val="yScheduleHeading"/>
      </w:pPr>
      <w:bookmarkStart w:id="107" w:name="_Toc404948617"/>
      <w:r>
        <w:rPr>
          <w:rStyle w:val="CharSchNo"/>
        </w:rPr>
        <w:t>Schedule 5</w:t>
      </w:r>
      <w:r>
        <w:t xml:space="preserve"> — </w:t>
      </w:r>
      <w:smartTag w:uri="urn:schemas-microsoft-com:office:smarttags" w:element="place">
        <w:smartTag w:uri="urn:schemas-microsoft-com:office:smarttags" w:element="City">
          <w:r>
            <w:rPr>
              <w:rStyle w:val="CharSchText"/>
            </w:rPr>
            <w:t>Tyre</w:t>
          </w:r>
        </w:smartTag>
      </w:smartTag>
      <w:r>
        <w:rPr>
          <w:rStyle w:val="CharSchText"/>
        </w:rPr>
        <w:t xml:space="preserve"> landfill exclusion zone</w:t>
      </w:r>
      <w:bookmarkEnd w:id="107"/>
    </w:p>
    <w:p>
      <w:pPr>
        <w:pStyle w:val="yShoulderClause"/>
        <w:rPr>
          <w:snapToGrid w:val="0"/>
        </w:rPr>
      </w:pPr>
      <w:r>
        <w:rPr>
          <w:snapToGrid w:val="0"/>
        </w:rPr>
        <w:t>[r. 11(1)]</w:t>
      </w:r>
    </w:p>
    <w:p>
      <w:pPr>
        <w:pStyle w:val="yFootnoteheading"/>
      </w:pPr>
      <w:r>
        <w:tab/>
        <w:t>[Heading inserted in Gazette 10 Dec 1996 p. 6879.]</w:t>
      </w:r>
    </w:p>
    <w:p>
      <w:pPr>
        <w:pStyle w:val="yHeading3"/>
      </w:pPr>
      <w:bookmarkStart w:id="108" w:name="_Toc404948618"/>
      <w:r>
        <w:rPr>
          <w:rStyle w:val="CharSDivNo"/>
          <w:sz w:val="28"/>
        </w:rPr>
        <w:t>Part 1</w:t>
      </w:r>
      <w:r>
        <w:t> — </w:t>
      </w:r>
      <w:r>
        <w:rPr>
          <w:rStyle w:val="CharSDivText"/>
          <w:sz w:val="28"/>
        </w:rPr>
        <w:t>Metropolitan</w:t>
      </w:r>
      <w:bookmarkEnd w:id="108"/>
    </w:p>
    <w:tbl>
      <w:tblPr>
        <w:tblW w:w="0" w:type="auto"/>
        <w:tblInd w:w="360" w:type="dxa"/>
        <w:tblLayout w:type="fixed"/>
        <w:tblCellMar>
          <w:left w:w="360" w:type="dxa"/>
          <w:right w:w="360" w:type="dxa"/>
        </w:tblCellMar>
        <w:tblLook w:val="0000" w:firstRow="0" w:lastRow="0" w:firstColumn="0" w:lastColumn="0" w:noHBand="0" w:noVBand="0"/>
      </w:tblPr>
      <w:tblGrid>
        <w:gridCol w:w="2552"/>
        <w:gridCol w:w="2551"/>
        <w:gridCol w:w="2127"/>
      </w:tblGrid>
      <w:tr>
        <w:tc>
          <w:tcPr>
            <w:tcW w:w="2552" w:type="dxa"/>
          </w:tcPr>
          <w:p>
            <w:pPr>
              <w:pStyle w:val="yTableNAm"/>
            </w:pPr>
            <w:r>
              <w:t>Armadale</w:t>
            </w:r>
          </w:p>
          <w:p>
            <w:pPr>
              <w:pStyle w:val="yTableNAm"/>
            </w:pPr>
            <w:r>
              <w:t>Bassendean</w:t>
            </w:r>
          </w:p>
          <w:p>
            <w:pPr>
              <w:pStyle w:val="yTableNAm"/>
            </w:pPr>
            <w:r>
              <w:t>Bayswater</w:t>
            </w:r>
          </w:p>
          <w:p>
            <w:pPr>
              <w:pStyle w:val="yTableNAm"/>
            </w:pPr>
            <w:r>
              <w:t>Belmont</w:t>
            </w:r>
          </w:p>
          <w:p>
            <w:pPr>
              <w:pStyle w:val="yTableNAm"/>
            </w:pPr>
            <w:r>
              <w:t>Cambridge</w:t>
            </w:r>
          </w:p>
          <w:p>
            <w:pPr>
              <w:pStyle w:val="yTableNAm"/>
            </w:pPr>
            <w:r>
              <w:t>Canning</w:t>
            </w:r>
          </w:p>
          <w:p>
            <w:pPr>
              <w:pStyle w:val="yTableNAm"/>
            </w:pPr>
            <w:r>
              <w:t>Claremont</w:t>
            </w:r>
          </w:p>
          <w:p>
            <w:pPr>
              <w:pStyle w:val="yTableNAm"/>
            </w:pPr>
            <w:r>
              <w:t>Cockburn</w:t>
            </w:r>
          </w:p>
          <w:p>
            <w:pPr>
              <w:pStyle w:val="yTableNAm"/>
            </w:pPr>
            <w:r>
              <w:t>Cottesloe</w:t>
            </w:r>
          </w:p>
          <w:p>
            <w:pPr>
              <w:pStyle w:val="yTableNAm"/>
            </w:pPr>
            <w:r>
              <w:t>East Fremantle</w:t>
            </w:r>
          </w:p>
        </w:tc>
        <w:tc>
          <w:tcPr>
            <w:tcW w:w="2551" w:type="dxa"/>
          </w:tcPr>
          <w:p>
            <w:pPr>
              <w:pStyle w:val="yTableNAm"/>
            </w:pPr>
            <w:r>
              <w:t>Fremantle</w:t>
            </w:r>
          </w:p>
          <w:p>
            <w:pPr>
              <w:pStyle w:val="yTableNAm"/>
            </w:pPr>
            <w:r>
              <w:t>Gosnells</w:t>
            </w:r>
          </w:p>
          <w:p>
            <w:pPr>
              <w:pStyle w:val="yTableNAm"/>
            </w:pPr>
            <w:r>
              <w:t>Kalamunda</w:t>
            </w:r>
          </w:p>
          <w:p>
            <w:pPr>
              <w:pStyle w:val="yTableNAm"/>
            </w:pPr>
            <w:r>
              <w:t>Kwinana</w:t>
            </w:r>
          </w:p>
          <w:p>
            <w:pPr>
              <w:pStyle w:val="yTableNAm"/>
            </w:pPr>
            <w:r>
              <w:t>Melville</w:t>
            </w:r>
          </w:p>
          <w:p>
            <w:pPr>
              <w:pStyle w:val="yTableNAm"/>
            </w:pPr>
            <w:r>
              <w:t>Mosman Park</w:t>
            </w:r>
          </w:p>
          <w:p>
            <w:pPr>
              <w:pStyle w:val="yTableNAm"/>
            </w:pPr>
            <w:r>
              <w:t>Mundaring</w:t>
            </w:r>
          </w:p>
          <w:p>
            <w:pPr>
              <w:pStyle w:val="yTableNAm"/>
            </w:pPr>
            <w:r>
              <w:t>Nedlands</w:t>
            </w:r>
          </w:p>
          <w:p>
            <w:pPr>
              <w:pStyle w:val="yTableNAm"/>
            </w:pPr>
            <w:r>
              <w:t>Peppermint Grove</w:t>
            </w:r>
          </w:p>
          <w:p>
            <w:pPr>
              <w:pStyle w:val="yTableNAm"/>
            </w:pPr>
            <w:r>
              <w:t>Perth</w:t>
            </w:r>
          </w:p>
        </w:tc>
        <w:tc>
          <w:tcPr>
            <w:tcW w:w="2127" w:type="dxa"/>
          </w:tcPr>
          <w:p>
            <w:pPr>
              <w:pStyle w:val="yTableNAm"/>
            </w:pPr>
            <w:r>
              <w:t>Rockingham</w:t>
            </w:r>
          </w:p>
          <w:p>
            <w:pPr>
              <w:pStyle w:val="yTableNAm"/>
            </w:pPr>
            <w:r>
              <w:t>Serpentine</w:t>
            </w:r>
            <w:r>
              <w:noBreakHyphen/>
            </w:r>
          </w:p>
          <w:p>
            <w:pPr>
              <w:pStyle w:val="yTableNAm"/>
            </w:pPr>
            <w:r>
              <w:t>Jarrahdale</w:t>
            </w:r>
          </w:p>
          <w:p>
            <w:pPr>
              <w:pStyle w:val="yTableNAm"/>
            </w:pPr>
            <w:r>
              <w:t>South Perth</w:t>
            </w:r>
          </w:p>
          <w:p>
            <w:pPr>
              <w:pStyle w:val="yTableNAm"/>
            </w:pPr>
            <w:r>
              <w:t>Stirling</w:t>
            </w:r>
          </w:p>
          <w:p>
            <w:pPr>
              <w:pStyle w:val="yTableNAm"/>
            </w:pPr>
            <w:r>
              <w:t>Subiaco</w:t>
            </w:r>
          </w:p>
          <w:p>
            <w:pPr>
              <w:pStyle w:val="yTableNAm"/>
            </w:pPr>
            <w:r>
              <w:t>Swan</w:t>
            </w:r>
          </w:p>
          <w:p>
            <w:pPr>
              <w:pStyle w:val="yTableNAm"/>
            </w:pPr>
            <w:r>
              <w:t>Victoria Park</w:t>
            </w:r>
          </w:p>
          <w:p>
            <w:pPr>
              <w:pStyle w:val="yTableNAm"/>
            </w:pPr>
            <w:r>
              <w:t>Vincent</w:t>
            </w:r>
          </w:p>
          <w:p>
            <w:pPr>
              <w:pStyle w:val="yTableNAm"/>
            </w:pPr>
            <w:r>
              <w:t>Wanneroo</w:t>
            </w:r>
          </w:p>
        </w:tc>
      </w:tr>
    </w:tbl>
    <w:p>
      <w:pPr>
        <w:pStyle w:val="yFootnotesection"/>
      </w:pPr>
      <w:r>
        <w:tab/>
        <w:t>[Part 1 inserted in Gazette 10 Dec 1996 p. 6879.]</w:t>
      </w:r>
    </w:p>
    <w:p>
      <w:pPr>
        <w:pStyle w:val="yTable"/>
      </w:pPr>
    </w:p>
    <w:p>
      <w:pPr>
        <w:pStyle w:val="yHeading3"/>
      </w:pPr>
      <w:bookmarkStart w:id="109" w:name="_Toc404948619"/>
      <w:r>
        <w:rPr>
          <w:rStyle w:val="CharSDivNo"/>
          <w:sz w:val="28"/>
        </w:rPr>
        <w:t>Part 2</w:t>
      </w:r>
      <w:r>
        <w:t> — </w:t>
      </w:r>
      <w:r>
        <w:rPr>
          <w:rStyle w:val="CharSDivText"/>
          <w:sz w:val="28"/>
        </w:rPr>
        <w:t>Country</w:t>
      </w:r>
      <w:bookmarkEnd w:id="109"/>
    </w:p>
    <w:tbl>
      <w:tblPr>
        <w:tblW w:w="0" w:type="auto"/>
        <w:tblInd w:w="360" w:type="dxa"/>
        <w:tblLayout w:type="fixed"/>
        <w:tblCellMar>
          <w:left w:w="360" w:type="dxa"/>
          <w:right w:w="360" w:type="dxa"/>
        </w:tblCellMar>
        <w:tblLook w:val="0000" w:firstRow="0" w:lastRow="0" w:firstColumn="0" w:lastColumn="0" w:noHBand="0" w:noVBand="0"/>
      </w:tblPr>
      <w:tblGrid>
        <w:gridCol w:w="2552"/>
        <w:gridCol w:w="2551"/>
        <w:gridCol w:w="2268"/>
      </w:tblGrid>
      <w:tr>
        <w:tc>
          <w:tcPr>
            <w:tcW w:w="2552" w:type="dxa"/>
          </w:tcPr>
          <w:p>
            <w:pPr>
              <w:pStyle w:val="yTableNAm"/>
            </w:pPr>
            <w:r>
              <w:t>Beverley</w:t>
            </w:r>
          </w:p>
          <w:p>
            <w:pPr>
              <w:pStyle w:val="yTableNAm"/>
            </w:pPr>
            <w:r>
              <w:t>Boddington</w:t>
            </w:r>
          </w:p>
          <w:p>
            <w:pPr>
              <w:pStyle w:val="yTableNAm"/>
            </w:pPr>
            <w:r>
              <w:t>Brookton</w:t>
            </w:r>
          </w:p>
          <w:p>
            <w:pPr>
              <w:pStyle w:val="yTableNAm"/>
            </w:pPr>
            <w:r>
              <w:t>Chittering</w:t>
            </w:r>
          </w:p>
        </w:tc>
        <w:tc>
          <w:tcPr>
            <w:tcW w:w="2551" w:type="dxa"/>
          </w:tcPr>
          <w:p>
            <w:pPr>
              <w:pStyle w:val="yTableNAm"/>
            </w:pPr>
            <w:r>
              <w:t>Gingin</w:t>
            </w:r>
          </w:p>
          <w:p>
            <w:pPr>
              <w:pStyle w:val="yTableNAm"/>
            </w:pPr>
            <w:r>
              <w:t>Mandurah</w:t>
            </w:r>
          </w:p>
          <w:p>
            <w:pPr>
              <w:pStyle w:val="yTableNAm"/>
            </w:pPr>
            <w:smartTag w:uri="urn:schemas-microsoft-com:office:smarttags" w:element="place">
              <w:smartTag w:uri="urn:schemas-microsoft-com:office:smarttags" w:element="City">
                <w:r>
                  <w:t>Murray</w:t>
                </w:r>
              </w:smartTag>
            </w:smartTag>
          </w:p>
          <w:p>
            <w:pPr>
              <w:pStyle w:val="yTableNAm"/>
            </w:pPr>
            <w:r>
              <w:t>Northam (Town)</w:t>
            </w:r>
          </w:p>
        </w:tc>
        <w:tc>
          <w:tcPr>
            <w:tcW w:w="2268" w:type="dxa"/>
          </w:tcPr>
          <w:p>
            <w:pPr>
              <w:pStyle w:val="yTableNAm"/>
            </w:pPr>
            <w:r>
              <w:t>Northam (Shire)</w:t>
            </w:r>
          </w:p>
          <w:p>
            <w:pPr>
              <w:pStyle w:val="yTableNAm"/>
            </w:pPr>
            <w:r>
              <w:t>Toodyay</w:t>
            </w:r>
          </w:p>
          <w:p>
            <w:pPr>
              <w:pStyle w:val="yTableNAm"/>
            </w:pPr>
            <w:r>
              <w:t>Wandering</w:t>
            </w:r>
          </w:p>
          <w:p>
            <w:pPr>
              <w:pStyle w:val="yTableNAm"/>
            </w:pPr>
            <w:smartTag w:uri="urn:schemas-microsoft-com:office:smarttags" w:element="place">
              <w:smartTag w:uri="urn:schemas-microsoft-com:office:smarttags" w:element="City">
                <w:r>
                  <w:t>York</w:t>
                </w:r>
              </w:smartTag>
            </w:smartTag>
          </w:p>
        </w:tc>
      </w:tr>
    </w:tbl>
    <w:p>
      <w:pPr>
        <w:pStyle w:val="yFootnotesection"/>
      </w:pPr>
      <w:r>
        <w:tab/>
        <w:t>[Part 2 inserted in Gazette 10 Dec 1996 p. 6879.]</w:t>
      </w:r>
    </w:p>
    <w:p>
      <w:pPr>
        <w:sectPr>
          <w:headerReference w:type="even" r:id="rId33"/>
          <w:headerReference w:type="default" r:id="rId34"/>
          <w:headerReference w:type="first" r:id="rId35"/>
          <w:pgSz w:w="11906" w:h="16838" w:code="9"/>
          <w:pgMar w:top="2376" w:right="2405" w:bottom="3542" w:left="2405" w:header="706" w:footer="3380" w:gutter="0"/>
          <w:cols w:space="720"/>
          <w:noEndnote/>
          <w:docGrid w:linePitch="326"/>
        </w:sectPr>
      </w:pPr>
    </w:p>
    <w:p>
      <w:pPr>
        <w:pStyle w:val="yScheduleHeading"/>
      </w:pPr>
      <w:bookmarkStart w:id="110" w:name="_Toc404948620"/>
      <w:r>
        <w:rPr>
          <w:rStyle w:val="CharSchNo"/>
        </w:rPr>
        <w:t>Schedule 5A</w:t>
      </w:r>
      <w:r>
        <w:rPr>
          <w:rStyle w:val="CharSDivNo"/>
        </w:rPr>
        <w:t> </w:t>
      </w:r>
      <w:r>
        <w:t>—</w:t>
      </w:r>
      <w:r>
        <w:rPr>
          <w:rStyle w:val="CharSDivText"/>
        </w:rPr>
        <w:t> </w:t>
      </w:r>
      <w:r>
        <w:rPr>
          <w:rStyle w:val="CharSchText"/>
        </w:rPr>
        <w:t>Areas where burning matter on or from development sites is prohibited</w:t>
      </w:r>
      <w:bookmarkEnd w:id="110"/>
    </w:p>
    <w:p>
      <w:pPr>
        <w:pStyle w:val="yShoulderClause"/>
      </w:pPr>
      <w:r>
        <w:t>[r. 16B]</w:t>
      </w:r>
    </w:p>
    <w:p>
      <w:pPr>
        <w:pStyle w:val="yFootnoteheading"/>
      </w:pPr>
      <w:r>
        <w:tab/>
        <w:t>[Heading inserted in Gazette 19 Dec 2000 p. 7284.]</w:t>
      </w:r>
    </w:p>
    <w:p>
      <w:pPr>
        <w:pStyle w:val="yHeading5"/>
        <w:outlineLvl w:val="9"/>
      </w:pPr>
      <w:bookmarkStart w:id="111" w:name="_Toc404948621"/>
      <w:r>
        <w:rPr>
          <w:rStyle w:val="CharSClsNo"/>
        </w:rPr>
        <w:t>1</w:t>
      </w:r>
      <w:r>
        <w:t>.</w:t>
      </w:r>
      <w:r>
        <w:tab/>
      </w:r>
      <w:smartTag w:uri="urn:schemas-microsoft-com:office:smarttags" w:element="place">
        <w:smartTag w:uri="urn:schemas-microsoft-com:office:smarttags" w:element="City">
          <w:r>
            <w:t>Perth</w:t>
          </w:r>
        </w:smartTag>
      </w:smartTag>
      <w:r>
        <w:t xml:space="preserve"> metropolitan area</w:t>
      </w:r>
      <w:bookmarkEnd w:id="111"/>
    </w:p>
    <w:p>
      <w:pPr>
        <w:pStyle w:val="ySubsection"/>
      </w:pPr>
      <w:r>
        <w:tab/>
      </w:r>
      <w:r>
        <w:tab/>
        <w:t xml:space="preserve">The area comprising the area bound by the coastline and the local government district boundaries of the City of </w:t>
      </w:r>
      <w:smartTag w:uri="urn:schemas-microsoft-com:office:smarttags" w:element="City">
        <w:r>
          <w:t>Wanneroo</w:t>
        </w:r>
      </w:smartTag>
      <w:r>
        <w:t xml:space="preserve">, the City of </w:t>
      </w:r>
      <w:smartTag w:uri="urn:schemas-microsoft-com:office:smarttags" w:element="City">
        <w:r>
          <w:t>Swan</w:t>
        </w:r>
      </w:smartTag>
      <w:r>
        <w:t xml:space="preserve">, the Shire of Mundaring, the Shire of Kalamunda, the City of </w:t>
      </w:r>
      <w:smartTag w:uri="urn:schemas-microsoft-com:office:smarttags" w:element="City">
        <w:r>
          <w:t>Armadale</w:t>
        </w:r>
      </w:smartTag>
      <w:r>
        <w:t>, the Shire of Serpentine</w:t>
      </w:r>
      <w:r>
        <w:noBreakHyphen/>
        <w:t xml:space="preserve">Jarrahdale and the City of </w:t>
      </w:r>
      <w:smartTag w:uri="urn:schemas-microsoft-com:office:smarttags" w:element="place">
        <w:smartTag w:uri="urn:schemas-microsoft-com:office:smarttags" w:element="City">
          <w:r>
            <w:t>Rockingham</w:t>
          </w:r>
        </w:smartTag>
      </w:smartTag>
      <w:r>
        <w:t>.</w:t>
      </w:r>
    </w:p>
    <w:p>
      <w:pPr>
        <w:pStyle w:val="yFootnotesection"/>
      </w:pPr>
      <w:r>
        <w:tab/>
        <w:t>[Clause 1 inserted in Gazette 19 Dec 2000 p. 7284.]</w:t>
      </w:r>
    </w:p>
    <w:p>
      <w:pPr>
        <w:pStyle w:val="yHeading5"/>
        <w:outlineLvl w:val="9"/>
      </w:pPr>
      <w:bookmarkStart w:id="112" w:name="_Toc404948622"/>
      <w:r>
        <w:rPr>
          <w:rStyle w:val="CharSClsNo"/>
        </w:rPr>
        <w:t>2</w:t>
      </w:r>
      <w:r>
        <w:t>.</w:t>
      </w:r>
      <w:r>
        <w:tab/>
        <w:t>Mandurah area</w:t>
      </w:r>
      <w:bookmarkEnd w:id="112"/>
    </w:p>
    <w:p>
      <w:pPr>
        <w:pStyle w:val="ySubsection"/>
      </w:pPr>
      <w:r>
        <w:tab/>
      </w:r>
      <w:r>
        <w:tab/>
        <w:t xml:space="preserve">The area comprising the local government district of the City of </w:t>
      </w:r>
      <w:smartTag w:uri="urn:schemas-microsoft-com:office:smarttags" w:element="place">
        <w:smartTag w:uri="urn:schemas-microsoft-com:office:smarttags" w:element="City">
          <w:r>
            <w:t>Mandurah</w:t>
          </w:r>
        </w:smartTag>
      </w:smartTag>
      <w:r>
        <w:t>.</w:t>
      </w:r>
    </w:p>
    <w:p>
      <w:pPr>
        <w:pStyle w:val="yFootnotesection"/>
      </w:pPr>
      <w:r>
        <w:tab/>
        <w:t>[Clause 2 inserted in Gazette 19 Dec 2000 p. 7284.]</w:t>
      </w:r>
    </w:p>
    <w:p>
      <w:pPr>
        <w:sectPr>
          <w:headerReference w:type="even" r:id="rId36"/>
          <w:headerReference w:type="default" r:id="rId37"/>
          <w:pgSz w:w="11906" w:h="16838" w:code="9"/>
          <w:pgMar w:top="2376" w:right="2405" w:bottom="3542" w:left="2405" w:header="706" w:footer="3380" w:gutter="0"/>
          <w:cols w:space="720"/>
          <w:noEndnote/>
          <w:docGrid w:linePitch="326"/>
        </w:sectPr>
      </w:pPr>
    </w:p>
    <w:p>
      <w:pPr>
        <w:pStyle w:val="yScheduleHeading"/>
      </w:pPr>
      <w:bookmarkStart w:id="113" w:name="_Toc404948623"/>
      <w:r>
        <w:rPr>
          <w:rStyle w:val="CharSchNo"/>
        </w:rPr>
        <w:t>Schedule 6</w:t>
      </w:r>
      <w:r>
        <w:t xml:space="preserve"> — </w:t>
      </w:r>
      <w:r>
        <w:rPr>
          <w:rStyle w:val="CharSchText"/>
        </w:rPr>
        <w:t>Infringement notice offences</w:t>
      </w:r>
      <w:bookmarkEnd w:id="113"/>
    </w:p>
    <w:p>
      <w:pPr>
        <w:pStyle w:val="yShoulderClause"/>
        <w:spacing w:after="120"/>
      </w:pPr>
      <w:r>
        <w:t>[r. 41]</w:t>
      </w:r>
    </w:p>
    <w:tbl>
      <w:tblPr>
        <w:tblW w:w="7230" w:type="dxa"/>
        <w:tblInd w:w="85" w:type="dxa"/>
        <w:tblLayout w:type="fixed"/>
        <w:tblCellMar>
          <w:left w:w="85" w:type="dxa"/>
          <w:right w:w="85" w:type="dxa"/>
        </w:tblCellMar>
        <w:tblLook w:val="0000" w:firstRow="0" w:lastRow="0" w:firstColumn="0" w:lastColumn="0" w:noHBand="0" w:noVBand="0"/>
      </w:tblPr>
      <w:tblGrid>
        <w:gridCol w:w="2968"/>
        <w:gridCol w:w="1837"/>
        <w:gridCol w:w="2402"/>
        <w:gridCol w:w="23"/>
      </w:tblGrid>
      <w:tr>
        <w:trPr>
          <w:tblHeader/>
        </w:trPr>
        <w:tc>
          <w:tcPr>
            <w:tcW w:w="2968" w:type="dxa"/>
          </w:tcPr>
          <w:p>
            <w:pPr>
              <w:pStyle w:val="yTableNAm"/>
              <w:rPr>
                <w:b/>
                <w:bCs/>
              </w:rPr>
            </w:pPr>
            <w:r>
              <w:rPr>
                <w:b/>
                <w:bCs/>
              </w:rPr>
              <w:t>Infringement notice offence</w:t>
            </w:r>
          </w:p>
        </w:tc>
        <w:tc>
          <w:tcPr>
            <w:tcW w:w="1837" w:type="dxa"/>
          </w:tcPr>
          <w:p>
            <w:pPr>
              <w:pStyle w:val="yTableNAm"/>
              <w:jc w:val="center"/>
              <w:rPr>
                <w:b/>
                <w:bCs/>
              </w:rPr>
            </w:pPr>
            <w:r>
              <w:rPr>
                <w:b/>
                <w:bCs/>
              </w:rPr>
              <w:t>Modified penalty for first offence</w:t>
            </w:r>
            <w:r>
              <w:rPr>
                <w:b/>
                <w:bCs/>
              </w:rPr>
              <w:br/>
            </w:r>
          </w:p>
          <w:p>
            <w:pPr>
              <w:pStyle w:val="yTableNAm"/>
              <w:jc w:val="center"/>
              <w:rPr>
                <w:b/>
                <w:bCs/>
              </w:rPr>
            </w:pPr>
            <w:r>
              <w:rPr>
                <w:b/>
                <w:bCs/>
              </w:rPr>
              <w:t>$</w:t>
            </w:r>
          </w:p>
        </w:tc>
        <w:tc>
          <w:tcPr>
            <w:tcW w:w="2425" w:type="dxa"/>
            <w:gridSpan w:val="2"/>
          </w:tcPr>
          <w:p>
            <w:pPr>
              <w:pStyle w:val="yTableNAm"/>
              <w:jc w:val="center"/>
              <w:rPr>
                <w:b/>
                <w:bCs/>
              </w:rPr>
            </w:pPr>
            <w:r>
              <w:rPr>
                <w:b/>
                <w:bCs/>
              </w:rPr>
              <w:t>Modified penalty</w:t>
            </w:r>
            <w:r>
              <w:rPr>
                <w:b/>
                <w:bCs/>
              </w:rPr>
              <w:br/>
              <w:t>for subsequent</w:t>
            </w:r>
            <w:r>
              <w:rPr>
                <w:b/>
                <w:bCs/>
              </w:rPr>
              <w:br/>
              <w:t>offence</w:t>
            </w:r>
          </w:p>
          <w:p>
            <w:pPr>
              <w:pStyle w:val="yTableNAm"/>
              <w:jc w:val="center"/>
              <w:rPr>
                <w:b/>
                <w:bCs/>
              </w:rPr>
            </w:pPr>
            <w:r>
              <w:rPr>
                <w:b/>
                <w:bCs/>
              </w:rPr>
              <w:t>$</w:t>
            </w:r>
          </w:p>
        </w:tc>
      </w:tr>
      <w:tr>
        <w:tc>
          <w:tcPr>
            <w:tcW w:w="2968" w:type="dxa"/>
          </w:tcPr>
          <w:p>
            <w:pPr>
              <w:pStyle w:val="yTableNAm"/>
              <w:rPr>
                <w:i/>
                <w:iCs/>
              </w:rPr>
            </w:pPr>
            <w:r>
              <w:rPr>
                <w:i/>
                <w:iCs/>
              </w:rPr>
              <w:t>Environmental Protection Act 1986</w:t>
            </w:r>
          </w:p>
        </w:tc>
        <w:tc>
          <w:tcPr>
            <w:tcW w:w="1837" w:type="dxa"/>
          </w:tcPr>
          <w:p>
            <w:pPr>
              <w:pStyle w:val="yTableNAm"/>
            </w:pPr>
          </w:p>
        </w:tc>
        <w:tc>
          <w:tcPr>
            <w:tcW w:w="2425" w:type="dxa"/>
            <w:gridSpan w:val="2"/>
          </w:tcPr>
          <w:p>
            <w:pPr>
              <w:pStyle w:val="yTableNAm"/>
            </w:pPr>
          </w:p>
        </w:tc>
      </w:tr>
      <w:tr>
        <w:tc>
          <w:tcPr>
            <w:tcW w:w="2968" w:type="dxa"/>
          </w:tcPr>
          <w:p>
            <w:pPr>
              <w:pStyle w:val="yTableNAm"/>
            </w:pPr>
            <w:r>
              <w:t>1.</w:t>
            </w:r>
            <w:r>
              <w:tab/>
              <w:t>section 77(1), (2) or (3)</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2.</w:t>
            </w:r>
            <w:r>
              <w:tab/>
              <w:t>section 78(1) or (3)</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3.</w:t>
            </w:r>
            <w:r>
              <w:tab/>
              <w:t>section 79(1)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4.</w:t>
            </w:r>
            <w:r>
              <w:tab/>
              <w:t>section 80</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5.</w:t>
            </w:r>
            <w:r>
              <w:tab/>
              <w:t>section 84(1)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6.</w:t>
            </w:r>
            <w:r>
              <w:tab/>
              <w:t>section 85(1)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7.</w:t>
            </w:r>
            <w:r>
              <w:tab/>
              <w:t>section 97(2)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8.</w:t>
            </w:r>
            <w:r>
              <w:tab/>
              <w:t>section 110H(6)</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rPr>
                <w:i/>
                <w:iCs/>
              </w:rPr>
            </w:pPr>
            <w:r>
              <w:rPr>
                <w:i/>
                <w:iCs/>
              </w:rPr>
              <w:t>Environmental Protection Regulations 1987</w:t>
            </w:r>
          </w:p>
        </w:tc>
        <w:tc>
          <w:tcPr>
            <w:tcW w:w="1837" w:type="dxa"/>
          </w:tcPr>
          <w:p>
            <w:pPr>
              <w:pStyle w:val="yTableNAm"/>
              <w:rPr>
                <w:i/>
                <w:iCs/>
              </w:rPr>
            </w:pPr>
          </w:p>
        </w:tc>
        <w:tc>
          <w:tcPr>
            <w:tcW w:w="2425" w:type="dxa"/>
            <w:gridSpan w:val="2"/>
          </w:tcPr>
          <w:p>
            <w:pPr>
              <w:pStyle w:val="yTableNAm"/>
              <w:rPr>
                <w:i/>
                <w:iCs/>
              </w:rPr>
            </w:pPr>
          </w:p>
        </w:tc>
      </w:tr>
      <w:tr>
        <w:tc>
          <w:tcPr>
            <w:tcW w:w="2968" w:type="dxa"/>
          </w:tcPr>
          <w:p>
            <w:pPr>
              <w:pStyle w:val="yTableNAm"/>
            </w:pPr>
            <w:r>
              <w:t>1.</w:t>
            </w:r>
            <w:r>
              <w:tab/>
            </w:r>
            <w:r>
              <w:rPr>
                <w:szCs w:val="22"/>
              </w:rPr>
              <w:t>regulation 5B(4)</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2.</w:t>
            </w:r>
            <w:r>
              <w:tab/>
              <w:t>regulation 5M(4)</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3.</w:t>
            </w:r>
            <w:r>
              <w:tab/>
              <w:t>regulation 13(1)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4.</w:t>
            </w:r>
            <w:r>
              <w:tab/>
              <w:t>regulation 13A(1)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5.</w:t>
            </w:r>
            <w:r>
              <w:tab/>
              <w:t>regulation 16(1)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6.</w:t>
            </w:r>
            <w:r>
              <w:tab/>
              <w:t>regulation 16(2)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7.</w:t>
            </w:r>
            <w:r>
              <w:tab/>
              <w:t>regulation 16(3)</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8.</w:t>
            </w:r>
            <w:r>
              <w:tab/>
              <w:t>regulation 16B</w:t>
            </w:r>
          </w:p>
        </w:tc>
        <w:tc>
          <w:tcPr>
            <w:tcW w:w="1837" w:type="dxa"/>
          </w:tcPr>
          <w:p>
            <w:pPr>
              <w:pStyle w:val="yTableNAm"/>
              <w:jc w:val="center"/>
            </w:pPr>
            <w:r>
              <w:t>500</w:t>
            </w:r>
          </w:p>
        </w:tc>
        <w:tc>
          <w:tcPr>
            <w:tcW w:w="2425" w:type="dxa"/>
            <w:gridSpan w:val="2"/>
          </w:tcPr>
          <w:p>
            <w:pPr>
              <w:pStyle w:val="yTableNAm"/>
              <w:jc w:val="center"/>
            </w:pPr>
            <w:r>
              <w:t>1 000</w:t>
            </w:r>
          </w:p>
        </w:tc>
      </w:tr>
      <w:tr>
        <w:tc>
          <w:tcPr>
            <w:tcW w:w="2968" w:type="dxa"/>
          </w:tcPr>
          <w:p>
            <w:pPr>
              <w:pStyle w:val="yTableNAm"/>
            </w:pPr>
            <w:r>
              <w:t>9.</w:t>
            </w:r>
            <w:r>
              <w:tab/>
              <w:t>regulation 26(1)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keepNext/>
            </w:pPr>
            <w:r>
              <w:t>9A.</w:t>
            </w:r>
            <w:r>
              <w:tab/>
              <w:t>regulation 26(5)</w:t>
            </w:r>
          </w:p>
        </w:tc>
        <w:tc>
          <w:tcPr>
            <w:tcW w:w="1837" w:type="dxa"/>
          </w:tcPr>
          <w:p>
            <w:pPr>
              <w:pStyle w:val="yTableNAm"/>
              <w:keepNext/>
              <w:jc w:val="center"/>
            </w:pPr>
            <w:r>
              <w:t>250</w:t>
            </w:r>
          </w:p>
        </w:tc>
        <w:tc>
          <w:tcPr>
            <w:tcW w:w="2425" w:type="dxa"/>
            <w:gridSpan w:val="2"/>
          </w:tcPr>
          <w:p>
            <w:pPr>
              <w:pStyle w:val="yTableNAm"/>
              <w:keepNext/>
              <w:jc w:val="center"/>
            </w:pPr>
            <w:r>
              <w:t>500</w:t>
            </w:r>
          </w:p>
        </w:tc>
      </w:tr>
      <w:tr>
        <w:tc>
          <w:tcPr>
            <w:tcW w:w="2968" w:type="dxa"/>
          </w:tcPr>
          <w:p>
            <w:pPr>
              <w:pStyle w:val="yTableNAm"/>
            </w:pPr>
            <w:r>
              <w:t>10.</w:t>
            </w:r>
            <w:r>
              <w:tab/>
              <w:t>regulation 28(2)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11.</w:t>
            </w:r>
            <w:r>
              <w:tab/>
              <w:t>regulation 28(4)</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12.</w:t>
            </w:r>
            <w:r>
              <w:tab/>
              <w:t>regulation 28(8)</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13.</w:t>
            </w:r>
            <w:r>
              <w:tab/>
              <w:t>regulation 29(5)</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14.</w:t>
            </w:r>
            <w:r>
              <w:tab/>
              <w:t>regulation 31(2)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rPr>
                <w:i/>
                <w:iCs/>
              </w:rPr>
            </w:pPr>
            <w:r>
              <w:rPr>
                <w:i/>
                <w:iCs/>
              </w:rPr>
              <w:t>Environmental Protection (Recovery of Vapours from the Transfer of Organic Liquids) Regulations 1995</w:t>
            </w:r>
          </w:p>
        </w:tc>
        <w:tc>
          <w:tcPr>
            <w:tcW w:w="1837" w:type="dxa"/>
          </w:tcPr>
          <w:p>
            <w:pPr>
              <w:pStyle w:val="yTableNAm"/>
              <w:rPr>
                <w:i/>
                <w:iCs/>
              </w:rPr>
            </w:pPr>
          </w:p>
        </w:tc>
        <w:tc>
          <w:tcPr>
            <w:tcW w:w="2425" w:type="dxa"/>
            <w:gridSpan w:val="2"/>
          </w:tcPr>
          <w:p>
            <w:pPr>
              <w:pStyle w:val="yTableNAm"/>
              <w:rPr>
                <w:i/>
                <w:iCs/>
              </w:rPr>
            </w:pPr>
          </w:p>
        </w:tc>
      </w:tr>
      <w:tr>
        <w:tc>
          <w:tcPr>
            <w:tcW w:w="2968" w:type="dxa"/>
          </w:tcPr>
          <w:p>
            <w:pPr>
              <w:pStyle w:val="yTableNAm"/>
            </w:pPr>
            <w:r>
              <w:t>1.</w:t>
            </w:r>
            <w:r>
              <w:tab/>
              <w:t>regulation 7(1)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2.</w:t>
            </w:r>
            <w:r>
              <w:tab/>
              <w:t>regulation 8(1)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3.</w:t>
            </w:r>
            <w:r>
              <w:tab/>
              <w:t>regulation 8(5)</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4.</w:t>
            </w:r>
            <w:r>
              <w:tab/>
              <w:t>regulation 9(1)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5.</w:t>
            </w:r>
            <w:r>
              <w:tab/>
              <w:t>regulation 9(5)</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6.</w:t>
            </w:r>
            <w:r>
              <w:tab/>
              <w:t>regulation 10</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7.</w:t>
            </w:r>
            <w:r>
              <w:tab/>
              <w:t>regulation 11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8.</w:t>
            </w:r>
            <w:r>
              <w:tab/>
              <w:t>regulation 12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9.</w:t>
            </w:r>
            <w:r>
              <w:tab/>
              <w:t>regulation 13(1)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10.</w:t>
            </w:r>
            <w:r>
              <w:tab/>
              <w:t>regulation 13(2)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rPr>
                <w:i/>
                <w:iCs/>
              </w:rPr>
            </w:pPr>
            <w:r>
              <w:rPr>
                <w:i/>
                <w:iCs/>
              </w:rPr>
              <w:t>Environmental Protection (Noise) Regulations 1997</w:t>
            </w:r>
          </w:p>
        </w:tc>
        <w:tc>
          <w:tcPr>
            <w:tcW w:w="1837" w:type="dxa"/>
          </w:tcPr>
          <w:p>
            <w:pPr>
              <w:pStyle w:val="yTableNAm"/>
              <w:rPr>
                <w:i/>
                <w:iCs/>
              </w:rPr>
            </w:pPr>
          </w:p>
        </w:tc>
        <w:tc>
          <w:tcPr>
            <w:tcW w:w="2425" w:type="dxa"/>
            <w:gridSpan w:val="2"/>
          </w:tcPr>
          <w:p>
            <w:pPr>
              <w:pStyle w:val="yTableNAm"/>
              <w:rPr>
                <w:i/>
                <w:iCs/>
              </w:rPr>
            </w:pPr>
          </w:p>
        </w:tc>
      </w:tr>
      <w:tr>
        <w:tc>
          <w:tcPr>
            <w:tcW w:w="2968" w:type="dxa"/>
          </w:tcPr>
          <w:p>
            <w:pPr>
              <w:pStyle w:val="yTableNAm"/>
            </w:pPr>
            <w:r>
              <w:t>1.</w:t>
            </w:r>
            <w:r>
              <w:tab/>
              <w:t>regulation 6(2)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2.</w:t>
            </w:r>
            <w:r>
              <w:tab/>
              <w:t>regulation 23</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keepNext/>
              <w:rPr>
                <w:i/>
                <w:iCs/>
              </w:rPr>
            </w:pPr>
            <w:r>
              <w:rPr>
                <w:i/>
                <w:iCs/>
              </w:rPr>
              <w:t>Environmental Protection (Fibre Reinforced Plastics) Regulations 1998</w:t>
            </w:r>
          </w:p>
        </w:tc>
        <w:tc>
          <w:tcPr>
            <w:tcW w:w="1837" w:type="dxa"/>
          </w:tcPr>
          <w:p>
            <w:pPr>
              <w:pStyle w:val="yTableNAm"/>
              <w:keepNext/>
              <w:rPr>
                <w:i/>
                <w:iCs/>
              </w:rPr>
            </w:pPr>
          </w:p>
        </w:tc>
        <w:tc>
          <w:tcPr>
            <w:tcW w:w="2425" w:type="dxa"/>
            <w:gridSpan w:val="2"/>
          </w:tcPr>
          <w:p>
            <w:pPr>
              <w:pStyle w:val="yTableNAm"/>
              <w:keepNext/>
              <w:rPr>
                <w:i/>
                <w:iCs/>
              </w:rPr>
            </w:pPr>
          </w:p>
        </w:tc>
      </w:tr>
      <w:tr>
        <w:tc>
          <w:tcPr>
            <w:tcW w:w="2968" w:type="dxa"/>
          </w:tcPr>
          <w:p>
            <w:pPr>
              <w:pStyle w:val="yTableNAm"/>
            </w:pPr>
            <w:r>
              <w:t>1.</w:t>
            </w:r>
            <w:r>
              <w:tab/>
              <w:t>regulation 3(1)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2.</w:t>
            </w:r>
            <w:r>
              <w:tab/>
              <w:t>regulation 3(2)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3.</w:t>
            </w:r>
            <w:r>
              <w:tab/>
              <w:t>regulation 3(3)</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4.</w:t>
            </w:r>
            <w:r>
              <w:tab/>
              <w:t>regulation 4(1)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5.</w:t>
            </w:r>
            <w:r>
              <w:tab/>
              <w:t>regulation 5</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6.</w:t>
            </w:r>
            <w:r>
              <w:tab/>
              <w:t>regulation 6</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rPr>
                <w:i/>
                <w:iCs/>
              </w:rPr>
            </w:pPr>
            <w:r>
              <w:rPr>
                <w:i/>
                <w:iCs/>
              </w:rPr>
              <w:t>Environmental Protection (Abrasive Blasting) Regulations 1998</w:t>
            </w:r>
          </w:p>
        </w:tc>
        <w:tc>
          <w:tcPr>
            <w:tcW w:w="1837" w:type="dxa"/>
          </w:tcPr>
          <w:p>
            <w:pPr>
              <w:pStyle w:val="yTableNAm"/>
              <w:rPr>
                <w:i/>
                <w:iCs/>
              </w:rPr>
            </w:pPr>
          </w:p>
        </w:tc>
        <w:tc>
          <w:tcPr>
            <w:tcW w:w="2425" w:type="dxa"/>
            <w:gridSpan w:val="2"/>
          </w:tcPr>
          <w:p>
            <w:pPr>
              <w:pStyle w:val="yTableNAm"/>
              <w:rPr>
                <w:i/>
                <w:iCs/>
              </w:rPr>
            </w:pPr>
          </w:p>
        </w:tc>
      </w:tr>
      <w:tr>
        <w:tc>
          <w:tcPr>
            <w:tcW w:w="2968" w:type="dxa"/>
          </w:tcPr>
          <w:p>
            <w:pPr>
              <w:pStyle w:val="yTableNAm"/>
            </w:pPr>
            <w:r>
              <w:t>1.</w:t>
            </w:r>
            <w:r>
              <w:tab/>
              <w:t>regulation 3</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2.</w:t>
            </w:r>
            <w:r>
              <w:tab/>
              <w:t>regulation 4</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3.</w:t>
            </w:r>
            <w:r>
              <w:tab/>
              <w:t>regulation 5(1)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4.</w:t>
            </w:r>
            <w:r>
              <w:tab/>
              <w:t>regulation 5(2)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5.</w:t>
            </w:r>
            <w:r>
              <w:tab/>
              <w:t>regulation 6</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6.</w:t>
            </w:r>
            <w:r>
              <w:tab/>
              <w:t>regulation 7(2)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7.</w:t>
            </w:r>
            <w:r>
              <w:tab/>
              <w:t>regulation 7(3)</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8.</w:t>
            </w:r>
            <w:r>
              <w:tab/>
              <w:t>regulation 7(4)</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9.</w:t>
            </w:r>
            <w:r>
              <w:tab/>
              <w:t>regulation 8</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keepNext/>
              <w:keepLines/>
              <w:rPr>
                <w:i/>
                <w:iCs/>
              </w:rPr>
            </w:pPr>
            <w:r>
              <w:rPr>
                <w:i/>
                <w:iCs/>
              </w:rPr>
              <w:t>Environmental Protection (Concrete Batching and Cement Product Manufacturing) Regulations 1998</w:t>
            </w:r>
          </w:p>
        </w:tc>
        <w:tc>
          <w:tcPr>
            <w:tcW w:w="1837" w:type="dxa"/>
          </w:tcPr>
          <w:p>
            <w:pPr>
              <w:pStyle w:val="yTableNAm"/>
              <w:keepNext/>
              <w:keepLines/>
              <w:rPr>
                <w:i/>
                <w:iCs/>
              </w:rPr>
            </w:pPr>
          </w:p>
        </w:tc>
        <w:tc>
          <w:tcPr>
            <w:tcW w:w="2425" w:type="dxa"/>
            <w:gridSpan w:val="2"/>
          </w:tcPr>
          <w:p>
            <w:pPr>
              <w:pStyle w:val="yTableNAm"/>
              <w:keepNext/>
              <w:keepLines/>
              <w:rPr>
                <w:i/>
                <w:iCs/>
              </w:rPr>
            </w:pPr>
          </w:p>
        </w:tc>
      </w:tr>
      <w:tr>
        <w:tc>
          <w:tcPr>
            <w:tcW w:w="2968" w:type="dxa"/>
          </w:tcPr>
          <w:p>
            <w:pPr>
              <w:pStyle w:val="yTableNAm"/>
              <w:keepNext/>
              <w:keepLines/>
            </w:pPr>
            <w:r>
              <w:t>1.</w:t>
            </w:r>
            <w:r>
              <w:tab/>
              <w:t>regulation 3(1)</w:t>
            </w:r>
          </w:p>
        </w:tc>
        <w:tc>
          <w:tcPr>
            <w:tcW w:w="1837" w:type="dxa"/>
          </w:tcPr>
          <w:p>
            <w:pPr>
              <w:pStyle w:val="yTableNAm"/>
              <w:keepNext/>
              <w:keepLines/>
              <w:jc w:val="center"/>
            </w:pPr>
            <w:r>
              <w:t>250</w:t>
            </w:r>
          </w:p>
        </w:tc>
        <w:tc>
          <w:tcPr>
            <w:tcW w:w="2425" w:type="dxa"/>
            <w:gridSpan w:val="2"/>
          </w:tcPr>
          <w:p>
            <w:pPr>
              <w:pStyle w:val="yTableNAm"/>
              <w:keepNext/>
              <w:keepLines/>
              <w:jc w:val="center"/>
            </w:pPr>
            <w:r>
              <w:t>500</w:t>
            </w:r>
          </w:p>
        </w:tc>
      </w:tr>
      <w:tr>
        <w:tc>
          <w:tcPr>
            <w:tcW w:w="2968" w:type="dxa"/>
          </w:tcPr>
          <w:p>
            <w:pPr>
              <w:pStyle w:val="yTableNAm"/>
            </w:pPr>
            <w:r>
              <w:t>2.</w:t>
            </w:r>
            <w:r>
              <w:tab/>
              <w:t>regulation 3(2)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3.</w:t>
            </w:r>
            <w:r>
              <w:tab/>
              <w:t>regulation 4(1)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4.</w:t>
            </w:r>
            <w:r>
              <w:tab/>
              <w:t>regulation 4(2)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5.</w:t>
            </w:r>
            <w:r>
              <w:tab/>
              <w:t>regulation 5(1)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6.</w:t>
            </w:r>
            <w:r>
              <w:tab/>
              <w:t>regulation 5(2)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7.</w:t>
            </w:r>
            <w:r>
              <w:tab/>
              <w:t>regulation 5(3)</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8.</w:t>
            </w:r>
            <w:r>
              <w:tab/>
              <w:t>regulation 5(4)</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9.</w:t>
            </w:r>
            <w:r>
              <w:tab/>
              <w:t>regulation 6(1)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10.</w:t>
            </w:r>
            <w:r>
              <w:tab/>
              <w:t>regulation 6(3)</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11.</w:t>
            </w:r>
            <w:r>
              <w:tab/>
              <w:t>regulation 6(4)</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12.</w:t>
            </w:r>
            <w:r>
              <w:tab/>
              <w:t>regulation 7(2)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13.</w:t>
            </w:r>
            <w:r>
              <w:tab/>
              <w:t>regulation 7(3)</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14.</w:t>
            </w:r>
            <w:r>
              <w:tab/>
              <w:t>regulation 7(4)</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15.</w:t>
            </w:r>
            <w:r>
              <w:tab/>
              <w:t>regulation 8(2)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16.</w:t>
            </w:r>
            <w:r>
              <w:tab/>
              <w:t>regulation 9(1)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17.</w:t>
            </w:r>
            <w:r>
              <w:tab/>
              <w:t>regulation 9(2)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18.</w:t>
            </w:r>
            <w:r>
              <w:tab/>
              <w:t>regulation 10(1)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19.</w:t>
            </w:r>
            <w:r>
              <w:tab/>
              <w:t>regulation 10(2)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20.</w:t>
            </w:r>
            <w:r>
              <w:tab/>
              <w:t>regulation 11(1)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21.</w:t>
            </w:r>
            <w:r>
              <w:tab/>
              <w:t>regulation 11(2)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22.</w:t>
            </w:r>
            <w:r>
              <w:tab/>
              <w:t>regulation 12(1)</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23.</w:t>
            </w:r>
            <w:r>
              <w:tab/>
              <w:t>regulation 12(2)</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24.</w:t>
            </w:r>
            <w:r>
              <w:tab/>
              <w:t>regulation 12(3)</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25.</w:t>
            </w:r>
            <w:r>
              <w:tab/>
              <w:t>regulation 13</w:t>
            </w:r>
          </w:p>
        </w:tc>
        <w:tc>
          <w:tcPr>
            <w:tcW w:w="1837" w:type="dxa"/>
          </w:tcPr>
          <w:p>
            <w:pPr>
              <w:pStyle w:val="yTableNAm"/>
              <w:jc w:val="center"/>
            </w:pPr>
            <w:r>
              <w:t>250</w:t>
            </w:r>
          </w:p>
        </w:tc>
        <w:tc>
          <w:tcPr>
            <w:tcW w:w="2425" w:type="dxa"/>
            <w:gridSpan w:val="2"/>
          </w:tcPr>
          <w:p>
            <w:pPr>
              <w:pStyle w:val="yTableNAm"/>
              <w:jc w:val="center"/>
            </w:pPr>
            <w:r>
              <w:t>500</w:t>
            </w:r>
          </w:p>
        </w:tc>
      </w:tr>
      <w:tr>
        <w:trPr>
          <w:cantSplit/>
          <w:trHeight w:val="55"/>
        </w:trPr>
        <w:tc>
          <w:tcPr>
            <w:tcW w:w="2968" w:type="dxa"/>
          </w:tcPr>
          <w:p>
            <w:pPr>
              <w:pStyle w:val="yTableNAm"/>
              <w:rPr>
                <w:i/>
                <w:iCs/>
              </w:rPr>
            </w:pPr>
            <w:r>
              <w:rPr>
                <w:i/>
                <w:iCs/>
              </w:rPr>
              <w:t>Environmental Protection (Domestic Solid Fuel Burning Appliances and Firewood Supply) Regulations 1998</w:t>
            </w:r>
          </w:p>
        </w:tc>
        <w:tc>
          <w:tcPr>
            <w:tcW w:w="1837" w:type="dxa"/>
          </w:tcPr>
          <w:p>
            <w:pPr>
              <w:pStyle w:val="yTableNAm"/>
              <w:rPr>
                <w:i/>
                <w:iCs/>
              </w:rPr>
            </w:pPr>
          </w:p>
        </w:tc>
        <w:tc>
          <w:tcPr>
            <w:tcW w:w="2425" w:type="dxa"/>
            <w:gridSpan w:val="2"/>
          </w:tcPr>
          <w:p>
            <w:pPr>
              <w:pStyle w:val="yTableNAm"/>
              <w:rPr>
                <w:i/>
                <w:iCs/>
              </w:rPr>
            </w:pPr>
          </w:p>
        </w:tc>
      </w:tr>
      <w:tr>
        <w:trPr>
          <w:cantSplit/>
          <w:trHeight w:val="52"/>
        </w:trPr>
        <w:tc>
          <w:tcPr>
            <w:tcW w:w="2968" w:type="dxa"/>
          </w:tcPr>
          <w:p>
            <w:pPr>
              <w:pStyle w:val="yTableNAm"/>
            </w:pPr>
            <w:r>
              <w:t>1.</w:t>
            </w:r>
            <w:r>
              <w:tab/>
              <w:t>regulation 1B(1)</w:t>
            </w:r>
          </w:p>
        </w:tc>
        <w:tc>
          <w:tcPr>
            <w:tcW w:w="1837" w:type="dxa"/>
          </w:tcPr>
          <w:p>
            <w:pPr>
              <w:pStyle w:val="yTableNAm"/>
              <w:jc w:val="center"/>
            </w:pPr>
            <w:r>
              <w:t>250</w:t>
            </w:r>
          </w:p>
        </w:tc>
        <w:tc>
          <w:tcPr>
            <w:tcW w:w="2425" w:type="dxa"/>
            <w:gridSpan w:val="2"/>
          </w:tcPr>
          <w:p>
            <w:pPr>
              <w:pStyle w:val="yTableNAm"/>
              <w:jc w:val="center"/>
            </w:pPr>
            <w:r>
              <w:t>500</w:t>
            </w:r>
          </w:p>
        </w:tc>
      </w:tr>
      <w:tr>
        <w:trPr>
          <w:cantSplit/>
          <w:trHeight w:val="52"/>
        </w:trPr>
        <w:tc>
          <w:tcPr>
            <w:tcW w:w="2968" w:type="dxa"/>
          </w:tcPr>
          <w:p>
            <w:pPr>
              <w:pStyle w:val="yTableNAm"/>
            </w:pPr>
            <w:r>
              <w:t>2.</w:t>
            </w:r>
            <w:r>
              <w:tab/>
              <w:t>regulation 1C</w:t>
            </w:r>
          </w:p>
        </w:tc>
        <w:tc>
          <w:tcPr>
            <w:tcW w:w="1837" w:type="dxa"/>
          </w:tcPr>
          <w:p>
            <w:pPr>
              <w:pStyle w:val="yTableNAm"/>
              <w:jc w:val="center"/>
            </w:pPr>
            <w:r>
              <w:t>250</w:t>
            </w:r>
          </w:p>
        </w:tc>
        <w:tc>
          <w:tcPr>
            <w:tcW w:w="2425" w:type="dxa"/>
            <w:gridSpan w:val="2"/>
          </w:tcPr>
          <w:p>
            <w:pPr>
              <w:pStyle w:val="yTableNAm"/>
              <w:jc w:val="center"/>
            </w:pPr>
            <w:r>
              <w:t>500</w:t>
            </w:r>
          </w:p>
        </w:tc>
      </w:tr>
      <w:tr>
        <w:trPr>
          <w:cantSplit/>
          <w:trHeight w:val="52"/>
        </w:trPr>
        <w:tc>
          <w:tcPr>
            <w:tcW w:w="2968" w:type="dxa"/>
          </w:tcPr>
          <w:p>
            <w:pPr>
              <w:pStyle w:val="yTableNAm"/>
            </w:pPr>
            <w:r>
              <w:t>3.</w:t>
            </w:r>
            <w:r>
              <w:tab/>
              <w:t>regulation 1D(3)</w:t>
            </w:r>
          </w:p>
        </w:tc>
        <w:tc>
          <w:tcPr>
            <w:tcW w:w="1837" w:type="dxa"/>
          </w:tcPr>
          <w:p>
            <w:pPr>
              <w:pStyle w:val="yTableNAm"/>
              <w:jc w:val="center"/>
            </w:pPr>
            <w:r>
              <w:t>250</w:t>
            </w:r>
          </w:p>
        </w:tc>
        <w:tc>
          <w:tcPr>
            <w:tcW w:w="2425" w:type="dxa"/>
            <w:gridSpan w:val="2"/>
          </w:tcPr>
          <w:p>
            <w:pPr>
              <w:pStyle w:val="yTableNAm"/>
              <w:jc w:val="center"/>
            </w:pPr>
            <w:r>
              <w:t>500</w:t>
            </w:r>
          </w:p>
        </w:tc>
      </w:tr>
      <w:tr>
        <w:trPr>
          <w:cantSplit/>
          <w:trHeight w:val="52"/>
        </w:trPr>
        <w:tc>
          <w:tcPr>
            <w:tcW w:w="2968" w:type="dxa"/>
          </w:tcPr>
          <w:p>
            <w:pPr>
              <w:pStyle w:val="yTableNAm"/>
            </w:pPr>
            <w:r>
              <w:t>4.</w:t>
            </w:r>
            <w:r>
              <w:tab/>
              <w:t>regulation 3</w:t>
            </w:r>
          </w:p>
        </w:tc>
        <w:tc>
          <w:tcPr>
            <w:tcW w:w="1837" w:type="dxa"/>
          </w:tcPr>
          <w:p>
            <w:pPr>
              <w:pStyle w:val="yTableNAm"/>
              <w:jc w:val="center"/>
            </w:pPr>
            <w:r>
              <w:t>250</w:t>
            </w:r>
          </w:p>
        </w:tc>
        <w:tc>
          <w:tcPr>
            <w:tcW w:w="2425" w:type="dxa"/>
            <w:gridSpan w:val="2"/>
          </w:tcPr>
          <w:p>
            <w:pPr>
              <w:pStyle w:val="yTableNAm"/>
              <w:jc w:val="center"/>
            </w:pPr>
            <w:r>
              <w:t>500</w:t>
            </w:r>
          </w:p>
        </w:tc>
      </w:tr>
      <w:tr>
        <w:trPr>
          <w:cantSplit/>
          <w:trHeight w:val="52"/>
        </w:trPr>
        <w:tc>
          <w:tcPr>
            <w:tcW w:w="2968" w:type="dxa"/>
          </w:tcPr>
          <w:p>
            <w:pPr>
              <w:pStyle w:val="yTableNAm"/>
            </w:pPr>
            <w:r>
              <w:t>5.</w:t>
            </w:r>
            <w:r>
              <w:tab/>
              <w:t>regulation 4</w:t>
            </w:r>
          </w:p>
        </w:tc>
        <w:tc>
          <w:tcPr>
            <w:tcW w:w="1837" w:type="dxa"/>
          </w:tcPr>
          <w:p>
            <w:pPr>
              <w:pStyle w:val="yTableNAm"/>
              <w:jc w:val="center"/>
            </w:pPr>
            <w:r>
              <w:t>250</w:t>
            </w:r>
          </w:p>
        </w:tc>
        <w:tc>
          <w:tcPr>
            <w:tcW w:w="2425" w:type="dxa"/>
            <w:gridSpan w:val="2"/>
          </w:tcPr>
          <w:p>
            <w:pPr>
              <w:pStyle w:val="yTableNAm"/>
              <w:jc w:val="center"/>
            </w:pPr>
            <w:r>
              <w:t>500</w:t>
            </w:r>
          </w:p>
        </w:tc>
      </w:tr>
      <w:tr>
        <w:trPr>
          <w:cantSplit/>
          <w:trHeight w:val="52"/>
        </w:trPr>
        <w:tc>
          <w:tcPr>
            <w:tcW w:w="2968" w:type="dxa"/>
          </w:tcPr>
          <w:p>
            <w:pPr>
              <w:pStyle w:val="yTableNAm"/>
            </w:pPr>
            <w:r>
              <w:t>6.</w:t>
            </w:r>
            <w:r>
              <w:tab/>
              <w:t>regulation 5(5)</w:t>
            </w:r>
          </w:p>
        </w:tc>
        <w:tc>
          <w:tcPr>
            <w:tcW w:w="1837" w:type="dxa"/>
          </w:tcPr>
          <w:p>
            <w:pPr>
              <w:pStyle w:val="yTableNAm"/>
              <w:jc w:val="center"/>
            </w:pPr>
            <w:r>
              <w:t>250</w:t>
            </w:r>
          </w:p>
        </w:tc>
        <w:tc>
          <w:tcPr>
            <w:tcW w:w="2425" w:type="dxa"/>
            <w:gridSpan w:val="2"/>
          </w:tcPr>
          <w:p>
            <w:pPr>
              <w:pStyle w:val="yTableNAm"/>
              <w:jc w:val="center"/>
            </w:pPr>
            <w:r>
              <w:t>500</w:t>
            </w:r>
          </w:p>
        </w:tc>
      </w:tr>
      <w:tr>
        <w:trPr>
          <w:cantSplit/>
          <w:trHeight w:val="52"/>
        </w:trPr>
        <w:tc>
          <w:tcPr>
            <w:tcW w:w="2968" w:type="dxa"/>
          </w:tcPr>
          <w:p>
            <w:pPr>
              <w:pStyle w:val="yTableNAm"/>
            </w:pPr>
            <w:r>
              <w:t>7.</w:t>
            </w:r>
            <w:r>
              <w:tab/>
              <w:t>regulation 8</w:t>
            </w:r>
          </w:p>
        </w:tc>
        <w:tc>
          <w:tcPr>
            <w:tcW w:w="1837" w:type="dxa"/>
          </w:tcPr>
          <w:p>
            <w:pPr>
              <w:pStyle w:val="yTableNAm"/>
              <w:jc w:val="center"/>
            </w:pPr>
            <w:r>
              <w:t>250</w:t>
            </w:r>
          </w:p>
        </w:tc>
        <w:tc>
          <w:tcPr>
            <w:tcW w:w="2425" w:type="dxa"/>
            <w:gridSpan w:val="2"/>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rPr>
                <w:i/>
                <w:iCs/>
              </w:rPr>
            </w:pPr>
            <w:r>
              <w:rPr>
                <w:i/>
                <w:iCs/>
              </w:rPr>
              <w:t>Environmental Protection (Abattoirs) Regulations 2001</w:t>
            </w:r>
          </w:p>
        </w:tc>
        <w:tc>
          <w:tcPr>
            <w:tcW w:w="1837" w:type="dxa"/>
          </w:tcPr>
          <w:p>
            <w:pPr>
              <w:pStyle w:val="yTableNAm"/>
              <w:rPr>
                <w:i/>
                <w:iCs/>
              </w:rPr>
            </w:pPr>
          </w:p>
        </w:tc>
        <w:tc>
          <w:tcPr>
            <w:tcW w:w="2402" w:type="dxa"/>
          </w:tcPr>
          <w:p>
            <w:pPr>
              <w:pStyle w:val="yTableNAm"/>
              <w:rPr>
                <w:i/>
                <w:iCs/>
              </w:rPr>
            </w:pPr>
          </w:p>
        </w:tc>
      </w:tr>
      <w:tr>
        <w:tblPrEx>
          <w:tblCellMar>
            <w:left w:w="108" w:type="dxa"/>
            <w:right w:w="108" w:type="dxa"/>
          </w:tblCellMar>
        </w:tblPrEx>
        <w:trPr>
          <w:gridAfter w:val="1"/>
          <w:wAfter w:w="23" w:type="dxa"/>
        </w:trPr>
        <w:tc>
          <w:tcPr>
            <w:tcW w:w="2968" w:type="dxa"/>
          </w:tcPr>
          <w:p>
            <w:pPr>
              <w:pStyle w:val="yTableNAm"/>
              <w:spacing w:before="100"/>
            </w:pPr>
            <w:r>
              <w:t>1.</w:t>
            </w:r>
            <w:r>
              <w:tab/>
              <w:t>regulation 4(1)</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2.</w:t>
            </w:r>
            <w:r>
              <w:tab/>
              <w:t>regulation 4(2)</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3.</w:t>
            </w:r>
            <w:r>
              <w:tab/>
              <w:t>regulation 5</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4.</w:t>
            </w:r>
            <w:r>
              <w:tab/>
              <w:t>regulation 7(1)</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5.</w:t>
            </w:r>
            <w:r>
              <w:tab/>
              <w:t>regulation 9</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6.</w:t>
            </w:r>
            <w:r>
              <w:tab/>
              <w:t>regulation 12</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7.</w:t>
            </w:r>
            <w:r>
              <w:tab/>
              <w:t>regulation 13</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pPr>
            <w:r>
              <w:t>8.</w:t>
            </w:r>
            <w:r>
              <w:tab/>
              <w:t>regulation 14</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rPr>
                <w:i/>
                <w:iCs/>
              </w:rPr>
              <w:t>Environmental Protection (Metal Coating) Regulations 2001</w:t>
            </w:r>
          </w:p>
        </w:tc>
        <w:tc>
          <w:tcPr>
            <w:tcW w:w="1837" w:type="dxa"/>
          </w:tcPr>
          <w:p>
            <w:pPr>
              <w:pStyle w:val="yTableNAm"/>
              <w:jc w:val="center"/>
            </w:pPr>
          </w:p>
        </w:tc>
        <w:tc>
          <w:tcPr>
            <w:tcW w:w="2402" w:type="dxa"/>
          </w:tcPr>
          <w:p>
            <w:pPr>
              <w:pStyle w:val="yTableNAm"/>
              <w:jc w:val="center"/>
            </w:pPr>
          </w:p>
        </w:tc>
      </w:tr>
      <w:tr>
        <w:tc>
          <w:tcPr>
            <w:tcW w:w="2968" w:type="dxa"/>
          </w:tcPr>
          <w:p>
            <w:pPr>
              <w:pStyle w:val="yTableNAm"/>
            </w:pPr>
            <w:r>
              <w:t>1.</w:t>
            </w:r>
            <w:r>
              <w:tab/>
              <w:t>regulation 4</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pPr>
            <w:r>
              <w:t>2.</w:t>
            </w:r>
            <w:r>
              <w:tab/>
              <w:t>regulation 5</w:t>
            </w:r>
          </w:p>
        </w:tc>
        <w:tc>
          <w:tcPr>
            <w:tcW w:w="1837" w:type="dxa"/>
          </w:tcPr>
          <w:p>
            <w:pPr>
              <w:pStyle w:val="yTableNAm"/>
              <w:jc w:val="center"/>
            </w:pPr>
            <w:r>
              <w:t>250</w:t>
            </w:r>
          </w:p>
        </w:tc>
        <w:tc>
          <w:tcPr>
            <w:tcW w:w="2425" w:type="dxa"/>
            <w:gridSpan w:val="2"/>
          </w:tcPr>
          <w:p>
            <w:pPr>
              <w:pStyle w:val="yTableNAm"/>
              <w:jc w:val="center"/>
            </w:pPr>
            <w:r>
              <w:t>500</w:t>
            </w:r>
          </w:p>
        </w:tc>
      </w:tr>
      <w:tr>
        <w:tc>
          <w:tcPr>
            <w:tcW w:w="2968" w:type="dxa"/>
          </w:tcPr>
          <w:p>
            <w:pPr>
              <w:pStyle w:val="yTableNAm"/>
              <w:spacing w:before="100"/>
            </w:pPr>
            <w:r>
              <w:t>3.</w:t>
            </w:r>
            <w:r>
              <w:tab/>
              <w:t>regulation 6</w:t>
            </w:r>
          </w:p>
        </w:tc>
        <w:tc>
          <w:tcPr>
            <w:tcW w:w="1837" w:type="dxa"/>
          </w:tcPr>
          <w:p>
            <w:pPr>
              <w:pStyle w:val="yTableNAm"/>
              <w:spacing w:before="100"/>
              <w:jc w:val="center"/>
            </w:pPr>
            <w:r>
              <w:t>250</w:t>
            </w:r>
          </w:p>
        </w:tc>
        <w:tc>
          <w:tcPr>
            <w:tcW w:w="2425" w:type="dxa"/>
            <w:gridSpan w:val="2"/>
          </w:tcPr>
          <w:p>
            <w:pPr>
              <w:pStyle w:val="yTableNAm"/>
              <w:spacing w:before="100"/>
              <w:jc w:val="center"/>
            </w:pPr>
            <w:r>
              <w:t>500</w:t>
            </w:r>
          </w:p>
        </w:tc>
      </w:tr>
      <w:tr>
        <w:tc>
          <w:tcPr>
            <w:tcW w:w="2968" w:type="dxa"/>
          </w:tcPr>
          <w:p>
            <w:pPr>
              <w:pStyle w:val="yTableNAm"/>
              <w:spacing w:before="100"/>
            </w:pPr>
            <w:r>
              <w:t>4.</w:t>
            </w:r>
            <w:r>
              <w:tab/>
              <w:t>regulation 7</w:t>
            </w:r>
          </w:p>
        </w:tc>
        <w:tc>
          <w:tcPr>
            <w:tcW w:w="1837" w:type="dxa"/>
          </w:tcPr>
          <w:p>
            <w:pPr>
              <w:pStyle w:val="yTableNAm"/>
              <w:spacing w:before="100"/>
              <w:jc w:val="center"/>
            </w:pPr>
            <w:r>
              <w:t>250</w:t>
            </w:r>
          </w:p>
        </w:tc>
        <w:tc>
          <w:tcPr>
            <w:tcW w:w="2425" w:type="dxa"/>
            <w:gridSpan w:val="2"/>
          </w:tcPr>
          <w:p>
            <w:pPr>
              <w:pStyle w:val="yTableNAm"/>
              <w:spacing w:before="100"/>
              <w:jc w:val="center"/>
            </w:pPr>
            <w:r>
              <w:t>500</w:t>
            </w:r>
          </w:p>
        </w:tc>
      </w:tr>
      <w:tr>
        <w:tc>
          <w:tcPr>
            <w:tcW w:w="2968" w:type="dxa"/>
          </w:tcPr>
          <w:p>
            <w:pPr>
              <w:pStyle w:val="yTableNAm"/>
              <w:spacing w:before="100"/>
            </w:pPr>
            <w:r>
              <w:t>5.</w:t>
            </w:r>
            <w:r>
              <w:tab/>
              <w:t>regulation 8</w:t>
            </w:r>
          </w:p>
        </w:tc>
        <w:tc>
          <w:tcPr>
            <w:tcW w:w="1837" w:type="dxa"/>
          </w:tcPr>
          <w:p>
            <w:pPr>
              <w:pStyle w:val="yTableNAm"/>
              <w:spacing w:before="100"/>
              <w:jc w:val="center"/>
            </w:pPr>
            <w:r>
              <w:t>250</w:t>
            </w:r>
          </w:p>
        </w:tc>
        <w:tc>
          <w:tcPr>
            <w:tcW w:w="2425" w:type="dxa"/>
            <w:gridSpan w:val="2"/>
          </w:tcPr>
          <w:p>
            <w:pPr>
              <w:pStyle w:val="yTableNAm"/>
              <w:spacing w:before="100"/>
              <w:jc w:val="center"/>
            </w:pPr>
            <w:r>
              <w:t>500</w:t>
            </w:r>
          </w:p>
        </w:tc>
      </w:tr>
      <w:tr>
        <w:tc>
          <w:tcPr>
            <w:tcW w:w="2968" w:type="dxa"/>
          </w:tcPr>
          <w:p>
            <w:pPr>
              <w:pStyle w:val="yTableNAm"/>
              <w:spacing w:before="100"/>
            </w:pPr>
            <w:r>
              <w:t>6.</w:t>
            </w:r>
            <w:r>
              <w:tab/>
              <w:t>regulation 9</w:t>
            </w:r>
          </w:p>
        </w:tc>
        <w:tc>
          <w:tcPr>
            <w:tcW w:w="1837" w:type="dxa"/>
          </w:tcPr>
          <w:p>
            <w:pPr>
              <w:pStyle w:val="yTableNAm"/>
              <w:spacing w:before="100"/>
              <w:jc w:val="center"/>
            </w:pPr>
            <w:r>
              <w:t>250</w:t>
            </w:r>
          </w:p>
        </w:tc>
        <w:tc>
          <w:tcPr>
            <w:tcW w:w="2425" w:type="dxa"/>
            <w:gridSpan w:val="2"/>
          </w:tcPr>
          <w:p>
            <w:pPr>
              <w:pStyle w:val="yTableNAm"/>
              <w:spacing w:before="100"/>
              <w:jc w:val="center"/>
            </w:pPr>
            <w:r>
              <w:t>500</w:t>
            </w:r>
          </w:p>
        </w:tc>
      </w:tr>
      <w:tr>
        <w:tc>
          <w:tcPr>
            <w:tcW w:w="2968" w:type="dxa"/>
          </w:tcPr>
          <w:p>
            <w:pPr>
              <w:pStyle w:val="yTableNAm"/>
              <w:spacing w:before="100"/>
            </w:pPr>
            <w:r>
              <w:t>7.</w:t>
            </w:r>
            <w:r>
              <w:tab/>
              <w:t>regulation 10(1)</w:t>
            </w:r>
          </w:p>
        </w:tc>
        <w:tc>
          <w:tcPr>
            <w:tcW w:w="1837" w:type="dxa"/>
          </w:tcPr>
          <w:p>
            <w:pPr>
              <w:pStyle w:val="yTableNAm"/>
              <w:spacing w:before="100"/>
              <w:jc w:val="center"/>
            </w:pPr>
            <w:r>
              <w:t>250</w:t>
            </w:r>
          </w:p>
        </w:tc>
        <w:tc>
          <w:tcPr>
            <w:tcW w:w="2425" w:type="dxa"/>
            <w:gridSpan w:val="2"/>
          </w:tcPr>
          <w:p>
            <w:pPr>
              <w:pStyle w:val="yTableNAm"/>
              <w:spacing w:before="100"/>
              <w:jc w:val="center"/>
            </w:pPr>
            <w:r>
              <w:t>500</w:t>
            </w:r>
          </w:p>
        </w:tc>
      </w:tr>
      <w:tr>
        <w:tc>
          <w:tcPr>
            <w:tcW w:w="2968" w:type="dxa"/>
          </w:tcPr>
          <w:p>
            <w:pPr>
              <w:pStyle w:val="yTableNAm"/>
              <w:spacing w:before="100"/>
            </w:pPr>
            <w:r>
              <w:t>8.</w:t>
            </w:r>
            <w:r>
              <w:tab/>
              <w:t>regulation 10(2)</w:t>
            </w:r>
          </w:p>
        </w:tc>
        <w:tc>
          <w:tcPr>
            <w:tcW w:w="1837" w:type="dxa"/>
          </w:tcPr>
          <w:p>
            <w:pPr>
              <w:pStyle w:val="yTableNAm"/>
              <w:spacing w:before="100"/>
              <w:jc w:val="center"/>
            </w:pPr>
            <w:r>
              <w:t>250</w:t>
            </w:r>
          </w:p>
        </w:tc>
        <w:tc>
          <w:tcPr>
            <w:tcW w:w="2425" w:type="dxa"/>
            <w:gridSpan w:val="2"/>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9.</w:t>
            </w:r>
            <w:r>
              <w:tab/>
              <w:t>regulation 11(1)</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10.</w:t>
            </w:r>
            <w:r>
              <w:tab/>
              <w:t>regulation 11(2)</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11.</w:t>
            </w:r>
            <w:r>
              <w:tab/>
              <w:t>regulation 12</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pPr>
            <w:r>
              <w:rPr>
                <w:i/>
                <w:iCs/>
              </w:rPr>
              <w:t>Environmental Protection (Rural Landfill) Regulations 2002</w:t>
            </w:r>
          </w:p>
        </w:tc>
        <w:tc>
          <w:tcPr>
            <w:tcW w:w="1837" w:type="dxa"/>
          </w:tcPr>
          <w:p>
            <w:pPr>
              <w:pStyle w:val="yTableNAm"/>
              <w:jc w:val="center"/>
            </w:pPr>
          </w:p>
        </w:tc>
        <w:tc>
          <w:tcPr>
            <w:tcW w:w="2402" w:type="dxa"/>
          </w:tcPr>
          <w:p>
            <w:pPr>
              <w:pStyle w:val="yTableNAm"/>
              <w:jc w:val="center"/>
            </w:pPr>
          </w:p>
        </w:tc>
      </w:tr>
      <w:tr>
        <w:tblPrEx>
          <w:tblCellMar>
            <w:left w:w="108" w:type="dxa"/>
            <w:right w:w="108" w:type="dxa"/>
          </w:tblCellMar>
        </w:tblPrEx>
        <w:trPr>
          <w:gridAfter w:val="1"/>
          <w:wAfter w:w="23" w:type="dxa"/>
        </w:trPr>
        <w:tc>
          <w:tcPr>
            <w:tcW w:w="2968" w:type="dxa"/>
          </w:tcPr>
          <w:p>
            <w:pPr>
              <w:pStyle w:val="yTableNAm"/>
              <w:spacing w:before="100"/>
            </w:pPr>
            <w:r>
              <w:t>1.</w:t>
            </w:r>
            <w:r>
              <w:tab/>
              <w:t>regulation 5</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2.</w:t>
            </w:r>
            <w:r>
              <w:tab/>
              <w:t>regulation 6(1)</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3.</w:t>
            </w:r>
            <w:r>
              <w:tab/>
              <w:t>regulation 6(3)</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4.</w:t>
            </w:r>
            <w:r>
              <w:tab/>
              <w:t>regulation 7</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5.</w:t>
            </w:r>
            <w:r>
              <w:tab/>
              <w:t>regulation 8</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6.</w:t>
            </w:r>
            <w:r>
              <w:tab/>
              <w:t>regulation 9</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7.</w:t>
            </w:r>
            <w:r>
              <w:tab/>
              <w:t>regulation 10</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8.</w:t>
            </w:r>
            <w:r>
              <w:tab/>
              <w:t>regulation 11</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9.</w:t>
            </w:r>
            <w:r>
              <w:tab/>
              <w:t>regulation 12</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10.</w:t>
            </w:r>
            <w:r>
              <w:tab/>
              <w:t>regulation 13(1)</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11.</w:t>
            </w:r>
            <w:r>
              <w:tab/>
              <w:t>regulation 14</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12.</w:t>
            </w:r>
            <w:r>
              <w:tab/>
              <w:t>regulation 15</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13.</w:t>
            </w:r>
            <w:r>
              <w:tab/>
              <w:t>regulation 16</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spacing w:before="100"/>
            </w:pPr>
            <w:r>
              <w:t>14.</w:t>
            </w:r>
            <w:r>
              <w:tab/>
              <w:t>regulation 17(1)</w:t>
            </w:r>
          </w:p>
        </w:tc>
        <w:tc>
          <w:tcPr>
            <w:tcW w:w="1837" w:type="dxa"/>
          </w:tcPr>
          <w:p>
            <w:pPr>
              <w:pStyle w:val="yTableNAm"/>
              <w:spacing w:before="100"/>
              <w:jc w:val="center"/>
            </w:pPr>
            <w:r>
              <w:t>250</w:t>
            </w:r>
          </w:p>
        </w:tc>
        <w:tc>
          <w:tcPr>
            <w:tcW w:w="2402" w:type="dxa"/>
          </w:tcPr>
          <w:p>
            <w:pPr>
              <w:pStyle w:val="yTableNAm"/>
              <w:spacing w:before="100"/>
              <w:jc w:val="center"/>
            </w:pPr>
            <w:r>
              <w:t>500</w:t>
            </w:r>
          </w:p>
        </w:tc>
      </w:tr>
      <w:tr>
        <w:tblPrEx>
          <w:tblCellMar>
            <w:left w:w="108" w:type="dxa"/>
            <w:right w:w="108" w:type="dxa"/>
          </w:tblCellMar>
        </w:tblPrEx>
        <w:trPr>
          <w:gridAfter w:val="1"/>
          <w:wAfter w:w="23" w:type="dxa"/>
        </w:trPr>
        <w:tc>
          <w:tcPr>
            <w:tcW w:w="2968" w:type="dxa"/>
          </w:tcPr>
          <w:p>
            <w:pPr>
              <w:pStyle w:val="yTableNAm"/>
              <w:rPr>
                <w:i/>
                <w:iCs/>
              </w:rPr>
            </w:pPr>
            <w:r>
              <w:rPr>
                <w:i/>
                <w:iCs/>
              </w:rPr>
              <w:t>Environmental Protection (Unauthorised Discharges) Regulations 2004</w:t>
            </w:r>
          </w:p>
        </w:tc>
        <w:tc>
          <w:tcPr>
            <w:tcW w:w="1837" w:type="dxa"/>
          </w:tcPr>
          <w:p>
            <w:pPr>
              <w:pStyle w:val="yTableNAm"/>
              <w:rPr>
                <w:i/>
                <w:iCs/>
              </w:rPr>
            </w:pPr>
          </w:p>
        </w:tc>
        <w:tc>
          <w:tcPr>
            <w:tcW w:w="2402" w:type="dxa"/>
          </w:tcPr>
          <w:p>
            <w:pPr>
              <w:pStyle w:val="yTableNAm"/>
              <w:rPr>
                <w:i/>
                <w:iCs/>
              </w:rPr>
            </w:pPr>
          </w:p>
        </w:tc>
      </w:tr>
      <w:tr>
        <w:tblPrEx>
          <w:tblCellMar>
            <w:left w:w="108" w:type="dxa"/>
            <w:right w:w="108" w:type="dxa"/>
          </w:tblCellMar>
        </w:tblPrEx>
        <w:trPr>
          <w:gridAfter w:val="1"/>
          <w:wAfter w:w="23" w:type="dxa"/>
        </w:trPr>
        <w:tc>
          <w:tcPr>
            <w:tcW w:w="2968" w:type="dxa"/>
          </w:tcPr>
          <w:p>
            <w:pPr>
              <w:pStyle w:val="yTableNAm"/>
            </w:pPr>
            <w:r>
              <w:t>1.</w:t>
            </w:r>
            <w:r>
              <w:tab/>
              <w:t>regulation 3(1)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w:t>
            </w:r>
            <w:r>
              <w:tab/>
              <w:t>regulation 4(1)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3.</w:t>
            </w:r>
            <w:r>
              <w:tab/>
              <w:t>regulation 4(2)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rPr>
                <w:i/>
                <w:iCs/>
              </w:rPr>
            </w:pPr>
            <w:r>
              <w:rPr>
                <w:i/>
                <w:iCs/>
              </w:rPr>
              <w:t>Environmental Protection (Controlled Waste) Regulations 2004</w:t>
            </w:r>
          </w:p>
        </w:tc>
        <w:tc>
          <w:tcPr>
            <w:tcW w:w="1837" w:type="dxa"/>
          </w:tcPr>
          <w:p>
            <w:pPr>
              <w:pStyle w:val="yTableNAm"/>
              <w:rPr>
                <w:i/>
                <w:iCs/>
              </w:rPr>
            </w:pPr>
          </w:p>
        </w:tc>
        <w:tc>
          <w:tcPr>
            <w:tcW w:w="2402" w:type="dxa"/>
          </w:tcPr>
          <w:p>
            <w:pPr>
              <w:pStyle w:val="yTableNAm"/>
              <w:rPr>
                <w:i/>
                <w:iCs/>
              </w:rPr>
            </w:pPr>
          </w:p>
        </w:tc>
      </w:tr>
      <w:tr>
        <w:tblPrEx>
          <w:tblCellMar>
            <w:left w:w="108" w:type="dxa"/>
            <w:right w:w="108" w:type="dxa"/>
          </w:tblCellMar>
        </w:tblPrEx>
        <w:trPr>
          <w:gridAfter w:val="1"/>
          <w:wAfter w:w="23" w:type="dxa"/>
        </w:trPr>
        <w:tc>
          <w:tcPr>
            <w:tcW w:w="2968" w:type="dxa"/>
          </w:tcPr>
          <w:p>
            <w:pPr>
              <w:pStyle w:val="yTableNAm"/>
            </w:pPr>
            <w:r>
              <w:t>1.</w:t>
            </w:r>
            <w:r>
              <w:tab/>
              <w:t xml:space="preserve">regulation 6(4) </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w:t>
            </w:r>
            <w:r>
              <w:tab/>
              <w:t>regulation 11(1)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3.</w:t>
            </w:r>
            <w:r>
              <w:tab/>
              <w:t>regulation 13(2)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4.</w:t>
            </w:r>
            <w:r>
              <w:tab/>
              <w:t>regulation 14</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5.</w:t>
            </w:r>
            <w:r>
              <w:tab/>
              <w:t>regulation 15(1)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6.</w:t>
            </w:r>
            <w:r>
              <w:tab/>
              <w:t>regulation 15(2)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7.</w:t>
            </w:r>
            <w:r>
              <w:tab/>
              <w:t>regulation 17</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8.</w:t>
            </w:r>
            <w:r>
              <w:tab/>
              <w:t>regulation 19(2)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9.</w:t>
            </w:r>
            <w:r>
              <w:tab/>
              <w:t>regulation 21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10.</w:t>
            </w:r>
            <w:r>
              <w:tab/>
              <w:t>regulation 22(5)</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11A.</w:t>
            </w:r>
            <w:r>
              <w:tab/>
              <w:t>regulation 25B(2)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11.</w:t>
            </w:r>
            <w:r>
              <w:tab/>
              <w:t>regulation 25(1)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12.</w:t>
            </w:r>
            <w:r>
              <w:tab/>
              <w:t>regulation 25(2)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13.</w:t>
            </w:r>
            <w:r>
              <w:tab/>
              <w:t>regulation 25(3)</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14A.</w:t>
            </w:r>
            <w:r>
              <w:tab/>
              <w:t>regulation 25(4A)</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14.</w:t>
            </w:r>
            <w:r>
              <w:tab/>
              <w:t>regulation 25(4)</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15.</w:t>
            </w:r>
            <w:r>
              <w:tab/>
              <w:t>regulation 25(6)</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16.</w:t>
            </w:r>
            <w:r>
              <w:tab/>
              <w:t>regulation 26(2)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17.</w:t>
            </w:r>
            <w:r>
              <w:tab/>
              <w:t>regulation 27(3)</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18.</w:t>
            </w:r>
            <w:r>
              <w:tab/>
              <w:t>regulation 28(1)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19.</w:t>
            </w:r>
            <w:r>
              <w:tab/>
              <w:t>regulation 29(1)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20.</w:t>
            </w:r>
            <w:r>
              <w:tab/>
              <w:t xml:space="preserve">regulation 30(1) </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21A.</w:t>
            </w:r>
            <w:r>
              <w:tab/>
              <w:t>regulation 31A(1)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21.</w:t>
            </w:r>
            <w:r>
              <w:tab/>
              <w:t>regulation 31(1)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22A.</w:t>
            </w:r>
            <w:r>
              <w:tab/>
              <w:t>regulation 32A(2)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22.</w:t>
            </w:r>
            <w:r>
              <w:tab/>
              <w:t>regulation 32(1)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23.</w:t>
            </w:r>
            <w:r>
              <w:tab/>
              <w:t>regulation 33</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24.</w:t>
            </w:r>
            <w:r>
              <w:tab/>
              <w:t>regulation 34</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25.</w:t>
            </w:r>
            <w:r>
              <w:tab/>
              <w:t>regulation 35(1)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26.</w:t>
            </w:r>
            <w:r>
              <w:tab/>
              <w:t>regulation 35(2)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27.</w:t>
            </w:r>
            <w:r>
              <w:tab/>
              <w:t>regulation 39(7)</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28.</w:t>
            </w:r>
            <w:r>
              <w:tab/>
              <w:t>regulation 40(2)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29.</w:t>
            </w:r>
            <w:r>
              <w:tab/>
              <w:t>regulation 41A(3)</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7207" w:type="dxa"/>
            <w:gridSpan w:val="3"/>
          </w:tcPr>
          <w:p>
            <w:pPr>
              <w:pStyle w:val="yTableNAm"/>
            </w:pPr>
            <w:r>
              <w:rPr>
                <w:i/>
              </w:rPr>
              <w:t>[30</w:t>
            </w:r>
            <w:r>
              <w:rPr>
                <w:i/>
              </w:rPr>
              <w:noBreakHyphen/>
              <w:t>32. deleted]</w:t>
            </w:r>
          </w:p>
        </w:tc>
      </w:tr>
      <w:tr>
        <w:tblPrEx>
          <w:tblCellMar>
            <w:left w:w="108" w:type="dxa"/>
            <w:right w:w="108" w:type="dxa"/>
          </w:tblCellMar>
        </w:tblPrEx>
        <w:trPr>
          <w:gridAfter w:val="1"/>
          <w:wAfter w:w="23" w:type="dxa"/>
        </w:trPr>
        <w:tc>
          <w:tcPr>
            <w:tcW w:w="2968" w:type="dxa"/>
          </w:tcPr>
          <w:p>
            <w:pPr>
              <w:pStyle w:val="yTableNAm"/>
            </w:pPr>
            <w:r>
              <w:t>33.</w:t>
            </w:r>
            <w:r>
              <w:tab/>
              <w:t xml:space="preserve">regulation 41(7) </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34.</w:t>
            </w:r>
            <w:r>
              <w:tab/>
              <w:t>regulation 43</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35.</w:t>
            </w:r>
            <w:r>
              <w:tab/>
              <w:t>regulation 44</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36.</w:t>
            </w:r>
            <w:r>
              <w:tab/>
              <w:t>regulation 45</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38.</w:t>
            </w:r>
            <w:r>
              <w:tab/>
              <w:t>regulation 47</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39.</w:t>
            </w:r>
            <w:r>
              <w:tab/>
              <w:t>regulation 50</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40.</w:t>
            </w:r>
            <w:r>
              <w:tab/>
              <w:t>regulation 51(2)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keepNext/>
              <w:rPr>
                <w:i/>
                <w:szCs w:val="22"/>
              </w:rPr>
            </w:pPr>
            <w:r>
              <w:rPr>
                <w:i/>
                <w:iCs/>
              </w:rPr>
              <w:t>Environmental Protection (NEPM</w:t>
            </w:r>
            <w:r>
              <w:rPr>
                <w:i/>
                <w:iCs/>
              </w:rPr>
              <w:noBreakHyphen/>
              <w:t>NPI) Regulations 1998</w:t>
            </w:r>
          </w:p>
        </w:tc>
        <w:tc>
          <w:tcPr>
            <w:tcW w:w="1837" w:type="dxa"/>
          </w:tcPr>
          <w:p>
            <w:pPr>
              <w:pStyle w:val="THeadingNAm"/>
              <w:tabs>
                <w:tab w:val="left" w:pos="567"/>
              </w:tabs>
              <w:spacing w:before="120" w:after="0" w:line="240" w:lineRule="auto"/>
              <w:ind w:left="0" w:right="0"/>
              <w:rPr>
                <w:b w:val="0"/>
                <w:sz w:val="22"/>
                <w:szCs w:val="22"/>
              </w:rPr>
            </w:pPr>
          </w:p>
        </w:tc>
        <w:tc>
          <w:tcPr>
            <w:tcW w:w="2402" w:type="dxa"/>
          </w:tcPr>
          <w:p>
            <w:pPr>
              <w:pStyle w:val="THeadingNAm"/>
              <w:tabs>
                <w:tab w:val="left" w:pos="567"/>
              </w:tabs>
              <w:spacing w:before="120" w:after="0" w:line="240" w:lineRule="auto"/>
              <w:ind w:left="0" w:right="0"/>
              <w:rPr>
                <w:sz w:val="22"/>
                <w:szCs w:val="22"/>
              </w:rPr>
            </w:pPr>
          </w:p>
        </w:tc>
      </w:tr>
      <w:tr>
        <w:tblPrEx>
          <w:tblCellMar>
            <w:left w:w="108" w:type="dxa"/>
            <w:right w:w="108" w:type="dxa"/>
          </w:tblCellMar>
        </w:tblPrEx>
        <w:trPr>
          <w:gridAfter w:val="1"/>
          <w:wAfter w:w="23" w:type="dxa"/>
        </w:trPr>
        <w:tc>
          <w:tcPr>
            <w:tcW w:w="2968" w:type="dxa"/>
          </w:tcPr>
          <w:p>
            <w:pPr>
              <w:pStyle w:val="yTableNAm"/>
            </w:pPr>
            <w:r>
              <w:t>1.</w:t>
            </w:r>
            <w:r>
              <w:tab/>
              <w:t>regulation 5(2)(a)</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w:t>
            </w:r>
            <w:r>
              <w:tab/>
              <w:t>regulation 6(2)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rPr>
                <w:i/>
                <w:iCs/>
              </w:rPr>
            </w:pPr>
            <w:r>
              <w:rPr>
                <w:i/>
                <w:iCs/>
              </w:rPr>
              <w:t>Environmental Protection (NEPM-UPM) Regulations 2007</w:t>
            </w:r>
            <w:r>
              <w:rPr>
                <w:i/>
                <w:snapToGrid w:val="0"/>
                <w:vertAlign w:val="superscript"/>
              </w:rPr>
              <w:t> </w:t>
            </w:r>
            <w:r>
              <w:rPr>
                <w:snapToGrid w:val="0"/>
                <w:vertAlign w:val="superscript"/>
              </w:rPr>
              <w:t>6</w:t>
            </w:r>
          </w:p>
        </w:tc>
        <w:tc>
          <w:tcPr>
            <w:tcW w:w="1837" w:type="dxa"/>
          </w:tcPr>
          <w:p>
            <w:pPr>
              <w:pStyle w:val="yTableNAm"/>
              <w:rPr>
                <w:i/>
                <w:iCs/>
              </w:rPr>
            </w:pPr>
          </w:p>
        </w:tc>
        <w:tc>
          <w:tcPr>
            <w:tcW w:w="2402" w:type="dxa"/>
          </w:tcPr>
          <w:p>
            <w:pPr>
              <w:pStyle w:val="yTableNAm"/>
              <w:rPr>
                <w:i/>
                <w:iCs/>
              </w:rPr>
            </w:pPr>
          </w:p>
        </w:tc>
      </w:tr>
      <w:tr>
        <w:tblPrEx>
          <w:tblCellMar>
            <w:left w:w="108" w:type="dxa"/>
            <w:right w:w="108" w:type="dxa"/>
          </w:tblCellMar>
        </w:tblPrEx>
        <w:trPr>
          <w:gridAfter w:val="1"/>
          <w:wAfter w:w="23" w:type="dxa"/>
        </w:trPr>
        <w:tc>
          <w:tcPr>
            <w:tcW w:w="2968" w:type="dxa"/>
          </w:tcPr>
          <w:p>
            <w:pPr>
              <w:pStyle w:val="yTableNAm"/>
            </w:pPr>
            <w:r>
              <w:t>1.</w:t>
            </w:r>
            <w:r>
              <w:tab/>
              <w:t>regulation 5(1)(a)</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w:t>
            </w:r>
            <w:r>
              <w:tab/>
              <w:t>regulation 5(1)(b)</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3.</w:t>
            </w:r>
            <w:r>
              <w:tab/>
              <w:t>regulation 8(1)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4.</w:t>
            </w:r>
            <w:r>
              <w:tab/>
              <w:t>regulation 8(2)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5.</w:t>
            </w:r>
            <w:r>
              <w:tab/>
              <w:t>regulation 9(1)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6.</w:t>
            </w:r>
            <w:r>
              <w:tab/>
              <w:t>regulation 9(2)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rPr>
                <w:i/>
              </w:rPr>
            </w:pPr>
            <w:r>
              <w:rPr>
                <w:i/>
              </w:rPr>
              <w:t>Environmental Protection (NEPM-UPM) Regulations 2013</w:t>
            </w:r>
          </w:p>
        </w:tc>
        <w:tc>
          <w:tcPr>
            <w:tcW w:w="1837" w:type="dxa"/>
          </w:tcPr>
          <w:p>
            <w:pPr>
              <w:pStyle w:val="yTableNAm"/>
              <w:jc w:val="center"/>
            </w:pPr>
          </w:p>
        </w:tc>
        <w:tc>
          <w:tcPr>
            <w:tcW w:w="2402" w:type="dxa"/>
          </w:tcPr>
          <w:p>
            <w:pPr>
              <w:pStyle w:val="yTableNAm"/>
              <w:jc w:val="center"/>
            </w:pPr>
          </w:p>
        </w:tc>
      </w:tr>
      <w:tr>
        <w:tblPrEx>
          <w:tblCellMar>
            <w:left w:w="108" w:type="dxa"/>
            <w:right w:w="108" w:type="dxa"/>
          </w:tblCellMar>
        </w:tblPrEx>
        <w:trPr>
          <w:gridAfter w:val="1"/>
          <w:wAfter w:w="23" w:type="dxa"/>
        </w:trPr>
        <w:tc>
          <w:tcPr>
            <w:tcW w:w="2968" w:type="dxa"/>
          </w:tcPr>
          <w:p>
            <w:pPr>
              <w:pStyle w:val="yTableNAm"/>
            </w:pPr>
            <w:r>
              <w:t>1.</w:t>
            </w:r>
            <w:r>
              <w:tab/>
              <w:t>regulation 6(1)(a)</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2.</w:t>
            </w:r>
            <w:r>
              <w:tab/>
              <w:t>regulation 6(1)(b)</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3.</w:t>
            </w:r>
            <w:r>
              <w:tab/>
              <w:t>regulation 9(1)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4.</w:t>
            </w:r>
            <w:r>
              <w:tab/>
              <w:t>regulation 9(2)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5.</w:t>
            </w:r>
            <w:r>
              <w:tab/>
              <w:t>regulation 10(2)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rPr>
        <w:tc>
          <w:tcPr>
            <w:tcW w:w="2968" w:type="dxa"/>
          </w:tcPr>
          <w:p>
            <w:pPr>
              <w:pStyle w:val="yTableNAm"/>
            </w:pPr>
            <w:r>
              <w:t>6.</w:t>
            </w:r>
            <w:r>
              <w:tab/>
              <w:t>regulation 10(3)</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rPr>
                <w:i/>
                <w:iCs/>
              </w:rPr>
            </w:pPr>
            <w:r>
              <w:rPr>
                <w:i/>
                <w:iCs/>
              </w:rPr>
              <w:t>Environmental Protection (Packaged Fertiliser) Regulations 2010</w:t>
            </w:r>
          </w:p>
        </w:tc>
        <w:tc>
          <w:tcPr>
            <w:tcW w:w="1837" w:type="dxa"/>
          </w:tcPr>
          <w:p>
            <w:pPr>
              <w:pStyle w:val="yTableNAm"/>
              <w:rPr>
                <w:iCs/>
              </w:rPr>
            </w:pPr>
          </w:p>
        </w:tc>
        <w:tc>
          <w:tcPr>
            <w:tcW w:w="2402" w:type="dxa"/>
          </w:tcPr>
          <w:p>
            <w:pPr>
              <w:pStyle w:val="yTableNAm"/>
              <w:rPr>
                <w:iCs/>
              </w:rPr>
            </w:pPr>
          </w:p>
        </w:tc>
      </w:tr>
      <w:tr>
        <w:tblPrEx>
          <w:tblCellMar>
            <w:left w:w="108" w:type="dxa"/>
            <w:right w:w="108" w:type="dxa"/>
          </w:tblCellMar>
        </w:tblPrEx>
        <w:trPr>
          <w:gridAfter w:val="1"/>
          <w:wAfter w:w="23" w:type="dxa"/>
          <w:tblHeader/>
        </w:trPr>
        <w:tc>
          <w:tcPr>
            <w:tcW w:w="2968" w:type="dxa"/>
          </w:tcPr>
          <w:p>
            <w:pPr>
              <w:pStyle w:val="yTableNAm"/>
            </w:pPr>
            <w:r>
              <w:t>1.</w:t>
            </w:r>
            <w:r>
              <w:tab/>
              <w:t>regulation 7(5)</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2.</w:t>
            </w:r>
            <w:r>
              <w:tab/>
              <w:t>regulation 7(6)</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3.</w:t>
            </w:r>
            <w:r>
              <w:tab/>
              <w:t>regulation 8(3)</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4.</w:t>
            </w:r>
            <w:r>
              <w:tab/>
              <w:t>regulation 8(4)</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5.</w:t>
            </w:r>
            <w:r>
              <w:tab/>
              <w:t>regulation 9(5)</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6.</w:t>
            </w:r>
            <w:r>
              <w:tab/>
              <w:t>regulation 9(6)</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7.</w:t>
            </w:r>
            <w:r>
              <w:tab/>
              <w:t>regulation 10(3)</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8.</w:t>
            </w:r>
            <w:r>
              <w:tab/>
              <w:t>regulation 10(4)</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9.</w:t>
            </w:r>
            <w:r>
              <w:tab/>
              <w:t>regulation 11(3)</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10.</w:t>
            </w:r>
            <w:r>
              <w:tab/>
              <w:t>regulation 11(4)</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11.</w:t>
            </w:r>
            <w:r>
              <w:tab/>
              <w:t>regulation 12(3)</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12.</w:t>
            </w:r>
            <w:r>
              <w:tab/>
              <w:t>regulation 12(4)</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13.</w:t>
            </w:r>
            <w:r>
              <w:tab/>
              <w:t>regulation 16(1)</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14.</w:t>
            </w:r>
            <w:r>
              <w:tab/>
              <w:t>regulation 16(2)</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15.</w:t>
            </w:r>
            <w:r>
              <w:tab/>
              <w:t>regulation 17(4)</w:t>
            </w:r>
          </w:p>
        </w:tc>
        <w:tc>
          <w:tcPr>
            <w:tcW w:w="1837" w:type="dxa"/>
          </w:tcPr>
          <w:p>
            <w:pPr>
              <w:pStyle w:val="yTableNAm"/>
              <w:jc w:val="center"/>
            </w:pPr>
            <w:r>
              <w:t>250</w:t>
            </w:r>
          </w:p>
        </w:tc>
        <w:tc>
          <w:tcPr>
            <w:tcW w:w="2402" w:type="dxa"/>
          </w:tcPr>
          <w:p>
            <w:pPr>
              <w:pStyle w:val="yTableNAm"/>
              <w:jc w:val="center"/>
            </w:pPr>
            <w:r>
              <w:t>500</w:t>
            </w:r>
          </w:p>
        </w:tc>
      </w:tr>
      <w:tr>
        <w:tblPrEx>
          <w:tblCellMar>
            <w:left w:w="108" w:type="dxa"/>
            <w:right w:w="108" w:type="dxa"/>
          </w:tblCellMar>
        </w:tblPrEx>
        <w:trPr>
          <w:gridAfter w:val="1"/>
          <w:wAfter w:w="23" w:type="dxa"/>
          <w:tblHeader/>
        </w:trPr>
        <w:tc>
          <w:tcPr>
            <w:tcW w:w="2968" w:type="dxa"/>
          </w:tcPr>
          <w:p>
            <w:pPr>
              <w:pStyle w:val="yTableNAm"/>
            </w:pPr>
            <w:r>
              <w:t>16.</w:t>
            </w:r>
            <w:r>
              <w:tab/>
              <w:t>regulation 17(5)</w:t>
            </w:r>
          </w:p>
        </w:tc>
        <w:tc>
          <w:tcPr>
            <w:tcW w:w="1837" w:type="dxa"/>
          </w:tcPr>
          <w:p>
            <w:pPr>
              <w:pStyle w:val="yTableNAm"/>
              <w:jc w:val="center"/>
            </w:pPr>
            <w:r>
              <w:t>250</w:t>
            </w:r>
          </w:p>
        </w:tc>
        <w:tc>
          <w:tcPr>
            <w:tcW w:w="2402" w:type="dxa"/>
          </w:tcPr>
          <w:p>
            <w:pPr>
              <w:pStyle w:val="yTableNAm"/>
              <w:jc w:val="center"/>
            </w:pPr>
            <w:r>
              <w:t>500</w:t>
            </w:r>
          </w:p>
        </w:tc>
      </w:tr>
    </w:tbl>
    <w:p>
      <w:pPr>
        <w:pStyle w:val="yFootnotesection"/>
        <w:keepLines w:val="0"/>
      </w:pPr>
      <w:r>
        <w:tab/>
        <w:t>[Schedule 6 inserted in Gazette 11 Dec 1998 p. 6605</w:t>
      </w:r>
      <w:r>
        <w:noBreakHyphen/>
        <w:t>8; amended in Gazette 15 Aug 2000 p. 4718; 19 Dec 2000 p. 7284; 5 Jan 2001 p. 119; 30 Mar 2001 p. 1809, p. 1828 and 1867</w:t>
      </w:r>
      <w:r>
        <w:noBreakHyphen/>
        <w:t>8; 12 Apr 2001 p. 2097; 30 Nov 2001 p. 6071; 14 Jun 2002 p. 2794</w:t>
      </w:r>
      <w:r>
        <w:noBreakHyphen/>
        <w:t>5; 20 Dec 2002 p. 6020; 23 Jul 2003 p. 3173; 12 Mar 2004 p. 748</w:t>
      </w:r>
      <w:r>
        <w:noBreakHyphen/>
        <w:t>9; 1 Jul 2004 p. 2664</w:t>
      </w:r>
      <w:r>
        <w:noBreakHyphen/>
        <w:t>6; 29 Sep 2006 p. 4267; 27 Apr 2007 p. 1812; 31 Dec 2010 p. 6883</w:t>
      </w:r>
      <w:r>
        <w:noBreakHyphen/>
        <w:t>4; 2 Mar 2012 p. 855; 8 May 2012 p. 1893; 24 Sep 2013 p. 4385-6; 1 Aug 2014 p. 2823</w:t>
      </w:r>
      <w:r>
        <w:noBreakHyphen/>
        <w:t>4.]</w:t>
      </w:r>
    </w:p>
    <w:p>
      <w:pPr>
        <w:pStyle w:val="yFootnotesection"/>
        <w:keepLines w:val="0"/>
        <w:rPr>
          <w:i w:val="0"/>
        </w:rPr>
        <w:sectPr>
          <w:headerReference w:type="even" r:id="rId38"/>
          <w:headerReference w:type="default" r:id="rId39"/>
          <w:pgSz w:w="11906" w:h="16838" w:code="9"/>
          <w:pgMar w:top="2376" w:right="2405" w:bottom="3542" w:left="2405" w:header="706" w:footer="3380" w:gutter="0"/>
          <w:cols w:space="720"/>
          <w:noEndnote/>
          <w:docGrid w:linePitch="326"/>
        </w:sectPr>
      </w:pPr>
    </w:p>
    <w:p>
      <w:pPr>
        <w:pStyle w:val="yScheduleHeading"/>
      </w:pPr>
      <w:bookmarkStart w:id="114" w:name="_Toc404948624"/>
      <w:r>
        <w:rPr>
          <w:rStyle w:val="CharSchNo"/>
        </w:rPr>
        <w:t>Schedule 7</w:t>
      </w:r>
      <w:r>
        <w:t xml:space="preserve"> — </w:t>
      </w:r>
      <w:r>
        <w:rPr>
          <w:rStyle w:val="CharSchText"/>
        </w:rPr>
        <w:t>Forms</w:t>
      </w:r>
      <w:bookmarkEnd w:id="114"/>
    </w:p>
    <w:p>
      <w:pPr>
        <w:pStyle w:val="yShoulderClause"/>
      </w:pPr>
      <w:r>
        <w:t>[r. 37, 38, 42, 43]</w:t>
      </w:r>
    </w:p>
    <w:p>
      <w:pPr>
        <w:pStyle w:val="yFootnoteheading"/>
      </w:pPr>
      <w:r>
        <w:tab/>
        <w:t>[Heading inserted in Gazette 11 Dec 1998 p. 6608.]</w:t>
      </w:r>
    </w:p>
    <w:p>
      <w:pPr>
        <w:pStyle w:val="yTable"/>
        <w:spacing w:before="120" w:after="120"/>
        <w:jc w:val="center"/>
        <w:rPr>
          <w:b/>
        </w:rPr>
      </w:pPr>
      <w:r>
        <w:rPr>
          <w:rStyle w:val="CharSClsNo"/>
          <w:b/>
        </w:rPr>
        <w:t>Form 1</w:t>
      </w:r>
    </w:p>
    <w:p>
      <w:pPr>
        <w:pStyle w:val="yTable"/>
        <w:jc w:val="center"/>
        <w:rPr>
          <w:b/>
          <w:i/>
          <w:highlight w:val="cyan"/>
        </w:rPr>
      </w:pPr>
      <w:r>
        <w:rPr>
          <w:b/>
          <w:i/>
        </w:rPr>
        <w:t>Environmental Protection Act 1986</w:t>
      </w:r>
      <w:r>
        <w:t xml:space="preserve"> </w:t>
      </w:r>
      <w:r>
        <w:rPr>
          <w:b/>
        </w:rPr>
        <w:t>(Section 99B)</w:t>
      </w:r>
    </w:p>
    <w:p>
      <w:pPr>
        <w:pStyle w:val="yTable"/>
        <w:jc w:val="center"/>
      </w:pPr>
      <w:r>
        <w:rPr>
          <w:b/>
        </w:rPr>
        <w:t>Modified penalty notice</w:t>
      </w:r>
    </w:p>
    <w:p>
      <w:pPr>
        <w:pStyle w:val="yTable"/>
        <w:tabs>
          <w:tab w:val="right" w:pos="6237"/>
        </w:tabs>
      </w:pPr>
      <w:r>
        <w:tab/>
        <w:t>No. of Notice:</w:t>
      </w:r>
    </w:p>
    <w:p>
      <w:pPr>
        <w:pStyle w:val="yTable"/>
        <w:tabs>
          <w:tab w:val="right" w:pos="6237"/>
        </w:tabs>
        <w:spacing w:after="240"/>
      </w:pPr>
      <w:r>
        <w:tab/>
        <w:t>Certificate (s. 99A(2)(a)) No.:</w:t>
      </w:r>
    </w:p>
    <w:tbl>
      <w:tblPr>
        <w:tblW w:w="0" w:type="auto"/>
        <w:tblInd w:w="108" w:type="dxa"/>
        <w:tblLayout w:type="fixed"/>
        <w:tblLook w:val="0000" w:firstRow="0" w:lastRow="0" w:firstColumn="0" w:lastColumn="0" w:noHBand="0" w:noVBand="0"/>
      </w:tblPr>
      <w:tblGrid>
        <w:gridCol w:w="3876"/>
        <w:gridCol w:w="3192"/>
      </w:tblGrid>
      <w:tr>
        <w:tc>
          <w:tcPr>
            <w:tcW w:w="3876" w:type="dxa"/>
          </w:tcPr>
          <w:p>
            <w:pPr>
              <w:pStyle w:val="yTableNAm"/>
            </w:pPr>
            <w:r>
              <w:t>To: .........................................................</w:t>
            </w:r>
          </w:p>
        </w:tc>
        <w:tc>
          <w:tcPr>
            <w:tcW w:w="3192" w:type="dxa"/>
          </w:tcPr>
          <w:p>
            <w:pPr>
              <w:pStyle w:val="yTableNAm"/>
            </w:pPr>
            <w:r>
              <w:t>Sex:</w:t>
            </w:r>
            <w:r>
              <w:tab/>
              <w:t>M/F</w:t>
            </w:r>
          </w:p>
        </w:tc>
      </w:tr>
      <w:tr>
        <w:tc>
          <w:tcPr>
            <w:tcW w:w="3876" w:type="dxa"/>
          </w:tcPr>
          <w:p>
            <w:pPr>
              <w:pStyle w:val="yTableNAm"/>
            </w:pPr>
            <w:r>
              <w:tab/>
              <w:t>......................................................</w:t>
            </w:r>
          </w:p>
        </w:tc>
        <w:tc>
          <w:tcPr>
            <w:tcW w:w="3192" w:type="dxa"/>
          </w:tcPr>
          <w:p>
            <w:pPr>
              <w:pStyle w:val="yTableNAm"/>
            </w:pPr>
            <w:r>
              <w:t>DoB: ............ / ............ / ............</w:t>
            </w:r>
          </w:p>
        </w:tc>
      </w:tr>
      <w:tr>
        <w:tc>
          <w:tcPr>
            <w:tcW w:w="3876" w:type="dxa"/>
          </w:tcPr>
          <w:p>
            <w:pPr>
              <w:pStyle w:val="yTableNAm"/>
            </w:pPr>
            <w:r>
              <w:tab/>
              <w:t>...........................  Postcode: ..........</w:t>
            </w:r>
          </w:p>
        </w:tc>
        <w:tc>
          <w:tcPr>
            <w:tcW w:w="3192" w:type="dxa"/>
          </w:tcPr>
          <w:p>
            <w:pPr>
              <w:pStyle w:val="yTableNAm"/>
            </w:pPr>
            <w:r>
              <w:t>or ACN: .....................................</w:t>
            </w:r>
          </w:p>
        </w:tc>
      </w:tr>
    </w:tbl>
    <w:p>
      <w:pPr>
        <w:pStyle w:val="yTable"/>
      </w:pPr>
      <w:r>
        <w:t>It is alleged that you committed an offence:</w:t>
      </w:r>
    </w:p>
    <w:tbl>
      <w:tblPr>
        <w:tblW w:w="0" w:type="auto"/>
        <w:tblInd w:w="108" w:type="dxa"/>
        <w:tblLayout w:type="fixed"/>
        <w:tblLook w:val="0000" w:firstRow="0" w:lastRow="0" w:firstColumn="0" w:lastColumn="0" w:noHBand="0" w:noVBand="0"/>
      </w:tblPr>
      <w:tblGrid>
        <w:gridCol w:w="1985"/>
        <w:gridCol w:w="5083"/>
      </w:tblGrid>
      <w:tr>
        <w:trPr>
          <w:cantSplit/>
        </w:trPr>
        <w:tc>
          <w:tcPr>
            <w:tcW w:w="1985" w:type="dxa"/>
            <w:vMerge w:val="restart"/>
          </w:tcPr>
          <w:p>
            <w:pPr>
              <w:pStyle w:val="yTableNAm"/>
              <w:rPr>
                <w:b/>
              </w:rPr>
            </w:pPr>
            <w:r>
              <w:rPr>
                <w:b/>
              </w:rPr>
              <w:t>When and where</w:t>
            </w:r>
          </w:p>
        </w:tc>
        <w:tc>
          <w:tcPr>
            <w:tcW w:w="5083" w:type="dxa"/>
          </w:tcPr>
          <w:p>
            <w:pPr>
              <w:pStyle w:val="yTableNAm"/>
            </w:pPr>
            <w:r>
              <w:t>When:           a.m./p.m. on the         day of</w:t>
            </w:r>
          </w:p>
        </w:tc>
      </w:tr>
      <w:tr>
        <w:trPr>
          <w:cantSplit/>
        </w:trPr>
        <w:tc>
          <w:tcPr>
            <w:tcW w:w="1985" w:type="dxa"/>
            <w:vMerge/>
          </w:tcPr>
          <w:p>
            <w:pPr>
              <w:pStyle w:val="yTableNAm"/>
            </w:pPr>
          </w:p>
        </w:tc>
        <w:tc>
          <w:tcPr>
            <w:tcW w:w="5083" w:type="dxa"/>
          </w:tcPr>
          <w:p>
            <w:pPr>
              <w:pStyle w:val="yTableNAm"/>
            </w:pPr>
            <w:r>
              <w:t>Where:</w:t>
            </w:r>
          </w:p>
        </w:tc>
      </w:tr>
    </w:tbl>
    <w:p>
      <w:pPr>
        <w:pStyle w:val="yTable"/>
      </w:pPr>
      <w:r>
        <w:t>Details of the offence and modified penalty:</w:t>
      </w:r>
    </w:p>
    <w:tbl>
      <w:tblPr>
        <w:tblW w:w="0" w:type="auto"/>
        <w:tblInd w:w="108" w:type="dxa"/>
        <w:tblLayout w:type="fixed"/>
        <w:tblLook w:val="0000" w:firstRow="0" w:lastRow="0" w:firstColumn="0" w:lastColumn="0" w:noHBand="0" w:noVBand="0"/>
      </w:tblPr>
      <w:tblGrid>
        <w:gridCol w:w="1985"/>
        <w:gridCol w:w="3260"/>
        <w:gridCol w:w="1823"/>
      </w:tblGrid>
      <w:tr>
        <w:tc>
          <w:tcPr>
            <w:tcW w:w="1985" w:type="dxa"/>
          </w:tcPr>
          <w:p>
            <w:pPr>
              <w:pStyle w:val="yTableNAm"/>
              <w:ind w:right="459"/>
              <w:jc w:val="center"/>
              <w:rPr>
                <w:b/>
              </w:rPr>
            </w:pPr>
            <w:r>
              <w:rPr>
                <w:b/>
              </w:rPr>
              <w:t>Section of the Act</w:t>
            </w:r>
          </w:p>
        </w:tc>
        <w:tc>
          <w:tcPr>
            <w:tcW w:w="3260" w:type="dxa"/>
          </w:tcPr>
          <w:p>
            <w:pPr>
              <w:pStyle w:val="yTableNAm"/>
              <w:jc w:val="center"/>
              <w:rPr>
                <w:b/>
              </w:rPr>
            </w:pPr>
            <w:r>
              <w:rPr>
                <w:b/>
              </w:rPr>
              <w:t>Description of the offence</w:t>
            </w:r>
          </w:p>
        </w:tc>
        <w:tc>
          <w:tcPr>
            <w:tcW w:w="1823" w:type="dxa"/>
          </w:tcPr>
          <w:p>
            <w:pPr>
              <w:pStyle w:val="yTableNAm"/>
              <w:jc w:val="center"/>
              <w:rPr>
                <w:b/>
              </w:rPr>
            </w:pPr>
            <w:r>
              <w:rPr>
                <w:b/>
              </w:rPr>
              <w:t>Modified penalty</w:t>
            </w:r>
          </w:p>
          <w:p>
            <w:pPr>
              <w:pStyle w:val="yTableNAm"/>
              <w:jc w:val="center"/>
              <w:rPr>
                <w:b/>
              </w:rPr>
            </w:pPr>
            <w:r>
              <w:rPr>
                <w:b/>
              </w:rPr>
              <w:t>$</w:t>
            </w:r>
          </w:p>
        </w:tc>
      </w:tr>
      <w:tr>
        <w:tc>
          <w:tcPr>
            <w:tcW w:w="1985" w:type="dxa"/>
          </w:tcPr>
          <w:p>
            <w:pPr>
              <w:pStyle w:val="yTableNAm"/>
            </w:pPr>
          </w:p>
        </w:tc>
        <w:tc>
          <w:tcPr>
            <w:tcW w:w="3260" w:type="dxa"/>
          </w:tcPr>
          <w:p>
            <w:pPr>
              <w:pStyle w:val="yTableNAm"/>
            </w:pPr>
          </w:p>
        </w:tc>
        <w:tc>
          <w:tcPr>
            <w:tcW w:w="1823" w:type="dxa"/>
          </w:tcPr>
          <w:p>
            <w:pPr>
              <w:pStyle w:val="yTableNAm"/>
            </w:pPr>
          </w:p>
        </w:tc>
      </w:tr>
    </w:tbl>
    <w:p>
      <w:pPr>
        <w:pStyle w:val="yTable"/>
      </w:pPr>
      <w:r>
        <w:t>Information about this notice:</w:t>
      </w:r>
    </w:p>
    <w:tbl>
      <w:tblPr>
        <w:tblW w:w="0" w:type="auto"/>
        <w:tblInd w:w="108" w:type="dxa"/>
        <w:tblLayout w:type="fixed"/>
        <w:tblLook w:val="0000" w:firstRow="0" w:lastRow="0" w:firstColumn="0" w:lastColumn="0" w:noHBand="0" w:noVBand="0"/>
      </w:tblPr>
      <w:tblGrid>
        <w:gridCol w:w="1985"/>
        <w:gridCol w:w="5083"/>
      </w:tblGrid>
      <w:tr>
        <w:tc>
          <w:tcPr>
            <w:tcW w:w="1985" w:type="dxa"/>
          </w:tcPr>
          <w:p>
            <w:pPr>
              <w:pStyle w:val="yTableNAm"/>
            </w:pPr>
            <w:r>
              <w:t>Date:</w:t>
            </w:r>
          </w:p>
        </w:tc>
        <w:tc>
          <w:tcPr>
            <w:tcW w:w="5083" w:type="dxa"/>
          </w:tcPr>
          <w:p>
            <w:pPr>
              <w:pStyle w:val="yTableNAm"/>
            </w:pPr>
            <w:r>
              <w:t>.....................................................................................</w:t>
            </w:r>
          </w:p>
        </w:tc>
      </w:tr>
      <w:tr>
        <w:tc>
          <w:tcPr>
            <w:tcW w:w="1985" w:type="dxa"/>
          </w:tcPr>
          <w:p>
            <w:pPr>
              <w:pStyle w:val="yTableNAm"/>
            </w:pPr>
            <w:r>
              <w:t>Issued at:</w:t>
            </w:r>
          </w:p>
        </w:tc>
        <w:tc>
          <w:tcPr>
            <w:tcW w:w="5083" w:type="dxa"/>
          </w:tcPr>
          <w:p>
            <w:pPr>
              <w:pStyle w:val="yTableNAm"/>
            </w:pPr>
            <w:r>
              <w:t>.....................................................................................</w:t>
            </w:r>
          </w:p>
        </w:tc>
      </w:tr>
      <w:tr>
        <w:tc>
          <w:tcPr>
            <w:tcW w:w="1985" w:type="dxa"/>
          </w:tcPr>
          <w:p>
            <w:pPr>
              <w:pStyle w:val="yTableNAm"/>
            </w:pPr>
            <w:r>
              <w:t>By:</w:t>
            </w:r>
          </w:p>
        </w:tc>
        <w:tc>
          <w:tcPr>
            <w:tcW w:w="5083" w:type="dxa"/>
          </w:tcPr>
          <w:p>
            <w:pPr>
              <w:pStyle w:val="yTableNAm"/>
            </w:pPr>
            <w:r>
              <w:t>.....................................................................................</w:t>
            </w:r>
          </w:p>
        </w:tc>
      </w:tr>
      <w:tr>
        <w:tc>
          <w:tcPr>
            <w:tcW w:w="1985" w:type="dxa"/>
          </w:tcPr>
          <w:p>
            <w:pPr>
              <w:pStyle w:val="yTableNAm"/>
            </w:pPr>
            <w:r>
              <w:t>Signature:</w:t>
            </w:r>
          </w:p>
        </w:tc>
        <w:tc>
          <w:tcPr>
            <w:tcW w:w="5083" w:type="dxa"/>
          </w:tcPr>
          <w:p>
            <w:pPr>
              <w:pStyle w:val="yTableNAm"/>
            </w:pPr>
            <w:r>
              <w:t>.....................................................................................</w:t>
            </w:r>
          </w:p>
        </w:tc>
      </w:tr>
    </w:tbl>
    <w:p>
      <w:pPr>
        <w:pStyle w:val="yTable"/>
        <w:tabs>
          <w:tab w:val="left" w:pos="567"/>
          <w:tab w:val="left" w:pos="709"/>
        </w:tabs>
        <w:ind w:left="709" w:hanging="709"/>
      </w:pPr>
      <w:r>
        <w:tab/>
        <w:t>*</w:t>
      </w:r>
      <w:r>
        <w:tab/>
      </w:r>
      <w:r>
        <w:rPr>
          <w:b/>
          <w:spacing w:val="-4"/>
        </w:rPr>
        <w:t>At the discretion of the Department of Environmental Protection</w:t>
      </w:r>
      <w:r>
        <w:rPr>
          <w:spacing w:val="-4"/>
          <w:vertAlign w:val="superscript"/>
        </w:rPr>
        <w:t> 3</w:t>
      </w:r>
      <w:r>
        <w:rPr>
          <w:b/>
          <w:spacing w:val="-4"/>
        </w:rPr>
        <w:t>, this Modified Penalty Notice may be withdrawn and other action taken.</w:t>
      </w:r>
    </w:p>
    <w:p>
      <w:pPr>
        <w:pStyle w:val="yTable"/>
        <w:keepNext/>
        <w:keepLines/>
        <w:spacing w:before="120"/>
        <w:rPr>
          <w:sz w:val="18"/>
        </w:rPr>
      </w:pPr>
      <w:r>
        <w:rPr>
          <w:sz w:val="18"/>
        </w:rPr>
        <w:t>WHAT YOU MUST DO:</w:t>
      </w:r>
    </w:p>
    <w:p>
      <w:pPr>
        <w:pStyle w:val="yTable"/>
        <w:keepNext/>
        <w:keepLines/>
        <w:tabs>
          <w:tab w:val="left" w:pos="567"/>
        </w:tabs>
        <w:spacing w:before="120"/>
        <w:ind w:left="567" w:hanging="567"/>
        <w:rPr>
          <w:sz w:val="18"/>
        </w:rPr>
      </w:pPr>
      <w:r>
        <w:rPr>
          <w:sz w:val="18"/>
        </w:rPr>
        <w:t>1.</w:t>
      </w:r>
      <w:r>
        <w:rPr>
          <w:sz w:val="18"/>
        </w:rPr>
        <w:tab/>
        <w:t>You may dispose of this matter by paying the modified penalty within a period of 28 days after the service of this notice:</w:t>
      </w:r>
    </w:p>
    <w:p>
      <w:pPr>
        <w:pStyle w:val="yTable"/>
        <w:keepNext/>
        <w:rPr>
          <w:sz w:val="18"/>
        </w:rPr>
      </w:pPr>
      <w:r>
        <w:rPr>
          <w:sz w:val="18"/>
        </w:rPr>
        <w:t>PAY THE MODIFIED PENALTY TO:</w:t>
      </w:r>
    </w:p>
    <w:p>
      <w:pPr>
        <w:pStyle w:val="yTable"/>
        <w:keepNext/>
        <w:tabs>
          <w:tab w:val="left" w:pos="567"/>
        </w:tabs>
        <w:spacing w:before="20"/>
        <w:rPr>
          <w:sz w:val="18"/>
        </w:rPr>
      </w:pPr>
      <w:r>
        <w:rPr>
          <w:sz w:val="18"/>
        </w:rPr>
        <w:tab/>
        <w:t>The Accountant</w:t>
      </w:r>
    </w:p>
    <w:p>
      <w:pPr>
        <w:pStyle w:val="yTable"/>
        <w:keepNext/>
        <w:tabs>
          <w:tab w:val="left" w:pos="567"/>
        </w:tabs>
        <w:spacing w:before="20"/>
        <w:rPr>
          <w:sz w:val="18"/>
          <w:vertAlign w:val="superscript"/>
        </w:rPr>
      </w:pPr>
      <w:r>
        <w:rPr>
          <w:sz w:val="18"/>
        </w:rPr>
        <w:tab/>
        <w:t>Department of Environmental Protection</w:t>
      </w:r>
      <w:r>
        <w:rPr>
          <w:sz w:val="18"/>
          <w:vertAlign w:val="superscript"/>
        </w:rPr>
        <w:t> 3</w:t>
      </w:r>
    </w:p>
    <w:p>
      <w:pPr>
        <w:pStyle w:val="yTable"/>
        <w:keepNext/>
        <w:tabs>
          <w:tab w:val="left" w:pos="567"/>
        </w:tabs>
        <w:spacing w:before="20"/>
        <w:rPr>
          <w:sz w:val="18"/>
        </w:rPr>
      </w:pPr>
      <w:r>
        <w:rPr>
          <w:sz w:val="18"/>
        </w:rPr>
        <w:tab/>
        <w:t xml:space="preserve">GPO </w:t>
      </w:r>
      <w:smartTag w:uri="urn:schemas-microsoft-com:office:smarttags" w:element="address">
        <w:smartTag w:uri="urn:schemas-microsoft-com:office:smarttags" w:element="Street">
          <w:r>
            <w:rPr>
              <w:sz w:val="18"/>
            </w:rPr>
            <w:t>Box</w:t>
          </w:r>
        </w:smartTag>
        <w:r>
          <w:rPr>
            <w:sz w:val="18"/>
          </w:rPr>
          <w:t xml:space="preserve"> K822</w:t>
        </w:r>
      </w:smartTag>
    </w:p>
    <w:p>
      <w:pPr>
        <w:pStyle w:val="yTable"/>
        <w:tabs>
          <w:tab w:val="left" w:pos="567"/>
        </w:tabs>
        <w:spacing w:before="20"/>
        <w:rPr>
          <w:sz w:val="18"/>
        </w:rPr>
      </w:pPr>
      <w:r>
        <w:rPr>
          <w:sz w:val="18"/>
        </w:rPr>
        <w:tab/>
      </w:r>
      <w:smartTag w:uri="urn:schemas-microsoft-com:office:smarttags" w:element="place">
        <w:smartTag w:uri="urn:schemas-microsoft-com:office:smarttags" w:element="City">
          <w:r>
            <w:rPr>
              <w:sz w:val="18"/>
            </w:rPr>
            <w:t>PERTH</w:t>
          </w:r>
        </w:smartTag>
      </w:smartTag>
      <w:r>
        <w:rPr>
          <w:sz w:val="18"/>
        </w:rPr>
        <w:t xml:space="preserve">  WA  6842</w:t>
      </w:r>
    </w:p>
    <w:p>
      <w:pPr>
        <w:pStyle w:val="yTable"/>
      </w:pPr>
      <w:r>
        <w:rPr>
          <w:sz w:val="18"/>
        </w:rPr>
        <w:t>If you wish to do so but are unable to make payment within 28 days you may apply to the Chief Executive Officer of the Department of Environmental Protection</w:t>
      </w:r>
      <w:r>
        <w:rPr>
          <w:sz w:val="18"/>
          <w:vertAlign w:val="superscript"/>
        </w:rPr>
        <w:t> 3</w:t>
      </w:r>
      <w:r>
        <w:rPr>
          <w:sz w:val="18"/>
        </w:rPr>
        <w:t xml:space="preserve"> for an extension of time within which the modified penalty may be paid.</w:t>
      </w:r>
    </w:p>
    <w:p>
      <w:pPr>
        <w:pStyle w:val="yTable"/>
        <w:rPr>
          <w:sz w:val="18"/>
        </w:rPr>
      </w:pPr>
      <w:r>
        <w:rPr>
          <w:sz w:val="18"/>
        </w:rPr>
        <w:t>OR</w:t>
      </w:r>
    </w:p>
    <w:p>
      <w:pPr>
        <w:pStyle w:val="yTable"/>
        <w:tabs>
          <w:tab w:val="left" w:pos="567"/>
        </w:tabs>
        <w:rPr>
          <w:sz w:val="18"/>
        </w:rPr>
      </w:pPr>
      <w:r>
        <w:rPr>
          <w:sz w:val="18"/>
        </w:rPr>
        <w:t>2.</w:t>
      </w:r>
      <w:r>
        <w:rPr>
          <w:sz w:val="18"/>
        </w:rPr>
        <w:tab/>
        <w:t>Elect to have the matter dealt with by a COURT.</w:t>
      </w:r>
    </w:p>
    <w:p>
      <w:pPr>
        <w:pStyle w:val="yTable"/>
        <w:rPr>
          <w:sz w:val="18"/>
        </w:rPr>
      </w:pPr>
      <w:r>
        <w:rPr>
          <w:sz w:val="18"/>
        </w:rPr>
        <w:t>If you do not take one of the above options within the time specified above, this matter will be dealt with before a COURT.</w:t>
      </w:r>
    </w:p>
    <w:p>
      <w:pPr>
        <w:pStyle w:val="yFootnotesection"/>
      </w:pPr>
      <w:r>
        <w:tab/>
        <w:t>[Form 1 inserted in Gazette 11 Dec 1998 p. 6608</w:t>
      </w:r>
      <w:r>
        <w:noBreakHyphen/>
        <w:t>9.]</w:t>
      </w:r>
    </w:p>
    <w:p>
      <w:pPr>
        <w:pStyle w:val="yTable"/>
        <w:pageBreakBefore/>
        <w:spacing w:after="120"/>
        <w:jc w:val="center"/>
        <w:rPr>
          <w:b/>
        </w:rPr>
      </w:pPr>
      <w:r>
        <w:rPr>
          <w:rStyle w:val="CharSClsNo"/>
          <w:b/>
        </w:rPr>
        <w:t>Form 2</w:t>
      </w:r>
    </w:p>
    <w:p>
      <w:pPr>
        <w:pStyle w:val="yTable"/>
        <w:jc w:val="center"/>
        <w:rPr>
          <w:b/>
          <w:i/>
        </w:rPr>
      </w:pPr>
      <w:r>
        <w:rPr>
          <w:b/>
          <w:i/>
        </w:rPr>
        <w:t>Environmental Protection Act 1986</w:t>
      </w:r>
      <w:r>
        <w:rPr>
          <w:b/>
        </w:rPr>
        <w:t xml:space="preserve"> (Section 99D)</w:t>
      </w:r>
    </w:p>
    <w:p>
      <w:pPr>
        <w:pStyle w:val="yTable"/>
        <w:spacing w:after="240"/>
        <w:jc w:val="center"/>
      </w:pPr>
      <w:r>
        <w:rPr>
          <w:b/>
        </w:rPr>
        <w:t>Withdrawal of modified penalty notice</w:t>
      </w:r>
    </w:p>
    <w:tbl>
      <w:tblPr>
        <w:tblW w:w="0" w:type="auto"/>
        <w:tblInd w:w="108" w:type="dxa"/>
        <w:tblLayout w:type="fixed"/>
        <w:tblLook w:val="0000" w:firstRow="0" w:lastRow="0" w:firstColumn="0" w:lastColumn="0" w:noHBand="0" w:noVBand="0"/>
      </w:tblPr>
      <w:tblGrid>
        <w:gridCol w:w="3876"/>
        <w:gridCol w:w="3192"/>
      </w:tblGrid>
      <w:tr>
        <w:tc>
          <w:tcPr>
            <w:tcW w:w="3876" w:type="dxa"/>
          </w:tcPr>
          <w:p>
            <w:pPr>
              <w:pStyle w:val="yTableNAm"/>
            </w:pPr>
            <w:r>
              <w:t>To: ...........................................................</w:t>
            </w:r>
          </w:p>
        </w:tc>
        <w:tc>
          <w:tcPr>
            <w:tcW w:w="3192" w:type="dxa"/>
          </w:tcPr>
          <w:p>
            <w:pPr>
              <w:pStyle w:val="yTableNAm"/>
            </w:pPr>
            <w:r>
              <w:t>Sex:</w:t>
            </w:r>
            <w:r>
              <w:tab/>
              <w:t>M/F</w:t>
            </w:r>
          </w:p>
        </w:tc>
      </w:tr>
      <w:tr>
        <w:tc>
          <w:tcPr>
            <w:tcW w:w="3876" w:type="dxa"/>
          </w:tcPr>
          <w:p>
            <w:pPr>
              <w:pStyle w:val="yTableNAm"/>
            </w:pPr>
            <w:r>
              <w:tab/>
              <w:t>.......................................................</w:t>
            </w:r>
          </w:p>
        </w:tc>
        <w:tc>
          <w:tcPr>
            <w:tcW w:w="3192" w:type="dxa"/>
          </w:tcPr>
          <w:p>
            <w:pPr>
              <w:pStyle w:val="yTableNAm"/>
            </w:pPr>
            <w:r>
              <w:t>DoB: ............ / ............ / ...........</w:t>
            </w:r>
          </w:p>
        </w:tc>
      </w:tr>
      <w:tr>
        <w:tc>
          <w:tcPr>
            <w:tcW w:w="3876" w:type="dxa"/>
          </w:tcPr>
          <w:p>
            <w:pPr>
              <w:pStyle w:val="yTableNAm"/>
            </w:pPr>
            <w:r>
              <w:tab/>
              <w:t>...........................  Postcode: ..........</w:t>
            </w:r>
          </w:p>
        </w:tc>
        <w:tc>
          <w:tcPr>
            <w:tcW w:w="3192" w:type="dxa"/>
          </w:tcPr>
          <w:p>
            <w:pPr>
              <w:pStyle w:val="yTableNAm"/>
            </w:pPr>
            <w:r>
              <w:t>or ACN: ....................................</w:t>
            </w:r>
          </w:p>
        </w:tc>
      </w:tr>
    </w:tbl>
    <w:p>
      <w:pPr>
        <w:pStyle w:val="yTable"/>
      </w:pPr>
      <w:r>
        <w:rPr>
          <w:sz w:val="20"/>
        </w:rPr>
        <w:t>A MODIFIED PENALTY NOTICE SERVED ON YOU HAS BEEN WITHDRAWN AND NO FURTHER ACTION WILL BE TAKEN*/A SUMMONS WILL BE ISSUED*</w:t>
      </w:r>
    </w:p>
    <w:p>
      <w:pPr>
        <w:pStyle w:val="yTable"/>
      </w:pPr>
      <w:r>
        <w:t>Details of the withdrawn notice:</w:t>
      </w:r>
    </w:p>
    <w:tbl>
      <w:tblPr>
        <w:tblW w:w="0" w:type="auto"/>
        <w:tblInd w:w="108" w:type="dxa"/>
        <w:tblLayout w:type="fixed"/>
        <w:tblLook w:val="0000" w:firstRow="0" w:lastRow="0" w:firstColumn="0" w:lastColumn="0" w:noHBand="0" w:noVBand="0"/>
      </w:tblPr>
      <w:tblGrid>
        <w:gridCol w:w="2410"/>
        <w:gridCol w:w="4678"/>
      </w:tblGrid>
      <w:tr>
        <w:tc>
          <w:tcPr>
            <w:tcW w:w="2410" w:type="dxa"/>
          </w:tcPr>
          <w:p>
            <w:pPr>
              <w:pStyle w:val="yTableNAm"/>
            </w:pPr>
            <w:r>
              <w:t>Date of issue:</w:t>
            </w:r>
          </w:p>
        </w:tc>
        <w:tc>
          <w:tcPr>
            <w:tcW w:w="4678" w:type="dxa"/>
          </w:tcPr>
          <w:p>
            <w:pPr>
              <w:pStyle w:val="yTableNAm"/>
            </w:pPr>
            <w:r>
              <w:t>..............................................................................</w:t>
            </w:r>
          </w:p>
        </w:tc>
      </w:tr>
      <w:tr>
        <w:tc>
          <w:tcPr>
            <w:tcW w:w="2410" w:type="dxa"/>
          </w:tcPr>
          <w:p>
            <w:pPr>
              <w:pStyle w:val="yTableNAm"/>
            </w:pPr>
            <w:r>
              <w:t>Alleged offence.</w:t>
            </w:r>
          </w:p>
        </w:tc>
        <w:tc>
          <w:tcPr>
            <w:tcW w:w="4678" w:type="dxa"/>
          </w:tcPr>
          <w:p>
            <w:pPr>
              <w:pStyle w:val="yTableNAm"/>
            </w:pPr>
            <w:r>
              <w:t>..............................................................................</w:t>
            </w:r>
          </w:p>
        </w:tc>
      </w:tr>
      <w:tr>
        <w:tc>
          <w:tcPr>
            <w:tcW w:w="2410" w:type="dxa"/>
          </w:tcPr>
          <w:p>
            <w:pPr>
              <w:pStyle w:val="yTableNAm"/>
            </w:pPr>
            <w:r>
              <w:t>Notice No.:</w:t>
            </w:r>
          </w:p>
        </w:tc>
        <w:tc>
          <w:tcPr>
            <w:tcW w:w="4678" w:type="dxa"/>
          </w:tcPr>
          <w:p>
            <w:pPr>
              <w:pStyle w:val="yTableNAm"/>
            </w:pPr>
            <w:r>
              <w:t>..............................................................................</w:t>
            </w:r>
          </w:p>
        </w:tc>
      </w:tr>
    </w:tbl>
    <w:p>
      <w:pPr>
        <w:pStyle w:val="yTable"/>
      </w:pPr>
      <w:r>
        <w:t>Information about this notice:</w:t>
      </w:r>
    </w:p>
    <w:tbl>
      <w:tblPr>
        <w:tblW w:w="0" w:type="auto"/>
        <w:tblInd w:w="108" w:type="dxa"/>
        <w:tblLayout w:type="fixed"/>
        <w:tblLook w:val="0000" w:firstRow="0" w:lastRow="0" w:firstColumn="0" w:lastColumn="0" w:noHBand="0" w:noVBand="0"/>
      </w:tblPr>
      <w:tblGrid>
        <w:gridCol w:w="2410"/>
        <w:gridCol w:w="4678"/>
      </w:tblGrid>
      <w:tr>
        <w:tc>
          <w:tcPr>
            <w:tcW w:w="2410" w:type="dxa"/>
          </w:tcPr>
          <w:p>
            <w:pPr>
              <w:pStyle w:val="yTableNAm"/>
            </w:pPr>
            <w:r>
              <w:t>Date:</w:t>
            </w:r>
          </w:p>
        </w:tc>
        <w:tc>
          <w:tcPr>
            <w:tcW w:w="4678" w:type="dxa"/>
          </w:tcPr>
          <w:p>
            <w:pPr>
              <w:pStyle w:val="yTableNAm"/>
            </w:pPr>
            <w:r>
              <w:t>..............................................................................</w:t>
            </w:r>
          </w:p>
        </w:tc>
      </w:tr>
      <w:tr>
        <w:tc>
          <w:tcPr>
            <w:tcW w:w="2410" w:type="dxa"/>
          </w:tcPr>
          <w:p>
            <w:pPr>
              <w:pStyle w:val="yTableNAm"/>
            </w:pPr>
            <w:r>
              <w:t>Issued at:</w:t>
            </w:r>
          </w:p>
        </w:tc>
        <w:tc>
          <w:tcPr>
            <w:tcW w:w="4678" w:type="dxa"/>
          </w:tcPr>
          <w:p>
            <w:pPr>
              <w:pStyle w:val="yTableNAm"/>
            </w:pPr>
            <w:r>
              <w:t>..............................................................................</w:t>
            </w:r>
          </w:p>
        </w:tc>
      </w:tr>
      <w:tr>
        <w:tc>
          <w:tcPr>
            <w:tcW w:w="2410" w:type="dxa"/>
          </w:tcPr>
          <w:p>
            <w:pPr>
              <w:pStyle w:val="yTableNAm"/>
            </w:pPr>
            <w:r>
              <w:t>by:</w:t>
            </w:r>
          </w:p>
        </w:tc>
        <w:tc>
          <w:tcPr>
            <w:tcW w:w="4678" w:type="dxa"/>
          </w:tcPr>
          <w:p>
            <w:pPr>
              <w:pStyle w:val="yTableNAm"/>
            </w:pPr>
            <w:r>
              <w:t>..............................................................................</w:t>
            </w:r>
          </w:p>
        </w:tc>
      </w:tr>
      <w:tr>
        <w:tc>
          <w:tcPr>
            <w:tcW w:w="2410" w:type="dxa"/>
          </w:tcPr>
          <w:p>
            <w:pPr>
              <w:pStyle w:val="yTableNAm"/>
            </w:pPr>
            <w:r>
              <w:t>Signature:</w:t>
            </w:r>
          </w:p>
        </w:tc>
        <w:tc>
          <w:tcPr>
            <w:tcW w:w="4678" w:type="dxa"/>
          </w:tcPr>
          <w:p>
            <w:pPr>
              <w:pStyle w:val="yTableNAm"/>
            </w:pPr>
            <w:r>
              <w:t>..............................................................................</w:t>
            </w:r>
          </w:p>
        </w:tc>
      </w:tr>
    </w:tbl>
    <w:p>
      <w:pPr>
        <w:pStyle w:val="yTable"/>
      </w:pPr>
      <w:r>
        <w:t>*  Delete where not applicable.</w:t>
      </w:r>
    </w:p>
    <w:p>
      <w:pPr>
        <w:pStyle w:val="yFootnotesection"/>
      </w:pPr>
      <w:r>
        <w:tab/>
        <w:t>[Form 2 inserted in Gazette 11 Dec 1998 p. 6609.]</w:t>
      </w:r>
    </w:p>
    <w:p>
      <w:pPr>
        <w:pStyle w:val="yTable"/>
        <w:pageBreakBefore/>
        <w:spacing w:after="120"/>
        <w:jc w:val="center"/>
        <w:rPr>
          <w:b/>
        </w:rPr>
      </w:pPr>
      <w:r>
        <w:rPr>
          <w:rStyle w:val="CharSClsNo"/>
          <w:b/>
        </w:rPr>
        <w:t>Form 3</w:t>
      </w:r>
    </w:p>
    <w:p>
      <w:pPr>
        <w:pStyle w:val="yTable"/>
        <w:jc w:val="center"/>
        <w:rPr>
          <w:b/>
          <w:i/>
        </w:rPr>
      </w:pPr>
      <w:r>
        <w:rPr>
          <w:b/>
          <w:i/>
        </w:rPr>
        <w:t>Environmental Protection Act 1986</w:t>
      </w:r>
      <w:r>
        <w:rPr>
          <w:b/>
        </w:rPr>
        <w:t xml:space="preserve"> (Section 99K)</w:t>
      </w:r>
    </w:p>
    <w:p>
      <w:pPr>
        <w:pStyle w:val="yTable"/>
        <w:jc w:val="center"/>
        <w:rPr>
          <w:b/>
        </w:rPr>
      </w:pPr>
      <w:r>
        <w:rPr>
          <w:b/>
        </w:rPr>
        <w:t>Infringement notice</w:t>
      </w:r>
    </w:p>
    <w:p>
      <w:pPr>
        <w:pStyle w:val="yTable"/>
        <w:tabs>
          <w:tab w:val="left" w:pos="3969"/>
        </w:tabs>
        <w:spacing w:after="120"/>
      </w:pPr>
      <w:r>
        <w:tab/>
        <w:t>No. of Notice:</w:t>
      </w:r>
    </w:p>
    <w:tbl>
      <w:tblPr>
        <w:tblW w:w="0" w:type="auto"/>
        <w:tblInd w:w="108" w:type="dxa"/>
        <w:tblLayout w:type="fixed"/>
        <w:tblLook w:val="0000" w:firstRow="0" w:lastRow="0" w:firstColumn="0" w:lastColumn="0" w:noHBand="0" w:noVBand="0"/>
      </w:tblPr>
      <w:tblGrid>
        <w:gridCol w:w="3876"/>
        <w:gridCol w:w="3212"/>
      </w:tblGrid>
      <w:tr>
        <w:tc>
          <w:tcPr>
            <w:tcW w:w="3876" w:type="dxa"/>
          </w:tcPr>
          <w:p>
            <w:pPr>
              <w:pStyle w:val="yTableNAm"/>
            </w:pPr>
            <w:r>
              <w:t>To: ...........................................................</w:t>
            </w:r>
          </w:p>
        </w:tc>
        <w:tc>
          <w:tcPr>
            <w:tcW w:w="3212" w:type="dxa"/>
          </w:tcPr>
          <w:p>
            <w:pPr>
              <w:pStyle w:val="yTableNAm"/>
            </w:pPr>
            <w:r>
              <w:t>Sex:</w:t>
            </w:r>
            <w:r>
              <w:tab/>
              <w:t>M/F</w:t>
            </w:r>
          </w:p>
        </w:tc>
      </w:tr>
      <w:tr>
        <w:tc>
          <w:tcPr>
            <w:tcW w:w="3876" w:type="dxa"/>
          </w:tcPr>
          <w:p>
            <w:pPr>
              <w:pStyle w:val="yTableNAm"/>
            </w:pPr>
            <w:r>
              <w:tab/>
              <w:t>........................................................</w:t>
            </w:r>
          </w:p>
        </w:tc>
        <w:tc>
          <w:tcPr>
            <w:tcW w:w="3212" w:type="dxa"/>
          </w:tcPr>
          <w:p>
            <w:pPr>
              <w:pStyle w:val="yTableNAm"/>
            </w:pPr>
            <w:r>
              <w:t>DoB: ............ / ........... / .............</w:t>
            </w:r>
          </w:p>
        </w:tc>
      </w:tr>
      <w:tr>
        <w:tc>
          <w:tcPr>
            <w:tcW w:w="3876" w:type="dxa"/>
          </w:tcPr>
          <w:p>
            <w:pPr>
              <w:pStyle w:val="yTableNAm"/>
            </w:pPr>
            <w:r>
              <w:tab/>
              <w:t>...........................  Postcode: ..........</w:t>
            </w:r>
          </w:p>
        </w:tc>
        <w:tc>
          <w:tcPr>
            <w:tcW w:w="3212" w:type="dxa"/>
          </w:tcPr>
          <w:p>
            <w:pPr>
              <w:pStyle w:val="yTableNAm"/>
            </w:pPr>
            <w:r>
              <w:t>or ACN: .....................................</w:t>
            </w:r>
          </w:p>
        </w:tc>
      </w:tr>
    </w:tbl>
    <w:p>
      <w:pPr>
        <w:pStyle w:val="yTable"/>
      </w:pPr>
      <w:r>
        <w:t>It is alleged that you committed an offence:</w:t>
      </w:r>
    </w:p>
    <w:tbl>
      <w:tblPr>
        <w:tblW w:w="7125" w:type="dxa"/>
        <w:tblInd w:w="28" w:type="dxa"/>
        <w:tblLayout w:type="fixed"/>
        <w:tblCellMar>
          <w:left w:w="28" w:type="dxa"/>
          <w:right w:w="28" w:type="dxa"/>
        </w:tblCellMar>
        <w:tblLook w:val="0000" w:firstRow="0" w:lastRow="0" w:firstColumn="0" w:lastColumn="0" w:noHBand="0" w:noVBand="0"/>
      </w:tblPr>
      <w:tblGrid>
        <w:gridCol w:w="1418"/>
        <w:gridCol w:w="5707"/>
      </w:tblGrid>
      <w:tr>
        <w:trPr>
          <w:cantSplit/>
        </w:trPr>
        <w:tc>
          <w:tcPr>
            <w:tcW w:w="1418" w:type="dxa"/>
            <w:vMerge w:val="restart"/>
          </w:tcPr>
          <w:p>
            <w:pPr>
              <w:pStyle w:val="yTableNAm"/>
            </w:pPr>
            <w:r>
              <w:rPr>
                <w:b/>
              </w:rPr>
              <w:t>When and where</w:t>
            </w:r>
          </w:p>
        </w:tc>
        <w:tc>
          <w:tcPr>
            <w:tcW w:w="5707" w:type="dxa"/>
          </w:tcPr>
          <w:p>
            <w:pPr>
              <w:pStyle w:val="yTableNAm"/>
            </w:pPr>
            <w:r>
              <w:t>When: ........ a.m./p.m. on the ............. day of ............................</w:t>
            </w:r>
          </w:p>
        </w:tc>
      </w:tr>
      <w:tr>
        <w:trPr>
          <w:cantSplit/>
        </w:trPr>
        <w:tc>
          <w:tcPr>
            <w:tcW w:w="1418" w:type="dxa"/>
            <w:vMerge/>
          </w:tcPr>
          <w:p>
            <w:pPr>
              <w:pStyle w:val="yTableNAm"/>
            </w:pPr>
          </w:p>
        </w:tc>
        <w:tc>
          <w:tcPr>
            <w:tcW w:w="5707" w:type="dxa"/>
          </w:tcPr>
          <w:p>
            <w:pPr>
              <w:pStyle w:val="yTableNAm"/>
            </w:pPr>
            <w:r>
              <w:t>Where: ......................................................................................</w:t>
            </w:r>
          </w:p>
        </w:tc>
      </w:tr>
    </w:tbl>
    <w:p>
      <w:pPr>
        <w:pStyle w:val="yTable"/>
      </w:pPr>
      <w:r>
        <w:t>Details of the offence and modified penalty:</w:t>
      </w:r>
    </w:p>
    <w:tbl>
      <w:tblPr>
        <w:tblW w:w="0" w:type="auto"/>
        <w:tblInd w:w="108" w:type="dxa"/>
        <w:tblLayout w:type="fixed"/>
        <w:tblLook w:val="0000" w:firstRow="0" w:lastRow="0" w:firstColumn="0" w:lastColumn="0" w:noHBand="0" w:noVBand="0"/>
      </w:tblPr>
      <w:tblGrid>
        <w:gridCol w:w="2127"/>
        <w:gridCol w:w="3402"/>
        <w:gridCol w:w="1559"/>
      </w:tblGrid>
      <w:tr>
        <w:tc>
          <w:tcPr>
            <w:tcW w:w="2127" w:type="dxa"/>
          </w:tcPr>
          <w:p>
            <w:pPr>
              <w:pStyle w:val="yTableNAm"/>
              <w:jc w:val="center"/>
              <w:rPr>
                <w:b/>
              </w:rPr>
            </w:pPr>
            <w:r>
              <w:rPr>
                <w:b/>
              </w:rPr>
              <w:t>Section or regulation</w:t>
            </w:r>
          </w:p>
        </w:tc>
        <w:tc>
          <w:tcPr>
            <w:tcW w:w="3402" w:type="dxa"/>
          </w:tcPr>
          <w:p>
            <w:pPr>
              <w:pStyle w:val="yTableNAm"/>
              <w:jc w:val="center"/>
              <w:rPr>
                <w:b/>
              </w:rPr>
            </w:pPr>
            <w:r>
              <w:rPr>
                <w:b/>
              </w:rPr>
              <w:t>Description of the offence</w:t>
            </w:r>
          </w:p>
        </w:tc>
        <w:tc>
          <w:tcPr>
            <w:tcW w:w="1559" w:type="dxa"/>
          </w:tcPr>
          <w:p>
            <w:pPr>
              <w:pStyle w:val="yTableNAm"/>
              <w:jc w:val="center"/>
              <w:rPr>
                <w:b/>
              </w:rPr>
            </w:pPr>
            <w:r>
              <w:rPr>
                <w:b/>
              </w:rPr>
              <w:t>Modified penalty</w:t>
            </w:r>
          </w:p>
          <w:p>
            <w:pPr>
              <w:pStyle w:val="yTableNAm"/>
              <w:jc w:val="center"/>
              <w:rPr>
                <w:b/>
              </w:rPr>
            </w:pPr>
            <w:r>
              <w:rPr>
                <w:b/>
              </w:rPr>
              <w:t>$</w:t>
            </w:r>
          </w:p>
        </w:tc>
      </w:tr>
      <w:tr>
        <w:tc>
          <w:tcPr>
            <w:tcW w:w="2127" w:type="dxa"/>
          </w:tcPr>
          <w:p>
            <w:pPr>
              <w:pStyle w:val="yTableNAm"/>
            </w:pPr>
          </w:p>
        </w:tc>
        <w:tc>
          <w:tcPr>
            <w:tcW w:w="3402" w:type="dxa"/>
          </w:tcPr>
          <w:p>
            <w:pPr>
              <w:pStyle w:val="yTableNAm"/>
            </w:pPr>
          </w:p>
        </w:tc>
        <w:tc>
          <w:tcPr>
            <w:tcW w:w="1559" w:type="dxa"/>
          </w:tcPr>
          <w:p>
            <w:pPr>
              <w:pStyle w:val="yTableNAm"/>
            </w:pPr>
          </w:p>
        </w:tc>
      </w:tr>
    </w:tbl>
    <w:p>
      <w:pPr>
        <w:pStyle w:val="yTable"/>
      </w:pPr>
      <w:r>
        <w:t>Information about this notice:</w:t>
      </w:r>
    </w:p>
    <w:tbl>
      <w:tblPr>
        <w:tblW w:w="0" w:type="auto"/>
        <w:tblInd w:w="108" w:type="dxa"/>
        <w:tblLayout w:type="fixed"/>
        <w:tblLook w:val="0000" w:firstRow="0" w:lastRow="0" w:firstColumn="0" w:lastColumn="0" w:noHBand="0" w:noVBand="0"/>
      </w:tblPr>
      <w:tblGrid>
        <w:gridCol w:w="2268"/>
        <w:gridCol w:w="4820"/>
      </w:tblGrid>
      <w:tr>
        <w:tc>
          <w:tcPr>
            <w:tcW w:w="2268" w:type="dxa"/>
          </w:tcPr>
          <w:p>
            <w:pPr>
              <w:pStyle w:val="yTableNAm"/>
            </w:pPr>
            <w:r>
              <w:t>Date:</w:t>
            </w:r>
          </w:p>
        </w:tc>
        <w:tc>
          <w:tcPr>
            <w:tcW w:w="4820" w:type="dxa"/>
          </w:tcPr>
          <w:p>
            <w:pPr>
              <w:pStyle w:val="yTableNAm"/>
            </w:pPr>
            <w:r>
              <w:t>................................................................................</w:t>
            </w:r>
          </w:p>
        </w:tc>
      </w:tr>
      <w:tr>
        <w:tc>
          <w:tcPr>
            <w:tcW w:w="2268" w:type="dxa"/>
          </w:tcPr>
          <w:p>
            <w:pPr>
              <w:pStyle w:val="yTableNAm"/>
            </w:pPr>
            <w:r>
              <w:t>Issued at:</w:t>
            </w:r>
          </w:p>
        </w:tc>
        <w:tc>
          <w:tcPr>
            <w:tcW w:w="4820" w:type="dxa"/>
          </w:tcPr>
          <w:p>
            <w:pPr>
              <w:pStyle w:val="yTableNAm"/>
            </w:pPr>
            <w:r>
              <w:t>................................................................................</w:t>
            </w:r>
          </w:p>
        </w:tc>
      </w:tr>
      <w:tr>
        <w:tc>
          <w:tcPr>
            <w:tcW w:w="2268" w:type="dxa"/>
          </w:tcPr>
          <w:p>
            <w:pPr>
              <w:pStyle w:val="yTableNAm"/>
            </w:pPr>
            <w:r>
              <w:t>by:</w:t>
            </w:r>
          </w:p>
        </w:tc>
        <w:tc>
          <w:tcPr>
            <w:tcW w:w="4820" w:type="dxa"/>
          </w:tcPr>
          <w:p>
            <w:pPr>
              <w:pStyle w:val="yTableNAm"/>
            </w:pPr>
            <w:r>
              <w:t>................................................................................</w:t>
            </w:r>
          </w:p>
        </w:tc>
      </w:tr>
      <w:tr>
        <w:tc>
          <w:tcPr>
            <w:tcW w:w="2268" w:type="dxa"/>
          </w:tcPr>
          <w:p>
            <w:pPr>
              <w:pStyle w:val="yTableNAm"/>
            </w:pPr>
            <w:r>
              <w:t>Inspector No.:</w:t>
            </w:r>
          </w:p>
        </w:tc>
        <w:tc>
          <w:tcPr>
            <w:tcW w:w="4820" w:type="dxa"/>
          </w:tcPr>
          <w:p>
            <w:pPr>
              <w:pStyle w:val="yTableNAm"/>
            </w:pPr>
            <w:r>
              <w:t>................................................................................</w:t>
            </w:r>
          </w:p>
        </w:tc>
      </w:tr>
      <w:tr>
        <w:tc>
          <w:tcPr>
            <w:tcW w:w="2268" w:type="dxa"/>
          </w:tcPr>
          <w:p>
            <w:pPr>
              <w:pStyle w:val="yTableNAm"/>
            </w:pPr>
            <w:r>
              <w:t>Signature:</w:t>
            </w:r>
          </w:p>
        </w:tc>
        <w:tc>
          <w:tcPr>
            <w:tcW w:w="4820" w:type="dxa"/>
          </w:tcPr>
          <w:p>
            <w:pPr>
              <w:pStyle w:val="yTableNAm"/>
            </w:pPr>
            <w:r>
              <w:t>................................................................................</w:t>
            </w:r>
          </w:p>
        </w:tc>
      </w:tr>
    </w:tbl>
    <w:p>
      <w:pPr>
        <w:pStyle w:val="yTable"/>
        <w:tabs>
          <w:tab w:val="left" w:pos="567"/>
          <w:tab w:val="left" w:pos="709"/>
        </w:tabs>
        <w:ind w:left="709" w:hanging="709"/>
        <w:rPr>
          <w:b/>
        </w:rPr>
      </w:pPr>
      <w:r>
        <w:rPr>
          <w:b/>
        </w:rPr>
        <w:tab/>
        <w:t>*At the discretion of the Department of Environmental Protection </w:t>
      </w:r>
      <w:r>
        <w:rPr>
          <w:spacing w:val="-4"/>
          <w:vertAlign w:val="superscript"/>
        </w:rPr>
        <w:t>3</w:t>
      </w:r>
      <w:r>
        <w:rPr>
          <w:b/>
        </w:rPr>
        <w:t>, this Infringement Notice may be withdrawn and other action taken.</w:t>
      </w:r>
    </w:p>
    <w:p>
      <w:pPr>
        <w:pStyle w:val="yTable"/>
        <w:rPr>
          <w:sz w:val="18"/>
        </w:rPr>
      </w:pPr>
      <w:r>
        <w:rPr>
          <w:sz w:val="18"/>
        </w:rPr>
        <w:t>WHAT YOU MUST DO:</w:t>
      </w:r>
    </w:p>
    <w:p>
      <w:pPr>
        <w:pStyle w:val="yTable"/>
        <w:rPr>
          <w:sz w:val="18"/>
        </w:rPr>
      </w:pPr>
      <w:r>
        <w:rPr>
          <w:sz w:val="18"/>
        </w:rPr>
        <w:t>If you do not wish to have a complaint of the alleged offence heard and determined by a court, you may dispose of this matter by paying the modified penalty within a period of 28 days after the service of this notice:</w:t>
      </w:r>
    </w:p>
    <w:p>
      <w:pPr>
        <w:pStyle w:val="yTable"/>
        <w:rPr>
          <w:sz w:val="18"/>
        </w:rPr>
      </w:pPr>
      <w:r>
        <w:rPr>
          <w:sz w:val="18"/>
        </w:rPr>
        <w:t>PAY THE MODIFIED PENALTY TO:</w:t>
      </w:r>
    </w:p>
    <w:p>
      <w:pPr>
        <w:pStyle w:val="yTable"/>
        <w:tabs>
          <w:tab w:val="left" w:pos="567"/>
        </w:tabs>
        <w:rPr>
          <w:sz w:val="18"/>
        </w:rPr>
      </w:pPr>
      <w:r>
        <w:rPr>
          <w:sz w:val="18"/>
        </w:rPr>
        <w:tab/>
        <w:t>The Accountant</w:t>
      </w:r>
    </w:p>
    <w:p>
      <w:pPr>
        <w:pStyle w:val="yTable"/>
        <w:tabs>
          <w:tab w:val="left" w:pos="567"/>
        </w:tabs>
        <w:rPr>
          <w:sz w:val="18"/>
          <w:vertAlign w:val="superscript"/>
        </w:rPr>
      </w:pPr>
      <w:r>
        <w:rPr>
          <w:sz w:val="18"/>
        </w:rPr>
        <w:tab/>
        <w:t>Department of Environmental Protection</w:t>
      </w:r>
      <w:r>
        <w:rPr>
          <w:sz w:val="18"/>
          <w:vertAlign w:val="superscript"/>
        </w:rPr>
        <w:t> 3</w:t>
      </w:r>
    </w:p>
    <w:p>
      <w:pPr>
        <w:pStyle w:val="yTable"/>
        <w:tabs>
          <w:tab w:val="left" w:pos="567"/>
        </w:tabs>
        <w:rPr>
          <w:sz w:val="18"/>
        </w:rPr>
      </w:pPr>
      <w:r>
        <w:rPr>
          <w:sz w:val="18"/>
        </w:rPr>
        <w:tab/>
        <w:t xml:space="preserve">GPO </w:t>
      </w:r>
      <w:smartTag w:uri="urn:schemas-microsoft-com:office:smarttags" w:element="address">
        <w:smartTag w:uri="urn:schemas-microsoft-com:office:smarttags" w:element="Street">
          <w:r>
            <w:rPr>
              <w:sz w:val="18"/>
            </w:rPr>
            <w:t>Box</w:t>
          </w:r>
        </w:smartTag>
        <w:r>
          <w:rPr>
            <w:sz w:val="18"/>
          </w:rPr>
          <w:t xml:space="preserve"> K822</w:t>
        </w:r>
      </w:smartTag>
    </w:p>
    <w:p>
      <w:pPr>
        <w:pStyle w:val="yTable"/>
        <w:tabs>
          <w:tab w:val="left" w:pos="567"/>
        </w:tabs>
        <w:rPr>
          <w:sz w:val="18"/>
        </w:rPr>
      </w:pPr>
      <w:r>
        <w:rPr>
          <w:sz w:val="18"/>
        </w:rPr>
        <w:tab/>
      </w:r>
      <w:smartTag w:uri="urn:schemas-microsoft-com:office:smarttags" w:element="place">
        <w:smartTag w:uri="urn:schemas-microsoft-com:office:smarttags" w:element="City">
          <w:r>
            <w:rPr>
              <w:sz w:val="18"/>
            </w:rPr>
            <w:t>PERTH</w:t>
          </w:r>
        </w:smartTag>
      </w:smartTag>
      <w:r>
        <w:rPr>
          <w:sz w:val="18"/>
        </w:rPr>
        <w:t xml:space="preserve"> WA  6842</w:t>
      </w:r>
    </w:p>
    <w:p>
      <w:pPr>
        <w:pStyle w:val="yTable"/>
        <w:rPr>
          <w:sz w:val="18"/>
        </w:rPr>
      </w:pPr>
      <w:r>
        <w:rPr>
          <w:sz w:val="18"/>
        </w:rPr>
        <w:t>If you wish to do so but are unable to make payment within 28 days you may apply to the Chief Executive Officer of the Department of Environmental Protection</w:t>
      </w:r>
      <w:r>
        <w:rPr>
          <w:sz w:val="18"/>
          <w:vertAlign w:val="superscript"/>
        </w:rPr>
        <w:t> 3</w:t>
      </w:r>
      <w:r>
        <w:rPr>
          <w:sz w:val="18"/>
        </w:rPr>
        <w:t xml:space="preserve"> for an extension of time within which the modified penalty may be paid.</w:t>
      </w:r>
    </w:p>
    <w:p>
      <w:pPr>
        <w:pStyle w:val="yTable"/>
        <w:spacing w:before="240"/>
        <w:rPr>
          <w:sz w:val="18"/>
        </w:rPr>
      </w:pPr>
      <w:r>
        <w:rPr>
          <w:sz w:val="18"/>
        </w:rPr>
        <w:t>WHAT MIGHT HAPPEN IF YOU DO NOT PAY THE MODIFIED PENALTY</w:t>
      </w:r>
    </w:p>
    <w:p>
      <w:pPr>
        <w:pStyle w:val="yTable"/>
        <w:rPr>
          <w:sz w:val="18"/>
        </w:rPr>
      </w:pPr>
      <w:r>
        <w:rPr>
          <w:sz w:val="18"/>
        </w:rPr>
        <w:t>If you do not pay the modified penalty, a complaint may be issued against you for the alleged offence, in which case the matter will be dealt with by a COURT.</w:t>
      </w:r>
    </w:p>
    <w:p>
      <w:pPr>
        <w:pStyle w:val="yTable"/>
        <w:rPr>
          <w:sz w:val="18"/>
        </w:rPr>
      </w:pPr>
      <w:r>
        <w:rPr>
          <w:sz w:val="18"/>
        </w:rPr>
        <w:t>OR</w:t>
      </w:r>
    </w:p>
    <w:p>
      <w:pPr>
        <w:pStyle w:val="yTable"/>
        <w:rPr>
          <w:sz w:val="18"/>
        </w:rPr>
      </w:pPr>
      <w:r>
        <w:rPr>
          <w:sz w:val="18"/>
        </w:rPr>
        <w:t>The modified penalty may be recovered by the Fines Enforcement Registry, in which case —</w:t>
      </w:r>
    </w:p>
    <w:p>
      <w:pPr>
        <w:pStyle w:val="yTable"/>
        <w:tabs>
          <w:tab w:val="left" w:pos="567"/>
        </w:tabs>
        <w:rPr>
          <w:sz w:val="18"/>
        </w:rPr>
      </w:pPr>
      <w:r>
        <w:rPr>
          <w:sz w:val="18"/>
        </w:rPr>
        <w:t>(a)</w:t>
      </w:r>
      <w:r>
        <w:rPr>
          <w:sz w:val="18"/>
        </w:rPr>
        <w:tab/>
        <w:t>additional administrative charges may be incurred;</w:t>
      </w:r>
    </w:p>
    <w:p>
      <w:pPr>
        <w:pStyle w:val="yTable"/>
        <w:tabs>
          <w:tab w:val="left" w:pos="567"/>
        </w:tabs>
        <w:ind w:left="567" w:hanging="567"/>
        <w:rPr>
          <w:sz w:val="18"/>
        </w:rPr>
      </w:pPr>
      <w:r>
        <w:rPr>
          <w:sz w:val="18"/>
        </w:rPr>
        <w:t>(b)</w:t>
      </w:r>
      <w:r>
        <w:rPr>
          <w:sz w:val="18"/>
        </w:rPr>
        <w:tab/>
      </w:r>
      <w:r>
        <w:rPr>
          <w:sz w:val="18"/>
          <w:szCs w:val="18"/>
        </w:rPr>
        <w:t>some or all of the following action may be taken — your driver’s licence may be suspended; your vehicle licence may be suspended or cancelled; your details may be published on a website; your vehicle may be immobilised or have its number plates removed; and your property may be seized and sold; and</w:t>
      </w:r>
    </w:p>
    <w:p>
      <w:pPr>
        <w:pStyle w:val="yTable"/>
        <w:tabs>
          <w:tab w:val="left" w:pos="567"/>
        </w:tabs>
        <w:ind w:left="567" w:hanging="567"/>
        <w:rPr>
          <w:sz w:val="18"/>
        </w:rPr>
      </w:pPr>
      <w:r>
        <w:rPr>
          <w:sz w:val="18"/>
        </w:rPr>
        <w:t>(c)</w:t>
      </w:r>
      <w:r>
        <w:rPr>
          <w:sz w:val="18"/>
        </w:rPr>
        <w:tab/>
        <w:t>you will be given an opportunity to elect to have a complaint for the alleged offence dealt with by a COURT.</w:t>
      </w:r>
    </w:p>
    <w:p>
      <w:pPr>
        <w:pStyle w:val="yTable"/>
        <w:spacing w:before="240"/>
      </w:pPr>
      <w:r>
        <w:rPr>
          <w:sz w:val="18"/>
        </w:rPr>
        <w:t>PAYMENTS AFTER THE DUE DATE CAN ONLY BE MADE WITH A FINAL DEMAND LETTER WHICH INCURS AN ADDITIONAL ENFORCEMENT FEE.</w:t>
      </w:r>
    </w:p>
    <w:p>
      <w:pPr>
        <w:pStyle w:val="yFootnotesection"/>
      </w:pPr>
      <w:r>
        <w:tab/>
        <w:t>[Form 3 inserted in Gazette 11 Dec 1998 p. 6610</w:t>
      </w:r>
      <w:r>
        <w:noBreakHyphen/>
        <w:t>11; amended in Gazette 20 Aug 2013 p. 3857.]</w:t>
      </w:r>
    </w:p>
    <w:p>
      <w:pPr>
        <w:pStyle w:val="yTable"/>
        <w:pageBreakBefore/>
        <w:spacing w:after="120"/>
        <w:jc w:val="center"/>
        <w:rPr>
          <w:b/>
        </w:rPr>
      </w:pPr>
      <w:r>
        <w:rPr>
          <w:rStyle w:val="CharSClsNo"/>
          <w:b/>
        </w:rPr>
        <w:t>Form 4</w:t>
      </w:r>
    </w:p>
    <w:p>
      <w:pPr>
        <w:pStyle w:val="yTable"/>
        <w:jc w:val="center"/>
        <w:rPr>
          <w:b/>
          <w:i/>
        </w:rPr>
      </w:pPr>
      <w:r>
        <w:rPr>
          <w:b/>
          <w:i/>
        </w:rPr>
        <w:t>Environmental Protection Act 1986</w:t>
      </w:r>
      <w:r>
        <w:rPr>
          <w:b/>
        </w:rPr>
        <w:t xml:space="preserve"> (Section 99N)</w:t>
      </w:r>
    </w:p>
    <w:p>
      <w:pPr>
        <w:pStyle w:val="yTable"/>
        <w:spacing w:after="240"/>
        <w:jc w:val="center"/>
      </w:pPr>
      <w:r>
        <w:rPr>
          <w:b/>
        </w:rPr>
        <w:t>Withdrawal of infringement notice</w:t>
      </w:r>
    </w:p>
    <w:tbl>
      <w:tblPr>
        <w:tblW w:w="0" w:type="auto"/>
        <w:tblInd w:w="108" w:type="dxa"/>
        <w:tblLayout w:type="fixed"/>
        <w:tblLook w:val="0000" w:firstRow="0" w:lastRow="0" w:firstColumn="0" w:lastColumn="0" w:noHBand="0" w:noVBand="0"/>
      </w:tblPr>
      <w:tblGrid>
        <w:gridCol w:w="3876"/>
        <w:gridCol w:w="3212"/>
      </w:tblGrid>
      <w:tr>
        <w:tc>
          <w:tcPr>
            <w:tcW w:w="3876" w:type="dxa"/>
          </w:tcPr>
          <w:p>
            <w:pPr>
              <w:pStyle w:val="yTableNAm"/>
            </w:pPr>
            <w:r>
              <w:t>To: ...........................................................</w:t>
            </w:r>
          </w:p>
        </w:tc>
        <w:tc>
          <w:tcPr>
            <w:tcW w:w="3212" w:type="dxa"/>
          </w:tcPr>
          <w:p>
            <w:pPr>
              <w:pStyle w:val="yTableNAm"/>
            </w:pPr>
            <w:r>
              <w:t>Sex:</w:t>
            </w:r>
            <w:r>
              <w:tab/>
              <w:t>M/F</w:t>
            </w:r>
          </w:p>
        </w:tc>
      </w:tr>
      <w:tr>
        <w:tc>
          <w:tcPr>
            <w:tcW w:w="3876" w:type="dxa"/>
          </w:tcPr>
          <w:p>
            <w:pPr>
              <w:pStyle w:val="yTableNAm"/>
            </w:pPr>
            <w:r>
              <w:tab/>
              <w:t>........................................................</w:t>
            </w:r>
          </w:p>
        </w:tc>
        <w:tc>
          <w:tcPr>
            <w:tcW w:w="3212" w:type="dxa"/>
          </w:tcPr>
          <w:p>
            <w:pPr>
              <w:pStyle w:val="yTableNAm"/>
            </w:pPr>
            <w:r>
              <w:t>DoB: ............ / ........... / .............</w:t>
            </w:r>
          </w:p>
        </w:tc>
      </w:tr>
      <w:tr>
        <w:tc>
          <w:tcPr>
            <w:tcW w:w="3876" w:type="dxa"/>
          </w:tcPr>
          <w:p>
            <w:pPr>
              <w:pStyle w:val="yTableNAm"/>
            </w:pPr>
            <w:r>
              <w:tab/>
              <w:t>...........................  Postcode: ..........</w:t>
            </w:r>
          </w:p>
        </w:tc>
        <w:tc>
          <w:tcPr>
            <w:tcW w:w="3212" w:type="dxa"/>
          </w:tcPr>
          <w:p>
            <w:pPr>
              <w:pStyle w:val="yTableNAm"/>
            </w:pPr>
            <w:r>
              <w:t>or ACN: .....................................</w:t>
            </w:r>
          </w:p>
        </w:tc>
      </w:tr>
    </w:tbl>
    <w:p>
      <w:pPr>
        <w:pStyle w:val="yTable"/>
      </w:pPr>
      <w:r>
        <w:rPr>
          <w:sz w:val="20"/>
        </w:rPr>
        <w:t>AN INFRINGEMENT NOTICE SERVED ON YOU HAS BEEN WITHDRAWN AND NO FURTHER ACTION WILL BE TAKEN*/A SUMMONS WILL BE ISSUED*</w:t>
      </w:r>
    </w:p>
    <w:p>
      <w:pPr>
        <w:pStyle w:val="yTable"/>
      </w:pPr>
      <w:r>
        <w:t>Details of the withdrawn notice:</w:t>
      </w:r>
    </w:p>
    <w:tbl>
      <w:tblPr>
        <w:tblW w:w="0" w:type="auto"/>
        <w:tblInd w:w="108" w:type="dxa"/>
        <w:tblLayout w:type="fixed"/>
        <w:tblLook w:val="0000" w:firstRow="0" w:lastRow="0" w:firstColumn="0" w:lastColumn="0" w:noHBand="0" w:noVBand="0"/>
      </w:tblPr>
      <w:tblGrid>
        <w:gridCol w:w="2410"/>
        <w:gridCol w:w="4678"/>
      </w:tblGrid>
      <w:tr>
        <w:tc>
          <w:tcPr>
            <w:tcW w:w="2410" w:type="dxa"/>
          </w:tcPr>
          <w:p>
            <w:pPr>
              <w:pStyle w:val="yTableNAm"/>
            </w:pPr>
            <w:r>
              <w:t>Date of issue:</w:t>
            </w:r>
          </w:p>
        </w:tc>
        <w:tc>
          <w:tcPr>
            <w:tcW w:w="4678" w:type="dxa"/>
          </w:tcPr>
          <w:p>
            <w:pPr>
              <w:pStyle w:val="yTableNAm"/>
            </w:pPr>
            <w:r>
              <w:t>..............................................................................</w:t>
            </w:r>
          </w:p>
        </w:tc>
      </w:tr>
      <w:tr>
        <w:tc>
          <w:tcPr>
            <w:tcW w:w="2410" w:type="dxa"/>
          </w:tcPr>
          <w:p>
            <w:pPr>
              <w:pStyle w:val="yTableNAm"/>
            </w:pPr>
            <w:r>
              <w:t>Alleged offence:</w:t>
            </w:r>
          </w:p>
        </w:tc>
        <w:tc>
          <w:tcPr>
            <w:tcW w:w="4678" w:type="dxa"/>
          </w:tcPr>
          <w:p>
            <w:pPr>
              <w:pStyle w:val="yTableNAm"/>
            </w:pPr>
            <w:r>
              <w:t>..............................................................................</w:t>
            </w:r>
          </w:p>
        </w:tc>
      </w:tr>
      <w:tr>
        <w:tc>
          <w:tcPr>
            <w:tcW w:w="2410" w:type="dxa"/>
          </w:tcPr>
          <w:p>
            <w:pPr>
              <w:pStyle w:val="yTableNAm"/>
            </w:pPr>
            <w:r>
              <w:t>Notice No.:</w:t>
            </w:r>
          </w:p>
        </w:tc>
        <w:tc>
          <w:tcPr>
            <w:tcW w:w="4678" w:type="dxa"/>
          </w:tcPr>
          <w:p>
            <w:pPr>
              <w:pStyle w:val="yTableNAm"/>
            </w:pPr>
            <w:r>
              <w:t>..............................................................................</w:t>
            </w:r>
          </w:p>
        </w:tc>
      </w:tr>
    </w:tbl>
    <w:p>
      <w:pPr>
        <w:pStyle w:val="yTable"/>
      </w:pPr>
      <w:r>
        <w:t>Information about this notice:</w:t>
      </w:r>
    </w:p>
    <w:tbl>
      <w:tblPr>
        <w:tblW w:w="0" w:type="auto"/>
        <w:tblInd w:w="108" w:type="dxa"/>
        <w:tblLayout w:type="fixed"/>
        <w:tblLook w:val="0000" w:firstRow="0" w:lastRow="0" w:firstColumn="0" w:lastColumn="0" w:noHBand="0" w:noVBand="0"/>
      </w:tblPr>
      <w:tblGrid>
        <w:gridCol w:w="2410"/>
        <w:gridCol w:w="4678"/>
      </w:tblGrid>
      <w:tr>
        <w:tc>
          <w:tcPr>
            <w:tcW w:w="2410" w:type="dxa"/>
          </w:tcPr>
          <w:p>
            <w:pPr>
              <w:pStyle w:val="yTableNAm"/>
            </w:pPr>
            <w:r>
              <w:t>Date:</w:t>
            </w:r>
          </w:p>
        </w:tc>
        <w:tc>
          <w:tcPr>
            <w:tcW w:w="4678" w:type="dxa"/>
          </w:tcPr>
          <w:p>
            <w:pPr>
              <w:pStyle w:val="yTableNAm"/>
            </w:pPr>
            <w:r>
              <w:t>..............................................................................</w:t>
            </w:r>
          </w:p>
        </w:tc>
      </w:tr>
      <w:tr>
        <w:tc>
          <w:tcPr>
            <w:tcW w:w="2410" w:type="dxa"/>
          </w:tcPr>
          <w:p>
            <w:pPr>
              <w:pStyle w:val="yTableNAm"/>
            </w:pPr>
            <w:r>
              <w:t>Issued at:</w:t>
            </w:r>
          </w:p>
        </w:tc>
        <w:tc>
          <w:tcPr>
            <w:tcW w:w="4678" w:type="dxa"/>
          </w:tcPr>
          <w:p>
            <w:pPr>
              <w:pStyle w:val="yTableNAm"/>
            </w:pPr>
            <w:r>
              <w:t>..............................................................................</w:t>
            </w:r>
          </w:p>
        </w:tc>
      </w:tr>
      <w:tr>
        <w:tc>
          <w:tcPr>
            <w:tcW w:w="2410" w:type="dxa"/>
          </w:tcPr>
          <w:p>
            <w:pPr>
              <w:pStyle w:val="yTableNAm"/>
            </w:pPr>
            <w:r>
              <w:t>by:</w:t>
            </w:r>
          </w:p>
        </w:tc>
        <w:tc>
          <w:tcPr>
            <w:tcW w:w="4678" w:type="dxa"/>
          </w:tcPr>
          <w:p>
            <w:pPr>
              <w:pStyle w:val="yTableNAm"/>
            </w:pPr>
            <w:r>
              <w:t>..............................................................................</w:t>
            </w:r>
          </w:p>
        </w:tc>
      </w:tr>
      <w:tr>
        <w:tc>
          <w:tcPr>
            <w:tcW w:w="2410" w:type="dxa"/>
          </w:tcPr>
          <w:p>
            <w:pPr>
              <w:pStyle w:val="yTableNAm"/>
            </w:pPr>
            <w:r>
              <w:t>Signature:</w:t>
            </w:r>
          </w:p>
        </w:tc>
        <w:tc>
          <w:tcPr>
            <w:tcW w:w="4678" w:type="dxa"/>
          </w:tcPr>
          <w:p>
            <w:pPr>
              <w:pStyle w:val="yTableNAm"/>
            </w:pPr>
            <w:r>
              <w:t>..............................................................................</w:t>
            </w:r>
          </w:p>
        </w:tc>
      </w:tr>
    </w:tbl>
    <w:p>
      <w:pPr>
        <w:pStyle w:val="yTable"/>
      </w:pPr>
      <w:r>
        <w:t>*  Delete where not applicable.</w:t>
      </w:r>
    </w:p>
    <w:p>
      <w:pPr>
        <w:pStyle w:val="yFootnotesection"/>
      </w:pPr>
      <w:r>
        <w:tab/>
        <w:t>[Form 4 inserted in Gazette 11 Dec 1998 p. 6611.]</w:t>
      </w:r>
    </w:p>
    <w:p>
      <w:pPr>
        <w:pStyle w:val="CentredBaseLine"/>
        <w:jc w:val="center"/>
      </w:pPr>
      <w:r>
        <w:rPr>
          <w:noProof/>
        </w:rPr>
        <w:drawing>
          <wp:inline distT="0" distB="0" distL="0" distR="0">
            <wp:extent cx="930275" cy="174625"/>
            <wp:effectExtent l="0" t="0" r="3175" b="0"/>
            <wp:docPr id="3" name="Picture 3"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lin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p>
    <w:p>
      <w:pPr>
        <w:sectPr>
          <w:headerReference w:type="even" r:id="rId41"/>
          <w:headerReference w:type="default" r:id="rId42"/>
          <w:pgSz w:w="11906" w:h="16838" w:code="9"/>
          <w:pgMar w:top="2376" w:right="2405" w:bottom="3542" w:left="2405" w:header="706" w:footer="3380" w:gutter="0"/>
          <w:cols w:space="720"/>
          <w:noEndnote/>
          <w:docGrid w:linePitch="326"/>
        </w:sectPr>
      </w:pPr>
    </w:p>
    <w:p>
      <w:pPr>
        <w:pStyle w:val="nHeading2"/>
      </w:pPr>
      <w:bookmarkStart w:id="115" w:name="_Toc404948625"/>
      <w:r>
        <w:t>Notes</w:t>
      </w:r>
      <w:bookmarkEnd w:id="115"/>
    </w:p>
    <w:p>
      <w:pPr>
        <w:pStyle w:val="nSubsection"/>
        <w:rPr>
          <w:snapToGrid w:val="0"/>
        </w:rPr>
      </w:pPr>
      <w:r>
        <w:rPr>
          <w:snapToGrid w:val="0"/>
          <w:vertAlign w:val="superscript"/>
        </w:rPr>
        <w:t>1</w:t>
      </w:r>
      <w:r>
        <w:rPr>
          <w:snapToGrid w:val="0"/>
        </w:rPr>
        <w:tab/>
        <w:t xml:space="preserve">This reprint is a compilation as at 5 December 2014 of the </w:t>
      </w:r>
      <w:r>
        <w:rPr>
          <w:i/>
          <w:noProof/>
          <w:snapToGrid w:val="0"/>
        </w:rPr>
        <w:t>Environmental Protection Regulations 1987</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116" w:name="_Toc404948626"/>
      <w:r>
        <w:rPr>
          <w:snapToGrid w:val="0"/>
        </w:rPr>
        <w:t>Compilation table</w:t>
      </w:r>
      <w:bookmarkEnd w:id="116"/>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shd w:val="clear" w:color="auto" w:fill="auto"/>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shd w:val="clear" w:color="auto" w:fill="auto"/>
          </w:tcPr>
          <w:p>
            <w:pPr>
              <w:pStyle w:val="nTable"/>
              <w:spacing w:after="40"/>
              <w:rPr>
                <w:b/>
                <w:sz w:val="19"/>
              </w:rPr>
            </w:pPr>
            <w:r>
              <w:rPr>
                <w:b/>
                <w:sz w:val="19"/>
              </w:rPr>
              <w:t>Gazettal</w:t>
            </w:r>
          </w:p>
        </w:tc>
        <w:tc>
          <w:tcPr>
            <w:tcW w:w="2693"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rPr>
          <w:cantSplit/>
        </w:trPr>
        <w:tc>
          <w:tcPr>
            <w:tcW w:w="3118" w:type="dxa"/>
          </w:tcPr>
          <w:p>
            <w:pPr>
              <w:pStyle w:val="nTable"/>
              <w:spacing w:after="40"/>
              <w:ind w:right="113"/>
              <w:rPr>
                <w:i/>
                <w:sz w:val="19"/>
              </w:rPr>
            </w:pPr>
            <w:r>
              <w:rPr>
                <w:i/>
                <w:sz w:val="19"/>
              </w:rPr>
              <w:t xml:space="preserve">Environmental Protection Regulations 1987 </w:t>
            </w:r>
          </w:p>
        </w:tc>
        <w:tc>
          <w:tcPr>
            <w:tcW w:w="1276" w:type="dxa"/>
          </w:tcPr>
          <w:p>
            <w:pPr>
              <w:pStyle w:val="nTable"/>
              <w:spacing w:after="40"/>
              <w:rPr>
                <w:sz w:val="19"/>
              </w:rPr>
            </w:pPr>
            <w:r>
              <w:rPr>
                <w:sz w:val="19"/>
              </w:rPr>
              <w:t>20 Feb 1987 p. 444</w:t>
            </w:r>
            <w:r>
              <w:rPr>
                <w:sz w:val="19"/>
              </w:rPr>
              <w:noBreakHyphen/>
              <w:t>9</w:t>
            </w:r>
          </w:p>
        </w:tc>
        <w:tc>
          <w:tcPr>
            <w:tcW w:w="2693" w:type="dxa"/>
          </w:tcPr>
          <w:p>
            <w:pPr>
              <w:pStyle w:val="nTable"/>
              <w:spacing w:after="40"/>
              <w:rPr>
                <w:sz w:val="19"/>
              </w:rPr>
            </w:pPr>
            <w:r>
              <w:rPr>
                <w:sz w:val="19"/>
              </w:rPr>
              <w:t xml:space="preserve">20 Feb 1987 (see r. 2 and </w:t>
            </w:r>
            <w:r>
              <w:rPr>
                <w:i/>
                <w:sz w:val="19"/>
              </w:rPr>
              <w:t>Gazette</w:t>
            </w:r>
            <w:r>
              <w:rPr>
                <w:sz w:val="19"/>
              </w:rPr>
              <w:t xml:space="preserve"> 20 Feb 1987 p. 440)</w:t>
            </w:r>
          </w:p>
        </w:tc>
      </w:tr>
      <w:tr>
        <w:trPr>
          <w:cantSplit/>
        </w:trPr>
        <w:tc>
          <w:tcPr>
            <w:tcW w:w="3118" w:type="dxa"/>
          </w:tcPr>
          <w:p>
            <w:pPr>
              <w:pStyle w:val="nTable"/>
              <w:spacing w:after="40"/>
              <w:rPr>
                <w:sz w:val="19"/>
                <w:vertAlign w:val="superscript"/>
              </w:rPr>
            </w:pPr>
            <w:r>
              <w:rPr>
                <w:i/>
                <w:sz w:val="19"/>
              </w:rPr>
              <w:t xml:space="preserve">Environmental Protection Amendment Regulations 1988 </w:t>
            </w:r>
          </w:p>
        </w:tc>
        <w:tc>
          <w:tcPr>
            <w:tcW w:w="1276" w:type="dxa"/>
          </w:tcPr>
          <w:p>
            <w:pPr>
              <w:pStyle w:val="nTable"/>
              <w:spacing w:after="40"/>
              <w:rPr>
                <w:sz w:val="19"/>
              </w:rPr>
            </w:pPr>
            <w:r>
              <w:rPr>
                <w:sz w:val="19"/>
              </w:rPr>
              <w:t>14 Jun 1988 p. 1945</w:t>
            </w:r>
            <w:r>
              <w:rPr>
                <w:sz w:val="19"/>
              </w:rPr>
              <w:noBreakHyphen/>
              <w:t xml:space="preserve">6 </w:t>
            </w:r>
            <w:r>
              <w:rPr>
                <w:sz w:val="19"/>
              </w:rPr>
              <w:br/>
              <w:t>(as amended 24 Jun 1988 p. 2006)</w:t>
            </w:r>
          </w:p>
        </w:tc>
        <w:tc>
          <w:tcPr>
            <w:tcW w:w="2693" w:type="dxa"/>
          </w:tcPr>
          <w:p>
            <w:pPr>
              <w:pStyle w:val="nTable"/>
              <w:spacing w:after="40"/>
              <w:rPr>
                <w:sz w:val="19"/>
              </w:rPr>
            </w:pPr>
            <w:r>
              <w:rPr>
                <w:sz w:val="19"/>
              </w:rPr>
              <w:t>1 Aug 1988 (see r. 2)</w:t>
            </w:r>
          </w:p>
        </w:tc>
      </w:tr>
      <w:tr>
        <w:trPr>
          <w:cantSplit/>
        </w:trPr>
        <w:tc>
          <w:tcPr>
            <w:tcW w:w="3118" w:type="dxa"/>
          </w:tcPr>
          <w:p>
            <w:pPr>
              <w:pStyle w:val="nTable"/>
              <w:spacing w:after="40"/>
              <w:rPr>
                <w:i/>
                <w:sz w:val="19"/>
              </w:rPr>
            </w:pPr>
            <w:r>
              <w:rPr>
                <w:i/>
                <w:sz w:val="19"/>
              </w:rPr>
              <w:t>Environmental Protection Amendment Regulations 1989</w:t>
            </w:r>
          </w:p>
        </w:tc>
        <w:tc>
          <w:tcPr>
            <w:tcW w:w="1276" w:type="dxa"/>
          </w:tcPr>
          <w:p>
            <w:pPr>
              <w:pStyle w:val="nTable"/>
              <w:spacing w:after="40"/>
              <w:rPr>
                <w:sz w:val="19"/>
              </w:rPr>
            </w:pPr>
            <w:r>
              <w:rPr>
                <w:sz w:val="19"/>
              </w:rPr>
              <w:t>5 May 1989 p. 1379</w:t>
            </w:r>
          </w:p>
        </w:tc>
        <w:tc>
          <w:tcPr>
            <w:tcW w:w="2693" w:type="dxa"/>
          </w:tcPr>
          <w:p>
            <w:pPr>
              <w:pStyle w:val="nTable"/>
              <w:spacing w:after="40"/>
              <w:rPr>
                <w:sz w:val="19"/>
              </w:rPr>
            </w:pPr>
            <w:r>
              <w:rPr>
                <w:sz w:val="19"/>
              </w:rPr>
              <w:t>5 May 1989</w:t>
            </w:r>
          </w:p>
        </w:tc>
      </w:tr>
      <w:tr>
        <w:trPr>
          <w:cantSplit/>
        </w:trPr>
        <w:tc>
          <w:tcPr>
            <w:tcW w:w="3118" w:type="dxa"/>
          </w:tcPr>
          <w:p>
            <w:pPr>
              <w:pStyle w:val="nTable"/>
              <w:spacing w:after="40"/>
              <w:rPr>
                <w:i/>
                <w:sz w:val="19"/>
              </w:rPr>
            </w:pPr>
            <w:r>
              <w:rPr>
                <w:i/>
                <w:sz w:val="19"/>
              </w:rPr>
              <w:t>Environmental Protection Amendment Regulations (No. 2) 1989</w:t>
            </w:r>
          </w:p>
        </w:tc>
        <w:tc>
          <w:tcPr>
            <w:tcW w:w="1276" w:type="dxa"/>
          </w:tcPr>
          <w:p>
            <w:pPr>
              <w:pStyle w:val="nTable"/>
              <w:spacing w:after="40"/>
              <w:rPr>
                <w:sz w:val="19"/>
              </w:rPr>
            </w:pPr>
            <w:r>
              <w:rPr>
                <w:sz w:val="19"/>
              </w:rPr>
              <w:t>18 Aug 1989 p. 2752</w:t>
            </w:r>
          </w:p>
        </w:tc>
        <w:tc>
          <w:tcPr>
            <w:tcW w:w="2693" w:type="dxa"/>
          </w:tcPr>
          <w:p>
            <w:pPr>
              <w:pStyle w:val="nTable"/>
              <w:spacing w:after="40"/>
              <w:rPr>
                <w:sz w:val="19"/>
              </w:rPr>
            </w:pPr>
            <w:r>
              <w:rPr>
                <w:sz w:val="19"/>
              </w:rPr>
              <w:t>17 Oct 1989 (see r. 2)</w:t>
            </w:r>
          </w:p>
        </w:tc>
      </w:tr>
      <w:tr>
        <w:trPr>
          <w:cantSplit/>
        </w:trPr>
        <w:tc>
          <w:tcPr>
            <w:tcW w:w="3118" w:type="dxa"/>
          </w:tcPr>
          <w:p>
            <w:pPr>
              <w:pStyle w:val="nTable"/>
              <w:spacing w:after="40"/>
              <w:rPr>
                <w:i/>
                <w:sz w:val="19"/>
              </w:rPr>
            </w:pPr>
            <w:r>
              <w:rPr>
                <w:i/>
                <w:sz w:val="19"/>
              </w:rPr>
              <w:t>Environmental Protection Amendment Regulations (No. 2) 1991</w:t>
            </w:r>
          </w:p>
        </w:tc>
        <w:tc>
          <w:tcPr>
            <w:tcW w:w="1276" w:type="dxa"/>
          </w:tcPr>
          <w:p>
            <w:pPr>
              <w:pStyle w:val="nTable"/>
              <w:spacing w:after="40"/>
              <w:rPr>
                <w:sz w:val="19"/>
              </w:rPr>
            </w:pPr>
            <w:r>
              <w:rPr>
                <w:sz w:val="19"/>
              </w:rPr>
              <w:t>30 Aug 1991 p. 4553</w:t>
            </w:r>
            <w:r>
              <w:rPr>
                <w:sz w:val="19"/>
              </w:rPr>
              <w:noBreakHyphen/>
              <w:t>4</w:t>
            </w:r>
          </w:p>
        </w:tc>
        <w:tc>
          <w:tcPr>
            <w:tcW w:w="2693" w:type="dxa"/>
          </w:tcPr>
          <w:p>
            <w:pPr>
              <w:pStyle w:val="nTable"/>
              <w:spacing w:after="40"/>
              <w:rPr>
                <w:sz w:val="19"/>
              </w:rPr>
            </w:pPr>
            <w:r>
              <w:rPr>
                <w:sz w:val="19"/>
              </w:rPr>
              <w:t>30 Aug 1991</w:t>
            </w:r>
          </w:p>
        </w:tc>
      </w:tr>
      <w:tr>
        <w:trPr>
          <w:cantSplit/>
        </w:trPr>
        <w:tc>
          <w:tcPr>
            <w:tcW w:w="3118" w:type="dxa"/>
          </w:tcPr>
          <w:p>
            <w:pPr>
              <w:pStyle w:val="nTable"/>
              <w:spacing w:after="40"/>
              <w:rPr>
                <w:i/>
                <w:sz w:val="19"/>
              </w:rPr>
            </w:pPr>
            <w:r>
              <w:rPr>
                <w:i/>
                <w:sz w:val="19"/>
              </w:rPr>
              <w:t>Environmental Protection Amendment Regulations (No. 3) 1991</w:t>
            </w:r>
          </w:p>
        </w:tc>
        <w:tc>
          <w:tcPr>
            <w:tcW w:w="1276" w:type="dxa"/>
          </w:tcPr>
          <w:p>
            <w:pPr>
              <w:pStyle w:val="nTable"/>
              <w:spacing w:after="40"/>
              <w:rPr>
                <w:sz w:val="19"/>
              </w:rPr>
            </w:pPr>
            <w:r>
              <w:rPr>
                <w:sz w:val="19"/>
              </w:rPr>
              <w:t>30 Aug 1991 p. 4554</w:t>
            </w:r>
            <w:r>
              <w:rPr>
                <w:sz w:val="19"/>
              </w:rPr>
              <w:noBreakHyphen/>
              <w:t>6</w:t>
            </w:r>
          </w:p>
        </w:tc>
        <w:tc>
          <w:tcPr>
            <w:tcW w:w="2693" w:type="dxa"/>
          </w:tcPr>
          <w:p>
            <w:pPr>
              <w:pStyle w:val="nTable"/>
              <w:spacing w:after="40"/>
              <w:rPr>
                <w:sz w:val="19"/>
              </w:rPr>
            </w:pPr>
            <w:r>
              <w:rPr>
                <w:sz w:val="19"/>
              </w:rPr>
              <w:t>30 Aug 1991 (see r. 2)</w:t>
            </w:r>
          </w:p>
        </w:tc>
      </w:tr>
      <w:tr>
        <w:trPr>
          <w:cantSplit/>
        </w:trPr>
        <w:tc>
          <w:tcPr>
            <w:tcW w:w="3118" w:type="dxa"/>
          </w:tcPr>
          <w:p>
            <w:pPr>
              <w:pStyle w:val="nTable"/>
              <w:spacing w:after="40"/>
              <w:rPr>
                <w:i/>
                <w:sz w:val="19"/>
              </w:rPr>
            </w:pPr>
            <w:r>
              <w:rPr>
                <w:i/>
                <w:sz w:val="19"/>
              </w:rPr>
              <w:t>Environmental Protection Amendment Regulations 1992</w:t>
            </w:r>
          </w:p>
        </w:tc>
        <w:tc>
          <w:tcPr>
            <w:tcW w:w="1276" w:type="dxa"/>
          </w:tcPr>
          <w:p>
            <w:pPr>
              <w:pStyle w:val="nTable"/>
              <w:spacing w:after="40"/>
              <w:rPr>
                <w:sz w:val="19"/>
              </w:rPr>
            </w:pPr>
            <w:r>
              <w:rPr>
                <w:sz w:val="19"/>
              </w:rPr>
              <w:t>24 Jan 1992 p. 362</w:t>
            </w:r>
          </w:p>
        </w:tc>
        <w:tc>
          <w:tcPr>
            <w:tcW w:w="2693" w:type="dxa"/>
          </w:tcPr>
          <w:p>
            <w:pPr>
              <w:pStyle w:val="nTable"/>
              <w:spacing w:after="40"/>
              <w:rPr>
                <w:sz w:val="19"/>
              </w:rPr>
            </w:pPr>
            <w:r>
              <w:rPr>
                <w:sz w:val="19"/>
              </w:rPr>
              <w:t>28 Jan 1992 (see r. 2)</w:t>
            </w:r>
          </w:p>
        </w:tc>
      </w:tr>
      <w:tr>
        <w:trPr>
          <w:cantSplit/>
        </w:trPr>
        <w:tc>
          <w:tcPr>
            <w:tcW w:w="3118" w:type="dxa"/>
          </w:tcPr>
          <w:p>
            <w:pPr>
              <w:pStyle w:val="nTable"/>
              <w:spacing w:after="40"/>
              <w:rPr>
                <w:i/>
                <w:sz w:val="19"/>
              </w:rPr>
            </w:pPr>
            <w:r>
              <w:rPr>
                <w:i/>
                <w:sz w:val="19"/>
              </w:rPr>
              <w:t>Environmental Protection Amendment Regulations (No. 2) 1992</w:t>
            </w:r>
          </w:p>
        </w:tc>
        <w:tc>
          <w:tcPr>
            <w:tcW w:w="1276" w:type="dxa"/>
          </w:tcPr>
          <w:p>
            <w:pPr>
              <w:pStyle w:val="nTable"/>
              <w:spacing w:after="40"/>
              <w:rPr>
                <w:sz w:val="19"/>
              </w:rPr>
            </w:pPr>
            <w:r>
              <w:rPr>
                <w:sz w:val="19"/>
              </w:rPr>
              <w:t>10 Apr 1992 p. 1588</w:t>
            </w:r>
            <w:r>
              <w:rPr>
                <w:sz w:val="19"/>
              </w:rPr>
              <w:noBreakHyphen/>
              <w:t>9</w:t>
            </w:r>
          </w:p>
        </w:tc>
        <w:tc>
          <w:tcPr>
            <w:tcW w:w="2693" w:type="dxa"/>
          </w:tcPr>
          <w:p>
            <w:pPr>
              <w:pStyle w:val="nTable"/>
              <w:spacing w:after="40"/>
              <w:rPr>
                <w:sz w:val="19"/>
              </w:rPr>
            </w:pPr>
            <w:r>
              <w:rPr>
                <w:sz w:val="19"/>
              </w:rPr>
              <w:t>10 Apr 1992</w:t>
            </w:r>
          </w:p>
        </w:tc>
      </w:tr>
      <w:tr>
        <w:trPr>
          <w:cantSplit/>
        </w:trPr>
        <w:tc>
          <w:tcPr>
            <w:tcW w:w="3118" w:type="dxa"/>
          </w:tcPr>
          <w:p>
            <w:pPr>
              <w:pStyle w:val="nTable"/>
              <w:spacing w:after="40"/>
              <w:rPr>
                <w:i/>
                <w:sz w:val="19"/>
              </w:rPr>
            </w:pPr>
            <w:r>
              <w:rPr>
                <w:i/>
                <w:sz w:val="19"/>
              </w:rPr>
              <w:t>Environmental Protection Amendment Regulations (No. 3) 1992</w:t>
            </w:r>
          </w:p>
        </w:tc>
        <w:tc>
          <w:tcPr>
            <w:tcW w:w="1276" w:type="dxa"/>
          </w:tcPr>
          <w:p>
            <w:pPr>
              <w:pStyle w:val="nTable"/>
              <w:spacing w:after="40"/>
              <w:rPr>
                <w:sz w:val="19"/>
              </w:rPr>
            </w:pPr>
            <w:r>
              <w:rPr>
                <w:sz w:val="19"/>
              </w:rPr>
              <w:t>4 Dec 1992 p. 5889</w:t>
            </w:r>
          </w:p>
        </w:tc>
        <w:tc>
          <w:tcPr>
            <w:tcW w:w="2693" w:type="dxa"/>
          </w:tcPr>
          <w:p>
            <w:pPr>
              <w:pStyle w:val="nTable"/>
              <w:spacing w:after="40"/>
              <w:rPr>
                <w:sz w:val="19"/>
              </w:rPr>
            </w:pPr>
            <w:r>
              <w:rPr>
                <w:sz w:val="19"/>
              </w:rPr>
              <w:t>4 Dec 1992</w:t>
            </w:r>
          </w:p>
        </w:tc>
      </w:tr>
      <w:tr>
        <w:trPr>
          <w:cantSplit/>
        </w:trPr>
        <w:tc>
          <w:tcPr>
            <w:tcW w:w="3118" w:type="dxa"/>
          </w:tcPr>
          <w:p>
            <w:pPr>
              <w:pStyle w:val="nTable"/>
              <w:spacing w:after="40"/>
              <w:rPr>
                <w:i/>
                <w:sz w:val="19"/>
              </w:rPr>
            </w:pPr>
            <w:r>
              <w:rPr>
                <w:i/>
                <w:sz w:val="19"/>
              </w:rPr>
              <w:t>Environmental Protection Amendment Regulations 1993</w:t>
            </w:r>
          </w:p>
        </w:tc>
        <w:tc>
          <w:tcPr>
            <w:tcW w:w="1276" w:type="dxa"/>
          </w:tcPr>
          <w:p>
            <w:pPr>
              <w:pStyle w:val="nTable"/>
              <w:spacing w:after="40"/>
              <w:rPr>
                <w:sz w:val="19"/>
              </w:rPr>
            </w:pPr>
            <w:r>
              <w:rPr>
                <w:sz w:val="19"/>
              </w:rPr>
              <w:t>13 Jul 1993 p. 3705</w:t>
            </w:r>
          </w:p>
        </w:tc>
        <w:tc>
          <w:tcPr>
            <w:tcW w:w="2693" w:type="dxa"/>
          </w:tcPr>
          <w:p>
            <w:pPr>
              <w:pStyle w:val="nTable"/>
              <w:spacing w:after="40"/>
              <w:rPr>
                <w:sz w:val="19"/>
              </w:rPr>
            </w:pPr>
            <w:r>
              <w:rPr>
                <w:sz w:val="19"/>
              </w:rPr>
              <w:t>13 Jul 1993</w:t>
            </w:r>
          </w:p>
        </w:tc>
      </w:tr>
      <w:tr>
        <w:trPr>
          <w:cantSplit/>
        </w:trPr>
        <w:tc>
          <w:tcPr>
            <w:tcW w:w="3118" w:type="dxa"/>
          </w:tcPr>
          <w:p>
            <w:pPr>
              <w:pStyle w:val="nTable"/>
              <w:spacing w:after="40"/>
              <w:rPr>
                <w:i/>
                <w:sz w:val="19"/>
              </w:rPr>
            </w:pPr>
            <w:r>
              <w:rPr>
                <w:i/>
                <w:sz w:val="19"/>
              </w:rPr>
              <w:t>Environmental Protection Amendment Regulations (No. 2) 1993</w:t>
            </w:r>
          </w:p>
        </w:tc>
        <w:tc>
          <w:tcPr>
            <w:tcW w:w="1276" w:type="dxa"/>
          </w:tcPr>
          <w:p>
            <w:pPr>
              <w:pStyle w:val="nTable"/>
              <w:spacing w:after="40"/>
              <w:rPr>
                <w:sz w:val="19"/>
              </w:rPr>
            </w:pPr>
            <w:r>
              <w:rPr>
                <w:sz w:val="19"/>
              </w:rPr>
              <w:t>24 Sep 1993 p. 5252</w:t>
            </w:r>
            <w:r>
              <w:rPr>
                <w:sz w:val="19"/>
              </w:rPr>
              <w:noBreakHyphen/>
              <w:t>8</w:t>
            </w:r>
          </w:p>
        </w:tc>
        <w:tc>
          <w:tcPr>
            <w:tcW w:w="2693" w:type="dxa"/>
          </w:tcPr>
          <w:p>
            <w:pPr>
              <w:pStyle w:val="nTable"/>
              <w:spacing w:after="40"/>
              <w:rPr>
                <w:sz w:val="19"/>
              </w:rPr>
            </w:pPr>
            <w:r>
              <w:rPr>
                <w:sz w:val="19"/>
              </w:rPr>
              <w:t>24 Sep 1993</w:t>
            </w:r>
          </w:p>
        </w:tc>
      </w:tr>
      <w:tr>
        <w:trPr>
          <w:cantSplit/>
        </w:trPr>
        <w:tc>
          <w:tcPr>
            <w:tcW w:w="3118" w:type="dxa"/>
          </w:tcPr>
          <w:p>
            <w:pPr>
              <w:pStyle w:val="nTable"/>
              <w:spacing w:after="40"/>
              <w:rPr>
                <w:i/>
                <w:sz w:val="19"/>
              </w:rPr>
            </w:pPr>
            <w:r>
              <w:rPr>
                <w:i/>
                <w:sz w:val="19"/>
              </w:rPr>
              <w:t>Environmental Protection Amendment Regulations (No. 3) 1993</w:t>
            </w:r>
          </w:p>
        </w:tc>
        <w:tc>
          <w:tcPr>
            <w:tcW w:w="1276" w:type="dxa"/>
          </w:tcPr>
          <w:p>
            <w:pPr>
              <w:pStyle w:val="nTable"/>
              <w:spacing w:after="40"/>
              <w:rPr>
                <w:sz w:val="19"/>
              </w:rPr>
            </w:pPr>
            <w:r>
              <w:rPr>
                <w:sz w:val="19"/>
              </w:rPr>
              <w:t>19 Nov 1993 p. 6259</w:t>
            </w:r>
            <w:r>
              <w:rPr>
                <w:sz w:val="19"/>
              </w:rPr>
              <w:noBreakHyphen/>
              <w:t>60</w:t>
            </w:r>
          </w:p>
        </w:tc>
        <w:tc>
          <w:tcPr>
            <w:tcW w:w="2693" w:type="dxa"/>
          </w:tcPr>
          <w:p>
            <w:pPr>
              <w:pStyle w:val="nTable"/>
              <w:spacing w:after="40"/>
              <w:rPr>
                <w:sz w:val="19"/>
              </w:rPr>
            </w:pPr>
            <w:r>
              <w:rPr>
                <w:sz w:val="19"/>
              </w:rPr>
              <w:t>19 Nov 1993</w:t>
            </w:r>
          </w:p>
        </w:tc>
      </w:tr>
      <w:tr>
        <w:trPr>
          <w:cantSplit/>
        </w:trPr>
        <w:tc>
          <w:tcPr>
            <w:tcW w:w="3118" w:type="dxa"/>
          </w:tcPr>
          <w:p>
            <w:pPr>
              <w:pStyle w:val="nTable"/>
              <w:spacing w:after="40"/>
              <w:rPr>
                <w:i/>
                <w:sz w:val="19"/>
              </w:rPr>
            </w:pPr>
            <w:r>
              <w:rPr>
                <w:i/>
                <w:sz w:val="19"/>
              </w:rPr>
              <w:t>Environmental Protection Amendment Regulations (No. 4) 1993</w:t>
            </w:r>
          </w:p>
        </w:tc>
        <w:tc>
          <w:tcPr>
            <w:tcW w:w="1276" w:type="dxa"/>
          </w:tcPr>
          <w:p>
            <w:pPr>
              <w:pStyle w:val="nTable"/>
              <w:spacing w:after="40"/>
              <w:rPr>
                <w:sz w:val="19"/>
              </w:rPr>
            </w:pPr>
            <w:r>
              <w:rPr>
                <w:sz w:val="19"/>
              </w:rPr>
              <w:t>31 Dec 1993 p. 6878</w:t>
            </w:r>
          </w:p>
        </w:tc>
        <w:tc>
          <w:tcPr>
            <w:tcW w:w="2693" w:type="dxa"/>
          </w:tcPr>
          <w:p>
            <w:pPr>
              <w:pStyle w:val="nTable"/>
              <w:spacing w:after="40"/>
              <w:rPr>
                <w:sz w:val="19"/>
              </w:rPr>
            </w:pPr>
            <w:r>
              <w:rPr>
                <w:sz w:val="19"/>
              </w:rPr>
              <w:t>31 Dec 1993</w:t>
            </w:r>
          </w:p>
        </w:tc>
      </w:tr>
      <w:tr>
        <w:trPr>
          <w:cantSplit/>
        </w:trPr>
        <w:tc>
          <w:tcPr>
            <w:tcW w:w="3118" w:type="dxa"/>
          </w:tcPr>
          <w:p>
            <w:pPr>
              <w:pStyle w:val="nTable"/>
              <w:spacing w:after="40"/>
              <w:rPr>
                <w:i/>
                <w:sz w:val="19"/>
              </w:rPr>
            </w:pPr>
            <w:r>
              <w:rPr>
                <w:i/>
                <w:sz w:val="19"/>
              </w:rPr>
              <w:t>Environmental Protection Amendment Regulations (No. 5) 1993</w:t>
            </w:r>
          </w:p>
        </w:tc>
        <w:tc>
          <w:tcPr>
            <w:tcW w:w="1276" w:type="dxa"/>
          </w:tcPr>
          <w:p>
            <w:pPr>
              <w:pStyle w:val="nTable"/>
              <w:spacing w:after="40"/>
              <w:rPr>
                <w:sz w:val="19"/>
              </w:rPr>
            </w:pPr>
            <w:r>
              <w:rPr>
                <w:sz w:val="19"/>
              </w:rPr>
              <w:t>31 Dec 1993 p. 6878</w:t>
            </w:r>
            <w:r>
              <w:rPr>
                <w:sz w:val="19"/>
              </w:rPr>
              <w:noBreakHyphen/>
              <w:t>9</w:t>
            </w:r>
          </w:p>
        </w:tc>
        <w:tc>
          <w:tcPr>
            <w:tcW w:w="2693" w:type="dxa"/>
          </w:tcPr>
          <w:p>
            <w:pPr>
              <w:pStyle w:val="nTable"/>
              <w:spacing w:after="40"/>
              <w:rPr>
                <w:sz w:val="19"/>
              </w:rPr>
            </w:pPr>
            <w:r>
              <w:rPr>
                <w:sz w:val="19"/>
              </w:rPr>
              <w:t>1 Jan 1994 (see r. 2)</w:t>
            </w:r>
          </w:p>
        </w:tc>
      </w:tr>
      <w:tr>
        <w:trPr>
          <w:cantSplit/>
        </w:trPr>
        <w:tc>
          <w:tcPr>
            <w:tcW w:w="3118" w:type="dxa"/>
          </w:tcPr>
          <w:p>
            <w:pPr>
              <w:pStyle w:val="nTable"/>
              <w:spacing w:after="40"/>
              <w:rPr>
                <w:i/>
                <w:sz w:val="19"/>
              </w:rPr>
            </w:pPr>
            <w:r>
              <w:rPr>
                <w:i/>
                <w:sz w:val="19"/>
              </w:rPr>
              <w:t>Environmental Protection Amendment Regulations 1994</w:t>
            </w:r>
          </w:p>
        </w:tc>
        <w:tc>
          <w:tcPr>
            <w:tcW w:w="1276" w:type="dxa"/>
          </w:tcPr>
          <w:p>
            <w:pPr>
              <w:pStyle w:val="nTable"/>
              <w:spacing w:after="40"/>
              <w:rPr>
                <w:sz w:val="19"/>
              </w:rPr>
            </w:pPr>
            <w:r>
              <w:rPr>
                <w:sz w:val="19"/>
              </w:rPr>
              <w:t>10 Jun 1994 p. 2374</w:t>
            </w:r>
            <w:r>
              <w:rPr>
                <w:sz w:val="19"/>
              </w:rPr>
              <w:noBreakHyphen/>
              <w:t>6</w:t>
            </w:r>
          </w:p>
        </w:tc>
        <w:tc>
          <w:tcPr>
            <w:tcW w:w="2693" w:type="dxa"/>
          </w:tcPr>
          <w:p>
            <w:pPr>
              <w:pStyle w:val="nTable"/>
              <w:spacing w:after="40"/>
              <w:rPr>
                <w:sz w:val="19"/>
              </w:rPr>
            </w:pPr>
            <w:r>
              <w:rPr>
                <w:sz w:val="19"/>
              </w:rPr>
              <w:t>10 Jun 1994</w:t>
            </w:r>
          </w:p>
        </w:tc>
      </w:tr>
      <w:tr>
        <w:trPr>
          <w:cantSplit/>
        </w:trPr>
        <w:tc>
          <w:tcPr>
            <w:tcW w:w="3118" w:type="dxa"/>
          </w:tcPr>
          <w:p>
            <w:pPr>
              <w:pStyle w:val="nTable"/>
              <w:spacing w:after="40"/>
              <w:rPr>
                <w:i/>
                <w:sz w:val="19"/>
              </w:rPr>
            </w:pPr>
            <w:r>
              <w:rPr>
                <w:i/>
                <w:sz w:val="19"/>
              </w:rPr>
              <w:t>Environmental Protection Amendment Regulations 1995</w:t>
            </w:r>
          </w:p>
        </w:tc>
        <w:tc>
          <w:tcPr>
            <w:tcW w:w="1276" w:type="dxa"/>
          </w:tcPr>
          <w:p>
            <w:pPr>
              <w:pStyle w:val="nTable"/>
              <w:spacing w:after="40"/>
              <w:rPr>
                <w:sz w:val="19"/>
              </w:rPr>
            </w:pPr>
            <w:r>
              <w:rPr>
                <w:sz w:val="19"/>
              </w:rPr>
              <w:t>5 May 1995 p. 1701</w:t>
            </w:r>
            <w:r>
              <w:rPr>
                <w:sz w:val="19"/>
              </w:rPr>
              <w:noBreakHyphen/>
              <w:t>2</w:t>
            </w:r>
          </w:p>
        </w:tc>
        <w:tc>
          <w:tcPr>
            <w:tcW w:w="2693" w:type="dxa"/>
          </w:tcPr>
          <w:p>
            <w:pPr>
              <w:pStyle w:val="nTable"/>
              <w:spacing w:after="40"/>
              <w:rPr>
                <w:sz w:val="19"/>
              </w:rPr>
            </w:pPr>
            <w:r>
              <w:rPr>
                <w:sz w:val="19"/>
              </w:rPr>
              <w:t>5 May 1995</w:t>
            </w:r>
          </w:p>
        </w:tc>
      </w:tr>
      <w:tr>
        <w:trPr>
          <w:cantSplit/>
        </w:trPr>
        <w:tc>
          <w:tcPr>
            <w:tcW w:w="7087" w:type="dxa"/>
            <w:gridSpan w:val="3"/>
          </w:tcPr>
          <w:p>
            <w:pPr>
              <w:pStyle w:val="nTable"/>
              <w:spacing w:after="40"/>
              <w:rPr>
                <w:sz w:val="19"/>
              </w:rPr>
            </w:pPr>
            <w:r>
              <w:rPr>
                <w:b/>
                <w:sz w:val="19"/>
              </w:rPr>
              <w:t xml:space="preserve">Reprint of the </w:t>
            </w:r>
            <w:r>
              <w:rPr>
                <w:b/>
                <w:i/>
                <w:sz w:val="19"/>
              </w:rPr>
              <w:t xml:space="preserve">Environmental Protection Regulations 1987 </w:t>
            </w:r>
            <w:r>
              <w:rPr>
                <w:b/>
                <w:sz w:val="19"/>
              </w:rPr>
              <w:t>as at 4 Dec 1995</w:t>
            </w:r>
            <w:r>
              <w:rPr>
                <w:b/>
                <w:sz w:val="19"/>
              </w:rPr>
              <w:br/>
            </w:r>
            <w:r>
              <w:rPr>
                <w:sz w:val="19"/>
              </w:rPr>
              <w:t>(includes amendments listed above)</w:t>
            </w:r>
          </w:p>
        </w:tc>
      </w:tr>
      <w:tr>
        <w:trPr>
          <w:cantSplit/>
        </w:trPr>
        <w:tc>
          <w:tcPr>
            <w:tcW w:w="3118" w:type="dxa"/>
          </w:tcPr>
          <w:p>
            <w:pPr>
              <w:pStyle w:val="nTable"/>
              <w:spacing w:after="40"/>
              <w:ind w:right="113"/>
              <w:rPr>
                <w:i/>
                <w:sz w:val="19"/>
              </w:rPr>
            </w:pPr>
            <w:r>
              <w:rPr>
                <w:i/>
                <w:sz w:val="19"/>
              </w:rPr>
              <w:t>Environmental Protection Amendment Regulations (No. 3) 1996 </w:t>
            </w:r>
            <w:r>
              <w:rPr>
                <w:sz w:val="19"/>
                <w:vertAlign w:val="superscript"/>
              </w:rPr>
              <w:t>7</w:t>
            </w:r>
          </w:p>
        </w:tc>
        <w:tc>
          <w:tcPr>
            <w:tcW w:w="1276" w:type="dxa"/>
          </w:tcPr>
          <w:p>
            <w:pPr>
              <w:pStyle w:val="nTable"/>
              <w:spacing w:after="40"/>
              <w:rPr>
                <w:sz w:val="19"/>
              </w:rPr>
            </w:pPr>
            <w:r>
              <w:rPr>
                <w:sz w:val="19"/>
              </w:rPr>
              <w:t>13 Sep 1996 p. 4545</w:t>
            </w:r>
            <w:r>
              <w:rPr>
                <w:sz w:val="19"/>
              </w:rPr>
              <w:noBreakHyphen/>
              <w:t xml:space="preserve">67 </w:t>
            </w:r>
            <w:r>
              <w:rPr>
                <w:sz w:val="19"/>
              </w:rPr>
              <w:br/>
              <w:t>(as amended 10 Dec 1996 p. 6879)</w:t>
            </w:r>
          </w:p>
        </w:tc>
        <w:tc>
          <w:tcPr>
            <w:tcW w:w="2693" w:type="dxa"/>
          </w:tcPr>
          <w:p>
            <w:pPr>
              <w:pStyle w:val="nTable"/>
              <w:spacing w:after="40"/>
              <w:rPr>
                <w:sz w:val="19"/>
              </w:rPr>
            </w:pPr>
            <w:r>
              <w:rPr>
                <w:sz w:val="19"/>
              </w:rPr>
              <w:t>1 Oct 1996 (see r. 2)</w:t>
            </w:r>
          </w:p>
        </w:tc>
      </w:tr>
      <w:tr>
        <w:trPr>
          <w:cantSplit/>
        </w:trPr>
        <w:tc>
          <w:tcPr>
            <w:tcW w:w="3118" w:type="dxa"/>
          </w:tcPr>
          <w:p>
            <w:pPr>
              <w:pStyle w:val="nTable"/>
              <w:spacing w:after="40"/>
              <w:ind w:right="113"/>
              <w:rPr>
                <w:i/>
                <w:sz w:val="19"/>
              </w:rPr>
            </w:pPr>
            <w:r>
              <w:rPr>
                <w:i/>
                <w:sz w:val="19"/>
              </w:rPr>
              <w:t>Environmental Protection Amendment Regulations (No. 5) 1996</w:t>
            </w:r>
          </w:p>
        </w:tc>
        <w:tc>
          <w:tcPr>
            <w:tcW w:w="1276" w:type="dxa"/>
          </w:tcPr>
          <w:p>
            <w:pPr>
              <w:pStyle w:val="nTable"/>
              <w:spacing w:after="40"/>
              <w:rPr>
                <w:sz w:val="19"/>
              </w:rPr>
            </w:pPr>
            <w:r>
              <w:rPr>
                <w:sz w:val="19"/>
              </w:rPr>
              <w:t>11 Oct 1996 p. 5395</w:t>
            </w:r>
          </w:p>
        </w:tc>
        <w:tc>
          <w:tcPr>
            <w:tcW w:w="2693" w:type="dxa"/>
          </w:tcPr>
          <w:p>
            <w:pPr>
              <w:pStyle w:val="nTable"/>
              <w:spacing w:after="40"/>
              <w:rPr>
                <w:sz w:val="19"/>
              </w:rPr>
            </w:pPr>
            <w:r>
              <w:rPr>
                <w:sz w:val="19"/>
              </w:rPr>
              <w:t xml:space="preserve">4 Aug 1996 (see r. 2 and </w:t>
            </w:r>
            <w:r>
              <w:rPr>
                <w:i/>
                <w:sz w:val="19"/>
              </w:rPr>
              <w:t>Gazette</w:t>
            </w:r>
            <w:r>
              <w:rPr>
                <w:sz w:val="19"/>
              </w:rPr>
              <w:t xml:space="preserve"> 2 Aug 1996 p. 3615)</w:t>
            </w:r>
          </w:p>
        </w:tc>
      </w:tr>
      <w:tr>
        <w:trPr>
          <w:cantSplit/>
        </w:trPr>
        <w:tc>
          <w:tcPr>
            <w:tcW w:w="3118" w:type="dxa"/>
          </w:tcPr>
          <w:p>
            <w:pPr>
              <w:pStyle w:val="nTable"/>
              <w:spacing w:after="40"/>
              <w:ind w:right="113"/>
              <w:rPr>
                <w:i/>
                <w:sz w:val="19"/>
              </w:rPr>
            </w:pPr>
            <w:r>
              <w:rPr>
                <w:i/>
                <w:sz w:val="19"/>
              </w:rPr>
              <w:t>Environmental Protection Amendment Regulations (No. 4) 1996</w:t>
            </w:r>
          </w:p>
        </w:tc>
        <w:tc>
          <w:tcPr>
            <w:tcW w:w="1276" w:type="dxa"/>
          </w:tcPr>
          <w:p>
            <w:pPr>
              <w:pStyle w:val="nTable"/>
              <w:spacing w:after="40"/>
              <w:rPr>
                <w:sz w:val="19"/>
              </w:rPr>
            </w:pPr>
            <w:r>
              <w:rPr>
                <w:sz w:val="19"/>
              </w:rPr>
              <w:t>12 Nov 1996 p. 6303</w:t>
            </w:r>
            <w:r>
              <w:rPr>
                <w:sz w:val="19"/>
              </w:rPr>
              <w:noBreakHyphen/>
              <w:t>5</w:t>
            </w:r>
          </w:p>
        </w:tc>
        <w:tc>
          <w:tcPr>
            <w:tcW w:w="2693" w:type="dxa"/>
          </w:tcPr>
          <w:p>
            <w:pPr>
              <w:pStyle w:val="nTable"/>
              <w:spacing w:after="40"/>
              <w:rPr>
                <w:sz w:val="19"/>
              </w:rPr>
            </w:pPr>
            <w:r>
              <w:rPr>
                <w:sz w:val="19"/>
              </w:rPr>
              <w:t>12 Nov 1996</w:t>
            </w:r>
          </w:p>
        </w:tc>
      </w:tr>
      <w:tr>
        <w:trPr>
          <w:cantSplit/>
        </w:trPr>
        <w:tc>
          <w:tcPr>
            <w:tcW w:w="3118" w:type="dxa"/>
          </w:tcPr>
          <w:p>
            <w:pPr>
              <w:pStyle w:val="nTable"/>
              <w:spacing w:after="40"/>
              <w:ind w:right="113"/>
              <w:rPr>
                <w:i/>
                <w:sz w:val="19"/>
              </w:rPr>
            </w:pPr>
            <w:r>
              <w:rPr>
                <w:i/>
                <w:sz w:val="19"/>
              </w:rPr>
              <w:t>Environmental Protection Amendment Regulations (No. 6) 1996</w:t>
            </w:r>
          </w:p>
        </w:tc>
        <w:tc>
          <w:tcPr>
            <w:tcW w:w="1276" w:type="dxa"/>
          </w:tcPr>
          <w:p>
            <w:pPr>
              <w:pStyle w:val="nTable"/>
              <w:spacing w:after="40"/>
              <w:rPr>
                <w:sz w:val="19"/>
              </w:rPr>
            </w:pPr>
            <w:r>
              <w:rPr>
                <w:sz w:val="19"/>
              </w:rPr>
              <w:t>10 Dec 1996 p. 6876</w:t>
            </w:r>
            <w:r>
              <w:rPr>
                <w:sz w:val="19"/>
              </w:rPr>
              <w:noBreakHyphen/>
              <w:t>9</w:t>
            </w:r>
          </w:p>
        </w:tc>
        <w:tc>
          <w:tcPr>
            <w:tcW w:w="2693" w:type="dxa"/>
          </w:tcPr>
          <w:p>
            <w:pPr>
              <w:pStyle w:val="nTable"/>
              <w:spacing w:after="40"/>
              <w:rPr>
                <w:sz w:val="19"/>
              </w:rPr>
            </w:pPr>
            <w:r>
              <w:rPr>
                <w:sz w:val="19"/>
              </w:rPr>
              <w:t>10 Dec 1996</w:t>
            </w:r>
          </w:p>
        </w:tc>
      </w:tr>
      <w:tr>
        <w:trPr>
          <w:cantSplit/>
        </w:trPr>
        <w:tc>
          <w:tcPr>
            <w:tcW w:w="3118" w:type="dxa"/>
          </w:tcPr>
          <w:p>
            <w:pPr>
              <w:pStyle w:val="nTable"/>
              <w:spacing w:after="40"/>
              <w:ind w:right="113"/>
              <w:rPr>
                <w:i/>
                <w:sz w:val="19"/>
              </w:rPr>
            </w:pPr>
            <w:r>
              <w:rPr>
                <w:i/>
                <w:sz w:val="19"/>
              </w:rPr>
              <w:t>Environmental Protection Amendment Regulations (No. 2) 1997</w:t>
            </w:r>
          </w:p>
        </w:tc>
        <w:tc>
          <w:tcPr>
            <w:tcW w:w="1276" w:type="dxa"/>
          </w:tcPr>
          <w:p>
            <w:pPr>
              <w:pStyle w:val="nTable"/>
              <w:spacing w:after="40"/>
              <w:rPr>
                <w:sz w:val="19"/>
              </w:rPr>
            </w:pPr>
            <w:r>
              <w:rPr>
                <w:sz w:val="19"/>
              </w:rPr>
              <w:t>12 Sep 1997 p. 5149</w:t>
            </w:r>
            <w:r>
              <w:rPr>
                <w:sz w:val="19"/>
              </w:rPr>
              <w:noBreakHyphen/>
              <w:t>51</w:t>
            </w:r>
          </w:p>
        </w:tc>
        <w:tc>
          <w:tcPr>
            <w:tcW w:w="2693" w:type="dxa"/>
          </w:tcPr>
          <w:p>
            <w:pPr>
              <w:pStyle w:val="nTable"/>
              <w:spacing w:after="40"/>
              <w:rPr>
                <w:sz w:val="19"/>
              </w:rPr>
            </w:pPr>
            <w:r>
              <w:rPr>
                <w:sz w:val="19"/>
              </w:rPr>
              <w:t>12 Sep 1997</w:t>
            </w:r>
          </w:p>
        </w:tc>
      </w:tr>
      <w:tr>
        <w:trPr>
          <w:cantSplit/>
        </w:trPr>
        <w:tc>
          <w:tcPr>
            <w:tcW w:w="3118" w:type="dxa"/>
          </w:tcPr>
          <w:p>
            <w:pPr>
              <w:pStyle w:val="nTable"/>
              <w:spacing w:after="40"/>
              <w:ind w:right="113"/>
              <w:rPr>
                <w:i/>
                <w:sz w:val="19"/>
              </w:rPr>
            </w:pPr>
            <w:r>
              <w:rPr>
                <w:i/>
                <w:sz w:val="19"/>
              </w:rPr>
              <w:t>Environmental Protection Amendment Regulations 1998</w:t>
            </w:r>
          </w:p>
        </w:tc>
        <w:tc>
          <w:tcPr>
            <w:tcW w:w="1276" w:type="dxa"/>
          </w:tcPr>
          <w:p>
            <w:pPr>
              <w:pStyle w:val="nTable"/>
              <w:spacing w:after="40"/>
              <w:rPr>
                <w:sz w:val="19"/>
              </w:rPr>
            </w:pPr>
            <w:r>
              <w:rPr>
                <w:sz w:val="19"/>
              </w:rPr>
              <w:t>3 Apr 1998 p. 1972</w:t>
            </w:r>
            <w:r>
              <w:rPr>
                <w:sz w:val="19"/>
              </w:rPr>
              <w:noBreakHyphen/>
              <w:t>3</w:t>
            </w:r>
          </w:p>
        </w:tc>
        <w:tc>
          <w:tcPr>
            <w:tcW w:w="2693" w:type="dxa"/>
          </w:tcPr>
          <w:p>
            <w:pPr>
              <w:pStyle w:val="nTable"/>
              <w:spacing w:after="40"/>
              <w:rPr>
                <w:sz w:val="19"/>
              </w:rPr>
            </w:pPr>
            <w:r>
              <w:rPr>
                <w:sz w:val="19"/>
              </w:rPr>
              <w:t xml:space="preserve">25 Jul 1998 (see r. 2 and </w:t>
            </w:r>
            <w:r>
              <w:rPr>
                <w:i/>
                <w:sz w:val="19"/>
              </w:rPr>
              <w:t>Gazette</w:t>
            </w:r>
            <w:r>
              <w:rPr>
                <w:sz w:val="19"/>
              </w:rPr>
              <w:t xml:space="preserve"> 24 Jul 1998 p. 3887)</w:t>
            </w:r>
          </w:p>
        </w:tc>
      </w:tr>
      <w:tr>
        <w:trPr>
          <w:cantSplit/>
        </w:trPr>
        <w:tc>
          <w:tcPr>
            <w:tcW w:w="3118" w:type="dxa"/>
          </w:tcPr>
          <w:p>
            <w:pPr>
              <w:pStyle w:val="nTable"/>
              <w:spacing w:after="40"/>
              <w:ind w:right="113"/>
              <w:rPr>
                <w:i/>
                <w:sz w:val="19"/>
              </w:rPr>
            </w:pPr>
            <w:r>
              <w:rPr>
                <w:i/>
                <w:sz w:val="19"/>
              </w:rPr>
              <w:t>Environmental Protection Amendment Regulations (No. 2) 1998</w:t>
            </w:r>
          </w:p>
        </w:tc>
        <w:tc>
          <w:tcPr>
            <w:tcW w:w="1276" w:type="dxa"/>
          </w:tcPr>
          <w:p>
            <w:pPr>
              <w:pStyle w:val="nTable"/>
              <w:spacing w:after="40"/>
              <w:rPr>
                <w:sz w:val="19"/>
              </w:rPr>
            </w:pPr>
            <w:r>
              <w:rPr>
                <w:sz w:val="19"/>
              </w:rPr>
              <w:t>26 Jun 1998 p. 3370</w:t>
            </w:r>
            <w:r>
              <w:rPr>
                <w:sz w:val="19"/>
              </w:rPr>
              <w:noBreakHyphen/>
              <w:t>4</w:t>
            </w:r>
          </w:p>
        </w:tc>
        <w:tc>
          <w:tcPr>
            <w:tcW w:w="2693" w:type="dxa"/>
          </w:tcPr>
          <w:p>
            <w:pPr>
              <w:pStyle w:val="nTable"/>
              <w:spacing w:after="40"/>
              <w:rPr>
                <w:sz w:val="19"/>
              </w:rPr>
            </w:pPr>
            <w:r>
              <w:rPr>
                <w:sz w:val="19"/>
              </w:rPr>
              <w:t xml:space="preserve">1 Jul 1998 (see r. 2 and </w:t>
            </w:r>
            <w:r>
              <w:rPr>
                <w:i/>
                <w:sz w:val="19"/>
              </w:rPr>
              <w:t>Gazette</w:t>
            </w:r>
            <w:r>
              <w:rPr>
                <w:sz w:val="19"/>
              </w:rPr>
              <w:t xml:space="preserve"> 26 Jun 1998 p. 3369)</w:t>
            </w:r>
          </w:p>
        </w:tc>
      </w:tr>
      <w:tr>
        <w:trPr>
          <w:cantSplit/>
        </w:trPr>
        <w:tc>
          <w:tcPr>
            <w:tcW w:w="3118" w:type="dxa"/>
          </w:tcPr>
          <w:p>
            <w:pPr>
              <w:pStyle w:val="nTable"/>
              <w:spacing w:after="40"/>
              <w:ind w:right="113"/>
              <w:rPr>
                <w:i/>
                <w:sz w:val="19"/>
              </w:rPr>
            </w:pPr>
            <w:r>
              <w:rPr>
                <w:i/>
                <w:sz w:val="19"/>
              </w:rPr>
              <w:t xml:space="preserve">Environmental Protection (Miscellaneous Amendments) Regulations 1998 </w:t>
            </w:r>
            <w:r>
              <w:rPr>
                <w:sz w:val="19"/>
              </w:rPr>
              <w:t>Pt. 2</w:t>
            </w:r>
          </w:p>
        </w:tc>
        <w:tc>
          <w:tcPr>
            <w:tcW w:w="1276" w:type="dxa"/>
          </w:tcPr>
          <w:p>
            <w:pPr>
              <w:pStyle w:val="nTable"/>
              <w:spacing w:after="40"/>
              <w:rPr>
                <w:sz w:val="19"/>
              </w:rPr>
            </w:pPr>
            <w:r>
              <w:rPr>
                <w:sz w:val="19"/>
              </w:rPr>
              <w:t>11 Dec 1998 p. 6597</w:t>
            </w:r>
            <w:r>
              <w:rPr>
                <w:sz w:val="19"/>
              </w:rPr>
              <w:noBreakHyphen/>
              <w:t>614</w:t>
            </w:r>
          </w:p>
        </w:tc>
        <w:tc>
          <w:tcPr>
            <w:tcW w:w="2693" w:type="dxa"/>
          </w:tcPr>
          <w:p>
            <w:pPr>
              <w:pStyle w:val="nTable"/>
              <w:spacing w:after="40"/>
              <w:rPr>
                <w:sz w:val="19"/>
              </w:rPr>
            </w:pPr>
            <w:r>
              <w:rPr>
                <w:sz w:val="19"/>
              </w:rPr>
              <w:t>8 Jan 1999 (see r. 2)</w:t>
            </w:r>
          </w:p>
        </w:tc>
      </w:tr>
      <w:tr>
        <w:trPr>
          <w:cantSplit/>
        </w:trPr>
        <w:tc>
          <w:tcPr>
            <w:tcW w:w="7087" w:type="dxa"/>
            <w:gridSpan w:val="3"/>
          </w:tcPr>
          <w:p>
            <w:pPr>
              <w:pStyle w:val="nTable"/>
              <w:spacing w:after="40"/>
              <w:rPr>
                <w:b/>
                <w:sz w:val="19"/>
              </w:rPr>
            </w:pPr>
            <w:r>
              <w:rPr>
                <w:b/>
                <w:sz w:val="19"/>
              </w:rPr>
              <w:t xml:space="preserve">Reprint of the </w:t>
            </w:r>
            <w:r>
              <w:rPr>
                <w:b/>
                <w:i/>
                <w:sz w:val="19"/>
              </w:rPr>
              <w:t xml:space="preserve">Environmental Protection Regulations 1987 </w:t>
            </w:r>
            <w:r>
              <w:rPr>
                <w:b/>
                <w:sz w:val="19"/>
              </w:rPr>
              <w:t>as at 2 Apr 1999</w:t>
            </w:r>
            <w:r>
              <w:rPr>
                <w:b/>
                <w:sz w:val="19"/>
              </w:rPr>
              <w:br/>
            </w:r>
            <w:r>
              <w:rPr>
                <w:sz w:val="19"/>
              </w:rPr>
              <w:t>(includes amendments listed above)</w:t>
            </w:r>
          </w:p>
        </w:tc>
      </w:tr>
      <w:tr>
        <w:trPr>
          <w:cantSplit/>
        </w:trPr>
        <w:tc>
          <w:tcPr>
            <w:tcW w:w="3118" w:type="dxa"/>
          </w:tcPr>
          <w:p>
            <w:pPr>
              <w:pStyle w:val="nTable"/>
              <w:spacing w:after="40"/>
              <w:ind w:right="113"/>
              <w:rPr>
                <w:i/>
                <w:sz w:val="19"/>
              </w:rPr>
            </w:pPr>
            <w:r>
              <w:rPr>
                <w:i/>
                <w:sz w:val="19"/>
              </w:rPr>
              <w:t xml:space="preserve">Environmental Protection (Diesel and Petrol) Regulations 1999 </w:t>
            </w:r>
            <w:r>
              <w:rPr>
                <w:sz w:val="19"/>
              </w:rPr>
              <w:t>r. 22</w:t>
            </w:r>
          </w:p>
        </w:tc>
        <w:tc>
          <w:tcPr>
            <w:tcW w:w="1276" w:type="dxa"/>
          </w:tcPr>
          <w:p>
            <w:pPr>
              <w:pStyle w:val="nTable"/>
              <w:spacing w:after="40"/>
              <w:rPr>
                <w:sz w:val="19"/>
              </w:rPr>
            </w:pPr>
            <w:r>
              <w:rPr>
                <w:sz w:val="19"/>
              </w:rPr>
              <w:t>17 Dec 1999 p. 6305</w:t>
            </w:r>
            <w:r>
              <w:rPr>
                <w:sz w:val="19"/>
              </w:rPr>
              <w:noBreakHyphen/>
              <w:t>25</w:t>
            </w:r>
          </w:p>
        </w:tc>
        <w:tc>
          <w:tcPr>
            <w:tcW w:w="2693" w:type="dxa"/>
          </w:tcPr>
          <w:p>
            <w:pPr>
              <w:pStyle w:val="nTable"/>
              <w:spacing w:after="40"/>
              <w:rPr>
                <w:sz w:val="19"/>
              </w:rPr>
            </w:pPr>
            <w:r>
              <w:rPr>
                <w:sz w:val="19"/>
              </w:rPr>
              <w:t>1 Jan 2000 (see r. 2)</w:t>
            </w:r>
          </w:p>
        </w:tc>
      </w:tr>
      <w:tr>
        <w:trPr>
          <w:cantSplit/>
        </w:trPr>
        <w:tc>
          <w:tcPr>
            <w:tcW w:w="3118" w:type="dxa"/>
          </w:tcPr>
          <w:p>
            <w:pPr>
              <w:pStyle w:val="nTable"/>
              <w:spacing w:after="40"/>
              <w:ind w:right="113"/>
              <w:rPr>
                <w:i/>
                <w:sz w:val="19"/>
              </w:rPr>
            </w:pPr>
            <w:r>
              <w:rPr>
                <w:i/>
                <w:sz w:val="19"/>
              </w:rPr>
              <w:t>Environmental Protection Amendment Regulations 2000</w:t>
            </w:r>
          </w:p>
        </w:tc>
        <w:tc>
          <w:tcPr>
            <w:tcW w:w="1276" w:type="dxa"/>
          </w:tcPr>
          <w:p>
            <w:pPr>
              <w:pStyle w:val="nTable"/>
              <w:spacing w:after="40"/>
              <w:rPr>
                <w:sz w:val="19"/>
              </w:rPr>
            </w:pPr>
            <w:r>
              <w:rPr>
                <w:sz w:val="19"/>
              </w:rPr>
              <w:t>7 Jul 2000 p. 3677</w:t>
            </w:r>
            <w:r>
              <w:rPr>
                <w:sz w:val="19"/>
              </w:rPr>
              <w:noBreakHyphen/>
              <w:t>83</w:t>
            </w:r>
          </w:p>
        </w:tc>
        <w:tc>
          <w:tcPr>
            <w:tcW w:w="2693" w:type="dxa"/>
          </w:tcPr>
          <w:p>
            <w:pPr>
              <w:pStyle w:val="nTable"/>
              <w:spacing w:after="40"/>
              <w:rPr>
                <w:sz w:val="19"/>
              </w:rPr>
            </w:pPr>
            <w:r>
              <w:rPr>
                <w:sz w:val="19"/>
              </w:rPr>
              <w:t>7 Jul 2000</w:t>
            </w:r>
          </w:p>
        </w:tc>
      </w:tr>
      <w:tr>
        <w:trPr>
          <w:cantSplit/>
        </w:trPr>
        <w:tc>
          <w:tcPr>
            <w:tcW w:w="3118" w:type="dxa"/>
          </w:tcPr>
          <w:p>
            <w:pPr>
              <w:pStyle w:val="nTable"/>
              <w:spacing w:after="40"/>
              <w:ind w:right="113"/>
              <w:rPr>
                <w:i/>
                <w:sz w:val="19"/>
              </w:rPr>
            </w:pPr>
            <w:r>
              <w:rPr>
                <w:i/>
                <w:sz w:val="19"/>
              </w:rPr>
              <w:t>Environmental Protection Amendment Regulations (No. 4) 2000</w:t>
            </w:r>
          </w:p>
        </w:tc>
        <w:tc>
          <w:tcPr>
            <w:tcW w:w="1276" w:type="dxa"/>
          </w:tcPr>
          <w:p>
            <w:pPr>
              <w:pStyle w:val="nTable"/>
              <w:spacing w:after="40"/>
              <w:rPr>
                <w:sz w:val="19"/>
              </w:rPr>
            </w:pPr>
            <w:r>
              <w:rPr>
                <w:sz w:val="19"/>
              </w:rPr>
              <w:t>4 Aug 2000 p. 4199</w:t>
            </w:r>
            <w:r>
              <w:rPr>
                <w:sz w:val="19"/>
              </w:rPr>
              <w:noBreakHyphen/>
              <w:t>202</w:t>
            </w:r>
          </w:p>
        </w:tc>
        <w:tc>
          <w:tcPr>
            <w:tcW w:w="2693" w:type="dxa"/>
          </w:tcPr>
          <w:p>
            <w:pPr>
              <w:pStyle w:val="nTable"/>
              <w:spacing w:after="40"/>
              <w:rPr>
                <w:sz w:val="19"/>
              </w:rPr>
            </w:pPr>
            <w:r>
              <w:rPr>
                <w:sz w:val="19"/>
              </w:rPr>
              <w:t>1 Oct 2000 (see r. 2)</w:t>
            </w:r>
          </w:p>
        </w:tc>
      </w:tr>
      <w:tr>
        <w:trPr>
          <w:cantSplit/>
        </w:trPr>
        <w:tc>
          <w:tcPr>
            <w:tcW w:w="3118" w:type="dxa"/>
          </w:tcPr>
          <w:p>
            <w:pPr>
              <w:pStyle w:val="nTable"/>
              <w:spacing w:after="40"/>
              <w:ind w:right="113"/>
              <w:rPr>
                <w:i/>
                <w:sz w:val="19"/>
              </w:rPr>
            </w:pPr>
            <w:r>
              <w:rPr>
                <w:i/>
                <w:sz w:val="19"/>
              </w:rPr>
              <w:t>Environmental Protection Amendment Regulations (No. 3) 2000</w:t>
            </w:r>
          </w:p>
        </w:tc>
        <w:tc>
          <w:tcPr>
            <w:tcW w:w="1276" w:type="dxa"/>
          </w:tcPr>
          <w:p>
            <w:pPr>
              <w:pStyle w:val="nTable"/>
              <w:spacing w:after="40"/>
              <w:rPr>
                <w:sz w:val="19"/>
              </w:rPr>
            </w:pPr>
            <w:r>
              <w:rPr>
                <w:sz w:val="19"/>
              </w:rPr>
              <w:t>15 Aug 2000 p. 4711</w:t>
            </w:r>
            <w:r>
              <w:rPr>
                <w:sz w:val="19"/>
              </w:rPr>
              <w:noBreakHyphen/>
              <w:t>19</w:t>
            </w:r>
          </w:p>
        </w:tc>
        <w:tc>
          <w:tcPr>
            <w:tcW w:w="2693" w:type="dxa"/>
          </w:tcPr>
          <w:p>
            <w:pPr>
              <w:pStyle w:val="nTable"/>
              <w:spacing w:after="40"/>
              <w:rPr>
                <w:sz w:val="19"/>
              </w:rPr>
            </w:pPr>
            <w:r>
              <w:rPr>
                <w:sz w:val="19"/>
              </w:rPr>
              <w:t>15 Aug 2000</w:t>
            </w:r>
          </w:p>
        </w:tc>
      </w:tr>
      <w:tr>
        <w:trPr>
          <w:cantSplit/>
        </w:trPr>
        <w:tc>
          <w:tcPr>
            <w:tcW w:w="3118" w:type="dxa"/>
          </w:tcPr>
          <w:p>
            <w:pPr>
              <w:pStyle w:val="nTable"/>
              <w:spacing w:after="40"/>
              <w:ind w:right="113"/>
              <w:rPr>
                <w:i/>
                <w:sz w:val="19"/>
              </w:rPr>
            </w:pPr>
            <w:r>
              <w:rPr>
                <w:i/>
                <w:sz w:val="19"/>
              </w:rPr>
              <w:t>Environmental Protection Amendment Regulations (No. 2) 2000</w:t>
            </w:r>
          </w:p>
        </w:tc>
        <w:tc>
          <w:tcPr>
            <w:tcW w:w="1276" w:type="dxa"/>
          </w:tcPr>
          <w:p>
            <w:pPr>
              <w:pStyle w:val="nTable"/>
              <w:spacing w:after="40"/>
              <w:rPr>
                <w:sz w:val="19"/>
              </w:rPr>
            </w:pPr>
            <w:r>
              <w:rPr>
                <w:sz w:val="19"/>
              </w:rPr>
              <w:t>19 Dec 2000 p. 7283</w:t>
            </w:r>
            <w:r>
              <w:rPr>
                <w:sz w:val="19"/>
              </w:rPr>
              <w:noBreakHyphen/>
              <w:t>4</w:t>
            </w:r>
          </w:p>
        </w:tc>
        <w:tc>
          <w:tcPr>
            <w:tcW w:w="2693" w:type="dxa"/>
          </w:tcPr>
          <w:p>
            <w:pPr>
              <w:pStyle w:val="nTable"/>
              <w:spacing w:after="40"/>
              <w:rPr>
                <w:sz w:val="19"/>
              </w:rPr>
            </w:pPr>
            <w:r>
              <w:rPr>
                <w:sz w:val="19"/>
              </w:rPr>
              <w:t>19 Dec 2000</w:t>
            </w:r>
          </w:p>
        </w:tc>
      </w:tr>
      <w:tr>
        <w:trPr>
          <w:cantSplit/>
        </w:trPr>
        <w:tc>
          <w:tcPr>
            <w:tcW w:w="3118" w:type="dxa"/>
          </w:tcPr>
          <w:p>
            <w:pPr>
              <w:pStyle w:val="nTable"/>
              <w:spacing w:after="40"/>
              <w:ind w:right="113"/>
              <w:rPr>
                <w:sz w:val="19"/>
              </w:rPr>
            </w:pPr>
            <w:r>
              <w:rPr>
                <w:i/>
                <w:sz w:val="19"/>
              </w:rPr>
              <w:t>Environmental Protection Amendment Regulations (No. 5) 2000</w:t>
            </w:r>
            <w:r>
              <w:rPr>
                <w:sz w:val="19"/>
              </w:rPr>
              <w:t> </w:t>
            </w:r>
            <w:r>
              <w:rPr>
                <w:sz w:val="19"/>
                <w:vertAlign w:val="superscript"/>
              </w:rPr>
              <w:t>8</w:t>
            </w:r>
          </w:p>
        </w:tc>
        <w:tc>
          <w:tcPr>
            <w:tcW w:w="1276" w:type="dxa"/>
          </w:tcPr>
          <w:p>
            <w:pPr>
              <w:pStyle w:val="nTable"/>
              <w:spacing w:after="40"/>
              <w:rPr>
                <w:sz w:val="19"/>
              </w:rPr>
            </w:pPr>
            <w:r>
              <w:rPr>
                <w:sz w:val="19"/>
              </w:rPr>
              <w:t>5 Jan 2001 p. 114</w:t>
            </w:r>
            <w:r>
              <w:rPr>
                <w:sz w:val="19"/>
              </w:rPr>
              <w:noBreakHyphen/>
              <w:t>19</w:t>
            </w:r>
          </w:p>
        </w:tc>
        <w:tc>
          <w:tcPr>
            <w:tcW w:w="2693" w:type="dxa"/>
          </w:tcPr>
          <w:p>
            <w:pPr>
              <w:pStyle w:val="nTable"/>
              <w:spacing w:after="40"/>
              <w:rPr>
                <w:sz w:val="19"/>
              </w:rPr>
            </w:pPr>
            <w:r>
              <w:rPr>
                <w:sz w:val="19"/>
              </w:rPr>
              <w:t>5 Jan 2001</w:t>
            </w:r>
          </w:p>
        </w:tc>
      </w:tr>
      <w:tr>
        <w:trPr>
          <w:cantSplit/>
        </w:trPr>
        <w:tc>
          <w:tcPr>
            <w:tcW w:w="7087" w:type="dxa"/>
            <w:gridSpan w:val="3"/>
          </w:tcPr>
          <w:p>
            <w:pPr>
              <w:pStyle w:val="nTable"/>
              <w:spacing w:after="40"/>
              <w:rPr>
                <w:b/>
                <w:sz w:val="19"/>
              </w:rPr>
            </w:pPr>
            <w:r>
              <w:rPr>
                <w:b/>
                <w:sz w:val="19"/>
              </w:rPr>
              <w:t xml:space="preserve">Reprint of the </w:t>
            </w:r>
            <w:r>
              <w:rPr>
                <w:b/>
                <w:i/>
                <w:sz w:val="19"/>
              </w:rPr>
              <w:t xml:space="preserve">Environmental Protection Regulations 1987 </w:t>
            </w:r>
            <w:r>
              <w:rPr>
                <w:b/>
                <w:sz w:val="19"/>
              </w:rPr>
              <w:t>as at 9 Feb 2001</w:t>
            </w:r>
            <w:r>
              <w:rPr>
                <w:b/>
                <w:sz w:val="19"/>
              </w:rPr>
              <w:br/>
            </w:r>
            <w:r>
              <w:rPr>
                <w:sz w:val="19"/>
              </w:rPr>
              <w:t>(includes amendments listed above)</w:t>
            </w:r>
          </w:p>
        </w:tc>
      </w:tr>
      <w:tr>
        <w:trPr>
          <w:cantSplit/>
        </w:trPr>
        <w:tc>
          <w:tcPr>
            <w:tcW w:w="3118" w:type="dxa"/>
          </w:tcPr>
          <w:p>
            <w:pPr>
              <w:pStyle w:val="nTable"/>
              <w:spacing w:after="40"/>
              <w:ind w:right="113"/>
              <w:rPr>
                <w:i/>
                <w:sz w:val="19"/>
              </w:rPr>
            </w:pPr>
            <w:r>
              <w:rPr>
                <w:i/>
                <w:sz w:val="19"/>
              </w:rPr>
              <w:t xml:space="preserve">Environmental Protection (Abattoirs) Regulations 2001 </w:t>
            </w:r>
            <w:r>
              <w:rPr>
                <w:sz w:val="19"/>
              </w:rPr>
              <w:t>r. 17</w:t>
            </w:r>
          </w:p>
        </w:tc>
        <w:tc>
          <w:tcPr>
            <w:tcW w:w="1276" w:type="dxa"/>
          </w:tcPr>
          <w:p>
            <w:pPr>
              <w:pStyle w:val="nTable"/>
              <w:spacing w:after="40"/>
              <w:rPr>
                <w:sz w:val="19"/>
              </w:rPr>
            </w:pPr>
            <w:r>
              <w:rPr>
                <w:sz w:val="19"/>
              </w:rPr>
              <w:t>30 Mar 2001 p. 1797</w:t>
            </w:r>
            <w:r>
              <w:rPr>
                <w:sz w:val="19"/>
              </w:rPr>
              <w:noBreakHyphen/>
              <w:t>810</w:t>
            </w:r>
          </w:p>
        </w:tc>
        <w:tc>
          <w:tcPr>
            <w:tcW w:w="2693" w:type="dxa"/>
          </w:tcPr>
          <w:p>
            <w:pPr>
              <w:pStyle w:val="nTable"/>
              <w:spacing w:after="40"/>
              <w:rPr>
                <w:sz w:val="19"/>
              </w:rPr>
            </w:pPr>
            <w:r>
              <w:rPr>
                <w:sz w:val="19"/>
              </w:rPr>
              <w:t>30 Mar 2001</w:t>
            </w:r>
          </w:p>
        </w:tc>
      </w:tr>
      <w:tr>
        <w:trPr>
          <w:cantSplit/>
        </w:trPr>
        <w:tc>
          <w:tcPr>
            <w:tcW w:w="3118" w:type="dxa"/>
          </w:tcPr>
          <w:p>
            <w:pPr>
              <w:pStyle w:val="nTable"/>
              <w:spacing w:after="40"/>
              <w:ind w:right="113"/>
              <w:rPr>
                <w:i/>
                <w:sz w:val="19"/>
              </w:rPr>
            </w:pPr>
            <w:r>
              <w:rPr>
                <w:i/>
                <w:sz w:val="19"/>
              </w:rPr>
              <w:t xml:space="preserve">Environmental Protection (Liquid Waste) Amendment Regulations 2001 </w:t>
            </w:r>
            <w:r>
              <w:rPr>
                <w:sz w:val="19"/>
              </w:rPr>
              <w:t>r. 34</w:t>
            </w:r>
          </w:p>
        </w:tc>
        <w:tc>
          <w:tcPr>
            <w:tcW w:w="1276" w:type="dxa"/>
          </w:tcPr>
          <w:p>
            <w:pPr>
              <w:pStyle w:val="nTable"/>
              <w:spacing w:after="40"/>
              <w:rPr>
                <w:sz w:val="19"/>
              </w:rPr>
            </w:pPr>
            <w:r>
              <w:rPr>
                <w:sz w:val="19"/>
              </w:rPr>
              <w:t>30 Mar 2001 p. 1811</w:t>
            </w:r>
            <w:r>
              <w:rPr>
                <w:sz w:val="19"/>
              </w:rPr>
              <w:noBreakHyphen/>
              <w:t>30</w:t>
            </w:r>
          </w:p>
        </w:tc>
        <w:tc>
          <w:tcPr>
            <w:tcW w:w="2693" w:type="dxa"/>
          </w:tcPr>
          <w:p>
            <w:pPr>
              <w:pStyle w:val="nTable"/>
              <w:spacing w:after="40"/>
              <w:rPr>
                <w:sz w:val="19"/>
              </w:rPr>
            </w:pPr>
            <w:r>
              <w:rPr>
                <w:sz w:val="19"/>
              </w:rPr>
              <w:t>1 Apr 2001 (see r. 2)</w:t>
            </w:r>
          </w:p>
        </w:tc>
      </w:tr>
      <w:tr>
        <w:trPr>
          <w:cantSplit/>
        </w:trPr>
        <w:tc>
          <w:tcPr>
            <w:tcW w:w="3118" w:type="dxa"/>
          </w:tcPr>
          <w:p>
            <w:pPr>
              <w:pStyle w:val="nTable"/>
              <w:spacing w:after="40"/>
              <w:ind w:right="113"/>
              <w:rPr>
                <w:i/>
                <w:sz w:val="19"/>
              </w:rPr>
            </w:pPr>
            <w:r>
              <w:rPr>
                <w:i/>
                <w:sz w:val="19"/>
              </w:rPr>
              <w:t xml:space="preserve">Environmental Protection (Controlled Waste) Regulations 2001 </w:t>
            </w:r>
            <w:r>
              <w:rPr>
                <w:sz w:val="19"/>
              </w:rPr>
              <w:t>r. 55</w:t>
            </w:r>
          </w:p>
        </w:tc>
        <w:tc>
          <w:tcPr>
            <w:tcW w:w="1276" w:type="dxa"/>
          </w:tcPr>
          <w:p>
            <w:pPr>
              <w:pStyle w:val="nTable"/>
              <w:spacing w:after="40"/>
              <w:rPr>
                <w:sz w:val="19"/>
              </w:rPr>
            </w:pPr>
            <w:r>
              <w:rPr>
                <w:sz w:val="19"/>
              </w:rPr>
              <w:t>30 Mar 2001 p. 1831</w:t>
            </w:r>
            <w:r>
              <w:rPr>
                <w:sz w:val="19"/>
              </w:rPr>
              <w:noBreakHyphen/>
              <w:t>79</w:t>
            </w:r>
          </w:p>
        </w:tc>
        <w:tc>
          <w:tcPr>
            <w:tcW w:w="2693" w:type="dxa"/>
          </w:tcPr>
          <w:p>
            <w:pPr>
              <w:pStyle w:val="nTable"/>
              <w:spacing w:after="40"/>
              <w:rPr>
                <w:sz w:val="19"/>
              </w:rPr>
            </w:pPr>
            <w:r>
              <w:rPr>
                <w:sz w:val="19"/>
              </w:rPr>
              <w:t>1 Apr 2001 (see r. 2)</w:t>
            </w:r>
          </w:p>
        </w:tc>
      </w:tr>
      <w:tr>
        <w:trPr>
          <w:cantSplit/>
        </w:trPr>
        <w:tc>
          <w:tcPr>
            <w:tcW w:w="3118" w:type="dxa"/>
          </w:tcPr>
          <w:p>
            <w:pPr>
              <w:pStyle w:val="nTable"/>
              <w:spacing w:after="40"/>
              <w:ind w:right="113"/>
              <w:rPr>
                <w:i/>
                <w:sz w:val="19"/>
              </w:rPr>
            </w:pPr>
            <w:r>
              <w:rPr>
                <w:i/>
                <w:sz w:val="19"/>
              </w:rPr>
              <w:t>Environmental Protection Amendment Regulations 2001</w:t>
            </w:r>
          </w:p>
        </w:tc>
        <w:tc>
          <w:tcPr>
            <w:tcW w:w="1276" w:type="dxa"/>
          </w:tcPr>
          <w:p>
            <w:pPr>
              <w:pStyle w:val="nTable"/>
              <w:spacing w:after="40"/>
              <w:rPr>
                <w:sz w:val="19"/>
              </w:rPr>
            </w:pPr>
            <w:r>
              <w:rPr>
                <w:sz w:val="19"/>
              </w:rPr>
              <w:t>12 Apr 2001 p. 2097</w:t>
            </w:r>
            <w:r>
              <w:rPr>
                <w:sz w:val="19"/>
              </w:rPr>
              <w:noBreakHyphen/>
              <w:t>8</w:t>
            </w:r>
          </w:p>
        </w:tc>
        <w:tc>
          <w:tcPr>
            <w:tcW w:w="2693" w:type="dxa"/>
          </w:tcPr>
          <w:p>
            <w:pPr>
              <w:pStyle w:val="nTable"/>
              <w:spacing w:after="40"/>
              <w:rPr>
                <w:sz w:val="19"/>
              </w:rPr>
            </w:pPr>
            <w:r>
              <w:rPr>
                <w:sz w:val="19"/>
              </w:rPr>
              <w:t>12 Apr 2001</w:t>
            </w:r>
          </w:p>
        </w:tc>
      </w:tr>
      <w:tr>
        <w:trPr>
          <w:cantSplit/>
        </w:trPr>
        <w:tc>
          <w:tcPr>
            <w:tcW w:w="3118" w:type="dxa"/>
          </w:tcPr>
          <w:p>
            <w:pPr>
              <w:pStyle w:val="nTable"/>
              <w:spacing w:after="40"/>
              <w:ind w:right="113"/>
              <w:rPr>
                <w:i/>
                <w:sz w:val="19"/>
              </w:rPr>
            </w:pPr>
            <w:r>
              <w:rPr>
                <w:i/>
                <w:sz w:val="19"/>
              </w:rPr>
              <w:t xml:space="preserve">Environmental Protection (Metal Coating) Regulations 2001 </w:t>
            </w:r>
            <w:r>
              <w:rPr>
                <w:sz w:val="19"/>
              </w:rPr>
              <w:t>r. 14</w:t>
            </w:r>
          </w:p>
        </w:tc>
        <w:tc>
          <w:tcPr>
            <w:tcW w:w="1276" w:type="dxa"/>
          </w:tcPr>
          <w:p>
            <w:pPr>
              <w:pStyle w:val="nTable"/>
              <w:spacing w:after="40"/>
              <w:rPr>
                <w:sz w:val="19"/>
              </w:rPr>
            </w:pPr>
            <w:r>
              <w:rPr>
                <w:sz w:val="19"/>
              </w:rPr>
              <w:t>30 Nov 2001 p. 6068</w:t>
            </w:r>
            <w:r>
              <w:rPr>
                <w:sz w:val="19"/>
              </w:rPr>
              <w:noBreakHyphen/>
              <w:t>71</w:t>
            </w:r>
          </w:p>
        </w:tc>
        <w:tc>
          <w:tcPr>
            <w:tcW w:w="2693" w:type="dxa"/>
          </w:tcPr>
          <w:p>
            <w:pPr>
              <w:pStyle w:val="nTable"/>
              <w:spacing w:after="40"/>
              <w:rPr>
                <w:sz w:val="19"/>
              </w:rPr>
            </w:pPr>
            <w:r>
              <w:rPr>
                <w:sz w:val="19"/>
              </w:rPr>
              <w:t>30 Nov 2001</w:t>
            </w:r>
          </w:p>
        </w:tc>
      </w:tr>
      <w:tr>
        <w:trPr>
          <w:cantSplit/>
        </w:trPr>
        <w:tc>
          <w:tcPr>
            <w:tcW w:w="3118" w:type="dxa"/>
          </w:tcPr>
          <w:p>
            <w:pPr>
              <w:pStyle w:val="nTable"/>
              <w:spacing w:after="40"/>
              <w:ind w:right="113"/>
              <w:rPr>
                <w:i/>
                <w:sz w:val="19"/>
              </w:rPr>
            </w:pPr>
            <w:r>
              <w:rPr>
                <w:i/>
                <w:sz w:val="19"/>
              </w:rPr>
              <w:t>Environmental Protection Amendment Regulations 2002</w:t>
            </w:r>
          </w:p>
        </w:tc>
        <w:tc>
          <w:tcPr>
            <w:tcW w:w="1276" w:type="dxa"/>
          </w:tcPr>
          <w:p>
            <w:pPr>
              <w:pStyle w:val="nTable"/>
              <w:spacing w:after="40"/>
              <w:rPr>
                <w:sz w:val="19"/>
              </w:rPr>
            </w:pPr>
            <w:r>
              <w:rPr>
                <w:sz w:val="19"/>
              </w:rPr>
              <w:t>14 Jun 2002 p. 2293</w:t>
            </w:r>
            <w:r>
              <w:rPr>
                <w:sz w:val="19"/>
              </w:rPr>
              <w:noBreakHyphen/>
              <w:t>5</w:t>
            </w:r>
          </w:p>
        </w:tc>
        <w:tc>
          <w:tcPr>
            <w:tcW w:w="2693" w:type="dxa"/>
          </w:tcPr>
          <w:p>
            <w:pPr>
              <w:pStyle w:val="nTable"/>
              <w:spacing w:after="40"/>
              <w:rPr>
                <w:sz w:val="19"/>
              </w:rPr>
            </w:pPr>
            <w:r>
              <w:rPr>
                <w:sz w:val="19"/>
              </w:rPr>
              <w:t xml:space="preserve">1 Jul 2002 (see r. 2 and </w:t>
            </w:r>
            <w:r>
              <w:rPr>
                <w:i/>
                <w:sz w:val="19"/>
              </w:rPr>
              <w:t xml:space="preserve">Gazette </w:t>
            </w:r>
            <w:r>
              <w:rPr>
                <w:sz w:val="19"/>
              </w:rPr>
              <w:t>14 Jun 2002 p. 2781)</w:t>
            </w:r>
          </w:p>
        </w:tc>
      </w:tr>
      <w:tr>
        <w:trPr>
          <w:cantSplit/>
        </w:trPr>
        <w:tc>
          <w:tcPr>
            <w:tcW w:w="7087" w:type="dxa"/>
            <w:gridSpan w:val="3"/>
          </w:tcPr>
          <w:p>
            <w:pPr>
              <w:pStyle w:val="nTable"/>
              <w:spacing w:after="40"/>
              <w:rPr>
                <w:sz w:val="19"/>
              </w:rPr>
            </w:pPr>
            <w:r>
              <w:rPr>
                <w:b/>
                <w:sz w:val="19"/>
              </w:rPr>
              <w:t xml:space="preserve">Reprint of the </w:t>
            </w:r>
            <w:r>
              <w:rPr>
                <w:b/>
                <w:i/>
                <w:noProof/>
                <w:snapToGrid w:val="0"/>
                <w:sz w:val="19"/>
              </w:rPr>
              <w:t>Environmental Protection Regulations 1987</w:t>
            </w:r>
            <w:r>
              <w:rPr>
                <w:i/>
                <w:noProof/>
                <w:snapToGrid w:val="0"/>
                <w:sz w:val="19"/>
              </w:rPr>
              <w:t xml:space="preserve"> </w:t>
            </w:r>
            <w:r>
              <w:rPr>
                <w:b/>
                <w:sz w:val="19"/>
              </w:rPr>
              <w:t xml:space="preserve">as at 29 Nov 2002 </w:t>
            </w:r>
            <w:r>
              <w:rPr>
                <w:b/>
                <w:sz w:val="19"/>
              </w:rPr>
              <w:br/>
            </w:r>
            <w:r>
              <w:rPr>
                <w:sz w:val="19"/>
              </w:rPr>
              <w:t>(includes amendments listed above)</w:t>
            </w:r>
          </w:p>
        </w:tc>
      </w:tr>
      <w:tr>
        <w:trPr>
          <w:cantSplit/>
        </w:trPr>
        <w:tc>
          <w:tcPr>
            <w:tcW w:w="3118" w:type="dxa"/>
          </w:tcPr>
          <w:p>
            <w:pPr>
              <w:pStyle w:val="nTable"/>
              <w:spacing w:after="40"/>
              <w:ind w:right="113"/>
              <w:rPr>
                <w:i/>
                <w:sz w:val="19"/>
              </w:rPr>
            </w:pPr>
            <w:r>
              <w:rPr>
                <w:i/>
                <w:sz w:val="19"/>
              </w:rPr>
              <w:t>Environmental Protection Amendment Regulations (No. 3) 2001</w:t>
            </w:r>
          </w:p>
        </w:tc>
        <w:tc>
          <w:tcPr>
            <w:tcW w:w="1276" w:type="dxa"/>
          </w:tcPr>
          <w:p>
            <w:pPr>
              <w:pStyle w:val="nTable"/>
              <w:spacing w:after="40"/>
              <w:rPr>
                <w:sz w:val="19"/>
              </w:rPr>
            </w:pPr>
            <w:r>
              <w:rPr>
                <w:sz w:val="19"/>
              </w:rPr>
              <w:t>20 Dec 2002 p. 6019</w:t>
            </w:r>
            <w:r>
              <w:rPr>
                <w:sz w:val="19"/>
              </w:rPr>
              <w:noBreakHyphen/>
              <w:t>20</w:t>
            </w:r>
          </w:p>
        </w:tc>
        <w:tc>
          <w:tcPr>
            <w:tcW w:w="2693" w:type="dxa"/>
          </w:tcPr>
          <w:p>
            <w:pPr>
              <w:pStyle w:val="nTable"/>
              <w:spacing w:after="40"/>
              <w:rPr>
                <w:sz w:val="19"/>
              </w:rPr>
            </w:pPr>
            <w:r>
              <w:rPr>
                <w:sz w:val="19"/>
              </w:rPr>
              <w:t xml:space="preserve">20 Dec 2002 </w:t>
            </w:r>
          </w:p>
        </w:tc>
      </w:tr>
      <w:tr>
        <w:trPr>
          <w:cantSplit/>
        </w:trPr>
        <w:tc>
          <w:tcPr>
            <w:tcW w:w="3118" w:type="dxa"/>
          </w:tcPr>
          <w:p>
            <w:pPr>
              <w:pStyle w:val="nTable"/>
              <w:spacing w:after="40"/>
              <w:ind w:right="113"/>
              <w:rPr>
                <w:sz w:val="19"/>
              </w:rPr>
            </w:pPr>
            <w:r>
              <w:rPr>
                <w:i/>
                <w:sz w:val="19"/>
              </w:rPr>
              <w:t>Environmental Protection (NEPM </w:t>
            </w:r>
            <w:r>
              <w:rPr>
                <w:i/>
                <w:sz w:val="19"/>
              </w:rPr>
              <w:noBreakHyphen/>
              <w:t> UPM) Regulations 2003</w:t>
            </w:r>
            <w:r>
              <w:rPr>
                <w:sz w:val="19"/>
              </w:rPr>
              <w:t xml:space="preserve"> Pt. 6</w:t>
            </w:r>
          </w:p>
        </w:tc>
        <w:tc>
          <w:tcPr>
            <w:tcW w:w="1276" w:type="dxa"/>
          </w:tcPr>
          <w:p>
            <w:pPr>
              <w:pStyle w:val="nTable"/>
              <w:spacing w:after="40"/>
              <w:rPr>
                <w:sz w:val="19"/>
              </w:rPr>
            </w:pPr>
            <w:r>
              <w:rPr>
                <w:sz w:val="19"/>
              </w:rPr>
              <w:t>23 Jul 2003 p. 3157</w:t>
            </w:r>
            <w:r>
              <w:rPr>
                <w:sz w:val="19"/>
              </w:rPr>
              <w:noBreakHyphen/>
              <w:t>73</w:t>
            </w:r>
          </w:p>
        </w:tc>
        <w:tc>
          <w:tcPr>
            <w:tcW w:w="2693" w:type="dxa"/>
          </w:tcPr>
          <w:p>
            <w:pPr>
              <w:pStyle w:val="nTable"/>
              <w:spacing w:after="40"/>
              <w:rPr>
                <w:sz w:val="19"/>
              </w:rPr>
            </w:pPr>
            <w:r>
              <w:rPr>
                <w:sz w:val="19"/>
              </w:rPr>
              <w:t>23 Jul 2003</w:t>
            </w:r>
          </w:p>
        </w:tc>
      </w:tr>
      <w:tr>
        <w:trPr>
          <w:cantSplit/>
        </w:trPr>
        <w:tc>
          <w:tcPr>
            <w:tcW w:w="3118" w:type="dxa"/>
          </w:tcPr>
          <w:p>
            <w:pPr>
              <w:pStyle w:val="nTable"/>
              <w:spacing w:after="40"/>
              <w:ind w:right="113"/>
              <w:rPr>
                <w:i/>
                <w:sz w:val="19"/>
              </w:rPr>
            </w:pPr>
            <w:r>
              <w:rPr>
                <w:i/>
                <w:sz w:val="19"/>
              </w:rPr>
              <w:t>Environmental Protection Amendment Regulations 2003</w:t>
            </w:r>
          </w:p>
        </w:tc>
        <w:tc>
          <w:tcPr>
            <w:tcW w:w="1276" w:type="dxa"/>
          </w:tcPr>
          <w:p>
            <w:pPr>
              <w:pStyle w:val="nTable"/>
              <w:spacing w:after="40"/>
              <w:rPr>
                <w:sz w:val="19"/>
              </w:rPr>
            </w:pPr>
            <w:r>
              <w:rPr>
                <w:sz w:val="19"/>
              </w:rPr>
              <w:t>9 Sep 2003 p. 4052</w:t>
            </w:r>
            <w:r>
              <w:rPr>
                <w:sz w:val="19"/>
              </w:rPr>
              <w:noBreakHyphen/>
              <w:t>6</w:t>
            </w:r>
          </w:p>
        </w:tc>
        <w:tc>
          <w:tcPr>
            <w:tcW w:w="2693" w:type="dxa"/>
          </w:tcPr>
          <w:p>
            <w:pPr>
              <w:pStyle w:val="nTable"/>
              <w:spacing w:after="40"/>
              <w:rPr>
                <w:sz w:val="19"/>
              </w:rPr>
            </w:pPr>
            <w:r>
              <w:rPr>
                <w:sz w:val="19"/>
              </w:rPr>
              <w:t>9 Sep 2003</w:t>
            </w:r>
          </w:p>
        </w:tc>
      </w:tr>
      <w:tr>
        <w:trPr>
          <w:cantSplit/>
        </w:trPr>
        <w:tc>
          <w:tcPr>
            <w:tcW w:w="3118" w:type="dxa"/>
          </w:tcPr>
          <w:p>
            <w:pPr>
              <w:pStyle w:val="nTable"/>
              <w:spacing w:after="40"/>
              <w:ind w:right="113"/>
              <w:rPr>
                <w:sz w:val="19"/>
              </w:rPr>
            </w:pPr>
            <w:r>
              <w:rPr>
                <w:i/>
                <w:sz w:val="19"/>
              </w:rPr>
              <w:t>Environmental Protection (Unauthorised Discharges) Regulations 2004</w:t>
            </w:r>
            <w:r>
              <w:rPr>
                <w:sz w:val="19"/>
              </w:rPr>
              <w:t xml:space="preserve"> r. 6</w:t>
            </w:r>
          </w:p>
        </w:tc>
        <w:tc>
          <w:tcPr>
            <w:tcW w:w="1276" w:type="dxa"/>
          </w:tcPr>
          <w:p>
            <w:pPr>
              <w:pStyle w:val="nTable"/>
              <w:spacing w:after="40"/>
              <w:rPr>
                <w:sz w:val="19"/>
              </w:rPr>
            </w:pPr>
            <w:r>
              <w:rPr>
                <w:sz w:val="19"/>
              </w:rPr>
              <w:t>12 Mar 2004 p. 747</w:t>
            </w:r>
            <w:r>
              <w:rPr>
                <w:sz w:val="19"/>
              </w:rPr>
              <w:noBreakHyphen/>
              <w:t>50</w:t>
            </w:r>
          </w:p>
        </w:tc>
        <w:tc>
          <w:tcPr>
            <w:tcW w:w="2693" w:type="dxa"/>
          </w:tcPr>
          <w:p>
            <w:pPr>
              <w:pStyle w:val="nTable"/>
              <w:spacing w:after="40"/>
              <w:rPr>
                <w:sz w:val="19"/>
              </w:rPr>
            </w:pPr>
            <w:r>
              <w:rPr>
                <w:sz w:val="19"/>
              </w:rPr>
              <w:t>12 Mar 2004</w:t>
            </w:r>
          </w:p>
        </w:tc>
      </w:tr>
      <w:tr>
        <w:trPr>
          <w:cantSplit/>
        </w:trPr>
        <w:tc>
          <w:tcPr>
            <w:tcW w:w="3118" w:type="dxa"/>
          </w:tcPr>
          <w:p>
            <w:pPr>
              <w:pStyle w:val="nTable"/>
              <w:spacing w:after="40"/>
              <w:ind w:right="113"/>
              <w:rPr>
                <w:i/>
                <w:sz w:val="19"/>
              </w:rPr>
            </w:pPr>
            <w:r>
              <w:rPr>
                <w:i/>
                <w:sz w:val="19"/>
              </w:rPr>
              <w:t>Environmental Protection Amendment Regulations 2004</w:t>
            </w:r>
          </w:p>
        </w:tc>
        <w:tc>
          <w:tcPr>
            <w:tcW w:w="1276" w:type="dxa"/>
          </w:tcPr>
          <w:p>
            <w:pPr>
              <w:pStyle w:val="nTable"/>
              <w:spacing w:after="40"/>
              <w:rPr>
                <w:sz w:val="19"/>
              </w:rPr>
            </w:pPr>
            <w:r>
              <w:rPr>
                <w:sz w:val="19"/>
              </w:rPr>
              <w:t>22 Jun 2004 p. 2143</w:t>
            </w:r>
            <w:r>
              <w:rPr>
                <w:sz w:val="19"/>
              </w:rPr>
              <w:noBreakHyphen/>
              <w:t>50</w:t>
            </w:r>
          </w:p>
        </w:tc>
        <w:tc>
          <w:tcPr>
            <w:tcW w:w="2693" w:type="dxa"/>
          </w:tcPr>
          <w:p>
            <w:pPr>
              <w:pStyle w:val="nTable"/>
              <w:spacing w:after="40"/>
              <w:rPr>
                <w:sz w:val="19"/>
              </w:rPr>
            </w:pPr>
            <w:r>
              <w:rPr>
                <w:sz w:val="19"/>
              </w:rPr>
              <w:t>22 Jun 2004</w:t>
            </w:r>
          </w:p>
        </w:tc>
      </w:tr>
      <w:tr>
        <w:trPr>
          <w:cantSplit/>
        </w:trPr>
        <w:tc>
          <w:tcPr>
            <w:tcW w:w="3118" w:type="dxa"/>
          </w:tcPr>
          <w:p>
            <w:pPr>
              <w:pStyle w:val="nTable"/>
              <w:spacing w:after="40"/>
              <w:ind w:right="113"/>
              <w:rPr>
                <w:sz w:val="19"/>
              </w:rPr>
            </w:pPr>
            <w:r>
              <w:rPr>
                <w:i/>
                <w:sz w:val="19"/>
              </w:rPr>
              <w:t>Environmental Protection (Controlled Waste) Regulations 2004</w:t>
            </w:r>
            <w:r>
              <w:rPr>
                <w:sz w:val="19"/>
              </w:rPr>
              <w:t xml:space="preserve"> r. 57</w:t>
            </w:r>
          </w:p>
        </w:tc>
        <w:tc>
          <w:tcPr>
            <w:tcW w:w="1276" w:type="dxa"/>
          </w:tcPr>
          <w:p>
            <w:pPr>
              <w:pStyle w:val="nTable"/>
              <w:spacing w:after="40"/>
              <w:rPr>
                <w:sz w:val="19"/>
              </w:rPr>
            </w:pPr>
            <w:r>
              <w:rPr>
                <w:sz w:val="19"/>
              </w:rPr>
              <w:t>1 Jul 2004 p. 2627</w:t>
            </w:r>
            <w:r>
              <w:rPr>
                <w:sz w:val="19"/>
              </w:rPr>
              <w:noBreakHyphen/>
              <w:t>73</w:t>
            </w:r>
          </w:p>
        </w:tc>
        <w:tc>
          <w:tcPr>
            <w:tcW w:w="2693" w:type="dxa"/>
          </w:tcPr>
          <w:p>
            <w:pPr>
              <w:pStyle w:val="nTable"/>
              <w:spacing w:after="40"/>
              <w:rPr>
                <w:sz w:val="19"/>
              </w:rPr>
            </w:pPr>
            <w:r>
              <w:rPr>
                <w:sz w:val="19"/>
              </w:rPr>
              <w:t>1 Jul 2004</w:t>
            </w:r>
          </w:p>
        </w:tc>
      </w:tr>
      <w:tr>
        <w:trPr>
          <w:cantSplit/>
        </w:trPr>
        <w:tc>
          <w:tcPr>
            <w:tcW w:w="3118" w:type="dxa"/>
          </w:tcPr>
          <w:p>
            <w:pPr>
              <w:pStyle w:val="nTable"/>
              <w:spacing w:after="40"/>
              <w:ind w:right="113"/>
              <w:rPr>
                <w:i/>
                <w:sz w:val="19"/>
              </w:rPr>
            </w:pPr>
            <w:r>
              <w:rPr>
                <w:i/>
                <w:sz w:val="19"/>
              </w:rPr>
              <w:t>Environmental Protection Amendment Regulations (No. 3) 2004</w:t>
            </w:r>
          </w:p>
        </w:tc>
        <w:tc>
          <w:tcPr>
            <w:tcW w:w="1276" w:type="dxa"/>
          </w:tcPr>
          <w:p>
            <w:pPr>
              <w:pStyle w:val="nTable"/>
              <w:spacing w:after="40"/>
              <w:rPr>
                <w:sz w:val="19"/>
              </w:rPr>
            </w:pPr>
            <w:r>
              <w:rPr>
                <w:sz w:val="19"/>
              </w:rPr>
              <w:t>12 Oct 2004 p. 4754</w:t>
            </w:r>
            <w:r>
              <w:rPr>
                <w:sz w:val="19"/>
              </w:rPr>
              <w:noBreakHyphen/>
              <w:t>5</w:t>
            </w:r>
          </w:p>
        </w:tc>
        <w:tc>
          <w:tcPr>
            <w:tcW w:w="2693" w:type="dxa"/>
          </w:tcPr>
          <w:p>
            <w:pPr>
              <w:pStyle w:val="nTable"/>
              <w:spacing w:after="40"/>
              <w:rPr>
                <w:sz w:val="19"/>
              </w:rPr>
            </w:pPr>
            <w:r>
              <w:rPr>
                <w:sz w:val="19"/>
              </w:rPr>
              <w:t>12 Oct 2004</w:t>
            </w:r>
          </w:p>
        </w:tc>
      </w:tr>
      <w:tr>
        <w:trPr>
          <w:cantSplit/>
        </w:trPr>
        <w:tc>
          <w:tcPr>
            <w:tcW w:w="3118" w:type="dxa"/>
          </w:tcPr>
          <w:p>
            <w:pPr>
              <w:pStyle w:val="nTable"/>
              <w:spacing w:after="40"/>
              <w:ind w:right="113"/>
              <w:rPr>
                <w:i/>
                <w:sz w:val="19"/>
              </w:rPr>
            </w:pPr>
            <w:r>
              <w:rPr>
                <w:i/>
                <w:sz w:val="19"/>
              </w:rPr>
              <w:t>Environmental Protection Amendment Regulations (No. 2) 2004</w:t>
            </w:r>
          </w:p>
        </w:tc>
        <w:tc>
          <w:tcPr>
            <w:tcW w:w="1276" w:type="dxa"/>
          </w:tcPr>
          <w:p>
            <w:pPr>
              <w:pStyle w:val="nTable"/>
              <w:spacing w:after="40"/>
              <w:rPr>
                <w:sz w:val="19"/>
              </w:rPr>
            </w:pPr>
            <w:r>
              <w:rPr>
                <w:sz w:val="19"/>
              </w:rPr>
              <w:t>23 Nov 2004 p. 5222</w:t>
            </w:r>
            <w:r>
              <w:rPr>
                <w:sz w:val="19"/>
              </w:rPr>
              <w:noBreakHyphen/>
              <w:t>3</w:t>
            </w:r>
          </w:p>
        </w:tc>
        <w:tc>
          <w:tcPr>
            <w:tcW w:w="2693" w:type="dxa"/>
          </w:tcPr>
          <w:p>
            <w:pPr>
              <w:pStyle w:val="nTable"/>
              <w:spacing w:after="40"/>
              <w:rPr>
                <w:sz w:val="19"/>
              </w:rPr>
            </w:pPr>
            <w:r>
              <w:rPr>
                <w:sz w:val="19"/>
              </w:rPr>
              <w:t>23 Nov 2004</w:t>
            </w:r>
          </w:p>
        </w:tc>
      </w:tr>
      <w:tr>
        <w:trPr>
          <w:cantSplit/>
        </w:trPr>
        <w:tc>
          <w:tcPr>
            <w:tcW w:w="7087" w:type="dxa"/>
            <w:gridSpan w:val="3"/>
          </w:tcPr>
          <w:p>
            <w:pPr>
              <w:pStyle w:val="nTable"/>
              <w:spacing w:after="40"/>
              <w:rPr>
                <w:sz w:val="19"/>
              </w:rPr>
            </w:pPr>
            <w:r>
              <w:rPr>
                <w:b/>
                <w:sz w:val="19"/>
              </w:rPr>
              <w:t xml:space="preserve">Reprint 5: The </w:t>
            </w:r>
            <w:r>
              <w:rPr>
                <w:b/>
                <w:i/>
                <w:noProof/>
                <w:snapToGrid w:val="0"/>
                <w:sz w:val="19"/>
              </w:rPr>
              <w:t>Environmental Protection Regulations 1987</w:t>
            </w:r>
            <w:r>
              <w:rPr>
                <w:i/>
                <w:noProof/>
                <w:snapToGrid w:val="0"/>
                <w:sz w:val="19"/>
              </w:rPr>
              <w:t xml:space="preserve"> </w:t>
            </w:r>
            <w:r>
              <w:rPr>
                <w:b/>
                <w:sz w:val="19"/>
              </w:rPr>
              <w:t xml:space="preserve">as at 11 Mar 2005 </w:t>
            </w:r>
            <w:r>
              <w:rPr>
                <w:b/>
                <w:sz w:val="19"/>
              </w:rPr>
              <w:br/>
            </w:r>
            <w:r>
              <w:rPr>
                <w:sz w:val="19"/>
              </w:rPr>
              <w:t>(includes amendments listed above)</w:t>
            </w:r>
          </w:p>
        </w:tc>
      </w:tr>
      <w:tr>
        <w:trPr>
          <w:cantSplit/>
        </w:trPr>
        <w:tc>
          <w:tcPr>
            <w:tcW w:w="3118" w:type="dxa"/>
          </w:tcPr>
          <w:p>
            <w:pPr>
              <w:pStyle w:val="nTable"/>
              <w:spacing w:after="40"/>
              <w:ind w:right="113"/>
              <w:rPr>
                <w:i/>
                <w:sz w:val="19"/>
              </w:rPr>
            </w:pPr>
            <w:r>
              <w:rPr>
                <w:i/>
                <w:sz w:val="19"/>
              </w:rPr>
              <w:t>Environmental Protection Amendment Regulations 2005</w:t>
            </w:r>
          </w:p>
        </w:tc>
        <w:tc>
          <w:tcPr>
            <w:tcW w:w="1276" w:type="dxa"/>
          </w:tcPr>
          <w:p>
            <w:pPr>
              <w:pStyle w:val="nTable"/>
              <w:spacing w:after="40"/>
              <w:rPr>
                <w:sz w:val="19"/>
              </w:rPr>
            </w:pPr>
            <w:r>
              <w:rPr>
                <w:sz w:val="19"/>
              </w:rPr>
              <w:t>13 Dec 2005 p. 5982-4</w:t>
            </w:r>
          </w:p>
        </w:tc>
        <w:tc>
          <w:tcPr>
            <w:tcW w:w="2693" w:type="dxa"/>
          </w:tcPr>
          <w:p>
            <w:pPr>
              <w:pStyle w:val="nTable"/>
              <w:spacing w:after="40"/>
              <w:rPr>
                <w:sz w:val="19"/>
              </w:rPr>
            </w:pPr>
            <w:r>
              <w:rPr>
                <w:sz w:val="19"/>
              </w:rPr>
              <w:t>13 Dec 2005</w:t>
            </w:r>
          </w:p>
        </w:tc>
      </w:tr>
      <w:tr>
        <w:trPr>
          <w:cantSplit/>
        </w:trPr>
        <w:tc>
          <w:tcPr>
            <w:tcW w:w="3118" w:type="dxa"/>
          </w:tcPr>
          <w:p>
            <w:pPr>
              <w:pStyle w:val="nTable"/>
              <w:spacing w:after="40"/>
              <w:ind w:right="113"/>
              <w:rPr>
                <w:i/>
                <w:sz w:val="19"/>
              </w:rPr>
            </w:pPr>
            <w:r>
              <w:rPr>
                <w:i/>
                <w:sz w:val="19"/>
              </w:rPr>
              <w:t>Environmental Protection Amendment Regulations 2006</w:t>
            </w:r>
          </w:p>
        </w:tc>
        <w:tc>
          <w:tcPr>
            <w:tcW w:w="1276" w:type="dxa"/>
          </w:tcPr>
          <w:p>
            <w:pPr>
              <w:pStyle w:val="nTable"/>
              <w:spacing w:after="40"/>
              <w:rPr>
                <w:sz w:val="19"/>
              </w:rPr>
            </w:pPr>
            <w:r>
              <w:rPr>
                <w:sz w:val="19"/>
              </w:rPr>
              <w:t>29 Sep 2006 p. 4260-7</w:t>
            </w:r>
          </w:p>
        </w:tc>
        <w:tc>
          <w:tcPr>
            <w:tcW w:w="2693" w:type="dxa"/>
          </w:tcPr>
          <w:p>
            <w:pPr>
              <w:pStyle w:val="nTable"/>
              <w:spacing w:after="40"/>
              <w:rPr>
                <w:sz w:val="19"/>
              </w:rPr>
            </w:pPr>
            <w:r>
              <w:rPr>
                <w:sz w:val="19"/>
              </w:rPr>
              <w:t>1 Oct 2006 (see r. 2)</w:t>
            </w:r>
          </w:p>
        </w:tc>
      </w:tr>
      <w:tr>
        <w:trPr>
          <w:cantSplit/>
        </w:trPr>
        <w:tc>
          <w:tcPr>
            <w:tcW w:w="3118" w:type="dxa"/>
          </w:tcPr>
          <w:p>
            <w:pPr>
              <w:pStyle w:val="nTable"/>
              <w:spacing w:after="40"/>
              <w:ind w:right="113"/>
              <w:rPr>
                <w:iCs/>
                <w:sz w:val="19"/>
              </w:rPr>
            </w:pPr>
            <w:r>
              <w:rPr>
                <w:i/>
                <w:sz w:val="19"/>
              </w:rPr>
              <w:t>Environmental Protection (NEPM</w:t>
            </w:r>
            <w:r>
              <w:rPr>
                <w:i/>
                <w:sz w:val="19"/>
              </w:rPr>
              <w:noBreakHyphen/>
              <w:t>UPM) Regulations 2007</w:t>
            </w:r>
            <w:r>
              <w:rPr>
                <w:iCs/>
                <w:sz w:val="19"/>
              </w:rPr>
              <w:t xml:space="preserve"> Pt. 6</w:t>
            </w:r>
          </w:p>
        </w:tc>
        <w:tc>
          <w:tcPr>
            <w:tcW w:w="1276" w:type="dxa"/>
          </w:tcPr>
          <w:p>
            <w:pPr>
              <w:pStyle w:val="nTable"/>
              <w:spacing w:after="40"/>
              <w:rPr>
                <w:sz w:val="19"/>
              </w:rPr>
            </w:pPr>
            <w:r>
              <w:rPr>
                <w:sz w:val="19"/>
              </w:rPr>
              <w:t>27 Apr 2007 p. 1793-812</w:t>
            </w:r>
          </w:p>
        </w:tc>
        <w:tc>
          <w:tcPr>
            <w:tcW w:w="2693" w:type="dxa"/>
          </w:tcPr>
          <w:p>
            <w:pPr>
              <w:pStyle w:val="nTable"/>
              <w:spacing w:after="40"/>
              <w:rPr>
                <w:sz w:val="19"/>
              </w:rPr>
            </w:pPr>
            <w:r>
              <w:rPr>
                <w:sz w:val="19"/>
              </w:rPr>
              <w:t>27 Apr 2007</w:t>
            </w:r>
          </w:p>
        </w:tc>
      </w:tr>
      <w:tr>
        <w:trPr>
          <w:cantSplit/>
        </w:trPr>
        <w:tc>
          <w:tcPr>
            <w:tcW w:w="3118" w:type="dxa"/>
          </w:tcPr>
          <w:p>
            <w:pPr>
              <w:pStyle w:val="nTable"/>
              <w:spacing w:after="40"/>
              <w:ind w:right="113"/>
              <w:rPr>
                <w:i/>
                <w:sz w:val="19"/>
              </w:rPr>
            </w:pPr>
            <w:r>
              <w:rPr>
                <w:i/>
                <w:sz w:val="19"/>
              </w:rPr>
              <w:t>Environmental Protection Amendment Regulations 2007</w:t>
            </w:r>
          </w:p>
        </w:tc>
        <w:tc>
          <w:tcPr>
            <w:tcW w:w="1276" w:type="dxa"/>
          </w:tcPr>
          <w:p>
            <w:pPr>
              <w:pStyle w:val="nTable"/>
              <w:spacing w:after="40"/>
              <w:rPr>
                <w:sz w:val="19"/>
              </w:rPr>
            </w:pPr>
            <w:r>
              <w:rPr>
                <w:sz w:val="19"/>
              </w:rPr>
              <w:t>22 Jun 2007 p. 2839</w:t>
            </w:r>
            <w:r>
              <w:rPr>
                <w:sz w:val="19"/>
              </w:rPr>
              <w:noBreakHyphen/>
              <w:t>44</w:t>
            </w:r>
          </w:p>
        </w:tc>
        <w:tc>
          <w:tcPr>
            <w:tcW w:w="2693" w:type="dxa"/>
          </w:tcPr>
          <w:p>
            <w:pPr>
              <w:pStyle w:val="nTable"/>
              <w:spacing w:after="40"/>
              <w:rPr>
                <w:sz w:val="19"/>
              </w:rPr>
            </w:pPr>
            <w:r>
              <w:rPr>
                <w:snapToGrid w:val="0"/>
                <w:sz w:val="19"/>
              </w:rPr>
              <w:t>r. 1 and 2: 22 Jun 2007 (see r. 2(a));</w:t>
            </w:r>
            <w:r>
              <w:rPr>
                <w:snapToGrid w:val="0"/>
                <w:sz w:val="19"/>
              </w:rPr>
              <w:br/>
              <w:t>Regulations other than r. 1 and 2: 1 Jul 2007 (see r. 2(b))</w:t>
            </w:r>
          </w:p>
        </w:tc>
      </w:tr>
      <w:tr>
        <w:trPr>
          <w:cantSplit/>
        </w:trPr>
        <w:tc>
          <w:tcPr>
            <w:tcW w:w="7087" w:type="dxa"/>
            <w:gridSpan w:val="3"/>
          </w:tcPr>
          <w:p>
            <w:pPr>
              <w:pStyle w:val="nTable"/>
              <w:spacing w:after="40"/>
              <w:rPr>
                <w:snapToGrid w:val="0"/>
                <w:sz w:val="19"/>
              </w:rPr>
            </w:pPr>
            <w:r>
              <w:rPr>
                <w:b/>
                <w:sz w:val="19"/>
              </w:rPr>
              <w:t xml:space="preserve">Reprint 6: The </w:t>
            </w:r>
            <w:r>
              <w:rPr>
                <w:b/>
                <w:i/>
                <w:noProof/>
                <w:snapToGrid w:val="0"/>
                <w:sz w:val="19"/>
              </w:rPr>
              <w:t>Environmental Protection Regulations 1987</w:t>
            </w:r>
            <w:r>
              <w:rPr>
                <w:i/>
                <w:noProof/>
                <w:snapToGrid w:val="0"/>
                <w:sz w:val="19"/>
              </w:rPr>
              <w:t xml:space="preserve"> </w:t>
            </w:r>
            <w:r>
              <w:rPr>
                <w:b/>
                <w:sz w:val="19"/>
              </w:rPr>
              <w:t>as at 17 Aug 2007</w:t>
            </w:r>
            <w:r>
              <w:rPr>
                <w:b/>
                <w:sz w:val="19"/>
              </w:rPr>
              <w:br/>
            </w:r>
            <w:r>
              <w:rPr>
                <w:sz w:val="19"/>
              </w:rPr>
              <w:t>(includes amendments listed above)</w:t>
            </w:r>
          </w:p>
        </w:tc>
      </w:tr>
      <w:tr>
        <w:trPr>
          <w:cantSplit/>
        </w:trPr>
        <w:tc>
          <w:tcPr>
            <w:tcW w:w="3118" w:type="dxa"/>
          </w:tcPr>
          <w:p>
            <w:pPr>
              <w:pStyle w:val="nTable"/>
              <w:spacing w:after="40"/>
              <w:ind w:right="113"/>
              <w:rPr>
                <w:i/>
                <w:sz w:val="19"/>
              </w:rPr>
            </w:pPr>
            <w:r>
              <w:rPr>
                <w:i/>
                <w:sz w:val="19"/>
              </w:rPr>
              <w:t>Environmental Protection Amendment Regulations (No. 2) 2007</w:t>
            </w:r>
          </w:p>
        </w:tc>
        <w:tc>
          <w:tcPr>
            <w:tcW w:w="1276" w:type="dxa"/>
          </w:tcPr>
          <w:p>
            <w:pPr>
              <w:pStyle w:val="nTable"/>
              <w:spacing w:after="40"/>
              <w:rPr>
                <w:sz w:val="19"/>
              </w:rPr>
            </w:pPr>
            <w:r>
              <w:rPr>
                <w:sz w:val="19"/>
              </w:rPr>
              <w:t>30 Oct 2007 p. 5877</w:t>
            </w:r>
            <w:r>
              <w:rPr>
                <w:sz w:val="19"/>
              </w:rPr>
              <w:noBreakHyphen/>
              <w:t>8</w:t>
            </w:r>
          </w:p>
        </w:tc>
        <w:tc>
          <w:tcPr>
            <w:tcW w:w="2693" w:type="dxa"/>
          </w:tcPr>
          <w:p>
            <w:pPr>
              <w:pStyle w:val="nTable"/>
              <w:spacing w:after="40"/>
              <w:rPr>
                <w:sz w:val="19"/>
              </w:rPr>
            </w:pPr>
            <w:r>
              <w:rPr>
                <w:sz w:val="19"/>
              </w:rPr>
              <w:t>r. 1 and 2: 30 Oct 2007 (see r. 2(a));</w:t>
            </w:r>
            <w:r>
              <w:rPr>
                <w:sz w:val="19"/>
              </w:rPr>
              <w:br/>
              <w:t>Regulations other than r. 1 and 2: 1 Nov 2007 (see r. 2(b))</w:t>
            </w:r>
          </w:p>
        </w:tc>
      </w:tr>
      <w:tr>
        <w:trPr>
          <w:cantSplit/>
        </w:trPr>
        <w:tc>
          <w:tcPr>
            <w:tcW w:w="3118" w:type="dxa"/>
          </w:tcPr>
          <w:p>
            <w:pPr>
              <w:pStyle w:val="nTable"/>
              <w:spacing w:after="40"/>
              <w:ind w:right="113"/>
              <w:rPr>
                <w:sz w:val="19"/>
              </w:rPr>
            </w:pPr>
            <w:r>
              <w:rPr>
                <w:i/>
                <w:sz w:val="19"/>
              </w:rPr>
              <w:t>Waste Avoidance and Resource Recovery Regulations 2008</w:t>
            </w:r>
            <w:r>
              <w:rPr>
                <w:sz w:val="19"/>
              </w:rPr>
              <w:t xml:space="preserve"> r. 22</w:t>
            </w:r>
          </w:p>
        </w:tc>
        <w:tc>
          <w:tcPr>
            <w:tcW w:w="1276" w:type="dxa"/>
          </w:tcPr>
          <w:p>
            <w:pPr>
              <w:pStyle w:val="nTable"/>
              <w:spacing w:after="40"/>
              <w:rPr>
                <w:sz w:val="19"/>
              </w:rPr>
            </w:pPr>
            <w:r>
              <w:rPr>
                <w:sz w:val="19"/>
              </w:rPr>
              <w:t>20 Jun 2008 p. 2665-84</w:t>
            </w:r>
          </w:p>
        </w:tc>
        <w:tc>
          <w:tcPr>
            <w:tcW w:w="2693" w:type="dxa"/>
          </w:tcPr>
          <w:p>
            <w:pPr>
              <w:pStyle w:val="nTable"/>
              <w:spacing w:after="40"/>
              <w:rPr>
                <w:sz w:val="19"/>
              </w:rPr>
            </w:pPr>
            <w:r>
              <w:rPr>
                <w:sz w:val="19"/>
              </w:rPr>
              <w:t>1 Jul 2008 (see r. 2(b))</w:t>
            </w:r>
          </w:p>
        </w:tc>
      </w:tr>
      <w:tr>
        <w:trPr>
          <w:cantSplit/>
        </w:trPr>
        <w:tc>
          <w:tcPr>
            <w:tcW w:w="3118" w:type="dxa"/>
          </w:tcPr>
          <w:p>
            <w:pPr>
              <w:pStyle w:val="nTable"/>
              <w:spacing w:after="40"/>
              <w:ind w:right="113"/>
              <w:rPr>
                <w:i/>
                <w:sz w:val="19"/>
              </w:rPr>
            </w:pPr>
            <w:r>
              <w:rPr>
                <w:i/>
                <w:sz w:val="19"/>
              </w:rPr>
              <w:t>Environmental Protection Amendment Regulations 2010</w:t>
            </w:r>
          </w:p>
        </w:tc>
        <w:tc>
          <w:tcPr>
            <w:tcW w:w="1276" w:type="dxa"/>
          </w:tcPr>
          <w:p>
            <w:pPr>
              <w:pStyle w:val="nTable"/>
              <w:spacing w:after="40"/>
              <w:rPr>
                <w:sz w:val="19"/>
              </w:rPr>
            </w:pPr>
            <w:r>
              <w:rPr>
                <w:sz w:val="19"/>
              </w:rPr>
              <w:t>23 Jul 2010 p. 3401</w:t>
            </w:r>
          </w:p>
        </w:tc>
        <w:tc>
          <w:tcPr>
            <w:tcW w:w="2693" w:type="dxa"/>
          </w:tcPr>
          <w:p>
            <w:pPr>
              <w:pStyle w:val="nTable"/>
              <w:spacing w:after="40"/>
              <w:rPr>
                <w:sz w:val="19"/>
              </w:rPr>
            </w:pPr>
            <w:r>
              <w:rPr>
                <w:sz w:val="19"/>
              </w:rPr>
              <w:t>r. 1 and 2: 23 Jul 2010 (see r. 2(a));</w:t>
            </w:r>
            <w:r>
              <w:rPr>
                <w:sz w:val="19"/>
              </w:rPr>
              <w:br/>
              <w:t>Regulations other than r. 1 and 2: 24 Jul 2010 (see r. 2(b))</w:t>
            </w:r>
          </w:p>
        </w:tc>
      </w:tr>
      <w:tr>
        <w:trPr>
          <w:cantSplit/>
        </w:trPr>
        <w:tc>
          <w:tcPr>
            <w:tcW w:w="3118" w:type="dxa"/>
          </w:tcPr>
          <w:p>
            <w:pPr>
              <w:pStyle w:val="nTable"/>
              <w:spacing w:after="40"/>
              <w:ind w:right="113"/>
              <w:rPr>
                <w:i/>
                <w:sz w:val="19"/>
              </w:rPr>
            </w:pPr>
            <w:r>
              <w:rPr>
                <w:i/>
                <w:sz w:val="19"/>
              </w:rPr>
              <w:t xml:space="preserve">Environmental Protection (Packaged Fertiliser) Regulations 2010 </w:t>
            </w:r>
            <w:r>
              <w:rPr>
                <w:iCs/>
                <w:sz w:val="19"/>
              </w:rPr>
              <w:t>r. 18</w:t>
            </w:r>
          </w:p>
        </w:tc>
        <w:tc>
          <w:tcPr>
            <w:tcW w:w="1276" w:type="dxa"/>
          </w:tcPr>
          <w:p>
            <w:pPr>
              <w:pStyle w:val="nTable"/>
              <w:spacing w:after="40"/>
              <w:rPr>
                <w:sz w:val="19"/>
              </w:rPr>
            </w:pPr>
            <w:r>
              <w:rPr>
                <w:sz w:val="19"/>
              </w:rPr>
              <w:t>31 Dec 2010 p. 6869</w:t>
            </w:r>
            <w:r>
              <w:rPr>
                <w:sz w:val="19"/>
              </w:rPr>
              <w:noBreakHyphen/>
              <w:t>84</w:t>
            </w:r>
          </w:p>
        </w:tc>
        <w:tc>
          <w:tcPr>
            <w:tcW w:w="2693" w:type="dxa"/>
          </w:tcPr>
          <w:p>
            <w:pPr>
              <w:pStyle w:val="nTable"/>
              <w:spacing w:after="40"/>
              <w:rPr>
                <w:sz w:val="19"/>
              </w:rPr>
            </w:pPr>
            <w:r>
              <w:rPr>
                <w:sz w:val="19"/>
              </w:rPr>
              <w:t>1 Jan 2011 (see r. 2(c))</w:t>
            </w:r>
          </w:p>
        </w:tc>
      </w:tr>
      <w:tr>
        <w:trPr>
          <w:cantSplit/>
        </w:trPr>
        <w:tc>
          <w:tcPr>
            <w:tcW w:w="3118" w:type="dxa"/>
          </w:tcPr>
          <w:p>
            <w:pPr>
              <w:pStyle w:val="nTable"/>
              <w:spacing w:after="40"/>
              <w:ind w:right="113"/>
              <w:rPr>
                <w:i/>
                <w:sz w:val="19"/>
              </w:rPr>
            </w:pPr>
            <w:r>
              <w:rPr>
                <w:i/>
                <w:sz w:val="19"/>
              </w:rPr>
              <w:t>Environmental Protection Amendment Regulations 2012</w:t>
            </w:r>
          </w:p>
        </w:tc>
        <w:tc>
          <w:tcPr>
            <w:tcW w:w="1276" w:type="dxa"/>
          </w:tcPr>
          <w:p>
            <w:pPr>
              <w:pStyle w:val="nTable"/>
              <w:spacing w:after="40"/>
              <w:rPr>
                <w:sz w:val="19"/>
              </w:rPr>
            </w:pPr>
            <w:r>
              <w:rPr>
                <w:sz w:val="19"/>
              </w:rPr>
              <w:t>2 Mar 2012 p. 855</w:t>
            </w:r>
          </w:p>
        </w:tc>
        <w:tc>
          <w:tcPr>
            <w:tcW w:w="2693" w:type="dxa"/>
          </w:tcPr>
          <w:p>
            <w:pPr>
              <w:pStyle w:val="nTable"/>
              <w:spacing w:after="40"/>
              <w:rPr>
                <w:sz w:val="19"/>
              </w:rPr>
            </w:pPr>
            <w:r>
              <w:rPr>
                <w:sz w:val="19"/>
              </w:rPr>
              <w:t>r. 1 and 2: 2 Mar 2012 (see r. 2(a));</w:t>
            </w:r>
            <w:r>
              <w:rPr>
                <w:sz w:val="19"/>
              </w:rPr>
              <w:br/>
              <w:t>Regulations other than r. 1 and 2: 3 Mar 2012 (see r. 2(b))</w:t>
            </w:r>
          </w:p>
        </w:tc>
      </w:tr>
      <w:tr>
        <w:trPr>
          <w:cantSplit/>
        </w:trPr>
        <w:tc>
          <w:tcPr>
            <w:tcW w:w="3118" w:type="dxa"/>
            <w:shd w:val="clear" w:color="auto" w:fill="auto"/>
          </w:tcPr>
          <w:p>
            <w:pPr>
              <w:pStyle w:val="nTable"/>
              <w:spacing w:after="40"/>
              <w:ind w:right="113"/>
              <w:rPr>
                <w:i/>
                <w:sz w:val="19"/>
              </w:rPr>
            </w:pPr>
            <w:r>
              <w:rPr>
                <w:i/>
                <w:sz w:val="19"/>
              </w:rPr>
              <w:t>Environmental Protection Amendment Regulations (No. 2) 2012</w:t>
            </w:r>
          </w:p>
        </w:tc>
        <w:tc>
          <w:tcPr>
            <w:tcW w:w="1276" w:type="dxa"/>
            <w:shd w:val="clear" w:color="auto" w:fill="auto"/>
          </w:tcPr>
          <w:p>
            <w:pPr>
              <w:pStyle w:val="nTable"/>
              <w:spacing w:after="40"/>
              <w:rPr>
                <w:sz w:val="19"/>
              </w:rPr>
            </w:pPr>
            <w:r>
              <w:rPr>
                <w:sz w:val="19"/>
              </w:rPr>
              <w:t>8 May 2012 p. 1892-3</w:t>
            </w:r>
          </w:p>
        </w:tc>
        <w:tc>
          <w:tcPr>
            <w:tcW w:w="2693" w:type="dxa"/>
            <w:shd w:val="clear" w:color="auto" w:fill="auto"/>
          </w:tcPr>
          <w:p>
            <w:pPr>
              <w:pStyle w:val="nTable"/>
              <w:spacing w:after="40"/>
              <w:rPr>
                <w:sz w:val="19"/>
              </w:rPr>
            </w:pPr>
            <w:r>
              <w:rPr>
                <w:sz w:val="19"/>
              </w:rPr>
              <w:t>r. 1 and 2: 8 May 2012 (see r. 2(a));</w:t>
            </w:r>
            <w:r>
              <w:rPr>
                <w:sz w:val="19"/>
              </w:rPr>
              <w:br/>
              <w:t>Regulations other than r. 1 and 2: 9 May 2012 (see r. 2(b))</w:t>
            </w:r>
          </w:p>
        </w:tc>
      </w:tr>
      <w:tr>
        <w:trPr>
          <w:cantSplit/>
        </w:trPr>
        <w:tc>
          <w:tcPr>
            <w:tcW w:w="7087" w:type="dxa"/>
            <w:gridSpan w:val="3"/>
            <w:shd w:val="clear" w:color="auto" w:fill="auto"/>
          </w:tcPr>
          <w:p>
            <w:pPr>
              <w:pStyle w:val="nTable"/>
              <w:spacing w:after="40"/>
              <w:rPr>
                <w:sz w:val="19"/>
              </w:rPr>
            </w:pPr>
            <w:r>
              <w:rPr>
                <w:b/>
                <w:sz w:val="19"/>
              </w:rPr>
              <w:t xml:space="preserve">Reprint 7: The </w:t>
            </w:r>
            <w:r>
              <w:rPr>
                <w:b/>
                <w:i/>
                <w:noProof/>
                <w:snapToGrid w:val="0"/>
                <w:sz w:val="19"/>
              </w:rPr>
              <w:t>Environmental Protection Regulations 1987</w:t>
            </w:r>
            <w:r>
              <w:rPr>
                <w:i/>
                <w:noProof/>
                <w:snapToGrid w:val="0"/>
                <w:sz w:val="19"/>
              </w:rPr>
              <w:t xml:space="preserve"> </w:t>
            </w:r>
            <w:r>
              <w:rPr>
                <w:b/>
                <w:sz w:val="19"/>
              </w:rPr>
              <w:t>as at 21 Sep 2012</w:t>
            </w:r>
            <w:r>
              <w:rPr>
                <w:b/>
                <w:sz w:val="19"/>
              </w:rPr>
              <w:br/>
            </w:r>
            <w:r>
              <w:rPr>
                <w:sz w:val="19"/>
              </w:rPr>
              <w:t>(includes amendments listed above)</w:t>
            </w:r>
          </w:p>
        </w:tc>
      </w:tr>
      <w:tr>
        <w:trPr>
          <w:cantSplit/>
        </w:trPr>
        <w:tc>
          <w:tcPr>
            <w:tcW w:w="3118" w:type="dxa"/>
            <w:shd w:val="clear" w:color="auto" w:fill="auto"/>
          </w:tcPr>
          <w:p>
            <w:pPr>
              <w:pStyle w:val="nTable"/>
              <w:spacing w:after="40"/>
              <w:ind w:right="113"/>
              <w:rPr>
                <w:i/>
                <w:sz w:val="19"/>
              </w:rPr>
            </w:pPr>
            <w:r>
              <w:rPr>
                <w:i/>
                <w:sz w:val="19"/>
              </w:rPr>
              <w:t>Environmental Protection Amendment Regulations (No. 3) 2012</w:t>
            </w:r>
          </w:p>
        </w:tc>
        <w:tc>
          <w:tcPr>
            <w:tcW w:w="1276" w:type="dxa"/>
            <w:shd w:val="clear" w:color="auto" w:fill="auto"/>
          </w:tcPr>
          <w:p>
            <w:pPr>
              <w:pStyle w:val="nTable"/>
              <w:spacing w:after="40"/>
              <w:rPr>
                <w:sz w:val="19"/>
              </w:rPr>
            </w:pPr>
            <w:r>
              <w:rPr>
                <w:sz w:val="19"/>
              </w:rPr>
              <w:t>27 Nov 2012 p. 5737</w:t>
            </w:r>
            <w:r>
              <w:rPr>
                <w:sz w:val="19"/>
              </w:rPr>
              <w:noBreakHyphen/>
              <w:t>8</w:t>
            </w:r>
          </w:p>
        </w:tc>
        <w:tc>
          <w:tcPr>
            <w:tcW w:w="2693" w:type="dxa"/>
            <w:shd w:val="clear" w:color="auto" w:fill="auto"/>
          </w:tcPr>
          <w:p>
            <w:pPr>
              <w:pStyle w:val="nTable"/>
              <w:spacing w:after="40"/>
              <w:rPr>
                <w:sz w:val="19"/>
              </w:rPr>
            </w:pPr>
            <w:r>
              <w:rPr>
                <w:sz w:val="19"/>
              </w:rPr>
              <w:t>r. 1 and 2: 27 Nov 2012 (see r. 2(a));</w:t>
            </w:r>
            <w:r>
              <w:rPr>
                <w:sz w:val="19"/>
              </w:rPr>
              <w:br/>
              <w:t>Regulations other than r. 1 and 2: 28 Nov 2012 (see r. 2(b))</w:t>
            </w:r>
          </w:p>
        </w:tc>
      </w:tr>
      <w:tr>
        <w:trPr>
          <w:cantSplit/>
        </w:trPr>
        <w:tc>
          <w:tcPr>
            <w:tcW w:w="3118" w:type="dxa"/>
            <w:shd w:val="clear" w:color="auto" w:fill="auto"/>
          </w:tcPr>
          <w:p>
            <w:pPr>
              <w:pStyle w:val="nTable"/>
              <w:spacing w:after="40"/>
              <w:ind w:right="113"/>
              <w:rPr>
                <w:i/>
                <w:sz w:val="19"/>
              </w:rPr>
            </w:pPr>
            <w:r>
              <w:rPr>
                <w:i/>
                <w:sz w:val="19"/>
              </w:rPr>
              <w:t>Environmental Protection Amendment Regulations (No. 3) 2013</w:t>
            </w:r>
          </w:p>
        </w:tc>
        <w:tc>
          <w:tcPr>
            <w:tcW w:w="1276" w:type="dxa"/>
            <w:shd w:val="clear" w:color="auto" w:fill="auto"/>
          </w:tcPr>
          <w:p>
            <w:pPr>
              <w:pStyle w:val="nTable"/>
              <w:spacing w:after="40"/>
              <w:rPr>
                <w:sz w:val="19"/>
              </w:rPr>
            </w:pPr>
            <w:r>
              <w:rPr>
                <w:sz w:val="19"/>
              </w:rPr>
              <w:t>18 Jun 2013 p. 2293-5</w:t>
            </w:r>
          </w:p>
        </w:tc>
        <w:tc>
          <w:tcPr>
            <w:tcW w:w="2693" w:type="dxa"/>
            <w:shd w:val="clear" w:color="auto" w:fill="auto"/>
          </w:tcPr>
          <w:p>
            <w:pPr>
              <w:pStyle w:val="nTable"/>
              <w:spacing w:after="40"/>
              <w:rPr>
                <w:i/>
                <w:sz w:val="19"/>
              </w:rPr>
            </w:pPr>
            <w:r>
              <w:rPr>
                <w:sz w:val="19"/>
              </w:rPr>
              <w:t>r. 1 and 2: 18 Jun 2013 (see r. 2(a));</w:t>
            </w:r>
            <w:r>
              <w:rPr>
                <w:sz w:val="19"/>
              </w:rPr>
              <w:br/>
              <w:t>Regulations other than r. 1 and 2: 1 Jul 2013 (see r. 2(b))</w:t>
            </w:r>
          </w:p>
        </w:tc>
      </w:tr>
      <w:tr>
        <w:trPr>
          <w:cantSplit/>
        </w:trPr>
        <w:tc>
          <w:tcPr>
            <w:tcW w:w="3118" w:type="dxa"/>
            <w:shd w:val="clear" w:color="auto" w:fill="auto"/>
          </w:tcPr>
          <w:p>
            <w:pPr>
              <w:pStyle w:val="nTable"/>
              <w:spacing w:after="40"/>
              <w:ind w:right="113"/>
              <w:rPr>
                <w:i/>
                <w:sz w:val="19"/>
              </w:rPr>
            </w:pPr>
            <w:r>
              <w:rPr>
                <w:i/>
                <w:sz w:val="19"/>
              </w:rPr>
              <w:t>Environmental Protection Amendment Regulations 2013</w:t>
            </w:r>
          </w:p>
        </w:tc>
        <w:tc>
          <w:tcPr>
            <w:tcW w:w="1276" w:type="dxa"/>
            <w:shd w:val="clear" w:color="auto" w:fill="auto"/>
          </w:tcPr>
          <w:p>
            <w:pPr>
              <w:pStyle w:val="nTable"/>
              <w:spacing w:after="40"/>
              <w:rPr>
                <w:i/>
                <w:sz w:val="19"/>
              </w:rPr>
            </w:pPr>
            <w:r>
              <w:rPr>
                <w:sz w:val="19"/>
              </w:rPr>
              <w:t>20 Aug 2013 p. 3856</w:t>
            </w:r>
            <w:r>
              <w:rPr>
                <w:sz w:val="19"/>
              </w:rPr>
              <w:noBreakHyphen/>
              <w:t>7</w:t>
            </w:r>
          </w:p>
        </w:tc>
        <w:tc>
          <w:tcPr>
            <w:tcW w:w="2693" w:type="dxa"/>
            <w:shd w:val="clear" w:color="auto" w:fill="auto"/>
          </w:tcPr>
          <w:p>
            <w:pPr>
              <w:pStyle w:val="nTable"/>
              <w:spacing w:after="40"/>
              <w:rPr>
                <w:sz w:val="19"/>
              </w:rPr>
            </w:pPr>
            <w:r>
              <w:rPr>
                <w:snapToGrid w:val="0"/>
                <w:spacing w:val="-2"/>
                <w:sz w:val="19"/>
              </w:rPr>
              <w:t>r. 1 and 2: 20 Aug 2013 (see r. 2(a));</w:t>
            </w:r>
            <w:r>
              <w:rPr>
                <w:snapToGrid w:val="0"/>
                <w:spacing w:val="-2"/>
                <w:sz w:val="19"/>
              </w:rPr>
              <w:br/>
              <w:t xml:space="preserve">r. 6: 21 Aug 2013 (see r. 2(b) and </w:t>
            </w:r>
            <w:r>
              <w:rPr>
                <w:i/>
                <w:snapToGrid w:val="0"/>
                <w:spacing w:val="-2"/>
                <w:sz w:val="19"/>
              </w:rPr>
              <w:t>Gazette</w:t>
            </w:r>
            <w:r>
              <w:rPr>
                <w:snapToGrid w:val="0"/>
                <w:spacing w:val="-2"/>
                <w:sz w:val="19"/>
              </w:rPr>
              <w:t xml:space="preserve"> 20 Aug 2013 p. 3815);</w:t>
            </w:r>
            <w:r>
              <w:rPr>
                <w:snapToGrid w:val="0"/>
                <w:spacing w:val="-2"/>
                <w:sz w:val="19"/>
              </w:rPr>
              <w:br/>
              <w:t>Regulations other than r. 1, 2 and 6: 21 Aug 2013 (see r. 2(c</w:t>
            </w:r>
            <w:r>
              <w:rPr>
                <w:rFonts w:ascii="Times" w:hAnsi="Times"/>
                <w:bCs/>
                <w:snapToGrid w:val="0"/>
                <w:spacing w:val="-2"/>
                <w:sz w:val="19"/>
              </w:rPr>
              <w:t>))</w:t>
            </w:r>
          </w:p>
        </w:tc>
      </w:tr>
      <w:tr>
        <w:trPr>
          <w:cantSplit/>
        </w:trPr>
        <w:tc>
          <w:tcPr>
            <w:tcW w:w="3118" w:type="dxa"/>
            <w:shd w:val="clear" w:color="auto" w:fill="auto"/>
          </w:tcPr>
          <w:p>
            <w:pPr>
              <w:pStyle w:val="nTable"/>
              <w:spacing w:after="40"/>
              <w:ind w:right="113"/>
              <w:rPr>
                <w:i/>
                <w:sz w:val="19"/>
              </w:rPr>
            </w:pPr>
            <w:r>
              <w:rPr>
                <w:i/>
                <w:sz w:val="19"/>
              </w:rPr>
              <w:t>Environmental Protection Amendment Regulations (No. 2) 2013</w:t>
            </w:r>
          </w:p>
        </w:tc>
        <w:tc>
          <w:tcPr>
            <w:tcW w:w="1276" w:type="dxa"/>
            <w:shd w:val="clear" w:color="auto" w:fill="auto"/>
          </w:tcPr>
          <w:p>
            <w:pPr>
              <w:pStyle w:val="nTable"/>
              <w:spacing w:after="40"/>
              <w:rPr>
                <w:sz w:val="19"/>
              </w:rPr>
            </w:pPr>
            <w:r>
              <w:rPr>
                <w:sz w:val="19"/>
              </w:rPr>
              <w:t>24 Sep 2013 p. 4385-6</w:t>
            </w:r>
          </w:p>
        </w:tc>
        <w:tc>
          <w:tcPr>
            <w:tcW w:w="2693" w:type="dxa"/>
            <w:shd w:val="clear" w:color="auto" w:fill="auto"/>
          </w:tcPr>
          <w:p>
            <w:pPr>
              <w:pStyle w:val="nTable"/>
              <w:spacing w:after="40"/>
              <w:rPr>
                <w:i/>
                <w:snapToGrid w:val="0"/>
                <w:spacing w:val="-2"/>
                <w:sz w:val="19"/>
              </w:rPr>
            </w:pPr>
            <w:r>
              <w:rPr>
                <w:snapToGrid w:val="0"/>
                <w:spacing w:val="-2"/>
                <w:sz w:val="19"/>
              </w:rPr>
              <w:t>r. 1 and 2: 24 Sep 2013 (see r. 2(a));</w:t>
            </w:r>
            <w:r>
              <w:rPr>
                <w:snapToGrid w:val="0"/>
                <w:spacing w:val="-2"/>
                <w:sz w:val="19"/>
              </w:rPr>
              <w:br/>
              <w:t>Regulations other than r. 1 and 2: 25 Sep 2013 (see r. 2(b))</w:t>
            </w:r>
          </w:p>
        </w:tc>
      </w:tr>
      <w:tr>
        <w:trPr>
          <w:cantSplit/>
        </w:trPr>
        <w:tc>
          <w:tcPr>
            <w:tcW w:w="3118" w:type="dxa"/>
            <w:shd w:val="clear" w:color="auto" w:fill="auto"/>
          </w:tcPr>
          <w:p>
            <w:pPr>
              <w:pStyle w:val="nTable"/>
              <w:spacing w:after="40"/>
              <w:ind w:right="113"/>
              <w:rPr>
                <w:i/>
                <w:sz w:val="19"/>
              </w:rPr>
            </w:pPr>
            <w:r>
              <w:rPr>
                <w:i/>
                <w:sz w:val="19"/>
              </w:rPr>
              <w:t>Environmental Protection Amendment Regulations (No. 3) 2014</w:t>
            </w:r>
          </w:p>
        </w:tc>
        <w:tc>
          <w:tcPr>
            <w:tcW w:w="1276" w:type="dxa"/>
            <w:shd w:val="clear" w:color="auto" w:fill="auto"/>
          </w:tcPr>
          <w:p>
            <w:pPr>
              <w:pStyle w:val="nTable"/>
              <w:spacing w:after="40"/>
              <w:rPr>
                <w:sz w:val="19"/>
              </w:rPr>
            </w:pPr>
            <w:r>
              <w:rPr>
                <w:sz w:val="19"/>
              </w:rPr>
              <w:t>1 Aug 2014 p. 2823</w:t>
            </w:r>
            <w:r>
              <w:rPr>
                <w:sz w:val="19"/>
              </w:rPr>
              <w:noBreakHyphen/>
              <w:t>4</w:t>
            </w:r>
          </w:p>
        </w:tc>
        <w:tc>
          <w:tcPr>
            <w:tcW w:w="2693" w:type="dxa"/>
            <w:shd w:val="clear" w:color="auto" w:fill="auto"/>
          </w:tcPr>
          <w:p>
            <w:pPr>
              <w:pStyle w:val="nTable"/>
              <w:spacing w:after="40"/>
              <w:rPr>
                <w:snapToGrid w:val="0"/>
                <w:spacing w:val="-2"/>
                <w:sz w:val="19"/>
              </w:rPr>
            </w:pPr>
            <w:r>
              <w:rPr>
                <w:rFonts w:ascii="Times" w:hAnsi="Times"/>
                <w:bCs/>
                <w:snapToGrid w:val="0"/>
                <w:spacing w:val="-2"/>
                <w:sz w:val="19"/>
              </w:rPr>
              <w:t>r. 1 and 2: 1 Aug 2014 (see r. 2(a));</w:t>
            </w:r>
            <w:r>
              <w:rPr>
                <w:rFonts w:ascii="Times" w:hAnsi="Times"/>
                <w:bCs/>
                <w:snapToGrid w:val="0"/>
                <w:spacing w:val="-2"/>
                <w:sz w:val="19"/>
              </w:rPr>
              <w:br/>
              <w:t>Regulations other than r. 1 and 2: 2 Aug 2014 (see r. 2(b))</w:t>
            </w:r>
          </w:p>
        </w:tc>
      </w:tr>
      <w:tr>
        <w:trPr>
          <w:cantSplit/>
        </w:trPr>
        <w:tc>
          <w:tcPr>
            <w:tcW w:w="7087" w:type="dxa"/>
            <w:gridSpan w:val="3"/>
            <w:tcBorders>
              <w:bottom w:val="single" w:sz="8" w:space="0" w:color="auto"/>
            </w:tcBorders>
            <w:shd w:val="clear" w:color="auto" w:fill="auto"/>
          </w:tcPr>
          <w:p>
            <w:pPr>
              <w:pStyle w:val="nTable"/>
              <w:spacing w:after="40"/>
              <w:rPr>
                <w:rFonts w:ascii="Times" w:hAnsi="Times"/>
                <w:bCs/>
                <w:snapToGrid w:val="0"/>
                <w:spacing w:val="-2"/>
                <w:sz w:val="19"/>
              </w:rPr>
            </w:pPr>
            <w:r>
              <w:rPr>
                <w:b/>
                <w:sz w:val="19"/>
              </w:rPr>
              <w:t xml:space="preserve">Reprint 8: The </w:t>
            </w:r>
            <w:r>
              <w:rPr>
                <w:b/>
                <w:i/>
                <w:noProof/>
                <w:snapToGrid w:val="0"/>
                <w:sz w:val="19"/>
              </w:rPr>
              <w:t>Environmental Protection Regulations 1987</w:t>
            </w:r>
            <w:r>
              <w:rPr>
                <w:i/>
                <w:noProof/>
                <w:snapToGrid w:val="0"/>
                <w:sz w:val="19"/>
              </w:rPr>
              <w:t xml:space="preserve"> </w:t>
            </w:r>
            <w:r>
              <w:rPr>
                <w:b/>
                <w:sz w:val="19"/>
              </w:rPr>
              <w:t>as at 5 Dec 2014</w:t>
            </w:r>
            <w:r>
              <w:rPr>
                <w:b/>
                <w:sz w:val="19"/>
              </w:rPr>
              <w:br/>
            </w:r>
            <w:r>
              <w:rPr>
                <w:sz w:val="19"/>
              </w:rPr>
              <w:t>(includes amendments listed above)</w:t>
            </w:r>
          </w:p>
        </w:tc>
      </w:tr>
    </w:tbl>
    <w:p>
      <w:pPr>
        <w:pStyle w:val="nSubsection"/>
        <w:spacing w:before="160"/>
        <w:rPr>
          <w:snapToGrid w:val="0"/>
        </w:rPr>
      </w:pPr>
      <w:r>
        <w:rPr>
          <w:snapToGrid w:val="0"/>
          <w:vertAlign w:val="superscript"/>
        </w:rPr>
        <w:t>2</w:t>
      </w:r>
      <w:r>
        <w:rPr>
          <w:snapToGrid w:val="0"/>
        </w:rPr>
        <w:tab/>
        <w:t xml:space="preserve">Published in </w:t>
      </w:r>
      <w:r>
        <w:rPr>
          <w:i/>
          <w:snapToGrid w:val="0"/>
        </w:rPr>
        <w:t>Gazette</w:t>
      </w:r>
      <w:r>
        <w:rPr>
          <w:snapToGrid w:val="0"/>
        </w:rPr>
        <w:t xml:space="preserve"> 18 December 1992 p. 6099.</w:t>
      </w:r>
    </w:p>
    <w:p>
      <w:pPr>
        <w:pStyle w:val="nSubsection"/>
        <w:rPr>
          <w:snapToGrid w:val="0"/>
        </w:rPr>
      </w:pPr>
      <w:r>
        <w:rPr>
          <w:snapToGrid w:val="0"/>
          <w:vertAlign w:val="superscript"/>
        </w:rPr>
        <w:t>3</w:t>
      </w:r>
      <w:r>
        <w:rPr>
          <w:snapToGrid w:val="0"/>
        </w:rPr>
        <w:tab/>
        <w:t xml:space="preserve">Under the </w:t>
      </w:r>
      <w:r>
        <w:rPr>
          <w:i/>
          <w:iCs/>
          <w:snapToGrid w:val="0"/>
        </w:rPr>
        <w:t>Alteration of Statutory Designations Order (No. 2) 2013</w:t>
      </w:r>
      <w:r>
        <w:rPr>
          <w:snapToGrid w:val="0"/>
        </w:rPr>
        <w:t xml:space="preserve"> a reference in a written law to the Department of Environmental Protection or Department of Environment is, unless the context requires otherwise, to be read and construed as a reference to the Department of Environment Regulation.</w:t>
      </w:r>
    </w:p>
    <w:p>
      <w:pPr>
        <w:pStyle w:val="nSubsection"/>
        <w:rPr>
          <w:snapToGrid w:val="0"/>
        </w:rPr>
      </w:pPr>
      <w:r>
        <w:rPr>
          <w:snapToGrid w:val="0"/>
          <w:vertAlign w:val="superscript"/>
        </w:rPr>
        <w:t>4</w:t>
      </w:r>
      <w:r>
        <w:rPr>
          <w:snapToGrid w:val="0"/>
        </w:rPr>
        <w:tab/>
        <w:t xml:space="preserve">Proclaimed 1 July 1988 in </w:t>
      </w:r>
      <w:r>
        <w:rPr>
          <w:i/>
          <w:snapToGrid w:val="0"/>
        </w:rPr>
        <w:t xml:space="preserve">Gazette </w:t>
      </w:r>
      <w:r>
        <w:rPr>
          <w:snapToGrid w:val="0"/>
        </w:rPr>
        <w:t>26 June 1998 p. 3369.</w:t>
      </w:r>
    </w:p>
    <w:p>
      <w:pPr>
        <w:pStyle w:val="nSubsection"/>
        <w:rPr>
          <w:snapToGrid w:val="0"/>
        </w:rPr>
      </w:pPr>
      <w:r>
        <w:rPr>
          <w:snapToGrid w:val="0"/>
          <w:vertAlign w:val="superscript"/>
        </w:rPr>
        <w:t>5</w:t>
      </w:r>
      <w:r>
        <w:rPr>
          <w:snapToGrid w:val="0"/>
        </w:rPr>
        <w:tab/>
      </w:r>
      <w:r>
        <w:rPr>
          <w:color w:val="000000"/>
        </w:rPr>
        <w:t>At the time of this reprint section 110H of the Act provides for the establishment of an account called the Waste Management and Recycling Account.</w:t>
      </w:r>
    </w:p>
    <w:p>
      <w:pPr>
        <w:pStyle w:val="nSubsection"/>
        <w:rPr>
          <w:snapToGrid w:val="0"/>
        </w:rPr>
      </w:pPr>
      <w:r>
        <w:rPr>
          <w:snapToGrid w:val="0"/>
          <w:vertAlign w:val="superscript"/>
        </w:rPr>
        <w:t>6</w:t>
      </w:r>
      <w:r>
        <w:rPr>
          <w:snapToGrid w:val="0"/>
        </w:rPr>
        <w:tab/>
        <w:t xml:space="preserve">Expired </w:t>
      </w:r>
      <w:r>
        <w:rPr>
          <w:spacing w:val="-2"/>
        </w:rPr>
        <w:t>30 June 2012</w:t>
      </w:r>
      <w:r>
        <w:rPr>
          <w:snapToGrid w:val="0"/>
        </w:rPr>
        <w:t>.</w:t>
      </w:r>
    </w:p>
    <w:p>
      <w:pPr>
        <w:pStyle w:val="nSubsection"/>
        <w:rPr>
          <w:snapToGrid w:val="0"/>
        </w:rPr>
      </w:pPr>
      <w:r>
        <w:rPr>
          <w:snapToGrid w:val="0"/>
          <w:vertAlign w:val="superscript"/>
        </w:rPr>
        <w:t>7</w:t>
      </w:r>
      <w:r>
        <w:rPr>
          <w:snapToGrid w:val="0"/>
        </w:rPr>
        <w:tab/>
        <w:t xml:space="preserve">The </w:t>
      </w:r>
      <w:r>
        <w:rPr>
          <w:i/>
          <w:snapToGrid w:val="0"/>
        </w:rPr>
        <w:t xml:space="preserve">Environmental Protection Amendment Regulations (No. 3) 1996 </w:t>
      </w:r>
      <w:r>
        <w:rPr>
          <w:snapToGrid w:val="0"/>
        </w:rPr>
        <w:t xml:space="preserve">r. 7 (as amended by the </w:t>
      </w:r>
      <w:r>
        <w:rPr>
          <w:i/>
          <w:snapToGrid w:val="0"/>
        </w:rPr>
        <w:t>Environmental Protection Amendment Regulations (No. 6) 1996</w:t>
      </w:r>
      <w:r>
        <w:rPr>
          <w:snapToGrid w:val="0"/>
        </w:rPr>
        <w:t xml:space="preserve"> r. 10) is a transitional provision that is of no further effect.</w:t>
      </w:r>
    </w:p>
    <w:p>
      <w:pPr>
        <w:pStyle w:val="nSubsection"/>
        <w:rPr>
          <w:snapToGrid w:val="0"/>
        </w:rPr>
      </w:pPr>
      <w:r>
        <w:rPr>
          <w:vertAlign w:val="superscript"/>
        </w:rPr>
        <w:t>8</w:t>
      </w:r>
      <w:r>
        <w:tab/>
        <w:t xml:space="preserve">The amendment in the </w:t>
      </w:r>
      <w:r>
        <w:rPr>
          <w:i/>
        </w:rPr>
        <w:t>Environmental Protection Amendment Regulations (No. 5) 2000</w:t>
      </w:r>
      <w:r>
        <w:rPr>
          <w:i/>
          <w:sz w:val="19"/>
        </w:rPr>
        <w:t xml:space="preserve"> </w:t>
      </w:r>
      <w:r>
        <w:t xml:space="preserve">r. 12 referring to items 8 and 9 of Schedule 6 is not included because these items were previously deleted in </w:t>
      </w:r>
      <w:r>
        <w:rPr>
          <w:i/>
        </w:rPr>
        <w:t xml:space="preserve">Gazette </w:t>
      </w:r>
      <w:r>
        <w:t>19 December 2000 p. 7284.</w:t>
      </w:r>
    </w:p>
    <w:p>
      <w:pPr>
        <w:sectPr>
          <w:headerReference w:type="even" r:id="rId43"/>
          <w:headerReference w:type="default" r:id="rId44"/>
          <w:headerReference w:type="first" r:id="rId45"/>
          <w:pgSz w:w="11906" w:h="16838" w:code="9"/>
          <w:pgMar w:top="2376" w:right="2404" w:bottom="3544" w:left="2404" w:header="720" w:footer="3380" w:gutter="0"/>
          <w:cols w:space="720"/>
          <w:noEndnote/>
          <w:docGrid w:linePitch="326"/>
        </w:sectPr>
      </w:pPr>
    </w:p>
    <w:p>
      <w:pPr>
        <w:pStyle w:val="nHeading2"/>
        <w:rPr>
          <w:sz w:val="28"/>
        </w:rPr>
      </w:pPr>
      <w:bookmarkStart w:id="117" w:name="_Toc404948627"/>
      <w:r>
        <w:rPr>
          <w:sz w:val="28"/>
        </w:rPr>
        <w:t>Defined terms</w:t>
      </w:r>
      <w:bookmarkEnd w:id="11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18" w:name="DefinedTerms"/>
      <w:bookmarkEnd w:id="118"/>
      <w:r>
        <w:t>actual discharge</w:t>
      </w:r>
      <w:r>
        <w:tab/>
        <w:t>5H(2)(b)</w:t>
      </w:r>
    </w:p>
    <w:p>
      <w:pPr>
        <w:pStyle w:val="DefinedTerms"/>
      </w:pPr>
      <w:r>
        <w:t>approved</w:t>
      </w:r>
      <w:r>
        <w:tab/>
        <w:t>21(1)</w:t>
      </w:r>
    </w:p>
    <w:p>
      <w:pPr>
        <w:pStyle w:val="DefinedTerms"/>
      </w:pPr>
      <w:r>
        <w:t>approved monitoring equipment</w:t>
      </w:r>
      <w:r>
        <w:tab/>
        <w:t>17</w:t>
      </w:r>
    </w:p>
    <w:p>
      <w:pPr>
        <w:pStyle w:val="DefinedTerms"/>
      </w:pPr>
      <w:r>
        <w:t>approved site</w:t>
      </w:r>
      <w:r>
        <w:tab/>
        <w:t>11(1)</w:t>
      </w:r>
    </w:p>
    <w:p>
      <w:pPr>
        <w:pStyle w:val="DefinedTerms"/>
      </w:pPr>
      <w:r>
        <w:t>baseline report</w:t>
      </w:r>
      <w:r>
        <w:tab/>
        <w:t>26(1)(b)</w:t>
      </w:r>
    </w:p>
    <w:p>
      <w:pPr>
        <w:pStyle w:val="DefinedTerms"/>
      </w:pPr>
      <w:r>
        <w:t>baseline survey</w:t>
      </w:r>
      <w:r>
        <w:tab/>
        <w:t>26(1)(a)</w:t>
      </w:r>
    </w:p>
    <w:p>
      <w:pPr>
        <w:pStyle w:val="DefinedTerms"/>
      </w:pPr>
      <w:r>
        <w:t>best practice criteria</w:t>
      </w:r>
      <w:r>
        <w:tab/>
        <w:t>4(1)</w:t>
      </w:r>
    </w:p>
    <w:p>
      <w:pPr>
        <w:pStyle w:val="DefinedTerms"/>
      </w:pPr>
      <w:r>
        <w:t>category</w:t>
      </w:r>
      <w:r>
        <w:tab/>
        <w:t>4(1)</w:t>
      </w:r>
    </w:p>
    <w:p>
      <w:pPr>
        <w:pStyle w:val="DefinedTerms"/>
      </w:pPr>
      <w:r>
        <w:t>commencement day</w:t>
      </w:r>
      <w:r>
        <w:tab/>
        <w:t>21(1)</w:t>
      </w:r>
    </w:p>
    <w:p>
      <w:pPr>
        <w:pStyle w:val="DefinedTerms"/>
      </w:pPr>
      <w:r>
        <w:t>Departmental library</w:t>
      </w:r>
      <w:r>
        <w:tab/>
        <w:t>2AA</w:t>
      </w:r>
    </w:p>
    <w:p>
      <w:pPr>
        <w:pStyle w:val="DefinedTerms"/>
      </w:pPr>
      <w:r>
        <w:t>development site</w:t>
      </w:r>
      <w:r>
        <w:tab/>
        <w:t>16A</w:t>
      </w:r>
    </w:p>
    <w:p>
      <w:pPr>
        <w:pStyle w:val="DefinedTerms"/>
      </w:pPr>
      <w:r>
        <w:t>development work</w:t>
      </w:r>
      <w:r>
        <w:tab/>
        <w:t>16A</w:t>
      </w:r>
    </w:p>
    <w:p>
      <w:pPr>
        <w:pStyle w:val="DefinedTerms"/>
      </w:pPr>
      <w:r>
        <w:t>enclosed water body</w:t>
      </w:r>
      <w:r>
        <w:tab/>
        <w:t>16(4)</w:t>
      </w:r>
    </w:p>
    <w:p>
      <w:pPr>
        <w:pStyle w:val="DefinedTerms"/>
      </w:pPr>
      <w:r>
        <w:t>exempt matter</w:t>
      </w:r>
      <w:r>
        <w:tab/>
        <w:t>2B(1)</w:t>
      </w:r>
    </w:p>
    <w:p>
      <w:pPr>
        <w:pStyle w:val="DefinedTerms"/>
      </w:pPr>
      <w:r>
        <w:t>exemption period</w:t>
      </w:r>
      <w:r>
        <w:tab/>
        <w:t>21(1)</w:t>
      </w:r>
    </w:p>
    <w:p>
      <w:pPr>
        <w:pStyle w:val="DefinedTerms"/>
      </w:pPr>
      <w:r>
        <w:t>existing landfill</w:t>
      </w:r>
      <w:r>
        <w:tab/>
        <w:t>26(8)</w:t>
      </w:r>
    </w:p>
    <w:p>
      <w:pPr>
        <w:pStyle w:val="DefinedTerms"/>
      </w:pPr>
      <w:r>
        <w:t>existing licensee</w:t>
      </w:r>
      <w:r>
        <w:tab/>
        <w:t>21(1)</w:t>
      </w:r>
    </w:p>
    <w:p>
      <w:pPr>
        <w:pStyle w:val="DefinedTerms"/>
      </w:pPr>
      <w:r>
        <w:t>Fund</w:t>
      </w:r>
      <w:r>
        <w:tab/>
        <w:t>21(1)</w:t>
      </w:r>
    </w:p>
    <w:p>
      <w:pPr>
        <w:pStyle w:val="DefinedTerms"/>
      </w:pPr>
      <w:r>
        <w:t>head office</w:t>
      </w:r>
      <w:r>
        <w:tab/>
        <w:t>2AA</w:t>
      </w:r>
    </w:p>
    <w:p>
      <w:pPr>
        <w:pStyle w:val="DefinedTerms"/>
      </w:pPr>
      <w:r>
        <w:t>length</w:t>
      </w:r>
      <w:r>
        <w:tab/>
        <w:t>16(4)</w:t>
      </w:r>
    </w:p>
    <w:p>
      <w:pPr>
        <w:pStyle w:val="DefinedTerms"/>
      </w:pPr>
      <w:r>
        <w:t>levy</w:t>
      </w:r>
      <w:r>
        <w:tab/>
        <w:t>21(1)</w:t>
      </w:r>
    </w:p>
    <w:p>
      <w:pPr>
        <w:pStyle w:val="DefinedTerms"/>
      </w:pPr>
      <w:r>
        <w:t>licence</w:t>
      </w:r>
      <w:r>
        <w:tab/>
        <w:t>4(1)</w:t>
      </w:r>
    </w:p>
    <w:p>
      <w:pPr>
        <w:pStyle w:val="DefinedTerms"/>
      </w:pPr>
      <w:r>
        <w:t>licence period</w:t>
      </w:r>
      <w:r>
        <w:tab/>
        <w:t>4(1)</w:t>
      </w:r>
    </w:p>
    <w:p>
      <w:pPr>
        <w:pStyle w:val="DefinedTerms"/>
      </w:pPr>
      <w:r>
        <w:t>licensed landfill</w:t>
      </w:r>
      <w:r>
        <w:tab/>
        <w:t>21(1)</w:t>
      </w:r>
    </w:p>
    <w:p>
      <w:pPr>
        <w:pStyle w:val="DefinedTerms"/>
      </w:pPr>
      <w:r>
        <w:t>licensed premises</w:t>
      </w:r>
      <w:r>
        <w:tab/>
        <w:t>11(1)</w:t>
      </w:r>
    </w:p>
    <w:p>
      <w:pPr>
        <w:pStyle w:val="DefinedTerms"/>
      </w:pPr>
      <w:r>
        <w:t>licensee</w:t>
      </w:r>
      <w:r>
        <w:tab/>
        <w:t>21(1), 24(1), 28(1)</w:t>
      </w:r>
    </w:p>
    <w:p>
      <w:pPr>
        <w:pStyle w:val="DefinedTerms"/>
      </w:pPr>
      <w:r>
        <w:t>lot</w:t>
      </w:r>
      <w:r>
        <w:tab/>
        <w:t>16A</w:t>
      </w:r>
    </w:p>
    <w:p>
      <w:pPr>
        <w:pStyle w:val="DefinedTerms"/>
      </w:pPr>
      <w:r>
        <w:t>metropolitan region</w:t>
      </w:r>
      <w:r>
        <w:tab/>
        <w:t>21(1)</w:t>
      </w:r>
    </w:p>
    <w:p>
      <w:pPr>
        <w:pStyle w:val="DefinedTerms"/>
      </w:pPr>
      <w:r>
        <w:t>minute</w:t>
      </w:r>
      <w:r>
        <w:tab/>
        <w:t>2B(1)</w:t>
      </w:r>
    </w:p>
    <w:p>
      <w:pPr>
        <w:pStyle w:val="DefinedTerms"/>
      </w:pPr>
      <w:r>
        <w:t>organotin anti</w:t>
      </w:r>
      <w:r>
        <w:noBreakHyphen/>
        <w:t>fouling paint</w:t>
      </w:r>
      <w:r>
        <w:tab/>
        <w:t>16(4)</w:t>
      </w:r>
    </w:p>
    <w:p>
      <w:pPr>
        <w:pStyle w:val="DefinedTerms"/>
      </w:pPr>
      <w:r>
        <w:t>Part 2 waste</w:t>
      </w:r>
      <w:r>
        <w:tab/>
        <w:t>5D(6)</w:t>
      </w:r>
    </w:p>
    <w:p>
      <w:pPr>
        <w:pStyle w:val="DefinedTerms"/>
      </w:pPr>
      <w:r>
        <w:t>payer</w:t>
      </w:r>
      <w:r>
        <w:tab/>
        <w:t>5N</w:t>
      </w:r>
    </w:p>
    <w:p>
      <w:pPr>
        <w:pStyle w:val="DefinedTerms"/>
      </w:pPr>
      <w:r>
        <w:t>quarterly survey</w:t>
      </w:r>
      <w:r>
        <w:tab/>
        <w:t>26(4)</w:t>
      </w:r>
    </w:p>
    <w:p>
      <w:pPr>
        <w:pStyle w:val="DefinedTerms"/>
      </w:pPr>
      <w:r>
        <w:t>return period</w:t>
      </w:r>
      <w:r>
        <w:tab/>
        <w:t>21(1)</w:t>
      </w:r>
    </w:p>
    <w:p>
      <w:pPr>
        <w:pStyle w:val="DefinedTerms"/>
      </w:pPr>
      <w:r>
        <w:t>semi</w:t>
      </w:r>
      <w:r>
        <w:noBreakHyphen/>
        <w:t>enclosed water body</w:t>
      </w:r>
      <w:r>
        <w:tab/>
        <w:t>16(4)</w:t>
      </w:r>
    </w:p>
    <w:p>
      <w:pPr>
        <w:pStyle w:val="DefinedTerms"/>
      </w:pPr>
      <w:r>
        <w:t>specified</w:t>
      </w:r>
      <w:r>
        <w:tab/>
        <w:t>31(3)</w:t>
      </w:r>
    </w:p>
    <w:p>
      <w:pPr>
        <w:pStyle w:val="DefinedTerms"/>
      </w:pPr>
      <w:r>
        <w:t>specified monitoring programme</w:t>
      </w:r>
      <w:r>
        <w:tab/>
        <w:t>17</w:t>
      </w:r>
    </w:p>
    <w:p>
      <w:pPr>
        <w:pStyle w:val="DefinedTerms"/>
      </w:pPr>
      <w:r>
        <w:t>storage</w:t>
      </w:r>
      <w:r>
        <w:tab/>
        <w:t>11(1)</w:t>
      </w:r>
    </w:p>
    <w:p>
      <w:pPr>
        <w:pStyle w:val="DefinedTerms"/>
      </w:pPr>
      <w:r>
        <w:t>surveyor</w:t>
      </w:r>
      <w:r>
        <w:tab/>
        <w:t>26(8)</w:t>
      </w:r>
    </w:p>
    <w:p>
      <w:pPr>
        <w:pStyle w:val="DefinedTerms"/>
      </w:pPr>
      <w:r>
        <w:t>tyre</w:t>
      </w:r>
      <w:r>
        <w:tab/>
        <w:t>11(1)</w:t>
      </w:r>
    </w:p>
    <w:p>
      <w:pPr>
        <w:pStyle w:val="DefinedTerms"/>
      </w:pPr>
      <w:smartTag w:uri="urn:schemas-microsoft-com:office:smarttags" w:element="place">
        <w:smartTag w:uri="urn:schemas-microsoft-com:office:smarttags" w:element="City">
          <w:r>
            <w:t>Tyre</w:t>
          </w:r>
        </w:smartTag>
      </w:smartTag>
      <w:r>
        <w:t xml:space="preserve"> Landfill Exclusion Zone</w:t>
      </w:r>
      <w:r>
        <w:tab/>
        <w:t>11(1)</w:t>
      </w:r>
    </w:p>
    <w:p>
      <w:pPr>
        <w:pStyle w:val="DefinedTerms"/>
      </w:pPr>
      <w:r>
        <w:t>tyre retailer</w:t>
      </w:r>
      <w:r>
        <w:tab/>
        <w:t>11(1)</w:t>
      </w:r>
    </w:p>
    <w:p>
      <w:pPr>
        <w:pStyle w:val="DefinedTerms"/>
      </w:pPr>
      <w:r>
        <w:t>vessel</w:t>
      </w:r>
      <w:r>
        <w:tab/>
        <w:t>16(4)</w:t>
      </w:r>
    </w:p>
    <w:p/>
    <w:p>
      <w:pPr>
        <w:sectPr>
          <w:headerReference w:type="even" r:id="rId46"/>
          <w:headerReference w:type="default" r:id="rId47"/>
          <w:footerReference w:type="even" r:id="rId48"/>
          <w:footerReference w:type="default" r:id="rId49"/>
          <w:headerReference w:type="first" r:id="rId50"/>
          <w:pgSz w:w="11906" w:h="16838" w:code="9"/>
          <w:pgMar w:top="2376" w:right="2404" w:bottom="3544" w:left="2404" w:header="720" w:footer="3380" w:gutter="0"/>
          <w:cols w:space="720"/>
          <w:noEndnote/>
          <w:docGrid w:linePitch="326"/>
        </w:sectPr>
      </w:pPr>
    </w:p>
    <w:p/>
    <w:p/>
    <w:p/>
    <w:p/>
    <w:p/>
    <w:p/>
    <w:p/>
    <w:p/>
    <w:p/>
    <w:p/>
    <w:p/>
    <w:p/>
    <w:p/>
    <w:p/>
    <w:p/>
    <w:p/>
    <w:p/>
    <w:p/>
    <w:p/>
    <w:p/>
    <w:p/>
    <w:p/>
    <w:p/>
    <w:p/>
    <w:p/>
    <w:p/>
    <w:p/>
    <w:p/>
    <w:p>
      <w:pPr>
        <w:rPr>
          <w:sz w:val="20"/>
        </w:rPr>
      </w:pPr>
    </w:p>
    <w:p>
      <w:pPr>
        <w:rPr>
          <w:sz w:val="20"/>
        </w:rPr>
      </w:pPr>
    </w:p>
    <w:p>
      <w:pPr>
        <w:rPr>
          <w:sz w:val="20"/>
        </w:rPr>
      </w:pPr>
    </w:p>
    <w:p>
      <w:pPr>
        <w:rPr>
          <w:sz w:val="20"/>
        </w:rPr>
      </w:pPr>
    </w:p>
    <w:p>
      <w:pPr>
        <w:rPr>
          <w:sz w:val="20"/>
        </w:rPr>
      </w:pPr>
    </w:p>
    <w:p>
      <w:pPr>
        <w:rPr>
          <w:sz w:val="20"/>
        </w:rPr>
      </w:pPr>
    </w:p>
    <w:p>
      <w:pPr>
        <w:pBdr>
          <w:top w:val="double" w:sz="4" w:space="0" w:color="auto"/>
        </w:pBdr>
        <w:jc w:val="center"/>
        <w:rPr>
          <w:rFonts w:ascii="Arial" w:hAnsi="Arial" w:cs="Arial"/>
          <w:sz w:val="12"/>
        </w:rPr>
      </w:pPr>
    </w:p>
    <w:p>
      <w:pPr>
        <w:pBdr>
          <w:top w:val="double" w:sz="4" w:space="0" w:color="auto"/>
        </w:pBdr>
        <w:jc w:val="center"/>
        <w:rPr>
          <w:rFonts w:ascii="Arial" w:hAnsi="Arial" w:cs="Arial"/>
          <w:sz w:val="12"/>
        </w:rPr>
      </w:pPr>
      <w:r>
        <w:rPr>
          <w:rFonts w:ascii="Arial" w:hAnsi="Arial" w:cs="Arial"/>
          <w:sz w:val="12"/>
        </w:rPr>
        <w:t>By Authority: JOHN A. STRIJK, Government Printer</w:t>
      </w:r>
    </w:p>
    <w:sectPr>
      <w:headerReference w:type="even" r:id="rId51"/>
      <w:headerReference w:type="default" r:id="rId52"/>
      <w:headerReference w:type="first" r:id="rId5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PageLeft"/>
      <w:tabs>
        <w:tab w:val="right" w:pos="7088"/>
      </w:tabs>
    </w:pPr>
    <w: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vi</w:t>
    </w:r>
    <w:r>
      <w:rPr>
        <w:rStyle w:val="CharPageNo"/>
      </w:rPr>
      <w:fldChar w:fldCharType="end"/>
    </w:r>
    <w:r>
      <w:rPr>
        <w:rStyle w:val="CharPageNo"/>
      </w:rPr>
      <w:tab/>
    </w:r>
    <w:r>
      <w:t xml:space="preserve">Reprint </w:t>
    </w:r>
    <w:fldSimple w:instr=" DOCPROPERTY &quot;ReprintNo&quot; ">
      <w:r>
        <w:t>8</w:t>
      </w:r>
    </w:fldSimple>
  </w:p>
  <w:p>
    <w:pPr>
      <w:pStyle w:val="FooterPageLeft"/>
      <w:tabs>
        <w:tab w:val="right" w:pos="7088"/>
      </w:tabs>
      <w:rPr>
        <w:rFonts w:ascii="Times New Roman" w:hAnsi="Times New Roman"/>
        <w:sz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 </w:instrText>
    </w:r>
    <w:r>
      <w:rPr>
        <w:sz w:val="20"/>
      </w:rPr>
      <w:fldChar w:fldCharType="separate"/>
    </w:r>
    <w:r>
      <w:rPr>
        <w:sz w:val="20"/>
      </w:rPr>
      <w:t>8</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v</w:t>
    </w:r>
    <w:r>
      <w:rPr>
        <w:rStyle w:val="PageNumber"/>
      </w:rPr>
      <w:fldChar w:fldCharType="end"/>
    </w:r>
  </w:p>
  <w:p>
    <w:pPr>
      <w:pStyle w:val="Footer"/>
      <w:pBdr>
        <w:top w:val="single" w:sz="4" w:space="1" w:color="auto"/>
      </w:pBdr>
      <w:tabs>
        <w:tab w:val="clear" w:pos="4153"/>
        <w:tab w:val="clear" w:pos="8306"/>
        <w:tab w:val="right" w:pos="7088"/>
      </w:tabs>
      <w:spacing w:line="240" w:lineRule="auto"/>
      <w:rPr>
        <w:rFonts w:ascii="Times New Roman" w:hAnsi="Times New Roman"/>
        <w:sz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w:instrText>
    </w:r>
    <w:r>
      <w:rPr>
        <w:sz w:val="20"/>
      </w:rPr>
      <w:fldChar w:fldCharType="separate"/>
    </w:r>
    <w:r>
      <w:rPr>
        <w:sz w:val="20"/>
      </w:rPr>
      <w:t>8</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p>
    <w:pPr>
      <w:pStyle w:val="Footer"/>
      <w:pBdr>
        <w:top w:val="single" w:sz="4" w:space="1" w:color="auto"/>
      </w:pBdr>
      <w:tabs>
        <w:tab w:val="clear" w:pos="4153"/>
        <w:tab w:val="clear" w:pos="8306"/>
        <w:tab w:val="right" w:pos="7088"/>
      </w:tabs>
      <w:spacing w:line="240" w:lineRule="auto"/>
      <w:rPr>
        <w:rFonts w:ascii="Times New Roman" w:hAnsi="Times New Roman"/>
        <w:sz w:val="16"/>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PageLeft"/>
      <w:tabs>
        <w:tab w:val="right" w:pos="7088"/>
      </w:tabs>
    </w:pPr>
    <w: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118</w:t>
    </w:r>
    <w:r>
      <w:rPr>
        <w:rStyle w:val="CharPageNo"/>
      </w:rPr>
      <w:fldChar w:fldCharType="end"/>
    </w:r>
    <w:r>
      <w:rPr>
        <w:rStyle w:val="CharPageNo"/>
      </w:rPr>
      <w:tab/>
    </w:r>
    <w:r>
      <w:t xml:space="preserve">Reprint </w:t>
    </w:r>
    <w:fldSimple w:instr=" DOCPROPERTY &quot;ReprintNo&quot; ">
      <w:r>
        <w:t>8</w:t>
      </w:r>
    </w:fldSimple>
  </w:p>
  <w:p>
    <w:pPr>
      <w:pStyle w:val="FooterPageLeft"/>
      <w:tabs>
        <w:tab w:val="right" w:pos="7088"/>
      </w:tabs>
      <w:rPr>
        <w:rFonts w:ascii="Times New Roman" w:hAnsi="Times New Roman"/>
        <w:sz w:val="16"/>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 </w:instrText>
    </w:r>
    <w:r>
      <w:rPr>
        <w:sz w:val="20"/>
      </w:rPr>
      <w:fldChar w:fldCharType="separate"/>
    </w:r>
    <w:r>
      <w:rPr>
        <w:sz w:val="20"/>
      </w:rPr>
      <w:t>8</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117</w:t>
    </w:r>
    <w:r>
      <w:rPr>
        <w:rStyle w:val="PageNumber"/>
      </w:rPr>
      <w:fldChar w:fldCharType="end"/>
    </w:r>
  </w:p>
  <w:p>
    <w:pPr>
      <w:pStyle w:val="Footer"/>
      <w:pBdr>
        <w:top w:val="single" w:sz="4" w:space="1" w:color="auto"/>
      </w:pBdr>
      <w:tabs>
        <w:tab w:val="clear" w:pos="4153"/>
        <w:tab w:val="clear" w:pos="8306"/>
        <w:tab w:val="right" w:pos="7088"/>
      </w:tabs>
      <w:spacing w:line="240" w:lineRule="auto"/>
      <w:rPr>
        <w:rFonts w:ascii="Times New Roman" w:hAnsi="Times New Roman"/>
        <w:sz w:val="16"/>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w:instrText>
    </w:r>
    <w:r>
      <w:rPr>
        <w:sz w:val="20"/>
      </w:rPr>
      <w:fldChar w:fldCharType="separate"/>
    </w:r>
    <w:r>
      <w:rPr>
        <w:sz w:val="20"/>
      </w:rPr>
      <w:t>8</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pPr>
      <w:pStyle w:val="Footer"/>
      <w:pBdr>
        <w:top w:val="single" w:sz="4" w:space="1" w:color="auto"/>
      </w:pBdr>
      <w:tabs>
        <w:tab w:val="clear" w:pos="4153"/>
        <w:tab w:val="clear" w:pos="8306"/>
        <w:tab w:val="right" w:pos="7088"/>
      </w:tabs>
      <w:spacing w:line="240" w:lineRule="auto"/>
      <w:rPr>
        <w:rFonts w:ascii="Times New Roman" w:hAnsi="Times New Roman"/>
        <w:sz w:val="16"/>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 </w:instrText>
    </w:r>
    <w:r>
      <w:rPr>
        <w:sz w:val="20"/>
      </w:rPr>
      <w:fldChar w:fldCharType="separate"/>
    </w:r>
    <w:r>
      <w:rPr>
        <w:sz w:val="20"/>
      </w:rPr>
      <w:t>8</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119</w:t>
    </w:r>
    <w:r>
      <w:rPr>
        <w:rStyle w:val="PageNumber"/>
      </w:rPr>
      <w:fldChar w:fldCharType="end"/>
    </w:r>
  </w:p>
  <w:p>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Environmental Protection Regulations 1987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Environmental Protection Regulations 1987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Environmental Protection Regulations 1987</w:t>
            </w:r>
          </w:fldSimple>
        </w:p>
      </w:tc>
    </w:tr>
    <w:tr>
      <w:tc>
        <w:tcPr>
          <w:tcW w:w="1548" w:type="dxa"/>
        </w:tcPr>
        <w:p>
          <w:pPr>
            <w:pStyle w:val="HeaderNumberLeft"/>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rPr>
              <w:noProof/>
            </w:rPr>
            <w:fldChar w:fldCharType="end"/>
          </w:r>
          <w:r>
            <w:instrText>" "</w:instrText>
          </w:r>
          <w:r>
            <w:fldChar w:fldCharType="begin"/>
          </w:r>
          <w:r>
            <w:instrText xml:space="preserve"> STYLEREF CharPartNo </w:instrText>
          </w:r>
          <w:r>
            <w:fldChar w:fldCharType="end"/>
          </w:r>
          <w:r>
            <w:instrText xml:space="preserve"> </w:instrText>
          </w:r>
          <w:fldSimple w:instr=" STYLEREF CharPartNo \n ">
            <w:r>
              <w:rPr>
                <w:noProof/>
              </w:rPr>
              <w:instrText>0</w:instrText>
            </w:r>
          </w:fldSimple>
          <w:r>
            <w:instrText>"</w:instrText>
          </w:r>
          <w: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r>
            <w:fldChar w:fldCharType="begin"/>
          </w:r>
          <w:r>
            <w:instrText xml:space="preserve"> STYLEREF CharDivNo </w:instrText>
          </w:r>
          <w:r>
            <w:fldChar w:fldCharType="end"/>
          </w:r>
          <w:r>
            <w:instrText xml:space="preserve"> </w:instrText>
          </w:r>
          <w:fldSimple w:instr=" STYLEREF CharDivNo \n ">
            <w:r>
              <w:rPr>
                <w:noProof/>
              </w:rPr>
              <w:instrText>0</w:instrText>
            </w:r>
          </w:fldSimple>
          <w:r>
            <w:instrText>"</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r>
            <w:fldChar w:fldCharType="begin"/>
          </w:r>
          <w:r>
            <w:instrText xml:space="preserve"> IF </w:instrText>
          </w:r>
          <w:fldSimple w:instr=" STYLEREF CharSectNo \n ">
            <w:r>
              <w:rPr>
                <w:noProof/>
              </w:rPr>
              <w:instrText>0</w:instrText>
            </w:r>
          </w:fldSimple>
          <w:r>
            <w:instrText xml:space="preserve"> = 0 "</w:instrText>
          </w:r>
          <w:fldSimple w:instr=" STYLEREF CharSectNo ">
            <w:r>
              <w:rPr>
                <w:noProof/>
              </w:rPr>
              <w:instrText>1</w:instrText>
            </w:r>
          </w:fldSimple>
          <w:r>
            <w:instrText>" "</w:instrText>
          </w:r>
          <w:fldSimple w:instr=" STYLEREF CharSectNo \n ">
            <w:r>
              <w:rPr>
                <w:noProof/>
              </w:rPr>
              <w:instrText>0</w:instrText>
            </w:r>
          </w:fldSimple>
          <w:r>
            <w:instrText>"</w:instrText>
          </w:r>
          <w:r>
            <w:fldChar w:fldCharType="separate"/>
          </w:r>
          <w:r>
            <w:rPr>
              <w:noProof/>
            </w:rPr>
            <w:t>1</w:t>
          </w:r>
          <w: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Environmental Protection Regulations 1987</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rPr>
              <w:noProof/>
            </w:rPr>
            <w:fldChar w:fldCharType="end"/>
          </w:r>
          <w:r>
            <w:instrText>" "</w:instrText>
          </w:r>
          <w:r>
            <w:fldChar w:fldCharType="begin"/>
          </w:r>
          <w:r>
            <w:instrText xml:space="preserve"> STYLEREF CharPartNo </w:instrText>
          </w:r>
          <w:r>
            <w:fldChar w:fldCharType="end"/>
          </w:r>
          <w:r>
            <w:instrText xml:space="preserve"> </w:instrText>
          </w:r>
          <w:fldSimple w:instr=" STYLEREF CharPartNo \n ">
            <w:r>
              <w:rPr>
                <w:noProof/>
              </w:rPr>
              <w:instrText>0</w:instrText>
            </w:r>
          </w:fldSimple>
          <w:r>
            <w:instrText>"</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r>
            <w:fldChar w:fldCharType="begin"/>
          </w:r>
          <w:r>
            <w:instrText xml:space="preserve"> STYLEREF CharDivNo </w:instrText>
          </w:r>
          <w:r>
            <w:fldChar w:fldCharType="end"/>
          </w:r>
          <w:r>
            <w:instrText xml:space="preserve"> </w:instrText>
          </w:r>
          <w:fldSimple w:instr=" STYLEREF CharDivNo \n ">
            <w:r>
              <w:rPr>
                <w:noProof/>
              </w:rPr>
              <w:instrText>0</w:instrText>
            </w:r>
          </w:fldSimple>
          <w:r>
            <w:instrText>"</w:instrText>
          </w:r>
          <w:r>
            <w:fldChar w:fldCharType="end"/>
          </w:r>
        </w:p>
      </w:tc>
    </w:tr>
    <w:tr>
      <w:trPr>
        <w:cantSplit/>
      </w:trPr>
      <w:tc>
        <w:tcPr>
          <w:tcW w:w="7258" w:type="dxa"/>
          <w:gridSpan w:val="2"/>
        </w:tcPr>
        <w:p>
          <w:pPr>
            <w:pStyle w:val="HeaderSectionRight"/>
            <w:ind w:right="17"/>
          </w:pPr>
          <w:r>
            <w:t xml:space="preserve">r. </w:t>
          </w:r>
          <w:r>
            <w:fldChar w:fldCharType="begin"/>
          </w:r>
          <w:r>
            <w:instrText xml:space="preserve"> IF </w:instrText>
          </w:r>
          <w:fldSimple w:instr=" STYLEREF CharSectNo \n ">
            <w:r>
              <w:rPr>
                <w:noProof/>
              </w:rPr>
              <w:instrText>0</w:instrText>
            </w:r>
          </w:fldSimple>
          <w:r>
            <w:instrText xml:space="preserve"> = 0 "</w:instrText>
          </w:r>
          <w:fldSimple w:instr=" STYLEREF CharSectNo ">
            <w:r>
              <w:rPr>
                <w:noProof/>
              </w:rPr>
              <w:instrText>1</w:instrText>
            </w:r>
          </w:fldSimple>
          <w:r>
            <w:instrText>" "</w:instrText>
          </w:r>
          <w:fldSimple w:instr=" STYLEREF CharSectNo \n ">
            <w:r>
              <w:rPr>
                <w:noProof/>
              </w:rPr>
              <w:instrText>0</w:instrText>
            </w:r>
          </w:fldSimple>
          <w:r>
            <w:instrText>"</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Environmental Protection Regulations 1987</w:t>
            </w:r>
          </w:fldSimple>
        </w:p>
      </w:tc>
    </w:tr>
    <w:tr>
      <w:tc>
        <w:tcPr>
          <w:tcW w:w="1548" w:type="dxa"/>
        </w:tcPr>
        <w:p>
          <w:pPr>
            <w:pStyle w:val="HeaderNumberLeft"/>
          </w:pPr>
          <w:r>
            <w:fldChar w:fldCharType="begin"/>
          </w:r>
          <w:r>
            <w:instrText xml:space="preserve"> IF </w:instrText>
          </w:r>
          <w:fldSimple w:instr=" STYLEREF CharSchno \n ">
            <w:r>
              <w:rPr>
                <w:noProof/>
              </w:rPr>
              <w:instrText>0</w:instrText>
            </w:r>
          </w:fldSimple>
          <w:r>
            <w:instrText xml:space="preserve"> = 0 "</w:instrText>
          </w:r>
          <w:r>
            <w:fldChar w:fldCharType="begin"/>
          </w:r>
          <w:r>
            <w:instrText xml:space="preserve"> STYLEREF CharSchno </w:instrText>
          </w:r>
          <w:r>
            <w:rPr>
              <w:noProof/>
            </w:rPr>
            <w:fldChar w:fldCharType="end"/>
          </w:r>
          <w:r>
            <w:instrText>" "</w:instrText>
          </w:r>
          <w:r>
            <w:fldChar w:fldCharType="begin"/>
          </w:r>
          <w:r>
            <w:instrText xml:space="preserve"> STYLEREF CharSchno </w:instrText>
          </w:r>
          <w:r>
            <w:fldChar w:fldCharType="end"/>
          </w:r>
          <w:r>
            <w:instrText xml:space="preserve"> </w:instrText>
          </w:r>
          <w:fldSimple w:instr=" STYLEREF CharSchno \n ">
            <w:r>
              <w:rPr>
                <w:noProof/>
              </w:rPr>
              <w:instrText>0</w:instrText>
            </w:r>
          </w:fldSimple>
          <w:r>
            <w:instrText>"</w:instrText>
          </w:r>
          <w:r>
            <w:fldChar w:fldCharType="end"/>
          </w:r>
        </w:p>
      </w:tc>
      <w:tc>
        <w:tcPr>
          <w:tcW w:w="5715" w:type="dxa"/>
        </w:tcPr>
        <w:p>
          <w:pPr>
            <w:pStyle w:val="HeaderTextLeft"/>
          </w:pPr>
          <w:fldSimple w:instr=" styleref CharSchText ">
            <w:r>
              <w:rPr>
                <w:noProof/>
              </w:rPr>
              <w:t>Prescribed premises</w:t>
            </w:r>
          </w:fldSimple>
        </w:p>
      </w:tc>
    </w:tr>
    <w:tr>
      <w:tc>
        <w:tcPr>
          <w:tcW w:w="1548" w:type="dxa"/>
        </w:tcPr>
        <w:p>
          <w:pPr>
            <w:pStyle w:val="HeaderNumberLeft"/>
          </w:pPr>
          <w:r>
            <w:fldChar w:fldCharType="begin"/>
          </w:r>
          <w:r>
            <w:instrText xml:space="preserve"> IF </w:instrText>
          </w:r>
          <w:fldSimple w:instr=" STYLEREF CharSDivNo \n ">
            <w:r>
              <w:rPr>
                <w:noProof/>
              </w:rPr>
              <w:instrText>0</w:instrText>
            </w:r>
          </w:fldSimple>
          <w:r>
            <w:instrText xml:space="preserve"> = 0 "</w:instrText>
          </w:r>
          <w:fldSimple w:instr=" STYLEREF CharSDivNo ">
            <w:r>
              <w:rPr>
                <w:noProof/>
              </w:rPr>
              <w:instrText>Part 1</w:instrText>
            </w:r>
          </w:fldSimple>
          <w:r>
            <w:instrText>" "</w:instrText>
          </w:r>
          <w:fldSimple w:instr=" STYLEREF CharSDivNo ">
            <w:r>
              <w:rPr>
                <w:noProof/>
              </w:rPr>
              <w:instrText>Part 1</w:instrText>
            </w:r>
          </w:fldSimple>
          <w:r>
            <w:instrText xml:space="preserve"> </w:instrText>
          </w:r>
          <w:fldSimple w:instr=" STYLEREF CharSDivNo \n ">
            <w:r>
              <w:rPr>
                <w:noProof/>
              </w:rPr>
              <w:instrText>0</w:instrText>
            </w:r>
          </w:fldSimple>
          <w:r>
            <w:instrText>"</w:instrText>
          </w:r>
          <w:r>
            <w:fldChar w:fldCharType="separate"/>
          </w:r>
          <w:r>
            <w:rPr>
              <w:noProof/>
            </w:rPr>
            <w:t>Part 1</w:t>
          </w:r>
          <w: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72" w:type="dxa"/>
      <w:tblLayout w:type="fixed"/>
      <w:tblCellMar>
        <w:left w:w="72" w:type="dxa"/>
        <w:right w:w="72" w:type="dxa"/>
      </w:tblCellMar>
      <w:tblLook w:val="0000" w:firstRow="0" w:lastRow="0" w:firstColumn="0" w:lastColumn="0" w:noHBand="0" w:noVBand="0"/>
    </w:tblPr>
    <w:tblGrid>
      <w:gridCol w:w="5715"/>
      <w:gridCol w:w="1557"/>
    </w:tblGrid>
    <w:tr>
      <w:trPr>
        <w:cantSplit/>
      </w:trPr>
      <w:tc>
        <w:tcPr>
          <w:tcW w:w="7272" w:type="dxa"/>
          <w:gridSpan w:val="2"/>
        </w:tcPr>
        <w:p>
          <w:pPr>
            <w:pStyle w:val="HeaderActNameRight"/>
            <w:ind w:right="17"/>
          </w:pPr>
          <w:fldSimple w:instr=" STYLEREF &quot;Name of Act/Reg&quot; \* MERGEFORMAT ">
            <w:r>
              <w:rPr>
                <w:noProof/>
              </w:rPr>
              <w:t>Environmental Protection Regulations 1987</w:t>
            </w:r>
          </w:fldSimple>
        </w:p>
      </w:tc>
    </w:tr>
    <w:tr>
      <w:tc>
        <w:tcPr>
          <w:tcW w:w="5715" w:type="dxa"/>
        </w:tcPr>
        <w:p>
          <w:pPr>
            <w:pStyle w:val="HeaderTextRight"/>
          </w:pPr>
          <w:fldSimple w:instr=" styleref CharSchText ">
            <w:r>
              <w:rPr>
                <w:noProof/>
              </w:rPr>
              <w:t>Prescribed premises</w:t>
            </w:r>
          </w:fldSimple>
        </w:p>
      </w:tc>
      <w:tc>
        <w:tcPr>
          <w:tcW w:w="1557" w:type="dxa"/>
        </w:tcPr>
        <w:p>
          <w:pPr>
            <w:pStyle w:val="HeaderNumberRight"/>
            <w:ind w:right="17"/>
          </w:pPr>
          <w:r>
            <w:fldChar w:fldCharType="begin"/>
          </w:r>
          <w:r>
            <w:instrText xml:space="preserve"> IF </w:instrText>
          </w:r>
          <w:fldSimple w:instr=" STYLEREF CharSchno \n ">
            <w:r>
              <w:rPr>
                <w:noProof/>
              </w:rPr>
              <w:instrText>0</w:instrText>
            </w:r>
          </w:fldSimple>
          <w:r>
            <w:instrText xml:space="preserve"> = 0 "</w:instrText>
          </w:r>
          <w:r>
            <w:fldChar w:fldCharType="begin"/>
          </w:r>
          <w:r>
            <w:instrText xml:space="preserve"> STYLEREF CharSchno </w:instrText>
          </w:r>
          <w:r>
            <w:rPr>
              <w:noProof/>
            </w:rPr>
            <w:fldChar w:fldCharType="end"/>
          </w:r>
          <w:r>
            <w:instrText>" "</w:instrText>
          </w:r>
          <w:r>
            <w:fldChar w:fldCharType="begin"/>
          </w:r>
          <w:r>
            <w:instrText xml:space="preserve"> STYLEREF CharSchno </w:instrText>
          </w:r>
          <w:r>
            <w:fldChar w:fldCharType="end"/>
          </w:r>
          <w:r>
            <w:instrText xml:space="preserve"> </w:instrText>
          </w:r>
          <w:fldSimple w:instr=" STYLEREF CharSchno \n ">
            <w:r>
              <w:rPr>
                <w:noProof/>
              </w:rPr>
              <w:instrText>0</w:instrText>
            </w:r>
          </w:fldSimple>
          <w:r>
            <w:instrText>"</w:instrText>
          </w:r>
          <w: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57" w:type="dxa"/>
        </w:tcPr>
        <w:p>
          <w:pPr>
            <w:pStyle w:val="HeaderNumberRight"/>
            <w:ind w:right="17"/>
            <w:rPr>
              <w:bCs/>
            </w:rPr>
          </w:pPr>
          <w:r>
            <w:rPr>
              <w:bCs/>
            </w:rPr>
            <w:fldChar w:fldCharType="begin"/>
          </w:r>
          <w:r>
            <w:rPr>
              <w:bCs/>
            </w:rPr>
            <w:instrText xml:space="preserve"> IF </w:instrText>
          </w:r>
          <w:r>
            <w:rPr>
              <w:bCs/>
            </w:rPr>
            <w:fldChar w:fldCharType="begin"/>
          </w:r>
          <w:r>
            <w:rPr>
              <w:bCs/>
            </w:rPr>
            <w:instrText xml:space="preserve"> STYLEREF CharSDivNo \n </w:instrText>
          </w:r>
          <w:r>
            <w:rPr>
              <w:bCs/>
            </w:rPr>
            <w:fldChar w:fldCharType="separate"/>
          </w:r>
          <w:r>
            <w:rPr>
              <w:bCs/>
              <w:noProof/>
            </w:rPr>
            <w:instrText>0</w:instrText>
          </w:r>
          <w:r>
            <w:rPr>
              <w:bCs/>
            </w:rPr>
            <w:fldChar w:fldCharType="end"/>
          </w:r>
          <w:r>
            <w:rPr>
              <w:bCs/>
            </w:rPr>
            <w:instrText xml:space="preserve"> = 0 "</w:instrText>
          </w:r>
          <w:r>
            <w:rPr>
              <w:bCs/>
            </w:rPr>
            <w:fldChar w:fldCharType="begin"/>
          </w:r>
          <w:r>
            <w:rPr>
              <w:bCs/>
            </w:rPr>
            <w:instrText xml:space="preserve"> STYLEREF CharSDivNo </w:instrText>
          </w:r>
          <w:r>
            <w:rPr>
              <w:bCs/>
            </w:rPr>
            <w:fldChar w:fldCharType="separate"/>
          </w:r>
          <w:r>
            <w:rPr>
              <w:bCs/>
              <w:noProof/>
            </w:rPr>
            <w:instrText>Part 1</w:instrText>
          </w:r>
          <w:r>
            <w:rPr>
              <w:bCs/>
            </w:rPr>
            <w:fldChar w:fldCharType="end"/>
          </w:r>
          <w:r>
            <w:rPr>
              <w:bCs/>
            </w:rPr>
            <w:instrText>" "</w:instrText>
          </w:r>
          <w:r>
            <w:rPr>
              <w:bCs/>
            </w:rPr>
            <w:fldChar w:fldCharType="begin"/>
          </w:r>
          <w:r>
            <w:rPr>
              <w:bCs/>
            </w:rPr>
            <w:instrText xml:space="preserve"> STYLEREF CharSDivNo </w:instrText>
          </w:r>
          <w:r>
            <w:rPr>
              <w:bCs/>
            </w:rPr>
            <w:fldChar w:fldCharType="separate"/>
          </w:r>
          <w:r>
            <w:rPr>
              <w:bCs/>
              <w:noProof/>
            </w:rPr>
            <w:instrText>Part 1</w:instrText>
          </w:r>
          <w:r>
            <w:rPr>
              <w:bCs/>
            </w:rPr>
            <w:fldChar w:fldCharType="end"/>
          </w:r>
          <w:r>
            <w:rPr>
              <w:bCs/>
            </w:rPr>
            <w:instrText xml:space="preserve"> </w:instrText>
          </w:r>
          <w:r>
            <w:rPr>
              <w:bCs/>
            </w:rPr>
            <w:fldChar w:fldCharType="begin"/>
          </w:r>
          <w:r>
            <w:rPr>
              <w:bCs/>
            </w:rPr>
            <w:instrText xml:space="preserve"> STYLEREF CharSDivNo \n </w:instrText>
          </w:r>
          <w:r>
            <w:rPr>
              <w:bCs/>
            </w:rPr>
            <w:fldChar w:fldCharType="separate"/>
          </w:r>
          <w:r>
            <w:rPr>
              <w:bCs/>
              <w:noProof/>
            </w:rPr>
            <w:instrText>0</w:instrText>
          </w:r>
          <w:r>
            <w:rPr>
              <w:bCs/>
            </w:rPr>
            <w:fldChar w:fldCharType="end"/>
          </w:r>
          <w:r>
            <w:rPr>
              <w:bCs/>
            </w:rPr>
            <w:instrText>"</w:instrText>
          </w:r>
          <w:r>
            <w:rPr>
              <w:bCs/>
            </w:rPr>
            <w:fldChar w:fldCharType="separate"/>
          </w:r>
          <w:r>
            <w:rPr>
              <w:bCs/>
              <w:noProof/>
            </w:rPr>
            <w:t>Part 1</w:t>
          </w:r>
          <w:r>
            <w:rPr>
              <w:bCs/>
            </w:rPr>
            <w:fldChar w:fldCharType="end"/>
          </w:r>
        </w:p>
      </w:tc>
    </w:tr>
    <w:tr>
      <w:tc>
        <w:tcPr>
          <w:tcW w:w="5715" w:type="dxa"/>
        </w:tcPr>
        <w:p>
          <w:pPr>
            <w:pStyle w:val="HeaderTextLeft"/>
            <w:jc w:val="right"/>
          </w:pPr>
        </w:p>
      </w:tc>
      <w:tc>
        <w:tcPr>
          <w:tcW w:w="1557"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Environmental Protection Regulations 1987</w:t>
            </w:r>
          </w:fldSimple>
        </w:p>
      </w:tc>
    </w:tr>
    <w:tr>
      <w:tc>
        <w:tcPr>
          <w:tcW w:w="1548" w:type="dxa"/>
        </w:tcPr>
        <w:p>
          <w:pPr>
            <w:pStyle w:val="HeaderNumberLeft"/>
          </w:pPr>
          <w:r>
            <w:fldChar w:fldCharType="begin"/>
          </w:r>
          <w:r>
            <w:instrText xml:space="preserve"> IF </w:instrText>
          </w:r>
          <w:fldSimple w:instr=" STYLEREF CharSchno \n ">
            <w:r>
              <w:rPr>
                <w:noProof/>
              </w:rPr>
              <w:instrText>0</w:instrText>
            </w:r>
          </w:fldSimple>
          <w:r>
            <w:instrText xml:space="preserve"> = 0 "</w:instrText>
          </w:r>
          <w:fldSimple w:instr=" STYLEREF CharSchno ">
            <w:r>
              <w:rPr>
                <w:noProof/>
              </w:rPr>
              <w:instrText>Schedule 5</w:instrText>
            </w:r>
          </w:fldSimple>
          <w:r>
            <w:instrText>" "</w:instrText>
          </w:r>
          <w:r>
            <w:fldChar w:fldCharType="begin"/>
          </w:r>
          <w:r>
            <w:instrText xml:space="preserve"> STYLEREF CharSchno </w:instrText>
          </w:r>
          <w:r>
            <w:fldChar w:fldCharType="end"/>
          </w:r>
          <w:r>
            <w:instrText xml:space="preserve"> </w:instrText>
          </w:r>
          <w:fldSimple w:instr=" STYLEREF CharSchno \n ">
            <w:r>
              <w:rPr>
                <w:noProof/>
              </w:rPr>
              <w:instrText>0</w:instrText>
            </w:r>
          </w:fldSimple>
          <w:r>
            <w:instrText>"</w:instrText>
          </w:r>
          <w:r>
            <w:fldChar w:fldCharType="separate"/>
          </w:r>
          <w:r>
            <w:rPr>
              <w:noProof/>
            </w:rPr>
            <w:t>Schedule 5</w:t>
          </w:r>
          <w:r>
            <w:fldChar w:fldCharType="end"/>
          </w:r>
        </w:p>
      </w:tc>
      <w:tc>
        <w:tcPr>
          <w:tcW w:w="5715" w:type="dxa"/>
        </w:tcPr>
        <w:p>
          <w:pPr>
            <w:pStyle w:val="HeaderTextLeft"/>
          </w:pPr>
          <w:fldSimple w:instr=" styleref CharSchText ">
            <w:r>
              <w:rPr>
                <w:noProof/>
              </w:rPr>
              <w:t>Tyre landfill exclusion zone</w:t>
            </w:r>
          </w:fldSimple>
        </w:p>
      </w:tc>
    </w:tr>
    <w:tr>
      <w:tc>
        <w:tcPr>
          <w:tcW w:w="1548" w:type="dxa"/>
        </w:tcPr>
        <w:p>
          <w:pPr>
            <w:pStyle w:val="HeaderNumberLeft"/>
          </w:pPr>
          <w:r>
            <w:fldChar w:fldCharType="begin"/>
          </w:r>
          <w:r>
            <w:instrText xml:space="preserve"> IF </w:instrText>
          </w:r>
          <w:fldSimple w:instr=" STYLEREF CharSDivNo \n ">
            <w:r>
              <w:rPr>
                <w:noProof/>
              </w:rPr>
              <w:instrText>0</w:instrText>
            </w:r>
          </w:fldSimple>
          <w:r>
            <w:instrText xml:space="preserve"> = 0 "</w:instrText>
          </w:r>
          <w:fldSimple w:instr=" STYLEREF CharSDivNo ">
            <w:r>
              <w:rPr>
                <w:noProof/>
              </w:rPr>
              <w:instrText>Part 2</w:instrText>
            </w:r>
          </w:fldSimple>
          <w:r>
            <w:instrText>" "</w:instrText>
          </w:r>
          <w:fldSimple w:instr=" STYLEREF CharSDivNo ">
            <w:r>
              <w:rPr>
                <w:noProof/>
              </w:rPr>
              <w:instrText>Part 1</w:instrText>
            </w:r>
          </w:fldSimple>
          <w:r>
            <w:instrText xml:space="preserve"> </w:instrText>
          </w:r>
          <w:fldSimple w:instr=" STYLEREF CharSDivNo \n ">
            <w:r>
              <w:rPr>
                <w:noProof/>
              </w:rPr>
              <w:instrText>0</w:instrText>
            </w:r>
          </w:fldSimple>
          <w:r>
            <w:instrText>"</w:instrText>
          </w:r>
          <w:r>
            <w:fldChar w:fldCharType="separate"/>
          </w:r>
          <w:r>
            <w:rPr>
              <w:noProof/>
            </w:rPr>
            <w:t>Part 2</w:t>
          </w:r>
          <w:r>
            <w:fldChar w:fldCharType="end"/>
          </w:r>
        </w:p>
      </w:tc>
      <w:tc>
        <w:tcPr>
          <w:tcW w:w="5715" w:type="dxa"/>
        </w:tcPr>
        <w:p>
          <w:pPr>
            <w:pStyle w:val="HeaderTextLeft"/>
          </w:pPr>
          <w:fldSimple w:instr=" styleref CharSDivText ">
            <w:r>
              <w:rPr>
                <w:noProof/>
              </w:rPr>
              <w:t>Country</w:t>
            </w:r>
          </w:fldSimple>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Environmental Protection Regulations 1987</w:t>
            </w:r>
          </w:fldSimple>
        </w:p>
      </w:tc>
    </w:tr>
    <w:tr>
      <w:tc>
        <w:tcPr>
          <w:tcW w:w="5715" w:type="dxa"/>
          <w:vAlign w:val="bottom"/>
        </w:tcPr>
        <w:p>
          <w:pPr>
            <w:pStyle w:val="HeaderTextRight"/>
          </w:pPr>
          <w:fldSimple w:instr=" styleref CharSchText ">
            <w:r>
              <w:rPr>
                <w:noProof/>
              </w:rPr>
              <w:t>Tyre landfill exclusion zone</w:t>
            </w:r>
          </w:fldSimple>
        </w:p>
      </w:tc>
      <w:tc>
        <w:tcPr>
          <w:tcW w:w="1548" w:type="dxa"/>
        </w:tcPr>
        <w:p>
          <w:pPr>
            <w:pStyle w:val="HeaderNumberRight"/>
            <w:ind w:right="17"/>
          </w:pPr>
          <w:fldSimple w:instr=" styleref CharSchno ">
            <w:r>
              <w:rPr>
                <w:noProof/>
              </w:rPr>
              <w:t>Schedule 5</w:t>
            </w:r>
          </w:fldSimple>
        </w:p>
      </w:tc>
    </w:tr>
    <w:tr>
      <w:tc>
        <w:tcPr>
          <w:tcW w:w="5715" w:type="dxa"/>
        </w:tcPr>
        <w:p>
          <w:pPr>
            <w:pStyle w:val="HeaderTextRight"/>
          </w:pPr>
          <w:fldSimple w:instr=" styleref CharSDivText ">
            <w:r>
              <w:rPr>
                <w:noProof/>
              </w:rPr>
              <w:t>Country</w:t>
            </w:r>
          </w:fldSimple>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separate"/>
          </w:r>
          <w:r>
            <w:rPr>
              <w:bCs/>
              <w:noProof/>
            </w:rPr>
            <w:t>Part 2</w: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Environmental Protection Regulations 1987</w:t>
            </w:r>
          </w:fldSimple>
        </w:p>
      </w:tc>
    </w:tr>
    <w:tr>
      <w:tc>
        <w:tcPr>
          <w:tcW w:w="1548" w:type="dxa"/>
        </w:tcPr>
        <w:p>
          <w:pPr>
            <w:pStyle w:val="HeaderNumberLeft"/>
            <w:rPr>
              <w:b w:val="0"/>
            </w:rPr>
          </w:pPr>
          <w:fldSimple w:instr=" styleref CharSchno ">
            <w:r>
              <w:rPr>
                <w:noProof/>
              </w:rPr>
              <w:t>Schedule 5A</w:t>
            </w:r>
          </w:fldSimple>
        </w:p>
      </w:tc>
      <w:tc>
        <w:tcPr>
          <w:tcW w:w="5715" w:type="dxa"/>
        </w:tcPr>
        <w:p>
          <w:pPr>
            <w:pStyle w:val="HeaderTextLeft"/>
          </w:pPr>
          <w:fldSimple w:instr=" styleref CharSchText ">
            <w:r>
              <w:rPr>
                <w:noProof/>
              </w:rPr>
              <w:t>Areas where burning matter on or from development sites is prohibited</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Environmental Protection Regulations 1987</w:t>
            </w:r>
          </w:fldSimple>
        </w:p>
      </w:tc>
    </w:tr>
    <w:tr>
      <w:tc>
        <w:tcPr>
          <w:tcW w:w="5715" w:type="dxa"/>
          <w:vAlign w:val="bottom"/>
        </w:tcPr>
        <w:p>
          <w:pPr>
            <w:pStyle w:val="HeaderTextRight"/>
          </w:pPr>
          <w:fldSimple w:instr=" styleref CharSchText ">
            <w:r>
              <w:rPr>
                <w:noProof/>
              </w:rPr>
              <w:t>Areas where burning matter on or from development sites is prohibited</w:t>
            </w:r>
          </w:fldSimple>
        </w:p>
      </w:tc>
      <w:tc>
        <w:tcPr>
          <w:tcW w:w="1548" w:type="dxa"/>
        </w:tcPr>
        <w:p>
          <w:pPr>
            <w:pStyle w:val="HeaderNumberRight"/>
            <w:ind w:right="17"/>
          </w:pPr>
          <w:fldSimple w:instr=" styleref CharSchno ">
            <w:r>
              <w:rPr>
                <w:noProof/>
              </w:rPr>
              <w:t>Schedule 5A</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Environmental Protection Regulations 1987</w:t>
            </w:r>
          </w:fldSimple>
        </w:p>
      </w:tc>
    </w:tr>
    <w:tr>
      <w:tc>
        <w:tcPr>
          <w:tcW w:w="1548" w:type="dxa"/>
        </w:tcPr>
        <w:p>
          <w:pPr>
            <w:pStyle w:val="HeaderNumberLeft"/>
            <w:rPr>
              <w:b w:val="0"/>
            </w:rPr>
          </w:pPr>
          <w:fldSimple w:instr=" styleref CharSchno ">
            <w:r>
              <w:rPr>
                <w:noProof/>
              </w:rPr>
              <w:t>Schedule 6</w:t>
            </w:r>
          </w:fldSimple>
        </w:p>
      </w:tc>
      <w:tc>
        <w:tcPr>
          <w:tcW w:w="5715" w:type="dxa"/>
        </w:tcPr>
        <w:p>
          <w:pPr>
            <w:pStyle w:val="HeaderTextLeft"/>
          </w:pPr>
          <w:fldSimple w:instr=" styleref CharSchText ">
            <w:r>
              <w:rPr>
                <w:noProof/>
              </w:rPr>
              <w:t>Infringement notice offences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fldChar w:fldCharType="begin"/>
          </w:r>
          <w:r>
            <w:instrText xml:space="preserve"> IF </w:instrText>
          </w:r>
          <w:fldSimple w:instr=" StyleRef CharSClsNo ">
            <w:r>
              <w:rPr>
                <w:noProof/>
              </w:rPr>
              <w:instrText>2</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2</w:instrText>
            </w:r>
          </w:fldSimple>
          <w:r>
            <w:instrText xml:space="preserve"> </w:instrText>
          </w:r>
          <w:r>
            <w:fldChar w:fldCharType="separate"/>
          </w:r>
          <w:r>
            <w:rPr>
              <w:noProof/>
            </w:rPr>
            <w:t>2</w:t>
          </w:r>
          <w:r>
            <w:fldChar w:fldCharType="end"/>
          </w:r>
        </w:p>
      </w:tc>
      <w:tc>
        <w:tcPr>
          <w:tcW w:w="5715" w:type="dxa"/>
        </w:tcPr>
        <w:p>
          <w:pPr>
            <w:pStyle w:val="HeaderTextLeft"/>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Environmental Protection Regulations 1987</w:t>
            </w:r>
          </w:fldSimple>
        </w:p>
      </w:tc>
    </w:tr>
    <w:tr>
      <w:tc>
        <w:tcPr>
          <w:tcW w:w="5715" w:type="dxa"/>
          <w:vAlign w:val="bottom"/>
        </w:tcPr>
        <w:p>
          <w:pPr>
            <w:pStyle w:val="HeaderTextRight"/>
          </w:pPr>
          <w:fldSimple w:instr=" styleref CharSchText ">
            <w:r>
              <w:rPr>
                <w:noProof/>
              </w:rPr>
              <w:t>Infringement notice offences</w:t>
            </w:r>
          </w:fldSimple>
        </w:p>
      </w:tc>
      <w:tc>
        <w:tcPr>
          <w:tcW w:w="1548" w:type="dxa"/>
        </w:tcPr>
        <w:p>
          <w:pPr>
            <w:pStyle w:val="HeaderNumberRight"/>
            <w:ind w:right="17"/>
          </w:pPr>
          <w:fldSimple w:instr=" styleref CharSchno ">
            <w:r>
              <w:rPr>
                <w:noProof/>
              </w:rPr>
              <w:t>Schedule 6</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fldChar w:fldCharType="begin"/>
          </w:r>
          <w:r>
            <w:instrText xml:space="preserve"> IF </w:instrText>
          </w:r>
          <w:fldSimple w:instr=" StyleRef CharSClsNo ">
            <w:r>
              <w:rPr>
                <w:noProof/>
              </w:rPr>
              <w:instrText>2</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2</w:instrText>
            </w:r>
          </w:fldSimple>
          <w:r>
            <w:instrText xml:space="preserve"> </w:instrText>
          </w:r>
          <w:r>
            <w:fldChar w:fldCharType="separate"/>
          </w:r>
          <w:r>
            <w:rPr>
              <w:noProof/>
            </w:rPr>
            <w:t>2</w:t>
          </w:r>
          <w:r>
            <w:fldChar w:fldCharType="end"/>
          </w:r>
        </w:p>
      </w:tc>
    </w:tr>
  </w:tbl>
  <w:p>
    <w:pPr>
      <w:pStyle w:val="Header"/>
      <w:pBdr>
        <w:top w:val="single" w:sz="4" w:space="1" w:color="auto"/>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Environmental Protection Regulations 1987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Environmental Protection Regulations 1987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Environmental Protection Regulations 1987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r>
            <w:t>Defined terms</w:t>
          </w:r>
        </w:p>
      </w:tc>
    </w:tr>
  </w:tbl>
  <w:p>
    <w:pPr>
      <w:pStyle w:val="Header"/>
      <w:pBdr>
        <w:top w:val="single" w:sz="4" w:space="1" w:color="auto"/>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Environmental Protection Regulations 1987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r>
            <w:t>Defined terms</w:t>
          </w:r>
        </w:p>
      </w:tc>
    </w:tr>
  </w:tbl>
  <w:p>
    <w:pPr>
      <w:pStyle w:val="Header"/>
      <w:pBdr>
        <w:top w:val="single" w:sz="4" w:space="1" w:color="auto"/>
      </w:pBd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490"/>
      <w:gridCol w:w="5773"/>
    </w:tblGrid>
    <w:tr>
      <w:trPr>
        <w:cantSplit/>
      </w:trPr>
      <w:tc>
        <w:tcPr>
          <w:tcW w:w="7263" w:type="dxa"/>
          <w:gridSpan w:val="2"/>
        </w:tcPr>
        <w:p>
          <w:pPr>
            <w:pStyle w:val="HeaderActNameLeft"/>
          </w:pPr>
          <w:fldSimple w:instr=" Styleref &quot;Name of Act/Reg&quot; ">
            <w:r>
              <w:rPr>
                <w:noProof/>
              </w:rPr>
              <w:t>Environmental Protection Regulations 1987</w:t>
            </w:r>
          </w:fldSimple>
        </w:p>
      </w:tc>
    </w:tr>
    <w:tr>
      <w:tc>
        <w:tcPr>
          <w:tcW w:w="1490" w:type="dxa"/>
        </w:tcPr>
        <w:p>
          <w:pPr>
            <w:pStyle w:val="HeaderNumberLeft"/>
          </w:pPr>
        </w:p>
      </w:tc>
      <w:tc>
        <w:tcPr>
          <w:tcW w:w="5773" w:type="dxa"/>
        </w:tcPr>
        <w:p>
          <w:pPr>
            <w:pStyle w:val="HeaderTextLeft"/>
          </w:pPr>
        </w:p>
      </w:tc>
    </w:tr>
    <w:tr>
      <w:tc>
        <w:tcPr>
          <w:tcW w:w="1490" w:type="dxa"/>
        </w:tcPr>
        <w:p>
          <w:pPr>
            <w:pStyle w:val="HeaderNumberLeft"/>
          </w:pPr>
        </w:p>
      </w:tc>
      <w:tc>
        <w:tcPr>
          <w:tcW w:w="5773" w:type="dxa"/>
        </w:tcPr>
        <w:p>
          <w:pPr>
            <w:pStyle w:val="HeaderTextLeft"/>
          </w:pPr>
        </w:p>
      </w:tc>
    </w:tr>
    <w:tr>
      <w:trPr>
        <w:cantSplit/>
      </w:trPr>
      <w:tc>
        <w:tcPr>
          <w:tcW w:w="7263" w:type="dxa"/>
          <w:gridSpan w:val="2"/>
        </w:tcPr>
        <w:p>
          <w:pPr>
            <w:pStyle w:val="HeaderSectionRight"/>
            <w:ind w:right="17"/>
            <w:jc w:val="left"/>
            <w:rPr>
              <w:bCs/>
            </w:rPr>
          </w:pPr>
          <w:r>
            <w:t>Defined Terms</w:t>
          </w:r>
        </w:p>
      </w:tc>
    </w:tr>
  </w:tbl>
  <w:p>
    <w:pPr>
      <w:pStyle w:val="Header"/>
      <w:pBdr>
        <w:top w:val="single" w:sz="4" w:space="1" w:color="auto"/>
      </w:pBd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42"/>
      <w:gridCol w:w="1521"/>
    </w:tblGrid>
    <w:tr>
      <w:trPr>
        <w:cantSplit/>
      </w:trPr>
      <w:tc>
        <w:tcPr>
          <w:tcW w:w="7263" w:type="dxa"/>
          <w:gridSpan w:val="2"/>
        </w:tcPr>
        <w:p>
          <w:pPr>
            <w:pStyle w:val="HeaderActNameRight"/>
            <w:ind w:right="17"/>
          </w:pPr>
          <w:fldSimple w:instr=" Styleref &quot;Name of Act/Reg&quot; ">
            <w:r>
              <w:rPr>
                <w:noProof/>
              </w:rPr>
              <w:t>Environmental Protection Regulations 1987</w:t>
            </w:r>
          </w:fldSimple>
        </w:p>
      </w:tc>
    </w:tr>
    <w:tr>
      <w:tc>
        <w:tcPr>
          <w:tcW w:w="5742" w:type="dxa"/>
        </w:tcPr>
        <w:p>
          <w:pPr>
            <w:pStyle w:val="HeaderTextRight"/>
          </w:pPr>
        </w:p>
      </w:tc>
      <w:tc>
        <w:tcPr>
          <w:tcW w:w="1521" w:type="dxa"/>
        </w:tcPr>
        <w:p>
          <w:pPr>
            <w:pStyle w:val="HeaderNumberRight"/>
            <w:ind w:right="17"/>
          </w:pPr>
        </w:p>
      </w:tc>
    </w:tr>
    <w:tr>
      <w:tc>
        <w:tcPr>
          <w:tcW w:w="5742" w:type="dxa"/>
        </w:tcPr>
        <w:p>
          <w:pPr>
            <w:pStyle w:val="HeaderTextRight"/>
          </w:pPr>
        </w:p>
      </w:tc>
      <w:tc>
        <w:tcPr>
          <w:tcW w:w="1521" w:type="dxa"/>
        </w:tcPr>
        <w:p>
          <w:pPr>
            <w:pStyle w:val="HeaderNumberRight"/>
            <w:ind w:right="17"/>
          </w:pPr>
        </w:p>
      </w:tc>
    </w:tr>
    <w:tr>
      <w:trPr>
        <w:cantSplit/>
      </w:trPr>
      <w:tc>
        <w:tcPr>
          <w:tcW w:w="7263" w:type="dxa"/>
          <w:gridSpan w:val="2"/>
        </w:tcPr>
        <w:p>
          <w:pPr>
            <w:pStyle w:val="HeaderSectionRight"/>
            <w:ind w:right="17"/>
          </w:pPr>
          <w:r>
            <w:rPr>
              <w:bCs/>
            </w:rPr>
            <w:t>Defined terms</w:t>
          </w:r>
        </w:p>
      </w:tc>
    </w:tr>
  </w:tbl>
  <w:p>
    <w:pPr>
      <w:pStyle w:val="Header"/>
      <w:pBdr>
        <w:top w:val="single" w:sz="4" w:space="1" w:color="auto"/>
      </w:pBd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29"/>
  </w:num>
  <w:num w:numId="3">
    <w:abstractNumId w:val="17"/>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2"/>
  </w:num>
  <w:num w:numId="15">
    <w:abstractNumId w:val="17"/>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22"/>
  </w:num>
  <w:num w:numId="27">
    <w:abstractNumId w:val="14"/>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567"/>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1128143217"/>
    <w:docVar w:name="WAFER_20131218144017" w:val="RemoveTocBookmarks,RemoveUnusedBookmarks,RemoveLanguageTags,UsedStyles,ResetPageSize,UpdateArrangement"/>
    <w:docVar w:name="WAFER_20131218144017_GUID" w:val="d1032d6a-de17-45ab-8001-7e5c1803cb2b"/>
    <w:docVar w:name="WAFER_20140731151234" w:val="RemoveTocBookmarks,RemoveUnusedBookmarks,RemoveLanguageTags,UsedStyles,ResetPageSize,UpdateArrangement"/>
    <w:docVar w:name="WAFER_20140731151234_GUID" w:val="55ff77f4-08b9-4a9a-a068-fc0829a8fb00"/>
    <w:docVar w:name="WAFER_20141010101713" w:val="RemoveTocBookmarks,RemoveUnusedBookmarks,RemoveLanguageTags,UsedStyles,ResetPageSize,RemoveCustomizations"/>
    <w:docVar w:name="WAFER_20141010101713_GUID" w:val="9a45aa3f-8d41-4175-9f6c-0750c47d6666"/>
    <w:docVar w:name="WAFER_20141010101820" w:val="RemoveTocBookmarks,RemoveUnusedBookmarks,RemoveLanguageTags,UsedStyles,ResetPageSize,RemoveCustomizations,UpdateArrangement"/>
    <w:docVar w:name="WAFER_20141010101820_GUID" w:val="073c0dc4-a6b0-4320-a5e6-9804a0d5d104"/>
    <w:docVar w:name="WAFER_20141128143217" w:val="RemoveTocBookmarks,RemoveUnusedBookmarks,RemoveLanguageTags"/>
    <w:docVar w:name="WAFER_20141128143217_GUID" w:val="33610203-ac5e-497c-8694-2cf87785b4d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Normal"/>
    <w:pPr>
      <w:tabs>
        <w:tab w:val="right" w:pos="2765"/>
        <w:tab w:val="left" w:pos="3053"/>
      </w:tabs>
      <w:spacing w:before="60"/>
      <w:ind w:left="3050" w:hanging="3050"/>
    </w:pPr>
    <w:rPr>
      <w:i/>
      <w:sz w:val="20"/>
    </w:rPr>
  </w:style>
  <w:style w:type="paragraph" w:customStyle="1" w:styleId="nEdnotepara">
    <w:name w:val="nEdnote(para)"/>
    <w:basedOn w:val="Normal"/>
    <w:pPr>
      <w:tabs>
        <w:tab w:val="right" w:pos="1325"/>
        <w:tab w:val="left" w:pos="1613"/>
      </w:tabs>
      <w:spacing w:before="60"/>
      <w:ind w:left="1610" w:hanging="1610"/>
    </w:pPr>
    <w:rPr>
      <w:i/>
      <w:sz w:val="20"/>
    </w:rPr>
  </w:style>
  <w:style w:type="paragraph" w:customStyle="1" w:styleId="nEdnotesection">
    <w:name w:val="nEdnote(section)"/>
    <w:basedOn w:val="Normal"/>
    <w:pPr>
      <w:tabs>
        <w:tab w:val="left" w:pos="893"/>
      </w:tabs>
      <w:spacing w:before="100"/>
      <w:ind w:left="890" w:hanging="890"/>
    </w:pPr>
    <w:rPr>
      <w:i/>
      <w:snapToGrid w:val="0"/>
      <w:sz w:val="20"/>
    </w:rPr>
  </w:style>
  <w:style w:type="paragraph" w:customStyle="1" w:styleId="nEdnotesubpara">
    <w:name w:val="nEdnote(subpara)"/>
    <w:basedOn w:val="Normal"/>
    <w:pPr>
      <w:tabs>
        <w:tab w:val="right" w:pos="2047"/>
        <w:tab w:val="left" w:pos="2333"/>
      </w:tabs>
      <w:spacing w:before="80"/>
      <w:ind w:left="2330" w:hanging="2330"/>
    </w:pPr>
    <w:rPr>
      <w:i/>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DefinedTerms">
    <w:name w:val="Defined Terms"/>
    <w:pPr>
      <w:tabs>
        <w:tab w:val="right" w:leader="dot" w:pos="7070"/>
      </w:tabs>
      <w:ind w:left="578" w:right="578"/>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Normal"/>
    <w:pPr>
      <w:tabs>
        <w:tab w:val="left" w:pos="893"/>
      </w:tabs>
      <w:spacing w:before="600"/>
      <w:ind w:left="890" w:hanging="890"/>
      <w:outlineLvl w:val="1"/>
    </w:pPr>
    <w:rPr>
      <w:i/>
      <w:snapToGrid w:val="0"/>
      <w:sz w:val="22"/>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pPr>
      <w:tabs>
        <w:tab w:val="clear" w:pos="1613"/>
        <w:tab w:val="clear" w:pos="1901"/>
        <w:tab w:val="right" w:pos="1332"/>
        <w:tab w:val="left" w:pos="1616"/>
      </w:tabs>
      <w:spacing w:before="80"/>
      <w:ind w:left="1616" w:hanging="1616"/>
    </w:pPr>
    <w:rPr>
      <w:snapToGrid w:val="0"/>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zyTableNAm">
    <w:name w:val="zyTableNAm"/>
    <w:basedOn w:val="TableAm"/>
    <w:rPr>
      <w:sz w:val="22"/>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link w:val="CommentSubjectChar"/>
    <w:rPr>
      <w:b/>
      <w:bCs/>
      <w:sz w:val="20"/>
    </w:rPr>
  </w:style>
  <w:style w:type="character" w:customStyle="1" w:styleId="CommentTextChar">
    <w:name w:val="Comment Text Char"/>
    <w:basedOn w:val="DefaultParagraphFont"/>
    <w:link w:val="CommentText"/>
    <w:semiHidden/>
    <w:rPr>
      <w:sz w:val="24"/>
    </w:rPr>
  </w:style>
  <w:style w:type="character" w:customStyle="1" w:styleId="CommentSubjectChar">
    <w:name w:val="Comment Subject Char"/>
    <w:basedOn w:val="CommentTextChar"/>
    <w:link w:val="CommentSubject"/>
    <w:rPr>
      <w:b/>
      <w:bCs/>
      <w:sz w:val="24"/>
    </w:rPr>
  </w:style>
  <w:style w:type="paragraph" w:styleId="Revision">
    <w:name w:val="Revision"/>
    <w:hidden/>
    <w:uiPriority w:val="99"/>
    <w:semiHidden/>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Normal"/>
    <w:pPr>
      <w:tabs>
        <w:tab w:val="right" w:pos="2765"/>
        <w:tab w:val="left" w:pos="3053"/>
      </w:tabs>
      <w:spacing w:before="60"/>
      <w:ind w:left="3050" w:hanging="3050"/>
    </w:pPr>
    <w:rPr>
      <w:i/>
      <w:sz w:val="20"/>
    </w:rPr>
  </w:style>
  <w:style w:type="paragraph" w:customStyle="1" w:styleId="nEdnotepara">
    <w:name w:val="nEdnote(para)"/>
    <w:basedOn w:val="Normal"/>
    <w:pPr>
      <w:tabs>
        <w:tab w:val="right" w:pos="1325"/>
        <w:tab w:val="left" w:pos="1613"/>
      </w:tabs>
      <w:spacing w:before="60"/>
      <w:ind w:left="1610" w:hanging="1610"/>
    </w:pPr>
    <w:rPr>
      <w:i/>
      <w:sz w:val="20"/>
    </w:rPr>
  </w:style>
  <w:style w:type="paragraph" w:customStyle="1" w:styleId="nEdnotesection">
    <w:name w:val="nEdnote(section)"/>
    <w:basedOn w:val="Normal"/>
    <w:pPr>
      <w:tabs>
        <w:tab w:val="left" w:pos="893"/>
      </w:tabs>
      <w:spacing w:before="100"/>
      <w:ind w:left="890" w:hanging="890"/>
    </w:pPr>
    <w:rPr>
      <w:i/>
      <w:snapToGrid w:val="0"/>
      <w:sz w:val="20"/>
    </w:rPr>
  </w:style>
  <w:style w:type="paragraph" w:customStyle="1" w:styleId="nEdnotesubpara">
    <w:name w:val="nEdnote(subpara)"/>
    <w:basedOn w:val="Normal"/>
    <w:pPr>
      <w:tabs>
        <w:tab w:val="right" w:pos="2047"/>
        <w:tab w:val="left" w:pos="2333"/>
      </w:tabs>
      <w:spacing w:before="80"/>
      <w:ind w:left="2330" w:hanging="2330"/>
    </w:pPr>
    <w:rPr>
      <w:i/>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DefinedTerms">
    <w:name w:val="Defined Terms"/>
    <w:pPr>
      <w:tabs>
        <w:tab w:val="right" w:leader="dot" w:pos="7070"/>
      </w:tabs>
      <w:ind w:left="578" w:right="578"/>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Normal"/>
    <w:pPr>
      <w:tabs>
        <w:tab w:val="left" w:pos="893"/>
      </w:tabs>
      <w:spacing w:before="600"/>
      <w:ind w:left="890" w:hanging="890"/>
      <w:outlineLvl w:val="1"/>
    </w:pPr>
    <w:rPr>
      <w:i/>
      <w:snapToGrid w:val="0"/>
      <w:sz w:val="22"/>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pPr>
      <w:tabs>
        <w:tab w:val="clear" w:pos="1613"/>
        <w:tab w:val="clear" w:pos="1901"/>
        <w:tab w:val="right" w:pos="1332"/>
        <w:tab w:val="left" w:pos="1616"/>
      </w:tabs>
      <w:spacing w:before="80"/>
      <w:ind w:left="1616" w:hanging="1616"/>
    </w:pPr>
    <w:rPr>
      <w:snapToGrid w:val="0"/>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zyTableNAm">
    <w:name w:val="zyTableNAm"/>
    <w:basedOn w:val="TableAm"/>
    <w:rPr>
      <w:sz w:val="22"/>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link w:val="CommentSubjectChar"/>
    <w:rPr>
      <w:b/>
      <w:bCs/>
      <w:sz w:val="20"/>
    </w:rPr>
  </w:style>
  <w:style w:type="character" w:customStyle="1" w:styleId="CommentTextChar">
    <w:name w:val="Comment Text Char"/>
    <w:basedOn w:val="DefaultParagraphFont"/>
    <w:link w:val="CommentText"/>
    <w:semiHidden/>
    <w:rPr>
      <w:sz w:val="24"/>
    </w:rPr>
  </w:style>
  <w:style w:type="character" w:customStyle="1" w:styleId="CommentSubjectChar">
    <w:name w:val="Comment Subject Char"/>
    <w:basedOn w:val="CommentTextChar"/>
    <w:link w:val="CommentSubject"/>
    <w:rPr>
      <w:b/>
      <w:bCs/>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image" Target="media/image5.wmf"/><Relationship Id="rId39" Type="http://schemas.openxmlformats.org/officeDocument/2006/relationships/header" Target="header16.xml"/><Relationship Id="rId21" Type="http://schemas.openxmlformats.org/officeDocument/2006/relationships/footer" Target="footer5.xml"/><Relationship Id="rId34" Type="http://schemas.openxmlformats.org/officeDocument/2006/relationships/header" Target="header11.xml"/><Relationship Id="rId42" Type="http://schemas.openxmlformats.org/officeDocument/2006/relationships/header" Target="header18.xml"/><Relationship Id="rId47" Type="http://schemas.openxmlformats.org/officeDocument/2006/relationships/header" Target="header23.xml"/><Relationship Id="rId50" Type="http://schemas.openxmlformats.org/officeDocument/2006/relationships/header" Target="header24.xm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4.wmf"/><Relationship Id="rId33" Type="http://schemas.openxmlformats.org/officeDocument/2006/relationships/header" Target="header10.xml"/><Relationship Id="rId38" Type="http://schemas.openxmlformats.org/officeDocument/2006/relationships/header" Target="header15.xml"/><Relationship Id="rId46" Type="http://schemas.openxmlformats.org/officeDocument/2006/relationships/header" Target="header2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7.xml"/><Relationship Id="rId41" Type="http://schemas.openxmlformats.org/officeDocument/2006/relationships/header" Target="header17.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3.png"/><Relationship Id="rId32" Type="http://schemas.openxmlformats.org/officeDocument/2006/relationships/footer" Target="footer9.xml"/><Relationship Id="rId37" Type="http://schemas.openxmlformats.org/officeDocument/2006/relationships/header" Target="header14.xml"/><Relationship Id="rId40" Type="http://schemas.openxmlformats.org/officeDocument/2006/relationships/image" Target="media/image6.png"/><Relationship Id="rId45" Type="http://schemas.openxmlformats.org/officeDocument/2006/relationships/header" Target="header21.xml"/><Relationship Id="rId53" Type="http://schemas.openxmlformats.org/officeDocument/2006/relationships/header" Target="header27.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8.xml"/><Relationship Id="rId36" Type="http://schemas.openxmlformats.org/officeDocument/2006/relationships/header" Target="header13.xml"/><Relationship Id="rId49" Type="http://schemas.openxmlformats.org/officeDocument/2006/relationships/footer" Target="footer11.xml"/><Relationship Id="rId10" Type="http://schemas.openxmlformats.org/officeDocument/2006/relationships/image" Target="media/image2.wmf"/><Relationship Id="rId19" Type="http://schemas.openxmlformats.org/officeDocument/2006/relationships/header" Target="header5.xml"/><Relationship Id="rId31" Type="http://schemas.openxmlformats.org/officeDocument/2006/relationships/header" Target="header9.xml"/><Relationship Id="rId44" Type="http://schemas.openxmlformats.org/officeDocument/2006/relationships/header" Target="header20.xml"/><Relationship Id="rId52" Type="http://schemas.openxmlformats.org/officeDocument/2006/relationships/header" Target="header26.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header" Target="header12.xml"/><Relationship Id="rId43" Type="http://schemas.openxmlformats.org/officeDocument/2006/relationships/header" Target="header19.xml"/><Relationship Id="rId48" Type="http://schemas.openxmlformats.org/officeDocument/2006/relationships/footer" Target="footer10.xml"/><Relationship Id="rId8" Type="http://schemas.openxmlformats.org/officeDocument/2006/relationships/endnotes" Target="endnotes.xml"/><Relationship Id="rId51" Type="http://schemas.openxmlformats.org/officeDocument/2006/relationships/header" Target="header25.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778E5-69C3-4D6D-9FCA-97E1021CA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128</Pages>
  <Words>27202</Words>
  <Characters>130573</Characters>
  <Application>Microsoft Office Word</Application>
  <DocSecurity>0</DocSecurity>
  <Lines>5222</Lines>
  <Paragraphs>3585</Paragraphs>
  <ScaleCrop>false</ScaleCrop>
  <HeadingPairs>
    <vt:vector size="2" baseType="variant">
      <vt:variant>
        <vt:lpstr>Title</vt:lpstr>
      </vt:variant>
      <vt:variant>
        <vt:i4>1</vt:i4>
      </vt:variant>
    </vt:vector>
  </HeadingPairs>
  <TitlesOfParts>
    <vt:vector size="1" baseType="lpstr">
      <vt:lpstr>Environmental Protection Regulations 1987</vt:lpstr>
    </vt:vector>
  </TitlesOfParts>
  <Manager/>
  <Company/>
  <LinksUpToDate>false</LinksUpToDate>
  <CharactersWithSpaces>154190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Protection Regulations 1987 - 08-00-00</dc:title>
  <dc:subject/>
  <dc:creator/>
  <cp:keywords/>
  <dc:description/>
  <cp:lastModifiedBy>svcMRProcess</cp:lastModifiedBy>
  <cp:revision>4</cp:revision>
  <cp:lastPrinted>2014-12-16T03:04:00Z</cp:lastPrinted>
  <dcterms:created xsi:type="dcterms:W3CDTF">2020-03-08T02:11:00Z</dcterms:created>
  <dcterms:modified xsi:type="dcterms:W3CDTF">2020-03-08T02:11:00Z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20 February 1987 pp.444-9</vt:lpwstr>
  </property>
  <property fmtid="{D5CDD505-2E9C-101B-9397-08002B2CF9AE}" pid="3" name="CommencementDate">
    <vt:lpwstr>20141205</vt:lpwstr>
  </property>
  <property fmtid="{D5CDD505-2E9C-101B-9397-08002B2CF9AE}" pid="4" name="DocumentType">
    <vt:lpwstr>Reg</vt:lpwstr>
  </property>
  <property fmtid="{D5CDD505-2E9C-101B-9397-08002B2CF9AE}" pid="5" name="OwlsUID">
    <vt:i4>4421</vt:i4>
  </property>
  <property fmtid="{D5CDD505-2E9C-101B-9397-08002B2CF9AE}" pid="6" name="AsAtDate">
    <vt:lpwstr>05 Dec 2014</vt:lpwstr>
  </property>
  <property fmtid="{D5CDD505-2E9C-101B-9397-08002B2CF9AE}" pid="7" name="Suffix">
    <vt:lpwstr>08-00-00</vt:lpwstr>
  </property>
  <property fmtid="{D5CDD505-2E9C-101B-9397-08002B2CF9AE}" pid="8" name="ReprintNo">
    <vt:lpwstr>8</vt:lpwstr>
  </property>
  <property fmtid="{D5CDD505-2E9C-101B-9397-08002B2CF9AE}" pid="9" name="ReprintedAsAt">
    <vt:filetime>2014-12-04T16:00:00Z</vt:filetime>
  </property>
</Properties>
</file>