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(Bicycles) Regulations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(Bicycles) Regulations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_Toc417031586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_Toc417031587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_Toc417031588 \h </w:instrText>
      </w:r>
      <w:r>
        <w:fldChar w:fldCharType="separate"/>
      </w:r>
      <w:r>
        <w:t>1</w:t>
      </w:r>
      <w:r>
        <w:fldChar w:fldCharType="end"/>
      </w:r>
    </w:p>
    <w:p>
      <w:pPr>
        <w:pStyle w:val="TOC8"/>
        <w:rPr>
          <w:rFonts w:asciiTheme="minorHAnsi" w:eastAsiaTheme="minorEastAsia" w:hAnsiTheme="minorHAnsi" w:cstheme="minorBidi"/>
          <w:szCs w:val="22"/>
        </w:rPr>
      </w:pPr>
      <w:r>
        <w:t>4</w:t>
      </w:r>
      <w:r>
        <w:rPr>
          <w:spacing w:val="-2"/>
        </w:rPr>
        <w:t>.</w:t>
      </w:r>
      <w:r>
        <w:rPr>
          <w:spacing w:val="-2"/>
        </w:rPr>
        <w:tab/>
        <w:t>Application</w:t>
      </w:r>
      <w:r>
        <w:tab/>
      </w:r>
      <w:r>
        <w:fldChar w:fldCharType="begin"/>
      </w:r>
      <w:r>
        <w:instrText xml:space="preserve"> PAGEREF _Toc417031589 \h </w:instrText>
      </w:r>
      <w:r>
        <w:fldChar w:fldCharType="separate"/>
      </w:r>
      <w:r>
        <w:t>2</w:t>
      </w:r>
      <w:r>
        <w:fldChar w:fldCharType="end"/>
      </w:r>
    </w:p>
    <w:p>
      <w:pPr>
        <w:pStyle w:val="TOC8"/>
        <w:rPr>
          <w:rFonts w:asciiTheme="minorHAnsi" w:eastAsiaTheme="minorEastAsia" w:hAnsiTheme="minorHAnsi" w:cstheme="minorBidi"/>
          <w:szCs w:val="22"/>
        </w:rPr>
      </w:pPr>
      <w:r>
        <w:t>5</w:t>
      </w:r>
      <w:r>
        <w:rPr>
          <w:spacing w:val="-2"/>
        </w:rPr>
        <w:t>.</w:t>
      </w:r>
      <w:r>
        <w:rPr>
          <w:spacing w:val="-2"/>
        </w:rPr>
        <w:tab/>
        <w:t>Adaptations for bicycle riders with physical disabilities</w:t>
      </w:r>
      <w:r>
        <w:tab/>
      </w:r>
      <w:r>
        <w:fldChar w:fldCharType="begin"/>
      </w:r>
      <w:r>
        <w:instrText xml:space="preserve"> PAGEREF _Toc417031590 \h </w:instrText>
      </w:r>
      <w:r>
        <w:fldChar w:fldCharType="separate"/>
      </w:r>
      <w:r>
        <w:t>2</w:t>
      </w:r>
      <w:r>
        <w:fldChar w:fldCharType="end"/>
      </w:r>
    </w:p>
    <w:p>
      <w:pPr>
        <w:pStyle w:val="TOC8"/>
        <w:rPr>
          <w:rFonts w:asciiTheme="minorHAnsi" w:eastAsiaTheme="minorEastAsia" w:hAnsiTheme="minorHAnsi" w:cstheme="minorBidi"/>
          <w:szCs w:val="22"/>
        </w:rPr>
      </w:pPr>
      <w:r>
        <w:t>6</w:t>
      </w:r>
      <w:r>
        <w:rPr>
          <w:spacing w:val="-2"/>
        </w:rPr>
        <w:t>.</w:t>
      </w:r>
      <w:r>
        <w:rPr>
          <w:spacing w:val="-2"/>
        </w:rPr>
        <w:tab/>
        <w:t>Brakes</w:t>
      </w:r>
      <w:r>
        <w:tab/>
      </w:r>
      <w:r>
        <w:fldChar w:fldCharType="begin"/>
      </w:r>
      <w:r>
        <w:instrText xml:space="preserve"> PAGEREF _Toc417031591 \h </w:instrText>
      </w:r>
      <w:r>
        <w:fldChar w:fldCharType="separate"/>
      </w:r>
      <w:r>
        <w:t>2</w:t>
      </w:r>
      <w:r>
        <w:fldChar w:fldCharType="end"/>
      </w:r>
    </w:p>
    <w:p>
      <w:pPr>
        <w:pStyle w:val="TOC8"/>
        <w:rPr>
          <w:rFonts w:asciiTheme="minorHAnsi" w:eastAsiaTheme="minorEastAsia" w:hAnsiTheme="minorHAnsi" w:cstheme="minorBidi"/>
          <w:szCs w:val="22"/>
        </w:rPr>
      </w:pPr>
      <w:r>
        <w:t>7</w:t>
      </w:r>
      <w:r>
        <w:rPr>
          <w:spacing w:val="-2"/>
        </w:rPr>
        <w:t>.</w:t>
      </w:r>
      <w:r>
        <w:rPr>
          <w:spacing w:val="-2"/>
        </w:rPr>
        <w:tab/>
        <w:t>Bell</w:t>
      </w:r>
      <w:r>
        <w:tab/>
      </w:r>
      <w:r>
        <w:fldChar w:fldCharType="begin"/>
      </w:r>
      <w:r>
        <w:instrText xml:space="preserve"> PAGEREF _Toc417031592 \h </w:instrText>
      </w:r>
      <w:r>
        <w:fldChar w:fldCharType="separate"/>
      </w:r>
      <w:r>
        <w:t>2</w:t>
      </w:r>
      <w:r>
        <w:fldChar w:fldCharType="end"/>
      </w:r>
    </w:p>
    <w:p>
      <w:pPr>
        <w:pStyle w:val="TOC8"/>
        <w:rPr>
          <w:rFonts w:asciiTheme="minorHAnsi" w:eastAsiaTheme="minorEastAsia" w:hAnsiTheme="minorHAnsi" w:cstheme="minorBidi"/>
          <w:szCs w:val="22"/>
        </w:rPr>
      </w:pPr>
      <w:r>
        <w:t>8</w:t>
      </w:r>
      <w:r>
        <w:rPr>
          <w:spacing w:val="-2"/>
        </w:rPr>
        <w:t>.</w:t>
      </w:r>
      <w:r>
        <w:rPr>
          <w:spacing w:val="-2"/>
        </w:rPr>
        <w:tab/>
        <w:t>Handle bar</w:t>
      </w:r>
      <w:r>
        <w:tab/>
      </w:r>
      <w:r>
        <w:fldChar w:fldCharType="begin"/>
      </w:r>
      <w:r>
        <w:instrText xml:space="preserve"> PAGEREF _Toc417031593 \h </w:instrText>
      </w:r>
      <w:r>
        <w:fldChar w:fldCharType="separate"/>
      </w:r>
      <w:r>
        <w:t>3</w:t>
      </w:r>
      <w:r>
        <w:fldChar w:fldCharType="end"/>
      </w:r>
    </w:p>
    <w:p>
      <w:pPr>
        <w:pStyle w:val="TOC8"/>
        <w:rPr>
          <w:rFonts w:asciiTheme="minorHAnsi" w:eastAsiaTheme="minorEastAsia" w:hAnsiTheme="minorHAnsi" w:cstheme="minorBidi"/>
          <w:szCs w:val="22"/>
        </w:rPr>
      </w:pPr>
      <w:r>
        <w:t>9</w:t>
      </w:r>
      <w:r>
        <w:rPr>
          <w:spacing w:val="-2"/>
        </w:rPr>
        <w:t>.</w:t>
      </w:r>
      <w:r>
        <w:rPr>
          <w:spacing w:val="-2"/>
        </w:rPr>
        <w:tab/>
        <w:t>Rake and angle of front forks</w:t>
      </w:r>
      <w:r>
        <w:tab/>
      </w:r>
      <w:r>
        <w:fldChar w:fldCharType="begin"/>
      </w:r>
      <w:r>
        <w:instrText xml:space="preserve"> PAGEREF _Toc417031594 \h </w:instrText>
      </w:r>
      <w:r>
        <w:fldChar w:fldCharType="separate"/>
      </w:r>
      <w:r>
        <w:t>3</w:t>
      </w:r>
      <w:r>
        <w:fldChar w:fldCharType="end"/>
      </w:r>
    </w:p>
    <w:p>
      <w:pPr>
        <w:pStyle w:val="TOC8"/>
        <w:rPr>
          <w:rFonts w:asciiTheme="minorHAnsi" w:eastAsiaTheme="minorEastAsia" w:hAnsiTheme="minorHAnsi" w:cstheme="minorBidi"/>
          <w:szCs w:val="22"/>
        </w:rPr>
      </w:pPr>
      <w:r>
        <w:t>10</w:t>
      </w:r>
      <w:r>
        <w:rPr>
          <w:spacing w:val="-2"/>
        </w:rPr>
        <w:t>.</w:t>
      </w:r>
      <w:r>
        <w:rPr>
          <w:spacing w:val="-2"/>
        </w:rPr>
        <w:tab/>
        <w:t>Width of load</w:t>
      </w:r>
      <w:r>
        <w:tab/>
      </w:r>
      <w:r>
        <w:fldChar w:fldCharType="begin"/>
      </w:r>
      <w:r>
        <w:instrText xml:space="preserve"> PAGEREF _Toc417031595 \h </w:instrText>
      </w:r>
      <w:r>
        <w:fldChar w:fldCharType="separate"/>
      </w:r>
      <w:r>
        <w:t>3</w:t>
      </w:r>
      <w:r>
        <w:fldChar w:fldCharType="end"/>
      </w:r>
    </w:p>
    <w:p>
      <w:pPr>
        <w:pStyle w:val="TOC8"/>
        <w:rPr>
          <w:rFonts w:asciiTheme="minorHAnsi" w:eastAsiaTheme="minorEastAsia" w:hAnsiTheme="minorHAnsi" w:cstheme="minorBidi"/>
          <w:szCs w:val="22"/>
        </w:rPr>
      </w:pPr>
      <w:r>
        <w:t>14</w:t>
      </w:r>
      <w:r>
        <w:rPr>
          <w:spacing w:val="-2"/>
        </w:rPr>
        <w:t>.</w:t>
      </w:r>
      <w:r>
        <w:rPr>
          <w:spacing w:val="-2"/>
        </w:rPr>
        <w:tab/>
        <w:t>Child</w:t>
      </w:r>
      <w:r>
        <w:rPr>
          <w:spacing w:val="-2"/>
        </w:rPr>
        <w:noBreakHyphen/>
        <w:t>carrying seats</w:t>
      </w:r>
      <w:r>
        <w:tab/>
      </w:r>
      <w:r>
        <w:fldChar w:fldCharType="begin"/>
      </w:r>
      <w:r>
        <w:instrText xml:space="preserve"> PAGEREF _Toc417031596 \h </w:instrText>
      </w:r>
      <w:r>
        <w:fldChar w:fldCharType="separate"/>
      </w:r>
      <w:r>
        <w:t>3</w:t>
      </w:r>
      <w:r>
        <w:fldChar w:fldCharType="end"/>
      </w:r>
    </w:p>
    <w:p>
      <w:pPr>
        <w:pStyle w:val="TOC8"/>
        <w:rPr>
          <w:rFonts w:asciiTheme="minorHAnsi" w:eastAsiaTheme="minorEastAsia" w:hAnsiTheme="minorHAnsi" w:cstheme="minorBidi"/>
          <w:szCs w:val="22"/>
        </w:rPr>
      </w:pPr>
      <w:r>
        <w:t>15</w:t>
      </w:r>
      <w:r>
        <w:rPr>
          <w:spacing w:val="-2"/>
        </w:rPr>
        <w:t>.</w:t>
      </w:r>
      <w:r>
        <w:rPr>
          <w:spacing w:val="-2"/>
        </w:rPr>
        <w:tab/>
        <w:t>Offences</w:t>
      </w:r>
      <w:r>
        <w:tab/>
      </w:r>
      <w:r>
        <w:fldChar w:fldCharType="begin"/>
      </w:r>
      <w:r>
        <w:instrText xml:space="preserve"> PAGEREF _Toc417031597 \h </w:instrText>
      </w:r>
      <w:r>
        <w:fldChar w:fldCharType="separate"/>
      </w:r>
      <w:r>
        <w:t>4</w:t>
      </w:r>
      <w:r>
        <w:fldChar w:fldCharType="end"/>
      </w:r>
    </w:p>
    <w:p>
      <w:pPr>
        <w:pStyle w:val="TOC8"/>
        <w:rPr>
          <w:rFonts w:asciiTheme="minorHAnsi" w:eastAsiaTheme="minorEastAsia" w:hAnsiTheme="minorHAnsi" w:cstheme="minorBidi"/>
          <w:szCs w:val="22"/>
        </w:rPr>
      </w:pPr>
      <w:r>
        <w:t>16</w:t>
      </w:r>
      <w:r>
        <w:rPr>
          <w:spacing w:val="-2"/>
        </w:rPr>
        <w:t>.</w:t>
      </w:r>
      <w:r>
        <w:rPr>
          <w:spacing w:val="-2"/>
        </w:rPr>
        <w:tab/>
        <w:t>Exemptions and ordering off road</w:t>
      </w:r>
      <w:r>
        <w:tab/>
      </w:r>
      <w:r>
        <w:fldChar w:fldCharType="begin"/>
      </w:r>
      <w:r>
        <w:instrText xml:space="preserve"> PAGEREF _Toc417031598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_Toc417031600 \h </w:instrText>
      </w:r>
      <w:r>
        <w:fldChar w:fldCharType="separate"/>
      </w:r>
      <w:r>
        <w:t>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_Toc417031601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Road Traffic Act 1974</w:t>
      </w:r>
    </w:p>
    <w:p>
      <w:pPr>
        <w:pStyle w:val="NameofActReg"/>
        <w:ind w:left="284" w:right="294"/>
      </w:pPr>
      <w:r>
        <w:t>Road Traffic (Bicycles) Regulations 2002</w:t>
      </w:r>
    </w:p>
    <w:p>
      <w:pPr>
        <w:pStyle w:val="Heading5"/>
      </w:pPr>
      <w:bookmarkStart w:id="3" w:name="_Toc407625189"/>
      <w:bookmarkStart w:id="4" w:name="_Toc407625261"/>
      <w:bookmarkStart w:id="5" w:name="_Toc417031586"/>
      <w:r>
        <w:rPr>
          <w:rStyle w:val="CharSectno"/>
        </w:rPr>
        <w:t>1</w:t>
      </w:r>
      <w:r>
        <w:t>.</w:t>
      </w:r>
      <w:r>
        <w:tab/>
        <w:t>Citation</w:t>
      </w:r>
      <w:bookmarkEnd w:id="3"/>
      <w:bookmarkEnd w:id="4"/>
      <w:bookmarkEnd w:id="5"/>
    </w:p>
    <w:p>
      <w:pPr>
        <w:pStyle w:val="Subsection"/>
      </w:pPr>
      <w:r>
        <w:tab/>
      </w:r>
      <w:r>
        <w:tab/>
      </w:r>
      <w:bookmarkStart w:id="6" w:name="Start_Cursor"/>
      <w:bookmarkEnd w:id="6"/>
      <w:r>
        <w:rPr>
          <w:spacing w:val="-2"/>
        </w:rPr>
        <w:t>These</w:t>
      </w:r>
      <w:r>
        <w:t xml:space="preserve"> </w:t>
      </w:r>
      <w:r>
        <w:rPr>
          <w:spacing w:val="-2"/>
        </w:rPr>
        <w:t>regulations</w:t>
      </w:r>
      <w:r>
        <w:t xml:space="preserve"> may be cited as the </w:t>
      </w:r>
      <w:r>
        <w:rPr>
          <w:i/>
        </w:rPr>
        <w:t>Road Traffic (Bicycles) Regulations 2002</w:t>
      </w:r>
      <w:r>
        <w:t>.</w:t>
      </w:r>
    </w:p>
    <w:p>
      <w:pPr>
        <w:pStyle w:val="Heading5"/>
        <w:rPr>
          <w:spacing w:val="-2"/>
        </w:rPr>
      </w:pPr>
      <w:bookmarkStart w:id="7" w:name="_Toc407625190"/>
      <w:bookmarkStart w:id="8" w:name="_Toc407625262"/>
      <w:bookmarkStart w:id="9" w:name="_Toc417031587"/>
      <w:r>
        <w:rPr>
          <w:rStyle w:val="CharSectno"/>
        </w:rPr>
        <w:t>2</w:t>
      </w:r>
      <w:r>
        <w:rPr>
          <w:spacing w:val="-2"/>
        </w:rPr>
        <w:t>.</w:t>
      </w:r>
      <w:r>
        <w:rPr>
          <w:spacing w:val="-2"/>
        </w:rPr>
        <w:tab/>
        <w:t>Commencement</w:t>
      </w:r>
      <w:bookmarkEnd w:id="7"/>
      <w:bookmarkEnd w:id="8"/>
      <w:bookmarkEnd w:id="9"/>
    </w:p>
    <w:p>
      <w:pPr>
        <w:pStyle w:val="Subsection"/>
        <w:rPr>
          <w:spacing w:val="-2"/>
        </w:rPr>
      </w:pPr>
      <w:r>
        <w:rPr>
          <w:spacing w:val="-2"/>
        </w:rPr>
        <w:tab/>
      </w:r>
      <w:r>
        <w:rPr>
          <w:spacing w:val="-2"/>
        </w:rPr>
        <w:tab/>
        <w:t>These regulations come into operation on 1 November 2002.</w:t>
      </w:r>
    </w:p>
    <w:p>
      <w:pPr>
        <w:pStyle w:val="Heading5"/>
      </w:pPr>
      <w:bookmarkStart w:id="10" w:name="_Toc407625191"/>
      <w:bookmarkStart w:id="11" w:name="_Toc407625263"/>
      <w:bookmarkStart w:id="12" w:name="_Toc417031588"/>
      <w:r>
        <w:rPr>
          <w:rStyle w:val="CharSectno"/>
        </w:rPr>
        <w:t>3</w:t>
      </w:r>
      <w:r>
        <w:t>.</w:t>
      </w:r>
      <w:r>
        <w:tab/>
        <w:t>Interpretation</w:t>
      </w:r>
      <w:bookmarkEnd w:id="10"/>
      <w:bookmarkEnd w:id="11"/>
      <w:bookmarkEnd w:id="12"/>
    </w:p>
    <w:p>
      <w:pPr>
        <w:pStyle w:val="Subsection"/>
      </w:pPr>
      <w:r>
        <w:tab/>
        <w:t>(1)</w:t>
      </w:r>
      <w:r>
        <w:tab/>
        <w:t>In these regulations, unless the contrary intention appears —</w:t>
      </w:r>
    </w:p>
    <w:p>
      <w:pPr>
        <w:pStyle w:val="Defstart"/>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and tricycle; but</w:t>
      </w:r>
    </w:p>
    <w:p>
      <w:pPr>
        <w:pStyle w:val="Defpara"/>
      </w:pPr>
      <w:r>
        <w:tab/>
        <w:t>(b)</w:t>
      </w:r>
      <w:r>
        <w:tab/>
        <w:t>does not include a wheelchair, wheeled recreational device, wheeled toy or any vehicle with an auxiliary motor capable of generating a power output over 200 watts (whether or not the motor is operating);</w:t>
      </w:r>
    </w:p>
    <w:p>
      <w:pPr>
        <w:pStyle w:val="Defstart"/>
      </w:pPr>
      <w:r>
        <w:tab/>
      </w:r>
      <w:r>
        <w:rPr>
          <w:rStyle w:val="CharDefText"/>
        </w:rPr>
        <w:t>Vehicle Standards</w:t>
      </w:r>
      <w:r>
        <w:t xml:space="preserve"> means the </w:t>
      </w:r>
      <w:r>
        <w:rPr>
          <w:i/>
        </w:rPr>
        <w:t>Road Traffic (Vehicle Standards) Rules  2002</w:t>
      </w:r>
      <w:r>
        <w:t>;</w:t>
      </w:r>
    </w:p>
    <w:p>
      <w:pPr>
        <w:pStyle w:val="Defstart"/>
      </w:pPr>
      <w:r>
        <w:tab/>
      </w:r>
      <w:r>
        <w:rPr>
          <w:rStyle w:val="CharDefText"/>
        </w:rPr>
        <w:t>wheeled recreational device</w:t>
      </w:r>
      <w:r>
        <w:t xml:space="preserve"> has the meaning given in the </w:t>
      </w:r>
      <w:r>
        <w:rPr>
          <w:i/>
        </w:rPr>
        <w:t>Road Traffic Code 2000</w:t>
      </w:r>
      <w:r>
        <w:t xml:space="preserve"> regulation 3(1);</w:t>
      </w:r>
    </w:p>
    <w:p>
      <w:pPr>
        <w:pStyle w:val="Defstart"/>
      </w:pPr>
      <w:r>
        <w:tab/>
      </w:r>
      <w:r>
        <w:rPr>
          <w:rStyle w:val="CharDefText"/>
        </w:rPr>
        <w:t>wheeled toy</w:t>
      </w:r>
      <w:r>
        <w:t xml:space="preserve"> has the meaning given in the </w:t>
      </w:r>
      <w:r>
        <w:rPr>
          <w:i/>
        </w:rPr>
        <w:t>Road Traffic Code 2000</w:t>
      </w:r>
      <w:r>
        <w:t xml:space="preserve"> regulation 3(1).</w:t>
      </w:r>
    </w:p>
    <w:p>
      <w:pPr>
        <w:pStyle w:val="Subsection"/>
      </w:pPr>
      <w:r>
        <w:tab/>
        <w:t>(2)</w:t>
      </w:r>
      <w:r>
        <w:tab/>
        <w:t>Unless the context requires otherwise, a reference in these regulations to the visibility of a light is a reference to its visibility, or its capacity to be visible, under normal atmospheric conditions, at any time between sunset and sunrise.</w:t>
      </w:r>
    </w:p>
    <w:p>
      <w:pPr>
        <w:pStyle w:val="Footnotesection"/>
      </w:pPr>
      <w:r>
        <w:tab/>
        <w:t>[Regulation 3 amended in Gazette 30 Aug 2011 p. 3515</w:t>
      </w:r>
      <w:r>
        <w:noBreakHyphen/>
        <w:t>16.]</w:t>
      </w:r>
    </w:p>
    <w:p>
      <w:pPr>
        <w:pStyle w:val="Heading5"/>
        <w:rPr>
          <w:spacing w:val="-2"/>
        </w:rPr>
      </w:pPr>
      <w:bookmarkStart w:id="13" w:name="_Toc407625192"/>
      <w:bookmarkStart w:id="14" w:name="_Toc407625264"/>
      <w:bookmarkStart w:id="15" w:name="_Toc417031589"/>
      <w:r>
        <w:rPr>
          <w:rStyle w:val="CharSectno"/>
        </w:rPr>
        <w:t>4</w:t>
      </w:r>
      <w:r>
        <w:rPr>
          <w:spacing w:val="-2"/>
        </w:rPr>
        <w:t>.</w:t>
      </w:r>
      <w:r>
        <w:rPr>
          <w:spacing w:val="-2"/>
        </w:rPr>
        <w:tab/>
        <w:t>Application</w:t>
      </w:r>
      <w:bookmarkEnd w:id="13"/>
      <w:bookmarkEnd w:id="14"/>
      <w:bookmarkEnd w:id="15"/>
    </w:p>
    <w:p>
      <w:pPr>
        <w:pStyle w:val="Subsection"/>
      </w:pPr>
      <w:r>
        <w:tab/>
      </w:r>
      <w:r>
        <w:tab/>
        <w:t>These regulations apply to a bicycle if it is on a road.</w:t>
      </w:r>
    </w:p>
    <w:p>
      <w:pPr>
        <w:pStyle w:val="Heading5"/>
        <w:rPr>
          <w:spacing w:val="-2"/>
        </w:rPr>
      </w:pPr>
      <w:bookmarkStart w:id="16" w:name="_Toc407625193"/>
      <w:bookmarkStart w:id="17" w:name="_Toc407625265"/>
      <w:bookmarkStart w:id="18" w:name="_Toc417031590"/>
      <w:r>
        <w:rPr>
          <w:rStyle w:val="CharSectno"/>
        </w:rPr>
        <w:t>5</w:t>
      </w:r>
      <w:r>
        <w:rPr>
          <w:spacing w:val="-2"/>
        </w:rPr>
        <w:t>.</w:t>
      </w:r>
      <w:r>
        <w:rPr>
          <w:spacing w:val="-2"/>
        </w:rPr>
        <w:tab/>
        <w:t>Adaptations for bicycle riders with physical disabilities</w:t>
      </w:r>
      <w:bookmarkEnd w:id="16"/>
      <w:bookmarkEnd w:id="17"/>
      <w:bookmarkEnd w:id="18"/>
    </w:p>
    <w:p>
      <w:pPr>
        <w:pStyle w:val="Subsection"/>
      </w:pPr>
      <w:r>
        <w:tab/>
      </w:r>
      <w:r>
        <w:tab/>
        <w:t>If the Director General believes that a person with a physical disability cannot safely ride a bicycle unless the bicycle is constructed, equipped or adapted in a particular manner, the Director General may, by notice in writing to the person with the disability and the owner of the bicycle, vary these regulations in so far as they apply to the bicycle while it is being ridden by the person with the disability, by requiring that the bicycle be constructed, equipped or adapted accordingly.</w:t>
      </w:r>
    </w:p>
    <w:p>
      <w:pPr>
        <w:pStyle w:val="Heading5"/>
        <w:rPr>
          <w:spacing w:val="-2"/>
        </w:rPr>
      </w:pPr>
      <w:bookmarkStart w:id="19" w:name="_Toc407625194"/>
      <w:bookmarkStart w:id="20" w:name="_Toc407625266"/>
      <w:bookmarkStart w:id="21" w:name="_Toc417031591"/>
      <w:r>
        <w:rPr>
          <w:rStyle w:val="CharSectno"/>
        </w:rPr>
        <w:t>6</w:t>
      </w:r>
      <w:r>
        <w:rPr>
          <w:spacing w:val="-2"/>
        </w:rPr>
        <w:t>.</w:t>
      </w:r>
      <w:r>
        <w:rPr>
          <w:spacing w:val="-2"/>
        </w:rPr>
        <w:tab/>
        <w:t>Brakes</w:t>
      </w:r>
      <w:bookmarkEnd w:id="19"/>
      <w:bookmarkEnd w:id="20"/>
      <w:bookmarkEnd w:id="21"/>
    </w:p>
    <w:p>
      <w:pPr>
        <w:pStyle w:val="Subsection"/>
      </w:pPr>
      <w:r>
        <w:tab/>
      </w:r>
      <w:r>
        <w:tab/>
        <w:t>A bicycle must be capable of being braked by either or both of the following means —</w:t>
      </w:r>
    </w:p>
    <w:p>
      <w:pPr>
        <w:pStyle w:val="Indenta"/>
      </w:pPr>
      <w:r>
        <w:tab/>
        <w:t>(a)</w:t>
      </w:r>
      <w:r>
        <w:tab/>
        <w:t>an effective foot brake operated by turning the pedals in the reverse direction;</w:t>
      </w:r>
    </w:p>
    <w:p>
      <w:pPr>
        <w:pStyle w:val="Indenta"/>
      </w:pPr>
      <w:r>
        <w:tab/>
        <w:t>(b)</w:t>
      </w:r>
      <w:r>
        <w:tab/>
        <w:t>an effective hand operated brake fitted to the rear wheel having the operating handle fixed in a position providing for convenient operation.</w:t>
      </w:r>
    </w:p>
    <w:p>
      <w:pPr>
        <w:pStyle w:val="Heading5"/>
        <w:rPr>
          <w:spacing w:val="-2"/>
        </w:rPr>
      </w:pPr>
      <w:bookmarkStart w:id="22" w:name="_Toc407625195"/>
      <w:bookmarkStart w:id="23" w:name="_Toc407625267"/>
      <w:bookmarkStart w:id="24" w:name="_Toc417031592"/>
      <w:r>
        <w:rPr>
          <w:rStyle w:val="CharSectno"/>
        </w:rPr>
        <w:t>7</w:t>
      </w:r>
      <w:r>
        <w:rPr>
          <w:spacing w:val="-2"/>
        </w:rPr>
        <w:t>.</w:t>
      </w:r>
      <w:r>
        <w:rPr>
          <w:spacing w:val="-2"/>
        </w:rPr>
        <w:tab/>
      </w:r>
      <w:smartTag w:uri="urn:schemas-microsoft-com:office:smarttags" w:element="City">
        <w:smartTag w:uri="urn:schemas-microsoft-com:office:smarttags" w:element="place">
          <w:r>
            <w:rPr>
              <w:spacing w:val="-2"/>
            </w:rPr>
            <w:t>Bell</w:t>
          </w:r>
        </w:smartTag>
      </w:smartTag>
      <w:bookmarkEnd w:id="22"/>
      <w:bookmarkEnd w:id="23"/>
      <w:bookmarkEnd w:id="24"/>
    </w:p>
    <w:p>
      <w:pPr>
        <w:pStyle w:val="Subsection"/>
      </w:pPr>
      <w:r>
        <w:tab/>
      </w:r>
      <w:r>
        <w:tab/>
        <w:t>A bicycle must have a bell or other effective warning device fixed in a convenient position.</w:t>
      </w:r>
    </w:p>
    <w:p>
      <w:pPr>
        <w:pStyle w:val="Heading5"/>
        <w:rPr>
          <w:spacing w:val="-2"/>
        </w:rPr>
      </w:pPr>
      <w:bookmarkStart w:id="25" w:name="_Toc407625196"/>
      <w:bookmarkStart w:id="26" w:name="_Toc407625268"/>
      <w:bookmarkStart w:id="27" w:name="_Toc417031593"/>
      <w:r>
        <w:rPr>
          <w:rStyle w:val="CharSectno"/>
        </w:rPr>
        <w:t>8</w:t>
      </w:r>
      <w:r>
        <w:rPr>
          <w:spacing w:val="-2"/>
        </w:rPr>
        <w:t>.</w:t>
      </w:r>
      <w:r>
        <w:rPr>
          <w:spacing w:val="-2"/>
        </w:rPr>
        <w:tab/>
        <w:t>Handle bar</w:t>
      </w:r>
      <w:bookmarkEnd w:id="25"/>
      <w:bookmarkEnd w:id="26"/>
      <w:bookmarkEnd w:id="27"/>
    </w:p>
    <w:p>
      <w:pPr>
        <w:pStyle w:val="Subsection"/>
      </w:pPr>
      <w:r>
        <w:tab/>
      </w:r>
      <w:r>
        <w:tab/>
        <w:t>The handle bar of a bicycle must extend not less than 180 mm nor more than 330 mm on each side of the centre of the bicycle and the height of the uppermost point of the handle bar must not exceed the height of the uppermost part of the seat by more than 300 mm.</w:t>
      </w:r>
    </w:p>
    <w:p>
      <w:pPr>
        <w:pStyle w:val="Footnotesection"/>
      </w:pPr>
      <w:r>
        <w:tab/>
        <w:t>[Regulation 8 amended in Gazette 30 Aug 2011 p. 3516.]</w:t>
      </w:r>
    </w:p>
    <w:p>
      <w:pPr>
        <w:pStyle w:val="Heading5"/>
        <w:rPr>
          <w:spacing w:val="-2"/>
        </w:rPr>
      </w:pPr>
      <w:bookmarkStart w:id="28" w:name="_Toc407625197"/>
      <w:bookmarkStart w:id="29" w:name="_Toc407625269"/>
      <w:bookmarkStart w:id="30" w:name="_Toc417031594"/>
      <w:r>
        <w:rPr>
          <w:rStyle w:val="CharSectno"/>
        </w:rPr>
        <w:t>9</w:t>
      </w:r>
      <w:r>
        <w:rPr>
          <w:spacing w:val="-2"/>
        </w:rPr>
        <w:t>.</w:t>
      </w:r>
      <w:r>
        <w:rPr>
          <w:spacing w:val="-2"/>
        </w:rPr>
        <w:tab/>
        <w:t>Rake and angle of front forks</w:t>
      </w:r>
      <w:bookmarkEnd w:id="28"/>
      <w:bookmarkEnd w:id="29"/>
      <w:bookmarkEnd w:id="30"/>
    </w:p>
    <w:p>
      <w:pPr>
        <w:pStyle w:val="Subsection"/>
      </w:pPr>
      <w:r>
        <w:tab/>
      </w:r>
      <w:r>
        <w:tab/>
        <w:t>The horizontal distance between the axle of the front wheel of a bicycle and a line dropped vertically from the centre of the pivot head bearing on the front tube of the frame must not exceed 250 mm.</w:t>
      </w:r>
    </w:p>
    <w:p>
      <w:pPr>
        <w:pStyle w:val="Heading5"/>
        <w:rPr>
          <w:spacing w:val="-2"/>
        </w:rPr>
      </w:pPr>
      <w:bookmarkStart w:id="31" w:name="_Toc407625198"/>
      <w:bookmarkStart w:id="32" w:name="_Toc407625270"/>
      <w:bookmarkStart w:id="33" w:name="_Toc417031595"/>
      <w:r>
        <w:rPr>
          <w:rStyle w:val="CharSectno"/>
        </w:rPr>
        <w:t>10</w:t>
      </w:r>
      <w:r>
        <w:rPr>
          <w:spacing w:val="-2"/>
        </w:rPr>
        <w:t>.</w:t>
      </w:r>
      <w:r>
        <w:rPr>
          <w:spacing w:val="-2"/>
        </w:rPr>
        <w:tab/>
        <w:t>Width of load</w:t>
      </w:r>
      <w:bookmarkEnd w:id="31"/>
      <w:bookmarkEnd w:id="32"/>
      <w:bookmarkEnd w:id="33"/>
    </w:p>
    <w:p>
      <w:pPr>
        <w:pStyle w:val="Subsection"/>
      </w:pPr>
      <w:r>
        <w:tab/>
      </w:r>
      <w:r>
        <w:tab/>
        <w:t>The overall width of any equipment or load carried on a bicycle must not exceed 660 mm.</w:t>
      </w:r>
    </w:p>
    <w:p>
      <w:pPr>
        <w:pStyle w:val="Ednotesection"/>
      </w:pPr>
      <w:r>
        <w:t>[</w:t>
      </w:r>
      <w:r>
        <w:rPr>
          <w:b/>
        </w:rPr>
        <w:t>11</w:t>
      </w:r>
      <w:r>
        <w:rPr>
          <w:b/>
        </w:rPr>
        <w:noBreakHyphen/>
        <w:t>13.</w:t>
      </w:r>
      <w:r>
        <w:tab/>
        <w:t>Deleted in Gazette 30 Aug 2011 p. 3516.]</w:t>
      </w:r>
    </w:p>
    <w:p>
      <w:pPr>
        <w:pStyle w:val="Heading5"/>
        <w:rPr>
          <w:spacing w:val="-2"/>
        </w:rPr>
      </w:pPr>
      <w:bookmarkStart w:id="34" w:name="_Toc407625199"/>
      <w:bookmarkStart w:id="35" w:name="_Toc407625271"/>
      <w:bookmarkStart w:id="36" w:name="_Toc417031596"/>
      <w:r>
        <w:rPr>
          <w:rStyle w:val="CharSectno"/>
        </w:rPr>
        <w:t>14</w:t>
      </w:r>
      <w:r>
        <w:rPr>
          <w:spacing w:val="-2"/>
        </w:rPr>
        <w:t>.</w:t>
      </w:r>
      <w:r>
        <w:rPr>
          <w:spacing w:val="-2"/>
        </w:rPr>
        <w:tab/>
        <w:t>Child</w:t>
      </w:r>
      <w:r>
        <w:rPr>
          <w:spacing w:val="-2"/>
        </w:rPr>
        <w:noBreakHyphen/>
        <w:t>carrying seats</w:t>
      </w:r>
      <w:bookmarkEnd w:id="34"/>
      <w:bookmarkEnd w:id="35"/>
      <w:bookmarkEnd w:id="36"/>
    </w:p>
    <w:p>
      <w:pPr>
        <w:pStyle w:val="Subsection"/>
      </w:pPr>
      <w:r>
        <w:tab/>
      </w:r>
      <w:r>
        <w:tab/>
        <w:t>Any child</w:t>
      </w:r>
      <w:r>
        <w:noBreakHyphen/>
        <w:t>carrying seat on a bicycle —</w:t>
      </w:r>
    </w:p>
    <w:p>
      <w:pPr>
        <w:pStyle w:val="Indenta"/>
      </w:pPr>
      <w:r>
        <w:tab/>
        <w:t>(a)</w:t>
      </w:r>
      <w:r>
        <w:tab/>
        <w:t>must be securely attached to the frame of the bicycle;</w:t>
      </w:r>
    </w:p>
    <w:p>
      <w:pPr>
        <w:pStyle w:val="Indenta"/>
      </w:pPr>
      <w:r>
        <w:tab/>
        <w:t>(b)</w:t>
      </w:r>
      <w:r>
        <w:tab/>
        <w:t>must be soundly constructed without sharp edges or protrusions;</w:t>
      </w:r>
    </w:p>
    <w:p>
      <w:pPr>
        <w:pStyle w:val="Indenta"/>
      </w:pPr>
      <w:r>
        <w:tab/>
        <w:t>(c)</w:t>
      </w:r>
      <w:r>
        <w:tab/>
        <w:t>must not be located on the handlebars;</w:t>
      </w:r>
    </w:p>
    <w:p>
      <w:pPr>
        <w:pStyle w:val="Indenta"/>
      </w:pPr>
      <w:r>
        <w:tab/>
        <w:t>(d)</w:t>
      </w:r>
      <w:r>
        <w:tab/>
        <w:t>if attached in close proximity to a wheel must be fitted with a guard to prevent any part of the occupant of the seat from contacting any moving part of the bicycle; and</w:t>
      </w:r>
    </w:p>
    <w:p>
      <w:pPr>
        <w:pStyle w:val="Indenta"/>
      </w:pPr>
      <w:r>
        <w:tab/>
        <w:t>(e)</w:t>
      </w:r>
      <w:r>
        <w:tab/>
        <w:t>must be fitted with —</w:t>
      </w:r>
    </w:p>
    <w:p>
      <w:pPr>
        <w:pStyle w:val="Indenti"/>
      </w:pPr>
      <w:r>
        <w:tab/>
        <w:t>(i)</w:t>
      </w:r>
      <w:r>
        <w:tab/>
        <w:t>a footrest or other device to steady the occupant; and</w:t>
      </w:r>
    </w:p>
    <w:p>
      <w:pPr>
        <w:pStyle w:val="Indenti"/>
      </w:pPr>
      <w:r>
        <w:tab/>
        <w:t>(ii)</w:t>
      </w:r>
      <w:r>
        <w:tab/>
        <w:t>a restraining device that cannot be easily or accidentally released by the occupant of the seat.</w:t>
      </w:r>
    </w:p>
    <w:p>
      <w:pPr>
        <w:pStyle w:val="Footnotesection"/>
      </w:pPr>
      <w:r>
        <w:tab/>
        <w:t>[Regulation 14 amended in Gazette 30 Aug 2011 p. 3516.]</w:t>
      </w:r>
    </w:p>
    <w:p>
      <w:pPr>
        <w:pStyle w:val="Heading5"/>
        <w:rPr>
          <w:spacing w:val="-2"/>
        </w:rPr>
      </w:pPr>
      <w:bookmarkStart w:id="37" w:name="_Toc407625200"/>
      <w:bookmarkStart w:id="38" w:name="_Toc407625272"/>
      <w:bookmarkStart w:id="39" w:name="_Toc417031597"/>
      <w:r>
        <w:rPr>
          <w:rStyle w:val="CharSectno"/>
        </w:rPr>
        <w:t>15</w:t>
      </w:r>
      <w:r>
        <w:rPr>
          <w:spacing w:val="-2"/>
        </w:rPr>
        <w:t>.</w:t>
      </w:r>
      <w:r>
        <w:rPr>
          <w:spacing w:val="-2"/>
        </w:rPr>
        <w:tab/>
        <w:t>Offences</w:t>
      </w:r>
      <w:bookmarkEnd w:id="37"/>
      <w:bookmarkEnd w:id="38"/>
      <w:bookmarkEnd w:id="39"/>
    </w:p>
    <w:p>
      <w:pPr>
        <w:pStyle w:val="Subsection"/>
      </w:pPr>
      <w:r>
        <w:tab/>
        <w:t>(1)</w:t>
      </w:r>
      <w:r>
        <w:tab/>
        <w:t>A person must not ride a bicycle on a road unless it complies with these regulations.</w:t>
      </w:r>
    </w:p>
    <w:p>
      <w:pPr>
        <w:pStyle w:val="Penstart"/>
      </w:pPr>
      <w:r>
        <w:tab/>
        <w:t>Penalty: 4 PU.</w:t>
      </w:r>
    </w:p>
    <w:p>
      <w:pPr>
        <w:pStyle w:val="Subsection"/>
      </w:pPr>
      <w:r>
        <w:tab/>
        <w:t>(2)</w:t>
      </w:r>
      <w:r>
        <w:tab/>
        <w:t>For the purposes of section 102 of the Act — </w:t>
      </w:r>
    </w:p>
    <w:p>
      <w:pPr>
        <w:pStyle w:val="Indenta"/>
      </w:pPr>
      <w:r>
        <w:tab/>
        <w:t>(a)</w:t>
      </w:r>
      <w:r>
        <w:tab/>
        <w:t>the offence in subregulation (1) is prescribed; and</w:t>
      </w:r>
    </w:p>
    <w:p>
      <w:pPr>
        <w:pStyle w:val="Indenta"/>
      </w:pPr>
      <w:r>
        <w:tab/>
        <w:t>(b)</w:t>
      </w:r>
      <w:r>
        <w:tab/>
        <w:t>the amount of the modified penalty for the offence if it is dealt with under that section is 1 PU.</w:t>
      </w:r>
    </w:p>
    <w:p>
      <w:pPr>
        <w:pStyle w:val="Subsection"/>
      </w:pPr>
      <w:r>
        <w:tab/>
        <w:t>(3)</w:t>
      </w:r>
      <w:r>
        <w:tab/>
        <w:t>Despite subregulation (2), an alleged offender against subregulation (1) who is under 14 years of age is not to be dealt with by way of an infringement notice and modified penalty.</w:t>
      </w:r>
    </w:p>
    <w:p>
      <w:pPr>
        <w:pStyle w:val="Heading5"/>
        <w:rPr>
          <w:spacing w:val="-2"/>
        </w:rPr>
      </w:pPr>
      <w:bookmarkStart w:id="40" w:name="_Toc407625201"/>
      <w:bookmarkStart w:id="41" w:name="_Toc407625273"/>
      <w:bookmarkStart w:id="42" w:name="_Toc417031598"/>
      <w:r>
        <w:rPr>
          <w:rStyle w:val="CharSectno"/>
        </w:rPr>
        <w:t>16</w:t>
      </w:r>
      <w:r>
        <w:rPr>
          <w:spacing w:val="-2"/>
        </w:rPr>
        <w:t>.</w:t>
      </w:r>
      <w:r>
        <w:rPr>
          <w:spacing w:val="-2"/>
        </w:rPr>
        <w:tab/>
        <w:t>Exemptions and ordering off road</w:t>
      </w:r>
      <w:bookmarkEnd w:id="40"/>
      <w:bookmarkEnd w:id="41"/>
      <w:bookmarkEnd w:id="42"/>
    </w:p>
    <w:p>
      <w:pPr>
        <w:pStyle w:val="Subsection"/>
      </w:pPr>
      <w:r>
        <w:tab/>
      </w:r>
      <w:r>
        <w:tab/>
        <w:t xml:space="preserve">Parts 5, 6 and 7 of the </w:t>
      </w:r>
      <w:r>
        <w:rPr>
          <w:i/>
        </w:rPr>
        <w:t xml:space="preserve">Road Traffic (Vehicle Standards) Regulations 2002 </w:t>
      </w:r>
      <w:r>
        <w:t>apply to and in relation to bicycles as if — </w:t>
      </w:r>
    </w:p>
    <w:p>
      <w:pPr>
        <w:pStyle w:val="Indenta"/>
      </w:pPr>
      <w:r>
        <w:tab/>
        <w:t>(a)</w:t>
      </w:r>
      <w:r>
        <w:tab/>
        <w:t xml:space="preserve">bicycles were motor vehicles; and </w:t>
      </w:r>
    </w:p>
    <w:p>
      <w:pPr>
        <w:pStyle w:val="Indenta"/>
      </w:pPr>
      <w:r>
        <w:tab/>
        <w:t>(b)</w:t>
      </w:r>
      <w:r>
        <w:tab/>
        <w:t xml:space="preserve">these regulations were part of the </w:t>
      </w:r>
      <w:r>
        <w:rPr>
          <w:i/>
        </w:rPr>
        <w:t>Road Traffic (Vehicle Standards) Regulations 2002</w:t>
      </w:r>
      <w:r>
        <w:t>.</w:t>
      </w:r>
    </w:p>
    <w:p>
      <w:pPr>
        <w:pStyle w:val="Defpara"/>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43" w:name="_Toc407625172"/>
      <w:bookmarkStart w:id="44" w:name="_Toc407625202"/>
      <w:bookmarkStart w:id="45" w:name="_Toc407625258"/>
      <w:bookmarkStart w:id="46" w:name="_Toc407625274"/>
      <w:bookmarkStart w:id="47" w:name="_Toc417031545"/>
      <w:bookmarkStart w:id="48" w:name="_Toc417031599"/>
      <w:r>
        <w:t>Notes</w:t>
      </w:r>
      <w:bookmarkEnd w:id="43"/>
      <w:bookmarkEnd w:id="44"/>
      <w:bookmarkEnd w:id="45"/>
      <w:bookmarkEnd w:id="46"/>
      <w:bookmarkEnd w:id="47"/>
      <w:bookmarkEnd w:id="48"/>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(Bicycles) Regulations 2002</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pPr>
      <w:bookmarkStart w:id="49" w:name="_Toc407625203"/>
      <w:bookmarkStart w:id="50" w:name="_Toc407625275"/>
      <w:bookmarkStart w:id="51" w:name="_Toc417031600"/>
      <w:r>
        <w:t>Compilation table</w:t>
      </w:r>
      <w:bookmarkEnd w:id="49"/>
      <w:bookmarkEnd w:id="50"/>
      <w:bookmarkEnd w:id="5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4" w:space="0" w:color="auto"/>
            </w:tcBorders>
          </w:tcPr>
          <w:p>
            <w:pPr>
              <w:pStyle w:val="nTable"/>
              <w:spacing w:after="40"/>
              <w:rPr>
                <w:b/>
              </w:rPr>
            </w:pPr>
            <w:r>
              <w:rPr>
                <w:b/>
              </w:rPr>
              <w:t>Citation</w:t>
            </w:r>
          </w:p>
        </w:tc>
        <w:tc>
          <w:tcPr>
            <w:tcW w:w="1276" w:type="dxa"/>
            <w:tcBorders>
              <w:top w:val="single" w:sz="8" w:space="0" w:color="auto"/>
              <w:bottom w:val="single" w:sz="4" w:space="0" w:color="auto"/>
            </w:tcBorders>
          </w:tcPr>
          <w:p>
            <w:pPr>
              <w:pStyle w:val="nTable"/>
              <w:spacing w:after="40"/>
              <w:rPr>
                <w:b/>
              </w:rPr>
            </w:pPr>
            <w:r>
              <w:rPr>
                <w:b/>
              </w:rPr>
              <w:t>Gazettal</w:t>
            </w:r>
          </w:p>
        </w:tc>
        <w:tc>
          <w:tcPr>
            <w:tcW w:w="2693" w:type="dxa"/>
            <w:tcBorders>
              <w:top w:val="single" w:sz="8" w:space="0" w:color="auto"/>
              <w:bottom w:val="single" w:sz="4" w:space="0" w:color="auto"/>
            </w:tcBorders>
          </w:tcPr>
          <w:p>
            <w:pPr>
              <w:pStyle w:val="nTable"/>
              <w:spacing w:after="40"/>
              <w:rPr>
                <w:b/>
              </w:rPr>
            </w:pPr>
            <w:r>
              <w:rPr>
                <w:b/>
              </w:rPr>
              <w:t>Commencement</w:t>
            </w:r>
          </w:p>
        </w:tc>
      </w:tr>
      <w:tr>
        <w:tc>
          <w:tcPr>
            <w:tcW w:w="3119" w:type="dxa"/>
            <w:tcBorders>
              <w:top w:val="single" w:sz="4" w:space="0" w:color="auto"/>
            </w:tcBorders>
          </w:tcPr>
          <w:p>
            <w:pPr>
              <w:pStyle w:val="nTable"/>
              <w:spacing w:after="40"/>
            </w:pPr>
            <w:r>
              <w:rPr>
                <w:i/>
              </w:rPr>
              <w:t>Road Traffic (Bicycles) Regulations 2002</w:t>
            </w:r>
          </w:p>
        </w:tc>
        <w:tc>
          <w:tcPr>
            <w:tcW w:w="1276" w:type="dxa"/>
            <w:tcBorders>
              <w:top w:val="single" w:sz="4" w:space="0" w:color="auto"/>
            </w:tcBorders>
          </w:tcPr>
          <w:p>
            <w:pPr>
              <w:pStyle w:val="nTable"/>
              <w:spacing w:after="40"/>
            </w:pPr>
            <w:r>
              <w:t>9 Aug 2002 p. 3893</w:t>
            </w:r>
            <w:r>
              <w:noBreakHyphen/>
              <w:t>902</w:t>
            </w:r>
          </w:p>
        </w:tc>
        <w:tc>
          <w:tcPr>
            <w:tcW w:w="2693" w:type="dxa"/>
            <w:tcBorders>
              <w:top w:val="single" w:sz="4" w:space="0" w:color="auto"/>
            </w:tcBorders>
          </w:tcPr>
          <w:p>
            <w:pPr>
              <w:pStyle w:val="nTable"/>
              <w:spacing w:after="40"/>
            </w:pPr>
            <w:r>
              <w:t>1 Nov 2002 (see r. 2)</w:t>
            </w:r>
          </w:p>
        </w:tc>
      </w:tr>
      <w:tr>
        <w:tc>
          <w:tcPr>
            <w:tcW w:w="3119" w:type="dxa"/>
            <w:tcBorders>
              <w:bottom w:val="single" w:sz="4" w:space="0" w:color="auto"/>
            </w:tcBorders>
          </w:tcPr>
          <w:p>
            <w:pPr>
              <w:pStyle w:val="nTable"/>
              <w:spacing w:after="40"/>
              <w:rPr>
                <w:i/>
              </w:rPr>
            </w:pPr>
            <w:r>
              <w:rPr>
                <w:i/>
              </w:rPr>
              <w:t>Road Traffic (Bicycles) Amendment Regulations 2011</w:t>
            </w:r>
          </w:p>
        </w:tc>
        <w:tc>
          <w:tcPr>
            <w:tcW w:w="1276" w:type="dxa"/>
            <w:tcBorders>
              <w:bottom w:val="single" w:sz="4" w:space="0" w:color="auto"/>
            </w:tcBorders>
          </w:tcPr>
          <w:p>
            <w:pPr>
              <w:pStyle w:val="nTable"/>
              <w:spacing w:after="40"/>
            </w:pPr>
            <w:r>
              <w:t>30 Aug 2011 p. 3515</w:t>
            </w:r>
            <w:r>
              <w:noBreakHyphen/>
              <w:t>16</w:t>
            </w:r>
          </w:p>
        </w:tc>
        <w:tc>
          <w:tcPr>
            <w:tcW w:w="2693" w:type="dxa"/>
            <w:tcBorders>
              <w:bottom w:val="single" w:sz="4" w:space="0" w:color="auto"/>
            </w:tcBorders>
          </w:tcPr>
          <w:p>
            <w:pPr>
              <w:pStyle w:val="nTable"/>
              <w:spacing w:after="40"/>
            </w:pPr>
            <w:r>
              <w:t>r. 1 and 2: 30 Aug 2011 (see r. 2(a))</w:t>
            </w:r>
            <w:r>
              <w:br/>
              <w:t>Regulations other than r. 1 and 2: 31 Aug 2011 (see r. 2(b))</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2" w:name="_Toc407625204"/>
      <w:bookmarkStart w:id="53" w:name="_Toc407625276"/>
      <w:bookmarkStart w:id="54" w:name="_Toc417031601"/>
      <w:r>
        <w:t>Provisions that have not come into operation</w:t>
      </w:r>
      <w:bookmarkEnd w:id="52"/>
      <w:bookmarkEnd w:id="53"/>
      <w:bookmarkEnd w:id="5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i/>
              </w:rPr>
            </w:pPr>
            <w:r>
              <w:rPr>
                <w:b/>
                <w:i/>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bottom w:val="single" w:sz="4" w:space="0" w:color="auto"/>
            </w:tcBorders>
          </w:tcPr>
          <w:p>
            <w:pPr>
              <w:pStyle w:val="nTable"/>
              <w:spacing w:after="40"/>
              <w:ind w:right="113"/>
              <w:rPr>
                <w:vertAlign w:val="superscript"/>
              </w:rPr>
            </w:pPr>
            <w:r>
              <w:rPr>
                <w:i/>
              </w:rPr>
              <w:t>Road Traffic (Repeals and Amendment) Regulations 2014</w:t>
            </w:r>
            <w:r>
              <w:t> Pt. 2 </w:t>
            </w:r>
            <w:r>
              <w:rPr>
                <w:vertAlign w:val="superscript"/>
              </w:rPr>
              <w:t>2</w:t>
            </w:r>
          </w:p>
        </w:tc>
        <w:tc>
          <w:tcPr>
            <w:tcW w:w="1276" w:type="dxa"/>
            <w:tcBorders>
              <w:top w:val="single" w:sz="8" w:space="0" w:color="auto"/>
              <w:bottom w:val="single" w:sz="4" w:space="0" w:color="auto"/>
            </w:tcBorders>
          </w:tcPr>
          <w:p>
            <w:pPr>
              <w:pStyle w:val="nTable"/>
              <w:spacing w:after="40"/>
            </w:pPr>
            <w:r>
              <w:t>23 Dec 2014 p. 4914</w:t>
            </w:r>
          </w:p>
        </w:tc>
        <w:tc>
          <w:tcPr>
            <w:tcW w:w="2693" w:type="dxa"/>
            <w:tcBorders>
              <w:top w:val="single" w:sz="8" w:space="0" w:color="auto"/>
              <w:bottom w:val="single" w:sz="4" w:space="0" w:color="auto"/>
            </w:tcBorders>
          </w:tcPr>
          <w:p>
            <w:pPr>
              <w:pStyle w:val="nTable"/>
              <w:spacing w:after="40"/>
            </w:pPr>
            <w:r>
              <w:t xml:space="preserve">Operative on the day fixed under the </w:t>
            </w:r>
            <w:r>
              <w:rPr>
                <w:i/>
              </w:rPr>
              <w:t>Road Traffic (Administration) Act 2008</w:t>
            </w:r>
            <w:r>
              <w:t xml:space="preserve"> section 2(b) (see r. 2(b))</w:t>
            </w:r>
          </w:p>
        </w:tc>
      </w:tr>
    </w:tbl>
    <w:p>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rPr>
        <w:t xml:space="preserve">Road Traffic (Repeals and Amendment) Regulations 2014 </w:t>
      </w:r>
      <w:r>
        <w:t>Pt. 2</w:t>
      </w:r>
      <w:r>
        <w:rPr>
          <w:i/>
        </w:rPr>
        <w:t xml:space="preserve"> </w:t>
      </w:r>
      <w:r>
        <w:rPr>
          <w:snapToGrid w:val="0"/>
        </w:rPr>
        <w:t>had not come into operation.  It reads as follows:</w:t>
      </w:r>
    </w:p>
    <w:p>
      <w:pPr>
        <w:pStyle w:val="THeadingNAm"/>
        <w:rPr>
          <w:sz w:val="20"/>
        </w:rPr>
      </w:pPr>
    </w:p>
    <w:p>
      <w:pPr>
        <w:pStyle w:val="nzHeading2"/>
      </w:pPr>
      <w:r>
        <w:rPr>
          <w:rStyle w:val="CharPartNo"/>
        </w:rPr>
        <w:t>Part 2</w:t>
      </w:r>
      <w:r>
        <w:rPr>
          <w:rStyle w:val="CharDivNo"/>
        </w:rPr>
        <w:t> </w:t>
      </w:r>
      <w:r>
        <w:t>—</w:t>
      </w:r>
      <w:r>
        <w:rPr>
          <w:rStyle w:val="CharDivText"/>
        </w:rPr>
        <w:t> </w:t>
      </w:r>
      <w:r>
        <w:rPr>
          <w:rStyle w:val="CharPartText"/>
        </w:rPr>
        <w:t>Regulations repealed</w:t>
      </w:r>
    </w:p>
    <w:p>
      <w:pPr>
        <w:pStyle w:val="nzHeading5"/>
      </w:pPr>
      <w:r>
        <w:rPr>
          <w:rStyle w:val="CharSectno"/>
        </w:rPr>
        <w:t>3</w:t>
      </w:r>
      <w:r>
        <w:t>.</w:t>
      </w:r>
      <w:r>
        <w:tab/>
        <w:t>Regulations repealed</w:t>
      </w:r>
    </w:p>
    <w:p>
      <w:pPr>
        <w:pStyle w:val="nzSubsection"/>
      </w:pPr>
      <w:r>
        <w:tab/>
      </w:r>
      <w:r>
        <w:tab/>
        <w:t>The regulations listed in the Table are repealed.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tblGrid>
      <w:tr>
        <w:trPr>
          <w:cantSplit/>
        </w:trPr>
        <w:tc>
          <w:tcPr>
            <w:tcW w:w="3033" w:type="dxa"/>
          </w:tcPr>
          <w:p>
            <w:pPr>
              <w:pStyle w:val="TableNAm"/>
              <w:rPr>
                <w:i/>
              </w:rPr>
            </w:pPr>
            <w:r>
              <w:rPr>
                <w:i/>
              </w:rPr>
              <w:t>Road Traffic (Bicycles) Regulations 2002</w:t>
            </w:r>
          </w:p>
        </w:tc>
      </w:tr>
    </w:tbl>
    <w:p>
      <w:pPr>
        <w:pStyle w:val="BlankClose"/>
      </w:pP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56" w:name="_Toc417031602"/>
      <w:r>
        <w:rPr>
          <w:sz w:val="28"/>
        </w:rPr>
        <w:t>Defined terms</w:t>
      </w:r>
      <w:bookmarkEnd w:id="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bicycle</w:t>
      </w:r>
      <w:r>
        <w:tab/>
        <w:t>3(1)</w:t>
      </w:r>
    </w:p>
    <w:p>
      <w:pPr>
        <w:pStyle w:val="DefinedTerms"/>
      </w:pPr>
      <w:r>
        <w:t>Vehicle Standards</w:t>
      </w:r>
      <w:r>
        <w:tab/>
        <w:t>3(1)</w:t>
      </w:r>
    </w:p>
    <w:p>
      <w:pPr>
        <w:pStyle w:val="DefinedTerms"/>
      </w:pPr>
      <w:r>
        <w:t>wheeled recreational device</w:t>
      </w:r>
      <w:r>
        <w:tab/>
        <w:t>3(1)</w:t>
      </w:r>
    </w:p>
    <w:p>
      <w:pPr>
        <w:pStyle w:val="DefinedTerms"/>
      </w:pPr>
      <w:r>
        <w:t>wheeled toy</w:t>
      </w:r>
      <w:r>
        <w:tab/>
        <w:t>3(1)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(Bicycles)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(Bicycles)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(Bicycles)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(Bicycles)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(Bicycles)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(Bicycles)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5" w:name="Compilation"/>
    <w:bookmarkEnd w:id="5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(Bicycles)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(Bicycles)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 w:name="DefinedTerms"/>
    <w:bookmarkEnd w:id="5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 w:name="Coversheet"/>
    <w:bookmarkEnd w:id="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C1D203A"/>
    <w:multiLevelType w:val="multilevel"/>
    <w:tmpl w:val="28A2395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1"/>
  </w:num>
  <w:num w:numId="13">
    <w:abstractNumId w:val="13"/>
  </w:num>
  <w:num w:numId="14">
    <w:abstractNumId w:val="19"/>
  </w:num>
  <w:num w:numId="15">
    <w:abstractNumId w:val="21"/>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75"/>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043"/>
    <w:docVar w:name="WAFER_20140110162054" w:val="RemoveTocBookmarks,RemoveUnusedBookmarks,RemoveLanguageTags,UsedStyles,ResetPageSize,UpdateArrangement"/>
    <w:docVar w:name="WAFER_20140110162054_GUID" w:val="ecc7cc8d-2ec2-47f8-9253-7cd16a29e977"/>
    <w:docVar w:name="WAFER_20140110162238" w:val="RemoveTocBookmarks,RunningHeaders"/>
    <w:docVar w:name="WAFER_20140110162238_GUID" w:val="bbebc34d-1486-4ddb-a065-c9f26abfb9c7"/>
    <w:docVar w:name="WAFER_20141224102135" w:val="RemoveTocBookmarks,RemoveUnusedBookmarks,RemoveLanguageTags,UsedStyles,ResetPageSize,UpdateArrangement"/>
    <w:docVar w:name="WAFER_20141224102135_GUID" w:val="e908a1e3-c45b-4937-b885-878c20bcf4fc"/>
    <w:docVar w:name="WAFER_20141229135833" w:val="RemoveTocBookmarks,RunningHeaders"/>
    <w:docVar w:name="WAFER_20141229135833_GUID" w:val="1e9c7c50-2ac4-41d4-9079-448070cff80d"/>
    <w:docVar w:name="WAFER_20150417104628" w:val="ResetPageSize,UpdateArrangement,UpdateNTable"/>
    <w:docVar w:name="WAFER_20150417104628_GUID" w:val="4f73fe56-ac63-47e4-ae56-87e66baf29e1"/>
    <w:docVar w:name="WAFER_20151209112043" w:val="RemoveTrackChanges"/>
    <w:docVar w:name="WAFER_20151209112043_GUID" w:val="1a0696ca-7dad-407f-90a3-631d1e7b33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style>
  <w:style w:type="paragraph" w:customStyle="1" w:styleId="THeadingNAm">
    <w:name w:val="THeadingNAm"/>
    <w:basedOn w:val="THeading"/>
    <w:pPr>
      <w:ind w:left="879" w:right="142"/>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style>
  <w:style w:type="paragraph" w:customStyle="1" w:styleId="THeadingNAm">
    <w:name w:val="THeadingNAm"/>
    <w:basedOn w:val="THeading"/>
    <w:pPr>
      <w:ind w:left="879" w:right="142"/>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2841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1307</Words>
  <Characters>6288</Characters>
  <Application>Microsoft Office Word</Application>
  <DocSecurity>0</DocSecurity>
  <Lines>216</Lines>
  <Paragraphs>151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7444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(Bicycles) Regulations 2002 - 00-c0-02</dc:title>
  <dc:subject/>
  <dc:creator/>
  <cp:keywords/>
  <dc:description/>
  <cp:lastModifiedBy>svcMRProcess</cp:lastModifiedBy>
  <cp:revision>4</cp:revision>
  <cp:lastPrinted>2002-10-29T08:13:00Z</cp:lastPrinted>
  <dcterms:created xsi:type="dcterms:W3CDTF">2015-12-13T04:50:00Z</dcterms:created>
  <dcterms:modified xsi:type="dcterms:W3CDTF">2015-12-13T04:50:00Z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Aug 2002 p. 3893-902</vt:lpwstr>
  </property>
  <property fmtid="{D5CDD505-2E9C-101B-9397-08002B2CF9AE}" pid="3" name="CommencementDate">
    <vt:lpwstr>20141223</vt:lpwstr>
  </property>
  <property fmtid="{D5CDD505-2E9C-101B-9397-08002B2CF9AE}" pid="4" name="OWLSUId">
    <vt:i4>1842</vt:i4>
  </property>
  <property fmtid="{D5CDD505-2E9C-101B-9397-08002B2CF9AE}" pid="5" name="DocumentType">
    <vt:lpwstr>Reg</vt:lpwstr>
  </property>
  <property fmtid="{D5CDD505-2E9C-101B-9397-08002B2CF9AE}" pid="6" name="AsAtDate">
    <vt:lpwstr>23 Dec 2014</vt:lpwstr>
  </property>
  <property fmtid="{D5CDD505-2E9C-101B-9397-08002B2CF9AE}" pid="7" name="Suffix">
    <vt:lpwstr>00-c0-02</vt:lpwstr>
  </property>
</Properties>
</file>