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_Toc429992992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_Toc429992993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_Toc429992995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_Toc429992996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_Toc429992997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_Toc429992999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_Toc429993000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_Toc429993005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07692232"/>
      <w:bookmarkStart w:id="4" w:name="_Toc415232308"/>
      <w:bookmarkStart w:id="5" w:name="_Toc415232367"/>
      <w:bookmarkStart w:id="6" w:name="_Toc42999299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7692233"/>
      <w:bookmarkStart w:id="8" w:name="_Toc42999299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9" w:name="_Toc407692234"/>
      <w:bookmarkStart w:id="10" w:name="_Toc429992993"/>
      <w:r>
        <w:rPr>
          <w:rStyle w:val="CharSectno"/>
        </w:rPr>
        <w:t>2</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1" w:name="_Toc407692235"/>
      <w:bookmarkStart w:id="12" w:name="_Toc415232311"/>
      <w:bookmarkStart w:id="13" w:name="_Toc415232370"/>
      <w:bookmarkStart w:id="14" w:name="_Toc429992994"/>
      <w:r>
        <w:rPr>
          <w:rStyle w:val="CharPartNo"/>
        </w:rPr>
        <w:t>Part 2</w:t>
      </w:r>
      <w:r>
        <w:rPr>
          <w:rStyle w:val="CharDivNo"/>
        </w:rPr>
        <w:t xml:space="preserve"> </w:t>
      </w:r>
      <w:r>
        <w:t>—</w:t>
      </w:r>
      <w:r>
        <w:rPr>
          <w:rStyle w:val="CharDivText"/>
        </w:rPr>
        <w:t xml:space="preserve"> </w:t>
      </w:r>
      <w:r>
        <w:rPr>
          <w:rStyle w:val="CharPartText"/>
        </w:rPr>
        <w:t>General</w:t>
      </w:r>
      <w:bookmarkEnd w:id="11"/>
      <w:bookmarkEnd w:id="12"/>
      <w:bookmarkEnd w:id="13"/>
      <w:bookmarkEnd w:id="14"/>
    </w:p>
    <w:p>
      <w:pPr>
        <w:pStyle w:val="Heading5"/>
      </w:pPr>
      <w:bookmarkStart w:id="15" w:name="_Toc407692236"/>
      <w:bookmarkStart w:id="16" w:name="_Toc429992995"/>
      <w:r>
        <w:rPr>
          <w:rStyle w:val="CharSectno"/>
        </w:rPr>
        <w:t>3</w:t>
      </w:r>
      <w:r>
        <w:t>.</w:t>
      </w:r>
      <w:r>
        <w:tab/>
        <w:t>Unclaimed winnings</w:t>
      </w:r>
      <w:bookmarkEnd w:id="15"/>
      <w:bookmarkEnd w:id="16"/>
    </w:p>
    <w:p>
      <w:pPr>
        <w:pStyle w:val="Subsection"/>
      </w:pPr>
      <w:r>
        <w:tab/>
      </w:r>
      <w:r>
        <w:tab/>
        <w:t>For the purposes of section 15(1)(a) and (b) of the Act, the prescribed amount is 99 cents.</w:t>
      </w:r>
    </w:p>
    <w:p>
      <w:pPr>
        <w:pStyle w:val="Heading5"/>
      </w:pPr>
      <w:bookmarkStart w:id="17" w:name="_Toc407692237"/>
      <w:bookmarkStart w:id="18" w:name="_Toc429992996"/>
      <w:r>
        <w:rPr>
          <w:rStyle w:val="CharSectno"/>
        </w:rPr>
        <w:t>4</w:t>
      </w:r>
      <w:r>
        <w:t>.</w:t>
      </w:r>
      <w:r>
        <w:tab/>
        <w:t>Fee for review of direction not to enter or remain in casino</w:t>
      </w:r>
      <w:bookmarkEnd w:id="17"/>
      <w:bookmarkEnd w:id="18"/>
    </w:p>
    <w:p>
      <w:pPr>
        <w:pStyle w:val="Subsection"/>
      </w:pPr>
      <w:r>
        <w:tab/>
      </w:r>
      <w:r>
        <w:tab/>
        <w:t>For the purposes of section 26A(3)(b) of the Act, the prescribed fee is $148.</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w:t>
      </w:r>
    </w:p>
    <w:p>
      <w:pPr>
        <w:pStyle w:val="Heading5"/>
      </w:pPr>
      <w:bookmarkStart w:id="19" w:name="_Toc407692238"/>
      <w:bookmarkStart w:id="20" w:name="_Toc429992997"/>
      <w:r>
        <w:rPr>
          <w:rStyle w:val="CharSectno"/>
        </w:rPr>
        <w:t>4A</w:t>
      </w:r>
      <w:r>
        <w:t>.</w:t>
      </w:r>
      <w:r>
        <w:tab/>
        <w:t>Exempt class of contract</w:t>
      </w:r>
      <w:bookmarkEnd w:id="19"/>
      <w:bookmarkEnd w:id="2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21" w:name="_Toc407692239"/>
      <w:bookmarkStart w:id="22" w:name="_Toc415232315"/>
      <w:bookmarkStart w:id="23" w:name="_Toc415232374"/>
      <w:bookmarkStart w:id="24" w:name="_Toc429992998"/>
      <w:r>
        <w:rPr>
          <w:rStyle w:val="CharPartNo"/>
        </w:rPr>
        <w:t>Part 4</w:t>
      </w:r>
      <w:r>
        <w:rPr>
          <w:rStyle w:val="CharDivNo"/>
        </w:rPr>
        <w:t xml:space="preserve"> </w:t>
      </w:r>
      <w:r>
        <w:t>—</w:t>
      </w:r>
      <w:r>
        <w:rPr>
          <w:rStyle w:val="CharDivText"/>
        </w:rPr>
        <w:t xml:space="preserve"> </w:t>
      </w:r>
      <w:r>
        <w:rPr>
          <w:rStyle w:val="CharPartText"/>
        </w:rPr>
        <w:t>Infringement notices</w:t>
      </w:r>
      <w:bookmarkEnd w:id="21"/>
      <w:bookmarkEnd w:id="22"/>
      <w:bookmarkEnd w:id="23"/>
      <w:bookmarkEnd w:id="24"/>
    </w:p>
    <w:p>
      <w:pPr>
        <w:pStyle w:val="Heading5"/>
      </w:pPr>
      <w:bookmarkStart w:id="25" w:name="_Toc407692240"/>
      <w:bookmarkStart w:id="26" w:name="_Toc429992999"/>
      <w:r>
        <w:rPr>
          <w:rStyle w:val="CharSectno"/>
        </w:rPr>
        <w:t>18</w:t>
      </w:r>
      <w:r>
        <w:t>.</w:t>
      </w:r>
      <w:r>
        <w:tab/>
        <w:t>Infringement notices</w:t>
      </w:r>
      <w:bookmarkEnd w:id="25"/>
      <w:bookmarkEnd w:id="26"/>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7" w:name="_Toc407692241"/>
      <w:bookmarkStart w:id="28" w:name="_Toc429993000"/>
      <w:r>
        <w:rPr>
          <w:rStyle w:val="CharSectno"/>
        </w:rPr>
        <w:t>19</w:t>
      </w:r>
      <w:r>
        <w:t>.</w:t>
      </w:r>
      <w:r>
        <w:tab/>
        <w:t>Form of infringement notice and withdrawal notice</w:t>
      </w:r>
      <w:bookmarkEnd w:id="27"/>
      <w:bookmarkEnd w:id="2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9" w:name="_Toc407692242"/>
      <w:bookmarkStart w:id="30" w:name="_Toc415232318"/>
      <w:bookmarkStart w:id="31" w:name="_Toc415232377"/>
      <w:bookmarkStart w:id="32" w:name="_Toc429993001"/>
      <w:r>
        <w:rPr>
          <w:rStyle w:val="CharSchNo"/>
        </w:rPr>
        <w:t>Schedule 1</w:t>
      </w:r>
      <w:r>
        <w:t xml:space="preserve"> — </w:t>
      </w:r>
      <w:r>
        <w:rPr>
          <w:rStyle w:val="CharSchText"/>
        </w:rPr>
        <w:t>Prescribed forms</w:t>
      </w:r>
      <w:bookmarkEnd w:id="29"/>
      <w:bookmarkEnd w:id="30"/>
      <w:bookmarkEnd w:id="31"/>
      <w:bookmarkEnd w:id="32"/>
    </w:p>
    <w:p>
      <w:pPr>
        <w:pStyle w:val="yShoulderClause"/>
      </w:pPr>
      <w:r>
        <w:t>[r. 19]</w:t>
      </w:r>
    </w:p>
    <w:p>
      <w:pPr>
        <w:pStyle w:val="Heading3"/>
        <w:rPr>
          <w:b w:val="0"/>
        </w:rPr>
      </w:pPr>
      <w:bookmarkStart w:id="33" w:name="_Toc407692243"/>
      <w:bookmarkStart w:id="34" w:name="_Toc415232319"/>
      <w:bookmarkStart w:id="35" w:name="_Toc415232378"/>
      <w:bookmarkStart w:id="36" w:name="_Toc429993002"/>
      <w:r>
        <w:rPr>
          <w:rStyle w:val="CharSClsNo"/>
          <w:b w:val="0"/>
        </w:rPr>
        <w:t>Form 1</w:t>
      </w:r>
      <w:bookmarkEnd w:id="33"/>
      <w:bookmarkEnd w:id="34"/>
      <w:bookmarkEnd w:id="35"/>
      <w:bookmarkEnd w:id="36"/>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37" w:name="_Toc407692244"/>
      <w:bookmarkStart w:id="38" w:name="_Toc415232320"/>
      <w:bookmarkStart w:id="39" w:name="_Toc415232379"/>
      <w:bookmarkStart w:id="40" w:name="_Toc429993003"/>
      <w:r>
        <w:rPr>
          <w:rStyle w:val="CharSClsNo"/>
          <w:b w:val="0"/>
        </w:rPr>
        <w:t>Form 2</w:t>
      </w:r>
      <w:bookmarkEnd w:id="37"/>
      <w:bookmarkEnd w:id="38"/>
      <w:bookmarkEnd w:id="39"/>
      <w:bookmarkEnd w:id="40"/>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2" w:name="_Toc407692245"/>
      <w:bookmarkStart w:id="43" w:name="_Toc415232321"/>
      <w:bookmarkStart w:id="44" w:name="_Toc415232380"/>
      <w:bookmarkStart w:id="45" w:name="_Toc429993004"/>
      <w:r>
        <w:t>Notes</w:t>
      </w:r>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6" w:name="_Toc407692246"/>
      <w:bookmarkStart w:id="47" w:name="_Toc429993005"/>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Casino Control Amendment Regulations 2014</w:t>
            </w:r>
          </w:p>
        </w:tc>
        <w:tc>
          <w:tcPr>
            <w:tcW w:w="1276" w:type="dxa"/>
            <w:gridSpan w:val="2"/>
            <w:tcBorders>
              <w:bottom w:val="single" w:sz="4" w:space="0" w:color="auto"/>
            </w:tcBorders>
          </w:tcPr>
          <w:p>
            <w:pPr>
              <w:pStyle w:val="nTable"/>
              <w:spacing w:after="40"/>
            </w:pPr>
            <w:r>
              <w:t>14 Nov 2014 p. 4280</w:t>
            </w:r>
            <w:r>
              <w:noBreakHyphen/>
              <w:t>1</w:t>
            </w:r>
          </w:p>
        </w:tc>
        <w:tc>
          <w:tcPr>
            <w:tcW w:w="2695" w:type="dxa"/>
            <w:gridSpan w:val="2"/>
            <w:tcBorders>
              <w:bottom w:val="single" w:sz="4" w:space="0" w:color="auto"/>
            </w:tcBorders>
          </w:tcPr>
          <w:p>
            <w:pPr>
              <w:pStyle w:val="nTable"/>
              <w:spacing w:after="40"/>
              <w:rPr>
                <w:snapToGrid w:val="0"/>
              </w:rPr>
            </w:pPr>
            <w:r>
              <w:rPr>
                <w:snapToGrid w:val="0"/>
              </w:rPr>
              <w:t>r. 1 and 2: 14 Nov 2014 (see r. 2(a));</w:t>
            </w:r>
            <w:r>
              <w:rPr>
                <w:snapToGrid w:val="0"/>
              </w:rPr>
              <w:br/>
              <w:t>Regulations other than r. 1 and 2: 1 Jan 2015 (see. r. 2(b))</w:t>
            </w:r>
          </w:p>
        </w:tc>
      </w:tr>
    </w:tbl>
    <w:p>
      <w:pPr>
        <w:pStyle w:val="nSubsection"/>
        <w:spacing w:before="160"/>
      </w:pPr>
      <w:r>
        <w:rPr>
          <w:rFonts w:ascii="Times" w:hAnsi="Times"/>
          <w:vertAlign w:val="superscript"/>
        </w:rPr>
        <w:t>2</w:t>
      </w:r>
      <w:r>
        <w:tab/>
        <w:t>The commencement date of 1 Oct 2001 that was specified was before the date of gazettal.</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9" w:name="_Toc429993006"/>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559"/>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1624</Words>
  <Characters>8953</Characters>
  <Application>Microsoft Office Word</Application>
  <DocSecurity>0</DocSecurity>
  <Lines>389</Lines>
  <Paragraphs>285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1999 - 03-c0-03</dc:title>
  <dc:subject/>
  <dc:creator/>
  <cp:keywords/>
  <dc:description/>
  <cp:lastModifiedBy>svcMRProcess</cp:lastModifiedBy>
  <cp:revision>4</cp:revision>
  <cp:lastPrinted>2014-03-20T02:02:00Z</cp:lastPrinted>
  <dcterms:created xsi:type="dcterms:W3CDTF">2020-02-22T17:40:00Z</dcterms:created>
  <dcterms:modified xsi:type="dcterms:W3CDTF">2020-02-22T17:40:00Z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475</vt:i4>
  </property>
  <property fmtid="{D5CDD505-2E9C-101B-9397-08002B2CF9AE}" pid="6" name="ReprintNo">
    <vt:lpwstr>3</vt:lpwstr>
  </property>
  <property fmtid="{D5CDD505-2E9C-101B-9397-08002B2CF9AE}" pid="7" name="ReprintedAsAt">
    <vt:filetime>2014-04-03T16:00:00Z</vt:filetime>
  </property>
  <property fmtid="{D5CDD505-2E9C-101B-9397-08002B2CF9AE}" pid="8" name="AsAtDate">
    <vt:lpwstr>01 Jan 2015</vt:lpwstr>
  </property>
  <property fmtid="{D5CDD505-2E9C-101B-9397-08002B2CF9AE}" pid="9" name="Suffix">
    <vt:lpwstr>03-c0-03</vt:lpwstr>
  </property>
</Properties>
</file>