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Motor Vehicle (Third Party Insurance Surcharge) Act 1962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Motor Vehicle (Third Party Insurance Surcharge) Repeal Act 1988</w:t>
      </w:r>
      <w:r>
        <w:rPr>
          <w:color w:val="000000"/>
          <w:sz w:val="22"/>
          <w:szCs w:val="22"/>
        </w:rPr>
        <w:t xml:space="preserve"> s. 3 (No. 8 of 1988) as at 30 Jun 1988.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8103009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8103009" w:val="UsedStyles"/>
    <w:docVar w:name="WAFER_20160418103009_GUID" w:val="eb041f4f-18b9-4dde-895d-524db5ee9e4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251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(Third Party Insurance Surcharge) Act 1962 - 01-b0-02</dc:title>
  <dc:subject/>
  <dc:creator/>
  <cp:keywords/>
  <dc:description/>
  <cp:lastModifiedBy>svcMRProcess</cp:lastModifiedBy>
  <cp:revision>3</cp:revision>
  <dcterms:created xsi:type="dcterms:W3CDTF">2016-04-18T02:52:00Z</dcterms:created>
  <dcterms:modified xsi:type="dcterms:W3CDTF">2016-04-18T02:52:00Z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30 Jun 1988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19880630</vt:lpwstr>
  </property>
</Properties>
</file>