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0" name="Picture 3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Motor Vehicle Repairers Act 2003</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Motor Vehicle Repairers Regulations 2007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Motor Vehicle Repairers Regulations 2007</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_Toc33609851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_Toc33609852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_Toc33609853 \h </w:instrText>
      </w:r>
      <w:r>
        <w:fldChar w:fldCharType="separate"/>
      </w:r>
      <w:r>
        <w:t>1</w:t>
      </w:r>
      <w:r>
        <w:fldChar w:fldCharType="end"/>
      </w:r>
    </w:p>
    <w:p>
      <w:pPr>
        <w:pStyle w:val="TOC8"/>
        <w:rPr>
          <w:rFonts w:asciiTheme="minorHAnsi" w:eastAsiaTheme="minorEastAsia" w:hAnsiTheme="minorHAnsi" w:cstheme="minorBidi"/>
          <w:szCs w:val="22"/>
        </w:rPr>
      </w:pPr>
      <w:r>
        <w:t>4.</w:t>
      </w:r>
      <w:r>
        <w:tab/>
        <w:t>Exclusions from definition of motor vehicle</w:t>
      </w:r>
      <w:r>
        <w:tab/>
      </w:r>
      <w:r>
        <w:fldChar w:fldCharType="begin"/>
      </w:r>
      <w:r>
        <w:instrText xml:space="preserve"> PAGEREF _Toc33609854 \h </w:instrText>
      </w:r>
      <w:r>
        <w:fldChar w:fldCharType="separate"/>
      </w:r>
      <w:r>
        <w:t>21</w:t>
      </w:r>
      <w:r>
        <w:fldChar w:fldCharType="end"/>
      </w:r>
    </w:p>
    <w:p>
      <w:pPr>
        <w:pStyle w:val="TOC8"/>
        <w:rPr>
          <w:rFonts w:asciiTheme="minorHAnsi" w:eastAsiaTheme="minorEastAsia" w:hAnsiTheme="minorHAnsi" w:cstheme="minorBidi"/>
          <w:szCs w:val="22"/>
        </w:rPr>
      </w:pPr>
      <w:r>
        <w:t>5.</w:t>
      </w:r>
      <w:r>
        <w:tab/>
        <w:t>Classes of repair work prescribed (Act s. 5)</w:t>
      </w:r>
      <w:r>
        <w:tab/>
      </w:r>
      <w:r>
        <w:fldChar w:fldCharType="begin"/>
      </w:r>
      <w:r>
        <w:instrText xml:space="preserve"> PAGEREF _Toc33609855 \h </w:instrText>
      </w:r>
      <w:r>
        <w:fldChar w:fldCharType="separate"/>
      </w:r>
      <w:r>
        <w:t>21</w:t>
      </w:r>
      <w:r>
        <w:fldChar w:fldCharType="end"/>
      </w:r>
    </w:p>
    <w:p>
      <w:pPr>
        <w:pStyle w:val="TOC8"/>
        <w:rPr>
          <w:rFonts w:asciiTheme="minorHAnsi" w:eastAsiaTheme="minorEastAsia" w:hAnsiTheme="minorHAnsi" w:cstheme="minorBidi"/>
          <w:szCs w:val="22"/>
        </w:rPr>
      </w:pPr>
      <w:r>
        <w:t>6.</w:t>
      </w:r>
      <w:r>
        <w:tab/>
        <w:t>Work that is not repair work prescribed (Act s. 5)</w:t>
      </w:r>
      <w:r>
        <w:tab/>
      </w:r>
      <w:r>
        <w:fldChar w:fldCharType="begin"/>
      </w:r>
      <w:r>
        <w:instrText xml:space="preserve"> PAGEREF _Toc33609856 \h </w:instrText>
      </w:r>
      <w:r>
        <w:fldChar w:fldCharType="separate"/>
      </w:r>
      <w:r>
        <w:t>23</w:t>
      </w:r>
      <w:r>
        <w:fldChar w:fldCharType="end"/>
      </w:r>
    </w:p>
    <w:p>
      <w:pPr>
        <w:pStyle w:val="TOC2"/>
        <w:tabs>
          <w:tab w:val="right" w:leader="dot" w:pos="7087"/>
        </w:tabs>
        <w:rPr>
          <w:rFonts w:asciiTheme="minorHAnsi" w:eastAsiaTheme="minorEastAsia" w:hAnsiTheme="minorHAnsi" w:cstheme="minorBidi"/>
          <w:b w:val="0"/>
          <w:sz w:val="22"/>
          <w:szCs w:val="22"/>
        </w:rPr>
      </w:pPr>
      <w:r>
        <w:t>Part 2A</w:t>
      </w:r>
      <w:r>
        <w:rPr>
          <w:b w:val="0"/>
        </w:rPr>
        <w:t> </w:t>
      </w:r>
      <w:r>
        <w:t>—</w:t>
      </w:r>
      <w:r>
        <w:rPr>
          <w:b w:val="0"/>
        </w:rPr>
        <w:t> </w:t>
      </w:r>
      <w:r>
        <w:t>Licensing of motor vehicle repair businesses</w:t>
      </w:r>
    </w:p>
    <w:p>
      <w:pPr>
        <w:pStyle w:val="TOC8"/>
        <w:rPr>
          <w:rFonts w:asciiTheme="minorHAnsi" w:eastAsiaTheme="minorEastAsia" w:hAnsiTheme="minorHAnsi" w:cstheme="minorBidi"/>
          <w:szCs w:val="22"/>
        </w:rPr>
      </w:pPr>
      <w:r>
        <w:t>7A.</w:t>
      </w:r>
      <w:r>
        <w:tab/>
        <w:t>Fees prescribed (Act s. 13)</w:t>
      </w:r>
      <w:r>
        <w:tab/>
      </w:r>
      <w:r>
        <w:fldChar w:fldCharType="begin"/>
      </w:r>
      <w:r>
        <w:instrText xml:space="preserve"> PAGEREF _Toc33609858 \h </w:instrText>
      </w:r>
      <w:r>
        <w:fldChar w:fldCharType="separate"/>
      </w:r>
      <w:r>
        <w:t>24</w:t>
      </w:r>
      <w:r>
        <w:fldChar w:fldCharType="end"/>
      </w:r>
    </w:p>
    <w:p>
      <w:pPr>
        <w:pStyle w:val="TOC8"/>
        <w:rPr>
          <w:rFonts w:asciiTheme="minorHAnsi" w:eastAsiaTheme="minorEastAsia" w:hAnsiTheme="minorHAnsi" w:cstheme="minorBidi"/>
          <w:szCs w:val="22"/>
        </w:rPr>
      </w:pPr>
      <w:r>
        <w:t>7C.</w:t>
      </w:r>
      <w:r>
        <w:tab/>
        <w:t>Duplicate business licence, fee for (Act s. 25)</w:t>
      </w:r>
      <w:r>
        <w:tab/>
      </w:r>
      <w:r>
        <w:fldChar w:fldCharType="begin"/>
      </w:r>
      <w:r>
        <w:instrText xml:space="preserve"> PAGEREF _Toc33609859 \h </w:instrText>
      </w:r>
      <w:r>
        <w:fldChar w:fldCharType="separate"/>
      </w:r>
      <w:r>
        <w:t>25</w:t>
      </w:r>
      <w:r>
        <w:fldChar w:fldCharType="end"/>
      </w:r>
    </w:p>
    <w:p>
      <w:pPr>
        <w:pStyle w:val="TOC8"/>
        <w:rPr>
          <w:rFonts w:asciiTheme="minorHAnsi" w:eastAsiaTheme="minorEastAsia" w:hAnsiTheme="minorHAnsi" w:cstheme="minorBidi"/>
          <w:szCs w:val="22"/>
        </w:rPr>
      </w:pPr>
      <w:r>
        <w:t>7D.</w:t>
      </w:r>
      <w:r>
        <w:tab/>
        <w:t>Conditions and restrictions attached to business licences (Act s. 28)</w:t>
      </w:r>
      <w:r>
        <w:tab/>
      </w:r>
      <w:r>
        <w:fldChar w:fldCharType="begin"/>
      </w:r>
      <w:r>
        <w:instrText xml:space="preserve"> PAGEREF _Toc33609860 \h </w:instrText>
      </w:r>
      <w:r>
        <w:fldChar w:fldCharType="separate"/>
      </w:r>
      <w:r>
        <w:t>25</w:t>
      </w:r>
      <w:r>
        <w:fldChar w:fldCharType="end"/>
      </w:r>
    </w:p>
    <w:p>
      <w:pPr>
        <w:pStyle w:val="TOC8"/>
        <w:rPr>
          <w:rFonts w:asciiTheme="minorHAnsi" w:eastAsiaTheme="minorEastAsia" w:hAnsiTheme="minorHAnsi" w:cstheme="minorBidi"/>
          <w:szCs w:val="22"/>
        </w:rPr>
      </w:pPr>
      <w:r>
        <w:t>7E.</w:t>
      </w:r>
      <w:r>
        <w:tab/>
        <w:t>Duration of business licence (Act s. 30)</w:t>
      </w:r>
      <w:r>
        <w:tab/>
      </w:r>
      <w:r>
        <w:fldChar w:fldCharType="begin"/>
      </w:r>
      <w:r>
        <w:instrText xml:space="preserve"> PAGEREF _Toc33609861 \h </w:instrText>
      </w:r>
      <w:r>
        <w:fldChar w:fldCharType="separate"/>
      </w:r>
      <w:r>
        <w:t>26</w:t>
      </w:r>
      <w:r>
        <w:fldChar w:fldCharType="end"/>
      </w:r>
    </w:p>
    <w:p>
      <w:pPr>
        <w:pStyle w:val="TOC8"/>
        <w:rPr>
          <w:rFonts w:asciiTheme="minorHAnsi" w:eastAsiaTheme="minorEastAsia" w:hAnsiTheme="minorHAnsi" w:cstheme="minorBidi"/>
          <w:szCs w:val="22"/>
        </w:rPr>
      </w:pPr>
      <w:r>
        <w:t>7F.</w:t>
      </w:r>
      <w:r>
        <w:tab/>
        <w:t>Renewal of licence, fees for (Act s. 31(3)(b))</w:t>
      </w:r>
      <w:r>
        <w:tab/>
      </w:r>
      <w:r>
        <w:fldChar w:fldCharType="begin"/>
      </w:r>
      <w:r>
        <w:instrText xml:space="preserve"> PAGEREF _Toc33609862 \h </w:instrText>
      </w:r>
      <w:r>
        <w:fldChar w:fldCharType="separate"/>
      </w:r>
      <w:r>
        <w:t>26</w:t>
      </w:r>
      <w:r>
        <w:fldChar w:fldCharType="end"/>
      </w:r>
    </w:p>
    <w:p>
      <w:pPr>
        <w:pStyle w:val="TOC8"/>
        <w:rPr>
          <w:rFonts w:asciiTheme="minorHAnsi" w:eastAsiaTheme="minorEastAsia" w:hAnsiTheme="minorHAnsi" w:cstheme="minorBidi"/>
          <w:szCs w:val="22"/>
        </w:rPr>
      </w:pPr>
      <w:r>
        <w:t>7G.</w:t>
      </w:r>
      <w:r>
        <w:tab/>
        <w:t>Change of certain information, licensee to notify Commissioner of</w:t>
      </w:r>
      <w:r>
        <w:tab/>
      </w:r>
      <w:r>
        <w:fldChar w:fldCharType="begin"/>
      </w:r>
      <w:r>
        <w:instrText xml:space="preserve"> PAGEREF _Toc33609863 \h </w:instrText>
      </w:r>
      <w:r>
        <w:fldChar w:fldCharType="separate"/>
      </w:r>
      <w:r>
        <w:t>27</w:t>
      </w:r>
      <w:r>
        <w:fldChar w:fldCharType="end"/>
      </w:r>
    </w:p>
    <w:p>
      <w:pPr>
        <w:pStyle w:val="TOC2"/>
        <w:tabs>
          <w:tab w:val="right" w:leader="dot" w:pos="7087"/>
        </w:tabs>
        <w:rPr>
          <w:rFonts w:asciiTheme="minorHAnsi" w:eastAsiaTheme="minorEastAsia" w:hAnsiTheme="minorHAnsi" w:cstheme="minorBidi"/>
          <w:b w:val="0"/>
          <w:sz w:val="22"/>
          <w:szCs w:val="22"/>
        </w:rPr>
      </w:pPr>
      <w:r>
        <w:t>Part 2 — Certification of individuals performing repair work</w:t>
      </w:r>
    </w:p>
    <w:p>
      <w:pPr>
        <w:pStyle w:val="TOC8"/>
        <w:rPr>
          <w:rFonts w:asciiTheme="minorHAnsi" w:eastAsiaTheme="minorEastAsia" w:hAnsiTheme="minorHAnsi" w:cstheme="minorBidi"/>
          <w:szCs w:val="22"/>
        </w:rPr>
      </w:pPr>
      <w:r>
        <w:t>7.</w:t>
      </w:r>
      <w:r>
        <w:tab/>
        <w:t>Repairer’s certificate, fee for (Act s. 41(2)(b))</w:t>
      </w:r>
      <w:r>
        <w:tab/>
      </w:r>
      <w:r>
        <w:fldChar w:fldCharType="begin"/>
      </w:r>
      <w:r>
        <w:instrText xml:space="preserve"> PAGEREF _Toc33609865 \h </w:instrText>
      </w:r>
      <w:r>
        <w:fldChar w:fldCharType="separate"/>
      </w:r>
      <w:r>
        <w:t>28</w:t>
      </w:r>
      <w:r>
        <w:fldChar w:fldCharType="end"/>
      </w:r>
    </w:p>
    <w:p>
      <w:pPr>
        <w:pStyle w:val="TOC8"/>
        <w:rPr>
          <w:rFonts w:asciiTheme="minorHAnsi" w:eastAsiaTheme="minorEastAsia" w:hAnsiTheme="minorHAnsi" w:cstheme="minorBidi"/>
          <w:szCs w:val="22"/>
        </w:rPr>
      </w:pPr>
      <w:r>
        <w:t>8.</w:t>
      </w:r>
      <w:r>
        <w:tab/>
        <w:t>Qualifications prescribed (Act s. 42(2)(a)(i))</w:t>
      </w:r>
      <w:r>
        <w:tab/>
      </w:r>
      <w:r>
        <w:fldChar w:fldCharType="begin"/>
      </w:r>
      <w:r>
        <w:instrText xml:space="preserve"> PAGEREF _Toc33609866 \h </w:instrText>
      </w:r>
      <w:r>
        <w:fldChar w:fldCharType="separate"/>
      </w:r>
      <w:r>
        <w:t>28</w:t>
      </w:r>
      <w:r>
        <w:fldChar w:fldCharType="end"/>
      </w:r>
    </w:p>
    <w:p>
      <w:pPr>
        <w:pStyle w:val="TOC2"/>
        <w:tabs>
          <w:tab w:val="right" w:leader="dot" w:pos="7087"/>
        </w:tabs>
        <w:rPr>
          <w:rFonts w:asciiTheme="minorHAnsi" w:eastAsiaTheme="minorEastAsia" w:hAnsiTheme="minorHAnsi" w:cstheme="minorBidi"/>
          <w:b w:val="0"/>
          <w:sz w:val="22"/>
          <w:szCs w:val="22"/>
        </w:rPr>
      </w:pPr>
      <w:r>
        <w:t>Part 3</w:t>
      </w:r>
      <w:r>
        <w:rPr>
          <w:b w:val="0"/>
        </w:rPr>
        <w:t> </w:t>
      </w:r>
      <w:r>
        <w:t>—</w:t>
      </w:r>
      <w:r>
        <w:rPr>
          <w:b w:val="0"/>
        </w:rPr>
        <w:t> </w:t>
      </w:r>
      <w:r>
        <w:t>Provisions applicable to business licences and to certificates</w:t>
      </w:r>
    </w:p>
    <w:p>
      <w:pPr>
        <w:pStyle w:val="TOC8"/>
        <w:rPr>
          <w:rFonts w:asciiTheme="minorHAnsi" w:eastAsiaTheme="minorEastAsia" w:hAnsiTheme="minorHAnsi" w:cstheme="minorBidi"/>
          <w:szCs w:val="22"/>
        </w:rPr>
      </w:pPr>
      <w:r>
        <w:t>9.</w:t>
      </w:r>
      <w:r>
        <w:tab/>
        <w:t>Particulars etc. to be recorded in register (Act s. 50(1)(a))</w:t>
      </w:r>
      <w:r>
        <w:tab/>
      </w:r>
      <w:r>
        <w:fldChar w:fldCharType="begin"/>
      </w:r>
      <w:r>
        <w:instrText xml:space="preserve"> PAGEREF _Toc33609868 \h </w:instrText>
      </w:r>
      <w:r>
        <w:fldChar w:fldCharType="separate"/>
      </w:r>
      <w:r>
        <w:t>37</w:t>
      </w:r>
      <w:r>
        <w:fldChar w:fldCharType="end"/>
      </w:r>
    </w:p>
    <w:p>
      <w:pPr>
        <w:pStyle w:val="TOC8"/>
        <w:rPr>
          <w:rFonts w:asciiTheme="minorHAnsi" w:eastAsiaTheme="minorEastAsia" w:hAnsiTheme="minorHAnsi" w:cstheme="minorBidi"/>
          <w:szCs w:val="22"/>
        </w:rPr>
      </w:pPr>
      <w:r>
        <w:t>10.</w:t>
      </w:r>
      <w:r>
        <w:tab/>
        <w:t>Fees for inspecting, and obtaining copies of, register (Act s. 51)</w:t>
      </w:r>
      <w:r>
        <w:tab/>
      </w:r>
      <w:r>
        <w:fldChar w:fldCharType="begin"/>
      </w:r>
      <w:r>
        <w:instrText xml:space="preserve"> PAGEREF _Toc33609869 \h </w:instrText>
      </w:r>
      <w:r>
        <w:fldChar w:fldCharType="separate"/>
      </w:r>
      <w:r>
        <w:t>39</w:t>
      </w:r>
      <w:r>
        <w:fldChar w:fldCharType="end"/>
      </w:r>
    </w:p>
    <w:p>
      <w:pPr>
        <w:pStyle w:val="TOC8"/>
        <w:rPr>
          <w:rFonts w:asciiTheme="minorHAnsi" w:eastAsiaTheme="minorEastAsia" w:hAnsiTheme="minorHAnsi" w:cstheme="minorBidi"/>
          <w:szCs w:val="22"/>
        </w:rPr>
      </w:pPr>
      <w:r>
        <w:t>11.</w:t>
      </w:r>
      <w:r>
        <w:tab/>
        <w:t>Certified copy of certificate, fee for (Act s. 54(1))</w:t>
      </w:r>
      <w:r>
        <w:tab/>
      </w:r>
      <w:r>
        <w:fldChar w:fldCharType="begin"/>
      </w:r>
      <w:r>
        <w:instrText xml:space="preserve"> PAGEREF _Toc33609870 \h </w:instrText>
      </w:r>
      <w:r>
        <w:fldChar w:fldCharType="separate"/>
      </w:r>
      <w:r>
        <w:t>39</w:t>
      </w:r>
      <w:r>
        <w:fldChar w:fldCharType="end"/>
      </w:r>
    </w:p>
    <w:p>
      <w:pPr>
        <w:pStyle w:val="TOC2"/>
        <w:tabs>
          <w:tab w:val="right" w:leader="dot" w:pos="7087"/>
        </w:tabs>
        <w:rPr>
          <w:rFonts w:asciiTheme="minorHAnsi" w:eastAsiaTheme="minorEastAsia" w:hAnsiTheme="minorHAnsi" w:cstheme="minorBidi"/>
          <w:b w:val="0"/>
          <w:sz w:val="22"/>
          <w:szCs w:val="22"/>
        </w:rPr>
      </w:pPr>
      <w:r>
        <w:t>Part 4</w:t>
      </w:r>
      <w:r>
        <w:rPr>
          <w:b w:val="0"/>
        </w:rPr>
        <w:t> </w:t>
      </w:r>
      <w:r>
        <w:t>—</w:t>
      </w:r>
      <w:r>
        <w:rPr>
          <w:b w:val="0"/>
        </w:rPr>
        <w:t> </w:t>
      </w:r>
      <w:r>
        <w:t>Miscellaneous</w:t>
      </w:r>
    </w:p>
    <w:p>
      <w:pPr>
        <w:pStyle w:val="TOC8"/>
        <w:rPr>
          <w:rFonts w:asciiTheme="minorHAnsi" w:eastAsiaTheme="minorEastAsia" w:hAnsiTheme="minorHAnsi" w:cstheme="minorBidi"/>
          <w:szCs w:val="22"/>
        </w:rPr>
      </w:pPr>
      <w:r>
        <w:t>12</w:t>
      </w:r>
      <w:r>
        <w:rPr>
          <w:color w:val="000000"/>
        </w:rPr>
        <w:t>.</w:t>
      </w:r>
      <w:r>
        <w:rPr>
          <w:color w:val="000000"/>
        </w:rPr>
        <w:tab/>
        <w:t>Changes of authorised premises, fees for (Act s. 61(1)(c))</w:t>
      </w:r>
      <w:r>
        <w:tab/>
      </w:r>
      <w:r>
        <w:fldChar w:fldCharType="begin"/>
      </w:r>
      <w:r>
        <w:instrText xml:space="preserve"> PAGEREF _Toc33609872 \h </w:instrText>
      </w:r>
      <w:r>
        <w:fldChar w:fldCharType="separate"/>
      </w:r>
      <w:r>
        <w:t>40</w:t>
      </w:r>
      <w:r>
        <w:fldChar w:fldCharType="end"/>
      </w:r>
    </w:p>
    <w:p>
      <w:pPr>
        <w:pStyle w:val="TOC8"/>
        <w:rPr>
          <w:rFonts w:asciiTheme="minorHAnsi" w:eastAsiaTheme="minorEastAsia" w:hAnsiTheme="minorHAnsi" w:cstheme="minorBidi"/>
          <w:szCs w:val="22"/>
        </w:rPr>
      </w:pPr>
      <w:r>
        <w:t>13.</w:t>
      </w:r>
      <w:r>
        <w:tab/>
        <w:t>Infringement notice offences and modified penalties (Act s. 98 and 99(1))</w:t>
      </w:r>
      <w:r>
        <w:tab/>
      </w:r>
      <w:r>
        <w:fldChar w:fldCharType="begin"/>
      </w:r>
      <w:r>
        <w:instrText xml:space="preserve"> PAGEREF _Toc33609873 \h </w:instrText>
      </w:r>
      <w:r>
        <w:fldChar w:fldCharType="separate"/>
      </w:r>
      <w:r>
        <w:t>40</w:t>
      </w:r>
      <w:r>
        <w:fldChar w:fldCharType="end"/>
      </w:r>
    </w:p>
    <w:p>
      <w:pPr>
        <w:pStyle w:val="TOC8"/>
        <w:rPr>
          <w:rFonts w:asciiTheme="minorHAnsi" w:eastAsiaTheme="minorEastAsia" w:hAnsiTheme="minorHAnsi" w:cstheme="minorBidi"/>
          <w:szCs w:val="22"/>
        </w:rPr>
      </w:pPr>
      <w:r>
        <w:t>14.</w:t>
      </w:r>
      <w:r>
        <w:tab/>
        <w:t>Infringement notice and withdrawal notice, forms of (Act s. 101(1) and 103(1))</w:t>
      </w:r>
      <w:r>
        <w:tab/>
      </w:r>
      <w:r>
        <w:fldChar w:fldCharType="begin"/>
      </w:r>
      <w:r>
        <w:instrText xml:space="preserve"> PAGEREF _Toc33609874 \h </w:instrText>
      </w:r>
      <w:r>
        <w:fldChar w:fldCharType="separate"/>
      </w:r>
      <w:r>
        <w:t>41</w:t>
      </w:r>
      <w:r>
        <w:fldChar w:fldCharType="end"/>
      </w:r>
    </w:p>
    <w:p>
      <w:pPr>
        <w:pStyle w:val="TOC8"/>
        <w:rPr>
          <w:rFonts w:asciiTheme="minorHAnsi" w:eastAsiaTheme="minorEastAsia" w:hAnsiTheme="minorHAnsi" w:cstheme="minorBidi"/>
          <w:szCs w:val="22"/>
        </w:rPr>
      </w:pPr>
      <w:r>
        <w:t>15.</w:t>
      </w:r>
      <w:r>
        <w:tab/>
        <w:t>Refund of fee on withdrawal or refusal of certain applications</w:t>
      </w:r>
      <w:r>
        <w:tab/>
      </w:r>
      <w:r>
        <w:fldChar w:fldCharType="begin"/>
      </w:r>
      <w:r>
        <w:instrText xml:space="preserve"> PAGEREF _Toc33609875 \h </w:instrText>
      </w:r>
      <w:r>
        <w:fldChar w:fldCharType="separate"/>
      </w:r>
      <w:r>
        <w:t>42</w:t>
      </w:r>
      <w:r>
        <w:fldChar w:fldCharType="end"/>
      </w:r>
    </w:p>
    <w:p>
      <w:pPr>
        <w:pStyle w:val="TOC2"/>
        <w:tabs>
          <w:tab w:val="right" w:leader="dot" w:pos="7087"/>
        </w:tabs>
        <w:rPr>
          <w:rFonts w:asciiTheme="minorHAnsi" w:eastAsiaTheme="minorEastAsia" w:hAnsiTheme="minorHAnsi" w:cstheme="minorBidi"/>
          <w:b w:val="0"/>
          <w:sz w:val="22"/>
          <w:szCs w:val="22"/>
        </w:rPr>
      </w:pPr>
      <w:r>
        <w:t>Schedule 1 — Forms</w:t>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_Toc33609878 \h </w:instrText>
      </w:r>
      <w:r>
        <w:fldChar w:fldCharType="separate"/>
      </w:r>
      <w:r>
        <w:t>46</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_Toc33609879 \h </w:instrText>
      </w:r>
      <w:r>
        <w:fldChar w:fldCharType="separate"/>
      </w:r>
      <w:r>
        <w:t>48</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8"/>
        <w:rPr>
          <w:sz w:val="8"/>
          <w:szCs w:val="8"/>
        </w:rPr>
      </w:pPr>
      <w:r>
        <w:fldChar w:fldCharType="end"/>
      </w:r>
    </w:p>
    <w:p>
      <w:pPr>
        <w:pStyle w:val="NoteHeading"/>
        <w:rPr>
          <w:sz w:val="8"/>
          <w:szCs w:val="8"/>
        </w:rPr>
      </w:pPr>
      <w:r>
        <w:rPr>
          <w:rStyle w:val="CharPartNo"/>
          <w:sz w:val="8"/>
          <w:szCs w:val="8"/>
        </w:rPr>
        <w:t xml:space="preserve"> </w:t>
      </w:r>
      <w:r>
        <w:rPr>
          <w:rStyle w:val="CharPartText"/>
          <w:sz w:val="8"/>
          <w:szCs w:val="8"/>
        </w:rPr>
        <w:t xml:space="preserve"> </w:t>
      </w:r>
      <w:r>
        <w:rPr>
          <w:rStyle w:val="CharDivNo"/>
          <w:sz w:val="8"/>
          <w:szCs w:val="8"/>
        </w:rPr>
        <w:t xml:space="preserve"> </w:t>
      </w:r>
      <w:r>
        <w:rPr>
          <w:rStyle w:val="CharDivText"/>
          <w:sz w:val="8"/>
          <w:szCs w:val="8"/>
        </w:rPr>
        <w:t xml:space="preserve"> </w:t>
      </w:r>
      <w:r>
        <w:rPr>
          <w:rStyle w:val="CharSchNo"/>
          <w:sz w:val="8"/>
          <w:szCs w:val="8"/>
        </w:rPr>
        <w:t xml:space="preserve"> </w:t>
      </w:r>
      <w:r>
        <w:rPr>
          <w:rStyle w:val="CharSchText"/>
          <w:sz w:val="8"/>
          <w:szCs w:val="8"/>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Motor Vehicle Repairers Act 2003</w:t>
      </w:r>
    </w:p>
    <w:p>
      <w:pPr>
        <w:pStyle w:val="NameofActReg"/>
      </w:pPr>
      <w:r>
        <w:t>Motor Vehicle Repairers Regulations 2007</w:t>
      </w:r>
    </w:p>
    <w:p>
      <w:pPr>
        <w:pStyle w:val="Heading2"/>
        <w:pageBreakBefore w:val="0"/>
        <w:spacing w:before="240"/>
      </w:pPr>
      <w:bookmarkStart w:id="3" w:name="_Toc33609850"/>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33609851"/>
      <w:r>
        <w:rPr>
          <w:rStyle w:val="CharSectno"/>
        </w:rPr>
        <w:t>1</w:t>
      </w:r>
      <w:r>
        <w:t>.</w:t>
      </w:r>
      <w:r>
        <w:tab/>
        <w:t>Citation</w:t>
      </w:r>
      <w:bookmarkEnd w:id="4"/>
    </w:p>
    <w:p>
      <w:pPr>
        <w:pStyle w:val="Subsection"/>
        <w:spacing w:before="120"/>
        <w:rPr>
          <w:i/>
        </w:rPr>
      </w:pPr>
      <w:r>
        <w:tab/>
      </w:r>
      <w:r>
        <w:tab/>
      </w:r>
      <w:bookmarkStart w:id="5" w:name="Start_Cursor"/>
      <w:bookmarkEnd w:id="5"/>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6" w:name="_Toc33609852"/>
      <w:r>
        <w:rPr>
          <w:rStyle w:val="CharSectno"/>
        </w:rPr>
        <w:t>2</w:t>
      </w:r>
      <w:r>
        <w:rPr>
          <w:spacing w:val="-2"/>
        </w:rPr>
        <w:t>.</w:t>
      </w:r>
      <w:r>
        <w:rPr>
          <w:spacing w:val="-2"/>
        </w:rPr>
        <w:tab/>
        <w:t>Commencement</w:t>
      </w:r>
      <w:bookmarkEnd w:id="6"/>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
        </w:rPr>
        <w:t xml:space="preserve"> </w:t>
      </w:r>
      <w:r>
        <w:rPr>
          <w:iCs/>
          <w:vertAlign w:val="superscript"/>
        </w:rPr>
        <w:t>1</w:t>
      </w:r>
      <w:r>
        <w:t>.</w:t>
      </w:r>
    </w:p>
    <w:p>
      <w:pPr>
        <w:pStyle w:val="Heading5"/>
      </w:pPr>
      <w:bookmarkStart w:id="7" w:name="_Toc33609853"/>
      <w:r>
        <w:rPr>
          <w:rStyle w:val="CharSectno"/>
        </w:rPr>
        <w:t>3</w:t>
      </w:r>
      <w:r>
        <w:t>.</w:t>
      </w:r>
      <w:r>
        <w:tab/>
        <w:t>Terms used</w:t>
      </w:r>
      <w:bookmarkEnd w:id="7"/>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the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pPr>
      <w:r>
        <w:tab/>
        <w:t>(i)</w:t>
      </w:r>
      <w:r>
        <w:tab/>
        <w:t>to a fuel system that is not a gas fuel system; or</w:t>
      </w:r>
    </w:p>
    <w:p>
      <w:pPr>
        <w:pStyle w:val="Defsubpara"/>
      </w:pPr>
      <w:r>
        <w:tab/>
        <w:t>(ii)</w:t>
      </w:r>
      <w:r>
        <w:tab/>
        <w:t>to a gas fuel system;</w:t>
      </w:r>
    </w:p>
    <w:p>
      <w:pPr>
        <w:pStyle w:val="Defstar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rPr>
          <w:color w:val="000000"/>
        </w:rPr>
      </w:pPr>
      <w:r>
        <w:rPr>
          <w:color w:val="000000"/>
        </w:rPr>
        <w:tab/>
        <w:t>(i)</w:t>
      </w:r>
      <w:r>
        <w:rPr>
          <w:color w:val="000000"/>
        </w:rPr>
        <w:tab/>
        <w:t>a diesel fuel system;</w:t>
      </w:r>
    </w:p>
    <w:p>
      <w:pPr>
        <w:pStyle w:val="Defsubpara"/>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for which a vehicle licence is not required under the Road Traffic Act 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light vehicle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pPr>
      <w:r>
        <w:tab/>
        <w:t>(i)</w:t>
      </w:r>
      <w:r>
        <w:tab/>
        <w:t>that has 3 wheels arranged so that the axis of rotation of 2 wheels lies on the same straight line and each of those 2 wheels is equidistant from the 3rd; and</w:t>
      </w:r>
    </w:p>
    <w:p>
      <w:pPr>
        <w:pStyle w:val="Defsubpara"/>
      </w:pPr>
      <w:r>
        <w:tab/>
        <w:t>(ii)</w:t>
      </w:r>
      <w:r>
        <w:tab/>
        <w:t>that is designed to be steered using a handlebar and to have a significant portion of its other controls on the handlebar;</w:t>
      </w:r>
    </w:p>
    <w:p>
      <w:pPr>
        <w:pStyle w:val="Defstart"/>
        <w:keepNext/>
        <w:keepLines/>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ind w:left="0" w:firstLine="0"/>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rPr>
          <w:color w:val="000000"/>
        </w:rPr>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pPr>
      <w:r>
        <w:tab/>
        <w:t>(iii)</w:t>
      </w:r>
      <w:r>
        <w:tab/>
        <w:t>to reassemble the thing after reconditioning or replacing its components so that the useful life of the thing is comparable to its useful life when it was new; and</w:t>
      </w:r>
    </w:p>
    <w:p>
      <w:pPr>
        <w:pStyle w:val="Defsubpara"/>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spacing w:before="70"/>
      </w:pPr>
      <w:r>
        <w:tab/>
        <w:t>(i)</w:t>
      </w:r>
      <w:r>
        <w:tab/>
        <w:t>realigning the chassis of a motor vehicle;</w:t>
      </w:r>
    </w:p>
    <w:p>
      <w:pPr>
        <w:pStyle w:val="Defsubpara"/>
        <w:spacing w:before="70"/>
      </w:pPr>
      <w:r>
        <w:tab/>
        <w:t>(ii)</w:t>
      </w:r>
      <w:r>
        <w:tab/>
        <w:t>realigning or repairing a panel, frame or other component of the body of a motor vehicle;</w:t>
      </w:r>
    </w:p>
    <w:p>
      <w:pPr>
        <w:pStyle w:val="Defsubpara"/>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pPr>
      <w:r>
        <w:tab/>
        <w:t>(i)</w:t>
      </w:r>
      <w:r>
        <w:tab/>
        <w:t>a moveable platform designed to raise and lower things being loaded onto or unloaded from a heavy vehicle or light vehicle;</w:t>
      </w:r>
    </w:p>
    <w:p>
      <w:pPr>
        <w:pStyle w:val="Defsubpara"/>
      </w:pPr>
      <w:r>
        <w:tab/>
        <w:t>(ii)</w:t>
      </w:r>
      <w:r>
        <w:tab/>
        <w:t>a canopy;</w:t>
      </w:r>
    </w:p>
    <w:p>
      <w:pPr>
        <w:pStyle w:val="Defsubpara"/>
      </w:pPr>
      <w:r>
        <w:tab/>
        <w:t>(iii)</w:t>
      </w:r>
      <w:r>
        <w:tab/>
        <w:t>a tray, a tray lid or a tray liner;</w:t>
      </w:r>
    </w:p>
    <w:p>
      <w:pPr>
        <w:pStyle w:val="Defsubpara"/>
      </w:pPr>
      <w:r>
        <w:tab/>
        <w:t>(iv)</w:t>
      </w:r>
      <w:r>
        <w:tab/>
        <w:t>a tool rack;</w:t>
      </w:r>
    </w:p>
    <w:p>
      <w:pPr>
        <w:pStyle w:val="Defsubpara"/>
      </w:pPr>
      <w:r>
        <w:tab/>
        <w:t>(v)</w:t>
      </w:r>
      <w:r>
        <w:tab/>
        <w:t>a side step;</w:t>
      </w:r>
    </w:p>
    <w:p>
      <w:pPr>
        <w:pStyle w:val="Defsubpara"/>
      </w:pPr>
      <w:r>
        <w:tab/>
        <w:t>(vi)</w:t>
      </w:r>
      <w:r>
        <w:tab/>
        <w:t>a storage drawer;</w:t>
      </w:r>
    </w:p>
    <w:p>
      <w:pPr>
        <w:pStyle w:val="Defsubpara"/>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 licensing provisions of the Road Traffic Act;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p>
    <w:p>
      <w:pPr>
        <w:pStyle w:val="Defstart"/>
      </w:pP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 licensing provisions of the Road Traffic Act.</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 28 Jul 2009 p. 2975-6; 18 Nov 2014 p. 4320.]</w:t>
      </w:r>
    </w:p>
    <w:p>
      <w:pPr>
        <w:pStyle w:val="Heading5"/>
      </w:pPr>
      <w:bookmarkStart w:id="8" w:name="_Toc33609854"/>
      <w:r>
        <w:rPr>
          <w:rStyle w:val="CharSectno"/>
        </w:rPr>
        <w:t>4</w:t>
      </w:r>
      <w:r>
        <w:t>.</w:t>
      </w:r>
      <w:r>
        <w:tab/>
        <w:t>Exclusions from definition of motor vehicle</w:t>
      </w:r>
      <w:bookmarkEnd w:id="8"/>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9" w:name="_Toc33609855"/>
      <w:r>
        <w:rPr>
          <w:rStyle w:val="CharSectno"/>
        </w:rPr>
        <w:t>5</w:t>
      </w:r>
      <w:r>
        <w:t>.</w:t>
      </w:r>
      <w:r>
        <w:tab/>
        <w:t>Classes of repair work prescribed (Act s. 5)</w:t>
      </w:r>
      <w:bookmarkEnd w:id="9"/>
    </w:p>
    <w:p>
      <w:pPr>
        <w:pStyle w:val="Ednotesubsection"/>
      </w:pPr>
      <w:r>
        <w:tab/>
        <w:t>[(1)</w:t>
      </w:r>
      <w:r>
        <w:tab/>
        <w:t>deleted]</w:t>
      </w:r>
    </w:p>
    <w:p>
      <w:pPr>
        <w:pStyle w:val="Subsection"/>
      </w:pPr>
      <w:r>
        <w:tab/>
        <w:t>(2)</w:t>
      </w:r>
      <w:r>
        <w:tab/>
        <w:t>For the purposes of the Act Part 3, each kind of work listed in the Table to this regulation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6095" w:type="dxa"/>
            <w:gridSpan w:val="2"/>
          </w:tcPr>
          <w:p>
            <w:pPr>
              <w:pStyle w:val="Table"/>
              <w:rPr>
                <w:i/>
              </w:rPr>
            </w:pPr>
            <w:r>
              <w:rPr>
                <w:i/>
              </w:rPr>
              <w:t>[2A</w:t>
            </w:r>
            <w:r>
              <w:rPr>
                <w:i/>
              </w:rPr>
              <w:tab/>
            </w:r>
            <w:r>
              <w:rPr>
                <w:i/>
              </w:rPr>
              <w:tab/>
              <w:t>deleted]</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r>
        <w:tab/>
        <w:t>[Regulation 5 amended in Gazette 24 Jun 2008 p. 2811; 18 Nov 2014 p. 4320.]</w:t>
      </w:r>
    </w:p>
    <w:p>
      <w:pPr>
        <w:pStyle w:val="Heading5"/>
      </w:pPr>
      <w:bookmarkStart w:id="10" w:name="_Toc33609856"/>
      <w:r>
        <w:rPr>
          <w:rStyle w:val="CharSectno"/>
        </w:rPr>
        <w:t>6</w:t>
      </w:r>
      <w:r>
        <w:t>.</w:t>
      </w:r>
      <w:r>
        <w:tab/>
        <w:t>Work that is not repair work prescribed (Act s. 5)</w:t>
      </w:r>
      <w:bookmarkEnd w:id="10"/>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11" w:name="_Toc33609857"/>
      <w:r>
        <w:rPr>
          <w:rStyle w:val="CharPartNo"/>
        </w:rPr>
        <w:t>Part 2A</w:t>
      </w:r>
      <w:r>
        <w:rPr>
          <w:b w:val="0"/>
        </w:rPr>
        <w:t> </w:t>
      </w:r>
      <w:r>
        <w:t>—</w:t>
      </w:r>
      <w:r>
        <w:rPr>
          <w:b w:val="0"/>
        </w:rPr>
        <w:t> </w:t>
      </w:r>
      <w:r>
        <w:rPr>
          <w:rStyle w:val="CharPartText"/>
        </w:rPr>
        <w:t>Licensing of motor vehicle repair businesses</w:t>
      </w:r>
      <w:bookmarkEnd w:id="11"/>
    </w:p>
    <w:p>
      <w:pPr>
        <w:pStyle w:val="Footnoteheading"/>
      </w:pPr>
      <w:r>
        <w:tab/>
        <w:t>[Heading inserted in Gazette 24 Jun 2008 p. 2812.]</w:t>
      </w:r>
    </w:p>
    <w:p>
      <w:pPr>
        <w:pStyle w:val="Heading5"/>
      </w:pPr>
      <w:bookmarkStart w:id="12" w:name="_Toc33609858"/>
      <w:r>
        <w:rPr>
          <w:rStyle w:val="CharSectno"/>
        </w:rPr>
        <w:t>7A</w:t>
      </w:r>
      <w:r>
        <w:t>.</w:t>
      </w:r>
      <w:r>
        <w:tab/>
        <w:t>Fees prescribed (Act s. 13)</w:t>
      </w:r>
      <w:bookmarkEnd w:id="12"/>
    </w:p>
    <w:p>
      <w:pPr>
        <w:pStyle w:val="Subsection"/>
      </w:pPr>
      <w:r>
        <w:tab/>
        <w:t>(1)</w:t>
      </w:r>
      <w:r>
        <w:tab/>
        <w:t xml:space="preserve">For the purposes of the Act section 13(3)(a)(ii), the prescribed fee is — </w:t>
      </w:r>
    </w:p>
    <w:p>
      <w:pPr>
        <w:pStyle w:val="Ednotepara"/>
      </w:pPr>
      <w:r>
        <w:tab/>
        <w:t>[(a), (b)</w:t>
      </w:r>
      <w:r>
        <w:tab/>
        <w:t>deleted]</w:t>
      </w:r>
    </w:p>
    <w:p>
      <w:pPr>
        <w:pStyle w:val="Indenta"/>
      </w:pPr>
      <w:r>
        <w:tab/>
        <w:t>(c)</w:t>
      </w:r>
      <w:r>
        <w:tab/>
        <w:t>for an application under the Act section 15, 17 or 19, the sum of —</w:t>
      </w:r>
    </w:p>
    <w:p>
      <w:pPr>
        <w:pStyle w:val="Indenti"/>
      </w:pPr>
      <w:r>
        <w:tab/>
        <w:t>(i)</w:t>
      </w:r>
      <w:r>
        <w:tab/>
        <w:t>$165; and</w:t>
      </w:r>
    </w:p>
    <w:p>
      <w:pPr>
        <w:pStyle w:val="Indenti"/>
      </w:pPr>
      <w:r>
        <w:tab/>
        <w:t>(ii)</w:t>
      </w:r>
      <w:r>
        <w:tab/>
        <w:t>the amount determined in accordance with subregulation (6) in respect of the application.</w:t>
      </w:r>
    </w:p>
    <w:p>
      <w:pPr>
        <w:pStyle w:val="Ednotesubsection"/>
      </w:pPr>
      <w:r>
        <w:tab/>
        <w:t>[(2)</w:t>
      </w:r>
      <w:r>
        <w:noBreakHyphen/>
        <w:t>(5)</w:t>
      </w:r>
      <w:r>
        <w:tab/>
        <w:t>deleted]</w:t>
      </w:r>
    </w:p>
    <w:p>
      <w:pPr>
        <w:pStyle w:val="Subsection"/>
      </w:pPr>
      <w:r>
        <w:tab/>
        <w:t>(6)</w:t>
      </w:r>
      <w:r>
        <w:tab/>
        <w:t>For the purposes of subregulation (1)(c)(ii), the amount in respect of an application is the amount specified in the Table to this regulation in the item that specifies the number of repairers of the applicant at the time the application is made.</w:t>
      </w:r>
    </w:p>
    <w:p>
      <w:pPr>
        <w:pStyle w:val="yTHeadingNAm"/>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992" w:type="dxa"/>
          </w:tcPr>
          <w:p>
            <w:pPr>
              <w:pStyle w:val="TableNAm"/>
              <w:tabs>
                <w:tab w:val="clear" w:pos="567"/>
              </w:tabs>
              <w:ind w:right="58"/>
              <w:jc w:val="right"/>
            </w:pPr>
            <w:r>
              <w:t>$698</w:t>
            </w:r>
          </w:p>
        </w:tc>
      </w:tr>
      <w:tr>
        <w:tc>
          <w:tcPr>
            <w:tcW w:w="658" w:type="dxa"/>
          </w:tcPr>
          <w:p>
            <w:pPr>
              <w:pStyle w:val="TableNAm"/>
            </w:pPr>
            <w:r>
              <w:t>2.</w:t>
            </w:r>
          </w:p>
        </w:tc>
        <w:tc>
          <w:tcPr>
            <w:tcW w:w="3118" w:type="dxa"/>
          </w:tcPr>
          <w:p>
            <w:pPr>
              <w:pStyle w:val="TableNAm"/>
            </w:pPr>
            <w:r>
              <w:t>3</w:t>
            </w:r>
          </w:p>
        </w:tc>
        <w:tc>
          <w:tcPr>
            <w:tcW w:w="992" w:type="dxa"/>
          </w:tcPr>
          <w:p>
            <w:pPr>
              <w:pStyle w:val="TableNAm"/>
              <w:tabs>
                <w:tab w:val="clear" w:pos="567"/>
              </w:tabs>
              <w:ind w:right="58"/>
              <w:jc w:val="right"/>
            </w:pPr>
            <w:r>
              <w:t>$973</w:t>
            </w:r>
          </w:p>
        </w:tc>
      </w:tr>
      <w:tr>
        <w:tc>
          <w:tcPr>
            <w:tcW w:w="658" w:type="dxa"/>
          </w:tcPr>
          <w:p>
            <w:pPr>
              <w:pStyle w:val="TableNAm"/>
            </w:pPr>
            <w:r>
              <w:t>3.</w:t>
            </w:r>
          </w:p>
        </w:tc>
        <w:tc>
          <w:tcPr>
            <w:tcW w:w="3118" w:type="dxa"/>
          </w:tcPr>
          <w:p>
            <w:pPr>
              <w:pStyle w:val="TableNAm"/>
            </w:pPr>
            <w:r>
              <w:t>4</w:t>
            </w:r>
          </w:p>
        </w:tc>
        <w:tc>
          <w:tcPr>
            <w:tcW w:w="992" w:type="dxa"/>
          </w:tcPr>
          <w:p>
            <w:pPr>
              <w:pStyle w:val="TableNAm"/>
              <w:tabs>
                <w:tab w:val="clear" w:pos="567"/>
              </w:tabs>
              <w:ind w:right="58"/>
              <w:jc w:val="right"/>
            </w:pPr>
            <w:r>
              <w:t>$1 215</w:t>
            </w:r>
          </w:p>
        </w:tc>
      </w:tr>
      <w:tr>
        <w:tc>
          <w:tcPr>
            <w:tcW w:w="658" w:type="dxa"/>
          </w:tcPr>
          <w:p>
            <w:pPr>
              <w:pStyle w:val="TableNAm"/>
            </w:pPr>
            <w:r>
              <w:t>4.</w:t>
            </w:r>
          </w:p>
        </w:tc>
        <w:tc>
          <w:tcPr>
            <w:tcW w:w="3118" w:type="dxa"/>
          </w:tcPr>
          <w:p>
            <w:pPr>
              <w:pStyle w:val="TableNAm"/>
            </w:pPr>
            <w:r>
              <w:t>5 to 7</w:t>
            </w:r>
          </w:p>
        </w:tc>
        <w:tc>
          <w:tcPr>
            <w:tcW w:w="992" w:type="dxa"/>
          </w:tcPr>
          <w:p>
            <w:pPr>
              <w:pStyle w:val="TableNAm"/>
              <w:tabs>
                <w:tab w:val="clear" w:pos="567"/>
              </w:tabs>
              <w:ind w:right="58"/>
              <w:jc w:val="right"/>
            </w:pPr>
            <w:r>
              <w:t>$1 766</w:t>
            </w:r>
          </w:p>
        </w:tc>
      </w:tr>
      <w:tr>
        <w:tc>
          <w:tcPr>
            <w:tcW w:w="658" w:type="dxa"/>
          </w:tcPr>
          <w:p>
            <w:pPr>
              <w:pStyle w:val="TableNAm"/>
            </w:pPr>
            <w:r>
              <w:t>5.</w:t>
            </w:r>
          </w:p>
        </w:tc>
        <w:tc>
          <w:tcPr>
            <w:tcW w:w="3118" w:type="dxa"/>
          </w:tcPr>
          <w:p>
            <w:pPr>
              <w:pStyle w:val="TableNAm"/>
            </w:pPr>
            <w:r>
              <w:t>8 to 10</w:t>
            </w:r>
          </w:p>
        </w:tc>
        <w:tc>
          <w:tcPr>
            <w:tcW w:w="992" w:type="dxa"/>
          </w:tcPr>
          <w:p>
            <w:pPr>
              <w:pStyle w:val="TableNAm"/>
              <w:tabs>
                <w:tab w:val="clear" w:pos="567"/>
              </w:tabs>
              <w:ind w:right="58"/>
              <w:jc w:val="right"/>
            </w:pPr>
            <w:r>
              <w:t>$2 248</w:t>
            </w:r>
          </w:p>
        </w:tc>
      </w:tr>
      <w:tr>
        <w:tc>
          <w:tcPr>
            <w:tcW w:w="658" w:type="dxa"/>
          </w:tcPr>
          <w:p>
            <w:pPr>
              <w:pStyle w:val="TableNAm"/>
            </w:pPr>
            <w:r>
              <w:t>6.</w:t>
            </w:r>
          </w:p>
        </w:tc>
        <w:tc>
          <w:tcPr>
            <w:tcW w:w="3118" w:type="dxa"/>
          </w:tcPr>
          <w:p>
            <w:pPr>
              <w:pStyle w:val="TableNAm"/>
            </w:pPr>
            <w:r>
              <w:t>11 or more</w:t>
            </w:r>
          </w:p>
        </w:tc>
        <w:tc>
          <w:tcPr>
            <w:tcW w:w="992" w:type="dxa"/>
          </w:tcPr>
          <w:p>
            <w:pPr>
              <w:pStyle w:val="TableNAm"/>
              <w:tabs>
                <w:tab w:val="clear" w:pos="567"/>
              </w:tabs>
              <w:ind w:right="58"/>
              <w:jc w:val="right"/>
            </w:pPr>
            <w:r>
              <w:t>$2 833</w:t>
            </w:r>
          </w:p>
        </w:tc>
      </w:tr>
    </w:tbl>
    <w:p>
      <w:pPr>
        <w:pStyle w:val="Footnotesection"/>
      </w:pPr>
      <w:r>
        <w:tab/>
        <w:t>[Regulation 7A inserted in Gazette 24 Jun 2008 p. 2812-15; amended in Gazette 23 Jun 2009 p. 2447; 22 Jun 2011 p. 2370; 30 Jun 2011 p. 2667; 15 Jun 2012 p. 2595</w:t>
      </w:r>
      <w:r>
        <w:noBreakHyphen/>
        <w:t>6; 27 Jun 2013 p. 2697-8; 17 Jun 2014 p. 1971; 15 Jul 2014 p. 2463; 18 Nov 2014 p. 4320.]</w:t>
      </w:r>
    </w:p>
    <w:p>
      <w:pPr>
        <w:pStyle w:val="Ednotesection"/>
      </w:pPr>
      <w:r>
        <w:t>[</w:t>
      </w:r>
      <w:r>
        <w:rPr>
          <w:b/>
        </w:rPr>
        <w:t>7B.</w:t>
      </w:r>
      <w:r>
        <w:tab/>
        <w:t>Deleted in Gazette 18 Nov 2014 p. 4320.]</w:t>
      </w:r>
    </w:p>
    <w:p>
      <w:pPr>
        <w:pStyle w:val="Heading5"/>
        <w:spacing w:before="180"/>
      </w:pPr>
      <w:bookmarkStart w:id="13" w:name="_Toc33609859"/>
      <w:r>
        <w:rPr>
          <w:rStyle w:val="CharSectno"/>
        </w:rPr>
        <w:t>7C</w:t>
      </w:r>
      <w:r>
        <w:t>.</w:t>
      </w:r>
      <w:r>
        <w:tab/>
        <w:t>Duplicate business licence, fee for (Act s. 25)</w:t>
      </w:r>
      <w:bookmarkEnd w:id="13"/>
    </w:p>
    <w:p>
      <w:pPr>
        <w:pStyle w:val="Subsection"/>
        <w:spacing w:before="120"/>
      </w:pPr>
      <w:r>
        <w:tab/>
      </w:r>
      <w:r>
        <w:tab/>
        <w:t>For the purposes of the Act section 25, the prescribed fee is $41.</w:t>
      </w:r>
    </w:p>
    <w:p>
      <w:pPr>
        <w:pStyle w:val="Footnotesection"/>
      </w:pPr>
      <w:r>
        <w:tab/>
        <w:t>[Regulation 7C inserted in Gazette 24 Jun 2008 p. 2817; amended in Gazette 23 Jun 2009 p. 2448; 22 Jun 2011 p. 2371; 15 Jun 2012 p. 2596; 27 Jun 2013 p. 2698; 17 Jun 2014 p. 1971.]</w:t>
      </w:r>
    </w:p>
    <w:p>
      <w:pPr>
        <w:pStyle w:val="Heading5"/>
      </w:pPr>
      <w:bookmarkStart w:id="14" w:name="_Toc33609860"/>
      <w:r>
        <w:rPr>
          <w:rStyle w:val="CharSectno"/>
        </w:rPr>
        <w:t>7D</w:t>
      </w:r>
      <w:r>
        <w:t>.</w:t>
      </w:r>
      <w:r>
        <w:tab/>
        <w:t>Conditions and restrictions attached to business licences (Act s. 28)</w:t>
      </w:r>
      <w:bookmarkEnd w:id="14"/>
    </w:p>
    <w:p>
      <w:pPr>
        <w:pStyle w:val="Subsection"/>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
          <w:bCs/>
          <w:i/>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 amended in Gazette 18 Nov 2014 p. 4321.]</w:t>
      </w:r>
    </w:p>
    <w:p>
      <w:pPr>
        <w:pStyle w:val="Heading5"/>
      </w:pPr>
      <w:bookmarkStart w:id="15" w:name="_Toc33609861"/>
      <w:r>
        <w:rPr>
          <w:rStyle w:val="CharSectno"/>
        </w:rPr>
        <w:t>7E</w:t>
      </w:r>
      <w:r>
        <w:t>.</w:t>
      </w:r>
      <w:r>
        <w:tab/>
        <w:t>Duration of business licence (Act s. 30)</w:t>
      </w:r>
      <w:bookmarkEnd w:id="15"/>
    </w:p>
    <w:p>
      <w:pPr>
        <w:pStyle w:val="Subsection"/>
      </w:pPr>
      <w:r>
        <w:tab/>
      </w:r>
      <w:r>
        <w:tab/>
        <w:t>For the purposes of the Act section 30, a business licence is to be issued or renewed for the period of 3 years.</w:t>
      </w:r>
    </w:p>
    <w:p>
      <w:pPr>
        <w:pStyle w:val="Footnotesection"/>
      </w:pPr>
      <w:r>
        <w:tab/>
        <w:t>[Regulation 7E inserted in Gazette 18 Nov 2014 p. 4321.]</w:t>
      </w:r>
    </w:p>
    <w:p>
      <w:pPr>
        <w:pStyle w:val="Heading5"/>
      </w:pPr>
      <w:bookmarkStart w:id="16" w:name="_Toc33609862"/>
      <w:r>
        <w:rPr>
          <w:rStyle w:val="CharSectno"/>
        </w:rPr>
        <w:t>7F</w:t>
      </w:r>
      <w:r>
        <w:t>.</w:t>
      </w:r>
      <w:r>
        <w:tab/>
        <w:t>Renewal of licence, fees for (Act s. 31(3)(b))</w:t>
      </w:r>
      <w:bookmarkEnd w:id="16"/>
    </w:p>
    <w:p>
      <w:pPr>
        <w:pStyle w:val="Subsection"/>
      </w:pPr>
      <w:r>
        <w:tab/>
        <w:t>(1)</w:t>
      </w:r>
      <w:r>
        <w:tab/>
        <w:t xml:space="preserve">For the purposes of the Act section 31(3)(b), the prescribed fee is the sum of — </w:t>
      </w:r>
    </w:p>
    <w:p>
      <w:pPr>
        <w:pStyle w:val="Indenta"/>
      </w:pPr>
      <w:r>
        <w:tab/>
        <w:t>(a)</w:t>
      </w:r>
      <w:r>
        <w:tab/>
        <w:t>$165;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w:t>
      </w:r>
      <w:r>
        <w:rPr>
          <w:b/>
          <w:bCs/>
          <w:i/>
          <w:iCs/>
        </w:rPr>
        <w:t xml:space="preserve"> </w:t>
      </w:r>
      <w:r>
        <w:t>is the amount specified in the Table to this regulation in the item that specifies the number of repairers of the applicant at the time the application is made.</w:t>
      </w:r>
    </w:p>
    <w:p>
      <w:pPr>
        <w:pStyle w:val="THeadingNAm"/>
        <w:ind w:left="0"/>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992" w:type="dxa"/>
          </w:tcPr>
          <w:p>
            <w:pPr>
              <w:pStyle w:val="TableNAm"/>
              <w:ind w:right="58"/>
              <w:jc w:val="right"/>
            </w:pPr>
            <w:r>
              <w:t>$698</w:t>
            </w:r>
          </w:p>
        </w:tc>
      </w:tr>
      <w:tr>
        <w:tc>
          <w:tcPr>
            <w:tcW w:w="658" w:type="dxa"/>
          </w:tcPr>
          <w:p>
            <w:pPr>
              <w:pStyle w:val="TableNAm"/>
            </w:pPr>
            <w:r>
              <w:t>2.</w:t>
            </w:r>
          </w:p>
        </w:tc>
        <w:tc>
          <w:tcPr>
            <w:tcW w:w="3118" w:type="dxa"/>
          </w:tcPr>
          <w:p>
            <w:pPr>
              <w:pStyle w:val="TableNAm"/>
            </w:pPr>
            <w:r>
              <w:t>3</w:t>
            </w:r>
          </w:p>
        </w:tc>
        <w:tc>
          <w:tcPr>
            <w:tcW w:w="992" w:type="dxa"/>
          </w:tcPr>
          <w:p>
            <w:pPr>
              <w:pStyle w:val="TableNAm"/>
              <w:ind w:right="58"/>
              <w:jc w:val="right"/>
            </w:pPr>
            <w:r>
              <w:t>$973</w:t>
            </w:r>
          </w:p>
        </w:tc>
      </w:tr>
      <w:tr>
        <w:tc>
          <w:tcPr>
            <w:tcW w:w="658" w:type="dxa"/>
          </w:tcPr>
          <w:p>
            <w:pPr>
              <w:pStyle w:val="TableNAm"/>
            </w:pPr>
            <w:r>
              <w:t>3.</w:t>
            </w:r>
          </w:p>
        </w:tc>
        <w:tc>
          <w:tcPr>
            <w:tcW w:w="3118" w:type="dxa"/>
          </w:tcPr>
          <w:p>
            <w:pPr>
              <w:pStyle w:val="TableNAm"/>
            </w:pPr>
            <w:r>
              <w:t>4</w:t>
            </w:r>
          </w:p>
        </w:tc>
        <w:tc>
          <w:tcPr>
            <w:tcW w:w="992" w:type="dxa"/>
          </w:tcPr>
          <w:p>
            <w:pPr>
              <w:pStyle w:val="TableNAm"/>
              <w:ind w:right="58"/>
              <w:jc w:val="right"/>
            </w:pPr>
            <w:r>
              <w:t>$1 215</w:t>
            </w:r>
          </w:p>
        </w:tc>
      </w:tr>
      <w:tr>
        <w:tc>
          <w:tcPr>
            <w:tcW w:w="658" w:type="dxa"/>
          </w:tcPr>
          <w:p>
            <w:pPr>
              <w:pStyle w:val="TableNAm"/>
            </w:pPr>
            <w:r>
              <w:t>4.</w:t>
            </w:r>
          </w:p>
        </w:tc>
        <w:tc>
          <w:tcPr>
            <w:tcW w:w="3118" w:type="dxa"/>
          </w:tcPr>
          <w:p>
            <w:pPr>
              <w:pStyle w:val="TableNAm"/>
            </w:pPr>
            <w:r>
              <w:t>5 to 7</w:t>
            </w:r>
          </w:p>
        </w:tc>
        <w:tc>
          <w:tcPr>
            <w:tcW w:w="992" w:type="dxa"/>
          </w:tcPr>
          <w:p>
            <w:pPr>
              <w:pStyle w:val="TableNAm"/>
              <w:ind w:right="58"/>
              <w:jc w:val="right"/>
            </w:pPr>
            <w:r>
              <w:t>$1 766</w:t>
            </w:r>
          </w:p>
        </w:tc>
      </w:tr>
      <w:tr>
        <w:tc>
          <w:tcPr>
            <w:tcW w:w="658" w:type="dxa"/>
          </w:tcPr>
          <w:p>
            <w:pPr>
              <w:pStyle w:val="TableNAm"/>
            </w:pPr>
            <w:r>
              <w:t>5.</w:t>
            </w:r>
          </w:p>
        </w:tc>
        <w:tc>
          <w:tcPr>
            <w:tcW w:w="3118" w:type="dxa"/>
          </w:tcPr>
          <w:p>
            <w:pPr>
              <w:pStyle w:val="TableNAm"/>
            </w:pPr>
            <w:r>
              <w:t>8 to 10</w:t>
            </w:r>
          </w:p>
        </w:tc>
        <w:tc>
          <w:tcPr>
            <w:tcW w:w="992" w:type="dxa"/>
          </w:tcPr>
          <w:p>
            <w:pPr>
              <w:pStyle w:val="TableNAm"/>
              <w:ind w:right="58"/>
              <w:jc w:val="right"/>
            </w:pPr>
            <w:r>
              <w:t>$2 248</w:t>
            </w:r>
          </w:p>
        </w:tc>
      </w:tr>
      <w:tr>
        <w:tc>
          <w:tcPr>
            <w:tcW w:w="658" w:type="dxa"/>
          </w:tcPr>
          <w:p>
            <w:pPr>
              <w:pStyle w:val="TableNAm"/>
            </w:pPr>
            <w:r>
              <w:t>6.</w:t>
            </w:r>
          </w:p>
        </w:tc>
        <w:tc>
          <w:tcPr>
            <w:tcW w:w="3118" w:type="dxa"/>
          </w:tcPr>
          <w:p>
            <w:pPr>
              <w:pStyle w:val="TableNAm"/>
            </w:pPr>
            <w:r>
              <w:t>11 or more</w:t>
            </w:r>
          </w:p>
        </w:tc>
        <w:tc>
          <w:tcPr>
            <w:tcW w:w="992" w:type="dxa"/>
          </w:tcPr>
          <w:p>
            <w:pPr>
              <w:pStyle w:val="TableNAm"/>
              <w:ind w:right="58"/>
              <w:jc w:val="right"/>
            </w:pPr>
            <w:r>
              <w:t>$2 833</w:t>
            </w:r>
          </w:p>
        </w:tc>
      </w:tr>
    </w:tbl>
    <w:p>
      <w:pPr>
        <w:pStyle w:val="Footnotesection"/>
      </w:pPr>
      <w:r>
        <w:tab/>
        <w:t>[Regulation 7F inserted in Gazette 24 Jun 2008 p. 2819; amended in Gazette 23 Jun 2009 p. 2448; 22 Jun 2011 p. 2371; 15 Jun 2012 p. 2596</w:t>
      </w:r>
      <w:r>
        <w:noBreakHyphen/>
        <w:t>7; 27 Jun 2013 p. 2699; 17 Jun 2014 p. 1971-2; 15 Jul 2014 p. 2463; 18 Nov 2014 p. 4321.]</w:t>
      </w:r>
    </w:p>
    <w:p>
      <w:pPr>
        <w:pStyle w:val="Heading5"/>
      </w:pPr>
      <w:bookmarkStart w:id="17" w:name="_Toc33609863"/>
      <w:r>
        <w:rPr>
          <w:rStyle w:val="CharSectno"/>
        </w:rPr>
        <w:t>7G</w:t>
      </w:r>
      <w:r>
        <w:t>.</w:t>
      </w:r>
      <w:r>
        <w:tab/>
        <w:t>Change of certain information, licensee to notify Commissioner of</w:t>
      </w:r>
      <w:bookmarkEnd w:id="17"/>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 amended in Gazette 30 Jun 2011 p. 2667; 18 Nov 2014 p. 4321.]</w:t>
      </w:r>
    </w:p>
    <w:p>
      <w:pPr>
        <w:pStyle w:val="Ednotesection"/>
      </w:pPr>
      <w:r>
        <w:t>[</w:t>
      </w:r>
      <w:r>
        <w:rPr>
          <w:b/>
        </w:rPr>
        <w:t>7H.</w:t>
      </w:r>
      <w:r>
        <w:tab/>
        <w:t>Deleted in Gazette 18 Nov 2014 p. 4321.]</w:t>
      </w:r>
    </w:p>
    <w:p>
      <w:pPr>
        <w:pStyle w:val="Heading2"/>
      </w:pPr>
      <w:bookmarkStart w:id="18" w:name="_Toc33609864"/>
      <w:r>
        <w:rPr>
          <w:rStyle w:val="CharPartNo"/>
        </w:rPr>
        <w:t>Part 2</w:t>
      </w:r>
      <w:r>
        <w:rPr>
          <w:rStyle w:val="CharDivNo"/>
        </w:rPr>
        <w:t> </w:t>
      </w:r>
      <w:r>
        <w:t>—</w:t>
      </w:r>
      <w:r>
        <w:rPr>
          <w:rStyle w:val="CharDivText"/>
        </w:rPr>
        <w:t> </w:t>
      </w:r>
      <w:r>
        <w:rPr>
          <w:rStyle w:val="CharPartText"/>
        </w:rPr>
        <w:t>Certification of individuals performing repair work</w:t>
      </w:r>
      <w:bookmarkEnd w:id="18"/>
    </w:p>
    <w:p>
      <w:pPr>
        <w:pStyle w:val="Heading5"/>
      </w:pPr>
      <w:bookmarkStart w:id="19" w:name="_Toc33609865"/>
      <w:r>
        <w:rPr>
          <w:rStyle w:val="CharSectno"/>
        </w:rPr>
        <w:t>7</w:t>
      </w:r>
      <w:r>
        <w:t>.</w:t>
      </w:r>
      <w:r>
        <w:tab/>
        <w:t>Repairer’s certificate, fee for (Act s. 41(2)(b))</w:t>
      </w:r>
      <w:bookmarkEnd w:id="19"/>
    </w:p>
    <w:p>
      <w:pPr>
        <w:pStyle w:val="Subsection"/>
      </w:pPr>
      <w:r>
        <w:tab/>
      </w:r>
      <w:r>
        <w:tab/>
        <w:t>For the purposes of the Act section 41(2)(b), the prescribed fee, regardless of the number of classes of repair work, is $77.10.</w:t>
      </w:r>
    </w:p>
    <w:p>
      <w:pPr>
        <w:pStyle w:val="Footnotesection"/>
      </w:pPr>
      <w:r>
        <w:tab/>
        <w:t>[Regulation 7 amended in Gazette 17 Jun 2008 p. 2555; 24 Jun 2008 p. 2820; 23 Jun 2009 p. 2448; 22 Jun 2011 p. 2372; 15 Jun 2012 p. 2597; 27 Jun 2013 p. 2699; 17 Jun 2014 p. 1972.]</w:t>
      </w:r>
    </w:p>
    <w:p>
      <w:pPr>
        <w:pStyle w:val="Heading5"/>
      </w:pPr>
      <w:bookmarkStart w:id="20" w:name="_Toc33609866"/>
      <w:r>
        <w:rPr>
          <w:rStyle w:val="CharSectno"/>
        </w:rPr>
        <w:t>8</w:t>
      </w:r>
      <w:r>
        <w:t>.</w:t>
      </w:r>
      <w:r>
        <w:tab/>
        <w:t>Qualifications prescribed (Act s. 42(2)(a)(i))</w:t>
      </w:r>
      <w:bookmarkEnd w:id="20"/>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8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smartTag w:uri="urn:schemas-microsoft-com:office:smarttags" w:element="place">
              <w:smartTag w:uri="urn:schemas-microsoft-com:office:smarttags" w:element="PlaceName">
                <w:r>
                  <w:t>Body</w:t>
                </w:r>
              </w:smartTag>
              <w:r>
                <w:t xml:space="preserve"> </w:t>
              </w:r>
              <w:smartTag w:uri="urn:schemas-microsoft-com:office:smarttags" w:element="PlaceType">
                <w:r>
                  <w:t>Building</w:t>
                </w:r>
              </w:smartTag>
            </w:smartTag>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Cs w:val="16"/>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 xml:space="preserve">Certificate III in Automotive (Mechanical — </w:t>
            </w:r>
            <w:smartTag w:uri="urn:schemas-microsoft-com:office:smarttags" w:element="Street">
              <w:smartTag w:uri="urn:schemas-microsoft-com:office:smarttags" w:element="address">
                <w:r>
                  <w:t>Heavy Vehicle Road</w:t>
                </w:r>
              </w:smartTag>
            </w:smartTag>
            <w:r>
              <w:t xml:space="preserve">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smartTag w:uri="urn:schemas-microsoft-com:office:smarttags" w:element="Street">
              <w:smartTag w:uri="urn:schemas-microsoft-com:office:smarttags" w:element="address">
                <w:r>
                  <w:t>Heavy Vehicle Road</w:t>
                </w:r>
              </w:smartTag>
            </w:smartTag>
            <w:r>
              <w:t xml:space="preserve">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w:t>
            </w:r>
            <w:smartTag w:uri="urn:schemas-microsoft-com:office:smarttags" w:element="City">
              <w:smartTag w:uri="urn:schemas-microsoft-com:office:smarttags" w:element="place">
                <w:r>
                  <w:t>Tyre</w:t>
                </w:r>
              </w:smartTag>
            </w:smartTag>
            <w:r>
              <w:t xml:space="preserv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smartTag w:uri="urn:schemas-microsoft-com:office:smarttags" w:element="City">
              <w:smartTag w:uri="urn:schemas-microsoft-com:office:smarttags" w:element="place">
                <w:r>
                  <w:t>Tyre</w:t>
                </w:r>
              </w:smartTag>
            </w:smartTag>
            <w:r>
              <w:t xml:space="preserv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 xml:space="preserve">Certificate II in Automotive (Mechanical — </w:t>
            </w:r>
            <w:smartTag w:uri="urn:schemas-microsoft-com:office:smarttags" w:element="City">
              <w:smartTag w:uri="urn:schemas-microsoft-com:office:smarttags" w:element="place">
                <w:r>
                  <w:t>Tyre</w:t>
                </w:r>
              </w:smartTag>
            </w:smartTag>
            <w:r>
              <w:t xml:space="preserv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w:t>
            </w:r>
            <w:smartTag w:uri="urn:schemas-microsoft-com:office:smarttags" w:element="City">
              <w:smartTag w:uri="urn:schemas-microsoft-com:office:smarttags" w:element="place">
                <w:r>
                  <w:t>Tyre</w:t>
                </w:r>
              </w:smartTag>
            </w:smartTag>
            <w:r>
              <w:t xml:space="preserv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21" w:name="_Toc33609867"/>
      <w:r>
        <w:rPr>
          <w:rStyle w:val="CharPartNo"/>
        </w:rPr>
        <w:t>Part 3</w:t>
      </w:r>
      <w:r>
        <w:rPr>
          <w:b w:val="0"/>
        </w:rPr>
        <w:t> </w:t>
      </w:r>
      <w:r>
        <w:t>—</w:t>
      </w:r>
      <w:r>
        <w:rPr>
          <w:b w:val="0"/>
        </w:rPr>
        <w:t> </w:t>
      </w:r>
      <w:r>
        <w:rPr>
          <w:rStyle w:val="CharPartText"/>
        </w:rPr>
        <w:t>Provisions applicable to business licences and to certificates</w:t>
      </w:r>
      <w:bookmarkEnd w:id="21"/>
    </w:p>
    <w:p>
      <w:pPr>
        <w:pStyle w:val="Footnoteheading"/>
      </w:pPr>
      <w:r>
        <w:tab/>
        <w:t>[Heading inserted in Gazette 24 Jun 2008 p. 2820.]</w:t>
      </w:r>
    </w:p>
    <w:p>
      <w:pPr>
        <w:pStyle w:val="Heading5"/>
      </w:pPr>
      <w:bookmarkStart w:id="22" w:name="_Toc33609868"/>
      <w:r>
        <w:rPr>
          <w:rStyle w:val="CharSectno"/>
        </w:rPr>
        <w:t>9</w:t>
      </w:r>
      <w:r>
        <w:t>.</w:t>
      </w:r>
      <w:r>
        <w:tab/>
        <w:t>Particulars etc. to be recorded in register (Act s. 50(1)(a))</w:t>
      </w:r>
      <w:bookmarkEnd w:id="22"/>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
          <w:bCs/>
          <w:i/>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 18 Nov 2014 p. 4322.]</w:t>
      </w:r>
    </w:p>
    <w:p>
      <w:pPr>
        <w:pStyle w:val="Heading5"/>
      </w:pPr>
      <w:bookmarkStart w:id="23" w:name="_Toc33609869"/>
      <w:r>
        <w:rPr>
          <w:rStyle w:val="CharSectno"/>
        </w:rPr>
        <w:t>10</w:t>
      </w:r>
      <w:r>
        <w:t>.</w:t>
      </w:r>
      <w:r>
        <w:tab/>
        <w:t>Fees for inspecting, and obtaining copies of, register (Act s. 51)</w:t>
      </w:r>
      <w:bookmarkEnd w:id="23"/>
    </w:p>
    <w:p>
      <w:pPr>
        <w:pStyle w:val="Subsection"/>
      </w:pPr>
      <w:r>
        <w:tab/>
      </w:r>
      <w:r>
        <w:tab/>
        <w:t xml:space="preserve">For the purposes of the Act section 51, the prescribed fees in relation to a register are — </w:t>
      </w:r>
    </w:p>
    <w:p>
      <w:pPr>
        <w:pStyle w:val="Indenta"/>
      </w:pPr>
      <w:r>
        <w:tab/>
        <w:t>(a)</w:t>
      </w:r>
      <w:r>
        <w:tab/>
        <w:t>to inspect the register — $19.20;</w:t>
      </w:r>
    </w:p>
    <w:p>
      <w:pPr>
        <w:pStyle w:val="Indenta"/>
      </w:pPr>
      <w:r>
        <w:tab/>
        <w:t>(b)</w:t>
      </w:r>
      <w:r>
        <w:tab/>
        <w:t>to obtain a copy of one or more specific entries of the register — $19.20 for the first page and $3.80 for each subsequent page;</w:t>
      </w:r>
    </w:p>
    <w:p>
      <w:pPr>
        <w:pStyle w:val="Indenta"/>
      </w:pPr>
      <w:r>
        <w:tab/>
        <w:t>(c)</w:t>
      </w:r>
      <w:r>
        <w:tab/>
        <w:t>to obtain a copy of all entries in the register — $244.</w:t>
      </w:r>
    </w:p>
    <w:p>
      <w:pPr>
        <w:pStyle w:val="Footnotesection"/>
        <w:spacing w:before="100"/>
        <w:ind w:left="890" w:hanging="890"/>
      </w:pPr>
      <w:r>
        <w:tab/>
        <w:t>[Regulation 10 inserted in Gazette 17 Jun 2014 p. 1972.]</w:t>
      </w:r>
    </w:p>
    <w:p>
      <w:pPr>
        <w:pStyle w:val="Heading5"/>
      </w:pPr>
      <w:bookmarkStart w:id="24" w:name="_Toc33609870"/>
      <w:r>
        <w:rPr>
          <w:rStyle w:val="CharSectno"/>
        </w:rPr>
        <w:t>11</w:t>
      </w:r>
      <w:r>
        <w:t>.</w:t>
      </w:r>
      <w:r>
        <w:tab/>
        <w:t>Certified copy of certificate, fee for (Act s. 54(1))</w:t>
      </w:r>
      <w:bookmarkEnd w:id="24"/>
    </w:p>
    <w:p>
      <w:pPr>
        <w:pStyle w:val="Subsection"/>
      </w:pPr>
      <w:r>
        <w:tab/>
      </w:r>
      <w:r>
        <w:tab/>
        <w:t>For the purposes of the Act section 54(1), the prescribed fee is $42.30.</w:t>
      </w:r>
    </w:p>
    <w:p>
      <w:pPr>
        <w:pStyle w:val="Footnotesection"/>
      </w:pPr>
      <w:r>
        <w:tab/>
        <w:t>[Regulation 11 amended in Gazette 17 Jun 2008 p. 2555; 23 Jun 2009 p. 2449; 22 Jun 2011 p. 2372; 15 Jun 2012 p. 2597; 27 Jun 2013 p. 2700; 17 Jun 2014 p. 1972.]</w:t>
      </w:r>
    </w:p>
    <w:p>
      <w:pPr>
        <w:pStyle w:val="Heading2"/>
      </w:pPr>
      <w:bookmarkStart w:id="25" w:name="_Toc33609871"/>
      <w:r>
        <w:rPr>
          <w:rStyle w:val="CharPartNo"/>
        </w:rPr>
        <w:t>Part 4</w:t>
      </w:r>
      <w:r>
        <w:rPr>
          <w:b w:val="0"/>
        </w:rPr>
        <w:t> </w:t>
      </w:r>
      <w:r>
        <w:t>—</w:t>
      </w:r>
      <w:r>
        <w:rPr>
          <w:b w:val="0"/>
        </w:rPr>
        <w:t> </w:t>
      </w:r>
      <w:r>
        <w:rPr>
          <w:rStyle w:val="CharPartText"/>
        </w:rPr>
        <w:t>Miscellaneous</w:t>
      </w:r>
      <w:bookmarkEnd w:id="25"/>
    </w:p>
    <w:p>
      <w:pPr>
        <w:pStyle w:val="Footnoteheading"/>
      </w:pPr>
      <w:r>
        <w:tab/>
        <w:t>[Heading inserted in Gazette 24 Jun 2008 p. 2822.]</w:t>
      </w:r>
    </w:p>
    <w:p>
      <w:pPr>
        <w:pStyle w:val="Heading5"/>
      </w:pPr>
      <w:bookmarkStart w:id="26" w:name="_Toc33609872"/>
      <w:r>
        <w:rPr>
          <w:rStyle w:val="CharSectno"/>
        </w:rPr>
        <w:t>12</w:t>
      </w:r>
      <w:r>
        <w:rPr>
          <w:color w:val="000000"/>
        </w:rPr>
        <w:t>.</w:t>
      </w:r>
      <w:r>
        <w:rPr>
          <w:color w:val="000000"/>
        </w:rPr>
        <w:tab/>
        <w:t>Changes of authorised premises, fees for (Act s. 61(1)(c))</w:t>
      </w:r>
      <w:bookmarkEnd w:id="26"/>
    </w:p>
    <w:p>
      <w:pPr>
        <w:pStyle w:val="Subsection"/>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pPr>
      <w:r>
        <w:rPr>
          <w:color w:val="000000"/>
        </w:rPr>
        <w:tab/>
        <w:t>(2)</w:t>
      </w:r>
      <w:r>
        <w:rPr>
          <w:color w:val="000000"/>
        </w:rPr>
        <w:tab/>
        <w:t xml:space="preserve">For the purposes of the Act section 61(1)(c), the prescribed fee is — </w:t>
      </w:r>
    </w:p>
    <w:p>
      <w:pPr>
        <w:pStyle w:val="Indenta"/>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$63.80 </w:t>
      </w:r>
      <w:r>
        <w:rPr>
          <w:color w:val="000000"/>
        </w:rPr>
        <w:t>for each of the mobile premises the particulars of which are to be added; and</w:t>
      </w:r>
    </w:p>
    <w:p>
      <w:pPr>
        <w:pStyle w:val="Indenta"/>
      </w:pPr>
      <w:r>
        <w:tab/>
        <w:t>(b)</w:t>
      </w:r>
      <w:r>
        <w:tab/>
        <w:t>if the application involves adding particulars of any fixed premises or substituting particulars of any premises with particulars of any fixed premises — $127 for each of the fixed premises the particulars of which are to be added.</w:t>
      </w:r>
    </w:p>
    <w:p>
      <w:pPr>
        <w:pStyle w:val="Footnotesection"/>
      </w:pPr>
      <w:r>
        <w:tab/>
        <w:t>[Regulation 12 inserted in Gazette 24 Jun 2008 p. 2822-3; amended in Gazette 23 Jun 2009 p. 2449; 22 Jun 2011 p. 2373; 15 Jun 2012 p. 2598; 27 Jun 2013 p. 2700; 17 Jun 2014 p. 1973.]</w:t>
      </w:r>
    </w:p>
    <w:p>
      <w:pPr>
        <w:pStyle w:val="Heading5"/>
      </w:pPr>
      <w:bookmarkStart w:id="27" w:name="_Toc33609873"/>
      <w:r>
        <w:rPr>
          <w:rStyle w:val="CharSectno"/>
        </w:rPr>
        <w:t>13</w:t>
      </w:r>
      <w:r>
        <w:t>.</w:t>
      </w:r>
      <w:r>
        <w:tab/>
        <w:t>Infringement notice offences and modified penalties (Act s. 98 and 99(1))</w:t>
      </w:r>
      <w:bookmarkEnd w:id="27"/>
    </w:p>
    <w:p>
      <w:pPr>
        <w:pStyle w:val="Subsection"/>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pPr>
      <w:r>
        <w:tab/>
        <w:t>(2)</w:t>
      </w:r>
      <w:r>
        <w:tab/>
        <w:t xml:space="preserve">For the purposes of the Act section 99(1), the modified penalty prescribed for the offence created by the provision specified in column 2 of an item in the Table to this regulation is — </w:t>
      </w:r>
    </w:p>
    <w:p>
      <w:pPr>
        <w:pStyle w:val="Indenta"/>
      </w:pPr>
      <w:r>
        <w:tab/>
        <w:t>(a)</w:t>
      </w:r>
      <w:r>
        <w:tab/>
        <w:t>for an individual — the amount specified in column 3 of that item;</w:t>
      </w:r>
    </w:p>
    <w:p>
      <w:pPr>
        <w:pStyle w:val="Indenta"/>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pPr>
            <w:r>
              <w:rPr>
                <w:b/>
              </w:rPr>
              <w:t>Item</w:t>
            </w:r>
          </w:p>
        </w:tc>
        <w:tc>
          <w:tcPr>
            <w:tcW w:w="2202" w:type="dxa"/>
            <w:tcBorders>
              <w:top w:val="single" w:sz="4" w:space="0" w:color="auto"/>
              <w:bottom w:val="single" w:sz="4" w:space="0" w:color="auto"/>
            </w:tcBorders>
          </w:tcPr>
          <w:p>
            <w:pPr>
              <w:pStyle w:val="Table"/>
            </w:pPr>
            <w:r>
              <w:rPr>
                <w:b/>
              </w:rPr>
              <w:t>Provision</w:t>
            </w:r>
          </w:p>
        </w:tc>
        <w:tc>
          <w:tcPr>
            <w:tcW w:w="1589" w:type="dxa"/>
            <w:tcBorders>
              <w:top w:val="single" w:sz="4" w:space="0" w:color="auto"/>
              <w:bottom w:val="single" w:sz="4" w:space="0" w:color="auto"/>
            </w:tcBorders>
          </w:tcPr>
          <w:p>
            <w:pPr>
              <w:pStyle w:val="Table"/>
            </w:pPr>
            <w:r>
              <w:rPr>
                <w:b/>
              </w:rPr>
              <w:t>Modified penalty — individual</w:t>
            </w:r>
          </w:p>
        </w:tc>
        <w:tc>
          <w:tcPr>
            <w:tcW w:w="1737" w:type="dxa"/>
            <w:tcBorders>
              <w:top w:val="single" w:sz="4" w:space="0" w:color="auto"/>
              <w:bottom w:val="single" w:sz="4" w:space="0" w:color="auto"/>
            </w:tcBorders>
          </w:tcPr>
          <w:p>
            <w:pPr>
              <w:pStyle w:val="Table"/>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pPr>
      <w:r>
        <w:tab/>
        <w:t>[Regulation 13 inserted in Gazette 24 Jun 2008 p. 2823-4.]</w:t>
      </w:r>
    </w:p>
    <w:p>
      <w:pPr>
        <w:pStyle w:val="Heading5"/>
      </w:pPr>
      <w:bookmarkStart w:id="28" w:name="_Toc33609874"/>
      <w:r>
        <w:rPr>
          <w:rStyle w:val="CharSectno"/>
        </w:rPr>
        <w:t>14</w:t>
      </w:r>
      <w:r>
        <w:t>.</w:t>
      </w:r>
      <w:r>
        <w:tab/>
        <w:t>Infringement notice and withdrawal notice, forms of (Act s. 101(1) and 103(1))</w:t>
      </w:r>
      <w:bookmarkEnd w:id="28"/>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29" w:name="_Toc33609875"/>
      <w:r>
        <w:rPr>
          <w:rStyle w:val="CharSectno"/>
        </w:rPr>
        <w:t>15</w:t>
      </w:r>
      <w:r>
        <w:t>.</w:t>
      </w:r>
      <w:r>
        <w:tab/>
        <w:t>Refund of fee on withdrawal or refusal of certain applications</w:t>
      </w:r>
      <w:bookmarkEnd w:id="29"/>
    </w:p>
    <w:p>
      <w:pPr>
        <w:pStyle w:val="Subsection"/>
        <w:spacing w:before="180"/>
      </w:pPr>
      <w:r>
        <w:tab/>
        <w:t>(1)</w:t>
      </w:r>
      <w:r>
        <w:tab/>
        <w:t>This regulation does not apply to or in relation to a transitional application or replacement application.</w:t>
      </w:r>
    </w:p>
    <w:p>
      <w:pPr>
        <w:pStyle w:val="Subsection"/>
        <w:spacing w:before="180"/>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spacing w:before="180"/>
      </w:pPr>
      <w:r>
        <w:tab/>
        <w:t>(3)</w:t>
      </w:r>
      <w:r>
        <w:tab/>
        <w:t>If the Commissioner refuses an application made under the Act section 15, 17, 19 or 31, the Commissioner must refund to the applicant the amount paid under regulation 7A(1)(c)(ii) or 7F(1)(b), as the case requires.</w:t>
      </w:r>
    </w:p>
    <w:p>
      <w:pPr>
        <w:pStyle w:val="Subsection"/>
        <w:spacing w:before="180"/>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in Gazette 24 Jun 2008 p. 2824-5; amended in Gazette 30 Jun 2011 p. 2667.]</w:t>
      </w:r>
    </w:p>
    <w:p>
      <w:pPr>
        <w:pStyle w:val="Ednotesection"/>
      </w:pPr>
      <w:r>
        <w:t>[</w:t>
      </w:r>
      <w:r>
        <w:rPr>
          <w:b/>
        </w:rPr>
        <w:t>16.</w:t>
      </w:r>
      <w:r>
        <w:tab/>
        <w:t>Deleted in Gazette 18 Nov 2014 p. 4322.]</w:t>
      </w:r>
    </w:p>
    <w:p>
      <w:pPr>
        <w:pStyle w:val="Ednotepart"/>
      </w:pPr>
      <w:r>
        <w:t>[Part 5 (r. 17-20) deleted in Gazette 18 Nov 2014 p. 4322.]</w:t>
      </w:r>
    </w:p>
    <w:p>
      <w:pPr>
        <w:sectPr>
          <w:headerReference w:type="even" r:id="rId21"/>
          <w:headerReference w:type="default" r:id="rId22"/>
          <w:foot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0" w:name="_Toc33609876"/>
      <w:r>
        <w:rPr>
          <w:rStyle w:val="CharSchNo"/>
        </w:rPr>
        <w:t>Schedule 1</w:t>
      </w:r>
      <w:r>
        <w:t> — </w:t>
      </w:r>
      <w:r>
        <w:rPr>
          <w:rStyle w:val="CharSchText"/>
        </w:rPr>
        <w:t>Forms</w:t>
      </w:r>
      <w:bookmarkEnd w:id="30"/>
    </w:p>
    <w:p>
      <w:pPr>
        <w:pStyle w:val="yShoulderClause"/>
      </w:pPr>
      <w:r>
        <w:t>[r. 14]</w:t>
      </w:r>
    </w:p>
    <w:p>
      <w:pPr>
        <w:pStyle w:val="yFootnotesection"/>
      </w:pPr>
      <w:r>
        <w:tab/>
        <w:t>[Heading inserted in Gazette 24 Jun 2008 p. 2831.]</w:t>
      </w:r>
    </w:p>
    <w:p>
      <w:pPr>
        <w:pStyle w:val="yMiscellaneousHeading"/>
        <w:spacing w:before="240" w:after="120"/>
        <w:rPr>
          <w:b/>
        </w:rPr>
      </w:pPr>
      <w:r>
        <w:rPr>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r>
            <w:r>
              <w:rPr>
                <w:i/>
                <w:szCs w:val="22"/>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single" w:sz="4" w:space="0" w:color="auto"/>
            </w:tcBorders>
          </w:tcPr>
          <w:p>
            <w:pPr>
              <w:pStyle w:val="yTable"/>
              <w:keepNext/>
              <w:spacing w:before="0"/>
              <w:ind w:right="-108"/>
              <w:rPr>
                <w:b/>
                <w:sz w:val="20"/>
              </w:rPr>
            </w:pPr>
          </w:p>
        </w:tc>
        <w:tc>
          <w:tcPr>
            <w:tcW w:w="5640" w:type="dxa"/>
            <w:gridSpan w:val="2"/>
            <w:tcBorders>
              <w:top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 amended in Gazette 30 Jun 2011 p. 2665-6; 20 Aug 2013 p. 3838; 18 Nov 2014 p. 4322.]</w:t>
      </w:r>
    </w:p>
    <w:p>
      <w:pPr>
        <w:pStyle w:val="yMiscellaneousHeading"/>
        <w:keepLines/>
        <w:pageBreakBefore/>
        <w:spacing w:before="240" w:after="80"/>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 amended in Gazette 30 Jun 2011 p. 2666.]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32" w:name="_Toc33609877"/>
      <w:r>
        <w:t>Notes</w:t>
      </w:r>
      <w:bookmarkEnd w:id="32"/>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Repairers Regulations 2007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3" w:name="_Toc33609878"/>
      <w:r>
        <w:t>Compilation table</w:t>
      </w:r>
      <w:bookmarkEnd w:id="3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before="60" w:after="60"/>
              <w:rPr>
                <w:b/>
              </w:rPr>
            </w:pPr>
            <w:r>
              <w:rPr>
                <w:b/>
              </w:rPr>
              <w:t>Citation</w:t>
            </w:r>
          </w:p>
        </w:tc>
        <w:tc>
          <w:tcPr>
            <w:tcW w:w="1276" w:type="dxa"/>
            <w:tcBorders>
              <w:bottom w:val="single" w:sz="8" w:space="0" w:color="auto"/>
            </w:tcBorders>
            <w:shd w:val="clear" w:color="auto" w:fill="auto"/>
          </w:tcPr>
          <w:p>
            <w:pPr>
              <w:pStyle w:val="nTable"/>
              <w:spacing w:before="60" w:after="60"/>
              <w:rPr>
                <w:b/>
              </w:rPr>
            </w:pPr>
            <w:r>
              <w:rPr>
                <w:b/>
              </w:rPr>
              <w:t>Gazettal</w:t>
            </w:r>
          </w:p>
        </w:tc>
        <w:tc>
          <w:tcPr>
            <w:tcW w:w="2693" w:type="dxa"/>
            <w:tcBorders>
              <w:bottom w:val="single" w:sz="8" w:space="0" w:color="auto"/>
            </w:tcBorders>
            <w:shd w:val="clear" w:color="auto" w:fill="auto"/>
          </w:tcPr>
          <w:p>
            <w:pPr>
              <w:pStyle w:val="nTable"/>
              <w:spacing w:before="60" w:after="60"/>
              <w:rPr>
                <w:b/>
              </w:rPr>
            </w:pPr>
            <w:r>
              <w:rPr>
                <w:b/>
              </w:rPr>
              <w:t>Commencement</w:t>
            </w:r>
          </w:p>
        </w:tc>
      </w:tr>
      <w:tr>
        <w:tc>
          <w:tcPr>
            <w:tcW w:w="3118" w:type="dxa"/>
            <w:tcBorders>
              <w:top w:val="single" w:sz="8" w:space="0" w:color="auto"/>
              <w:bottom w:val="nil"/>
            </w:tcBorders>
          </w:tcPr>
          <w:p>
            <w:pPr>
              <w:pStyle w:val="nTable"/>
              <w:spacing w:before="60" w:after="6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before="60" w:after="60"/>
            </w:pPr>
            <w:r>
              <w:t>9 Feb 2007 p. 391-426</w:t>
            </w:r>
          </w:p>
        </w:tc>
        <w:tc>
          <w:tcPr>
            <w:tcW w:w="2693" w:type="dxa"/>
            <w:tcBorders>
              <w:top w:val="single" w:sz="8" w:space="0" w:color="auto"/>
              <w:bottom w:val="nil"/>
            </w:tcBorders>
          </w:tcPr>
          <w:p>
            <w:pPr>
              <w:pStyle w:val="nTable"/>
              <w:spacing w:before="60" w:after="6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before="60" w:after="60"/>
              <w:rPr>
                <w:i/>
              </w:rPr>
            </w:pPr>
            <w:r>
              <w:rPr>
                <w:i/>
              </w:rPr>
              <w:t>Motor Vehicle Repairers Amendment Regulations (No. 2) 2008</w:t>
            </w:r>
          </w:p>
        </w:tc>
        <w:tc>
          <w:tcPr>
            <w:tcW w:w="1276" w:type="dxa"/>
            <w:tcBorders>
              <w:top w:val="nil"/>
              <w:bottom w:val="nil"/>
            </w:tcBorders>
          </w:tcPr>
          <w:p>
            <w:pPr>
              <w:pStyle w:val="nTable"/>
              <w:spacing w:before="60" w:after="60"/>
            </w:pPr>
            <w:r>
              <w:t>17 Jun 2008 p. 2554-5</w:t>
            </w:r>
          </w:p>
        </w:tc>
        <w:tc>
          <w:tcPr>
            <w:tcW w:w="2693" w:type="dxa"/>
            <w:tcBorders>
              <w:top w:val="nil"/>
              <w:bottom w:val="nil"/>
            </w:tcBorders>
          </w:tcPr>
          <w:p>
            <w:pPr>
              <w:pStyle w:val="nTable"/>
              <w:spacing w:before="60" w:after="60"/>
            </w:pPr>
            <w:r>
              <w:t>r. 1 and 2: 17 Jun 2008 (see r. 2(a));</w:t>
            </w:r>
            <w:r>
              <w:br/>
              <w:t>Regulations other than r. 1 and 2: 1 Jul 2008 (see r. 2(b))</w:t>
            </w:r>
          </w:p>
        </w:tc>
      </w:tr>
      <w:tr>
        <w:tc>
          <w:tcPr>
            <w:tcW w:w="3118" w:type="dxa"/>
            <w:tcBorders>
              <w:top w:val="nil"/>
              <w:bottom w:val="nil"/>
            </w:tcBorders>
          </w:tcPr>
          <w:p>
            <w:pPr>
              <w:pStyle w:val="nTable"/>
              <w:spacing w:before="60" w:after="60"/>
              <w:rPr>
                <w:iCs/>
              </w:rPr>
            </w:pPr>
            <w:r>
              <w:rPr>
                <w:i/>
              </w:rPr>
              <w:t>Motor Vehicle Repairers Amendment Regulations 2008</w:t>
            </w:r>
            <w:r>
              <w:rPr>
                <w:iCs/>
              </w:rPr>
              <w:t xml:space="preserve"> </w:t>
            </w:r>
          </w:p>
        </w:tc>
        <w:tc>
          <w:tcPr>
            <w:tcW w:w="1276" w:type="dxa"/>
            <w:tcBorders>
              <w:top w:val="nil"/>
              <w:bottom w:val="nil"/>
            </w:tcBorders>
          </w:tcPr>
          <w:p>
            <w:pPr>
              <w:pStyle w:val="nTable"/>
              <w:spacing w:before="60" w:after="60"/>
            </w:pPr>
            <w:r>
              <w:t>24 Jun 2008 p. 2801-33</w:t>
            </w:r>
          </w:p>
        </w:tc>
        <w:tc>
          <w:tcPr>
            <w:tcW w:w="2693" w:type="dxa"/>
            <w:tcBorders>
              <w:top w:val="nil"/>
              <w:bottom w:val="nil"/>
            </w:tcBorders>
          </w:tcPr>
          <w:p>
            <w:pPr>
              <w:pStyle w:val="nTable"/>
              <w:spacing w:before="60" w:after="6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before="60" w:after="6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before="60" w:after="60"/>
              <w:rPr>
                <w:iCs/>
              </w:rPr>
            </w:pPr>
            <w:r>
              <w:rPr>
                <w:i/>
              </w:rPr>
              <w:t>Motor Vehicle Repairers Amendment Regulations 2009</w:t>
            </w:r>
          </w:p>
        </w:tc>
        <w:tc>
          <w:tcPr>
            <w:tcW w:w="1276" w:type="dxa"/>
            <w:tcBorders>
              <w:top w:val="nil"/>
              <w:bottom w:val="nil"/>
            </w:tcBorders>
          </w:tcPr>
          <w:p>
            <w:pPr>
              <w:pStyle w:val="nTable"/>
              <w:spacing w:before="60" w:after="60"/>
            </w:pPr>
            <w:r>
              <w:t>31 Mar 2009 p. 1021</w:t>
            </w:r>
            <w:r>
              <w:noBreakHyphen/>
              <w:t>2</w:t>
            </w:r>
          </w:p>
        </w:tc>
        <w:tc>
          <w:tcPr>
            <w:tcW w:w="2693" w:type="dxa"/>
            <w:tcBorders>
              <w:top w:val="nil"/>
              <w:bottom w:val="nil"/>
            </w:tcBorders>
          </w:tcPr>
          <w:p>
            <w:pPr>
              <w:pStyle w:val="nTable"/>
              <w:spacing w:before="60" w:after="60"/>
            </w:pPr>
            <w:r>
              <w:t>r. 1 and 2: 31 Mar 2009 (see r. 2(a));</w:t>
            </w:r>
            <w:r>
              <w:br/>
              <w:t>Regulations other than r. 1 and 2: 1 Apr 2009 (see r. 2(b))</w:t>
            </w:r>
          </w:p>
        </w:tc>
      </w:tr>
      <w:tr>
        <w:tc>
          <w:tcPr>
            <w:tcW w:w="3118" w:type="dxa"/>
            <w:tcBorders>
              <w:top w:val="nil"/>
              <w:bottom w:val="nil"/>
            </w:tcBorders>
          </w:tcPr>
          <w:p>
            <w:pPr>
              <w:pStyle w:val="nTable"/>
              <w:spacing w:before="60" w:after="60"/>
              <w:rPr>
                <w:i/>
              </w:rPr>
            </w:pPr>
            <w:r>
              <w:rPr>
                <w:i/>
              </w:rPr>
              <w:t>Motor Vehicle Repairers Amendment Regulations (No. 2) 2009</w:t>
            </w:r>
          </w:p>
        </w:tc>
        <w:tc>
          <w:tcPr>
            <w:tcW w:w="1276" w:type="dxa"/>
            <w:tcBorders>
              <w:top w:val="nil"/>
              <w:bottom w:val="nil"/>
            </w:tcBorders>
          </w:tcPr>
          <w:p>
            <w:pPr>
              <w:pStyle w:val="nTable"/>
              <w:spacing w:before="60" w:after="60"/>
            </w:pPr>
            <w:r>
              <w:t>23 Jun 2009 p. 2447</w:t>
            </w:r>
            <w:r>
              <w:noBreakHyphen/>
              <w:t>9</w:t>
            </w:r>
          </w:p>
        </w:tc>
        <w:tc>
          <w:tcPr>
            <w:tcW w:w="2693" w:type="dxa"/>
            <w:tcBorders>
              <w:top w:val="nil"/>
              <w:bottom w:val="nil"/>
            </w:tcBorders>
          </w:tcPr>
          <w:p>
            <w:pPr>
              <w:pStyle w:val="nTable"/>
              <w:spacing w:before="60" w:after="6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before="60" w:after="60"/>
              <w:rPr>
                <w:i/>
              </w:rPr>
            </w:pPr>
            <w:r>
              <w:rPr>
                <w:i/>
              </w:rPr>
              <w:t>Motor Vehicle Repairers Amendment Regulations (No. 3) 2009</w:t>
            </w:r>
          </w:p>
        </w:tc>
        <w:tc>
          <w:tcPr>
            <w:tcW w:w="1276" w:type="dxa"/>
            <w:tcBorders>
              <w:top w:val="nil"/>
              <w:bottom w:val="nil"/>
            </w:tcBorders>
          </w:tcPr>
          <w:p>
            <w:pPr>
              <w:pStyle w:val="nTable"/>
              <w:spacing w:before="60" w:after="60"/>
            </w:pPr>
            <w:r>
              <w:t>28 Jul 2009 p. 2975-6</w:t>
            </w:r>
          </w:p>
        </w:tc>
        <w:tc>
          <w:tcPr>
            <w:tcW w:w="2693" w:type="dxa"/>
            <w:tcBorders>
              <w:top w:val="nil"/>
              <w:bottom w:val="nil"/>
            </w:tcBorders>
          </w:tcPr>
          <w:p>
            <w:pPr>
              <w:pStyle w:val="nTable"/>
              <w:spacing w:before="60" w:after="6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before="60" w:after="60"/>
              <w:rPr>
                <w:i/>
              </w:rPr>
            </w:pPr>
            <w:r>
              <w:rPr>
                <w:i/>
              </w:rPr>
              <w:t>Motor Vehicle Repairers Amendment Regulations (No. 2) 2011</w:t>
            </w:r>
          </w:p>
        </w:tc>
        <w:tc>
          <w:tcPr>
            <w:tcW w:w="1276" w:type="dxa"/>
            <w:tcBorders>
              <w:top w:val="nil"/>
              <w:bottom w:val="nil"/>
            </w:tcBorders>
          </w:tcPr>
          <w:p>
            <w:pPr>
              <w:pStyle w:val="nTable"/>
              <w:spacing w:before="60" w:after="60"/>
            </w:pPr>
            <w:r>
              <w:t>22 Jun 2011 p. 2369-73</w:t>
            </w:r>
          </w:p>
        </w:tc>
        <w:tc>
          <w:tcPr>
            <w:tcW w:w="2693" w:type="dxa"/>
            <w:tcBorders>
              <w:top w:val="nil"/>
              <w:bottom w:val="nil"/>
            </w:tcBorders>
          </w:tcPr>
          <w:p>
            <w:pPr>
              <w:pStyle w:val="nTable"/>
              <w:spacing w:before="60" w:after="6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(No. 3) 2011</w:t>
            </w:r>
          </w:p>
        </w:tc>
        <w:tc>
          <w:tcPr>
            <w:tcW w:w="1276" w:type="dxa"/>
            <w:tcBorders>
              <w:top w:val="nil"/>
              <w:bottom w:val="nil"/>
            </w:tcBorders>
            <w:shd w:val="clear" w:color="auto" w:fill="auto"/>
          </w:tcPr>
          <w:p>
            <w:pPr>
              <w:pStyle w:val="nTable"/>
              <w:spacing w:before="60" w:after="60"/>
            </w:pPr>
            <w:r>
              <w:t>30 Jun 2011 p. 2665-7</w:t>
            </w:r>
          </w:p>
        </w:tc>
        <w:tc>
          <w:tcPr>
            <w:tcW w:w="2693" w:type="dxa"/>
            <w:tcBorders>
              <w:top w:val="nil"/>
              <w:bottom w:val="nil"/>
            </w:tcBorders>
            <w:shd w:val="clear" w:color="auto" w:fill="auto"/>
          </w:tcPr>
          <w:p>
            <w:pPr>
              <w:pStyle w:val="nTable"/>
              <w:spacing w:before="60" w:after="6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spacing w:before="60" w:after="6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2012</w:t>
            </w:r>
          </w:p>
        </w:tc>
        <w:tc>
          <w:tcPr>
            <w:tcW w:w="1276" w:type="dxa"/>
            <w:tcBorders>
              <w:top w:val="nil"/>
              <w:bottom w:val="nil"/>
            </w:tcBorders>
            <w:shd w:val="clear" w:color="auto" w:fill="auto"/>
          </w:tcPr>
          <w:p>
            <w:pPr>
              <w:pStyle w:val="nTable"/>
              <w:spacing w:before="60" w:after="60"/>
            </w:pPr>
            <w:r>
              <w:t>15 Jun 2012 p. 2595</w:t>
            </w:r>
            <w:r>
              <w:noBreakHyphen/>
              <w:t>8</w:t>
            </w:r>
          </w:p>
        </w:tc>
        <w:tc>
          <w:tcPr>
            <w:tcW w:w="2693" w:type="dxa"/>
            <w:tcBorders>
              <w:top w:val="nil"/>
              <w:bottom w:val="nil"/>
            </w:tcBorders>
            <w:shd w:val="clear" w:color="auto" w:fill="auto"/>
          </w:tcPr>
          <w:p>
            <w:pPr>
              <w:pStyle w:val="nTable"/>
              <w:spacing w:before="60" w:after="6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(No. 3) 2013</w:t>
            </w:r>
          </w:p>
        </w:tc>
        <w:tc>
          <w:tcPr>
            <w:tcW w:w="1276" w:type="dxa"/>
            <w:tcBorders>
              <w:top w:val="nil"/>
              <w:bottom w:val="nil"/>
            </w:tcBorders>
            <w:shd w:val="clear" w:color="auto" w:fill="auto"/>
          </w:tcPr>
          <w:p>
            <w:pPr>
              <w:pStyle w:val="nTable"/>
              <w:spacing w:before="60" w:after="60"/>
            </w:pPr>
            <w:r>
              <w:t>27 Jun 2013 p. 2697-700</w:t>
            </w:r>
          </w:p>
        </w:tc>
        <w:tc>
          <w:tcPr>
            <w:tcW w:w="2693" w:type="dxa"/>
            <w:tcBorders>
              <w:top w:val="nil"/>
              <w:bottom w:val="nil"/>
            </w:tcBorders>
            <w:shd w:val="clear" w:color="auto" w:fill="auto"/>
          </w:tcPr>
          <w:p>
            <w:pPr>
              <w:pStyle w:val="nTable"/>
              <w:spacing w:before="60" w:after="6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(No. 2) 2013</w:t>
            </w:r>
          </w:p>
        </w:tc>
        <w:tc>
          <w:tcPr>
            <w:tcW w:w="1276" w:type="dxa"/>
            <w:tcBorders>
              <w:top w:val="nil"/>
              <w:bottom w:val="nil"/>
            </w:tcBorders>
            <w:shd w:val="clear" w:color="auto" w:fill="auto"/>
          </w:tcPr>
          <w:p>
            <w:pPr>
              <w:pStyle w:val="nTable"/>
              <w:spacing w:before="60" w:after="60"/>
            </w:pPr>
            <w:r>
              <w:t>20 Aug 2013 p. 3838</w:t>
            </w:r>
          </w:p>
        </w:tc>
        <w:tc>
          <w:tcPr>
            <w:tcW w:w="2693" w:type="dxa"/>
            <w:tcBorders>
              <w:top w:val="nil"/>
              <w:bottom w:val="nil"/>
            </w:tcBorders>
            <w:shd w:val="clear" w:color="auto" w:fill="auto"/>
          </w:tcPr>
          <w:p>
            <w:pPr>
              <w:pStyle w:val="nTable"/>
              <w:spacing w:before="60" w:after="6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(No. 3) 2014</w:t>
            </w:r>
          </w:p>
        </w:tc>
        <w:tc>
          <w:tcPr>
            <w:tcW w:w="1276" w:type="dxa"/>
            <w:tcBorders>
              <w:top w:val="nil"/>
              <w:bottom w:val="nil"/>
            </w:tcBorders>
            <w:shd w:val="clear" w:color="auto" w:fill="auto"/>
          </w:tcPr>
          <w:p>
            <w:pPr>
              <w:pStyle w:val="nTable"/>
              <w:spacing w:before="60" w:after="60"/>
            </w:pPr>
            <w:r>
              <w:t>17 Jun 2014 p. 1970-3</w:t>
            </w:r>
          </w:p>
        </w:tc>
        <w:tc>
          <w:tcPr>
            <w:tcW w:w="2693" w:type="dxa"/>
            <w:tcBorders>
              <w:top w:val="nil"/>
              <w:bottom w:val="nil"/>
            </w:tcBorders>
            <w:shd w:val="clear" w:color="auto" w:fill="auto"/>
          </w:tcPr>
          <w:p>
            <w:pPr>
              <w:pStyle w:val="nTable"/>
              <w:spacing w:before="60" w:after="6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2014</w:t>
            </w:r>
          </w:p>
        </w:tc>
        <w:tc>
          <w:tcPr>
            <w:tcW w:w="1276" w:type="dxa"/>
            <w:tcBorders>
              <w:top w:val="nil"/>
              <w:bottom w:val="nil"/>
            </w:tcBorders>
            <w:shd w:val="clear" w:color="auto" w:fill="auto"/>
          </w:tcPr>
          <w:p>
            <w:pPr>
              <w:pStyle w:val="nTable"/>
              <w:spacing w:before="60" w:after="60"/>
            </w:pPr>
            <w:r>
              <w:t>15 Jul 2014 p. 2462-3</w:t>
            </w:r>
          </w:p>
        </w:tc>
        <w:tc>
          <w:tcPr>
            <w:tcW w:w="2693" w:type="dxa"/>
            <w:tcBorders>
              <w:top w:val="nil"/>
              <w:bottom w:val="nil"/>
            </w:tcBorders>
            <w:shd w:val="clear" w:color="auto" w:fill="auto"/>
          </w:tcPr>
          <w:p>
            <w:pPr>
              <w:pStyle w:val="nTable"/>
              <w:spacing w:before="60" w:after="60"/>
              <w:rPr>
                <w:rFonts w:ascii="Times" w:hAnsi="Times"/>
                <w:bCs/>
                <w:snapToGrid w:val="0"/>
                <w:spacing w:val="-2"/>
              </w:rPr>
            </w:pPr>
            <w:r>
              <w:rPr>
                <w:rFonts w:ascii="Times" w:hAnsi="Times"/>
                <w:bCs/>
                <w:snapToGrid w:val="0"/>
                <w:spacing w:val="-2"/>
              </w:rPr>
              <w:t>r. 1 and 2: 15 Jul 2014 (see r. 2(a));</w:t>
            </w:r>
            <w:r>
              <w:rPr>
                <w:rFonts w:ascii="Times" w:hAnsi="Times"/>
                <w:bCs/>
                <w:snapToGrid w:val="0"/>
                <w:spacing w:val="-2"/>
              </w:rPr>
              <w:br/>
              <w:t>Regulations other than r. 1 and 2: 1 Aug 2014 (see r. 2(b))</w:t>
            </w:r>
          </w:p>
        </w:tc>
      </w:tr>
      <w:tr>
        <w:trPr>
          <w:cantSplit/>
        </w:trPr>
        <w:tc>
          <w:tcPr>
            <w:tcW w:w="3118" w:type="dxa"/>
            <w:tcBorders>
              <w:top w:val="nil"/>
              <w:bottom w:val="single" w:sz="4" w:space="0" w:color="auto"/>
            </w:tcBorders>
            <w:shd w:val="clear" w:color="auto" w:fill="auto"/>
          </w:tcPr>
          <w:p>
            <w:pPr>
              <w:pStyle w:val="nTable"/>
              <w:spacing w:before="60" w:after="60"/>
              <w:rPr>
                <w:i/>
              </w:rPr>
            </w:pPr>
            <w:r>
              <w:rPr>
                <w:i/>
              </w:rPr>
              <w:t>Motor Vehicle Repairers Amendment Regulations (No. 4) 2014</w:t>
            </w:r>
          </w:p>
        </w:tc>
        <w:tc>
          <w:tcPr>
            <w:tcW w:w="1276" w:type="dxa"/>
            <w:tcBorders>
              <w:top w:val="nil"/>
              <w:bottom w:val="single" w:sz="4" w:space="0" w:color="auto"/>
            </w:tcBorders>
            <w:shd w:val="clear" w:color="auto" w:fill="auto"/>
          </w:tcPr>
          <w:p>
            <w:pPr>
              <w:pStyle w:val="nTable"/>
              <w:spacing w:before="60" w:after="60"/>
            </w:pPr>
            <w:r>
              <w:t>18 Nov 2014 p. 4319-22</w:t>
            </w:r>
          </w:p>
        </w:tc>
        <w:tc>
          <w:tcPr>
            <w:tcW w:w="2693" w:type="dxa"/>
            <w:tcBorders>
              <w:top w:val="nil"/>
              <w:bottom w:val="single" w:sz="4" w:space="0" w:color="auto"/>
            </w:tcBorders>
            <w:shd w:val="clear" w:color="auto" w:fill="auto"/>
          </w:tcPr>
          <w:p>
            <w:pPr>
              <w:pStyle w:val="nTable"/>
              <w:spacing w:before="60" w:after="60"/>
              <w:rPr>
                <w:rFonts w:ascii="Times" w:hAnsi="Times"/>
                <w:bCs/>
                <w:snapToGrid w:val="0"/>
                <w:spacing w:val="-2"/>
              </w:rPr>
            </w:pPr>
            <w:r>
              <w:rPr>
                <w:rFonts w:ascii="Times" w:hAnsi="Times"/>
                <w:bCs/>
                <w:snapToGrid w:val="0"/>
                <w:spacing w:val="-2"/>
              </w:rPr>
              <w:t>r. 1 and 2: 18 Nov 2014 (see r. 2(a));</w:t>
            </w:r>
            <w:r>
              <w:rPr>
                <w:rFonts w:ascii="Times" w:hAnsi="Times"/>
                <w:bCs/>
                <w:snapToGrid w:val="0"/>
                <w:spacing w:val="-2"/>
              </w:rPr>
              <w:br/>
              <w:t xml:space="preserve">Regulations other than r. 1 and 2: 19 Nov 2014 (see r. 2(b) and </w:t>
            </w:r>
            <w:r>
              <w:rPr>
                <w:rFonts w:ascii="Times" w:hAnsi="Times"/>
                <w:bCs/>
                <w:i/>
                <w:snapToGrid w:val="0"/>
                <w:spacing w:val="-2"/>
              </w:rPr>
              <w:t>Gazette</w:t>
            </w:r>
            <w:r>
              <w:rPr>
                <w:rFonts w:ascii="Times" w:hAnsi="Times"/>
                <w:bCs/>
                <w:snapToGrid w:val="0"/>
                <w:spacing w:val="-2"/>
              </w:rPr>
              <w:t xml:space="preserve"> 18 Nov 2014 p. 4315)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 w:name="_Toc7405065"/>
      <w:bookmarkStart w:id="35" w:name="_Toc33609879"/>
      <w:r>
        <w:t>Provisions that have not come into operation</w:t>
      </w:r>
      <w:bookmarkEnd w:id="34"/>
      <w:bookmarkEnd w:id="3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rPr>
                <w:vertAlign w:val="superscript"/>
              </w:rPr>
            </w:pPr>
            <w:r>
              <w:rPr>
                <w:i/>
              </w:rPr>
              <w:t>Motor Vehicle Repairers Amendment Regulations (No. 2) 2014</w:t>
            </w:r>
            <w:r>
              <w:t xml:space="preserve"> r. 3 and 4 </w:t>
            </w:r>
            <w:r>
              <w:rPr>
                <w:vertAlign w:val="superscript"/>
              </w:rPr>
              <w:t>2</w:t>
            </w:r>
          </w:p>
        </w:tc>
        <w:tc>
          <w:tcPr>
            <w:tcW w:w="1276" w:type="dxa"/>
            <w:tcBorders>
              <w:top w:val="single" w:sz="8" w:space="0" w:color="auto"/>
              <w:bottom w:val="single" w:sz="8" w:space="0" w:color="auto"/>
            </w:tcBorders>
          </w:tcPr>
          <w:p>
            <w:pPr>
              <w:pStyle w:val="nTable"/>
              <w:spacing w:after="40"/>
            </w:pPr>
            <w:r>
              <w:t>8 Jan 2015 p. 91</w:t>
            </w:r>
            <w:r>
              <w:noBreakHyphen/>
              <w:t>3</w:t>
            </w:r>
          </w:p>
        </w:tc>
        <w:tc>
          <w:tcPr>
            <w:tcW w:w="2693" w:type="dxa"/>
            <w:tcBorders>
              <w:top w:val="single" w:sz="8" w:space="0" w:color="auto"/>
              <w:bottom w:val="single" w:sz="8" w:space="0" w:color="auto"/>
            </w:tcBorders>
          </w:tcPr>
          <w:p>
            <w:pPr>
              <w:pStyle w:val="nTable"/>
              <w:spacing w:after="40"/>
            </w:pPr>
            <w:r>
              <w:t xml:space="preserve">Operative on the day fixed under the </w:t>
            </w:r>
            <w:r>
              <w:rPr>
                <w:i/>
              </w:rPr>
              <w:t>Road Traffic (Administration) Act 2008</w:t>
            </w:r>
            <w:r>
              <w:t xml:space="preserve"> section 2(b) (see r. 2(b))</w:t>
            </w:r>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Motor Vehicle Repairers Amendment Regulations (No. 2) 2014 </w:t>
      </w:r>
      <w:r>
        <w:t>r. 3 and 4</w:t>
      </w:r>
      <w:r>
        <w:rPr>
          <w:i/>
        </w:rPr>
        <w:t xml:space="preserve"> </w:t>
      </w:r>
      <w:r>
        <w:rPr>
          <w:snapToGrid w:val="0"/>
        </w:rPr>
        <w:t>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Motor Vehicle Repairers Regulations 2007</w:t>
      </w:r>
      <w:r>
        <w:t>.</w:t>
      </w:r>
    </w:p>
    <w:p>
      <w:pPr>
        <w:pStyle w:val="nzHeading5"/>
      </w:pPr>
      <w:r>
        <w:rPr>
          <w:rStyle w:val="CharSectno"/>
        </w:rPr>
        <w:t>4</w:t>
      </w:r>
      <w:r>
        <w:t>.</w:t>
      </w:r>
      <w:r>
        <w:tab/>
        <w:t>Regulation 3 amended</w:t>
      </w:r>
    </w:p>
    <w:p>
      <w:pPr>
        <w:pStyle w:val="nzSubsection"/>
      </w:pPr>
      <w:r>
        <w:tab/>
        <w:t>(1)</w:t>
      </w:r>
      <w:r>
        <w:tab/>
        <w:t>In regulation 3(1) delete the definitions of:</w:t>
      </w:r>
    </w:p>
    <w:p>
      <w:pPr>
        <w:pStyle w:val="DeleteListSub"/>
        <w:ind w:left="1442"/>
        <w:rPr>
          <w:b/>
          <w:i/>
          <w:sz w:val="20"/>
        </w:rPr>
      </w:pPr>
      <w:r>
        <w:rPr>
          <w:b/>
          <w:i/>
          <w:sz w:val="20"/>
        </w:rPr>
        <w:t>power assisted pedal cycle</w:t>
      </w:r>
    </w:p>
    <w:p>
      <w:pPr>
        <w:pStyle w:val="DeleteListSub"/>
        <w:ind w:left="1442"/>
        <w:rPr>
          <w:sz w:val="20"/>
        </w:rPr>
      </w:pPr>
      <w:r>
        <w:rPr>
          <w:b/>
          <w:i/>
          <w:sz w:val="20"/>
        </w:rPr>
        <w:t>Road Traffic Act</w:t>
      </w:r>
    </w:p>
    <w:p>
      <w:pPr>
        <w:pStyle w:val="nzSubsection"/>
      </w:pPr>
      <w:r>
        <w:tab/>
        <w:t>(2)</w:t>
      </w:r>
      <w:r>
        <w:tab/>
        <w:t>In regulation 3(1) insert in alphabetical order:</w:t>
      </w:r>
    </w:p>
    <w:p>
      <w:pPr>
        <w:pStyle w:val="BlankOpen"/>
      </w:pPr>
    </w:p>
    <w:p>
      <w:pPr>
        <w:pStyle w:val="nzDefstart"/>
      </w:pPr>
      <w:r>
        <w:tab/>
      </w:r>
      <w:r>
        <w:rPr>
          <w:rStyle w:val="CharDefText"/>
        </w:rPr>
        <w:t xml:space="preserve">power assisted pedal cycle </w:t>
      </w:r>
      <w:r>
        <w:t xml:space="preserve">means a vehicle — </w:t>
      </w:r>
    </w:p>
    <w:p>
      <w:pPr>
        <w:pStyle w:val="nzIndenta"/>
      </w:pPr>
      <w:r>
        <w:tab/>
        <w:t>(a)</w:t>
      </w:r>
      <w:r>
        <w:tab/>
        <w:t>designed to be propelled through a mechanism operated solely by human power; and</w:t>
      </w:r>
    </w:p>
    <w:p>
      <w:pPr>
        <w:pStyle w:val="nzIndenta"/>
      </w:pPr>
      <w:r>
        <w:tab/>
        <w:t>(b)</w:t>
      </w:r>
      <w:r>
        <w:tab/>
        <w:t xml:space="preserve">to which is attached one or more auxiliary propulsion motors having a combined maximum output not exceeding — </w:t>
      </w:r>
    </w:p>
    <w:p>
      <w:pPr>
        <w:pStyle w:val="nz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nzDefsubpara"/>
      </w:pPr>
      <w:r>
        <w:tab/>
        <w:t>(ii)</w:t>
      </w:r>
      <w:r>
        <w:tab/>
        <w:t>200 W, in any other case;</w:t>
      </w:r>
    </w:p>
    <w:p>
      <w:pPr>
        <w:pStyle w:val="BlankClose"/>
      </w:pPr>
    </w:p>
    <w:p>
      <w:pPr>
        <w:pStyle w:val="nzSubsection"/>
        <w:rPr>
          <w:rStyle w:val="CharDefText"/>
          <w:b w:val="0"/>
          <w:i w:val="0"/>
        </w:rPr>
      </w:pPr>
      <w:r>
        <w:tab/>
        <w:t>(3)</w:t>
      </w:r>
      <w:r>
        <w:tab/>
        <w:t xml:space="preserve">In regulation 3(1) in the definition of </w:t>
      </w:r>
      <w:r>
        <w:rPr>
          <w:rStyle w:val="CharDefText"/>
        </w:rPr>
        <w:t>exempt motorised wheelchair paragraph (b) delete “</w:t>
      </w:r>
      <w:r>
        <w:t>Road Traffic Act</w:t>
      </w:r>
      <w:r>
        <w:rPr>
          <w:rStyle w:val="CharDefText"/>
        </w:rPr>
        <w:t>” and insert:</w:t>
      </w:r>
    </w:p>
    <w:p>
      <w:pPr>
        <w:pStyle w:val="BlankOpen"/>
      </w:pPr>
    </w:p>
    <w:p>
      <w:pPr>
        <w:pStyle w:val="nzSubsection"/>
      </w:pPr>
      <w:r>
        <w:tab/>
      </w:r>
      <w:r>
        <w:tab/>
      </w:r>
      <w:r>
        <w:rPr>
          <w:i/>
        </w:rPr>
        <w:t>Road Traffic (Vehicles) Act 2012</w:t>
      </w:r>
    </w:p>
    <w:p>
      <w:pPr>
        <w:pStyle w:val="BlankClose"/>
      </w:pPr>
    </w:p>
    <w:p>
      <w:pPr>
        <w:pStyle w:val="nzSubsection"/>
      </w:pPr>
      <w:r>
        <w:tab/>
        <w:t>(4)</w:t>
      </w:r>
      <w:r>
        <w:tab/>
        <w:t xml:space="preserve">In regulation 3(1) in the definition of </w:t>
      </w:r>
      <w:r>
        <w:rPr>
          <w:b/>
          <w:i/>
        </w:rPr>
        <w:t>relevant authority</w:t>
      </w:r>
      <w:r>
        <w:t xml:space="preserve"> paragraph (a) delete “licensing provisions of the Road Traffic Act; or” and insert:</w:t>
      </w:r>
    </w:p>
    <w:p>
      <w:pPr>
        <w:pStyle w:val="BlankOpen"/>
      </w:pPr>
    </w:p>
    <w:p>
      <w:pPr>
        <w:pStyle w:val="nzSubsection"/>
      </w:pPr>
      <w:r>
        <w:tab/>
      </w:r>
      <w:r>
        <w:tab/>
      </w:r>
      <w:r>
        <w:rPr>
          <w:i/>
        </w:rPr>
        <w:t xml:space="preserve">Road Traffic (Vehicles) Act 2012 </w:t>
      </w:r>
      <w:r>
        <w:t>Part 2; or</w:t>
      </w:r>
    </w:p>
    <w:p>
      <w:pPr>
        <w:pStyle w:val="BlankClose"/>
      </w:pPr>
    </w:p>
    <w:p>
      <w:pPr>
        <w:pStyle w:val="nzSubsection"/>
      </w:pPr>
      <w:r>
        <w:tab/>
        <w:t>(5)</w:t>
      </w:r>
      <w:r>
        <w:tab/>
        <w:t xml:space="preserve">In regulation 3(1) in the definition of </w:t>
      </w:r>
      <w:r>
        <w:rPr>
          <w:b/>
          <w:i/>
        </w:rPr>
        <w:t>vintage vehicle</w:t>
      </w:r>
      <w:r>
        <w:t xml:space="preserve"> delete “licensing provisions of the Road Traffic Act.” and insert:</w:t>
      </w:r>
    </w:p>
    <w:p>
      <w:pPr>
        <w:pStyle w:val="BlankOpen"/>
      </w:pPr>
    </w:p>
    <w:p>
      <w:pPr>
        <w:pStyle w:val="nzSubsection"/>
      </w:pPr>
      <w:r>
        <w:tab/>
      </w:r>
      <w:r>
        <w:tab/>
      </w:r>
      <w:r>
        <w:rPr>
          <w:i/>
        </w:rPr>
        <w:t xml:space="preserve">Road Traffic (Vehicles) Act 2012 </w:t>
      </w:r>
      <w:r>
        <w:t>Part 2.</w:t>
      </w:r>
    </w:p>
    <w:p>
      <w:pPr>
        <w:pStyle w:val="BlankClose"/>
      </w:pPr>
    </w:p>
    <w:p>
      <w:pPr>
        <w:pStyle w:val="BlankClose"/>
      </w:pP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7" w:name="_Toc33609880"/>
      <w:r>
        <w:rPr>
          <w:sz w:val="28"/>
        </w:rPr>
        <w:t>Defined terms</w:t>
      </w:r>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8" w:name="DefinedTerms"/>
      <w:bookmarkEnd w:id="38"/>
      <w:r>
        <w:t>accessory</w:t>
      </w:r>
      <w:r>
        <w:tab/>
        <w:t>3(1)</w:t>
      </w:r>
    </w:p>
    <w:p>
      <w:pPr>
        <w:pStyle w:val="DefinedTerms"/>
      </w:pPr>
      <w:r>
        <w:t>air conditioning work</w:t>
      </w:r>
      <w:r>
        <w:tab/>
        <w:t>3(1)</w:t>
      </w:r>
    </w:p>
    <w:p>
      <w:pPr>
        <w:pStyle w:val="DefinedTerms"/>
      </w:pPr>
      <w:r>
        <w:t>apprentice</w:t>
      </w:r>
      <w:r>
        <w:tab/>
        <w:t>3(1)</w:t>
      </w:r>
    </w:p>
    <w:p>
      <w:pPr>
        <w:pStyle w:val="DefinedTerms"/>
      </w:pPr>
      <w:r>
        <w:t>AUR05</w:t>
      </w:r>
      <w:r>
        <w:tab/>
        <w:t>8(1)</w:t>
      </w:r>
    </w:p>
    <w:p>
      <w:pPr>
        <w:pStyle w:val="DefinedTerms"/>
      </w:pPr>
      <w:r>
        <w:t>AUR99</w:t>
      </w:r>
      <w:r>
        <w:tab/>
        <w:t>8(1)</w:t>
      </w:r>
    </w:p>
    <w:p>
      <w:pPr>
        <w:pStyle w:val="DefinedTerms"/>
      </w:pPr>
      <w:r>
        <w:t>autogas work</w:t>
      </w:r>
      <w:r>
        <w:tab/>
        <w:t>3(1)</w:t>
      </w:r>
    </w:p>
    <w:p>
      <w:pPr>
        <w:pStyle w:val="DefinedTerms"/>
      </w:pPr>
      <w:r>
        <w:t>body building work</w:t>
      </w:r>
      <w:r>
        <w:tab/>
        <w:t>3(1)</w:t>
      </w:r>
    </w:p>
    <w:p>
      <w:pPr>
        <w:pStyle w:val="DefinedTerms"/>
      </w:pPr>
      <w:r>
        <w:t>brake work</w:t>
      </w:r>
      <w:r>
        <w:tab/>
        <w:t>3(1)</w:t>
      </w:r>
    </w:p>
    <w:p>
      <w:pPr>
        <w:pStyle w:val="DefinedTerms"/>
      </w:pPr>
      <w:r>
        <w:t>Class E permit or authorisation</w:t>
      </w:r>
      <w:r>
        <w:tab/>
        <w:t>3(1)</w:t>
      </w:r>
    </w:p>
    <w:p>
      <w:pPr>
        <w:pStyle w:val="DefinedTerms"/>
      </w:pPr>
      <w:r>
        <w:t>cooling system work</w:t>
      </w:r>
      <w:r>
        <w:tab/>
        <w:t>3(1)</w:t>
      </w:r>
    </w:p>
    <w:p>
      <w:pPr>
        <w:pStyle w:val="DefinedTerms"/>
      </w:pPr>
      <w:r>
        <w:t>cylinder head reconditioning work</w:t>
      </w:r>
      <w:r>
        <w:tab/>
        <w:t>3(1)</w:t>
      </w:r>
    </w:p>
    <w:p>
      <w:pPr>
        <w:pStyle w:val="DefinedTerms"/>
      </w:pPr>
      <w:r>
        <w:t>descriptor</w:t>
      </w:r>
      <w:r>
        <w:tab/>
        <w:t>8(1)</w:t>
      </w:r>
    </w:p>
    <w:p>
      <w:pPr>
        <w:pStyle w:val="DefinedTerms"/>
      </w:pPr>
      <w:r>
        <w:t>diesel fitting work</w:t>
      </w:r>
      <w:r>
        <w:tab/>
        <w:t>3(1)</w:t>
      </w:r>
    </w:p>
    <w:p>
      <w:pPr>
        <w:pStyle w:val="DefinedTerms"/>
      </w:pPr>
      <w:r>
        <w:t>diesel fuel and engine work</w:t>
      </w:r>
      <w:r>
        <w:tab/>
        <w:t>3(1)</w:t>
      </w:r>
    </w:p>
    <w:p>
      <w:pPr>
        <w:pStyle w:val="DefinedTerms"/>
      </w:pPr>
      <w:r>
        <w:t>driveline</w:t>
      </w:r>
      <w:r>
        <w:tab/>
        <w:t>3(1)</w:t>
      </w:r>
    </w:p>
    <w:p>
      <w:pPr>
        <w:pStyle w:val="DefinedTerms"/>
      </w:pPr>
      <w:r>
        <w:t>driveline servicing and repairing work</w:t>
      </w:r>
      <w:r>
        <w:tab/>
        <w:t>3(1)</w:t>
      </w:r>
    </w:p>
    <w:p>
      <w:pPr>
        <w:pStyle w:val="DefinedTerms"/>
      </w:pPr>
      <w:r>
        <w:t>driveline work</w:t>
      </w:r>
      <w:r>
        <w:tab/>
        <w:t>3(1)</w:t>
      </w:r>
    </w:p>
    <w:p>
      <w:pPr>
        <w:pStyle w:val="DefinedTerms"/>
      </w:pPr>
      <w:r>
        <w:t>electrical accessory</w:t>
      </w:r>
      <w:r>
        <w:tab/>
        <w:t>3(1)</w:t>
      </w:r>
    </w:p>
    <w:p>
      <w:pPr>
        <w:pStyle w:val="DefinedTerms"/>
      </w:pPr>
      <w:r>
        <w:t>electrical accessory fitting work</w:t>
      </w:r>
      <w:r>
        <w:tab/>
        <w:t>3(1)</w:t>
      </w:r>
    </w:p>
    <w:p>
      <w:pPr>
        <w:pStyle w:val="DefinedTerms"/>
      </w:pPr>
      <w:r>
        <w:t>electrical work</w:t>
      </w:r>
      <w:r>
        <w:tab/>
        <w:t>3(1)</w:t>
      </w:r>
    </w:p>
    <w:p>
      <w:pPr>
        <w:pStyle w:val="DefinedTerms"/>
      </w:pPr>
      <w:r>
        <w:t>emergency servicing or repair</w:t>
      </w:r>
      <w:r>
        <w:tab/>
        <w:t>3(1)</w:t>
      </w:r>
    </w:p>
    <w:p>
      <w:pPr>
        <w:pStyle w:val="DefinedTerms"/>
      </w:pPr>
      <w:r>
        <w:t>engine reconditioning work</w:t>
      </w:r>
      <w:r>
        <w:tab/>
        <w:t>3(1)</w:t>
      </w:r>
    </w:p>
    <w:p>
      <w:pPr>
        <w:pStyle w:val="DefinedTerms"/>
      </w:pPr>
      <w:r>
        <w:t>exempt motorised wheelchair</w:t>
      </w:r>
      <w:r>
        <w:tab/>
        <w:t>3(1)</w:t>
      </w:r>
    </w:p>
    <w:p>
      <w:pPr>
        <w:pStyle w:val="DefinedTerms"/>
      </w:pPr>
      <w:r>
        <w:t>exhaust system work</w:t>
      </w:r>
      <w:r>
        <w:tab/>
        <w:t>3(1)</w:t>
      </w:r>
    </w:p>
    <w:p>
      <w:pPr>
        <w:pStyle w:val="DefinedTerms"/>
      </w:pPr>
      <w:r>
        <w:t>existing repair business</w:t>
      </w:r>
      <w:r>
        <w:tab/>
        <w:t>3(1)</w:t>
      </w:r>
    </w:p>
    <w:p>
      <w:pPr>
        <w:pStyle w:val="DefinedTerms"/>
      </w:pPr>
      <w:r>
        <w:t>fabricate</w:t>
      </w:r>
      <w:r>
        <w:tab/>
        <w:t>3(1)</w:t>
      </w:r>
    </w:p>
    <w:p>
      <w:pPr>
        <w:pStyle w:val="DefinedTerms"/>
      </w:pPr>
      <w:r>
        <w:t>final drive assembly</w:t>
      </w:r>
      <w:r>
        <w:tab/>
        <w:t>3(1)</w:t>
      </w:r>
    </w:p>
    <w:p>
      <w:pPr>
        <w:pStyle w:val="DefinedTerms"/>
      </w:pPr>
      <w:r>
        <w:t>fixed premises</w:t>
      </w:r>
      <w:r>
        <w:tab/>
        <w:t>12(1)</w:t>
      </w:r>
    </w:p>
    <w:p>
      <w:pPr>
        <w:pStyle w:val="DefinedTerms"/>
      </w:pPr>
      <w:r>
        <w:t>gas fuel system</w:t>
      </w:r>
      <w:r>
        <w:tab/>
        <w:t>3(1)</w:t>
      </w:r>
    </w:p>
    <w:p>
      <w:pPr>
        <w:pStyle w:val="DefinedTerms"/>
      </w:pPr>
      <w:r>
        <w:t>glazing work</w:t>
      </w:r>
      <w:r>
        <w:tab/>
        <w:t>3(1)</w:t>
      </w:r>
    </w:p>
    <w:p>
      <w:pPr>
        <w:pStyle w:val="DefinedTerms"/>
      </w:pPr>
      <w:r>
        <w:t>gross vehicle mass</w:t>
      </w:r>
      <w:r>
        <w:tab/>
        <w:t>3(1)</w:t>
      </w:r>
    </w:p>
    <w:p>
      <w:pPr>
        <w:pStyle w:val="DefinedTerms"/>
      </w:pPr>
      <w:r>
        <w:t>heavy vehicle</w:t>
      </w:r>
      <w:r>
        <w:tab/>
        <w:t>3(1)</w:t>
      </w:r>
    </w:p>
    <w:p>
      <w:pPr>
        <w:pStyle w:val="DefinedTerms"/>
      </w:pPr>
      <w:r>
        <w:t>heavy vehicle servicing work</w:t>
      </w:r>
      <w:r>
        <w:tab/>
        <w:t>3(1)</w:t>
      </w:r>
    </w:p>
    <w:p>
      <w:pPr>
        <w:pStyle w:val="DefinedTerms"/>
      </w:pPr>
      <w:r>
        <w:t>heavy vehicle work</w:t>
      </w:r>
      <w:r>
        <w:tab/>
        <w:t>3(1)</w:t>
      </w:r>
    </w:p>
    <w:p>
      <w:pPr>
        <w:pStyle w:val="DefinedTerms"/>
      </w:pPr>
      <w:r>
        <w:t>ignition system</w:t>
      </w:r>
      <w:r>
        <w:tab/>
        <w:t>3(1)</w:t>
      </w:r>
    </w:p>
    <w:p>
      <w:pPr>
        <w:pStyle w:val="DefinedTerms"/>
      </w:pPr>
      <w:r>
        <w:t>install</w:t>
      </w:r>
      <w:r>
        <w:tab/>
        <w:t>3(1)</w:t>
      </w:r>
    </w:p>
    <w:p>
      <w:pPr>
        <w:pStyle w:val="DefinedTerms"/>
      </w:pPr>
      <w:r>
        <w:t>light vehicle</w:t>
      </w:r>
      <w:r>
        <w:tab/>
        <w:t>3(1)</w:t>
      </w:r>
    </w:p>
    <w:p>
      <w:pPr>
        <w:pStyle w:val="DefinedTerms"/>
      </w:pPr>
      <w:r>
        <w:t>light vehicle servicing work</w:t>
      </w:r>
      <w:r>
        <w:tab/>
        <w:t>3(1)</w:t>
      </w:r>
    </w:p>
    <w:p>
      <w:pPr>
        <w:pStyle w:val="DefinedTerms"/>
      </w:pPr>
      <w:r>
        <w:t>light vehicle work</w:t>
      </w:r>
      <w:r>
        <w:tab/>
        <w:t>3(1)</w:t>
      </w:r>
    </w:p>
    <w:p>
      <w:pPr>
        <w:pStyle w:val="DefinedTerms"/>
      </w:pPr>
      <w:r>
        <w:t>mechanical accessory</w:t>
      </w:r>
      <w:r>
        <w:tab/>
        <w:t>3(1)</w:t>
      </w:r>
    </w:p>
    <w:p>
      <w:pPr>
        <w:pStyle w:val="DefinedTerms"/>
      </w:pPr>
      <w:r>
        <w:t>mechanical accessory fitting work</w:t>
      </w:r>
      <w:r>
        <w:tab/>
        <w:t>3(1)</w:t>
      </w:r>
    </w:p>
    <w:p>
      <w:pPr>
        <w:pStyle w:val="DefinedTerms"/>
      </w:pPr>
      <w:r>
        <w:t>minor electrical repair</w:t>
      </w:r>
      <w:r>
        <w:tab/>
        <w:t>3(1)</w:t>
      </w:r>
    </w:p>
    <w:p>
      <w:pPr>
        <w:pStyle w:val="DefinedTerms"/>
      </w:pPr>
      <w:r>
        <w:t>minor electrical servicing</w:t>
      </w:r>
      <w:r>
        <w:tab/>
        <w:t>3(1)</w:t>
      </w:r>
    </w:p>
    <w:p>
      <w:pPr>
        <w:pStyle w:val="DefinedTerms"/>
      </w:pPr>
      <w:r>
        <w:t>motor cycle</w:t>
      </w:r>
      <w:r>
        <w:tab/>
        <w:t>3(1)</w:t>
      </w:r>
    </w:p>
    <w:p>
      <w:pPr>
        <w:pStyle w:val="DefinedTerms"/>
      </w:pPr>
      <w:r>
        <w:t>motor cycle servicing work</w:t>
      </w:r>
      <w:r>
        <w:tab/>
        <w:t>3(1)</w:t>
      </w:r>
    </w:p>
    <w:p>
      <w:pPr>
        <w:pStyle w:val="DefinedTerms"/>
      </w:pPr>
      <w:r>
        <w:t>motor cycle work</w:t>
      </w:r>
      <w:r>
        <w:tab/>
        <w:t>3(1)</w:t>
      </w:r>
    </w:p>
    <w:p>
      <w:pPr>
        <w:pStyle w:val="DefinedTerms"/>
      </w:pPr>
      <w:r>
        <w:t>moveable glass</w:t>
      </w:r>
      <w:r>
        <w:tab/>
        <w:t>3(1)</w:t>
      </w:r>
    </w:p>
    <w:p>
      <w:pPr>
        <w:pStyle w:val="DefinedTerms"/>
      </w:pPr>
      <w:r>
        <w:t>number of repairers</w:t>
      </w:r>
      <w:r>
        <w:tab/>
        <w:t>3(1)</w:t>
      </w:r>
    </w:p>
    <w:p>
      <w:pPr>
        <w:pStyle w:val="DefinedTerms"/>
      </w:pPr>
      <w:r>
        <w:t>old licence</w:t>
      </w:r>
      <w:r>
        <w:tab/>
        <w:t>3(1)</w:t>
      </w:r>
    </w:p>
    <w:p>
      <w:pPr>
        <w:pStyle w:val="DefinedTerms"/>
      </w:pPr>
      <w:r>
        <w:t>outstanding fee</w:t>
      </w:r>
      <w:r>
        <w:tab/>
        <w:t>7B(1)</w:t>
      </w:r>
    </w:p>
    <w:p>
      <w:pPr>
        <w:pStyle w:val="DefinedTerms"/>
      </w:pPr>
      <w:r>
        <w:t>overhaul</w:t>
      </w:r>
      <w:r>
        <w:tab/>
        <w:t>3(1)</w:t>
      </w:r>
    </w:p>
    <w:p>
      <w:pPr>
        <w:pStyle w:val="DefinedTerms"/>
      </w:pPr>
      <w:r>
        <w:t>painting work</w:t>
      </w:r>
      <w:r>
        <w:tab/>
        <w:t>3(1)</w:t>
      </w:r>
    </w:p>
    <w:p>
      <w:pPr>
        <w:pStyle w:val="DefinedTerms"/>
      </w:pPr>
      <w:r>
        <w:t>panel beating work</w:t>
      </w:r>
      <w:r>
        <w:tab/>
        <w:t>3(1)</w:t>
      </w:r>
    </w:p>
    <w:p>
      <w:pPr>
        <w:pStyle w:val="DefinedTerms"/>
      </w:pPr>
      <w:r>
        <w:t>power assisted pedal cycle</w:t>
      </w:r>
      <w:r>
        <w:tab/>
        <w:t>3(1)</w:t>
      </w:r>
    </w:p>
    <w:p>
      <w:pPr>
        <w:pStyle w:val="DefinedTerms"/>
      </w:pPr>
      <w:r>
        <w:t>prescribed accessory</w:t>
      </w:r>
      <w:r>
        <w:tab/>
        <w:t>3(1)</w:t>
      </w:r>
    </w:p>
    <w:p>
      <w:pPr>
        <w:pStyle w:val="DefinedTerms"/>
      </w:pPr>
      <w:r>
        <w:t>prescribed fee</w:t>
      </w:r>
      <w:r>
        <w:tab/>
        <w:t>19(1)</w:t>
      </w:r>
    </w:p>
    <w:p>
      <w:pPr>
        <w:pStyle w:val="DefinedTerms"/>
      </w:pPr>
      <w:r>
        <w:t>proposed refund</w:t>
      </w:r>
      <w:r>
        <w:tab/>
        <w:t>7B(1)</w:t>
      </w:r>
    </w:p>
    <w:p>
      <w:pPr>
        <w:pStyle w:val="DefinedTerms"/>
      </w:pPr>
      <w:r>
        <w:t>qualified repairer</w:t>
      </w:r>
      <w:r>
        <w:tab/>
        <w:t>7G(1)</w:t>
      </w:r>
    </w:p>
    <w:p>
      <w:pPr>
        <w:pStyle w:val="DefinedTerms"/>
      </w:pPr>
      <w:r>
        <w:t>register of certificates</w:t>
      </w:r>
      <w:r>
        <w:tab/>
        <w:t>3(1)</w:t>
      </w:r>
    </w:p>
    <w:p>
      <w:pPr>
        <w:pStyle w:val="DefinedTerms"/>
      </w:pPr>
      <w:r>
        <w:t>relevant authority</w:t>
      </w:r>
      <w:r>
        <w:tab/>
        <w:t>3(1)</w:t>
      </w:r>
    </w:p>
    <w:p>
      <w:pPr>
        <w:pStyle w:val="DefinedTerms"/>
      </w:pPr>
      <w:r>
        <w:t>relevant day</w:t>
      </w:r>
      <w:r>
        <w:tab/>
        <w:t>7H(1)</w:t>
      </w:r>
    </w:p>
    <w:p>
      <w:pPr>
        <w:pStyle w:val="DefinedTerms"/>
      </w:pPr>
      <w:r>
        <w:t>repair</w:t>
      </w:r>
      <w:r>
        <w:tab/>
        <w:t>3(1)</w:t>
      </w:r>
    </w:p>
    <w:p>
      <w:pPr>
        <w:pStyle w:val="DefinedTerms"/>
      </w:pPr>
      <w:r>
        <w:t>repairer</w:t>
      </w:r>
      <w:r>
        <w:tab/>
        <w:t>3(1)</w:t>
      </w:r>
    </w:p>
    <w:p>
      <w:pPr>
        <w:pStyle w:val="DefinedTerms"/>
      </w:pPr>
      <w:r>
        <w:t>retrofit</w:t>
      </w:r>
      <w:r>
        <w:tab/>
        <w:t>3(1)</w:t>
      </w:r>
    </w:p>
    <w:p>
      <w:pPr>
        <w:pStyle w:val="DefinedTerms"/>
      </w:pPr>
      <w:r>
        <w:t>Road Traffic Act</w:t>
      </w:r>
      <w:r>
        <w:tab/>
        <w:t>3(1)</w:t>
      </w:r>
    </w:p>
    <w:p>
      <w:pPr>
        <w:pStyle w:val="DefinedTerms"/>
      </w:pPr>
      <w:r>
        <w:t>round of licence notices</w:t>
      </w:r>
      <w:r>
        <w:tab/>
        <w:t>18(1)</w:t>
      </w:r>
    </w:p>
    <w:p>
      <w:pPr>
        <w:pStyle w:val="DefinedTerms"/>
      </w:pPr>
      <w:r>
        <w:t>service</w:t>
      </w:r>
      <w:r>
        <w:tab/>
        <w:t>3(1)</w:t>
      </w:r>
    </w:p>
    <w:p>
      <w:pPr>
        <w:pStyle w:val="DefinedTerms"/>
      </w:pPr>
      <w:r>
        <w:t>steering, suspension and wheel aligning work</w:t>
      </w:r>
      <w:r>
        <w:tab/>
        <w:t>3(1)</w:t>
      </w:r>
    </w:p>
    <w:p>
      <w:pPr>
        <w:pStyle w:val="DefinedTerms"/>
      </w:pPr>
      <w:r>
        <w:t>transmission work</w:t>
      </w:r>
      <w:r>
        <w:tab/>
        <w:t>3(1)</w:t>
      </w:r>
    </w:p>
    <w:p>
      <w:pPr>
        <w:pStyle w:val="DefinedTerms"/>
      </w:pPr>
      <w:r>
        <w:t>trimming work</w:t>
      </w:r>
      <w:r>
        <w:tab/>
        <w:t>3(1)</w:t>
      </w:r>
    </w:p>
    <w:p>
      <w:pPr>
        <w:pStyle w:val="DefinedTerms"/>
      </w:pPr>
      <w:r>
        <w:t>tyre fitting (heavy) work</w:t>
      </w:r>
      <w:r>
        <w:tab/>
        <w:t>3(1)</w:t>
      </w:r>
    </w:p>
    <w:p>
      <w:pPr>
        <w:pStyle w:val="DefinedTerms"/>
      </w:pPr>
      <w:r>
        <w:t>tyre fitting (light) work</w:t>
      </w:r>
      <w:r>
        <w:tab/>
        <w:t>3(1)</w:t>
      </w:r>
    </w:p>
    <w:p>
      <w:pPr>
        <w:pStyle w:val="DefinedTerms"/>
      </w:pPr>
      <w:r>
        <w:t>underbody work</w:t>
      </w:r>
      <w:r>
        <w:tab/>
        <w:t>3(1)</w:t>
      </w:r>
    </w:p>
    <w:p>
      <w:pPr>
        <w:pStyle w:val="DefinedTerms"/>
      </w:pPr>
      <w:r>
        <w:t>vintage vehicle</w:t>
      </w:r>
      <w:r>
        <w:tab/>
        <w:t>3(1)</w:t>
      </w:r>
    </w:p>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50</w:t>
    </w:r>
    <w:r>
      <w:rP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02-i0-01</w:t>
    </w:r>
    <w:r>
      <w:rPr>
        <w:rFonts w:ascii="Arial" w:hAnsi="Arial" w:cs="Arial"/>
        <w:sz w:val="20"/>
      </w:rPr>
      <w:fldChar w:fldCharType="end"/>
    </w:r>
    <w:r>
      <w:rPr>
        <w:rFonts w:ascii="Arial" w:hAnsi="Arial" w:cs="Arial"/>
        <w:sz w:val="20"/>
      </w:rPr>
      <w:tab/>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ii</w:t>
    </w:r>
    <w:r>
      <w:rP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02-i0-01</w:t>
    </w:r>
    <w:r>
      <w:rPr>
        <w:rFonts w:ascii="Arial" w:hAnsi="Arial" w:cs="Arial"/>
        <w:sz w:val="20"/>
      </w:rPr>
      <w:fldChar w:fldCharType="end"/>
    </w:r>
    <w:r>
      <w:rPr>
        <w:rFonts w:ascii="Arial" w:hAnsi="Arial" w:cs="Arial"/>
        <w:sz w:val="20"/>
      </w:rPr>
      <w:tab/>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i</w:t>
    </w:r>
    <w:r>
      <w:rP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1" w:name="Schedule"/>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34C1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0497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D6B3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604A2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94CA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0E16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E01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F6BC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8ADB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BD2A4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E6C94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5175002"/>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10525</Words>
  <Characters>52313</Characters>
  <Application>Microsoft Office Word</Application>
  <DocSecurity>0</DocSecurity>
  <Lines>2179</Lines>
  <Paragraphs>1428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61410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2007 - 02-i0-01</dc:title>
  <dc:subject/>
  <dc:creator/>
  <cp:keywords/>
  <dc:description/>
  <cp:lastModifiedBy>svcMRProcess</cp:lastModifiedBy>
  <cp:revision>4</cp:revision>
  <cp:lastPrinted>2012-01-17T04:19:00Z</cp:lastPrinted>
  <dcterms:created xsi:type="dcterms:W3CDTF">2020-02-26T03:43:00Z</dcterms:created>
  <dcterms:modified xsi:type="dcterms:W3CDTF">2020-02-26T03:43:00Z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CommencementDate">
    <vt:lpwstr>20150108</vt:lpwstr>
  </property>
  <property fmtid="{D5CDD505-2E9C-101B-9397-08002B2CF9AE}" pid="4" name="OwlsUID">
    <vt:i4>38522</vt:i4>
  </property>
  <property fmtid="{D5CDD505-2E9C-101B-9397-08002B2CF9AE}" pid="5" name="AsAtDate">
    <vt:lpwstr>08 Jan 2015</vt:lpwstr>
  </property>
  <property fmtid="{D5CDD505-2E9C-101B-9397-08002B2CF9AE}" pid="6" name="Suffix">
    <vt:lpwstr>02-i0-01</vt:lpwstr>
  </property>
  <property fmtid="{D5CDD505-2E9C-101B-9397-08002B2CF9AE}" pid="7" name="ReprintNo">
    <vt:lpwstr>2</vt:lpwstr>
  </property>
  <property fmtid="{D5CDD505-2E9C-101B-9397-08002B2CF9AE}" pid="8" name="ReprintedAsAt">
    <vt:filetime>2012-01-05T16:00:00Z</vt:filetime>
  </property>
  <property fmtid="{D5CDD505-2E9C-101B-9397-08002B2CF9AE}" pid="9" name="DocumentType">
    <vt:lpwstr>Reg</vt:lpwstr>
  </property>
</Properties>
</file>