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_Toc416878306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_Toc416878307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_Toc416878308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_Toc416878310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an authorised person</w:t>
      </w:r>
      <w:r>
        <w:tab/>
      </w:r>
      <w:r>
        <w:fldChar w:fldCharType="begin"/>
      </w:r>
      <w:r>
        <w:instrText xml:space="preserve"> PAGEREF _Toc416878311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_Toc416878312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_Toc416878313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_Toc416878314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_Toc416878315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_Toc416878316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_Toc416878317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the environment</w:t>
      </w:r>
      <w:r>
        <w:tab/>
      </w:r>
      <w:r>
        <w:fldChar w:fldCharType="begin"/>
      </w:r>
      <w:r>
        <w:instrText xml:space="preserve"> PAGEREF _Toc416878318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_Toc416878319 \h </w:instrText>
      </w:r>
      <w:r>
        <w:fldChar w:fldCharType="separate"/>
      </w:r>
      <w:r>
        <w:t>9</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_Toc416878320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_Toc416878321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_Toc416878322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_Toc416878323 \h </w:instrText>
      </w:r>
      <w:r>
        <w:fldChar w:fldCharType="separate"/>
      </w:r>
      <w:r>
        <w:t>13</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_Toc416878324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_Toc416878325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_Toc416878327 \h </w:instrText>
      </w:r>
      <w:r>
        <w:fldChar w:fldCharType="separate"/>
      </w:r>
      <w:r>
        <w:t>15</w:t>
      </w:r>
      <w:r>
        <w:fldChar w:fldCharType="end"/>
      </w:r>
    </w:p>
    <w:p>
      <w:pPr>
        <w:pStyle w:val="TOC8"/>
        <w:rPr>
          <w:rFonts w:asciiTheme="minorHAnsi" w:eastAsiaTheme="minorEastAsia" w:hAnsiTheme="minorHAnsi" w:cstheme="minorBidi"/>
          <w:szCs w:val="22"/>
        </w:rPr>
      </w:pPr>
      <w:r>
        <w:t>21.</w:t>
      </w:r>
      <w:r>
        <w:tab/>
        <w:t>Vessels</w:t>
      </w:r>
      <w:r>
        <w:tab/>
      </w:r>
      <w:r>
        <w:fldChar w:fldCharType="begin"/>
      </w:r>
      <w:r>
        <w:instrText xml:space="preserve"> PAGEREF _Toc416878328 \h </w:instrText>
      </w:r>
      <w:r>
        <w:fldChar w:fldCharType="separate"/>
      </w:r>
      <w:r>
        <w:t>16</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_Toc416878329 \h </w:instrText>
      </w:r>
      <w:r>
        <w:fldChar w:fldCharType="separate"/>
      </w:r>
      <w:r>
        <w:t>17</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_Toc416878330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_Toc416878333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_Toc416878334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3" w:name="_Toc408482240"/>
      <w:bookmarkStart w:id="4" w:name="_Toc416878275"/>
      <w:bookmarkStart w:id="5" w:name="_Toc41687830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8482241"/>
      <w:bookmarkStart w:id="7" w:name="_Toc416878306"/>
      <w:r>
        <w:rPr>
          <w:rStyle w:val="CharSectno"/>
        </w:rPr>
        <w:t>1</w:t>
      </w:r>
      <w:r>
        <w:t>.</w:t>
      </w:r>
      <w:r>
        <w:tab/>
        <w:t>Citation</w:t>
      </w:r>
      <w:bookmarkEnd w:id="6"/>
      <w:bookmarkEnd w:id="7"/>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8" w:name="_Toc408482242"/>
      <w:bookmarkStart w:id="9" w:name="_Toc416878307"/>
      <w:r>
        <w:rPr>
          <w:rStyle w:val="CharSectno"/>
        </w:rPr>
        <w:t>2</w:t>
      </w:r>
      <w:r>
        <w:t>.</w:t>
      </w:r>
      <w:r>
        <w:tab/>
        <w:t>Interpretation</w:t>
      </w:r>
      <w:bookmarkEnd w:id="8"/>
      <w:bookmarkEnd w:id="9"/>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same meaning as in the </w:t>
      </w:r>
      <w:r>
        <w:rPr>
          <w:i/>
          <w:iCs/>
        </w:rPr>
        <w:t>Road Traffic Act 1974</w:t>
      </w:r>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same meaning as in the </w:t>
      </w:r>
      <w:r>
        <w:rPr>
          <w:i/>
          <w:iCs/>
        </w:rPr>
        <w:t>Road Traffic Act 1974</w:t>
      </w:r>
      <w:r>
        <w:t>.</w:t>
      </w:r>
    </w:p>
    <w:p>
      <w:pPr>
        <w:pStyle w:val="Footnotesection"/>
      </w:pPr>
      <w:r>
        <w:tab/>
        <w:t xml:space="preserve">[Regulation 2 amended in Gazette 10 Aug 2007 p. 4075.] </w:t>
      </w:r>
    </w:p>
    <w:p>
      <w:pPr>
        <w:pStyle w:val="Heading5"/>
      </w:pPr>
      <w:bookmarkStart w:id="10" w:name="_Toc408482243"/>
      <w:bookmarkStart w:id="11" w:name="_Toc416878308"/>
      <w:r>
        <w:rPr>
          <w:rStyle w:val="CharSectno"/>
        </w:rPr>
        <w:t>3</w:t>
      </w:r>
      <w:r>
        <w:t>.</w:t>
      </w:r>
      <w:r>
        <w:tab/>
        <w:t>Application</w:t>
      </w:r>
      <w:bookmarkEnd w:id="10"/>
      <w:bookmarkEnd w:id="11"/>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2" w:name="_Toc408482244"/>
      <w:bookmarkStart w:id="13" w:name="_Toc416878279"/>
      <w:bookmarkStart w:id="14" w:name="_Toc416878309"/>
      <w:r>
        <w:rPr>
          <w:rStyle w:val="CharPartNo"/>
        </w:rPr>
        <w:t>Part 2</w:t>
      </w:r>
      <w:r>
        <w:t> — </w:t>
      </w:r>
      <w:r>
        <w:rPr>
          <w:rStyle w:val="CharPartText"/>
        </w:rPr>
        <w:t>General</w:t>
      </w:r>
      <w:bookmarkEnd w:id="12"/>
      <w:bookmarkEnd w:id="13"/>
      <w:bookmarkEnd w:id="14"/>
    </w:p>
    <w:p>
      <w:pPr>
        <w:pStyle w:val="Heading5"/>
      </w:pPr>
      <w:bookmarkStart w:id="15" w:name="_Toc408482245"/>
      <w:bookmarkStart w:id="16" w:name="_Toc416878310"/>
      <w:r>
        <w:rPr>
          <w:rStyle w:val="CharSectno"/>
        </w:rPr>
        <w:t>4</w:t>
      </w:r>
      <w:r>
        <w:t>.</w:t>
      </w:r>
      <w:r>
        <w:tab/>
        <w:t>Authorised persons</w:t>
      </w:r>
      <w:bookmarkEnd w:id="15"/>
      <w:bookmarkEnd w:id="16"/>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7" w:name="_Toc408482246"/>
      <w:bookmarkStart w:id="18" w:name="_Toc416878311"/>
      <w:r>
        <w:rPr>
          <w:rStyle w:val="CharSectno"/>
        </w:rPr>
        <w:t>5</w:t>
      </w:r>
      <w:r>
        <w:t>.</w:t>
      </w:r>
      <w:r>
        <w:tab/>
        <w:t>Obstructing or impersonating an authorised person</w:t>
      </w:r>
      <w:bookmarkEnd w:id="17"/>
      <w:bookmarkEnd w:id="18"/>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9" w:name="_Toc408482247"/>
      <w:bookmarkStart w:id="20" w:name="_Toc416878312"/>
      <w:r>
        <w:rPr>
          <w:rStyle w:val="CharSectno"/>
        </w:rPr>
        <w:t>6</w:t>
      </w:r>
      <w:r>
        <w:t>.</w:t>
      </w:r>
      <w:r>
        <w:tab/>
        <w:t>Permissions</w:t>
      </w:r>
      <w:bookmarkEnd w:id="19"/>
      <w:bookmarkEnd w:id="20"/>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21" w:name="_Toc408482248"/>
      <w:bookmarkStart w:id="22" w:name="_Toc416878313"/>
      <w:r>
        <w:rPr>
          <w:rStyle w:val="CharSectno"/>
        </w:rPr>
        <w:t>7</w:t>
      </w:r>
      <w:r>
        <w:t>.</w:t>
      </w:r>
      <w:r>
        <w:tab/>
        <w:t>Authorisation under another written law</w:t>
      </w:r>
      <w:bookmarkEnd w:id="21"/>
      <w:bookmarkEnd w:id="22"/>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23" w:name="_Toc408482249"/>
      <w:bookmarkStart w:id="24" w:name="_Toc416878314"/>
      <w:r>
        <w:rPr>
          <w:rStyle w:val="CharSectno"/>
        </w:rPr>
        <w:t>8</w:t>
      </w:r>
      <w:r>
        <w:t>.</w:t>
      </w:r>
      <w:r>
        <w:tab/>
        <w:t>Directions</w:t>
      </w:r>
      <w:bookmarkEnd w:id="23"/>
      <w:bookmarkEnd w:id="24"/>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25" w:name="_Toc408482250"/>
      <w:bookmarkStart w:id="26" w:name="_Toc416878315"/>
      <w:r>
        <w:rPr>
          <w:rStyle w:val="CharSectno"/>
          <w:rFonts w:eastAsia="MS Mincho"/>
        </w:rPr>
        <w:t>9</w:t>
      </w:r>
      <w:r>
        <w:rPr>
          <w:rFonts w:eastAsia="MS Mincho"/>
        </w:rPr>
        <w:t>.</w:t>
      </w:r>
      <w:r>
        <w:rPr>
          <w:rFonts w:eastAsia="MS Mincho"/>
        </w:rPr>
        <w:tab/>
        <w:t>Signs</w:t>
      </w:r>
      <w:bookmarkEnd w:id="25"/>
      <w:bookmarkEnd w:id="26"/>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27" w:name="_Toc408482251"/>
      <w:bookmarkStart w:id="28" w:name="_Toc416878316"/>
      <w:r>
        <w:rPr>
          <w:rStyle w:val="CharSectno"/>
        </w:rPr>
        <w:t>10</w:t>
      </w:r>
      <w:r>
        <w:t>.</w:t>
      </w:r>
      <w:r>
        <w:tab/>
        <w:t>Vehicles</w:t>
      </w:r>
      <w:bookmarkEnd w:id="27"/>
      <w:bookmarkEnd w:id="28"/>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w:t>
      </w:r>
    </w:p>
    <w:p>
      <w:pPr>
        <w:pStyle w:val="Heading5"/>
      </w:pPr>
      <w:bookmarkStart w:id="29" w:name="_Toc408482252"/>
      <w:bookmarkStart w:id="30" w:name="_Toc416878317"/>
      <w:r>
        <w:rPr>
          <w:rStyle w:val="CharSectno"/>
        </w:rPr>
        <w:t>11</w:t>
      </w:r>
      <w:r>
        <w:t>.</w:t>
      </w:r>
      <w:r>
        <w:tab/>
        <w:t>Protection of property</w:t>
      </w:r>
      <w:bookmarkEnd w:id="29"/>
      <w:bookmarkEnd w:id="30"/>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31" w:name="_Toc408482253"/>
      <w:bookmarkStart w:id="32" w:name="_Toc416878318"/>
      <w:r>
        <w:rPr>
          <w:rStyle w:val="CharSectno"/>
        </w:rPr>
        <w:t>12</w:t>
      </w:r>
      <w:r>
        <w:t>.</w:t>
      </w:r>
      <w:r>
        <w:tab/>
        <w:t>Protection of the environment</w:t>
      </w:r>
      <w:bookmarkEnd w:id="31"/>
      <w:bookmarkEnd w:id="32"/>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33" w:name="_Toc408482254"/>
      <w:bookmarkStart w:id="34" w:name="_Toc416878319"/>
      <w:r>
        <w:rPr>
          <w:rStyle w:val="CharSectno"/>
        </w:rPr>
        <w:t>13</w:t>
      </w:r>
      <w:r>
        <w:t>.</w:t>
      </w:r>
      <w:r>
        <w:tab/>
        <w:t>Protection of plants and animals</w:t>
      </w:r>
      <w:bookmarkEnd w:id="33"/>
      <w:bookmarkEnd w:id="34"/>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35" w:name="_Toc408482255"/>
      <w:bookmarkStart w:id="36" w:name="_Toc416878320"/>
      <w:r>
        <w:rPr>
          <w:rStyle w:val="CharSectno"/>
        </w:rPr>
        <w:t>14</w:t>
      </w:r>
      <w:r>
        <w:t>.</w:t>
      </w:r>
      <w:r>
        <w:tab/>
        <w:t>Fires</w:t>
      </w:r>
      <w:bookmarkEnd w:id="35"/>
      <w:bookmarkEnd w:id="36"/>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37" w:name="_Toc408482256"/>
      <w:bookmarkStart w:id="38" w:name="_Toc416878321"/>
      <w:r>
        <w:rPr>
          <w:rStyle w:val="CharSectno"/>
        </w:rPr>
        <w:t>15</w:t>
      </w:r>
      <w:r>
        <w:t>.</w:t>
      </w:r>
      <w:r>
        <w:tab/>
        <w:t>Camping</w:t>
      </w:r>
      <w:bookmarkEnd w:id="37"/>
      <w:bookmarkEnd w:id="38"/>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39" w:name="_Toc408482257"/>
      <w:bookmarkStart w:id="40" w:name="_Toc416878322"/>
      <w:r>
        <w:rPr>
          <w:rStyle w:val="CharSectno"/>
        </w:rPr>
        <w:t>16</w:t>
      </w:r>
      <w:r>
        <w:t>.</w:t>
      </w:r>
      <w:r>
        <w:tab/>
        <w:t>Races, meetings etc.</w:t>
      </w:r>
      <w:bookmarkEnd w:id="39"/>
      <w:bookmarkEnd w:id="40"/>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41" w:name="_Toc408482258"/>
      <w:bookmarkStart w:id="42" w:name="_Toc416878323"/>
      <w:r>
        <w:rPr>
          <w:rStyle w:val="CharSectno"/>
        </w:rPr>
        <w:t>17</w:t>
      </w:r>
      <w:r>
        <w:t>.</w:t>
      </w:r>
      <w:r>
        <w:tab/>
        <w:t>Commercial activities, advertising, collecting money etc.</w:t>
      </w:r>
      <w:bookmarkEnd w:id="41"/>
      <w:bookmarkEnd w:id="42"/>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43" w:name="_Toc408482259"/>
      <w:bookmarkStart w:id="44" w:name="_Toc416878324"/>
      <w:r>
        <w:rPr>
          <w:rStyle w:val="CharSectno"/>
          <w:rFonts w:eastAsia="MS Mincho"/>
        </w:rPr>
        <w:t>18</w:t>
      </w:r>
      <w:r>
        <w:rPr>
          <w:rFonts w:eastAsia="MS Mincho"/>
        </w:rPr>
        <w:t>.</w:t>
      </w:r>
      <w:r>
        <w:rPr>
          <w:rFonts w:eastAsia="MS Mincho"/>
        </w:rPr>
        <w:tab/>
        <w:t>Removing obstructions</w:t>
      </w:r>
      <w:bookmarkEnd w:id="43"/>
      <w:bookmarkEnd w:id="44"/>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45" w:name="_Toc408482260"/>
      <w:bookmarkStart w:id="46" w:name="_Toc416878325"/>
      <w:r>
        <w:rPr>
          <w:rStyle w:val="CharSectno"/>
        </w:rPr>
        <w:t>19</w:t>
      </w:r>
      <w:r>
        <w:t>.</w:t>
      </w:r>
      <w:r>
        <w:tab/>
        <w:t>General behaviour</w:t>
      </w:r>
      <w:bookmarkEnd w:id="45"/>
      <w:bookmarkEnd w:id="46"/>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47" w:name="_Toc408482261"/>
      <w:bookmarkStart w:id="48" w:name="_Toc416878296"/>
      <w:bookmarkStart w:id="49" w:name="_Toc416878326"/>
      <w:r>
        <w:rPr>
          <w:rStyle w:val="CharPartNo"/>
        </w:rPr>
        <w:t>Part 3</w:t>
      </w:r>
      <w:r>
        <w:rPr>
          <w:rStyle w:val="CharDivNo"/>
        </w:rPr>
        <w:t> </w:t>
      </w:r>
      <w:r>
        <w:t>—</w:t>
      </w:r>
      <w:r>
        <w:rPr>
          <w:rStyle w:val="CharDivText"/>
        </w:rPr>
        <w:t> </w:t>
      </w:r>
      <w:r>
        <w:rPr>
          <w:rStyle w:val="CharPartText"/>
        </w:rPr>
        <w:t>Offences relating to Schedule 1 reserves</w:t>
      </w:r>
      <w:bookmarkEnd w:id="47"/>
      <w:bookmarkEnd w:id="48"/>
      <w:bookmarkEnd w:id="49"/>
    </w:p>
    <w:p>
      <w:pPr>
        <w:pStyle w:val="Heading5"/>
      </w:pPr>
      <w:bookmarkStart w:id="50" w:name="_Toc408482262"/>
      <w:bookmarkStart w:id="51" w:name="_Toc416878327"/>
      <w:r>
        <w:rPr>
          <w:rStyle w:val="CharSectno"/>
        </w:rPr>
        <w:t>20</w:t>
      </w:r>
      <w:r>
        <w:t>.</w:t>
      </w:r>
      <w:r>
        <w:tab/>
        <w:t>Entry onto designated Schedule 1 reserves</w:t>
      </w:r>
      <w:bookmarkEnd w:id="50"/>
      <w:bookmarkEnd w:id="51"/>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52" w:name="_Toc408482263"/>
      <w:bookmarkStart w:id="53" w:name="_Toc416878328"/>
      <w:r>
        <w:rPr>
          <w:rStyle w:val="CharSectno"/>
        </w:rPr>
        <w:t>21</w:t>
      </w:r>
      <w:r>
        <w:t>.</w:t>
      </w:r>
      <w:r>
        <w:tab/>
        <w:t>Vessels</w:t>
      </w:r>
      <w:bookmarkEnd w:id="52"/>
      <w:bookmarkEnd w:id="53"/>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54" w:name="_Toc408482264"/>
      <w:bookmarkStart w:id="55" w:name="_Toc416878329"/>
      <w:r>
        <w:rPr>
          <w:rStyle w:val="CharSectno"/>
        </w:rPr>
        <w:t>22</w:t>
      </w:r>
      <w:r>
        <w:t>.</w:t>
      </w:r>
      <w:r>
        <w:tab/>
        <w:t>Aircraft</w:t>
      </w:r>
      <w:bookmarkEnd w:id="54"/>
      <w:bookmarkEnd w:id="55"/>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56" w:name="_Toc408482265"/>
      <w:bookmarkStart w:id="57" w:name="_Toc416878330"/>
      <w:r>
        <w:rPr>
          <w:rStyle w:val="CharSectno"/>
        </w:rPr>
        <w:t>23</w:t>
      </w:r>
      <w:r>
        <w:t>.</w:t>
      </w:r>
      <w:r>
        <w:tab/>
        <w:t>Animals</w:t>
      </w:r>
      <w:bookmarkEnd w:id="56"/>
      <w:bookmarkEnd w:id="57"/>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 w:name="_Toc408482266"/>
      <w:bookmarkStart w:id="59" w:name="_Toc416878301"/>
      <w:bookmarkStart w:id="60" w:name="_Toc416878331"/>
      <w:r>
        <w:rPr>
          <w:rStyle w:val="CharSchNo"/>
        </w:rPr>
        <w:t>Schedule 1</w:t>
      </w:r>
      <w:r>
        <w:rPr>
          <w:rStyle w:val="CharSDivNo"/>
        </w:rPr>
        <w:t> </w:t>
      </w:r>
      <w:r>
        <w:t>—</w:t>
      </w:r>
      <w:r>
        <w:rPr>
          <w:rStyle w:val="CharSDivText"/>
        </w:rPr>
        <w:t> </w:t>
      </w:r>
      <w:r>
        <w:rPr>
          <w:rStyle w:val="CharSchText"/>
        </w:rPr>
        <w:t>Managed reserves to which these regulations apply</w:t>
      </w:r>
      <w:bookmarkEnd w:id="58"/>
      <w:bookmarkEnd w:id="59"/>
      <w:bookmarkEnd w:id="60"/>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2" w:name="_Toc408482267"/>
      <w:bookmarkStart w:id="63" w:name="_Toc416878302"/>
      <w:bookmarkStart w:id="64" w:name="_Toc416878332"/>
      <w:r>
        <w:t>Notes</w:t>
      </w:r>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65" w:name="_Toc408482268"/>
      <w:bookmarkStart w:id="66" w:name="_Toc416878333"/>
      <w: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Borders>
              <w:bottom w:val="single" w:sz="4" w:space="0" w:color="auto"/>
            </w:tcBorders>
          </w:tcPr>
          <w:p>
            <w:pPr>
              <w:pStyle w:val="nTable"/>
              <w:rPr>
                <w:i/>
              </w:rPr>
            </w:pPr>
            <w:r>
              <w:rPr>
                <w:i/>
              </w:rPr>
              <w:t>Land Administration (Land Management) Amendment Regulations (No. 2) 2012</w:t>
            </w:r>
          </w:p>
        </w:tc>
        <w:tc>
          <w:tcPr>
            <w:tcW w:w="1276" w:type="dxa"/>
            <w:tcBorders>
              <w:bottom w:val="single" w:sz="4" w:space="0" w:color="auto"/>
            </w:tcBorders>
          </w:tcPr>
          <w:p>
            <w:pPr>
              <w:pStyle w:val="nTable"/>
            </w:pPr>
            <w:r>
              <w:t>19 Feb 2013 p. 983-4</w:t>
            </w:r>
          </w:p>
        </w:tc>
        <w:tc>
          <w:tcPr>
            <w:tcW w:w="2693" w:type="dxa"/>
            <w:tcBorders>
              <w:bottom w:val="single" w:sz="4" w:space="0" w:color="auto"/>
            </w:tcBorders>
          </w:tcPr>
          <w:p>
            <w:pPr>
              <w:pStyle w:val="nTable"/>
            </w:pPr>
            <w:r>
              <w:t>r. 1 and 2: 19 Feb 2013 (see r. 2(a));</w:t>
            </w:r>
            <w:r>
              <w:br/>
              <w:t>Regulations other than r. 1 and 2: 20 Feb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 w:name="_Toc408482269"/>
      <w:bookmarkStart w:id="68" w:name="_Toc416878334"/>
      <w:r>
        <w:t>Provisions that have not come into operation</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Land Administration (Land Management) Amendment Regulations 2014</w:t>
            </w:r>
            <w:r>
              <w:t xml:space="preserve"> r. 3 and 4</w:t>
            </w:r>
            <w:r>
              <w:rPr>
                <w:vertAlign w:val="superscript"/>
              </w:rPr>
              <w:t> 2</w:t>
            </w:r>
          </w:p>
        </w:tc>
        <w:tc>
          <w:tcPr>
            <w:tcW w:w="1276" w:type="dxa"/>
            <w:tcBorders>
              <w:top w:val="single" w:sz="4" w:space="0" w:color="auto"/>
              <w:bottom w:val="single" w:sz="4" w:space="0" w:color="auto"/>
            </w:tcBorders>
          </w:tcPr>
          <w:p>
            <w:pPr>
              <w:pStyle w:val="nTable"/>
              <w:spacing w:after="40"/>
            </w:pPr>
            <w:r>
              <w:t>8 Jan 2015 p. 117</w:t>
            </w:r>
            <w:r>
              <w:noBreakHyphen/>
              <w:t>18</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pPr>
      <w:r>
        <w:rPr>
          <w:vertAlign w:val="superscript"/>
        </w:rPr>
        <w:t>2</w:t>
      </w:r>
      <w:r>
        <w:tab/>
        <w:t xml:space="preserve">On the date as at which this compilation was prepared, </w:t>
      </w:r>
      <w:r>
        <w:rPr>
          <w:snapToGrid w:val="0"/>
        </w:rPr>
        <w:t xml:space="preserve">the </w:t>
      </w:r>
      <w:r>
        <w:rPr>
          <w:i/>
        </w:rPr>
        <w:t>Land Administration (Land Management) Amendment Regulations 2014</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Land Administration (Land Management) Regulations 2006</w:t>
      </w:r>
      <w:r>
        <w:t>.</w:t>
      </w:r>
    </w:p>
    <w:p>
      <w:pPr>
        <w:pStyle w:val="nzHeading5"/>
      </w:pPr>
      <w:r>
        <w:rPr>
          <w:rStyle w:val="CharSectno"/>
        </w:rPr>
        <w:t>4</w:t>
      </w:r>
      <w:r>
        <w:t>.</w:t>
      </w:r>
      <w:r>
        <w:tab/>
        <w:t>Regulation 2 amended</w:t>
      </w:r>
    </w:p>
    <w:p>
      <w:pPr>
        <w:pStyle w:val="nzSubsection"/>
      </w:pPr>
      <w:r>
        <w:tab/>
        <w:t>(1)</w:t>
      </w:r>
      <w:r>
        <w:tab/>
        <w:t xml:space="preserve">In regulation 2 in the definition of </w:t>
      </w:r>
      <w:r>
        <w:rPr>
          <w:b/>
          <w:i/>
        </w:rPr>
        <w:t>road</w:t>
      </w:r>
      <w:r>
        <w:t xml:space="preserve"> delete “same meaning as in the </w:t>
      </w:r>
      <w:r>
        <w:rPr>
          <w:i/>
          <w:iCs/>
        </w:rPr>
        <w:t>Road Traffic Act 1974</w:t>
      </w:r>
      <w:r>
        <w:t>;” and insert:</w:t>
      </w:r>
    </w:p>
    <w:p>
      <w:pPr>
        <w:pStyle w:val="BlankOpen"/>
      </w:pPr>
    </w:p>
    <w:p>
      <w:pPr>
        <w:pStyle w:val="nzSubsection"/>
      </w:pPr>
      <w:r>
        <w:tab/>
      </w:r>
      <w:r>
        <w:tab/>
        <w:t xml:space="preserve">meaning given in the </w:t>
      </w:r>
      <w:r>
        <w:rPr>
          <w:i/>
        </w:rPr>
        <w:t>Road Traffic (Administration) Act 2008</w:t>
      </w:r>
      <w:r>
        <w:t xml:space="preserve"> section 4;</w:t>
      </w:r>
    </w:p>
    <w:p>
      <w:pPr>
        <w:pStyle w:val="BlankClose"/>
      </w:pPr>
    </w:p>
    <w:p>
      <w:pPr>
        <w:pStyle w:val="nzSubsection"/>
      </w:pPr>
      <w:r>
        <w:tab/>
        <w:t>(2)</w:t>
      </w:r>
      <w:r>
        <w:tab/>
        <w:t xml:space="preserve">In regulation 2 in the definition of </w:t>
      </w:r>
      <w:r>
        <w:rPr>
          <w:b/>
          <w:i/>
        </w:rPr>
        <w:t>vehicle</w:t>
      </w:r>
      <w:r>
        <w:t xml:space="preserve"> delete “same meaning as in the </w:t>
      </w:r>
      <w:r>
        <w:rPr>
          <w:i/>
          <w:iCs/>
        </w:rPr>
        <w:t>Road Traffic Act 1974</w:t>
      </w:r>
      <w:r>
        <w:rPr>
          <w:iCs/>
        </w:rPr>
        <w:t>.</w:t>
      </w:r>
      <w:r>
        <w:t>” and insert:</w:t>
      </w:r>
    </w:p>
    <w:p>
      <w:pPr>
        <w:pStyle w:val="BlankOpen"/>
      </w:pPr>
    </w:p>
    <w:p>
      <w:pPr>
        <w:pStyle w:val="nzSubsection"/>
      </w:pPr>
      <w:r>
        <w:tab/>
      </w:r>
      <w:r>
        <w:tab/>
        <w:t xml:space="preserve">meaning given in the </w:t>
      </w:r>
      <w:r>
        <w:rPr>
          <w:i/>
        </w:rPr>
        <w:t>Road Traffic (Administration) Act 2008</w:t>
      </w:r>
      <w:r>
        <w:t xml:space="preserve"> section 4.</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0" w:name="_Toc416878335"/>
      <w:r>
        <w:rPr>
          <w:sz w:val="28"/>
        </w:rPr>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authorised person</w:t>
      </w:r>
      <w:r>
        <w:tab/>
        <w:t>2</w:t>
      </w:r>
    </w:p>
    <w:p>
      <w:pPr>
        <w:pStyle w:val="DefinedTerms"/>
      </w:pPr>
      <w:r>
        <w:t>camp</w:t>
      </w:r>
      <w:r>
        <w:tab/>
        <w:t>15(3)</w:t>
      </w:r>
    </w:p>
    <w:p>
      <w:pPr>
        <w:pStyle w:val="DefinedTerms"/>
      </w:pPr>
      <w:r>
        <w:t>controlling body</w:t>
      </w:r>
      <w:r>
        <w:tab/>
        <w:t>2</w:t>
      </w:r>
    </w:p>
    <w:p>
      <w:pPr>
        <w:pStyle w:val="DefinedTerms"/>
      </w:pPr>
      <w:r>
        <w:t>designated</w:t>
      </w:r>
      <w:r>
        <w:tab/>
        <w:t>2</w:t>
      </w:r>
    </w:p>
    <w:p>
      <w:pPr>
        <w:pStyle w:val="DefinedTerms"/>
      </w:pPr>
      <w:r>
        <w:t>emergency vehicle</w:t>
      </w:r>
      <w:r>
        <w:tab/>
        <w:t>10(8)</w:t>
      </w:r>
    </w:p>
    <w:p>
      <w:pPr>
        <w:pStyle w:val="DefinedTerms"/>
      </w:pPr>
      <w:r>
        <w:t>firewood</w:t>
      </w:r>
      <w:r>
        <w:tab/>
        <w:t>14(6)</w:t>
      </w:r>
    </w:p>
    <w:p>
      <w:pPr>
        <w:pStyle w:val="DefinedTerms"/>
      </w:pPr>
      <w:r>
        <w:t>fish</w:t>
      </w:r>
      <w:r>
        <w:tab/>
        <w:t>13(6)</w:t>
      </w:r>
    </w:p>
    <w:p>
      <w:pPr>
        <w:pStyle w:val="DefinedTerms"/>
      </w:pPr>
      <w:r>
        <w:t>fishing</w:t>
      </w:r>
      <w:r>
        <w:tab/>
        <w:t>13(6)</w:t>
      </w:r>
    </w:p>
    <w:p>
      <w:pPr>
        <w:pStyle w:val="DefinedTerms"/>
      </w:pPr>
      <w:r>
        <w:t>hunting device</w:t>
      </w:r>
      <w:r>
        <w:tab/>
        <w:t>13(6)</w:t>
      </w:r>
    </w:p>
    <w:p>
      <w:pPr>
        <w:pStyle w:val="DefinedTerms"/>
      </w:pPr>
      <w:r>
        <w:t>owner</w:t>
      </w:r>
      <w:r>
        <w:tab/>
        <w:t>2</w:t>
      </w:r>
    </w:p>
    <w:p>
      <w:pPr>
        <w:pStyle w:val="DefinedTerms"/>
      </w:pPr>
      <w:r>
        <w:t>plant</w:t>
      </w:r>
      <w:r>
        <w:tab/>
        <w:t>2</w:t>
      </w:r>
    </w:p>
    <w:p>
      <w:pPr>
        <w:pStyle w:val="DefinedTerms"/>
      </w:pPr>
      <w:r>
        <w:t>regulated land</w:t>
      </w:r>
      <w:r>
        <w:tab/>
        <w:t>2</w:t>
      </w:r>
    </w:p>
    <w:p>
      <w:pPr>
        <w:pStyle w:val="DefinedTerms"/>
      </w:pPr>
      <w:r>
        <w:t>restricted event</w:t>
      </w:r>
      <w:r>
        <w:tab/>
        <w:t>16(2)</w:t>
      </w:r>
    </w:p>
    <w:p>
      <w:pPr>
        <w:pStyle w:val="DefinedTerms"/>
      </w:pPr>
      <w:r>
        <w:t>road</w:t>
      </w:r>
      <w:r>
        <w:tab/>
        <w:t>2</w:t>
      </w:r>
    </w:p>
    <w:p>
      <w:pPr>
        <w:pStyle w:val="DefinedTerms"/>
      </w:pPr>
      <w:r>
        <w:t>Schedule 1 reserve</w:t>
      </w:r>
      <w:r>
        <w:tab/>
        <w:t>2</w:t>
      </w:r>
    </w:p>
    <w:p>
      <w:pPr>
        <w:pStyle w:val="DefinedTerms"/>
      </w:pPr>
      <w:r>
        <w:t>sign</w:t>
      </w:r>
      <w:r>
        <w:tab/>
        <w:t>2, 9(5)</w:t>
      </w:r>
    </w:p>
    <w:p>
      <w:pPr>
        <w:pStyle w:val="DefinedTerms"/>
      </w:pPr>
      <w:r>
        <w:t>track</w:t>
      </w:r>
      <w:r>
        <w:tab/>
        <w:t>2</w:t>
      </w:r>
    </w:p>
    <w:p>
      <w:pPr>
        <w:pStyle w:val="DefinedTerms"/>
      </w:pPr>
      <w:r>
        <w:t>use</w:t>
      </w:r>
      <w:r>
        <w:tab/>
        <w:t>21(6)</w:t>
      </w:r>
    </w:p>
    <w:p>
      <w:pPr>
        <w:pStyle w:val="DefinedTerms"/>
      </w:pPr>
      <w:r>
        <w:t>vehicle</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233"/>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204095233" w:val="RemoveTrackChanges"/>
    <w:docVar w:name="WAFER_20151204095233_GUID" w:val="fa29151f-d106-4d36-a775-0a6d190aeb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4378</Words>
  <Characters>20666</Characters>
  <Application>Microsoft Office Word</Application>
  <DocSecurity>0</DocSecurity>
  <Lines>688</Lines>
  <Paragraphs>511</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2006 - 00-e0-03</dc:title>
  <dc:subject/>
  <dc:creator/>
  <cp:keywords/>
  <dc:description/>
  <cp:lastModifiedBy>svcMRProcess</cp:lastModifiedBy>
  <cp:revision>4</cp:revision>
  <cp:lastPrinted>2006-02-17T04:01:00Z</cp:lastPrinted>
  <dcterms:created xsi:type="dcterms:W3CDTF">2015-12-04T05:43:00Z</dcterms:created>
  <dcterms:modified xsi:type="dcterms:W3CDTF">2015-12-04T05:44:00Z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20150108</vt:lpwstr>
  </property>
  <property fmtid="{D5CDD505-2E9C-101B-9397-08002B2CF9AE}" pid="4" name="OwlsUID">
    <vt:i4>36879</vt:i4>
  </property>
  <property fmtid="{D5CDD505-2E9C-101B-9397-08002B2CF9AE}" pid="5" name="DocumentType">
    <vt:lpwstr>Reg</vt:lpwstr>
  </property>
  <property fmtid="{D5CDD505-2E9C-101B-9397-08002B2CF9AE}" pid="6" name="AsAtDate">
    <vt:lpwstr>08 Jan 2015</vt:lpwstr>
  </property>
  <property fmtid="{D5CDD505-2E9C-101B-9397-08002B2CF9AE}" pid="7" name="Suffix">
    <vt:lpwstr>00-e0-03</vt:lpwstr>
  </property>
</Properties>
</file>