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(Third Party Insurance) Act 1943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_Toc416883680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_Toc416883681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managing director</w:t>
      </w:r>
      <w:r>
        <w:tab/>
      </w:r>
      <w:r>
        <w:fldChar w:fldCharType="begin"/>
      </w:r>
      <w:r>
        <w:instrText xml:space="preserve"> PAGEREF _Toc416883682 \h </w:instrText>
      </w:r>
      <w:r>
        <w:fldChar w:fldCharType="separate"/>
      </w:r>
      <w:r>
        <w:t>1</w:t>
      </w:r>
      <w:r>
        <w:fldChar w:fldCharType="end"/>
      </w:r>
    </w:p>
    <w:p>
      <w:pPr>
        <w:pStyle w:val="TOC8"/>
        <w:rPr>
          <w:rFonts w:asciiTheme="minorHAnsi" w:eastAsiaTheme="minorEastAsia" w:hAnsiTheme="minorHAnsi" w:cstheme="minorBidi"/>
          <w:szCs w:val="22"/>
        </w:rPr>
      </w:pPr>
      <w:r>
        <w:t>4.</w:t>
      </w:r>
      <w:r>
        <w:tab/>
        <w:t>Information to be provided to Commission</w:t>
      </w:r>
      <w:r>
        <w:tab/>
      </w:r>
      <w:r>
        <w:fldChar w:fldCharType="begin"/>
      </w:r>
      <w:r>
        <w:instrText xml:space="preserve"> PAGEREF _Toc416883683 \h </w:instrText>
      </w:r>
      <w:r>
        <w:fldChar w:fldCharType="separate"/>
      </w:r>
      <w:r>
        <w:t>1</w:t>
      </w:r>
      <w:r>
        <w:fldChar w:fldCharType="end"/>
      </w:r>
    </w:p>
    <w:p>
      <w:pPr>
        <w:pStyle w:val="TOC8"/>
        <w:rPr>
          <w:rFonts w:asciiTheme="minorHAnsi" w:eastAsiaTheme="minorEastAsia" w:hAnsiTheme="minorHAnsi" w:cstheme="minorBidi"/>
          <w:szCs w:val="22"/>
        </w:rPr>
      </w:pPr>
      <w:r>
        <w:t>5.</w:t>
      </w:r>
      <w:r>
        <w:tab/>
        <w:t>Form of notice</w:t>
      </w:r>
      <w:r>
        <w:tab/>
      </w:r>
      <w:r>
        <w:fldChar w:fldCharType="begin"/>
      </w:r>
      <w:r>
        <w:instrText xml:space="preserve"> PAGEREF _Toc416883684 \h </w:instrText>
      </w:r>
      <w:r>
        <w:fldChar w:fldCharType="separate"/>
      </w:r>
      <w:r>
        <w:t>2</w:t>
      </w:r>
      <w:r>
        <w:fldChar w:fldCharType="end"/>
      </w:r>
    </w:p>
    <w:p>
      <w:pPr>
        <w:pStyle w:val="TOC8"/>
        <w:rPr>
          <w:rFonts w:asciiTheme="minorHAnsi" w:eastAsiaTheme="minorEastAsia" w:hAnsiTheme="minorHAnsi" w:cstheme="minorBidi"/>
          <w:szCs w:val="22"/>
        </w:rPr>
      </w:pPr>
      <w:r>
        <w:t>6.</w:t>
      </w:r>
      <w:r>
        <w:tab/>
        <w:t>Payment for transport of injured persons</w:t>
      </w:r>
      <w:r>
        <w:tab/>
      </w:r>
      <w:r>
        <w:fldChar w:fldCharType="begin"/>
      </w:r>
      <w:r>
        <w:instrText xml:space="preserve"> PAGEREF _Toc416883685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thresholds, caps etc. for damages</w:t>
      </w:r>
      <w:r>
        <w:tab/>
      </w:r>
      <w:r>
        <w:fldChar w:fldCharType="begin"/>
      </w:r>
      <w:r>
        <w:instrText xml:space="preserve"> PAGEREF _Toc416883686 \h </w:instrText>
      </w:r>
      <w:r>
        <w:fldChar w:fldCharType="separate"/>
      </w:r>
      <w:r>
        <w:t>3</w:t>
      </w:r>
      <w:r>
        <w:fldChar w:fldCharType="end"/>
      </w:r>
    </w:p>
    <w:p>
      <w:pPr>
        <w:pStyle w:val="TOC8"/>
        <w:rPr>
          <w:rFonts w:asciiTheme="minorHAnsi" w:eastAsiaTheme="minorEastAsia" w:hAnsiTheme="minorHAnsi" w:cstheme="minorBidi"/>
          <w:szCs w:val="22"/>
        </w:rPr>
      </w:pPr>
      <w:r>
        <w:t>8.</w:t>
      </w:r>
      <w:r>
        <w:tab/>
        <w:t>Permits may incorporate policy of insurance</w:t>
      </w:r>
      <w:r>
        <w:tab/>
      </w:r>
      <w:r>
        <w:fldChar w:fldCharType="begin"/>
      </w:r>
      <w:r>
        <w:instrText xml:space="preserve"> PAGEREF _Toc416883687 \h </w:instrText>
      </w:r>
      <w:r>
        <w:fldChar w:fldCharType="separate"/>
      </w:r>
      <w:r>
        <w:t>4</w:t>
      </w:r>
      <w:r>
        <w:fldChar w:fldCharType="end"/>
      </w:r>
    </w:p>
    <w:p>
      <w:pPr>
        <w:pStyle w:val="TOC8"/>
        <w:rPr>
          <w:rFonts w:asciiTheme="minorHAnsi" w:eastAsiaTheme="minorEastAsia" w:hAnsiTheme="minorHAnsi" w:cstheme="minorBidi"/>
          <w:szCs w:val="22"/>
        </w:rPr>
      </w:pPr>
      <w:r>
        <w:t>9.</w:t>
      </w:r>
      <w:r>
        <w:tab/>
        <w:t>Policy may be issued with number plates for use on unlicensed vehicle</w:t>
      </w:r>
      <w:r>
        <w:tab/>
      </w:r>
      <w:r>
        <w:fldChar w:fldCharType="begin"/>
      </w:r>
      <w:r>
        <w:instrText xml:space="preserve"> PAGEREF _Toc416883688 \h </w:instrText>
      </w:r>
      <w:r>
        <w:fldChar w:fldCharType="separate"/>
      </w:r>
      <w:r>
        <w:t>4</w:t>
      </w:r>
      <w:r>
        <w:fldChar w:fldCharType="end"/>
      </w:r>
    </w:p>
    <w:p>
      <w:pPr>
        <w:pStyle w:val="TOC8"/>
        <w:rPr>
          <w:rFonts w:asciiTheme="minorHAnsi" w:eastAsiaTheme="minorEastAsia" w:hAnsiTheme="minorHAnsi" w:cstheme="minorBidi"/>
          <w:szCs w:val="22"/>
        </w:rPr>
      </w:pPr>
      <w:r>
        <w:t>10.</w:t>
      </w:r>
      <w:r>
        <w:tab/>
        <w:t>Restriction on issue of policies for certain vehicles</w:t>
      </w:r>
      <w:r>
        <w:tab/>
      </w:r>
      <w:r>
        <w:fldChar w:fldCharType="begin"/>
      </w:r>
      <w:r>
        <w:instrText xml:space="preserve"> PAGEREF _Toc416883689 \h </w:instrText>
      </w:r>
      <w:r>
        <w:fldChar w:fldCharType="separate"/>
      </w:r>
      <w:r>
        <w:t>4</w:t>
      </w:r>
      <w:r>
        <w:fldChar w:fldCharType="end"/>
      </w:r>
    </w:p>
    <w:p>
      <w:pPr>
        <w:pStyle w:val="TOC8"/>
        <w:rPr>
          <w:rFonts w:asciiTheme="minorHAnsi" w:eastAsiaTheme="minorEastAsia" w:hAnsiTheme="minorHAnsi" w:cstheme="minorBidi"/>
          <w:szCs w:val="22"/>
        </w:rPr>
      </w:pPr>
      <w:r>
        <w:t>11.</w:t>
      </w:r>
      <w:r>
        <w:tab/>
        <w:t>Licence evidence of insurance cover</w:t>
      </w:r>
      <w:r>
        <w:tab/>
      </w:r>
      <w:r>
        <w:fldChar w:fldCharType="begin"/>
      </w:r>
      <w:r>
        <w:instrText xml:space="preserve"> PAGEREF _Toc416883690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Repeal</w:t>
      </w:r>
      <w:r>
        <w:tab/>
      </w:r>
      <w:r>
        <w:fldChar w:fldCharType="begin"/>
      </w:r>
      <w:r>
        <w:instrText xml:space="preserve"> PAGEREF _Toc416883691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_Toc416883694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_Toc416883695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3" w:name="_Toc408482240"/>
      <w:bookmarkStart w:id="4" w:name="_Toc41688368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6" w:name="_Toc408482241"/>
      <w:bookmarkStart w:id="7" w:name="_Toc41688368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408482242"/>
      <w:bookmarkStart w:id="9" w:name="_Toc416883682"/>
      <w:r>
        <w:rPr>
          <w:rStyle w:val="CharSectno"/>
        </w:rPr>
        <w:t>3</w:t>
      </w:r>
      <w:r>
        <w:t>.</w:t>
      </w:r>
      <w:r>
        <w:tab/>
        <w:t>Term used: managing director</w:t>
      </w:r>
      <w:bookmarkEnd w:id="8"/>
      <w:bookmarkEnd w:id="9"/>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10" w:name="_Toc408482243"/>
      <w:bookmarkStart w:id="11" w:name="_Toc416883683"/>
      <w:r>
        <w:rPr>
          <w:rStyle w:val="CharSectno"/>
        </w:rPr>
        <w:t>4</w:t>
      </w:r>
      <w:r>
        <w:t>.</w:t>
      </w:r>
      <w:r>
        <w:tab/>
        <w:t>Information to be provided to Commission</w:t>
      </w:r>
      <w:bookmarkEnd w:id="10"/>
      <w:bookmarkEnd w:id="11"/>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tab/>
        <w:t>(c)</w:t>
      </w:r>
      <w:r>
        <w:tab/>
        <w:t xml:space="preserve">the day on which a vehicle licence for the vehicle is granted, renewed or transferred under the </w:t>
      </w:r>
      <w:r>
        <w:rPr>
          <w:i/>
          <w:iCs/>
        </w:rPr>
        <w:t xml:space="preserve">Road Traffic Act 1974 </w:t>
      </w:r>
      <w:r>
        <w:t>section 17;</w:t>
      </w:r>
    </w:p>
    <w:p>
      <w:pPr>
        <w:pStyle w:val="Indenta"/>
      </w:pPr>
      <w:r>
        <w:tab/>
        <w:t>(d)</w:t>
      </w:r>
      <w:r>
        <w:tab/>
        <w:t>the day the vehicle licence expires;</w:t>
      </w:r>
    </w:p>
    <w:p>
      <w:pPr>
        <w:pStyle w:val="Indenta"/>
      </w:pPr>
      <w:r>
        <w:tab/>
        <w:t>(e)</w:t>
      </w:r>
      <w:r>
        <w:tab/>
        <w:t xml:space="preserve">details of the number plate issued for the vehicle under the </w:t>
      </w:r>
      <w:r>
        <w:rPr>
          <w:i/>
          <w:iCs/>
        </w:rPr>
        <w:t>Road Traffic Act 1974</w:t>
      </w:r>
      <w:r>
        <w:t>;</w:t>
      </w:r>
    </w:p>
    <w:p>
      <w:pPr>
        <w:pStyle w:val="Indenta"/>
      </w:pPr>
      <w:r>
        <w:tab/>
        <w:t>(f)</w:t>
      </w:r>
      <w:r>
        <w:tab/>
        <w:t>the name and address of the owner of the vehicle.</w:t>
      </w:r>
    </w:p>
    <w:p>
      <w:pPr>
        <w:pStyle w:val="Heading5"/>
      </w:pPr>
      <w:bookmarkStart w:id="12" w:name="_Toc408482244"/>
      <w:bookmarkStart w:id="13" w:name="_Toc416883684"/>
      <w:r>
        <w:rPr>
          <w:rStyle w:val="CharSectno"/>
        </w:rPr>
        <w:t>5</w:t>
      </w:r>
      <w:r>
        <w:t>.</w:t>
      </w:r>
      <w:r>
        <w:tab/>
        <w:t>Form of notice</w:t>
      </w:r>
      <w:bookmarkEnd w:id="12"/>
      <w:bookmarkEnd w:id="13"/>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14" w:name="_Toc408482245"/>
      <w:bookmarkStart w:id="15" w:name="_Toc416883685"/>
      <w:r>
        <w:rPr>
          <w:rStyle w:val="CharSectno"/>
        </w:rPr>
        <w:t>6</w:t>
      </w:r>
      <w:r>
        <w:t>.</w:t>
      </w:r>
      <w:r>
        <w:tab/>
        <w:t>Payment for transport of injured persons</w:t>
      </w:r>
      <w:bookmarkEnd w:id="14"/>
      <w:bookmarkEnd w:id="15"/>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rPr>
        <w:t>Workers’ Compensation and Injury Management Regulations 1982</w:t>
      </w:r>
      <w:r>
        <w:t xml:space="preserve"> regulation 17AA.</w:t>
      </w:r>
    </w:p>
    <w:p>
      <w:pPr>
        <w:pStyle w:val="Heading5"/>
      </w:pPr>
      <w:bookmarkStart w:id="16" w:name="_Toc408482246"/>
      <w:bookmarkStart w:id="17" w:name="_Toc416883686"/>
      <w:r>
        <w:rPr>
          <w:rStyle w:val="CharSectno"/>
        </w:rPr>
        <w:t>7</w:t>
      </w:r>
      <w:r>
        <w:t>.</w:t>
      </w:r>
      <w:r>
        <w:tab/>
        <w:t>Variation of thresholds, caps etc. for damages</w:t>
      </w:r>
      <w:bookmarkEnd w:id="16"/>
      <w:bookmarkEnd w:id="17"/>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18" w:name="_Toc408482247"/>
      <w:bookmarkStart w:id="19" w:name="_Toc416883687"/>
      <w:r>
        <w:rPr>
          <w:rStyle w:val="CharSectno"/>
        </w:rPr>
        <w:t>8</w:t>
      </w:r>
      <w:r>
        <w:t>.</w:t>
      </w:r>
      <w:r>
        <w:tab/>
        <w:t>Permits may incorporate policy of insurance</w:t>
      </w:r>
      <w:bookmarkEnd w:id="18"/>
      <w:bookmarkEnd w:id="19"/>
    </w:p>
    <w:p>
      <w:pPr>
        <w:pStyle w:val="Subsection"/>
      </w:pPr>
      <w:r>
        <w:tab/>
      </w:r>
      <w:r>
        <w:tab/>
        <w:t xml:space="preserve">A permit granted under the </w:t>
      </w:r>
      <w:r>
        <w:rPr>
          <w:i/>
        </w:rPr>
        <w:t>Road Traffic Act 1974</w:t>
      </w:r>
      <w:r>
        <w:t xml:space="preserve"> section 26(1) in respect of an unlicensed vehicle may incorporate a policy of insurance under the Act to cover the vehicle for the period for which the permit is issued.</w:t>
      </w:r>
    </w:p>
    <w:p>
      <w:pPr>
        <w:pStyle w:val="Heading5"/>
      </w:pPr>
      <w:bookmarkStart w:id="20" w:name="_Toc408482248"/>
      <w:bookmarkStart w:id="21" w:name="_Toc416883688"/>
      <w:r>
        <w:rPr>
          <w:rStyle w:val="CharSectno"/>
        </w:rPr>
        <w:t>9</w:t>
      </w:r>
      <w:r>
        <w:t>.</w:t>
      </w:r>
      <w:r>
        <w:tab/>
        <w:t>Policy may be issued with number plates for use on unlicensed vehicle</w:t>
      </w:r>
      <w:bookmarkEnd w:id="20"/>
      <w:bookmarkEnd w:id="21"/>
    </w:p>
    <w:p>
      <w:pPr>
        <w:pStyle w:val="Subsection"/>
      </w:pPr>
      <w:r>
        <w:tab/>
      </w:r>
      <w:r>
        <w:tab/>
        <w:t xml:space="preserve">At the time number plates for use on an unlicensed motor vehicle are issued under </w:t>
      </w:r>
      <w:r>
        <w:rPr>
          <w:i/>
        </w:rPr>
        <w:t>Road Traffic Act 1974</w:t>
      </w:r>
      <w:r>
        <w:t xml:space="preserve"> section 26(2) a policy of insurance under the Act may be issued to cover a vehicle on which the plates are used.</w:t>
      </w:r>
    </w:p>
    <w:p>
      <w:pPr>
        <w:pStyle w:val="Heading5"/>
      </w:pPr>
      <w:bookmarkStart w:id="22" w:name="_Toc408482249"/>
      <w:bookmarkStart w:id="23" w:name="_Toc416883689"/>
      <w:r>
        <w:rPr>
          <w:rStyle w:val="CharSectno"/>
        </w:rPr>
        <w:t>10</w:t>
      </w:r>
      <w:r>
        <w:t>.</w:t>
      </w:r>
      <w:r>
        <w:tab/>
        <w:t>Restriction on issue of policies for certain vehicles</w:t>
      </w:r>
      <w:bookmarkEnd w:id="22"/>
      <w:bookmarkEnd w:id="23"/>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Act </w:t>
      </w:r>
      <w:r>
        <w:rPr>
          <w:i/>
          <w:iCs/>
        </w:rPr>
        <w:t xml:space="preserve">1974 </w:t>
      </w:r>
      <w:r>
        <w:t>without the approval of the managing director.</w:t>
      </w:r>
    </w:p>
    <w:p>
      <w:pPr>
        <w:pStyle w:val="Heading5"/>
      </w:pPr>
      <w:bookmarkStart w:id="24" w:name="_Toc408482250"/>
      <w:bookmarkStart w:id="25" w:name="_Toc416883690"/>
      <w:r>
        <w:rPr>
          <w:rStyle w:val="CharSectno"/>
        </w:rPr>
        <w:t>11</w:t>
      </w:r>
      <w:r>
        <w:t>.</w:t>
      </w:r>
      <w:r>
        <w:tab/>
        <w:t>Licence evidence of insurance cover</w:t>
      </w:r>
      <w:bookmarkEnd w:id="24"/>
      <w:bookmarkEnd w:id="25"/>
    </w:p>
    <w:p>
      <w:pPr>
        <w:pStyle w:val="Subsection"/>
        <w:rPr>
          <w:iCs/>
        </w:rPr>
      </w:pPr>
      <w:r>
        <w:tab/>
      </w:r>
      <w:r>
        <w:tab/>
        <w:t xml:space="preserve">A licence issued under the </w:t>
      </w:r>
      <w:r>
        <w:rPr>
          <w:i/>
        </w:rPr>
        <w:t xml:space="preserve">Road Traffic Act 1974 </w:t>
      </w:r>
      <w:r>
        <w:rPr>
          <w:iCs/>
        </w:rPr>
        <w:t>in respect of a motor vehicle is evidence that a policy of insurance under or for the purposes of the Act has been issued in respect of the vehicle.</w:t>
      </w:r>
    </w:p>
    <w:p>
      <w:pPr>
        <w:pStyle w:val="Heading5"/>
        <w:rPr>
          <w:snapToGrid w:val="0"/>
        </w:rPr>
      </w:pPr>
      <w:bookmarkStart w:id="26" w:name="_Toc408482251"/>
      <w:bookmarkStart w:id="27" w:name="_Toc416883691"/>
      <w:r>
        <w:rPr>
          <w:rStyle w:val="CharSectno"/>
        </w:rPr>
        <w:t>12</w:t>
      </w:r>
      <w:r>
        <w:rPr>
          <w:snapToGrid w:val="0"/>
        </w:rPr>
        <w:t>.</w:t>
      </w:r>
      <w:r>
        <w:rPr>
          <w:snapToGrid w:val="0"/>
        </w:rPr>
        <w:tab/>
        <w:t>Repeal</w:t>
      </w:r>
      <w:bookmarkEnd w:id="26"/>
      <w:bookmarkEnd w:id="27"/>
    </w:p>
    <w:p>
      <w:pPr>
        <w:pStyle w:val="Subsection"/>
      </w:pPr>
      <w:r>
        <w:tab/>
      </w:r>
      <w:r>
        <w:tab/>
        <w:t xml:space="preserve">The </w:t>
      </w:r>
      <w:r>
        <w:rPr>
          <w:i/>
        </w:rPr>
        <w:t>Motor Vehicle (Third Party Insurance) Regulations 1962</w:t>
      </w:r>
      <w:r>
        <w:t xml:space="preserve"> are repealed.</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 w:name="_Toc408482252"/>
      <w:bookmarkStart w:id="29" w:name="_Toc416883676"/>
      <w:bookmarkStart w:id="30" w:name="_Toc416883692"/>
      <w:r>
        <w:rPr>
          <w:rStyle w:val="CharSchNo"/>
        </w:rPr>
        <w:t>Schedule 1</w:t>
      </w:r>
      <w:r>
        <w:rPr>
          <w:rStyle w:val="CharSDivNo"/>
        </w:rPr>
        <w:t> </w:t>
      </w:r>
      <w:r>
        <w:t>—</w:t>
      </w:r>
      <w:r>
        <w:rPr>
          <w:rStyle w:val="CharSDivText"/>
        </w:rPr>
        <w:t> </w:t>
      </w:r>
      <w:r>
        <w:rPr>
          <w:rStyle w:val="CharSchText"/>
        </w:rPr>
        <w:t>Form of notice</w:t>
      </w:r>
      <w:bookmarkEnd w:id="28"/>
      <w:bookmarkEnd w:id="29"/>
      <w:bookmarkEnd w:id="30"/>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408482253"/>
      <w:bookmarkStart w:id="33" w:name="_Toc416883677"/>
      <w:bookmarkStart w:id="34" w:name="_Toc416883693"/>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2009</w:t>
      </w:r>
      <w:r>
        <w:rPr>
          <w:snapToGrid w:val="0"/>
        </w:rPr>
        <w:t>.  The following table contains information about those regulations</w:t>
      </w:r>
      <w:r>
        <w:rPr>
          <w:snapToGrid w:val="0"/>
          <w:vertAlign w:val="superscript"/>
        </w:rPr>
        <w:t> 1a</w:t>
      </w:r>
      <w:r>
        <w:rPr>
          <w:snapToGrid w:val="0"/>
        </w:rPr>
        <w:t>.</w:t>
      </w:r>
    </w:p>
    <w:p>
      <w:pPr>
        <w:pStyle w:val="nHeading3"/>
      </w:pPr>
      <w:bookmarkStart w:id="35" w:name="_Toc408482254"/>
      <w:bookmarkStart w:id="36" w:name="_Toc416883694"/>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Motor Vehicle (Third Party Insurance) Regulations 2009</w:t>
            </w:r>
          </w:p>
        </w:tc>
        <w:tc>
          <w:tcPr>
            <w:tcW w:w="1276" w:type="dxa"/>
          </w:tcPr>
          <w:p>
            <w:pPr>
              <w:pStyle w:val="nTable"/>
              <w:spacing w:after="40"/>
            </w:pPr>
            <w:r>
              <w:t>26 Jun 2009 p. 2570</w:t>
            </w:r>
            <w:r>
              <w:noBreakHyphen/>
              <w:t>3</w:t>
            </w:r>
          </w:p>
        </w:tc>
        <w:tc>
          <w:tcPr>
            <w:tcW w:w="2693" w:type="dxa"/>
          </w:tcPr>
          <w:p>
            <w:pPr>
              <w:pStyle w:val="nTable"/>
              <w:spacing w:after="40"/>
            </w:pPr>
            <w:r>
              <w:rPr>
                <w:snapToGrid w:val="0"/>
                <w:spacing w:val="-2"/>
              </w:rPr>
              <w:t>r. 1 and 2: 26 Jun 2009 (see r. 2(a));</w:t>
            </w:r>
            <w:r>
              <w:rPr>
                <w:snapToGrid w:val="0"/>
                <w:spacing w:val="-2"/>
              </w:rPr>
              <w:br/>
              <w:t>Regulations other than r. 1 and 2: 27 Jun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 w:name="_Toc408482255"/>
      <w:bookmarkStart w:id="38" w:name="_Toc416883695"/>
      <w:r>
        <w:t>Provisions that have not come into operation</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Motor Vehicle (Third Party Insurance) Amendment Regulations 2014</w:t>
            </w:r>
            <w:r>
              <w:t xml:space="preserve"> r. 3</w:t>
            </w:r>
            <w:r>
              <w:noBreakHyphen/>
              <w:t>8</w:t>
            </w:r>
            <w:r>
              <w:rPr>
                <w:vertAlign w:val="superscript"/>
              </w:rPr>
              <w:t> 2</w:t>
            </w:r>
          </w:p>
        </w:tc>
        <w:tc>
          <w:tcPr>
            <w:tcW w:w="1276" w:type="dxa"/>
            <w:tcBorders>
              <w:top w:val="single" w:sz="4" w:space="0" w:color="auto"/>
              <w:bottom w:val="single" w:sz="4" w:space="0" w:color="auto"/>
            </w:tcBorders>
          </w:tcPr>
          <w:p>
            <w:pPr>
              <w:pStyle w:val="nTable"/>
              <w:spacing w:after="40"/>
            </w:pPr>
            <w:r>
              <w:t>8 Jan 2015 p. 111</w:t>
            </w:r>
            <w:r>
              <w:noBreakHyphen/>
              <w:t>12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Motor Vehicle (Third Party Insurance) Amendment Regulations 2014</w:t>
      </w:r>
      <w:r>
        <w:t xml:space="preserve"> r. 3-8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(Third Party Insurance) Regulations 2009</w:t>
      </w:r>
      <w:r>
        <w:t>.</w:t>
      </w:r>
    </w:p>
    <w:p>
      <w:pPr>
        <w:pStyle w:val="nzHeading5"/>
      </w:pPr>
      <w:r>
        <w:rPr>
          <w:rStyle w:val="CharSectno"/>
        </w:rPr>
        <w:t>4</w:t>
      </w:r>
      <w:r>
        <w:t>.</w:t>
      </w:r>
      <w:r>
        <w:tab/>
        <w:t>Regulation 4 amended</w:t>
      </w:r>
    </w:p>
    <w:p>
      <w:pPr>
        <w:pStyle w:val="nzSubsection"/>
      </w:pPr>
      <w:r>
        <w:tab/>
      </w:r>
      <w:r>
        <w:tab/>
        <w:t>In regulation 4:</w:t>
      </w:r>
    </w:p>
    <w:p>
      <w:pPr>
        <w:pStyle w:val="nzIndenta"/>
      </w:pPr>
      <w:r>
        <w:tab/>
        <w:t>(a)</w:t>
      </w:r>
      <w:r>
        <w:tab/>
        <w:t>in paragraph (c) delete “</w:t>
      </w:r>
      <w:r>
        <w:rPr>
          <w:i/>
          <w:iCs/>
        </w:rPr>
        <w:t xml:space="preserve">Road Traffic Act 1974 </w:t>
      </w:r>
      <w:r>
        <w:t>section 17;” and insert:</w:t>
      </w:r>
    </w:p>
    <w:p>
      <w:pPr>
        <w:pStyle w:val="BlankOpen"/>
      </w:pPr>
    </w:p>
    <w:p>
      <w:pPr>
        <w:pStyle w:val="nzIndenta"/>
      </w:pPr>
      <w:r>
        <w:rPr>
          <w:i/>
          <w:iCs/>
        </w:rPr>
        <w:tab/>
      </w:r>
      <w:r>
        <w:rPr>
          <w:i/>
          <w:iCs/>
        </w:rPr>
        <w:tab/>
        <w:t xml:space="preserve">Road Traffic (Vehicles) Act 2012 </w:t>
      </w:r>
      <w:r>
        <w:t>section 5(3);</w:t>
      </w:r>
    </w:p>
    <w:p>
      <w:pPr>
        <w:pStyle w:val="BlankClose"/>
      </w:pPr>
    </w:p>
    <w:p>
      <w:pPr>
        <w:pStyle w:val="nzIndenta"/>
        <w:keepNext/>
      </w:pPr>
      <w:r>
        <w:tab/>
        <w:t>(b)</w:t>
      </w:r>
      <w:r>
        <w:tab/>
        <w:t>in paragraph (e) delete “</w:t>
      </w:r>
      <w:r>
        <w:rPr>
          <w:i/>
          <w:iCs/>
        </w:rPr>
        <w:t>Road Traffic Act 1974</w:t>
      </w:r>
      <w:r>
        <w:t>;” and insert:</w:t>
      </w:r>
    </w:p>
    <w:p>
      <w:pPr>
        <w:pStyle w:val="BlankOpen"/>
      </w:pPr>
    </w:p>
    <w:p>
      <w:pPr>
        <w:pStyle w:val="nzIndenta"/>
      </w:pPr>
      <w:r>
        <w:rPr>
          <w:i/>
          <w:iCs/>
        </w:rPr>
        <w:tab/>
      </w:r>
      <w:r>
        <w:rPr>
          <w:i/>
          <w:iCs/>
        </w:rPr>
        <w:tab/>
        <w:t>Road Traffic (Vehicles) Act 2012</w:t>
      </w:r>
      <w:r>
        <w:t>;</w:t>
      </w:r>
    </w:p>
    <w:p>
      <w:pPr>
        <w:pStyle w:val="BlankClose"/>
      </w:pPr>
    </w:p>
    <w:p>
      <w:pPr>
        <w:pStyle w:val="nzHeading5"/>
      </w:pPr>
      <w:r>
        <w:rPr>
          <w:rStyle w:val="CharSectno"/>
        </w:rPr>
        <w:t>5</w:t>
      </w:r>
      <w:r>
        <w:t>.</w:t>
      </w:r>
      <w:r>
        <w:tab/>
        <w:t>Regulation 8 amended</w:t>
      </w:r>
    </w:p>
    <w:p>
      <w:pPr>
        <w:pStyle w:val="nzSubsection"/>
      </w:pPr>
      <w:r>
        <w:tab/>
      </w:r>
      <w:r>
        <w:tab/>
        <w:t>In regulation 8 delete “</w:t>
      </w:r>
      <w:r>
        <w:rPr>
          <w:i/>
        </w:rPr>
        <w:t>Road Traffic Act 1974</w:t>
      </w:r>
      <w:r>
        <w:t xml:space="preserve"> section 26(1)” and insert:</w:t>
      </w:r>
    </w:p>
    <w:p>
      <w:pPr>
        <w:pStyle w:val="BlankOpen"/>
      </w:pPr>
    </w:p>
    <w:p>
      <w:pPr>
        <w:pStyle w:val="nzSubsection"/>
      </w:pPr>
      <w:r>
        <w:tab/>
      </w:r>
      <w:r>
        <w:tab/>
      </w:r>
      <w:r>
        <w:rPr>
          <w:i/>
        </w:rPr>
        <w:t>Road Traffic (Vehicles) Act 2012</w:t>
      </w:r>
      <w:r>
        <w:t xml:space="preserve"> section 13(1)</w:t>
      </w:r>
    </w:p>
    <w:p>
      <w:pPr>
        <w:pStyle w:val="BlankClose"/>
      </w:pPr>
    </w:p>
    <w:p>
      <w:pPr>
        <w:pStyle w:val="nzHeading5"/>
      </w:pPr>
      <w:r>
        <w:rPr>
          <w:rStyle w:val="CharSectno"/>
        </w:rPr>
        <w:t>6</w:t>
      </w:r>
      <w:r>
        <w:t>.</w:t>
      </w:r>
      <w:r>
        <w:tab/>
        <w:t>Regulation 9 amended</w:t>
      </w:r>
    </w:p>
    <w:p>
      <w:pPr>
        <w:pStyle w:val="nzSubsection"/>
      </w:pPr>
      <w:r>
        <w:tab/>
      </w:r>
      <w:r>
        <w:tab/>
        <w:t>In regulation 9 delete “</w:t>
      </w:r>
      <w:r>
        <w:rPr>
          <w:i/>
        </w:rPr>
        <w:t>Road Traffic Act 1974</w:t>
      </w:r>
      <w:r>
        <w:t xml:space="preserve"> section 26(2)” and insert:</w:t>
      </w:r>
    </w:p>
    <w:p>
      <w:pPr>
        <w:pStyle w:val="BlankOpen"/>
      </w:pPr>
    </w:p>
    <w:p>
      <w:pPr>
        <w:pStyle w:val="nzSubsection"/>
      </w:pPr>
      <w:r>
        <w:tab/>
      </w:r>
      <w:r>
        <w:tab/>
        <w:t xml:space="preserve">the </w:t>
      </w:r>
      <w:r>
        <w:rPr>
          <w:i/>
        </w:rPr>
        <w:t>Road Traffic (Vehicles) Act 2012</w:t>
      </w:r>
      <w:r>
        <w:t xml:space="preserve"> section 13(2)</w:t>
      </w:r>
    </w:p>
    <w:p>
      <w:pPr>
        <w:pStyle w:val="BlankClose"/>
      </w:pPr>
    </w:p>
    <w:p>
      <w:pPr>
        <w:pStyle w:val="nzHeading5"/>
      </w:pPr>
      <w:r>
        <w:rPr>
          <w:rStyle w:val="CharSectno"/>
        </w:rPr>
        <w:t>7</w:t>
      </w:r>
      <w:r>
        <w:t>.</w:t>
      </w:r>
      <w:r>
        <w:tab/>
        <w:t>Regulation 10 amended</w:t>
      </w:r>
    </w:p>
    <w:p>
      <w:pPr>
        <w:pStyle w:val="nzSubsection"/>
      </w:pPr>
      <w:r>
        <w:tab/>
      </w:r>
      <w:r>
        <w:tab/>
        <w:t>In regulation 10 delete “</w:t>
      </w:r>
      <w:r>
        <w:rPr>
          <w:i/>
        </w:rPr>
        <w:t>Road Traffic Act 1974</w:t>
      </w:r>
      <w:r>
        <w:t>” and insert:</w:t>
      </w:r>
    </w:p>
    <w:p>
      <w:pPr>
        <w:pStyle w:val="BlankOpen"/>
      </w:pPr>
    </w:p>
    <w:p>
      <w:pPr>
        <w:pStyle w:val="nzSubsection"/>
      </w:pPr>
      <w:r>
        <w:tab/>
      </w:r>
      <w:r>
        <w:tab/>
      </w:r>
      <w:r>
        <w:rPr>
          <w:i/>
        </w:rPr>
        <w:t>Road Traffic (Vehicles) Act 2012</w:t>
      </w:r>
      <w:r>
        <w:t xml:space="preserve"> Part 2</w:t>
      </w:r>
    </w:p>
    <w:p>
      <w:pPr>
        <w:pStyle w:val="nzHeading5"/>
      </w:pPr>
      <w:r>
        <w:rPr>
          <w:rStyle w:val="CharSectno"/>
        </w:rPr>
        <w:t>8</w:t>
      </w:r>
      <w:r>
        <w:t>.</w:t>
      </w:r>
      <w:r>
        <w:tab/>
        <w:t>Regulation 11 amended</w:t>
      </w:r>
    </w:p>
    <w:p>
      <w:pPr>
        <w:pStyle w:val="nzSubsection"/>
      </w:pPr>
      <w:r>
        <w:tab/>
      </w:r>
      <w:r>
        <w:tab/>
        <w:t xml:space="preserve">In regulation 11 delete “issued under the </w:t>
      </w:r>
      <w:r>
        <w:rPr>
          <w:i/>
        </w:rPr>
        <w:t>Road Traffic Act 1974</w:t>
      </w:r>
      <w:r>
        <w:t>” and insert:</w:t>
      </w:r>
    </w:p>
    <w:p>
      <w:pPr>
        <w:pStyle w:val="BlankOpen"/>
      </w:pPr>
    </w:p>
    <w:p>
      <w:pPr>
        <w:pStyle w:val="nzSubsection"/>
      </w:pPr>
      <w:r>
        <w:rPr>
          <w:iCs/>
        </w:rPr>
        <w:tab/>
      </w:r>
      <w:r>
        <w:rPr>
          <w:iCs/>
        </w:rPr>
        <w:tab/>
        <w:t xml:space="preserve">granted under the </w:t>
      </w:r>
      <w:r>
        <w:rPr>
          <w:i/>
          <w:iCs/>
        </w:rPr>
        <w:t xml:space="preserve">Road Traffic (Vehicles) Act 2012 </w:t>
      </w:r>
      <w:r>
        <w:rPr>
          <w:iCs/>
        </w:rPr>
        <w:t>Part 2</w:t>
      </w:r>
    </w:p>
    <w:p>
      <w:pPr>
        <w:pStyle w:val="BlankClose"/>
        <w:keepNext/>
      </w:pPr>
    </w:p>
    <w:p>
      <w:pPr>
        <w:pStyle w:val="BlankClose"/>
        <w:keepNext/>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0" w:name="_Toc416883696"/>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director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7CB4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6FCB39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01"/>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1662</Words>
  <Characters>8364</Characters>
  <Application>Microsoft Office Word</Application>
  <DocSecurity>0</DocSecurity>
  <Lines>334</Lines>
  <Paragraphs>222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2009 - 00-b0-02</dc:title>
  <dc:subject/>
  <dc:creator/>
  <cp:keywords/>
  <dc:description/>
  <cp:lastModifiedBy>svcMRProcess</cp:lastModifiedBy>
  <cp:revision>4</cp:revision>
  <cp:lastPrinted>2009-05-29T04:03:00Z</cp:lastPrinted>
  <dcterms:created xsi:type="dcterms:W3CDTF">2020-02-25T08:03:00Z</dcterms:created>
  <dcterms:modified xsi:type="dcterms:W3CDTF">2020-02-25T08:03:00Z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CommencementDate">
    <vt:lpwstr>20150108</vt:lpwstr>
  </property>
  <property fmtid="{D5CDD505-2E9C-101B-9397-08002B2CF9AE}" pid="4" name="OwlsUID">
    <vt:i4>40919</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00-b0-02</vt:lpwstr>
  </property>
</Properties>
</file>