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Censorship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Censorship Regulations 1996</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_Toc74043238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_Toc74043239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Prescribed offences and modified penalties</w:t>
      </w:r>
      <w:r>
        <w:rPr>
          <w:noProof/>
        </w:rPr>
        <w:tab/>
      </w:r>
      <w:r>
        <w:rPr>
          <w:noProof/>
        </w:rPr>
        <w:fldChar w:fldCharType="begin"/>
      </w:r>
      <w:r>
        <w:rPr>
          <w:noProof/>
        </w:rPr>
        <w:instrText xml:space="preserve"> PAGEREF _Toc74043240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Form of an infringement notice</w:t>
      </w:r>
      <w:r>
        <w:rPr>
          <w:noProof/>
        </w:rPr>
        <w:tab/>
      </w:r>
      <w:r>
        <w:rPr>
          <w:noProof/>
        </w:rPr>
        <w:fldChar w:fldCharType="begin"/>
      </w:r>
      <w:r>
        <w:rPr>
          <w:noProof/>
        </w:rPr>
        <w:instrText xml:space="preserve"> PAGEREF _Toc74043241 \h </w:instrText>
      </w:r>
      <w:r>
        <w:rPr>
          <w:noProof/>
        </w:rPr>
      </w:r>
      <w:r>
        <w:rPr>
          <w:noProof/>
        </w:rPr>
        <w:fldChar w:fldCharType="separate"/>
      </w:r>
      <w:r>
        <w:rPr>
          <w:noProof/>
        </w:rPr>
        <w:t>2</w:t>
      </w:r>
      <w:r>
        <w:rPr>
          <w:noProof/>
        </w:rPr>
        <w:fldChar w:fldCharType="end"/>
      </w:r>
    </w:p>
    <w:p>
      <w:pPr>
        <w:pStyle w:val="TOC4"/>
        <w:rPr>
          <w:noProof/>
        </w:rPr>
      </w:pPr>
      <w:r>
        <w:rPr>
          <w:noProof/>
        </w:rPr>
        <w:t>5.</w:t>
      </w:r>
      <w:r>
        <w:rPr>
          <w:noProof/>
        </w:rPr>
        <w:tab/>
        <w:t>Form of notice of withdrawal of an infringement notice</w:t>
      </w:r>
      <w:r>
        <w:rPr>
          <w:noProof/>
        </w:rPr>
        <w:tab/>
      </w:r>
      <w:r>
        <w:rPr>
          <w:noProof/>
        </w:rPr>
        <w:fldChar w:fldCharType="begin"/>
      </w:r>
      <w:r>
        <w:rPr>
          <w:noProof/>
        </w:rPr>
        <w:instrText xml:space="preserve"> PAGEREF _Toc74043242 \h </w:instrText>
      </w:r>
      <w:r>
        <w:rPr>
          <w:noProof/>
        </w:rPr>
      </w:r>
      <w:r>
        <w:rPr>
          <w:noProof/>
        </w:rPr>
        <w:fldChar w:fldCharType="separate"/>
      </w:r>
      <w:r>
        <w:rPr>
          <w:noProof/>
        </w:rPr>
        <w:t>2</w:t>
      </w:r>
      <w:r>
        <w:rPr>
          <w:noProof/>
        </w:rPr>
        <w:fldChar w:fldCharType="end"/>
      </w:r>
    </w:p>
    <w:p>
      <w:pPr>
        <w:pStyle w:val="TOC4"/>
        <w:rPr>
          <w:noProof/>
        </w:rPr>
      </w:pPr>
      <w:r>
        <w:rPr>
          <w:noProof/>
        </w:rPr>
        <w:t>9</w:t>
      </w:r>
      <w:r>
        <w:rPr>
          <w:noProof/>
          <w:snapToGrid w:val="0"/>
        </w:rPr>
        <w:t>.</w:t>
      </w:r>
      <w:r>
        <w:rPr>
          <w:noProof/>
        </w:rPr>
        <w:tab/>
      </w:r>
      <w:r>
        <w:rPr>
          <w:noProof/>
          <w:snapToGrid w:val="0"/>
        </w:rPr>
        <w:t>Fee for registration, or renewal of registration, of premises</w:t>
      </w:r>
      <w:r>
        <w:rPr>
          <w:noProof/>
        </w:rPr>
        <w:tab/>
      </w:r>
      <w:r>
        <w:rPr>
          <w:noProof/>
        </w:rPr>
        <w:fldChar w:fldCharType="begin"/>
      </w:r>
      <w:r>
        <w:rPr>
          <w:noProof/>
        </w:rPr>
        <w:instrText xml:space="preserve"> PAGEREF _Toc74043243 \h </w:instrText>
      </w:r>
      <w:r>
        <w:rPr>
          <w:noProof/>
        </w:rPr>
      </w:r>
      <w:r>
        <w:rPr>
          <w:noProof/>
        </w:rPr>
        <w:fldChar w:fldCharType="separate"/>
      </w:r>
      <w:r>
        <w:rPr>
          <w:noProof/>
        </w:rPr>
        <w:t>2</w:t>
      </w:r>
      <w:r>
        <w:rPr>
          <w:noProof/>
        </w:rPr>
        <w:fldChar w:fldCharType="end"/>
      </w:r>
    </w:p>
    <w:p>
      <w:pPr>
        <w:pStyle w:val="TOC4"/>
        <w:rPr>
          <w:noProof/>
        </w:rPr>
      </w:pPr>
      <w:r>
        <w:rPr>
          <w:noProof/>
        </w:rPr>
        <w:t>10</w:t>
      </w:r>
      <w:r>
        <w:rPr>
          <w:noProof/>
          <w:snapToGrid w:val="0"/>
        </w:rPr>
        <w:t>.</w:t>
      </w:r>
      <w:r>
        <w:rPr>
          <w:noProof/>
        </w:rPr>
        <w:tab/>
      </w:r>
      <w:r>
        <w:rPr>
          <w:noProof/>
          <w:snapToGrid w:val="0"/>
        </w:rPr>
        <w:t>Fee for inspecting or copying register</w:t>
      </w:r>
      <w:r>
        <w:rPr>
          <w:noProof/>
        </w:rPr>
        <w:tab/>
      </w:r>
      <w:r>
        <w:rPr>
          <w:noProof/>
        </w:rPr>
        <w:fldChar w:fldCharType="begin"/>
      </w:r>
      <w:r>
        <w:rPr>
          <w:noProof/>
        </w:rPr>
        <w:instrText xml:space="preserve"> PAGEREF _Toc74043244 \h </w:instrText>
      </w:r>
      <w:r>
        <w:rPr>
          <w:noProof/>
        </w:rPr>
      </w:r>
      <w:r>
        <w:rPr>
          <w:noProof/>
        </w:rPr>
        <w:fldChar w:fldCharType="separate"/>
      </w:r>
      <w:r>
        <w:rPr>
          <w:noProof/>
        </w:rPr>
        <w:t>2</w:t>
      </w:r>
      <w:r>
        <w:rPr>
          <w:noProof/>
        </w:rPr>
        <w:fldChar w:fldCharType="end"/>
      </w:r>
    </w:p>
    <w:p>
      <w:pPr>
        <w:pStyle w:val="TOC5"/>
        <w:rPr>
          <w:noProof/>
        </w:rPr>
      </w:pPr>
      <w:r>
        <w:rPr>
          <w:noProof/>
        </w:rPr>
        <w:t>Schedule 1 — Prescribed offences and modified penalties</w:t>
      </w:r>
      <w:r>
        <w:rPr>
          <w:noProof/>
        </w:rPr>
        <w:tab/>
      </w:r>
      <w:r>
        <w:rPr>
          <w:b w:val="0"/>
          <w:noProof/>
          <w:sz w:val="22"/>
        </w:rPr>
        <w:fldChar w:fldCharType="begin"/>
      </w:r>
      <w:r>
        <w:rPr>
          <w:b w:val="0"/>
          <w:noProof/>
          <w:sz w:val="22"/>
        </w:rPr>
        <w:instrText xml:space="preserve"> PAGEREF _Toc74043245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Schedule 2 — Forms</w:t>
      </w:r>
      <w:r>
        <w:rPr>
          <w:noProof/>
        </w:rPr>
        <w:tab/>
      </w:r>
      <w:r>
        <w:rPr>
          <w:b w:val="0"/>
          <w:noProof/>
          <w:sz w:val="22"/>
        </w:rPr>
        <w:fldChar w:fldCharType="begin"/>
      </w:r>
      <w:r>
        <w:rPr>
          <w:b w:val="0"/>
          <w:noProof/>
          <w:sz w:val="22"/>
        </w:rPr>
        <w:instrText xml:space="preserve"> PAGEREF _Toc74043246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_Toc74043247 \h </w:instrText>
      </w:r>
      <w:r>
        <w:rPr>
          <w:noProof/>
        </w:rPr>
      </w:r>
      <w:r>
        <w:rPr>
          <w:noProof/>
        </w:rPr>
        <w:fldChar w:fldCharType="separate"/>
      </w:r>
      <w:r>
        <w:rPr>
          <w:noProof/>
        </w:rPr>
        <w:t>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Censorship Act 1996</w:t>
      </w:r>
    </w:p>
    <w:p>
      <w:pPr>
        <w:pStyle w:val="NameofActReg"/>
      </w:pPr>
      <w:r>
        <w:t>Censorship Regulations 1996</w:t>
      </w:r>
    </w:p>
    <w:p>
      <w:pPr>
        <w:pStyle w:val="Heading5"/>
        <w:rPr>
          <w:snapToGrid w:val="0"/>
        </w:rPr>
      </w:pPr>
      <w:bookmarkStart w:id="1" w:name="_Toc44469774"/>
      <w:bookmarkStart w:id="2" w:name="_Toc44470170"/>
      <w:bookmarkStart w:id="3" w:name="_Toc74043238"/>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Censorship Regulations 1996</w:t>
      </w:r>
      <w:r>
        <w:rPr>
          <w:snapToGrid w:val="0"/>
          <w:vertAlign w:val="superscript"/>
        </w:rPr>
        <w:t> 1</w:t>
      </w:r>
      <w:r>
        <w:rPr>
          <w:snapToGrid w:val="0"/>
        </w:rPr>
        <w:t>.</w:t>
      </w:r>
    </w:p>
    <w:p>
      <w:pPr>
        <w:pStyle w:val="Heading5"/>
        <w:rPr>
          <w:snapToGrid w:val="0"/>
        </w:rPr>
      </w:pPr>
      <w:bookmarkStart w:id="4" w:name="_Toc44469775"/>
      <w:bookmarkStart w:id="5" w:name="_Toc44470171"/>
      <w:bookmarkStart w:id="6" w:name="_Toc7404323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r>
        <w:rPr>
          <w:snapToGrid w:val="0"/>
        </w:rPr>
        <w:t xml:space="preserve"> comes into operation</w:t>
      </w:r>
      <w:r>
        <w:rPr>
          <w:snapToGrid w:val="0"/>
          <w:vertAlign w:val="superscript"/>
        </w:rPr>
        <w:t> 1</w:t>
      </w:r>
      <w:r>
        <w:rPr>
          <w:snapToGrid w:val="0"/>
        </w:rPr>
        <w:t>.</w:t>
      </w:r>
    </w:p>
    <w:p>
      <w:pPr>
        <w:pStyle w:val="Heading5"/>
      </w:pPr>
      <w:bookmarkStart w:id="7" w:name="_Toc74043240"/>
      <w:r>
        <w:rPr>
          <w:rStyle w:val="CharSectno"/>
        </w:rPr>
        <w:t>3</w:t>
      </w:r>
      <w:r>
        <w:t>.</w:t>
      </w:r>
      <w:r>
        <w:tab/>
        <w:t>Prescribed offences and modified penalties</w:t>
      </w:r>
      <w:bookmarkEnd w:id="7"/>
    </w:p>
    <w:p>
      <w:pPr>
        <w:pStyle w:val="Subsection"/>
      </w:pPr>
      <w:r>
        <w:tab/>
        <w:t>(1)</w:t>
      </w:r>
      <w:r>
        <w:tab/>
        <w:t>The offences set out in Schedule 1 column 1 are prescribed for the purposes of section 117D of the Act.</w:t>
      </w:r>
    </w:p>
    <w:p>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pPr>
        <w:pStyle w:val="Subsection"/>
      </w:pPr>
      <w:r>
        <w:tab/>
        <w:t>(3)</w:t>
      </w:r>
      <w:r>
        <w:tab/>
        <w:t>For the purposes of section 117E(2) of the Act, the modified penalty set out in Schedule 1 column 3 opposite an offence referred to in Schedule 1 column 1 is the prescribed modified penalty for a body corporate for that offence.</w:t>
      </w:r>
    </w:p>
    <w:p>
      <w:pPr>
        <w:pStyle w:val="Footnotesection"/>
      </w:pPr>
      <w:r>
        <w:tab/>
        <w:t>[Regulation 3 inserted in Gazette 4 Jun 2004 p. 1929</w:t>
      </w:r>
      <w:r>
        <w:noBreakHyphen/>
        <w:t>30.]</w:t>
      </w:r>
    </w:p>
    <w:p>
      <w:pPr>
        <w:pStyle w:val="Heading5"/>
      </w:pPr>
      <w:bookmarkStart w:id="8" w:name="_Toc74043241"/>
      <w:r>
        <w:rPr>
          <w:rStyle w:val="CharSectno"/>
        </w:rPr>
        <w:t>4</w:t>
      </w:r>
      <w:r>
        <w:t>.</w:t>
      </w:r>
      <w:r>
        <w:tab/>
        <w:t>Form of an infringement notice</w:t>
      </w:r>
      <w:bookmarkEnd w:id="8"/>
    </w:p>
    <w:p>
      <w:pPr>
        <w:pStyle w:val="Subsection"/>
      </w:pPr>
      <w:r>
        <w:tab/>
      </w:r>
      <w:r>
        <w:tab/>
        <w:t>Schedule 2 Form 1 is prescribed for the purposes of section 117E(1) of the Act.</w:t>
      </w:r>
    </w:p>
    <w:p>
      <w:pPr>
        <w:pStyle w:val="Footnotesection"/>
      </w:pPr>
      <w:r>
        <w:tab/>
        <w:t>[Regulation 4 inserted in Gazette 4 Jun 2004 p. 1930.]</w:t>
      </w:r>
    </w:p>
    <w:p>
      <w:pPr>
        <w:pStyle w:val="Heading5"/>
      </w:pPr>
      <w:bookmarkStart w:id="9" w:name="_Toc74043242"/>
      <w:r>
        <w:rPr>
          <w:rStyle w:val="CharSectno"/>
        </w:rPr>
        <w:t>5</w:t>
      </w:r>
      <w:r>
        <w:t>.</w:t>
      </w:r>
      <w:r>
        <w:tab/>
        <w:t>Form of notice of withdrawal of an infringement notice</w:t>
      </w:r>
      <w:bookmarkEnd w:id="9"/>
    </w:p>
    <w:p>
      <w:pPr>
        <w:pStyle w:val="Subsection"/>
      </w:pPr>
      <w:r>
        <w:tab/>
      </w:r>
      <w:r>
        <w:tab/>
        <w:t>Schedule 2 Form 2 is prescribed for the purposes of section 117G(1) of the Act.</w:t>
      </w:r>
    </w:p>
    <w:p>
      <w:pPr>
        <w:pStyle w:val="Footnotesection"/>
      </w:pPr>
      <w:r>
        <w:tab/>
        <w:t>[Regulation 5 inserted in Gazette 4 Jun 2004 p. 1930.]</w:t>
      </w:r>
    </w:p>
    <w:p>
      <w:pPr>
        <w:pStyle w:val="Ednotesection"/>
        <w:rPr>
          <w:b/>
        </w:rPr>
      </w:pPr>
      <w:r>
        <w:t>[</w:t>
      </w:r>
      <w:bookmarkStart w:id="10" w:name="_Toc44469776"/>
      <w:bookmarkStart w:id="11" w:name="_Toc44470172"/>
      <w:r>
        <w:rPr>
          <w:b/>
        </w:rPr>
        <w:t>6</w:t>
      </w:r>
      <w:r>
        <w:rPr>
          <w:b/>
        </w:rPr>
        <w:noBreakHyphen/>
        <w:t>8.</w:t>
      </w:r>
      <w:r>
        <w:rPr>
          <w:b/>
        </w:rPr>
        <w:tab/>
      </w:r>
      <w:r>
        <w:t>Deleted in Gazette 27 Jun 2003 p. 2384-5.]</w:t>
      </w:r>
    </w:p>
    <w:p>
      <w:pPr>
        <w:pStyle w:val="Heading5"/>
        <w:rPr>
          <w:snapToGrid w:val="0"/>
        </w:rPr>
      </w:pPr>
      <w:bookmarkStart w:id="12" w:name="_Toc74043243"/>
      <w:r>
        <w:rPr>
          <w:rStyle w:val="CharSectno"/>
        </w:rPr>
        <w:t>9</w:t>
      </w:r>
      <w:r>
        <w:rPr>
          <w:snapToGrid w:val="0"/>
        </w:rPr>
        <w:t>.</w:t>
      </w:r>
      <w:r>
        <w:rPr>
          <w:snapToGrid w:val="0"/>
        </w:rPr>
        <w:tab/>
        <w:t>Fee for registration, or renewal of registration, of premises</w:t>
      </w:r>
      <w:bookmarkEnd w:id="10"/>
      <w:bookmarkEnd w:id="11"/>
      <w:bookmarkEnd w:id="12"/>
      <w:r>
        <w:rPr>
          <w:snapToGrid w:val="0"/>
        </w:rPr>
        <w:t xml:space="preserve"> </w:t>
      </w:r>
    </w:p>
    <w:p>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pPr>
        <w:pStyle w:val="Heading5"/>
        <w:rPr>
          <w:snapToGrid w:val="0"/>
        </w:rPr>
      </w:pPr>
      <w:bookmarkStart w:id="13" w:name="_Toc44469777"/>
      <w:bookmarkStart w:id="14" w:name="_Toc44470173"/>
      <w:bookmarkStart w:id="15" w:name="_Toc74043244"/>
      <w:r>
        <w:rPr>
          <w:rStyle w:val="CharSectno"/>
        </w:rPr>
        <w:t>10</w:t>
      </w:r>
      <w:r>
        <w:rPr>
          <w:snapToGrid w:val="0"/>
        </w:rPr>
        <w:t>.</w:t>
      </w:r>
      <w:r>
        <w:rPr>
          <w:snapToGrid w:val="0"/>
        </w:rPr>
        <w:tab/>
        <w:t>Fee for inspecting or copying register</w:t>
      </w:r>
      <w:bookmarkEnd w:id="13"/>
      <w:bookmarkEnd w:id="14"/>
      <w:bookmarkEnd w:id="15"/>
      <w:r>
        <w:rPr>
          <w:snapToGrid w:val="0"/>
        </w:rPr>
        <w:t xml:space="preserve"> </w:t>
      </w:r>
    </w:p>
    <w:p>
      <w:pPr>
        <w:pStyle w:val="Subsection"/>
        <w:rPr>
          <w:snapToGrid w:val="0"/>
        </w:rPr>
      </w:pPr>
      <w:r>
        <w:rPr>
          <w:snapToGrid w:val="0"/>
        </w:rPr>
        <w:tab/>
      </w:r>
      <w:r>
        <w:rPr>
          <w:snapToGrid w:val="0"/>
        </w:rPr>
        <w:tab/>
        <w:t>For the purposes of section 135(5) of the Act — </w:t>
      </w:r>
    </w:p>
    <w:p>
      <w:pPr>
        <w:pStyle w:val="Indenta"/>
        <w:rPr>
          <w:snapToGrid w:val="0"/>
        </w:rPr>
      </w:pPr>
      <w:r>
        <w:rPr>
          <w:snapToGrid w:val="0"/>
        </w:rPr>
        <w:tab/>
        <w:t>(a)</w:t>
      </w:r>
      <w:r>
        <w:rPr>
          <w:snapToGrid w:val="0"/>
        </w:rPr>
        <w:tab/>
        <w:t>a fee of $5 is prescribed for inspecting the register; and</w:t>
      </w:r>
    </w:p>
    <w:p>
      <w:pPr>
        <w:pStyle w:val="Indenta"/>
        <w:rPr>
          <w:snapToGrid w:val="0"/>
        </w:rPr>
      </w:pPr>
      <w:r>
        <w:rPr>
          <w:snapToGrid w:val="0"/>
        </w:rPr>
        <w:tab/>
        <w:t>(b)</w:t>
      </w:r>
      <w:r>
        <w:rPr>
          <w:snapToGrid w:val="0"/>
        </w:rPr>
        <w:tab/>
        <w:t>a fee of $1 per page is prescribed for copies of the register.</w:t>
      </w:r>
    </w:p>
    <w:p>
      <w:pPr>
        <w:pStyle w:val="Ednotesection"/>
      </w:pPr>
      <w:r>
        <w:t>[</w:t>
      </w:r>
      <w:r>
        <w:rPr>
          <w:b/>
        </w:rPr>
        <w:t>11, 12.</w:t>
      </w:r>
      <w:r>
        <w:tab/>
        <w:t>Deleted in Gazette 27 Jun 2003 p. 2385.]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 w:name="_Toc74043245"/>
      <w:r>
        <w:rPr>
          <w:rStyle w:val="CharSchNo"/>
        </w:rPr>
        <w:t>Schedule 1</w:t>
      </w:r>
      <w:r>
        <w:t> — </w:t>
      </w:r>
      <w:r>
        <w:rPr>
          <w:rStyle w:val="CharSchText"/>
        </w:rPr>
        <w:t>Prescribed offences and modified penalties</w:t>
      </w:r>
      <w:bookmarkEnd w:id="16"/>
    </w:p>
    <w:p>
      <w:pPr>
        <w:pStyle w:val="yShoulderClause"/>
      </w:pPr>
      <w:r>
        <w:t>[r. 3]</w:t>
      </w:r>
    </w:p>
    <w:tbl>
      <w:tblPr>
        <w:tblW w:w="0" w:type="auto"/>
        <w:tblInd w:w="392" w:type="dxa"/>
        <w:tblLayout w:type="fixed"/>
        <w:tblLook w:val="0000" w:firstRow="0" w:lastRow="0" w:firstColumn="0" w:lastColumn="0" w:noHBand="0" w:noVBand="0"/>
      </w:tblPr>
      <w:tblGrid>
        <w:gridCol w:w="2045"/>
        <w:gridCol w:w="2437"/>
        <w:gridCol w:w="2180"/>
      </w:tblGrid>
      <w:tr>
        <w:trPr>
          <w:tblHeader/>
        </w:trPr>
        <w:tc>
          <w:tcPr>
            <w:tcW w:w="2045" w:type="dxa"/>
          </w:tcPr>
          <w:p>
            <w:pPr>
              <w:pStyle w:val="yTable"/>
              <w:rPr>
                <w:b/>
              </w:rPr>
            </w:pPr>
            <w:r>
              <w:rPr>
                <w:b/>
              </w:rPr>
              <w:t>Offence</w:t>
            </w:r>
          </w:p>
        </w:tc>
        <w:tc>
          <w:tcPr>
            <w:tcW w:w="2437" w:type="dxa"/>
          </w:tcPr>
          <w:p>
            <w:pPr>
              <w:pStyle w:val="yTable"/>
              <w:jc w:val="center"/>
              <w:rPr>
                <w:b/>
                <w:spacing w:val="-2"/>
              </w:rPr>
            </w:pPr>
            <w:r>
              <w:rPr>
                <w:b/>
                <w:spacing w:val="-2"/>
              </w:rPr>
              <w:t>Modified penalty (individual)</w:t>
            </w:r>
          </w:p>
        </w:tc>
        <w:tc>
          <w:tcPr>
            <w:tcW w:w="2180" w:type="dxa"/>
          </w:tcPr>
          <w:p>
            <w:pPr>
              <w:pStyle w:val="yTable"/>
              <w:jc w:val="center"/>
              <w:rPr>
                <w:b/>
                <w:spacing w:val="-2"/>
              </w:rPr>
            </w:pPr>
            <w:r>
              <w:rPr>
                <w:b/>
                <w:spacing w:val="-2"/>
              </w:rPr>
              <w:t>Modified penalty</w:t>
            </w:r>
            <w:r>
              <w:rPr>
                <w:b/>
                <w:spacing w:val="-2"/>
              </w:rPr>
              <w:br/>
              <w:t>(body corporate)</w:t>
            </w:r>
          </w:p>
        </w:tc>
      </w:tr>
      <w:tr>
        <w:tc>
          <w:tcPr>
            <w:tcW w:w="2045" w:type="dxa"/>
          </w:tcPr>
          <w:p>
            <w:pPr>
              <w:pStyle w:val="yTable"/>
            </w:pPr>
            <w:r>
              <w:t>s. 64(1)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64(4)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65(1)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65(5)</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65(6)</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65A</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65C(1)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65C(2)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65D(5)</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67(1)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70(1)(b)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71(2)</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72(1)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75(1)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76(1)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76(2)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76(3)</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77(1)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79(1)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79(3)</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79(4)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83(1)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84(2)</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85(1)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85(2)(b)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85(3)(b)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86(1)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86(3)</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86(4)</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87(1)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88(1)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90(1)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91(1)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92</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93(1)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95</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96(1)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97(2)</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97A(2)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98</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113</w:t>
            </w:r>
          </w:p>
        </w:tc>
        <w:tc>
          <w:tcPr>
            <w:tcW w:w="2437" w:type="dxa"/>
          </w:tcPr>
          <w:p>
            <w:pPr>
              <w:pStyle w:val="yTable"/>
              <w:tabs>
                <w:tab w:val="right" w:pos="1363"/>
              </w:tabs>
            </w:pPr>
            <w:r>
              <w:tab/>
              <w:t>$100</w:t>
            </w:r>
          </w:p>
        </w:tc>
        <w:tc>
          <w:tcPr>
            <w:tcW w:w="2180" w:type="dxa"/>
          </w:tcPr>
          <w:p>
            <w:pPr>
              <w:pStyle w:val="yTable"/>
              <w:tabs>
                <w:tab w:val="right" w:pos="1363"/>
              </w:tabs>
            </w:pPr>
            <w:r>
              <w:tab/>
              <w:t>N/A</w:t>
            </w:r>
          </w:p>
        </w:tc>
      </w:tr>
    </w:tbl>
    <w:p>
      <w:pPr>
        <w:pStyle w:val="yFootnotesection"/>
      </w:pPr>
      <w:r>
        <w:t>[Schedule 1 inserted in Gazette 4 Jun 2004 p. 1930</w:t>
      </w:r>
      <w:r>
        <w:noBreakHyphen/>
        <w:t>1.]</w:t>
      </w:r>
    </w:p>
    <w:p>
      <w:pPr>
        <w:pStyle w:val="yScheduleHeading"/>
      </w:pPr>
      <w:bookmarkStart w:id="17" w:name="_Toc74043246"/>
      <w:r>
        <w:rPr>
          <w:rStyle w:val="CharSchNo"/>
        </w:rPr>
        <w:t>Schedule 2</w:t>
      </w:r>
      <w:r>
        <w:t> — </w:t>
      </w:r>
      <w:r>
        <w:rPr>
          <w:rStyle w:val="CharSchText"/>
        </w:rPr>
        <w:t>Forms</w:t>
      </w:r>
      <w:bookmarkEnd w:id="17"/>
    </w:p>
    <w:p>
      <w:pPr>
        <w:pStyle w:val="yShoulderClause"/>
      </w:pPr>
      <w:r>
        <w:t>[r. 4 and 5]</w:t>
      </w:r>
    </w:p>
    <w:p>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559"/>
      </w:tblGrid>
      <w:tr>
        <w:trPr>
          <w:cantSplit/>
          <w:trHeight w:val="282"/>
        </w:trPr>
        <w:tc>
          <w:tcPr>
            <w:tcW w:w="5103" w:type="dxa"/>
            <w:gridSpan w:val="4"/>
          </w:tcPr>
          <w:p>
            <w:pPr>
              <w:pStyle w:val="yTable"/>
              <w:rPr>
                <w:sz w:val="18"/>
              </w:rPr>
            </w:pPr>
            <w:r>
              <w:rPr>
                <w:i/>
                <w:sz w:val="18"/>
              </w:rPr>
              <w:t>Censorship Act 1996 s. 117E(1)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Alleged offender</w:t>
            </w:r>
          </w:p>
        </w:tc>
        <w:tc>
          <w:tcPr>
            <w:tcW w:w="5670"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rPr>
          <w:cantSplit/>
        </w:trPr>
        <w:tc>
          <w:tcPr>
            <w:tcW w:w="1134" w:type="dxa"/>
            <w:vMerge w:val="restart"/>
          </w:tcPr>
          <w:p>
            <w:pPr>
              <w:pStyle w:val="yTable"/>
              <w:rPr>
                <w:b/>
                <w:sz w:val="18"/>
              </w:rPr>
            </w:pPr>
            <w:r>
              <w:rPr>
                <w:b/>
                <w:sz w:val="18"/>
              </w:rPr>
              <w:t>Alleged offence</w:t>
            </w:r>
          </w:p>
        </w:tc>
        <w:tc>
          <w:tcPr>
            <w:tcW w:w="5670"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134" w:type="dxa"/>
            <w:vMerge/>
          </w:tcPr>
          <w:p>
            <w:pPr>
              <w:pStyle w:val="yTable"/>
              <w:rPr>
                <w:sz w:val="18"/>
              </w:rPr>
            </w:pPr>
          </w:p>
        </w:tc>
        <w:tc>
          <w:tcPr>
            <w:tcW w:w="5670" w:type="dxa"/>
            <w:gridSpan w:val="5"/>
          </w:tcPr>
          <w:p>
            <w:pPr>
              <w:pStyle w:val="yTable"/>
              <w:rPr>
                <w:sz w:val="18"/>
              </w:rPr>
            </w:pPr>
            <w:r>
              <w:rPr>
                <w:sz w:val="18"/>
              </w:rPr>
              <w:t>Description of alleged offence:</w:t>
            </w:r>
          </w:p>
          <w:p>
            <w:pPr>
              <w:pStyle w:val="yTable"/>
              <w:rPr>
                <w:sz w:val="18"/>
              </w:rPr>
            </w:pPr>
          </w:p>
        </w:tc>
      </w:tr>
      <w:tr>
        <w:trPr>
          <w:cantSplit/>
        </w:trPr>
        <w:tc>
          <w:tcPr>
            <w:tcW w:w="1134" w:type="dxa"/>
            <w:vMerge/>
          </w:tcPr>
          <w:p>
            <w:pPr>
              <w:pStyle w:val="yTable"/>
              <w:rPr>
                <w:sz w:val="18"/>
              </w:rPr>
            </w:pPr>
          </w:p>
        </w:tc>
        <w:tc>
          <w:tcPr>
            <w:tcW w:w="5670" w:type="dxa"/>
            <w:gridSpan w:val="5"/>
          </w:tcPr>
          <w:p>
            <w:pPr>
              <w:pStyle w:val="yTable"/>
              <w:rPr>
                <w:sz w:val="18"/>
              </w:rPr>
            </w:pPr>
            <w:r>
              <w:rPr>
                <w:sz w:val="18"/>
              </w:rPr>
              <w:t>Where and when:</w:t>
            </w:r>
          </w:p>
        </w:tc>
      </w:tr>
      <w:tr>
        <w:tc>
          <w:tcPr>
            <w:tcW w:w="1134" w:type="dxa"/>
          </w:tcPr>
          <w:p>
            <w:pPr>
              <w:pStyle w:val="yTable"/>
              <w:rPr>
                <w:b/>
                <w:sz w:val="18"/>
              </w:rPr>
            </w:pPr>
            <w:r>
              <w:rPr>
                <w:b/>
                <w:sz w:val="18"/>
              </w:rPr>
              <w:t>Amount of modified penalty</w:t>
            </w:r>
          </w:p>
        </w:tc>
        <w:tc>
          <w:tcPr>
            <w:tcW w:w="5670" w:type="dxa"/>
            <w:gridSpan w:val="5"/>
          </w:tcPr>
          <w:p>
            <w:pPr>
              <w:pStyle w:val="yTable"/>
              <w:keepNext/>
              <w:keepLines/>
              <w:rPr>
                <w:sz w:val="18"/>
              </w:rPr>
            </w:pPr>
          </w:p>
          <w:p>
            <w:pPr>
              <w:pStyle w:val="yTable"/>
              <w:keepNext/>
              <w:keepLines/>
              <w:rPr>
                <w:sz w:val="18"/>
              </w:rPr>
            </w:pPr>
            <w:r>
              <w:rPr>
                <w:sz w:val="18"/>
              </w:rPr>
              <w:t>$</w:t>
            </w:r>
          </w:p>
        </w:tc>
      </w:tr>
      <w:tr>
        <w:trPr>
          <w:cantSplit/>
        </w:trPr>
        <w:tc>
          <w:tcPr>
            <w:tcW w:w="1134" w:type="dxa"/>
            <w:vMerge w:val="restart"/>
          </w:tcPr>
          <w:p>
            <w:pPr>
              <w:pStyle w:val="yTable"/>
              <w:rPr>
                <w:b/>
                <w:sz w:val="18"/>
              </w:rPr>
            </w:pPr>
            <w:r>
              <w:rPr>
                <w:b/>
                <w:sz w:val="18"/>
              </w:rPr>
              <w:t>Police officer who issued this notice</w:t>
            </w:r>
          </w:p>
        </w:tc>
        <w:tc>
          <w:tcPr>
            <w:tcW w:w="5670" w:type="dxa"/>
            <w:gridSpan w:val="5"/>
          </w:tcPr>
          <w:p>
            <w:pPr>
              <w:pStyle w:val="yTable"/>
              <w:tabs>
                <w:tab w:val="left" w:pos="563"/>
              </w:tabs>
              <w:rPr>
                <w:sz w:val="18"/>
              </w:rPr>
            </w:pPr>
            <w:r>
              <w:rPr>
                <w:sz w:val="18"/>
              </w:rPr>
              <w:t>Name: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Signature: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Date: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Pr>
          <w:p>
            <w:pPr>
              <w:pStyle w:val="yTable"/>
              <w:rPr>
                <w:b/>
                <w:sz w:val="18"/>
              </w:rPr>
            </w:pPr>
            <w:r>
              <w:rPr>
                <w:b/>
                <w:sz w:val="18"/>
              </w:rPr>
              <w:t>What you must do</w:t>
            </w:r>
          </w:p>
        </w:tc>
        <w:tc>
          <w:tcPr>
            <w:tcW w:w="5670" w:type="dxa"/>
          </w:tcPr>
          <w:p>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trPr>
          <w:cantSplit/>
        </w:trPr>
        <w:tc>
          <w:tcPr>
            <w:tcW w:w="1186" w:type="dxa"/>
            <w:vMerge w:val="restart"/>
          </w:tcPr>
          <w:p>
            <w:pPr>
              <w:pStyle w:val="yTable"/>
              <w:keepNext/>
              <w:keepLines/>
              <w:rPr>
                <w:b/>
                <w:sz w:val="18"/>
              </w:rPr>
            </w:pPr>
            <w:r>
              <w:rPr>
                <w:b/>
                <w:sz w:val="18"/>
              </w:rPr>
              <w:t>Electing action by a court</w:t>
            </w:r>
          </w:p>
        </w:tc>
        <w:tc>
          <w:tcPr>
            <w:tcW w:w="5618"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186" w:type="dxa"/>
            <w:vMerge/>
          </w:tcPr>
          <w:p>
            <w:pPr>
              <w:pStyle w:val="yTable"/>
              <w:keepNext/>
              <w:keepLines/>
              <w:spacing w:before="0"/>
              <w:rPr>
                <w:b/>
                <w:sz w:val="18"/>
              </w:rPr>
            </w:pPr>
          </w:p>
        </w:tc>
        <w:tc>
          <w:tcPr>
            <w:tcW w:w="5618" w:type="dxa"/>
          </w:tcPr>
          <w:p>
            <w:pPr>
              <w:pStyle w:val="yTable"/>
              <w:keepNext/>
              <w:keepLines/>
              <w:tabs>
                <w:tab w:val="left" w:pos="407"/>
              </w:tabs>
              <w:rPr>
                <w:sz w:val="18"/>
              </w:rPr>
            </w:pPr>
            <w:r>
              <w:rPr>
                <w:sz w:val="18"/>
              </w:rPr>
              <w:t>Signature:</w:t>
            </w:r>
          </w:p>
        </w:tc>
      </w:tr>
      <w:tr>
        <w:trPr>
          <w:cantSplit/>
        </w:trPr>
        <w:tc>
          <w:tcPr>
            <w:tcW w:w="1186" w:type="dxa"/>
            <w:vMerge/>
          </w:tcPr>
          <w:p>
            <w:pPr>
              <w:pStyle w:val="yTable"/>
              <w:keepNext/>
              <w:keepLines/>
              <w:spacing w:before="0"/>
              <w:rPr>
                <w:b/>
                <w:sz w:val="18"/>
              </w:rPr>
            </w:pPr>
          </w:p>
        </w:tc>
        <w:tc>
          <w:tcPr>
            <w:tcW w:w="5618" w:type="dxa"/>
          </w:tcPr>
          <w:p>
            <w:pPr>
              <w:pStyle w:val="yTable"/>
              <w:keepNext/>
              <w:keepLines/>
              <w:tabs>
                <w:tab w:val="left" w:pos="407"/>
              </w:tabs>
              <w:rPr>
                <w:sz w:val="18"/>
              </w:rPr>
            </w:pPr>
            <w:r>
              <w:rPr>
                <w:sz w:val="18"/>
              </w:rPr>
              <w:t>Date:</w:t>
            </w:r>
          </w:p>
        </w:tc>
      </w:tr>
      <w:tr>
        <w:trPr>
          <w:cantSplit/>
        </w:trPr>
        <w:tc>
          <w:tcPr>
            <w:tcW w:w="1186" w:type="dxa"/>
            <w:vMerge/>
          </w:tcPr>
          <w:p>
            <w:pPr>
              <w:pStyle w:val="yTable"/>
              <w:spacing w:before="0"/>
              <w:rPr>
                <w:b/>
                <w:sz w:val="18"/>
              </w:rPr>
            </w:pPr>
          </w:p>
        </w:tc>
        <w:tc>
          <w:tcPr>
            <w:tcW w:w="5618" w:type="dxa"/>
          </w:tcPr>
          <w:p>
            <w:pPr>
              <w:pStyle w:val="yTable"/>
              <w:tabs>
                <w:tab w:val="left" w:pos="407"/>
              </w:tabs>
              <w:rPr>
                <w:sz w:val="18"/>
              </w:rPr>
            </w:pPr>
            <w:r>
              <w:rPr>
                <w:sz w:val="18"/>
              </w:rPr>
              <w:t>Address for service: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trPr>
          <w:cantSplit/>
        </w:trPr>
        <w:tc>
          <w:tcPr>
            <w:tcW w:w="1186" w:type="dxa"/>
            <w:tcBorders>
              <w:bottom w:val="single" w:sz="4" w:space="0" w:color="auto"/>
            </w:tcBorders>
          </w:tcPr>
          <w:p>
            <w:pPr>
              <w:pStyle w:val="yTable"/>
              <w:rPr>
                <w:b/>
                <w:sz w:val="18"/>
              </w:rPr>
            </w:pPr>
            <w:r>
              <w:rPr>
                <w:b/>
                <w:sz w:val="18"/>
              </w:rPr>
              <w:t>Paying the modified penalty</w:t>
            </w:r>
          </w:p>
        </w:tc>
        <w:tc>
          <w:tcPr>
            <w:tcW w:w="5618"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MiscellaneousHeading"/>
        <w:spacing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275"/>
      </w:tblGrid>
      <w:tr>
        <w:trPr>
          <w:cantSplit/>
          <w:trHeight w:val="282"/>
        </w:trPr>
        <w:tc>
          <w:tcPr>
            <w:tcW w:w="5103" w:type="dxa"/>
            <w:gridSpan w:val="4"/>
          </w:tcPr>
          <w:p>
            <w:pPr>
              <w:pStyle w:val="yTable"/>
              <w:rPr>
                <w:sz w:val="16"/>
              </w:rPr>
            </w:pPr>
            <w:r>
              <w:rPr>
                <w:i/>
                <w:sz w:val="18"/>
              </w:rPr>
              <w:t>Censorship Act 1996</w:t>
            </w:r>
            <w:r>
              <w:rPr>
                <w:i/>
                <w:sz w:val="16"/>
              </w:rPr>
              <w:t xml:space="preserve"> s. 117G(1)</w:t>
            </w:r>
          </w:p>
          <w:p>
            <w:pPr>
              <w:pStyle w:val="yTable"/>
              <w:spacing w:before="0"/>
              <w:rPr>
                <w:b/>
              </w:rPr>
            </w:pPr>
            <w:r>
              <w:rPr>
                <w:b/>
              </w:rPr>
              <w:t>Withdrawal of Infringement Notice</w:t>
            </w:r>
          </w:p>
        </w:tc>
        <w:tc>
          <w:tcPr>
            <w:tcW w:w="1559"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To</w:t>
            </w:r>
          </w:p>
          <w:p>
            <w:pPr>
              <w:pStyle w:val="yTable"/>
              <w:rPr>
                <w:sz w:val="14"/>
              </w:rPr>
            </w:pPr>
            <w:r>
              <w:rPr>
                <w:sz w:val="14"/>
              </w:rPr>
              <w:t>[Details of alleged offender]</w:t>
            </w:r>
          </w:p>
        </w:tc>
        <w:tc>
          <w:tcPr>
            <w:tcW w:w="5528"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528"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260"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275" w:type="dxa"/>
            <w:tcBorders>
              <w:bottom w:val="single" w:sz="4" w:space="0" w:color="auto"/>
            </w:tcBorders>
          </w:tcPr>
          <w:p>
            <w:pPr>
              <w:pStyle w:val="yTable"/>
              <w:rPr>
                <w:sz w:val="18"/>
              </w:rPr>
            </w:pPr>
            <w:r>
              <w:rPr>
                <w:sz w:val="18"/>
              </w:rPr>
              <w:t>Postcode:</w:t>
            </w:r>
          </w:p>
        </w:tc>
      </w:tr>
      <w:tr>
        <w:tc>
          <w:tcPr>
            <w:tcW w:w="6662" w:type="dxa"/>
            <w:gridSpan w:val="6"/>
          </w:tcPr>
          <w:p>
            <w:pPr>
              <w:pStyle w:val="yTable"/>
              <w:keepNext/>
              <w:keepLines/>
              <w:rPr>
                <w:b/>
                <w:sz w:val="18"/>
              </w:rPr>
            </w:pPr>
            <w:r>
              <w:rPr>
                <w:b/>
                <w:sz w:val="18"/>
              </w:rPr>
              <w:t xml:space="preserve">AN INFRINGEMENT NOTICE SERVED ON YOU HAS BEEN WITHDRAWN.  ANY PAYMENT THAT HAS BEEN MADE WILL BE REFUNDED AND — </w:t>
            </w:r>
          </w:p>
          <w:p>
            <w:pPr>
              <w:pStyle w:val="yTable"/>
              <w:keepNext/>
              <w:keepLines/>
              <w:numPr>
                <w:ilvl w:val="0"/>
                <w:numId w:val="2"/>
              </w:numPr>
              <w:rPr>
                <w:b/>
                <w:sz w:val="18"/>
              </w:rPr>
            </w:pPr>
            <w:r>
              <w:rPr>
                <w:b/>
                <w:sz w:val="18"/>
              </w:rPr>
              <w:t>NO FURTHER ACTION WILL BE TAKEN*</w:t>
            </w:r>
          </w:p>
          <w:p>
            <w:pPr>
              <w:pStyle w:val="yTable"/>
              <w:keepNext/>
              <w:keepLines/>
              <w:numPr>
                <w:ilvl w:val="0"/>
                <w:numId w:val="2"/>
              </w:numPr>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134" w:type="dxa"/>
            <w:vMerge w:val="restart"/>
          </w:tcPr>
          <w:p>
            <w:pPr>
              <w:pStyle w:val="yTable"/>
              <w:keepNext/>
              <w:keepLines/>
              <w:spacing w:before="0"/>
              <w:rPr>
                <w:b/>
                <w:sz w:val="18"/>
              </w:rPr>
            </w:pPr>
            <w:r>
              <w:rPr>
                <w:b/>
                <w:sz w:val="18"/>
              </w:rPr>
              <w:t>Details of withdrawn notice</w:t>
            </w:r>
          </w:p>
        </w:tc>
        <w:tc>
          <w:tcPr>
            <w:tcW w:w="5528" w:type="dxa"/>
            <w:gridSpan w:val="5"/>
          </w:tcPr>
          <w:p>
            <w:pPr>
              <w:pStyle w:val="yTable"/>
              <w:keepNext/>
              <w:keepLines/>
              <w:spacing w:before="120"/>
              <w:rPr>
                <w:sz w:val="18"/>
              </w:rPr>
            </w:pPr>
            <w:r>
              <w:rPr>
                <w:sz w:val="18"/>
              </w:rPr>
              <w:t>Date notice given:</w:t>
            </w:r>
          </w:p>
        </w:tc>
      </w:tr>
      <w:tr>
        <w:trPr>
          <w:cantSplit/>
        </w:trPr>
        <w:tc>
          <w:tcPr>
            <w:tcW w:w="1134" w:type="dxa"/>
            <w:vMerge/>
          </w:tcPr>
          <w:p>
            <w:pPr>
              <w:pStyle w:val="yTable"/>
              <w:keepNext/>
              <w:keepLines/>
              <w:spacing w:before="0"/>
              <w:rPr>
                <w:b/>
                <w:sz w:val="18"/>
              </w:rPr>
            </w:pPr>
          </w:p>
        </w:tc>
        <w:tc>
          <w:tcPr>
            <w:tcW w:w="5528" w:type="dxa"/>
            <w:gridSpan w:val="5"/>
          </w:tcPr>
          <w:p>
            <w:pPr>
              <w:pStyle w:val="yTable"/>
              <w:keepNext/>
              <w:keepLines/>
              <w:spacing w:before="120"/>
              <w:rPr>
                <w:sz w:val="18"/>
              </w:rPr>
            </w:pPr>
            <w:r>
              <w:rPr>
                <w:sz w:val="18"/>
              </w:rPr>
              <w:t>Notice number:</w:t>
            </w:r>
          </w:p>
        </w:tc>
      </w:tr>
      <w:tr>
        <w:trPr>
          <w:cantSplit/>
        </w:trPr>
        <w:tc>
          <w:tcPr>
            <w:tcW w:w="1134" w:type="dxa"/>
            <w:vMerge/>
          </w:tcPr>
          <w:p>
            <w:pPr>
              <w:pStyle w:val="yTable"/>
              <w:keepNext/>
              <w:keepLines/>
              <w:rPr>
                <w:sz w:val="18"/>
              </w:rPr>
            </w:pPr>
          </w:p>
        </w:tc>
        <w:tc>
          <w:tcPr>
            <w:tcW w:w="5528" w:type="dxa"/>
            <w:gridSpan w:val="5"/>
          </w:tcPr>
          <w:p>
            <w:pPr>
              <w:pStyle w:val="yTable"/>
              <w:keepNext/>
              <w:keepLines/>
              <w:spacing w:before="120"/>
              <w:rPr>
                <w:sz w:val="18"/>
              </w:rPr>
            </w:pPr>
            <w:r>
              <w:rPr>
                <w:sz w:val="18"/>
              </w:rPr>
              <w:t>Alleged offence:</w:t>
            </w:r>
          </w:p>
        </w:tc>
      </w:tr>
      <w:tr>
        <w:trPr>
          <w:cantSplit/>
        </w:trPr>
        <w:tc>
          <w:tcPr>
            <w:tcW w:w="1134" w:type="dxa"/>
            <w:vMerge w:val="restart"/>
          </w:tcPr>
          <w:p>
            <w:pPr>
              <w:pStyle w:val="yTable"/>
              <w:rPr>
                <w:b/>
                <w:sz w:val="18"/>
              </w:rPr>
            </w:pPr>
            <w:r>
              <w:rPr>
                <w:b/>
                <w:sz w:val="18"/>
              </w:rPr>
              <w:t>Authorised person who issued this notice</w:t>
            </w:r>
          </w:p>
        </w:tc>
        <w:tc>
          <w:tcPr>
            <w:tcW w:w="5528" w:type="dxa"/>
            <w:gridSpan w:val="5"/>
          </w:tcPr>
          <w:p>
            <w:pPr>
              <w:pStyle w:val="yTable"/>
              <w:tabs>
                <w:tab w:val="left" w:pos="563"/>
              </w:tabs>
              <w:rPr>
                <w:sz w:val="18"/>
              </w:rPr>
            </w:pPr>
            <w:r>
              <w:rPr>
                <w:sz w:val="18"/>
              </w:rPr>
              <w:t>Name:</w:t>
            </w:r>
          </w:p>
        </w:tc>
      </w:tr>
      <w:tr>
        <w:trPr>
          <w:cantSplit/>
        </w:trPr>
        <w:tc>
          <w:tcPr>
            <w:tcW w:w="1134" w:type="dxa"/>
            <w:vMerge/>
          </w:tcPr>
          <w:p>
            <w:pPr>
              <w:pStyle w:val="yTable"/>
              <w:keepNext/>
              <w:keepLines/>
              <w:rPr>
                <w:sz w:val="18"/>
              </w:rPr>
            </w:pPr>
          </w:p>
        </w:tc>
        <w:tc>
          <w:tcPr>
            <w:tcW w:w="5528" w:type="dxa"/>
            <w:gridSpan w:val="5"/>
          </w:tcPr>
          <w:p>
            <w:pPr>
              <w:pStyle w:val="yTable"/>
              <w:keepNext/>
              <w:keepLines/>
              <w:rPr>
                <w:sz w:val="18"/>
              </w:rPr>
            </w:pPr>
            <w:r>
              <w:rPr>
                <w:sz w:val="18"/>
              </w:rPr>
              <w:t>Signature:</w:t>
            </w:r>
          </w:p>
        </w:tc>
      </w:tr>
      <w:tr>
        <w:trPr>
          <w:cantSplit/>
        </w:trPr>
        <w:tc>
          <w:tcPr>
            <w:tcW w:w="1134" w:type="dxa"/>
            <w:vMerge/>
          </w:tcPr>
          <w:p>
            <w:pPr>
              <w:pStyle w:val="yTable"/>
              <w:keepNext/>
              <w:keepLines/>
              <w:rPr>
                <w:sz w:val="18"/>
              </w:rPr>
            </w:pPr>
          </w:p>
        </w:tc>
        <w:tc>
          <w:tcPr>
            <w:tcW w:w="5528" w:type="dxa"/>
            <w:gridSpan w:val="5"/>
          </w:tcPr>
          <w:p>
            <w:pPr>
              <w:pStyle w:val="yTable"/>
              <w:keepNext/>
              <w:keepLines/>
              <w:rPr>
                <w:sz w:val="18"/>
              </w:rPr>
            </w:pPr>
            <w:r>
              <w:rPr>
                <w:sz w:val="18"/>
              </w:rPr>
              <w:t>Date:</w:t>
            </w:r>
          </w:p>
        </w:tc>
      </w:tr>
    </w:tbl>
    <w:p>
      <w:pPr>
        <w:pStyle w:val="yFootnotesection"/>
      </w:pPr>
      <w:r>
        <w:tab/>
        <w:t>[Schedule 2 inserted in Gazette 4 Jun 2004 p. 1931</w:t>
      </w:r>
      <w:r>
        <w:noBreakHyphen/>
        <w:t>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Censorship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74043247"/>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22" w:type="dxa"/>
            <w:tcBorders>
              <w:top w:val="single" w:sz="8" w:space="0" w:color="auto"/>
              <w:bottom w:val="single" w:sz="8" w:space="0" w:color="auto"/>
            </w:tcBorders>
          </w:tcPr>
          <w:p>
            <w:pPr>
              <w:pStyle w:val="nTable"/>
              <w:spacing w:after="40"/>
              <w:rPr>
                <w:b/>
                <w:sz w:val="19"/>
              </w:rPr>
            </w:pPr>
            <w:r>
              <w:rPr>
                <w:b/>
                <w:sz w:val="19"/>
              </w:rPr>
              <w:t>Commencement</w:t>
            </w:r>
          </w:p>
        </w:tc>
      </w:tr>
      <w:tr>
        <w:tc>
          <w:tcPr>
            <w:tcW w:w="3090" w:type="dxa"/>
          </w:tcPr>
          <w:p>
            <w:pPr>
              <w:pStyle w:val="nTable"/>
              <w:spacing w:after="40"/>
              <w:rPr>
                <w:sz w:val="19"/>
              </w:rPr>
            </w:pPr>
            <w:r>
              <w:rPr>
                <w:i/>
                <w:sz w:val="19"/>
              </w:rPr>
              <w:t>Censorship Regulations 1996</w:t>
            </w:r>
          </w:p>
        </w:tc>
        <w:tc>
          <w:tcPr>
            <w:tcW w:w="1276" w:type="dxa"/>
          </w:tcPr>
          <w:p>
            <w:pPr>
              <w:pStyle w:val="nTable"/>
              <w:spacing w:after="40"/>
              <w:rPr>
                <w:sz w:val="19"/>
              </w:rPr>
            </w:pPr>
            <w:r>
              <w:rPr>
                <w:sz w:val="19"/>
              </w:rPr>
              <w:t>1 Nov 1996 p. 5755</w:t>
            </w:r>
            <w:r>
              <w:rPr>
                <w:sz w:val="19"/>
              </w:rPr>
              <w:noBreakHyphen/>
              <w:t>62</w:t>
            </w:r>
          </w:p>
        </w:tc>
        <w:tc>
          <w:tcPr>
            <w:tcW w:w="2722" w:type="dxa"/>
          </w:tcPr>
          <w:p>
            <w:pPr>
              <w:pStyle w:val="nTable"/>
              <w:spacing w:after="40"/>
              <w:rPr>
                <w:sz w:val="19"/>
              </w:rPr>
            </w:pPr>
            <w:r>
              <w:rPr>
                <w:sz w:val="19"/>
              </w:rPr>
              <w:t xml:space="preserve">5 Nov 1996 (see r. 2 and </w:t>
            </w:r>
            <w:r>
              <w:rPr>
                <w:i/>
                <w:sz w:val="19"/>
              </w:rPr>
              <w:t>Gazette</w:t>
            </w:r>
            <w:r>
              <w:rPr>
                <w:sz w:val="19"/>
              </w:rPr>
              <w:t xml:space="preserve"> 5 Nov 1996 p. 5845)</w:t>
            </w:r>
          </w:p>
        </w:tc>
      </w:tr>
      <w:tr>
        <w:tc>
          <w:tcPr>
            <w:tcW w:w="3090" w:type="dxa"/>
          </w:tcPr>
          <w:p>
            <w:pPr>
              <w:pStyle w:val="nTable"/>
              <w:spacing w:after="40"/>
              <w:rPr>
                <w:i/>
                <w:sz w:val="19"/>
              </w:rPr>
            </w:pPr>
            <w:r>
              <w:rPr>
                <w:i/>
                <w:sz w:val="19"/>
              </w:rPr>
              <w:t>Censorship Amendment Regulations 2003</w:t>
            </w:r>
          </w:p>
        </w:tc>
        <w:tc>
          <w:tcPr>
            <w:tcW w:w="1276" w:type="dxa"/>
          </w:tcPr>
          <w:p>
            <w:pPr>
              <w:pStyle w:val="nTable"/>
              <w:spacing w:after="40"/>
              <w:rPr>
                <w:sz w:val="19"/>
              </w:rPr>
            </w:pPr>
            <w:r>
              <w:rPr>
                <w:sz w:val="19"/>
              </w:rPr>
              <w:t>27 Jun 2003 p. 2384</w:t>
            </w:r>
            <w:r>
              <w:rPr>
                <w:sz w:val="19"/>
              </w:rPr>
              <w:noBreakHyphen/>
              <w:t>5</w:t>
            </w:r>
          </w:p>
        </w:tc>
        <w:tc>
          <w:tcPr>
            <w:tcW w:w="2722" w:type="dxa"/>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rPr>
          <w:cantSplit/>
        </w:trPr>
        <w:tc>
          <w:tcPr>
            <w:tcW w:w="7088" w:type="dxa"/>
            <w:gridSpan w:val="3"/>
          </w:tcPr>
          <w:p>
            <w:pPr>
              <w:pStyle w:val="nTable"/>
              <w:spacing w:after="40"/>
              <w:rPr>
                <w:b/>
                <w:sz w:val="19"/>
              </w:rPr>
            </w:pPr>
            <w:r>
              <w:rPr>
                <w:b/>
                <w:sz w:val="19"/>
              </w:rPr>
              <w:t xml:space="preserve">Reprint 1: The </w:t>
            </w:r>
            <w:r>
              <w:rPr>
                <w:b/>
                <w:i/>
                <w:sz w:val="19"/>
              </w:rPr>
              <w:t>Censorship Regulations 1996</w:t>
            </w:r>
            <w:r>
              <w:rPr>
                <w:b/>
                <w:sz w:val="19"/>
              </w:rPr>
              <w:t xml:space="preserve"> as at 5 Dec 2003 </w:t>
            </w:r>
            <w:r>
              <w:rPr>
                <w:sz w:val="19"/>
              </w:rPr>
              <w:t>(includes amendment listed above)</w:t>
            </w:r>
          </w:p>
        </w:tc>
      </w:tr>
      <w:tr>
        <w:tc>
          <w:tcPr>
            <w:tcW w:w="3090" w:type="dxa"/>
            <w:tcBorders>
              <w:bottom w:val="single" w:sz="4" w:space="0" w:color="auto"/>
            </w:tcBorders>
          </w:tcPr>
          <w:p>
            <w:pPr>
              <w:pStyle w:val="nTable"/>
              <w:spacing w:after="40"/>
              <w:rPr>
                <w:i/>
                <w:sz w:val="19"/>
              </w:rPr>
            </w:pPr>
            <w:r>
              <w:rPr>
                <w:i/>
                <w:sz w:val="19"/>
              </w:rPr>
              <w:t>Censorship Amendment Regulations 2004</w:t>
            </w:r>
          </w:p>
        </w:tc>
        <w:tc>
          <w:tcPr>
            <w:tcW w:w="1276" w:type="dxa"/>
            <w:tcBorders>
              <w:bottom w:val="single" w:sz="4" w:space="0" w:color="auto"/>
            </w:tcBorders>
          </w:tcPr>
          <w:p>
            <w:pPr>
              <w:pStyle w:val="nTable"/>
              <w:spacing w:after="40"/>
              <w:rPr>
                <w:sz w:val="19"/>
              </w:rPr>
            </w:pPr>
            <w:r>
              <w:rPr>
                <w:sz w:val="19"/>
              </w:rPr>
              <w:t>4 Jun 2004 p. 1929</w:t>
            </w:r>
            <w:r>
              <w:rPr>
                <w:sz w:val="19"/>
              </w:rPr>
              <w:noBreakHyphen/>
              <w:t>32</w:t>
            </w:r>
          </w:p>
        </w:tc>
        <w:tc>
          <w:tcPr>
            <w:tcW w:w="2722" w:type="dxa"/>
            <w:tcBorders>
              <w:bottom w:val="single" w:sz="4" w:space="0" w:color="auto"/>
            </w:tcBorders>
          </w:tcPr>
          <w:p>
            <w:pPr>
              <w:pStyle w:val="nTable"/>
              <w:spacing w:after="40"/>
            </w:pPr>
            <w:r>
              <w:rPr>
                <w:sz w:val="19"/>
              </w:rPr>
              <w:t xml:space="preserve">4 Jun 2004 (see r. 2 and </w:t>
            </w:r>
            <w:r>
              <w:rPr>
                <w:i/>
                <w:sz w:val="19"/>
              </w:rPr>
              <w:t xml:space="preserve">Gazette </w:t>
            </w:r>
            <w:r>
              <w:rPr>
                <w:sz w:val="19"/>
              </w:rPr>
              <w:t>4 Jun </w:t>
            </w:r>
            <w:r>
              <w:t>2004 p. 1933)</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Censorship Regulations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Censorship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Censorship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Censorship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offences and modified penalties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Censorship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offences and modified penalties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Censorship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Censorship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Censorship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C4F4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06C7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58A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7239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D033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A46D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18D8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DAED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582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9F8C4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28AFE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84A5C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7"/>
  </w:num>
  <w:num w:numId="2">
    <w:abstractNumId w:val="29"/>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12"/>
    <w:docVar w:name="WAFER_20151207162412" w:val="RemoveTrackChanges"/>
    <w:docVar w:name="WAFER_20151207162412_GUID" w:val="d959f825-f07c-4ba3-8ffd-80a8a69e12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1302</Words>
  <Characters>5889</Characters>
  <Application>Microsoft Office Word</Application>
  <DocSecurity>0</DocSecurity>
  <Lines>420</Lines>
  <Paragraphs>359</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
  <LinksUpToDate>false</LinksUpToDate>
  <CharactersWithSpaces>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Censorship Regulations 1996 - 01-b0-08</dc:title>
  <dc:subject/>
  <dc:creator/>
  <cp:keywords/>
  <dc:description/>
  <cp:lastModifiedBy>svcMRProcess</cp:lastModifiedBy>
  <cp:revision>4</cp:revision>
  <cp:lastPrinted>2003-11-05T06:06:00Z</cp:lastPrinted>
  <dcterms:created xsi:type="dcterms:W3CDTF">2015-12-08T16:57:00Z</dcterms:created>
  <dcterms:modified xsi:type="dcterms:W3CDTF">2015-12-08T16:57:00Z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20040604</vt:lpwstr>
  </property>
  <property fmtid="{D5CDD505-2E9C-101B-9397-08002B2CF9AE}" pid="4" name="DocumentType">
    <vt:lpwstr>Reg</vt:lpwstr>
  </property>
  <property fmtid="{D5CDD505-2E9C-101B-9397-08002B2CF9AE}" pid="5" name="OwlsUID">
    <vt:i4>4343</vt:i4>
  </property>
  <property fmtid="{D5CDD505-2E9C-101B-9397-08002B2CF9AE}" pid="6" name="AsAtDate">
    <vt:lpwstr>04 Jun 2004</vt:lpwstr>
  </property>
  <property fmtid="{D5CDD505-2E9C-101B-9397-08002B2CF9AE}" pid="7" name="Suffix">
    <vt:lpwstr>01-b0-08</vt:lpwstr>
  </property>
</Properties>
</file>